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B2" w:rsidRPr="009D043A" w:rsidRDefault="00D411B2"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SYSTEMIC RISK AND DIVERSIFICATION IN TURKISH BANKING SYSTEM</w:t>
      </w:r>
    </w:p>
    <w:p w:rsidR="00D411B2" w:rsidRPr="009D043A" w:rsidRDefault="00D411B2" w:rsidP="009D043A">
      <w:pPr>
        <w:autoSpaceDE w:val="0"/>
        <w:autoSpaceDN w:val="0"/>
        <w:adjustRightInd w:val="0"/>
        <w:spacing w:after="0" w:line="240" w:lineRule="auto"/>
        <w:jc w:val="both"/>
        <w:rPr>
          <w:rFonts w:ascii="Times New Roman" w:hAnsi="Times New Roman" w:cs="Times New Roman"/>
          <w:sz w:val="24"/>
          <w:szCs w:val="24"/>
          <w:lang w:val="en-US"/>
        </w:rPr>
      </w:pPr>
    </w:p>
    <w:p w:rsidR="00DD5579" w:rsidRPr="009D043A" w:rsidRDefault="00DD5579" w:rsidP="009D043A">
      <w:pPr>
        <w:autoSpaceDE w:val="0"/>
        <w:autoSpaceDN w:val="0"/>
        <w:adjustRightInd w:val="0"/>
        <w:spacing w:after="0" w:line="240" w:lineRule="auto"/>
        <w:jc w:val="both"/>
        <w:rPr>
          <w:rFonts w:ascii="Times New Roman" w:hAnsi="Times New Roman" w:cs="Times New Roman"/>
          <w:b/>
          <w:sz w:val="24"/>
          <w:szCs w:val="24"/>
          <w:lang w:val="en-US"/>
        </w:rPr>
      </w:pPr>
    </w:p>
    <w:p w:rsidR="00DD5579" w:rsidRPr="009D043A" w:rsidRDefault="0026120B"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Abstract</w:t>
      </w:r>
    </w:p>
    <w:p w:rsidR="0026120B" w:rsidRPr="009D043A" w:rsidRDefault="0026120B"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Since the global financial crisis, the attention of financial market actors, especially regulators, have focused on the systemic risk concept. The systemic risk can be defined as the situation when the failure of a </w:t>
      </w:r>
      <w:r w:rsidR="0007740C"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limited number of</w:t>
      </w:r>
      <w:r w:rsidR="0007740C"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 financial institution</w:t>
      </w:r>
      <w:r w:rsidR="0007740C"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s</w:t>
      </w:r>
      <w:r w:rsidR="0007740C"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 or the crash of a financial market creates domino effect on several other financial institutions or markets resulting with their failure emanating from the initial idiosyncratic shock. This study contributes to literature by being the one of the rare analysis of Turkish banking system in terms of diversification and systemic risk.</w:t>
      </w:r>
      <w:r w:rsidR="000C56F5" w:rsidRPr="009D043A">
        <w:rPr>
          <w:rFonts w:ascii="Times New Roman" w:hAnsi="Times New Roman" w:cs="Times New Roman"/>
          <w:sz w:val="24"/>
          <w:szCs w:val="24"/>
          <w:lang w:val="en-US"/>
        </w:rPr>
        <w:t xml:space="preserve"> In the analysis, diversification </w:t>
      </w:r>
      <w:r w:rsidR="002666E6" w:rsidRPr="009D043A">
        <w:rPr>
          <w:rFonts w:ascii="Times New Roman" w:hAnsi="Times New Roman" w:cs="Times New Roman"/>
          <w:sz w:val="24"/>
          <w:szCs w:val="24"/>
          <w:lang w:val="en-US"/>
        </w:rPr>
        <w:t>was</w:t>
      </w:r>
      <w:r w:rsidR="000C56F5" w:rsidRPr="009D043A">
        <w:rPr>
          <w:rFonts w:ascii="Times New Roman" w:hAnsi="Times New Roman" w:cs="Times New Roman"/>
          <w:sz w:val="24"/>
          <w:szCs w:val="24"/>
          <w:lang w:val="en-US"/>
        </w:rPr>
        <w:t xml:space="preserve"> measured by classifying bank’s non-interest-related activities into net commission revenue, net trading revenue and all other net revenue</w:t>
      </w:r>
      <w:r w:rsidR="002666E6" w:rsidRPr="009D043A">
        <w:rPr>
          <w:rFonts w:ascii="Times New Roman" w:hAnsi="Times New Roman" w:cs="Times New Roman"/>
          <w:sz w:val="24"/>
          <w:szCs w:val="24"/>
          <w:lang w:val="en-US"/>
        </w:rPr>
        <w:t>. The systemic risk was measured by using Contingent Claims Analysis (CCA) that incorporates market-based and balance sheet information to obtain financial risk indicators, such as Distance-to-Default (DD). The data consist of quarterly calculated average diversification indicator (ADI), weighted average diversification indicator (WADI), distance-to-default (DD) and weighted average distance-to-default (WADD) for top 6 Turkish commercial banks in</w:t>
      </w:r>
      <w:bookmarkStart w:id="0" w:name="_GoBack"/>
      <w:bookmarkEnd w:id="0"/>
      <w:r w:rsidR="002666E6" w:rsidRPr="009D043A">
        <w:rPr>
          <w:rFonts w:ascii="Times New Roman" w:hAnsi="Times New Roman" w:cs="Times New Roman"/>
          <w:sz w:val="24"/>
          <w:szCs w:val="24"/>
          <w:lang w:val="en-US"/>
        </w:rPr>
        <w:t xml:space="preserve"> the period between 2009 and 2016. The results show that the relation between diversification and systemic risk is ambiguous as parallel to the analysis </w:t>
      </w:r>
      <w:r w:rsidR="0007740C" w:rsidRPr="009D043A">
        <w:rPr>
          <w:rFonts w:ascii="Times New Roman" w:hAnsi="Times New Roman" w:cs="Times New Roman"/>
          <w:sz w:val="24"/>
          <w:szCs w:val="24"/>
          <w:lang w:val="en-US"/>
        </w:rPr>
        <w:t>performed other countries.</w:t>
      </w:r>
    </w:p>
    <w:p w:rsidR="0026120B" w:rsidRPr="009D043A" w:rsidRDefault="0026120B" w:rsidP="009D043A">
      <w:pPr>
        <w:autoSpaceDE w:val="0"/>
        <w:autoSpaceDN w:val="0"/>
        <w:adjustRightInd w:val="0"/>
        <w:spacing w:after="0" w:line="240" w:lineRule="auto"/>
        <w:jc w:val="both"/>
        <w:rPr>
          <w:rFonts w:ascii="Times New Roman" w:hAnsi="Times New Roman" w:cs="Times New Roman"/>
          <w:b/>
          <w:sz w:val="24"/>
          <w:szCs w:val="24"/>
          <w:lang w:val="en-US"/>
        </w:rPr>
      </w:pPr>
    </w:p>
    <w:p w:rsidR="0026120B" w:rsidRPr="009D043A" w:rsidRDefault="00242F79" w:rsidP="009D043A">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 Words: systemic risk, distance to default, diversification</w:t>
      </w:r>
    </w:p>
    <w:p w:rsidR="00DD5579" w:rsidRPr="009D043A" w:rsidRDefault="00DD5579" w:rsidP="009D043A">
      <w:pPr>
        <w:autoSpaceDE w:val="0"/>
        <w:autoSpaceDN w:val="0"/>
        <w:adjustRightInd w:val="0"/>
        <w:spacing w:after="0" w:line="240" w:lineRule="auto"/>
        <w:jc w:val="both"/>
        <w:rPr>
          <w:rFonts w:ascii="Times New Roman" w:hAnsi="Times New Roman" w:cs="Times New Roman"/>
          <w:b/>
          <w:sz w:val="24"/>
          <w:szCs w:val="24"/>
          <w:lang w:val="en-US"/>
        </w:rPr>
      </w:pPr>
    </w:p>
    <w:p w:rsidR="00D411B2" w:rsidRPr="009D043A" w:rsidRDefault="00D411B2"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Introduction</w:t>
      </w:r>
    </w:p>
    <w:p w:rsidR="00DD5579" w:rsidRPr="009D043A" w:rsidRDefault="00DD5579" w:rsidP="009D043A">
      <w:pPr>
        <w:autoSpaceDE w:val="0"/>
        <w:autoSpaceDN w:val="0"/>
        <w:adjustRightInd w:val="0"/>
        <w:spacing w:after="0" w:line="240" w:lineRule="auto"/>
        <w:jc w:val="both"/>
        <w:rPr>
          <w:rFonts w:ascii="Times New Roman" w:hAnsi="Times New Roman" w:cs="Times New Roman"/>
          <w:sz w:val="24"/>
          <w:szCs w:val="24"/>
          <w:lang w:val="en-US"/>
        </w:rPr>
      </w:pPr>
    </w:p>
    <w:p w:rsidR="00C25289" w:rsidRPr="009D043A" w:rsidRDefault="003B035D"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Since the 2008 financial crisis, the attention of </w:t>
      </w:r>
      <w:r w:rsidR="003C0E6E" w:rsidRPr="009D043A">
        <w:rPr>
          <w:rFonts w:ascii="Times New Roman" w:hAnsi="Times New Roman" w:cs="Times New Roman"/>
          <w:sz w:val="24"/>
          <w:szCs w:val="24"/>
          <w:lang w:val="en-US"/>
        </w:rPr>
        <w:t>broad spectrum of</w:t>
      </w:r>
      <w:r w:rsidRPr="009D043A">
        <w:rPr>
          <w:rFonts w:ascii="Times New Roman" w:hAnsi="Times New Roman" w:cs="Times New Roman"/>
          <w:sz w:val="24"/>
          <w:szCs w:val="24"/>
          <w:lang w:val="en-US"/>
        </w:rPr>
        <w:t xml:space="preserve"> </w:t>
      </w:r>
      <w:r w:rsidR="006B1AB0" w:rsidRPr="009D043A">
        <w:rPr>
          <w:rFonts w:ascii="Times New Roman" w:hAnsi="Times New Roman" w:cs="Times New Roman"/>
          <w:sz w:val="24"/>
          <w:szCs w:val="24"/>
          <w:lang w:val="en-US"/>
        </w:rPr>
        <w:t>financial</w:t>
      </w:r>
      <w:r w:rsidRPr="009D043A">
        <w:rPr>
          <w:rFonts w:ascii="Times New Roman" w:hAnsi="Times New Roman" w:cs="Times New Roman"/>
          <w:sz w:val="24"/>
          <w:szCs w:val="24"/>
          <w:lang w:val="en-US"/>
        </w:rPr>
        <w:t xml:space="preserve"> market actors</w:t>
      </w:r>
      <w:r w:rsidR="003C0E6E" w:rsidRPr="009D043A">
        <w:rPr>
          <w:rFonts w:ascii="Times New Roman" w:hAnsi="Times New Roman" w:cs="Times New Roman"/>
          <w:sz w:val="24"/>
          <w:szCs w:val="24"/>
          <w:lang w:val="en-US"/>
        </w:rPr>
        <w:t>, especially regulators,</w:t>
      </w:r>
      <w:r w:rsidRPr="009D043A">
        <w:rPr>
          <w:rFonts w:ascii="Times New Roman" w:hAnsi="Times New Roman" w:cs="Times New Roman"/>
          <w:sz w:val="24"/>
          <w:szCs w:val="24"/>
          <w:lang w:val="en-US"/>
        </w:rPr>
        <w:t xml:space="preserve"> has focused on the systemic risk concept. </w:t>
      </w:r>
      <w:r w:rsidR="00C25289" w:rsidRPr="009D043A">
        <w:rPr>
          <w:rFonts w:ascii="Times New Roman" w:hAnsi="Times New Roman" w:cs="Times New Roman"/>
          <w:sz w:val="24"/>
          <w:szCs w:val="24"/>
          <w:lang w:val="en-US"/>
        </w:rPr>
        <w:t xml:space="preserve">The </w:t>
      </w:r>
      <w:r w:rsidRPr="009D043A">
        <w:rPr>
          <w:rFonts w:ascii="Times New Roman" w:hAnsi="Times New Roman" w:cs="Times New Roman"/>
          <w:sz w:val="24"/>
          <w:szCs w:val="24"/>
          <w:lang w:val="en-US"/>
        </w:rPr>
        <w:t xml:space="preserve">systemic risk occurs financially when </w:t>
      </w:r>
      <w:r w:rsidR="006B1AB0" w:rsidRPr="009D043A">
        <w:rPr>
          <w:rFonts w:ascii="Times New Roman" w:hAnsi="Times New Roman" w:cs="Times New Roman"/>
          <w:sz w:val="24"/>
          <w:szCs w:val="24"/>
          <w:lang w:val="en-US"/>
        </w:rPr>
        <w:t xml:space="preserve">the </w:t>
      </w:r>
      <w:r w:rsidR="00C24DFA" w:rsidRPr="009D043A">
        <w:rPr>
          <w:rFonts w:ascii="Times New Roman" w:hAnsi="Times New Roman" w:cs="Times New Roman"/>
          <w:sz w:val="24"/>
          <w:szCs w:val="24"/>
          <w:lang w:val="en-US"/>
        </w:rPr>
        <w:t>problems of</w:t>
      </w:r>
      <w:r w:rsidR="006B1AB0" w:rsidRPr="009D043A">
        <w:rPr>
          <w:rFonts w:ascii="Times New Roman" w:hAnsi="Times New Roman" w:cs="Times New Roman"/>
          <w:sz w:val="24"/>
          <w:szCs w:val="24"/>
          <w:lang w:val="en-US"/>
        </w:rPr>
        <w:t xml:space="preserve"> financial institution</w:t>
      </w:r>
      <w:r w:rsidR="00680FC6" w:rsidRPr="009D043A">
        <w:rPr>
          <w:rFonts w:ascii="Times New Roman" w:hAnsi="Times New Roman" w:cs="Times New Roman"/>
          <w:sz w:val="24"/>
          <w:szCs w:val="24"/>
          <w:lang w:val="en-US"/>
        </w:rPr>
        <w:t xml:space="preserve"> or</w:t>
      </w:r>
      <w:r w:rsidR="00E77B75" w:rsidRPr="009D043A">
        <w:rPr>
          <w:rFonts w:ascii="Times New Roman" w:hAnsi="Times New Roman" w:cs="Times New Roman"/>
          <w:sz w:val="24"/>
          <w:szCs w:val="24"/>
          <w:lang w:val="en-US"/>
        </w:rPr>
        <w:t xml:space="preserve"> </w:t>
      </w:r>
      <w:r w:rsidR="00680FC6" w:rsidRPr="009D043A">
        <w:rPr>
          <w:rFonts w:ascii="Times New Roman" w:hAnsi="Times New Roman" w:cs="Times New Roman"/>
          <w:sz w:val="24"/>
          <w:szCs w:val="24"/>
          <w:lang w:val="en-US"/>
        </w:rPr>
        <w:t xml:space="preserve">the </w:t>
      </w:r>
      <w:r w:rsidR="00C24DFA" w:rsidRPr="009D043A">
        <w:rPr>
          <w:rFonts w:ascii="Times New Roman" w:hAnsi="Times New Roman" w:cs="Times New Roman"/>
          <w:sz w:val="24"/>
          <w:szCs w:val="24"/>
          <w:lang w:val="en-US"/>
        </w:rPr>
        <w:t xml:space="preserve">collapse </w:t>
      </w:r>
      <w:r w:rsidR="00680FC6" w:rsidRPr="009D043A">
        <w:rPr>
          <w:rFonts w:ascii="Times New Roman" w:hAnsi="Times New Roman" w:cs="Times New Roman"/>
          <w:sz w:val="24"/>
          <w:szCs w:val="24"/>
          <w:lang w:val="en-US"/>
        </w:rPr>
        <w:t>of a financial market</w:t>
      </w:r>
      <w:r w:rsidR="006B1AB0" w:rsidRPr="009D043A">
        <w:rPr>
          <w:rFonts w:ascii="Times New Roman" w:hAnsi="Times New Roman" w:cs="Times New Roman"/>
          <w:sz w:val="24"/>
          <w:szCs w:val="24"/>
          <w:lang w:val="en-US"/>
        </w:rPr>
        <w:t xml:space="preserve"> creates domino effect on several </w:t>
      </w:r>
      <w:r w:rsidR="00680FC6" w:rsidRPr="009D043A">
        <w:rPr>
          <w:rFonts w:ascii="Times New Roman" w:hAnsi="Times New Roman" w:cs="Times New Roman"/>
          <w:sz w:val="24"/>
          <w:szCs w:val="24"/>
          <w:lang w:val="en-US"/>
        </w:rPr>
        <w:t xml:space="preserve">other </w:t>
      </w:r>
      <w:r w:rsidR="006B1AB0" w:rsidRPr="009D043A">
        <w:rPr>
          <w:rFonts w:ascii="Times New Roman" w:hAnsi="Times New Roman" w:cs="Times New Roman"/>
          <w:sz w:val="24"/>
          <w:szCs w:val="24"/>
          <w:lang w:val="en-US"/>
        </w:rPr>
        <w:t xml:space="preserve">financial institutions </w:t>
      </w:r>
      <w:r w:rsidR="00680FC6" w:rsidRPr="009D043A">
        <w:rPr>
          <w:rFonts w:ascii="Times New Roman" w:hAnsi="Times New Roman" w:cs="Times New Roman"/>
          <w:sz w:val="24"/>
          <w:szCs w:val="24"/>
          <w:lang w:val="en-US"/>
        </w:rPr>
        <w:t xml:space="preserve">or markets </w:t>
      </w:r>
      <w:r w:rsidR="006B1AB0" w:rsidRPr="009D043A">
        <w:rPr>
          <w:rFonts w:ascii="Times New Roman" w:hAnsi="Times New Roman" w:cs="Times New Roman"/>
          <w:sz w:val="24"/>
          <w:szCs w:val="24"/>
          <w:lang w:val="en-US"/>
        </w:rPr>
        <w:t xml:space="preserve">resulting </w:t>
      </w:r>
      <w:r w:rsidR="009201FD" w:rsidRPr="009D043A">
        <w:rPr>
          <w:rFonts w:ascii="Times New Roman" w:hAnsi="Times New Roman" w:cs="Times New Roman"/>
          <w:sz w:val="24"/>
          <w:szCs w:val="24"/>
          <w:lang w:val="en-US"/>
        </w:rPr>
        <w:t xml:space="preserve">with </w:t>
      </w:r>
      <w:r w:rsidR="006B1AB0" w:rsidRPr="009D043A">
        <w:rPr>
          <w:rFonts w:ascii="Times New Roman" w:hAnsi="Times New Roman" w:cs="Times New Roman"/>
          <w:sz w:val="24"/>
          <w:szCs w:val="24"/>
          <w:lang w:val="en-US"/>
        </w:rPr>
        <w:t>their failure emanating from the initial idiosyncratic shock.</w:t>
      </w:r>
      <w:r w:rsidR="00E77B75" w:rsidRPr="009D043A">
        <w:rPr>
          <w:rFonts w:ascii="Times New Roman" w:hAnsi="Times New Roman" w:cs="Times New Roman"/>
          <w:sz w:val="24"/>
          <w:szCs w:val="24"/>
          <w:lang w:val="en-US"/>
        </w:rPr>
        <w:t xml:space="preserve"> </w:t>
      </w:r>
      <w:r w:rsidR="00C25289" w:rsidRPr="009D043A">
        <w:rPr>
          <w:rFonts w:ascii="Times New Roman" w:hAnsi="Times New Roman" w:cs="Times New Roman"/>
          <w:sz w:val="24"/>
          <w:szCs w:val="24"/>
          <w:lang w:val="en-US"/>
        </w:rPr>
        <w:t>The systemic risk widens as the financial institutions affect</w:t>
      </w:r>
      <w:r w:rsidR="00E77B75" w:rsidRPr="009D043A">
        <w:rPr>
          <w:rFonts w:ascii="Times New Roman" w:hAnsi="Times New Roman" w:cs="Times New Roman"/>
          <w:sz w:val="24"/>
          <w:szCs w:val="24"/>
          <w:lang w:val="en-US"/>
        </w:rPr>
        <w:t>ed in the second wave also fail</w:t>
      </w:r>
      <w:r w:rsidR="00C25289" w:rsidRPr="009D043A">
        <w:rPr>
          <w:rFonts w:ascii="Times New Roman" w:hAnsi="Times New Roman" w:cs="Times New Roman"/>
          <w:sz w:val="24"/>
          <w:szCs w:val="24"/>
          <w:lang w:val="en-US"/>
        </w:rPr>
        <w:t xml:space="preserve"> </w:t>
      </w:r>
      <w:r w:rsidR="009201FD" w:rsidRPr="009D043A">
        <w:rPr>
          <w:rFonts w:ascii="Times New Roman" w:hAnsi="Times New Roman" w:cs="Times New Roman"/>
          <w:sz w:val="24"/>
          <w:szCs w:val="24"/>
          <w:lang w:val="en-US"/>
        </w:rPr>
        <w:t xml:space="preserve">as </w:t>
      </w:r>
      <w:r w:rsidR="00C25289" w:rsidRPr="009D043A">
        <w:rPr>
          <w:rFonts w:ascii="Times New Roman" w:hAnsi="Times New Roman" w:cs="Times New Roman"/>
          <w:sz w:val="24"/>
          <w:szCs w:val="24"/>
          <w:lang w:val="en-US"/>
        </w:rPr>
        <w:t xml:space="preserve">a consequence of the initial shock or as the </w:t>
      </w:r>
      <w:r w:rsidR="00C24DFA" w:rsidRPr="009D043A">
        <w:rPr>
          <w:rFonts w:ascii="Times New Roman" w:hAnsi="Times New Roman" w:cs="Times New Roman"/>
          <w:sz w:val="24"/>
          <w:szCs w:val="24"/>
          <w:lang w:val="en-US"/>
        </w:rPr>
        <w:t xml:space="preserve">other </w:t>
      </w:r>
      <w:r w:rsidR="00C25289" w:rsidRPr="009D043A">
        <w:rPr>
          <w:rFonts w:ascii="Times New Roman" w:hAnsi="Times New Roman" w:cs="Times New Roman"/>
          <w:sz w:val="24"/>
          <w:szCs w:val="24"/>
          <w:lang w:val="en-US"/>
        </w:rPr>
        <w:t xml:space="preserve">markets </w:t>
      </w:r>
      <w:r w:rsidR="00C24DFA" w:rsidRPr="009D043A">
        <w:rPr>
          <w:rFonts w:ascii="Times New Roman" w:hAnsi="Times New Roman" w:cs="Times New Roman"/>
          <w:sz w:val="24"/>
          <w:szCs w:val="24"/>
          <w:lang w:val="en-US"/>
        </w:rPr>
        <w:t xml:space="preserve">are </w:t>
      </w:r>
      <w:r w:rsidR="00C25289" w:rsidRPr="009D043A">
        <w:rPr>
          <w:rFonts w:ascii="Times New Roman" w:hAnsi="Times New Roman" w:cs="Times New Roman"/>
          <w:sz w:val="24"/>
          <w:szCs w:val="24"/>
          <w:lang w:val="en-US"/>
        </w:rPr>
        <w:t xml:space="preserve">affected </w:t>
      </w:r>
      <w:r w:rsidR="00C24DFA" w:rsidRPr="009D043A">
        <w:rPr>
          <w:rFonts w:ascii="Times New Roman" w:hAnsi="Times New Roman" w:cs="Times New Roman"/>
          <w:sz w:val="24"/>
          <w:szCs w:val="24"/>
          <w:lang w:val="en-US"/>
        </w:rPr>
        <w:t>thereafter</w:t>
      </w:r>
      <w:r w:rsidR="00C25289" w:rsidRPr="009D043A">
        <w:rPr>
          <w:rFonts w:ascii="Times New Roman" w:hAnsi="Times New Roman" w:cs="Times New Roman"/>
          <w:sz w:val="24"/>
          <w:szCs w:val="24"/>
          <w:lang w:val="en-US"/>
        </w:rPr>
        <w:t xml:space="preserve">. </w:t>
      </w:r>
      <w:r w:rsidR="00E77B75" w:rsidRPr="009D043A">
        <w:rPr>
          <w:rFonts w:ascii="Times New Roman" w:hAnsi="Times New Roman" w:cs="Times New Roman"/>
          <w:sz w:val="24"/>
          <w:szCs w:val="24"/>
          <w:lang w:val="en-US"/>
        </w:rPr>
        <w:t xml:space="preserve">From this perspective, </w:t>
      </w:r>
      <w:r w:rsidR="00C25289" w:rsidRPr="009D043A">
        <w:rPr>
          <w:rFonts w:ascii="Times New Roman" w:hAnsi="Times New Roman" w:cs="Times New Roman"/>
          <w:sz w:val="24"/>
          <w:szCs w:val="24"/>
          <w:lang w:val="en-US"/>
        </w:rPr>
        <w:t>a systemic crisis can be de</w:t>
      </w:r>
      <w:r w:rsidR="00E77B75" w:rsidRPr="009D043A">
        <w:rPr>
          <w:rFonts w:ascii="Times New Roman" w:hAnsi="Times New Roman" w:cs="Times New Roman"/>
          <w:sz w:val="24"/>
          <w:szCs w:val="24"/>
          <w:lang w:val="en-US"/>
        </w:rPr>
        <w:t xml:space="preserve">fined as </w:t>
      </w:r>
      <w:r w:rsidR="00C25289" w:rsidRPr="009D043A">
        <w:rPr>
          <w:rFonts w:ascii="Times New Roman" w:hAnsi="Times New Roman" w:cs="Times New Roman"/>
          <w:sz w:val="24"/>
          <w:szCs w:val="24"/>
          <w:lang w:val="en-US"/>
        </w:rPr>
        <w:t xml:space="preserve">systemic event that affects a </w:t>
      </w:r>
      <w:r w:rsidR="009201FD" w:rsidRPr="009D043A">
        <w:rPr>
          <w:rFonts w:ascii="Times New Roman" w:hAnsi="Times New Roman" w:cs="Times New Roman"/>
          <w:sz w:val="24"/>
          <w:szCs w:val="24"/>
          <w:lang w:val="en-US"/>
        </w:rPr>
        <w:t>large</w:t>
      </w:r>
      <w:r w:rsidR="00C25289" w:rsidRPr="009D043A">
        <w:rPr>
          <w:rFonts w:ascii="Times New Roman" w:hAnsi="Times New Roman" w:cs="Times New Roman"/>
          <w:sz w:val="24"/>
          <w:szCs w:val="24"/>
          <w:lang w:val="en-US"/>
        </w:rPr>
        <w:t xml:space="preserve"> number of </w:t>
      </w:r>
      <w:r w:rsidR="00E77B75" w:rsidRPr="009D043A">
        <w:rPr>
          <w:rFonts w:ascii="Times New Roman" w:hAnsi="Times New Roman" w:cs="Times New Roman"/>
          <w:sz w:val="24"/>
          <w:szCs w:val="24"/>
          <w:lang w:val="en-US"/>
        </w:rPr>
        <w:t>fi</w:t>
      </w:r>
      <w:r w:rsidR="00C25289" w:rsidRPr="009D043A">
        <w:rPr>
          <w:rFonts w:ascii="Times New Roman" w:hAnsi="Times New Roman" w:cs="Times New Roman"/>
          <w:sz w:val="24"/>
          <w:szCs w:val="24"/>
          <w:lang w:val="en-US"/>
        </w:rPr>
        <w:t xml:space="preserve">nancial institutions or markets </w:t>
      </w:r>
      <w:r w:rsidR="00C24DFA" w:rsidRPr="009D043A">
        <w:rPr>
          <w:rFonts w:ascii="Times New Roman" w:hAnsi="Times New Roman" w:cs="Times New Roman"/>
          <w:sz w:val="24"/>
          <w:szCs w:val="24"/>
          <w:lang w:val="en-US"/>
        </w:rPr>
        <w:t>adversely</w:t>
      </w:r>
      <w:r w:rsidR="00C25289" w:rsidRPr="009D043A">
        <w:rPr>
          <w:rFonts w:ascii="Times New Roman" w:hAnsi="Times New Roman" w:cs="Times New Roman"/>
          <w:sz w:val="24"/>
          <w:szCs w:val="24"/>
          <w:lang w:val="en-US"/>
        </w:rPr>
        <w:t xml:space="preserve">, thereby severely impairing the functioning of the </w:t>
      </w:r>
      <w:r w:rsidR="00E77B75" w:rsidRPr="009D043A">
        <w:rPr>
          <w:rFonts w:ascii="Times New Roman" w:hAnsi="Times New Roman" w:cs="Times New Roman"/>
          <w:sz w:val="24"/>
          <w:szCs w:val="24"/>
          <w:lang w:val="en-US"/>
        </w:rPr>
        <w:t>fi</w:t>
      </w:r>
      <w:r w:rsidR="00C25289" w:rsidRPr="009D043A">
        <w:rPr>
          <w:rFonts w:ascii="Times New Roman" w:hAnsi="Times New Roman" w:cs="Times New Roman"/>
          <w:sz w:val="24"/>
          <w:szCs w:val="24"/>
          <w:lang w:val="en-US"/>
        </w:rPr>
        <w:t>nancial</w:t>
      </w:r>
      <w:r w:rsidR="00E77B75" w:rsidRPr="009D043A">
        <w:rPr>
          <w:rFonts w:ascii="Times New Roman" w:hAnsi="Times New Roman" w:cs="Times New Roman"/>
          <w:sz w:val="24"/>
          <w:szCs w:val="24"/>
          <w:lang w:val="en-US"/>
        </w:rPr>
        <w:t xml:space="preserve"> </w:t>
      </w:r>
      <w:r w:rsidR="00C25289" w:rsidRPr="009D043A">
        <w:rPr>
          <w:rFonts w:ascii="Times New Roman" w:hAnsi="Times New Roman" w:cs="Times New Roman"/>
          <w:sz w:val="24"/>
          <w:szCs w:val="24"/>
          <w:lang w:val="en-US"/>
        </w:rPr>
        <w:t>system</w:t>
      </w:r>
      <w:r w:rsidR="007C20C3" w:rsidRPr="009D043A">
        <w:rPr>
          <w:rFonts w:ascii="Times New Roman" w:hAnsi="Times New Roman" w:cs="Times New Roman"/>
          <w:sz w:val="24"/>
          <w:szCs w:val="24"/>
          <w:lang w:val="en-US"/>
        </w:rPr>
        <w:t xml:space="preserve"> </w:t>
      </w:r>
      <w:r w:rsidR="00E77B75" w:rsidRPr="009D043A">
        <w:rPr>
          <w:rFonts w:ascii="Times New Roman" w:hAnsi="Times New Roman" w:cs="Times New Roman"/>
          <w:sz w:val="24"/>
          <w:szCs w:val="24"/>
          <w:lang w:val="en-US"/>
        </w:rPr>
        <w:t xml:space="preserve">(De </w:t>
      </w:r>
      <w:proofErr w:type="spellStart"/>
      <w:r w:rsidR="00E77B75" w:rsidRPr="009D043A">
        <w:rPr>
          <w:rFonts w:ascii="Times New Roman" w:hAnsi="Times New Roman" w:cs="Times New Roman"/>
          <w:sz w:val="24"/>
          <w:szCs w:val="24"/>
          <w:lang w:val="en-US"/>
        </w:rPr>
        <w:t>Bandt</w:t>
      </w:r>
      <w:proofErr w:type="spellEnd"/>
      <w:r w:rsidR="00E77B75" w:rsidRPr="009D043A">
        <w:rPr>
          <w:rFonts w:ascii="Times New Roman" w:hAnsi="Times New Roman" w:cs="Times New Roman"/>
          <w:sz w:val="24"/>
          <w:szCs w:val="24"/>
          <w:lang w:val="en-US"/>
        </w:rPr>
        <w:t xml:space="preserve"> and Hartmann, 2000)</w:t>
      </w:r>
      <w:r w:rsidR="00C25289" w:rsidRPr="009D043A">
        <w:rPr>
          <w:rFonts w:ascii="Times New Roman" w:hAnsi="Times New Roman" w:cs="Times New Roman"/>
          <w:sz w:val="24"/>
          <w:szCs w:val="24"/>
          <w:lang w:val="en-US"/>
        </w:rPr>
        <w:t>.</w:t>
      </w:r>
      <w:r w:rsidR="007C20C3" w:rsidRPr="009D043A">
        <w:rPr>
          <w:rFonts w:ascii="Times New Roman" w:hAnsi="Times New Roman" w:cs="Times New Roman"/>
          <w:sz w:val="24"/>
          <w:szCs w:val="24"/>
          <w:lang w:val="en-US"/>
        </w:rPr>
        <w:t xml:space="preserve"> This paper </w:t>
      </w:r>
      <w:r w:rsidR="00830F3C" w:rsidRPr="009D043A">
        <w:rPr>
          <w:rFonts w:ascii="Times New Roman" w:hAnsi="Times New Roman" w:cs="Times New Roman"/>
          <w:sz w:val="24"/>
          <w:szCs w:val="24"/>
          <w:lang w:val="en-US"/>
        </w:rPr>
        <w:t xml:space="preserve">conceptually </w:t>
      </w:r>
      <w:r w:rsidR="007C20C3" w:rsidRPr="009D043A">
        <w:rPr>
          <w:rFonts w:ascii="Times New Roman" w:hAnsi="Times New Roman" w:cs="Times New Roman"/>
          <w:sz w:val="24"/>
          <w:szCs w:val="24"/>
          <w:lang w:val="en-US"/>
        </w:rPr>
        <w:t>agree</w:t>
      </w:r>
      <w:r w:rsidR="00830F3C" w:rsidRPr="009D043A">
        <w:rPr>
          <w:rFonts w:ascii="Times New Roman" w:hAnsi="Times New Roman" w:cs="Times New Roman"/>
          <w:sz w:val="24"/>
          <w:szCs w:val="24"/>
          <w:lang w:val="en-US"/>
        </w:rPr>
        <w:t>s</w:t>
      </w:r>
      <w:r w:rsidR="007C20C3" w:rsidRPr="009D043A">
        <w:rPr>
          <w:rFonts w:ascii="Times New Roman" w:hAnsi="Times New Roman" w:cs="Times New Roman"/>
          <w:sz w:val="24"/>
          <w:szCs w:val="24"/>
          <w:lang w:val="en-US"/>
        </w:rPr>
        <w:t xml:space="preserve"> to IMF in their definition of systemic risk as a risk of disruption to financial services that is caused by an impairment of all or parts of the financial system and has the potential to have serious negative consequences for the real economy</w:t>
      </w:r>
      <w:r w:rsidR="007C20C3" w:rsidRPr="009D043A">
        <w:rPr>
          <w:rStyle w:val="DipnotBavurusu"/>
          <w:rFonts w:ascii="Times New Roman" w:hAnsi="Times New Roman" w:cs="Times New Roman"/>
          <w:sz w:val="24"/>
          <w:szCs w:val="24"/>
          <w:lang w:val="en-US"/>
        </w:rPr>
        <w:footnoteReference w:id="1"/>
      </w:r>
      <w:r w:rsidR="007C20C3" w:rsidRPr="009D043A">
        <w:rPr>
          <w:rFonts w:ascii="Times New Roman" w:hAnsi="Times New Roman" w:cs="Times New Roman"/>
          <w:sz w:val="24"/>
          <w:szCs w:val="24"/>
          <w:lang w:val="en-US"/>
        </w:rPr>
        <w:t>.</w:t>
      </w:r>
    </w:p>
    <w:p w:rsidR="007C20C3" w:rsidRPr="009D043A" w:rsidRDefault="007C20C3" w:rsidP="009D043A">
      <w:pPr>
        <w:autoSpaceDE w:val="0"/>
        <w:autoSpaceDN w:val="0"/>
        <w:adjustRightInd w:val="0"/>
        <w:spacing w:after="0" w:line="240" w:lineRule="auto"/>
        <w:jc w:val="both"/>
        <w:rPr>
          <w:rFonts w:ascii="Times New Roman" w:hAnsi="Times New Roman" w:cs="Times New Roman"/>
          <w:sz w:val="24"/>
          <w:szCs w:val="24"/>
          <w:lang w:val="en-US"/>
        </w:rPr>
      </w:pPr>
    </w:p>
    <w:p w:rsidR="00571625" w:rsidRPr="009D043A" w:rsidRDefault="00C24DFA"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The systemic risk arise from t</w:t>
      </w:r>
      <w:r w:rsidR="00E121B6" w:rsidRPr="009D043A">
        <w:rPr>
          <w:rFonts w:ascii="Times New Roman" w:hAnsi="Times New Roman" w:cs="Times New Roman"/>
          <w:sz w:val="24"/>
          <w:szCs w:val="24"/>
          <w:lang w:val="en-US"/>
        </w:rPr>
        <w:t xml:space="preserve">hree interrelated features of the financial systems </w:t>
      </w:r>
      <w:r w:rsidRPr="009D043A">
        <w:rPr>
          <w:rFonts w:ascii="Times New Roman" w:hAnsi="Times New Roman" w:cs="Times New Roman"/>
          <w:sz w:val="24"/>
          <w:szCs w:val="24"/>
          <w:lang w:val="en-US"/>
        </w:rPr>
        <w:t>which are</w:t>
      </w:r>
      <w:r w:rsidR="00E121B6" w:rsidRPr="009D043A">
        <w:rPr>
          <w:rFonts w:ascii="Times New Roman" w:hAnsi="Times New Roman" w:cs="Times New Roman"/>
          <w:sz w:val="24"/>
          <w:szCs w:val="24"/>
          <w:lang w:val="en-US"/>
        </w:rPr>
        <w:t xml:space="preserve"> the structure of bank</w:t>
      </w:r>
      <w:r w:rsidRPr="009D043A">
        <w:rPr>
          <w:rFonts w:ascii="Times New Roman" w:hAnsi="Times New Roman" w:cs="Times New Roman"/>
          <w:sz w:val="24"/>
          <w:szCs w:val="24"/>
          <w:lang w:val="en-US"/>
        </w:rPr>
        <w:t>ing system</w:t>
      </w:r>
      <w:r w:rsidR="00E121B6" w:rsidRPr="009D043A">
        <w:rPr>
          <w:rFonts w:ascii="Times New Roman" w:hAnsi="Times New Roman" w:cs="Times New Roman"/>
          <w:sz w:val="24"/>
          <w:szCs w:val="24"/>
          <w:lang w:val="en-US"/>
        </w:rPr>
        <w:t>, the interconnection of the financial institutions through direct exposures and settlement systems and the information intensity of financial contracts and related credibility problems.</w:t>
      </w:r>
      <w:r w:rsidR="00370A05" w:rsidRPr="009D043A">
        <w:rPr>
          <w:rFonts w:ascii="Times New Roman" w:hAnsi="Times New Roman" w:cs="Times New Roman"/>
          <w:sz w:val="24"/>
          <w:szCs w:val="24"/>
          <w:lang w:val="en-US"/>
        </w:rPr>
        <w:t xml:space="preserve"> Formally, the Basel Committee on Bank Supervision </w:t>
      </w:r>
      <w:r w:rsidR="00645CDB" w:rsidRPr="009D043A">
        <w:rPr>
          <w:rFonts w:ascii="Times New Roman" w:hAnsi="Times New Roman" w:cs="Times New Roman"/>
          <w:sz w:val="24"/>
          <w:szCs w:val="24"/>
          <w:lang w:val="en-US"/>
        </w:rPr>
        <w:t xml:space="preserve">(BCBS) </w:t>
      </w:r>
      <w:r w:rsidR="00370A05" w:rsidRPr="009D043A">
        <w:rPr>
          <w:rFonts w:ascii="Times New Roman" w:hAnsi="Times New Roman" w:cs="Times New Roman"/>
          <w:sz w:val="24"/>
          <w:szCs w:val="24"/>
          <w:lang w:val="en-US"/>
        </w:rPr>
        <w:t xml:space="preserve">used </w:t>
      </w:r>
      <w:r w:rsidR="00151BD7" w:rsidRPr="009D043A">
        <w:rPr>
          <w:rFonts w:ascii="Times New Roman" w:hAnsi="Times New Roman" w:cs="Times New Roman"/>
          <w:sz w:val="24"/>
          <w:szCs w:val="24"/>
          <w:lang w:val="en-US"/>
        </w:rPr>
        <w:t>the banking criteria such as</w:t>
      </w:r>
      <w:r w:rsidR="00370A05" w:rsidRPr="009D043A">
        <w:rPr>
          <w:rFonts w:ascii="Times New Roman" w:hAnsi="Times New Roman" w:cs="Times New Roman"/>
          <w:sz w:val="24"/>
          <w:szCs w:val="24"/>
          <w:lang w:val="en-US"/>
        </w:rPr>
        <w:t xml:space="preserve"> size,</w:t>
      </w:r>
      <w:r w:rsidR="00151BD7" w:rsidRPr="009D043A">
        <w:rPr>
          <w:rFonts w:ascii="Times New Roman" w:hAnsi="Times New Roman" w:cs="Times New Roman"/>
          <w:sz w:val="24"/>
          <w:szCs w:val="24"/>
          <w:lang w:val="en-US"/>
        </w:rPr>
        <w:t xml:space="preserve"> </w:t>
      </w:r>
      <w:r w:rsidR="00370A05" w:rsidRPr="009D043A">
        <w:rPr>
          <w:rFonts w:ascii="Times New Roman" w:hAnsi="Times New Roman" w:cs="Times New Roman"/>
          <w:sz w:val="24"/>
          <w:szCs w:val="24"/>
          <w:lang w:val="en-US"/>
        </w:rPr>
        <w:t>interconnectedness,</w:t>
      </w:r>
      <w:r w:rsidR="00151BD7" w:rsidRPr="009D043A">
        <w:rPr>
          <w:rFonts w:ascii="Times New Roman" w:hAnsi="Times New Roman" w:cs="Times New Roman"/>
          <w:sz w:val="24"/>
          <w:szCs w:val="24"/>
          <w:lang w:val="en-US"/>
        </w:rPr>
        <w:t xml:space="preserve"> </w:t>
      </w:r>
      <w:r w:rsidR="005817D4" w:rsidRPr="009D043A">
        <w:rPr>
          <w:rFonts w:ascii="Times New Roman" w:hAnsi="Times New Roman" w:cs="Times New Roman"/>
          <w:sz w:val="24"/>
          <w:szCs w:val="24"/>
          <w:lang w:val="en-US"/>
        </w:rPr>
        <w:t>and lack</w:t>
      </w:r>
      <w:r w:rsidR="00370A05" w:rsidRPr="009D043A">
        <w:rPr>
          <w:rFonts w:ascii="Times New Roman" w:hAnsi="Times New Roman" w:cs="Times New Roman"/>
          <w:sz w:val="24"/>
          <w:szCs w:val="24"/>
          <w:lang w:val="en-US"/>
        </w:rPr>
        <w:t xml:space="preserve"> of readily available substitutes, cross-jurisdictional activity and complexity</w:t>
      </w:r>
      <w:r w:rsidR="00151BD7" w:rsidRPr="009D043A">
        <w:rPr>
          <w:rFonts w:ascii="Times New Roman" w:hAnsi="Times New Roman" w:cs="Times New Roman"/>
          <w:sz w:val="24"/>
          <w:szCs w:val="24"/>
          <w:lang w:val="en-US"/>
        </w:rPr>
        <w:t xml:space="preserve"> </w:t>
      </w:r>
      <w:r w:rsidR="00370A05" w:rsidRPr="009D043A">
        <w:rPr>
          <w:rFonts w:ascii="Times New Roman" w:hAnsi="Times New Roman" w:cs="Times New Roman"/>
          <w:sz w:val="24"/>
          <w:szCs w:val="24"/>
          <w:lang w:val="en-US"/>
        </w:rPr>
        <w:t>of the bank</w:t>
      </w:r>
      <w:r w:rsidR="00151BD7" w:rsidRPr="009D043A">
        <w:rPr>
          <w:rFonts w:ascii="Times New Roman" w:hAnsi="Times New Roman" w:cs="Times New Roman"/>
          <w:sz w:val="24"/>
          <w:szCs w:val="24"/>
          <w:lang w:val="en-US"/>
        </w:rPr>
        <w:t xml:space="preserve"> activities </w:t>
      </w:r>
      <w:r w:rsidR="00370A05" w:rsidRPr="009D043A">
        <w:rPr>
          <w:rFonts w:ascii="Times New Roman" w:hAnsi="Times New Roman" w:cs="Times New Roman"/>
          <w:sz w:val="24"/>
          <w:szCs w:val="24"/>
          <w:lang w:val="en-US"/>
        </w:rPr>
        <w:t xml:space="preserve">in order to determine the </w:t>
      </w:r>
      <w:r w:rsidR="00151BD7" w:rsidRPr="009D043A">
        <w:rPr>
          <w:rFonts w:ascii="Times New Roman" w:hAnsi="Times New Roman" w:cs="Times New Roman"/>
          <w:sz w:val="24"/>
          <w:szCs w:val="24"/>
          <w:lang w:val="en-US"/>
        </w:rPr>
        <w:t>potential banks</w:t>
      </w:r>
      <w:r w:rsidR="003C0E6E" w:rsidRPr="009D043A">
        <w:rPr>
          <w:rFonts w:ascii="Times New Roman" w:hAnsi="Times New Roman" w:cs="Times New Roman"/>
          <w:sz w:val="24"/>
          <w:szCs w:val="24"/>
          <w:lang w:val="en-US"/>
        </w:rPr>
        <w:t>,</w:t>
      </w:r>
      <w:r w:rsidR="00151BD7" w:rsidRPr="009D043A">
        <w:rPr>
          <w:rFonts w:ascii="Times New Roman" w:hAnsi="Times New Roman" w:cs="Times New Roman"/>
          <w:sz w:val="24"/>
          <w:szCs w:val="24"/>
          <w:lang w:val="en-US"/>
        </w:rPr>
        <w:t xml:space="preserve"> the possible failures of which can crea</w:t>
      </w:r>
      <w:r w:rsidR="00C63659" w:rsidRPr="009D043A">
        <w:rPr>
          <w:rFonts w:ascii="Times New Roman" w:hAnsi="Times New Roman" w:cs="Times New Roman"/>
          <w:sz w:val="24"/>
          <w:szCs w:val="24"/>
          <w:lang w:val="en-US"/>
        </w:rPr>
        <w:t>t</w:t>
      </w:r>
      <w:r w:rsidR="00151BD7" w:rsidRPr="009D043A">
        <w:rPr>
          <w:rFonts w:ascii="Times New Roman" w:hAnsi="Times New Roman" w:cs="Times New Roman"/>
          <w:sz w:val="24"/>
          <w:szCs w:val="24"/>
          <w:lang w:val="en-US"/>
        </w:rPr>
        <w:t>e vulnerability in the financial system (BCBS, 2011).</w:t>
      </w:r>
      <w:r w:rsidR="00C63659" w:rsidRPr="009D043A">
        <w:rPr>
          <w:rFonts w:ascii="Times New Roman" w:hAnsi="Times New Roman" w:cs="Times New Roman"/>
          <w:sz w:val="24"/>
          <w:szCs w:val="24"/>
          <w:lang w:val="en-US"/>
        </w:rPr>
        <w:t xml:space="preserve"> This approach formulates </w:t>
      </w:r>
      <w:r w:rsidR="00AD5070" w:rsidRPr="009D043A">
        <w:rPr>
          <w:rFonts w:ascii="Times New Roman" w:hAnsi="Times New Roman" w:cs="Times New Roman"/>
          <w:sz w:val="24"/>
          <w:szCs w:val="24"/>
          <w:lang w:val="en-US"/>
        </w:rPr>
        <w:t>the theories that proposes large and complex banks contribute to the systemic risk</w:t>
      </w:r>
      <w:r w:rsidR="00E43041" w:rsidRPr="009D043A">
        <w:rPr>
          <w:rFonts w:ascii="Times New Roman" w:hAnsi="Times New Roman" w:cs="Times New Roman"/>
          <w:sz w:val="24"/>
          <w:szCs w:val="24"/>
          <w:lang w:val="en-US"/>
        </w:rPr>
        <w:t xml:space="preserve">. </w:t>
      </w:r>
      <w:r w:rsidR="003B3F75" w:rsidRPr="009D043A">
        <w:rPr>
          <w:rFonts w:ascii="Times New Roman" w:hAnsi="Times New Roman" w:cs="Times New Roman"/>
          <w:sz w:val="24"/>
          <w:szCs w:val="24"/>
          <w:lang w:val="en-US"/>
        </w:rPr>
        <w:t xml:space="preserve">The unstable banking hypothesis </w:t>
      </w:r>
      <w:r w:rsidR="007B4594" w:rsidRPr="009D043A">
        <w:rPr>
          <w:rFonts w:ascii="Times New Roman" w:hAnsi="Times New Roman" w:cs="Times New Roman"/>
          <w:sz w:val="24"/>
          <w:szCs w:val="24"/>
          <w:lang w:val="en-US"/>
        </w:rPr>
        <w:t xml:space="preserve">stipulates </w:t>
      </w:r>
      <w:r w:rsidR="003B3F75" w:rsidRPr="009D043A">
        <w:rPr>
          <w:rFonts w:ascii="Times New Roman" w:hAnsi="Times New Roman" w:cs="Times New Roman"/>
          <w:sz w:val="24"/>
          <w:szCs w:val="24"/>
          <w:lang w:val="en-US"/>
        </w:rPr>
        <w:t>that large banks have a greater tendency to expose to more risky investments funded by relatively shorter borrowings</w:t>
      </w:r>
      <w:r w:rsidR="007B4594" w:rsidRPr="009D043A">
        <w:rPr>
          <w:rFonts w:ascii="Times New Roman" w:hAnsi="Times New Roman" w:cs="Times New Roman"/>
          <w:sz w:val="24"/>
          <w:szCs w:val="24"/>
          <w:lang w:val="en-US"/>
        </w:rPr>
        <w:t>, thus creating more severe systemic liquidity risk for the whole system</w:t>
      </w:r>
      <w:r w:rsidR="008428CC" w:rsidRPr="009D043A">
        <w:rPr>
          <w:rFonts w:ascii="Times New Roman" w:hAnsi="Times New Roman" w:cs="Times New Roman"/>
          <w:sz w:val="24"/>
          <w:szCs w:val="24"/>
          <w:lang w:val="en-US"/>
        </w:rPr>
        <w:t xml:space="preserve"> (Shleifer and </w:t>
      </w:r>
      <w:proofErr w:type="spellStart"/>
      <w:r w:rsidR="008428CC" w:rsidRPr="009D043A">
        <w:rPr>
          <w:rFonts w:ascii="Times New Roman" w:hAnsi="Times New Roman" w:cs="Times New Roman"/>
          <w:sz w:val="24"/>
          <w:szCs w:val="24"/>
          <w:lang w:val="en-US"/>
        </w:rPr>
        <w:t>Vishny</w:t>
      </w:r>
      <w:proofErr w:type="spellEnd"/>
      <w:r w:rsidR="008428CC" w:rsidRPr="009D043A">
        <w:rPr>
          <w:rFonts w:ascii="Times New Roman" w:hAnsi="Times New Roman" w:cs="Times New Roman"/>
          <w:sz w:val="24"/>
          <w:szCs w:val="24"/>
          <w:lang w:val="en-US"/>
        </w:rPr>
        <w:t xml:space="preserve">, </w:t>
      </w:r>
      <w:r w:rsidR="008428CC" w:rsidRPr="009D043A">
        <w:rPr>
          <w:rFonts w:ascii="Times New Roman" w:hAnsi="Times New Roman" w:cs="Times New Roman"/>
          <w:sz w:val="24"/>
          <w:szCs w:val="24"/>
          <w:lang w:val="en-US"/>
        </w:rPr>
        <w:lastRenderedPageBreak/>
        <w:t xml:space="preserve">2010; </w:t>
      </w:r>
      <w:proofErr w:type="spellStart"/>
      <w:r w:rsidR="008428CC" w:rsidRPr="009D043A">
        <w:rPr>
          <w:rFonts w:ascii="Times New Roman" w:hAnsi="Times New Roman" w:cs="Times New Roman"/>
          <w:sz w:val="24"/>
          <w:szCs w:val="24"/>
          <w:lang w:val="en-US"/>
        </w:rPr>
        <w:t>Gennaioli</w:t>
      </w:r>
      <w:proofErr w:type="spellEnd"/>
      <w:r w:rsidR="008428CC" w:rsidRPr="009D043A">
        <w:rPr>
          <w:rFonts w:ascii="Times New Roman" w:hAnsi="Times New Roman" w:cs="Times New Roman"/>
          <w:sz w:val="24"/>
          <w:szCs w:val="24"/>
          <w:lang w:val="en-US"/>
        </w:rPr>
        <w:t xml:space="preserve"> et al.,2013). </w:t>
      </w:r>
      <w:r w:rsidR="00023BCC" w:rsidRPr="009D043A">
        <w:rPr>
          <w:rFonts w:ascii="Times New Roman" w:hAnsi="Times New Roman" w:cs="Times New Roman"/>
          <w:sz w:val="24"/>
          <w:szCs w:val="24"/>
          <w:lang w:val="en-US"/>
        </w:rPr>
        <w:t>Too-big-to-fail hypothesis proposes the reluctanc</w:t>
      </w:r>
      <w:r w:rsidR="00C1124B" w:rsidRPr="009D043A">
        <w:rPr>
          <w:rFonts w:ascii="Times New Roman" w:hAnsi="Times New Roman" w:cs="Times New Roman"/>
          <w:sz w:val="24"/>
          <w:szCs w:val="24"/>
          <w:lang w:val="en-US"/>
        </w:rPr>
        <w:t>e</w:t>
      </w:r>
      <w:r w:rsidR="00023BCC" w:rsidRPr="009D043A">
        <w:rPr>
          <w:rFonts w:ascii="Times New Roman" w:hAnsi="Times New Roman" w:cs="Times New Roman"/>
          <w:sz w:val="24"/>
          <w:szCs w:val="24"/>
          <w:lang w:val="en-US"/>
        </w:rPr>
        <w:t xml:space="preserve"> of the regulators to take action against </w:t>
      </w:r>
      <w:r w:rsidR="0022492D" w:rsidRPr="009D043A">
        <w:rPr>
          <w:rFonts w:ascii="Times New Roman" w:hAnsi="Times New Roman" w:cs="Times New Roman"/>
          <w:sz w:val="24"/>
          <w:szCs w:val="24"/>
          <w:lang w:val="en-US"/>
        </w:rPr>
        <w:t>large banks in order not to adversely affect the whole market. Such an approach of regulators motivates larger banks to take on excessive risks in the expectation of bailouts.</w:t>
      </w:r>
      <w:r w:rsidR="005D7968" w:rsidRPr="009D043A">
        <w:rPr>
          <w:rFonts w:ascii="Times New Roman" w:hAnsi="Times New Roman" w:cs="Times New Roman"/>
          <w:sz w:val="24"/>
          <w:szCs w:val="24"/>
          <w:lang w:val="en-US"/>
        </w:rPr>
        <w:t xml:space="preserve"> Another theory is based on the agency cost hypothesis proposing that agency problems increases as the banks gets larger in terms of activities which creates counter exposures</w:t>
      </w:r>
      <w:r w:rsidR="00571625" w:rsidRPr="009D043A">
        <w:rPr>
          <w:rFonts w:ascii="Times New Roman" w:hAnsi="Times New Roman" w:cs="Times New Roman"/>
          <w:sz w:val="24"/>
          <w:szCs w:val="24"/>
          <w:lang w:val="en-US"/>
        </w:rPr>
        <w:t xml:space="preserve"> leading drivers of systemic risk</w:t>
      </w:r>
      <w:r w:rsidR="00C869C0" w:rsidRPr="009D043A">
        <w:rPr>
          <w:rFonts w:ascii="Times New Roman" w:hAnsi="Times New Roman" w:cs="Times New Roman"/>
          <w:sz w:val="24"/>
          <w:szCs w:val="24"/>
          <w:lang w:val="en-US"/>
        </w:rPr>
        <w:t>.</w:t>
      </w:r>
    </w:p>
    <w:p w:rsidR="0068224E" w:rsidRPr="009D043A" w:rsidRDefault="0068224E" w:rsidP="009D043A">
      <w:pPr>
        <w:autoSpaceDE w:val="0"/>
        <w:autoSpaceDN w:val="0"/>
        <w:adjustRightInd w:val="0"/>
        <w:spacing w:after="0" w:line="240" w:lineRule="auto"/>
        <w:jc w:val="both"/>
        <w:rPr>
          <w:rFonts w:ascii="Times New Roman" w:hAnsi="Times New Roman" w:cs="Times New Roman"/>
          <w:sz w:val="24"/>
          <w:szCs w:val="24"/>
          <w:lang w:val="en-US"/>
        </w:rPr>
      </w:pPr>
    </w:p>
    <w:p w:rsidR="0068224E" w:rsidRPr="009D043A" w:rsidRDefault="0068224E"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This study contributes to literature by being the one of the rare analysis of Turkish banking system in terms of diversification and systemic risk. The diversification of Turkish banks are generally analyzed in relation with bank performance (</w:t>
      </w:r>
      <w:proofErr w:type="spellStart"/>
      <w:r w:rsidRPr="009D043A">
        <w:rPr>
          <w:rFonts w:ascii="Times New Roman" w:hAnsi="Times New Roman" w:cs="Times New Roman"/>
          <w:sz w:val="24"/>
          <w:szCs w:val="24"/>
          <w:lang w:val="en-US"/>
        </w:rPr>
        <w:t>Gurbuz</w:t>
      </w:r>
      <w:proofErr w:type="spellEnd"/>
      <w:r w:rsidRPr="009D043A">
        <w:rPr>
          <w:rFonts w:ascii="Times New Roman" w:hAnsi="Times New Roman" w:cs="Times New Roman"/>
          <w:sz w:val="24"/>
          <w:szCs w:val="24"/>
          <w:lang w:val="en-US"/>
        </w:rPr>
        <w:t xml:space="preserve"> </w:t>
      </w:r>
      <w:proofErr w:type="gramStart"/>
      <w:r w:rsidRPr="009D043A">
        <w:rPr>
          <w:rFonts w:ascii="Times New Roman" w:hAnsi="Times New Roman" w:cs="Times New Roman"/>
          <w:sz w:val="24"/>
          <w:szCs w:val="24"/>
          <w:lang w:val="en-US"/>
        </w:rPr>
        <w:t>et.al.,</w:t>
      </w:r>
      <w:proofErr w:type="gramEnd"/>
      <w:r w:rsidRPr="009D043A">
        <w:rPr>
          <w:rFonts w:ascii="Times New Roman" w:hAnsi="Times New Roman" w:cs="Times New Roman"/>
          <w:sz w:val="24"/>
          <w:szCs w:val="24"/>
          <w:lang w:val="en-US"/>
        </w:rPr>
        <w:t xml:space="preserve"> 2013, Turkmen and </w:t>
      </w:r>
      <w:proofErr w:type="spellStart"/>
      <w:r w:rsidRPr="009D043A">
        <w:rPr>
          <w:rFonts w:ascii="Times New Roman" w:hAnsi="Times New Roman" w:cs="Times New Roman"/>
          <w:sz w:val="24"/>
          <w:szCs w:val="24"/>
          <w:lang w:val="en-US"/>
        </w:rPr>
        <w:t>Yigit</w:t>
      </w:r>
      <w:proofErr w:type="spellEnd"/>
      <w:r w:rsidRPr="009D043A">
        <w:rPr>
          <w:rFonts w:ascii="Times New Roman" w:hAnsi="Times New Roman" w:cs="Times New Roman"/>
          <w:sz w:val="24"/>
          <w:szCs w:val="24"/>
          <w:lang w:val="en-US"/>
        </w:rPr>
        <w:t>, 2012). The studies on systemic risk in Turkish financial system are also very limited and generally use other banking sector related variables such as stock market return co</w:t>
      </w:r>
      <w:r w:rsidR="00C869C0"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movement (</w:t>
      </w:r>
      <w:proofErr w:type="spellStart"/>
      <w:r w:rsidRPr="009D043A">
        <w:rPr>
          <w:rFonts w:ascii="Times New Roman" w:hAnsi="Times New Roman" w:cs="Times New Roman"/>
          <w:sz w:val="24"/>
          <w:szCs w:val="24"/>
          <w:lang w:val="en-US"/>
        </w:rPr>
        <w:t>Binici</w:t>
      </w:r>
      <w:proofErr w:type="spellEnd"/>
      <w:r w:rsidRPr="009D043A">
        <w:rPr>
          <w:rFonts w:ascii="Times New Roman" w:hAnsi="Times New Roman" w:cs="Times New Roman"/>
          <w:sz w:val="24"/>
          <w:szCs w:val="24"/>
          <w:lang w:val="en-US"/>
        </w:rPr>
        <w:t>, 2013) and network centrality (</w:t>
      </w:r>
      <w:proofErr w:type="spellStart"/>
      <w:r w:rsidRPr="009D043A">
        <w:rPr>
          <w:rFonts w:ascii="Times New Roman" w:hAnsi="Times New Roman" w:cs="Times New Roman"/>
          <w:sz w:val="24"/>
          <w:szCs w:val="24"/>
          <w:lang w:val="en-US"/>
        </w:rPr>
        <w:t>Kuzubas</w:t>
      </w:r>
      <w:proofErr w:type="spellEnd"/>
      <w:r w:rsidRPr="009D043A">
        <w:rPr>
          <w:rFonts w:ascii="Times New Roman" w:hAnsi="Times New Roman" w:cs="Times New Roman"/>
          <w:sz w:val="24"/>
          <w:szCs w:val="24"/>
          <w:lang w:val="en-US"/>
        </w:rPr>
        <w:t xml:space="preserve"> et.al, 2014). </w:t>
      </w:r>
      <w:r w:rsidR="00DC4274" w:rsidRPr="009D043A">
        <w:rPr>
          <w:rFonts w:ascii="Times New Roman" w:hAnsi="Times New Roman" w:cs="Times New Roman"/>
          <w:sz w:val="24"/>
          <w:szCs w:val="24"/>
          <w:lang w:val="en-US"/>
        </w:rPr>
        <w:t>For our knowledge, t</w:t>
      </w:r>
      <w:r w:rsidRPr="009D043A">
        <w:rPr>
          <w:rFonts w:ascii="Times New Roman" w:hAnsi="Times New Roman" w:cs="Times New Roman"/>
          <w:sz w:val="24"/>
          <w:szCs w:val="24"/>
          <w:lang w:val="en-US"/>
        </w:rPr>
        <w:t xml:space="preserve">he only analysis revealing the systemic risk generated by individual Turkish banks belongs to </w:t>
      </w:r>
      <w:proofErr w:type="spellStart"/>
      <w:r w:rsidRPr="009D043A">
        <w:rPr>
          <w:rFonts w:ascii="Times New Roman" w:hAnsi="Times New Roman" w:cs="Times New Roman"/>
          <w:sz w:val="24"/>
          <w:szCs w:val="24"/>
          <w:lang w:val="en-US"/>
        </w:rPr>
        <w:t>Akkoyun</w:t>
      </w:r>
      <w:proofErr w:type="spellEnd"/>
      <w:r w:rsidRPr="009D043A">
        <w:rPr>
          <w:rFonts w:ascii="Times New Roman" w:hAnsi="Times New Roman" w:cs="Times New Roman"/>
          <w:sz w:val="24"/>
          <w:szCs w:val="24"/>
          <w:lang w:val="en-US"/>
        </w:rPr>
        <w:t xml:space="preserve"> et.al</w:t>
      </w:r>
      <w:proofErr w:type="gramStart"/>
      <w:r w:rsidRPr="009D043A">
        <w:rPr>
          <w:rFonts w:ascii="Times New Roman" w:hAnsi="Times New Roman" w:cs="Times New Roman"/>
          <w:sz w:val="24"/>
          <w:szCs w:val="24"/>
          <w:lang w:val="en-US"/>
        </w:rPr>
        <w:t>.(</w:t>
      </w:r>
      <w:proofErr w:type="gramEnd"/>
      <w:r w:rsidRPr="009D043A">
        <w:rPr>
          <w:rFonts w:ascii="Times New Roman" w:hAnsi="Times New Roman" w:cs="Times New Roman"/>
          <w:sz w:val="24"/>
          <w:szCs w:val="24"/>
          <w:lang w:val="en-US"/>
        </w:rPr>
        <w:t xml:space="preserve">2013) </w:t>
      </w:r>
      <w:r w:rsidR="00DC4274" w:rsidRPr="009D043A">
        <w:rPr>
          <w:rFonts w:ascii="Times New Roman" w:hAnsi="Times New Roman" w:cs="Times New Roman"/>
          <w:sz w:val="24"/>
          <w:szCs w:val="24"/>
          <w:lang w:val="en-US"/>
        </w:rPr>
        <w:t xml:space="preserve">who </w:t>
      </w:r>
      <w:r w:rsidRPr="009D043A">
        <w:rPr>
          <w:rFonts w:ascii="Times New Roman" w:hAnsi="Times New Roman" w:cs="Times New Roman"/>
          <w:sz w:val="24"/>
          <w:szCs w:val="24"/>
          <w:lang w:val="en-US"/>
        </w:rPr>
        <w:t>realized for Central Bank of Turkey. From a portfolio perspective and by using contingent claims analysis and Shapley values, they assessed the systemic importance of each bank according to its marginal contribution to the calculated system wide risk measure and proposed that since the crisis times of 2002, Turkish banking sector eliminated the idiosyncratic shocks within the system.</w:t>
      </w:r>
    </w:p>
    <w:p w:rsidR="0068224E" w:rsidRPr="009D043A" w:rsidRDefault="0068224E" w:rsidP="009D043A">
      <w:pPr>
        <w:autoSpaceDE w:val="0"/>
        <w:autoSpaceDN w:val="0"/>
        <w:adjustRightInd w:val="0"/>
        <w:spacing w:after="0" w:line="240" w:lineRule="auto"/>
        <w:jc w:val="both"/>
        <w:rPr>
          <w:rFonts w:ascii="Times New Roman" w:hAnsi="Times New Roman" w:cs="Times New Roman"/>
          <w:sz w:val="24"/>
          <w:szCs w:val="24"/>
          <w:lang w:val="en-US"/>
        </w:rPr>
      </w:pPr>
    </w:p>
    <w:p w:rsidR="00523C74" w:rsidRPr="009D043A" w:rsidRDefault="00523C74" w:rsidP="009D043A">
      <w:pPr>
        <w:autoSpaceDE w:val="0"/>
        <w:autoSpaceDN w:val="0"/>
        <w:adjustRightInd w:val="0"/>
        <w:spacing w:after="0" w:line="240" w:lineRule="auto"/>
        <w:jc w:val="both"/>
        <w:rPr>
          <w:rFonts w:ascii="Times New Roman" w:hAnsi="Times New Roman" w:cs="Times New Roman"/>
          <w:sz w:val="24"/>
          <w:szCs w:val="24"/>
          <w:lang w:val="en-US"/>
        </w:rPr>
      </w:pPr>
    </w:p>
    <w:p w:rsidR="00DC4274" w:rsidRPr="009D043A" w:rsidRDefault="00DC4274" w:rsidP="009D043A">
      <w:pPr>
        <w:autoSpaceDE w:val="0"/>
        <w:autoSpaceDN w:val="0"/>
        <w:adjustRightInd w:val="0"/>
        <w:spacing w:after="0" w:line="240" w:lineRule="auto"/>
        <w:jc w:val="both"/>
        <w:rPr>
          <w:rFonts w:ascii="Times New Roman" w:hAnsi="Times New Roman" w:cs="Times New Roman"/>
          <w:sz w:val="24"/>
          <w:szCs w:val="24"/>
          <w:lang w:val="en-US"/>
        </w:rPr>
      </w:pPr>
    </w:p>
    <w:p w:rsidR="00523C74" w:rsidRPr="009D043A" w:rsidRDefault="00523C74"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Literature</w:t>
      </w:r>
    </w:p>
    <w:p w:rsidR="002C14EC" w:rsidRPr="009D043A" w:rsidRDefault="002C14EC" w:rsidP="009D043A">
      <w:pPr>
        <w:autoSpaceDE w:val="0"/>
        <w:autoSpaceDN w:val="0"/>
        <w:adjustRightInd w:val="0"/>
        <w:spacing w:after="0" w:line="240" w:lineRule="auto"/>
        <w:jc w:val="both"/>
        <w:rPr>
          <w:rFonts w:ascii="Times New Roman" w:hAnsi="Times New Roman" w:cs="Times New Roman"/>
          <w:b/>
          <w:sz w:val="24"/>
          <w:szCs w:val="24"/>
          <w:lang w:val="en-US"/>
        </w:rPr>
      </w:pPr>
    </w:p>
    <w:p w:rsidR="00D87ACA" w:rsidRPr="009D043A" w:rsidRDefault="002C14EC"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Federal Deposit Insurance Corporate Improvement Act of 1991 in US was the first occasion whereby the systemic risk was referred and a big bulk of research has been realized</w:t>
      </w:r>
      <w:r w:rsidR="00DC4274" w:rsidRPr="009D043A">
        <w:rPr>
          <w:rFonts w:ascii="Times New Roman" w:hAnsi="Times New Roman" w:cs="Times New Roman"/>
          <w:sz w:val="24"/>
          <w:szCs w:val="24"/>
          <w:lang w:val="en-US"/>
        </w:rPr>
        <w:t xml:space="preserve"> thereafter</w:t>
      </w:r>
      <w:r w:rsidRPr="009D043A">
        <w:rPr>
          <w:rFonts w:ascii="Times New Roman" w:hAnsi="Times New Roman" w:cs="Times New Roman"/>
          <w:sz w:val="24"/>
          <w:szCs w:val="24"/>
          <w:lang w:val="en-US"/>
        </w:rPr>
        <w:t xml:space="preserve">. </w:t>
      </w:r>
      <w:r w:rsidR="00C904B5" w:rsidRPr="009D043A">
        <w:rPr>
          <w:rFonts w:ascii="Times New Roman" w:hAnsi="Times New Roman" w:cs="Times New Roman"/>
          <w:sz w:val="24"/>
          <w:szCs w:val="24"/>
          <w:lang w:val="en-US"/>
        </w:rPr>
        <w:t>Each of the researchers has made its own definition of systemic risk (Bartholomew and Whalen, 1995; Goldstein,</w:t>
      </w:r>
      <w:r w:rsidR="00934B60" w:rsidRPr="009D043A">
        <w:rPr>
          <w:rFonts w:ascii="Times New Roman" w:hAnsi="Times New Roman" w:cs="Times New Roman"/>
          <w:sz w:val="24"/>
          <w:szCs w:val="24"/>
          <w:lang w:val="en-US"/>
        </w:rPr>
        <w:t xml:space="preserve"> </w:t>
      </w:r>
      <w:r w:rsidR="00C904B5" w:rsidRPr="009D043A">
        <w:rPr>
          <w:rFonts w:ascii="Times New Roman" w:hAnsi="Times New Roman" w:cs="Times New Roman"/>
          <w:sz w:val="24"/>
          <w:szCs w:val="24"/>
          <w:lang w:val="en-US"/>
        </w:rPr>
        <w:t xml:space="preserve">1995; Kaufman, 1995). However, it is agreed that systemic risk is associated with the likelihood of experiencing a systemic failure of the financial system that is triggered by a strong systemic event which severely and negatively impacts the financial markets and the </w:t>
      </w:r>
      <w:r w:rsidR="00111FE6" w:rsidRPr="009D043A">
        <w:rPr>
          <w:rFonts w:ascii="Times New Roman" w:hAnsi="Times New Roman" w:cs="Times New Roman"/>
          <w:sz w:val="24"/>
          <w:szCs w:val="24"/>
          <w:lang w:val="en-US"/>
        </w:rPr>
        <w:t xml:space="preserve">whole </w:t>
      </w:r>
      <w:r w:rsidR="00C904B5" w:rsidRPr="009D043A">
        <w:rPr>
          <w:rFonts w:ascii="Times New Roman" w:hAnsi="Times New Roman" w:cs="Times New Roman"/>
          <w:sz w:val="24"/>
          <w:szCs w:val="24"/>
          <w:lang w:val="en-US"/>
        </w:rPr>
        <w:t>economy (</w:t>
      </w:r>
      <w:proofErr w:type="spellStart"/>
      <w:r w:rsidR="00C904B5" w:rsidRPr="009D043A">
        <w:rPr>
          <w:rFonts w:ascii="Times New Roman" w:hAnsi="Times New Roman" w:cs="Times New Roman"/>
          <w:sz w:val="24"/>
          <w:szCs w:val="24"/>
          <w:lang w:val="en-US"/>
        </w:rPr>
        <w:t>Patro</w:t>
      </w:r>
      <w:proofErr w:type="spellEnd"/>
      <w:r w:rsidR="00C904B5" w:rsidRPr="009D043A">
        <w:rPr>
          <w:rFonts w:ascii="Times New Roman" w:hAnsi="Times New Roman" w:cs="Times New Roman"/>
          <w:sz w:val="24"/>
          <w:szCs w:val="24"/>
          <w:lang w:val="en-US"/>
        </w:rPr>
        <w:t xml:space="preserve"> </w:t>
      </w:r>
      <w:proofErr w:type="gramStart"/>
      <w:r w:rsidR="00C904B5" w:rsidRPr="009D043A">
        <w:rPr>
          <w:rFonts w:ascii="Times New Roman" w:hAnsi="Times New Roman" w:cs="Times New Roman"/>
          <w:sz w:val="24"/>
          <w:szCs w:val="24"/>
          <w:lang w:val="en-US"/>
        </w:rPr>
        <w:t>et.al.,</w:t>
      </w:r>
      <w:proofErr w:type="gramEnd"/>
      <w:r w:rsidR="00C904B5" w:rsidRPr="009D043A">
        <w:rPr>
          <w:rFonts w:ascii="Times New Roman" w:hAnsi="Times New Roman" w:cs="Times New Roman"/>
          <w:sz w:val="24"/>
          <w:szCs w:val="24"/>
          <w:lang w:val="en-US"/>
        </w:rPr>
        <w:t xml:space="preserve"> 2012).</w:t>
      </w:r>
      <w:r w:rsidR="008353E5" w:rsidRPr="009D043A">
        <w:rPr>
          <w:rFonts w:ascii="Times New Roman" w:hAnsi="Times New Roman" w:cs="Times New Roman"/>
          <w:sz w:val="24"/>
          <w:szCs w:val="24"/>
          <w:lang w:val="en-US"/>
        </w:rPr>
        <w:t xml:space="preserve"> </w:t>
      </w:r>
      <w:r w:rsidR="00523C74" w:rsidRPr="009D043A">
        <w:rPr>
          <w:rFonts w:ascii="Times New Roman" w:hAnsi="Times New Roman" w:cs="Times New Roman"/>
          <w:sz w:val="24"/>
          <w:szCs w:val="24"/>
          <w:lang w:val="en-US"/>
        </w:rPr>
        <w:t>It is a fact that the literature on systemic risk has been build up after the global financial crisis that</w:t>
      </w:r>
      <w:r w:rsidR="00645CDB" w:rsidRPr="009D043A">
        <w:rPr>
          <w:rFonts w:ascii="Times New Roman" w:hAnsi="Times New Roman" w:cs="Times New Roman"/>
          <w:sz w:val="24"/>
          <w:szCs w:val="24"/>
          <w:lang w:val="en-US"/>
        </w:rPr>
        <w:t xml:space="preserve"> </w:t>
      </w:r>
      <w:r w:rsidR="00523C74" w:rsidRPr="009D043A">
        <w:rPr>
          <w:rFonts w:ascii="Times New Roman" w:hAnsi="Times New Roman" w:cs="Times New Roman"/>
          <w:sz w:val="24"/>
          <w:szCs w:val="24"/>
          <w:lang w:val="en-US"/>
        </w:rPr>
        <w:t>started in 2007.</w:t>
      </w:r>
      <w:r w:rsidR="008353E5" w:rsidRPr="009D043A">
        <w:rPr>
          <w:rFonts w:ascii="Times New Roman" w:hAnsi="Times New Roman" w:cs="Times New Roman"/>
          <w:sz w:val="24"/>
          <w:szCs w:val="24"/>
          <w:lang w:val="en-US"/>
        </w:rPr>
        <w:t xml:space="preserve"> </w:t>
      </w:r>
      <w:r w:rsidR="00523C74" w:rsidRPr="009D043A">
        <w:rPr>
          <w:rFonts w:ascii="Times New Roman" w:hAnsi="Times New Roman" w:cs="Times New Roman"/>
          <w:sz w:val="24"/>
          <w:szCs w:val="24"/>
          <w:lang w:val="en-US"/>
        </w:rPr>
        <w:t>The analysis can be categorized under</w:t>
      </w:r>
      <w:r w:rsidR="0003139B" w:rsidRPr="009D043A">
        <w:rPr>
          <w:rFonts w:ascii="Times New Roman" w:hAnsi="Times New Roman" w:cs="Times New Roman"/>
          <w:sz w:val="24"/>
          <w:szCs w:val="24"/>
          <w:lang w:val="en-US"/>
        </w:rPr>
        <w:t xml:space="preserve"> </w:t>
      </w:r>
      <w:r w:rsidR="00FB5BD3" w:rsidRPr="009D043A">
        <w:rPr>
          <w:rFonts w:ascii="Times New Roman" w:hAnsi="Times New Roman" w:cs="Times New Roman"/>
          <w:sz w:val="24"/>
          <w:szCs w:val="24"/>
          <w:lang w:val="en-US"/>
        </w:rPr>
        <w:t>two</w:t>
      </w:r>
      <w:r w:rsidR="00523C74" w:rsidRPr="009D043A">
        <w:rPr>
          <w:rFonts w:ascii="Times New Roman" w:hAnsi="Times New Roman" w:cs="Times New Roman"/>
          <w:sz w:val="24"/>
          <w:szCs w:val="24"/>
          <w:lang w:val="en-US"/>
        </w:rPr>
        <w:t xml:space="preserve"> headings</w:t>
      </w:r>
      <w:r w:rsidR="0003139B" w:rsidRPr="009D043A">
        <w:rPr>
          <w:rFonts w:ascii="Times New Roman" w:hAnsi="Times New Roman" w:cs="Times New Roman"/>
          <w:sz w:val="24"/>
          <w:szCs w:val="24"/>
          <w:lang w:val="en-US"/>
        </w:rPr>
        <w:t>; i</w:t>
      </w:r>
      <w:r w:rsidR="00DB3C1F" w:rsidRPr="009D043A">
        <w:rPr>
          <w:rFonts w:ascii="Times New Roman" w:hAnsi="Times New Roman" w:cs="Times New Roman"/>
          <w:sz w:val="24"/>
          <w:szCs w:val="24"/>
          <w:lang w:val="en-US"/>
        </w:rPr>
        <w:t xml:space="preserve">ndicator-based </w:t>
      </w:r>
      <w:r w:rsidR="00FB5BD3" w:rsidRPr="009D043A">
        <w:rPr>
          <w:rFonts w:ascii="Times New Roman" w:hAnsi="Times New Roman" w:cs="Times New Roman"/>
          <w:sz w:val="24"/>
          <w:szCs w:val="24"/>
          <w:lang w:val="en-US"/>
        </w:rPr>
        <w:t xml:space="preserve">and </w:t>
      </w:r>
      <w:r w:rsidR="00B33952" w:rsidRPr="009D043A">
        <w:rPr>
          <w:rFonts w:ascii="Times New Roman" w:hAnsi="Times New Roman" w:cs="Times New Roman"/>
          <w:sz w:val="24"/>
          <w:szCs w:val="24"/>
          <w:lang w:val="en-US"/>
        </w:rPr>
        <w:t>model-based</w:t>
      </w:r>
      <w:r w:rsidR="0003139B" w:rsidRPr="009D043A">
        <w:rPr>
          <w:rFonts w:ascii="Times New Roman" w:hAnsi="Times New Roman" w:cs="Times New Roman"/>
          <w:sz w:val="24"/>
          <w:szCs w:val="24"/>
          <w:lang w:val="en-US"/>
        </w:rPr>
        <w:t xml:space="preserve"> </w:t>
      </w:r>
      <w:r w:rsidR="00FB5BD3" w:rsidRPr="009D043A">
        <w:rPr>
          <w:rFonts w:ascii="Times New Roman" w:hAnsi="Times New Roman" w:cs="Times New Roman"/>
          <w:sz w:val="24"/>
          <w:szCs w:val="24"/>
          <w:lang w:val="en-US"/>
        </w:rPr>
        <w:t xml:space="preserve">methodologies. </w:t>
      </w:r>
      <w:r w:rsidR="0003139B" w:rsidRPr="009D043A">
        <w:rPr>
          <w:rFonts w:ascii="Times New Roman" w:hAnsi="Times New Roman" w:cs="Times New Roman"/>
          <w:sz w:val="24"/>
          <w:szCs w:val="24"/>
          <w:lang w:val="en-US"/>
        </w:rPr>
        <w:t xml:space="preserve"> </w:t>
      </w:r>
    </w:p>
    <w:p w:rsidR="00D87ACA" w:rsidRPr="009D043A" w:rsidRDefault="00D87ACA" w:rsidP="009D043A">
      <w:pPr>
        <w:autoSpaceDE w:val="0"/>
        <w:autoSpaceDN w:val="0"/>
        <w:adjustRightInd w:val="0"/>
        <w:spacing w:after="0" w:line="240" w:lineRule="auto"/>
        <w:jc w:val="both"/>
        <w:rPr>
          <w:rFonts w:ascii="Times New Roman" w:hAnsi="Times New Roman" w:cs="Times New Roman"/>
          <w:sz w:val="24"/>
          <w:szCs w:val="24"/>
          <w:lang w:val="en-US"/>
        </w:rPr>
      </w:pPr>
    </w:p>
    <w:p w:rsidR="001E4B81" w:rsidRPr="009D043A" w:rsidRDefault="00231FD6"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Indicator-based methodologies</w:t>
      </w:r>
      <w:r w:rsidR="00645CDB" w:rsidRPr="009D043A">
        <w:rPr>
          <w:rFonts w:ascii="Times New Roman" w:hAnsi="Times New Roman" w:cs="Times New Roman"/>
          <w:sz w:val="24"/>
          <w:szCs w:val="24"/>
          <w:lang w:val="en-US"/>
        </w:rPr>
        <w:t xml:space="preserve"> was</w:t>
      </w:r>
      <w:r w:rsidR="00523C74" w:rsidRPr="009D043A">
        <w:rPr>
          <w:rFonts w:ascii="Times New Roman" w:hAnsi="Times New Roman" w:cs="Times New Roman"/>
          <w:sz w:val="24"/>
          <w:szCs w:val="24"/>
          <w:lang w:val="en-US"/>
        </w:rPr>
        <w:t xml:space="preserve"> introduced by </w:t>
      </w:r>
      <w:r w:rsidR="00645CDB" w:rsidRPr="009D043A">
        <w:rPr>
          <w:rFonts w:ascii="Times New Roman" w:hAnsi="Times New Roman" w:cs="Times New Roman"/>
          <w:sz w:val="24"/>
          <w:szCs w:val="24"/>
          <w:lang w:val="en-US"/>
        </w:rPr>
        <w:t>BCBS in 2011 and it identified global systemically important banks for which it required additional capital requirement depending on their potential to create systemic risk for the whole market (BCBS,</w:t>
      </w:r>
      <w:r w:rsidR="00FE53CB" w:rsidRPr="009D043A">
        <w:rPr>
          <w:rFonts w:ascii="Times New Roman" w:hAnsi="Times New Roman" w:cs="Times New Roman"/>
          <w:sz w:val="24"/>
          <w:szCs w:val="24"/>
          <w:lang w:val="en-US"/>
        </w:rPr>
        <w:t xml:space="preserve"> </w:t>
      </w:r>
      <w:r w:rsidR="00645CDB" w:rsidRPr="009D043A">
        <w:rPr>
          <w:rFonts w:ascii="Times New Roman" w:hAnsi="Times New Roman" w:cs="Times New Roman"/>
          <w:sz w:val="24"/>
          <w:szCs w:val="24"/>
          <w:lang w:val="en-US"/>
        </w:rPr>
        <w:t>2011).</w:t>
      </w:r>
      <w:r w:rsidR="00FE53CB" w:rsidRPr="009D043A">
        <w:rPr>
          <w:rFonts w:ascii="Times New Roman" w:hAnsi="Times New Roman" w:cs="Times New Roman"/>
          <w:sz w:val="24"/>
          <w:szCs w:val="24"/>
          <w:lang w:val="en-US"/>
        </w:rPr>
        <w:t xml:space="preserve"> </w:t>
      </w:r>
      <w:r w:rsidR="003659CC" w:rsidRPr="009D043A">
        <w:rPr>
          <w:rFonts w:ascii="Times New Roman" w:hAnsi="Times New Roman" w:cs="Times New Roman"/>
          <w:sz w:val="24"/>
          <w:szCs w:val="24"/>
          <w:lang w:val="en-US"/>
        </w:rPr>
        <w:t xml:space="preserve">Under this methodology, </w:t>
      </w:r>
      <w:r w:rsidR="00DB3C1F" w:rsidRPr="009D043A">
        <w:rPr>
          <w:rFonts w:ascii="Times New Roman" w:hAnsi="Times New Roman" w:cs="Times New Roman"/>
          <w:sz w:val="24"/>
          <w:szCs w:val="24"/>
          <w:lang w:val="en-US"/>
        </w:rPr>
        <w:t>by using bank financial data</w:t>
      </w:r>
      <w:r w:rsidR="002C731E" w:rsidRPr="009D043A">
        <w:rPr>
          <w:rFonts w:ascii="Times New Roman" w:hAnsi="Times New Roman" w:cs="Times New Roman"/>
          <w:sz w:val="24"/>
          <w:szCs w:val="24"/>
          <w:lang w:val="en-US"/>
        </w:rPr>
        <w:t xml:space="preserve"> and capital market data,</w:t>
      </w:r>
      <w:r w:rsidR="00DB3C1F" w:rsidRPr="009D043A">
        <w:rPr>
          <w:rFonts w:ascii="Times New Roman" w:hAnsi="Times New Roman" w:cs="Times New Roman"/>
          <w:sz w:val="24"/>
          <w:szCs w:val="24"/>
          <w:lang w:val="en-US"/>
        </w:rPr>
        <w:t xml:space="preserve"> </w:t>
      </w:r>
      <w:r w:rsidR="00DC4274" w:rsidRPr="009D043A">
        <w:rPr>
          <w:rFonts w:ascii="Times New Roman" w:hAnsi="Times New Roman" w:cs="Times New Roman"/>
          <w:sz w:val="24"/>
          <w:szCs w:val="24"/>
          <w:lang w:val="en-US"/>
        </w:rPr>
        <w:t xml:space="preserve">some </w:t>
      </w:r>
      <w:r w:rsidR="00DB3C1F" w:rsidRPr="009D043A">
        <w:rPr>
          <w:rFonts w:ascii="Times New Roman" w:hAnsi="Times New Roman" w:cs="Times New Roman"/>
          <w:sz w:val="24"/>
          <w:szCs w:val="24"/>
          <w:lang w:val="en-US"/>
        </w:rPr>
        <w:t xml:space="preserve">indicators are calculated to </w:t>
      </w:r>
      <w:r w:rsidR="002C731E" w:rsidRPr="009D043A">
        <w:rPr>
          <w:rFonts w:ascii="Times New Roman" w:hAnsi="Times New Roman" w:cs="Times New Roman"/>
          <w:sz w:val="24"/>
          <w:szCs w:val="24"/>
          <w:lang w:val="en-US"/>
        </w:rPr>
        <w:t xml:space="preserve">signal possible </w:t>
      </w:r>
      <w:r w:rsidR="002C731E" w:rsidRPr="009D043A">
        <w:rPr>
          <w:rFonts w:ascii="Times New Roman" w:hAnsi="Times New Roman" w:cs="Times New Roman"/>
          <w:color w:val="333333"/>
          <w:sz w:val="24"/>
          <w:szCs w:val="24"/>
          <w:shd w:val="clear" w:color="auto" w:fill="FFFFFF"/>
          <w:lang w:val="en-US"/>
        </w:rPr>
        <w:t xml:space="preserve">deterioration in the </w:t>
      </w:r>
      <w:r w:rsidR="00DB3C1F" w:rsidRPr="009D043A">
        <w:rPr>
          <w:rFonts w:ascii="Times New Roman" w:hAnsi="Times New Roman" w:cs="Times New Roman"/>
          <w:sz w:val="24"/>
          <w:szCs w:val="24"/>
          <w:lang w:val="en-US"/>
        </w:rPr>
        <w:t xml:space="preserve">systemic risk </w:t>
      </w:r>
      <w:r w:rsidR="00DC4274" w:rsidRPr="009D043A">
        <w:rPr>
          <w:rFonts w:ascii="Times New Roman" w:hAnsi="Times New Roman" w:cs="Times New Roman"/>
          <w:sz w:val="24"/>
          <w:szCs w:val="24"/>
          <w:lang w:val="en-US"/>
        </w:rPr>
        <w:t>level</w:t>
      </w:r>
      <w:r w:rsidR="00DB3C1F" w:rsidRPr="009D043A">
        <w:rPr>
          <w:rFonts w:ascii="Times New Roman" w:hAnsi="Times New Roman" w:cs="Times New Roman"/>
          <w:sz w:val="24"/>
          <w:szCs w:val="24"/>
          <w:lang w:val="en-US"/>
        </w:rPr>
        <w:t xml:space="preserve">. The debut analysis </w:t>
      </w:r>
      <w:r w:rsidR="00E320BD" w:rsidRPr="009D043A">
        <w:rPr>
          <w:rFonts w:ascii="Times New Roman" w:hAnsi="Times New Roman" w:cs="Times New Roman"/>
          <w:sz w:val="24"/>
          <w:szCs w:val="24"/>
          <w:lang w:val="en-US"/>
        </w:rPr>
        <w:t>using</w:t>
      </w:r>
      <w:r w:rsidR="00DB3C1F" w:rsidRPr="009D043A">
        <w:rPr>
          <w:rFonts w:ascii="Times New Roman" w:hAnsi="Times New Roman" w:cs="Times New Roman"/>
          <w:sz w:val="24"/>
          <w:szCs w:val="24"/>
          <w:lang w:val="en-US"/>
        </w:rPr>
        <w:t xml:space="preserve"> indicator-based methodologies was realized by </w:t>
      </w:r>
      <w:proofErr w:type="spellStart"/>
      <w:r w:rsidR="00DB3C1F" w:rsidRPr="009D043A">
        <w:rPr>
          <w:rFonts w:ascii="Times New Roman" w:hAnsi="Times New Roman" w:cs="Times New Roman"/>
          <w:sz w:val="24"/>
          <w:szCs w:val="24"/>
          <w:lang w:val="en-US"/>
        </w:rPr>
        <w:t>Illing</w:t>
      </w:r>
      <w:proofErr w:type="spellEnd"/>
      <w:r w:rsidR="00DB3C1F" w:rsidRPr="009D043A">
        <w:rPr>
          <w:rFonts w:ascii="Times New Roman" w:hAnsi="Times New Roman" w:cs="Times New Roman"/>
          <w:sz w:val="24"/>
          <w:szCs w:val="24"/>
          <w:lang w:val="en-US"/>
        </w:rPr>
        <w:t xml:space="preserve"> and Liu (2006).</w:t>
      </w:r>
      <w:r w:rsidR="00FE53CB" w:rsidRPr="009D043A">
        <w:rPr>
          <w:rFonts w:ascii="Times New Roman" w:hAnsi="Times New Roman" w:cs="Times New Roman"/>
          <w:sz w:val="24"/>
          <w:szCs w:val="24"/>
          <w:lang w:val="en-US"/>
        </w:rPr>
        <w:t xml:space="preserve"> They </w:t>
      </w:r>
      <w:r w:rsidR="002C731E" w:rsidRPr="009D043A">
        <w:rPr>
          <w:rFonts w:ascii="Times New Roman" w:hAnsi="Times New Roman" w:cs="Times New Roman"/>
          <w:sz w:val="24"/>
          <w:szCs w:val="24"/>
          <w:lang w:val="en-US"/>
        </w:rPr>
        <w:t>generated an index called the Financial Stress Index (FSI).</w:t>
      </w:r>
      <w:r w:rsidR="00FE53CB" w:rsidRPr="009D043A">
        <w:rPr>
          <w:rFonts w:ascii="Times New Roman" w:hAnsi="Times New Roman" w:cs="Times New Roman"/>
          <w:sz w:val="24"/>
          <w:szCs w:val="24"/>
          <w:lang w:val="en-US"/>
        </w:rPr>
        <w:t xml:space="preserve"> FSI was built by using nine indicators collected from the bond, </w:t>
      </w:r>
      <w:r w:rsidR="00DC4274" w:rsidRPr="009D043A">
        <w:rPr>
          <w:rFonts w:ascii="Times New Roman" w:hAnsi="Times New Roman" w:cs="Times New Roman"/>
          <w:sz w:val="24"/>
          <w:szCs w:val="24"/>
          <w:lang w:val="en-US"/>
        </w:rPr>
        <w:t xml:space="preserve">foreign </w:t>
      </w:r>
      <w:r w:rsidR="00FE53CB" w:rsidRPr="009D043A">
        <w:rPr>
          <w:rFonts w:ascii="Times New Roman" w:hAnsi="Times New Roman" w:cs="Times New Roman"/>
          <w:sz w:val="24"/>
          <w:szCs w:val="24"/>
          <w:lang w:val="en-US"/>
        </w:rPr>
        <w:t>exchange and stock markets in Canada</w:t>
      </w:r>
      <w:r w:rsidR="002C731E" w:rsidRPr="009D043A">
        <w:rPr>
          <w:rFonts w:ascii="Times New Roman" w:hAnsi="Times New Roman" w:cs="Times New Roman"/>
          <w:sz w:val="24"/>
          <w:szCs w:val="24"/>
          <w:lang w:val="en-US"/>
        </w:rPr>
        <w:t xml:space="preserve"> and signals the </w:t>
      </w:r>
      <w:r w:rsidR="002C731E" w:rsidRPr="009D043A">
        <w:rPr>
          <w:rFonts w:ascii="Times New Roman" w:hAnsi="Times New Roman" w:cs="Times New Roman"/>
          <w:color w:val="333333"/>
          <w:sz w:val="24"/>
          <w:szCs w:val="24"/>
          <w:shd w:val="clear" w:color="auto" w:fill="FFFFFF"/>
          <w:lang w:val="en-US"/>
        </w:rPr>
        <w:t xml:space="preserve">deterioration in the </w:t>
      </w:r>
      <w:r w:rsidR="002C731E" w:rsidRPr="009D043A">
        <w:rPr>
          <w:rFonts w:ascii="Times New Roman" w:hAnsi="Times New Roman" w:cs="Times New Roman"/>
          <w:sz w:val="24"/>
          <w:szCs w:val="24"/>
          <w:lang w:val="en-US"/>
        </w:rPr>
        <w:t>systemic risk level.</w:t>
      </w:r>
      <w:r w:rsidR="00FE53CB" w:rsidRPr="009D043A">
        <w:rPr>
          <w:rFonts w:ascii="Times New Roman" w:hAnsi="Times New Roman" w:cs="Times New Roman"/>
          <w:sz w:val="24"/>
          <w:szCs w:val="24"/>
          <w:lang w:val="en-US"/>
        </w:rPr>
        <w:t xml:space="preserve"> </w:t>
      </w:r>
      <w:proofErr w:type="spellStart"/>
      <w:r w:rsidR="00E320BD" w:rsidRPr="009D043A">
        <w:rPr>
          <w:rFonts w:ascii="Times New Roman" w:hAnsi="Times New Roman" w:cs="Times New Roman"/>
          <w:sz w:val="24"/>
          <w:szCs w:val="24"/>
          <w:lang w:val="en-US"/>
        </w:rPr>
        <w:t>Hakkio</w:t>
      </w:r>
      <w:proofErr w:type="spellEnd"/>
      <w:r w:rsidR="00E320BD" w:rsidRPr="009D043A">
        <w:rPr>
          <w:rFonts w:ascii="Times New Roman" w:hAnsi="Times New Roman" w:cs="Times New Roman"/>
          <w:sz w:val="24"/>
          <w:szCs w:val="24"/>
          <w:lang w:val="en-US"/>
        </w:rPr>
        <w:t xml:space="preserve"> and Keeton (2009) adapted the model to be applied to larger economies such as US by employing 11 variables </w:t>
      </w:r>
      <w:r w:rsidR="002C731E" w:rsidRPr="009D043A">
        <w:rPr>
          <w:rFonts w:ascii="Times New Roman" w:hAnsi="Times New Roman" w:cs="Times New Roman"/>
          <w:sz w:val="24"/>
          <w:szCs w:val="24"/>
          <w:lang w:val="en-US"/>
        </w:rPr>
        <w:t>basically using the</w:t>
      </w:r>
      <w:r w:rsidR="00E320BD" w:rsidRPr="009D043A">
        <w:rPr>
          <w:rFonts w:ascii="Times New Roman" w:hAnsi="Times New Roman" w:cs="Times New Roman"/>
          <w:sz w:val="24"/>
          <w:szCs w:val="24"/>
          <w:lang w:val="en-US"/>
        </w:rPr>
        <w:t xml:space="preserve"> capital market data and create the Kansas City Financial Stress Index. Moreover</w:t>
      </w:r>
      <w:r w:rsidR="00D87ACA" w:rsidRPr="009D043A">
        <w:rPr>
          <w:rFonts w:ascii="Times New Roman" w:hAnsi="Times New Roman" w:cs="Times New Roman"/>
          <w:sz w:val="24"/>
          <w:szCs w:val="24"/>
          <w:lang w:val="en-US"/>
        </w:rPr>
        <w:t>,</w:t>
      </w:r>
      <w:r w:rsidR="00E320BD" w:rsidRPr="009D043A">
        <w:rPr>
          <w:rFonts w:ascii="Times New Roman" w:hAnsi="Times New Roman" w:cs="Times New Roman"/>
          <w:sz w:val="24"/>
          <w:szCs w:val="24"/>
          <w:lang w:val="en-US"/>
        </w:rPr>
        <w:t xml:space="preserve"> </w:t>
      </w:r>
      <w:proofErr w:type="spellStart"/>
      <w:r w:rsidR="00E320BD" w:rsidRPr="009D043A">
        <w:rPr>
          <w:rFonts w:ascii="Times New Roman" w:hAnsi="Times New Roman" w:cs="Times New Roman"/>
          <w:sz w:val="24"/>
          <w:szCs w:val="24"/>
          <w:lang w:val="en-US"/>
        </w:rPr>
        <w:t>Grimaldi</w:t>
      </w:r>
      <w:proofErr w:type="spellEnd"/>
      <w:r w:rsidR="00E320BD" w:rsidRPr="009D043A">
        <w:rPr>
          <w:rFonts w:ascii="Times New Roman" w:hAnsi="Times New Roman" w:cs="Times New Roman"/>
          <w:sz w:val="24"/>
          <w:szCs w:val="24"/>
          <w:lang w:val="en-US"/>
        </w:rPr>
        <w:t xml:space="preserve"> (2010) used </w:t>
      </w:r>
      <w:r w:rsidR="00D87ACA" w:rsidRPr="009D043A">
        <w:rPr>
          <w:rFonts w:ascii="Times New Roman" w:hAnsi="Times New Roman" w:cs="Times New Roman"/>
          <w:sz w:val="24"/>
          <w:szCs w:val="24"/>
          <w:lang w:val="en-US"/>
        </w:rPr>
        <w:t>16 variables to explain the system</w:t>
      </w:r>
      <w:r w:rsidR="001D0ADF" w:rsidRPr="009D043A">
        <w:rPr>
          <w:rFonts w:ascii="Times New Roman" w:hAnsi="Times New Roman" w:cs="Times New Roman"/>
          <w:sz w:val="24"/>
          <w:szCs w:val="24"/>
          <w:lang w:val="en-US"/>
        </w:rPr>
        <w:t xml:space="preserve"> </w:t>
      </w:r>
      <w:r w:rsidR="00D87ACA" w:rsidRPr="009D043A">
        <w:rPr>
          <w:rFonts w:ascii="Times New Roman" w:hAnsi="Times New Roman" w:cs="Times New Roman"/>
          <w:sz w:val="24"/>
          <w:szCs w:val="24"/>
          <w:lang w:val="en-US"/>
        </w:rPr>
        <w:t xml:space="preserve">risk of the Euro Area </w:t>
      </w:r>
      <w:r w:rsidR="001E4B81" w:rsidRPr="009D043A">
        <w:rPr>
          <w:rFonts w:ascii="Times New Roman" w:hAnsi="Times New Roman" w:cs="Times New Roman"/>
          <w:sz w:val="24"/>
          <w:szCs w:val="24"/>
          <w:lang w:val="en-US"/>
        </w:rPr>
        <w:t xml:space="preserve">and </w:t>
      </w:r>
      <w:r w:rsidRPr="009D043A">
        <w:rPr>
          <w:rFonts w:ascii="Times New Roman" w:hAnsi="Times New Roman" w:cs="Times New Roman"/>
          <w:sz w:val="24"/>
          <w:szCs w:val="24"/>
          <w:lang w:val="en-US"/>
        </w:rPr>
        <w:t xml:space="preserve">Morales and Estrada (2010) </w:t>
      </w:r>
      <w:r w:rsidR="00D250F1" w:rsidRPr="009D043A">
        <w:rPr>
          <w:rFonts w:ascii="Times New Roman" w:hAnsi="Times New Roman" w:cs="Times New Roman"/>
          <w:sz w:val="24"/>
          <w:szCs w:val="24"/>
          <w:lang w:val="en-US"/>
        </w:rPr>
        <w:t xml:space="preserve">applied the same set to </w:t>
      </w:r>
      <w:r w:rsidRPr="009D043A">
        <w:rPr>
          <w:rFonts w:ascii="Times New Roman" w:hAnsi="Times New Roman" w:cs="Times New Roman"/>
          <w:sz w:val="24"/>
          <w:szCs w:val="24"/>
          <w:lang w:val="en-US"/>
        </w:rPr>
        <w:t xml:space="preserve">Columbian </w:t>
      </w:r>
      <w:r w:rsidR="0018385D" w:rsidRPr="009D043A">
        <w:rPr>
          <w:rFonts w:ascii="Times New Roman" w:hAnsi="Times New Roman" w:cs="Times New Roman"/>
          <w:sz w:val="24"/>
          <w:szCs w:val="24"/>
          <w:lang w:val="en-US"/>
        </w:rPr>
        <w:t>financial system</w:t>
      </w:r>
      <w:r w:rsidR="001E4B81" w:rsidRPr="009D043A">
        <w:rPr>
          <w:rFonts w:ascii="Times New Roman" w:hAnsi="Times New Roman" w:cs="Times New Roman"/>
          <w:sz w:val="24"/>
          <w:szCs w:val="24"/>
          <w:lang w:val="en-US"/>
        </w:rPr>
        <w:t>.</w:t>
      </w:r>
      <w:r w:rsidR="002C731E" w:rsidRPr="009D043A">
        <w:rPr>
          <w:rFonts w:ascii="Times New Roman" w:hAnsi="Times New Roman" w:cs="Times New Roman"/>
          <w:sz w:val="24"/>
          <w:szCs w:val="24"/>
          <w:lang w:val="en-US"/>
        </w:rPr>
        <w:t xml:space="preserve"> </w:t>
      </w:r>
      <w:r w:rsidR="001E4B81" w:rsidRPr="009D043A">
        <w:rPr>
          <w:rFonts w:ascii="Times New Roman" w:hAnsi="Times New Roman" w:cs="Times New Roman"/>
          <w:sz w:val="24"/>
          <w:szCs w:val="24"/>
          <w:lang w:val="en-US"/>
        </w:rPr>
        <w:t xml:space="preserve">Under indicator based methodology, some researchers focused on individual determinants such as inter-bank lending (Rochet and </w:t>
      </w:r>
      <w:proofErr w:type="spellStart"/>
      <w:r w:rsidR="001E4B81" w:rsidRPr="009D043A">
        <w:rPr>
          <w:rFonts w:ascii="Times New Roman" w:hAnsi="Times New Roman" w:cs="Times New Roman"/>
          <w:sz w:val="24"/>
          <w:szCs w:val="24"/>
          <w:lang w:val="en-US"/>
        </w:rPr>
        <w:t>Tirole</w:t>
      </w:r>
      <w:proofErr w:type="spellEnd"/>
      <w:r w:rsidR="001E4B81" w:rsidRPr="009D043A">
        <w:rPr>
          <w:rFonts w:ascii="Times New Roman" w:hAnsi="Times New Roman" w:cs="Times New Roman"/>
          <w:sz w:val="24"/>
          <w:szCs w:val="24"/>
          <w:lang w:val="en-US"/>
        </w:rPr>
        <w:t xml:space="preserve">, 1996), financial system consolidation (De </w:t>
      </w:r>
      <w:proofErr w:type="spellStart"/>
      <w:r w:rsidR="001E4B81" w:rsidRPr="009D043A">
        <w:rPr>
          <w:rFonts w:ascii="Times New Roman" w:hAnsi="Times New Roman" w:cs="Times New Roman"/>
          <w:sz w:val="24"/>
          <w:szCs w:val="24"/>
          <w:lang w:val="en-US"/>
        </w:rPr>
        <w:t>Nicolo</w:t>
      </w:r>
      <w:proofErr w:type="spellEnd"/>
      <w:r w:rsidR="001E4B81" w:rsidRPr="009D043A">
        <w:rPr>
          <w:rFonts w:ascii="Times New Roman" w:hAnsi="Times New Roman" w:cs="Times New Roman"/>
          <w:sz w:val="24"/>
          <w:szCs w:val="24"/>
          <w:lang w:val="en-US"/>
        </w:rPr>
        <w:t xml:space="preserve"> and </w:t>
      </w:r>
      <w:proofErr w:type="spellStart"/>
      <w:r w:rsidR="001E4B81" w:rsidRPr="009D043A">
        <w:rPr>
          <w:rFonts w:ascii="Times New Roman" w:hAnsi="Times New Roman" w:cs="Times New Roman"/>
          <w:sz w:val="24"/>
          <w:szCs w:val="24"/>
          <w:lang w:val="en-US"/>
        </w:rPr>
        <w:t>Kwast</w:t>
      </w:r>
      <w:proofErr w:type="spellEnd"/>
      <w:r w:rsidR="001E4B81" w:rsidRPr="009D043A">
        <w:rPr>
          <w:rFonts w:ascii="Times New Roman" w:hAnsi="Times New Roman" w:cs="Times New Roman"/>
          <w:sz w:val="24"/>
          <w:szCs w:val="24"/>
          <w:lang w:val="en-US"/>
        </w:rPr>
        <w:t xml:space="preserve">, 2002), </w:t>
      </w:r>
      <w:proofErr w:type="spellStart"/>
      <w:r w:rsidR="001E4B81" w:rsidRPr="009D043A">
        <w:rPr>
          <w:rFonts w:ascii="Times New Roman" w:hAnsi="Times New Roman" w:cs="Times New Roman"/>
          <w:sz w:val="24"/>
          <w:szCs w:val="24"/>
          <w:lang w:val="en-US"/>
        </w:rPr>
        <w:t>VaR</w:t>
      </w:r>
      <w:proofErr w:type="spellEnd"/>
      <w:r w:rsidR="001E4B81" w:rsidRPr="009D043A">
        <w:rPr>
          <w:rFonts w:ascii="Times New Roman" w:hAnsi="Times New Roman" w:cs="Times New Roman"/>
          <w:sz w:val="24"/>
          <w:szCs w:val="24"/>
          <w:lang w:val="en-US"/>
        </w:rPr>
        <w:t xml:space="preserve">-induced herding behavior in bank </w:t>
      </w:r>
      <w:r w:rsidR="001E4B81" w:rsidRPr="009D043A">
        <w:rPr>
          <w:rFonts w:ascii="Times New Roman" w:hAnsi="Times New Roman" w:cs="Times New Roman"/>
          <w:sz w:val="24"/>
          <w:szCs w:val="24"/>
          <w:lang w:val="en-US"/>
        </w:rPr>
        <w:lastRenderedPageBreak/>
        <w:t>trading patterns (</w:t>
      </w:r>
      <w:proofErr w:type="spellStart"/>
      <w:r w:rsidR="001E4B81" w:rsidRPr="009D043A">
        <w:rPr>
          <w:rFonts w:ascii="Times New Roman" w:hAnsi="Times New Roman" w:cs="Times New Roman"/>
          <w:sz w:val="24"/>
          <w:szCs w:val="24"/>
          <w:lang w:val="en-US"/>
        </w:rPr>
        <w:t>Jorion</w:t>
      </w:r>
      <w:proofErr w:type="spellEnd"/>
      <w:r w:rsidR="001E4B81" w:rsidRPr="009D043A">
        <w:rPr>
          <w:rFonts w:ascii="Times New Roman" w:hAnsi="Times New Roman" w:cs="Times New Roman"/>
          <w:sz w:val="24"/>
          <w:szCs w:val="24"/>
          <w:lang w:val="en-US"/>
        </w:rPr>
        <w:t xml:space="preserve">, 2006), and the opaque and largely unregulated hedge funds (Chan et al., 2006; </w:t>
      </w:r>
      <w:proofErr w:type="spellStart"/>
      <w:r w:rsidR="001E4B81" w:rsidRPr="009D043A">
        <w:rPr>
          <w:rFonts w:ascii="Times New Roman" w:hAnsi="Times New Roman" w:cs="Times New Roman"/>
          <w:sz w:val="24"/>
          <w:szCs w:val="24"/>
          <w:lang w:val="en-US"/>
        </w:rPr>
        <w:t>Kambhu</w:t>
      </w:r>
      <w:proofErr w:type="spellEnd"/>
      <w:r w:rsidR="001E4B81" w:rsidRPr="009D043A">
        <w:rPr>
          <w:rFonts w:ascii="Times New Roman" w:hAnsi="Times New Roman" w:cs="Times New Roman"/>
          <w:sz w:val="24"/>
          <w:szCs w:val="24"/>
          <w:lang w:val="en-US"/>
        </w:rPr>
        <w:t xml:space="preserve"> et al., 2007). </w:t>
      </w:r>
    </w:p>
    <w:p w:rsidR="001E4B81" w:rsidRPr="009D043A" w:rsidRDefault="001E4B81" w:rsidP="009D043A">
      <w:pPr>
        <w:autoSpaceDE w:val="0"/>
        <w:autoSpaceDN w:val="0"/>
        <w:adjustRightInd w:val="0"/>
        <w:spacing w:after="0" w:line="240" w:lineRule="auto"/>
        <w:jc w:val="both"/>
        <w:rPr>
          <w:rFonts w:ascii="Times New Roman" w:hAnsi="Times New Roman" w:cs="Times New Roman"/>
          <w:sz w:val="24"/>
          <w:szCs w:val="24"/>
          <w:lang w:val="en-US"/>
        </w:rPr>
      </w:pPr>
    </w:p>
    <w:p w:rsidR="005B209B" w:rsidRPr="009D043A" w:rsidRDefault="00F71685"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Model based methodologies utilize econometric modelling by using capital markets data</w:t>
      </w:r>
      <w:r w:rsidR="00BE3AFF" w:rsidRPr="009D043A">
        <w:rPr>
          <w:rFonts w:ascii="Times New Roman" w:hAnsi="Times New Roman" w:cs="Times New Roman"/>
          <w:sz w:val="24"/>
          <w:szCs w:val="24"/>
          <w:lang w:val="en-US"/>
        </w:rPr>
        <w:t xml:space="preserve">. The most </w:t>
      </w:r>
      <w:proofErr w:type="spellStart"/>
      <w:r w:rsidR="00BE3AFF" w:rsidRPr="009D043A">
        <w:rPr>
          <w:rFonts w:ascii="Times New Roman" w:hAnsi="Times New Roman" w:cs="Times New Roman"/>
          <w:sz w:val="24"/>
          <w:szCs w:val="24"/>
          <w:lang w:val="en-US"/>
        </w:rPr>
        <w:t>well known</w:t>
      </w:r>
      <w:proofErr w:type="spellEnd"/>
      <w:r w:rsidR="00BE3AFF" w:rsidRPr="009D043A">
        <w:rPr>
          <w:rFonts w:ascii="Times New Roman" w:hAnsi="Times New Roman" w:cs="Times New Roman"/>
          <w:sz w:val="24"/>
          <w:szCs w:val="24"/>
          <w:lang w:val="en-US"/>
        </w:rPr>
        <w:t xml:space="preserve"> analysis belongs to Adrian and </w:t>
      </w:r>
      <w:proofErr w:type="spellStart"/>
      <w:r w:rsidR="00BE3AFF" w:rsidRPr="009D043A">
        <w:rPr>
          <w:rFonts w:ascii="Times New Roman" w:hAnsi="Times New Roman" w:cs="Times New Roman"/>
          <w:sz w:val="24"/>
          <w:szCs w:val="24"/>
          <w:lang w:val="en-US"/>
        </w:rPr>
        <w:t>Brunnermeier</w:t>
      </w:r>
      <w:proofErr w:type="spellEnd"/>
      <w:r w:rsidR="00BE3AFF" w:rsidRPr="009D043A">
        <w:rPr>
          <w:rFonts w:ascii="Times New Roman" w:hAnsi="Times New Roman" w:cs="Times New Roman"/>
          <w:sz w:val="24"/>
          <w:szCs w:val="24"/>
          <w:lang w:val="en-US"/>
        </w:rPr>
        <w:t xml:space="preserve"> (2011)</w:t>
      </w:r>
      <w:r w:rsidR="00C55D32" w:rsidRPr="009D043A">
        <w:rPr>
          <w:rFonts w:ascii="Times New Roman" w:hAnsi="Times New Roman" w:cs="Times New Roman"/>
          <w:sz w:val="24"/>
          <w:szCs w:val="24"/>
          <w:lang w:val="en-US"/>
        </w:rPr>
        <w:t xml:space="preserve"> in which they </w:t>
      </w:r>
      <w:r w:rsidR="005C3CDE" w:rsidRPr="009D043A">
        <w:rPr>
          <w:rFonts w:ascii="Times New Roman" w:hAnsi="Times New Roman" w:cs="Times New Roman"/>
          <w:sz w:val="24"/>
          <w:szCs w:val="24"/>
          <w:lang w:val="en-US"/>
        </w:rPr>
        <w:t>introduced</w:t>
      </w:r>
      <w:r w:rsidR="00C55D32" w:rsidRPr="009D043A">
        <w:rPr>
          <w:rFonts w:ascii="Times New Roman" w:hAnsi="Times New Roman" w:cs="Times New Roman"/>
          <w:sz w:val="24"/>
          <w:szCs w:val="24"/>
          <w:lang w:val="en-US"/>
        </w:rPr>
        <w:t xml:space="preserve"> the concept of Conditional Value at Risk (</w:t>
      </w:r>
      <w:proofErr w:type="spellStart"/>
      <w:r w:rsidR="00C55D32" w:rsidRPr="009D043A">
        <w:rPr>
          <w:rFonts w:ascii="Times New Roman" w:hAnsi="Times New Roman" w:cs="Times New Roman"/>
          <w:sz w:val="24"/>
          <w:szCs w:val="24"/>
          <w:lang w:val="en-US"/>
        </w:rPr>
        <w:t>CoVaR</w:t>
      </w:r>
      <w:proofErr w:type="spellEnd"/>
      <w:r w:rsidR="00C55D32" w:rsidRPr="009D043A">
        <w:rPr>
          <w:rFonts w:ascii="Times New Roman" w:hAnsi="Times New Roman" w:cs="Times New Roman"/>
          <w:sz w:val="24"/>
          <w:szCs w:val="24"/>
          <w:lang w:val="en-US"/>
        </w:rPr>
        <w:t xml:space="preserve">), which is defined as the </w:t>
      </w:r>
      <w:proofErr w:type="spellStart"/>
      <w:r w:rsidR="00C55D32" w:rsidRPr="009D043A">
        <w:rPr>
          <w:rFonts w:ascii="Times New Roman" w:hAnsi="Times New Roman" w:cs="Times New Roman"/>
          <w:sz w:val="24"/>
          <w:szCs w:val="24"/>
          <w:lang w:val="en-US"/>
        </w:rPr>
        <w:t>VaR</w:t>
      </w:r>
      <w:proofErr w:type="spellEnd"/>
      <w:r w:rsidR="00C55D32" w:rsidRPr="009D043A">
        <w:rPr>
          <w:rFonts w:ascii="Times New Roman" w:hAnsi="Times New Roman" w:cs="Times New Roman"/>
          <w:sz w:val="24"/>
          <w:szCs w:val="24"/>
          <w:lang w:val="en-US"/>
        </w:rPr>
        <w:t xml:space="preserve"> of the financial system conditional on the default of one bank</w:t>
      </w:r>
      <w:r w:rsidR="00BE3AFF" w:rsidRPr="009D043A">
        <w:rPr>
          <w:rFonts w:ascii="Times New Roman" w:hAnsi="Times New Roman" w:cs="Times New Roman"/>
          <w:sz w:val="24"/>
          <w:szCs w:val="24"/>
          <w:lang w:val="en-US"/>
        </w:rPr>
        <w:t xml:space="preserve">. </w:t>
      </w:r>
      <w:r w:rsidR="005C3CDE" w:rsidRPr="009D043A">
        <w:rPr>
          <w:rFonts w:ascii="Times New Roman" w:hAnsi="Times New Roman" w:cs="Times New Roman"/>
          <w:sz w:val="24"/>
          <w:szCs w:val="24"/>
          <w:lang w:val="en-US"/>
        </w:rPr>
        <w:t>They examined the correlation between a bank's share price and the respective index of all institutions for the period 1986–2010 in order to determine the level of risk of contagion</w:t>
      </w:r>
      <w:r w:rsidR="00295ED1" w:rsidRPr="009D043A">
        <w:rPr>
          <w:rFonts w:ascii="Times New Roman" w:hAnsi="Times New Roman" w:cs="Times New Roman"/>
          <w:sz w:val="24"/>
          <w:szCs w:val="24"/>
          <w:lang w:val="en-US"/>
        </w:rPr>
        <w:t>. Another indicator calculated by the use of an econometric model is Marginal Expected Shortfall (MES) which can be defined as the losses of a bank during the periods of 5% highest share price losses of the financial system over time</w:t>
      </w:r>
      <w:r w:rsidR="00E34678" w:rsidRPr="009D043A">
        <w:rPr>
          <w:rFonts w:ascii="Times New Roman" w:hAnsi="Times New Roman" w:cs="Times New Roman"/>
          <w:sz w:val="24"/>
          <w:szCs w:val="24"/>
          <w:lang w:val="en-US"/>
        </w:rPr>
        <w:t xml:space="preserve"> by Acharya et al. (2010)</w:t>
      </w:r>
      <w:r w:rsidR="00295ED1" w:rsidRPr="009D043A">
        <w:rPr>
          <w:rFonts w:ascii="Times New Roman" w:hAnsi="Times New Roman" w:cs="Times New Roman"/>
          <w:sz w:val="24"/>
          <w:szCs w:val="24"/>
          <w:lang w:val="en-US"/>
        </w:rPr>
        <w:t>.</w:t>
      </w:r>
      <w:r w:rsidR="006501C0" w:rsidRPr="009D043A">
        <w:rPr>
          <w:rFonts w:ascii="Times New Roman" w:hAnsi="Times New Roman" w:cs="Times New Roman"/>
          <w:sz w:val="24"/>
          <w:szCs w:val="24"/>
          <w:lang w:val="en-US"/>
        </w:rPr>
        <w:t xml:space="preserve"> Under this mode</w:t>
      </w:r>
      <w:r w:rsidR="0003139B" w:rsidRPr="009D043A">
        <w:rPr>
          <w:rFonts w:ascii="Times New Roman" w:hAnsi="Times New Roman" w:cs="Times New Roman"/>
          <w:sz w:val="24"/>
          <w:szCs w:val="24"/>
          <w:lang w:val="en-US"/>
        </w:rPr>
        <w:t>l</w:t>
      </w:r>
      <w:r w:rsidR="006501C0" w:rsidRPr="009D043A">
        <w:rPr>
          <w:rFonts w:ascii="Times New Roman" w:hAnsi="Times New Roman" w:cs="Times New Roman"/>
          <w:sz w:val="24"/>
          <w:szCs w:val="24"/>
          <w:lang w:val="en-US"/>
        </w:rPr>
        <w:t xml:space="preserve">, the systematic risk is </w:t>
      </w:r>
      <w:r w:rsidR="0003139B" w:rsidRPr="009D043A">
        <w:rPr>
          <w:rFonts w:ascii="Times New Roman" w:hAnsi="Times New Roman" w:cs="Times New Roman"/>
          <w:sz w:val="24"/>
          <w:szCs w:val="24"/>
          <w:lang w:val="en-US"/>
        </w:rPr>
        <w:t>composed of t</w:t>
      </w:r>
      <w:r w:rsidR="00BE3AFF" w:rsidRPr="009D043A">
        <w:rPr>
          <w:rFonts w:ascii="Times New Roman" w:hAnsi="Times New Roman" w:cs="Times New Roman"/>
          <w:sz w:val="24"/>
          <w:szCs w:val="24"/>
          <w:lang w:val="en-US"/>
        </w:rPr>
        <w:t>he losses of</w:t>
      </w:r>
      <w:r w:rsidR="0003139B" w:rsidRPr="009D043A">
        <w:rPr>
          <w:rFonts w:ascii="Times New Roman" w:hAnsi="Times New Roman" w:cs="Times New Roman"/>
          <w:sz w:val="24"/>
          <w:szCs w:val="24"/>
          <w:lang w:val="en-US"/>
        </w:rPr>
        <w:t xml:space="preserve"> </w:t>
      </w:r>
      <w:r w:rsidR="00BE3AFF" w:rsidRPr="009D043A">
        <w:rPr>
          <w:rFonts w:ascii="Times New Roman" w:hAnsi="Times New Roman" w:cs="Times New Roman"/>
          <w:sz w:val="24"/>
          <w:szCs w:val="24"/>
          <w:lang w:val="en-US"/>
        </w:rPr>
        <w:t xml:space="preserve">a bank during these periods (MES) as a share of the corresponding losses of the total market equal its systemic risk. </w:t>
      </w:r>
      <w:proofErr w:type="spellStart"/>
      <w:r w:rsidR="00BE3AFF" w:rsidRPr="009D043A">
        <w:rPr>
          <w:rFonts w:ascii="Times New Roman" w:hAnsi="Times New Roman" w:cs="Times New Roman"/>
          <w:sz w:val="24"/>
          <w:szCs w:val="24"/>
          <w:lang w:val="en-US"/>
        </w:rPr>
        <w:t>Brownlees</w:t>
      </w:r>
      <w:proofErr w:type="spellEnd"/>
      <w:r w:rsidR="00BE3AFF" w:rsidRPr="009D043A">
        <w:rPr>
          <w:rFonts w:ascii="Times New Roman" w:hAnsi="Times New Roman" w:cs="Times New Roman"/>
          <w:sz w:val="24"/>
          <w:szCs w:val="24"/>
          <w:lang w:val="en-US"/>
        </w:rPr>
        <w:t xml:space="preserve"> and Engle (2011) adopt the methodology of Acharya et al. (2010) by applying a systemic risk index,</w:t>
      </w:r>
      <w:r w:rsidR="0003139B" w:rsidRPr="009D043A">
        <w:rPr>
          <w:rFonts w:ascii="Times New Roman" w:hAnsi="Times New Roman" w:cs="Times New Roman"/>
          <w:sz w:val="24"/>
          <w:szCs w:val="24"/>
          <w:lang w:val="en-US"/>
        </w:rPr>
        <w:t xml:space="preserve"> </w:t>
      </w:r>
      <w:r w:rsidR="00BE3AFF" w:rsidRPr="009D043A">
        <w:rPr>
          <w:rFonts w:ascii="Times New Roman" w:hAnsi="Times New Roman" w:cs="Times New Roman"/>
          <w:sz w:val="24"/>
          <w:szCs w:val="24"/>
          <w:lang w:val="en-US"/>
        </w:rPr>
        <w:t xml:space="preserve">which is determined by the expected MES </w:t>
      </w:r>
      <w:r w:rsidR="0003139B" w:rsidRPr="009D043A">
        <w:rPr>
          <w:rFonts w:ascii="Times New Roman" w:hAnsi="Times New Roman" w:cs="Times New Roman"/>
          <w:sz w:val="24"/>
          <w:szCs w:val="24"/>
          <w:lang w:val="en-US"/>
        </w:rPr>
        <w:t xml:space="preserve">defined as time varying share price volatility </w:t>
      </w:r>
      <w:r w:rsidR="00BE3AFF" w:rsidRPr="009D043A">
        <w:rPr>
          <w:rFonts w:ascii="Times New Roman" w:hAnsi="Times New Roman" w:cs="Times New Roman"/>
          <w:sz w:val="24"/>
          <w:szCs w:val="24"/>
          <w:lang w:val="en-US"/>
        </w:rPr>
        <w:t xml:space="preserve">and the degree of leverage. </w:t>
      </w:r>
      <w:r w:rsidR="005B209B" w:rsidRPr="009D043A">
        <w:rPr>
          <w:rFonts w:ascii="Times New Roman" w:hAnsi="Times New Roman" w:cs="Times New Roman"/>
          <w:sz w:val="24"/>
          <w:szCs w:val="24"/>
          <w:lang w:val="en-US"/>
        </w:rPr>
        <w:t>Other</w:t>
      </w:r>
      <w:r w:rsidR="00FB5BD3" w:rsidRPr="009D043A">
        <w:rPr>
          <w:rFonts w:ascii="Times New Roman" w:hAnsi="Times New Roman" w:cs="Times New Roman"/>
          <w:sz w:val="24"/>
          <w:szCs w:val="24"/>
          <w:lang w:val="en-US"/>
        </w:rPr>
        <w:t xml:space="preserve"> </w:t>
      </w:r>
      <w:r w:rsidR="005B209B" w:rsidRPr="009D043A">
        <w:rPr>
          <w:rFonts w:ascii="Times New Roman" w:hAnsi="Times New Roman" w:cs="Times New Roman"/>
          <w:sz w:val="24"/>
          <w:szCs w:val="24"/>
          <w:lang w:val="en-US"/>
        </w:rPr>
        <w:t>examples of model-based measures include Acharya et al. (2011),</w:t>
      </w:r>
      <w:r w:rsidR="00FB5BD3" w:rsidRPr="009D043A">
        <w:rPr>
          <w:rFonts w:ascii="Times New Roman" w:hAnsi="Times New Roman" w:cs="Times New Roman"/>
          <w:sz w:val="24"/>
          <w:szCs w:val="24"/>
          <w:lang w:val="en-US"/>
        </w:rPr>
        <w:t xml:space="preserve"> </w:t>
      </w:r>
      <w:proofErr w:type="spellStart"/>
      <w:r w:rsidR="005B209B" w:rsidRPr="009D043A">
        <w:rPr>
          <w:rFonts w:ascii="Times New Roman" w:hAnsi="Times New Roman" w:cs="Times New Roman"/>
          <w:sz w:val="24"/>
          <w:szCs w:val="24"/>
          <w:lang w:val="en-US"/>
        </w:rPr>
        <w:t>Allenspach</w:t>
      </w:r>
      <w:proofErr w:type="spellEnd"/>
      <w:r w:rsidR="005B209B" w:rsidRPr="009D043A">
        <w:rPr>
          <w:rFonts w:ascii="Times New Roman" w:hAnsi="Times New Roman" w:cs="Times New Roman"/>
          <w:sz w:val="24"/>
          <w:szCs w:val="24"/>
          <w:lang w:val="en-US"/>
        </w:rPr>
        <w:t xml:space="preserve"> and Monnin (2006), </w:t>
      </w:r>
      <w:proofErr w:type="spellStart"/>
      <w:r w:rsidR="005B209B" w:rsidRPr="009D043A">
        <w:rPr>
          <w:rFonts w:ascii="Times New Roman" w:hAnsi="Times New Roman" w:cs="Times New Roman"/>
          <w:sz w:val="24"/>
          <w:szCs w:val="24"/>
          <w:lang w:val="en-US"/>
        </w:rPr>
        <w:t>Aspachs</w:t>
      </w:r>
      <w:proofErr w:type="spellEnd"/>
      <w:r w:rsidR="005B209B" w:rsidRPr="009D043A">
        <w:rPr>
          <w:rFonts w:ascii="Times New Roman" w:hAnsi="Times New Roman" w:cs="Times New Roman"/>
          <w:sz w:val="24"/>
          <w:szCs w:val="24"/>
          <w:lang w:val="en-US"/>
        </w:rPr>
        <w:t xml:space="preserve"> et al. (2007), </w:t>
      </w:r>
      <w:proofErr w:type="spellStart"/>
      <w:r w:rsidR="005B209B" w:rsidRPr="009D043A">
        <w:rPr>
          <w:rFonts w:ascii="Times New Roman" w:hAnsi="Times New Roman" w:cs="Times New Roman"/>
          <w:sz w:val="24"/>
          <w:szCs w:val="24"/>
          <w:lang w:val="en-US"/>
        </w:rPr>
        <w:t>Avesani</w:t>
      </w:r>
      <w:proofErr w:type="spellEnd"/>
      <w:r w:rsidR="005B209B" w:rsidRPr="009D043A">
        <w:rPr>
          <w:rFonts w:ascii="Times New Roman" w:hAnsi="Times New Roman" w:cs="Times New Roman"/>
          <w:sz w:val="24"/>
          <w:szCs w:val="24"/>
          <w:lang w:val="en-US"/>
        </w:rPr>
        <w:t xml:space="preserve"> et al.</w:t>
      </w:r>
      <w:r w:rsidR="00FB5BD3" w:rsidRPr="009D043A">
        <w:rPr>
          <w:rFonts w:ascii="Times New Roman" w:hAnsi="Times New Roman" w:cs="Times New Roman"/>
          <w:sz w:val="24"/>
          <w:szCs w:val="24"/>
          <w:lang w:val="en-US"/>
        </w:rPr>
        <w:t xml:space="preserve"> </w:t>
      </w:r>
      <w:r w:rsidR="005B209B" w:rsidRPr="009D043A">
        <w:rPr>
          <w:rFonts w:ascii="Times New Roman" w:hAnsi="Times New Roman" w:cs="Times New Roman"/>
          <w:sz w:val="24"/>
          <w:szCs w:val="24"/>
          <w:lang w:val="en-US"/>
        </w:rPr>
        <w:t xml:space="preserve">(2006), </w:t>
      </w:r>
      <w:proofErr w:type="spellStart"/>
      <w:r w:rsidR="005B209B" w:rsidRPr="009D043A">
        <w:rPr>
          <w:rFonts w:ascii="Times New Roman" w:hAnsi="Times New Roman" w:cs="Times New Roman"/>
          <w:sz w:val="24"/>
          <w:szCs w:val="24"/>
          <w:lang w:val="en-US"/>
        </w:rPr>
        <w:t>Goodhart</w:t>
      </w:r>
      <w:proofErr w:type="spellEnd"/>
      <w:r w:rsidR="005B209B" w:rsidRPr="009D043A">
        <w:rPr>
          <w:rFonts w:ascii="Times New Roman" w:hAnsi="Times New Roman" w:cs="Times New Roman"/>
          <w:sz w:val="24"/>
          <w:szCs w:val="24"/>
          <w:lang w:val="en-US"/>
        </w:rPr>
        <w:t xml:space="preserve"> et al. (2005, 2006), Lehar (2005), </w:t>
      </w:r>
      <w:proofErr w:type="spellStart"/>
      <w:r w:rsidR="005B209B" w:rsidRPr="009D043A">
        <w:rPr>
          <w:rFonts w:ascii="Times New Roman" w:hAnsi="Times New Roman" w:cs="Times New Roman"/>
          <w:sz w:val="24"/>
          <w:szCs w:val="24"/>
          <w:lang w:val="en-US"/>
        </w:rPr>
        <w:t>Zambrana</w:t>
      </w:r>
      <w:proofErr w:type="spellEnd"/>
      <w:r w:rsidR="005B209B" w:rsidRPr="009D043A">
        <w:rPr>
          <w:rFonts w:ascii="Times New Roman" w:hAnsi="Times New Roman" w:cs="Times New Roman"/>
          <w:sz w:val="24"/>
          <w:szCs w:val="24"/>
          <w:lang w:val="en-US"/>
        </w:rPr>
        <w:t xml:space="preserve"> (2010)</w:t>
      </w:r>
      <w:r w:rsidR="00934B60" w:rsidRPr="009D043A">
        <w:rPr>
          <w:rFonts w:ascii="Times New Roman" w:hAnsi="Times New Roman" w:cs="Times New Roman"/>
          <w:sz w:val="24"/>
          <w:szCs w:val="24"/>
          <w:lang w:val="en-US"/>
        </w:rPr>
        <w:t xml:space="preserve"> </w:t>
      </w:r>
      <w:r w:rsidR="005B209B" w:rsidRPr="009D043A">
        <w:rPr>
          <w:rFonts w:ascii="Times New Roman" w:hAnsi="Times New Roman" w:cs="Times New Roman"/>
          <w:sz w:val="24"/>
          <w:szCs w:val="24"/>
          <w:lang w:val="en-US"/>
        </w:rPr>
        <w:t>and Zhang et al. (2009).</w:t>
      </w:r>
    </w:p>
    <w:p w:rsidR="00B27ED4" w:rsidRPr="009D043A" w:rsidRDefault="00B27ED4" w:rsidP="009D043A">
      <w:pPr>
        <w:autoSpaceDE w:val="0"/>
        <w:autoSpaceDN w:val="0"/>
        <w:adjustRightInd w:val="0"/>
        <w:spacing w:after="0" w:line="240" w:lineRule="auto"/>
        <w:jc w:val="both"/>
        <w:rPr>
          <w:rFonts w:ascii="Times New Roman" w:hAnsi="Times New Roman" w:cs="Times New Roman"/>
          <w:sz w:val="24"/>
          <w:szCs w:val="24"/>
          <w:lang w:val="en-US"/>
        </w:rPr>
      </w:pPr>
    </w:p>
    <w:p w:rsidR="007D57DF" w:rsidRPr="009D043A" w:rsidRDefault="00745C8C"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Apart from the empirical analysis, it is a realized fact that there exist </w:t>
      </w:r>
      <w:r w:rsidR="00E01C82" w:rsidRPr="009D043A">
        <w:rPr>
          <w:rFonts w:ascii="Times New Roman" w:hAnsi="Times New Roman" w:cs="Times New Roman"/>
          <w:sz w:val="24"/>
          <w:szCs w:val="24"/>
          <w:lang w:val="en-US"/>
        </w:rPr>
        <w:t>interdependencies within the banking sectors in times of stress. Diversification has been considered as the key to mitigate individual bank risk of solvency, however it may simultaneously increase the systemic risk for</w:t>
      </w:r>
      <w:r w:rsidR="00641F62" w:rsidRPr="009D043A">
        <w:rPr>
          <w:rFonts w:ascii="Times New Roman" w:hAnsi="Times New Roman" w:cs="Times New Roman"/>
          <w:sz w:val="24"/>
          <w:szCs w:val="24"/>
          <w:lang w:val="en-US"/>
        </w:rPr>
        <w:t xml:space="preserve"> </w:t>
      </w:r>
      <w:r w:rsidR="00E01C82" w:rsidRPr="009D043A">
        <w:rPr>
          <w:rFonts w:ascii="Times New Roman" w:hAnsi="Times New Roman" w:cs="Times New Roman"/>
          <w:sz w:val="24"/>
          <w:szCs w:val="24"/>
          <w:lang w:val="en-US"/>
        </w:rPr>
        <w:t>the whole financial system. The more vivid example is</w:t>
      </w:r>
      <w:r w:rsidR="003729A6" w:rsidRPr="009D043A">
        <w:rPr>
          <w:rFonts w:ascii="Times New Roman" w:hAnsi="Times New Roman" w:cs="Times New Roman"/>
          <w:sz w:val="24"/>
          <w:szCs w:val="24"/>
          <w:lang w:val="en-US"/>
        </w:rPr>
        <w:t xml:space="preserve"> </w:t>
      </w:r>
      <w:r w:rsidR="00E01C82" w:rsidRPr="009D043A">
        <w:rPr>
          <w:rFonts w:ascii="Times New Roman" w:hAnsi="Times New Roman" w:cs="Times New Roman"/>
          <w:sz w:val="24"/>
          <w:szCs w:val="24"/>
          <w:lang w:val="en-US"/>
        </w:rPr>
        <w:t>the exposure of EU banks to US sub-prime mortgages of about equal size as US banks; a perfect example of international risk diversification and contagion (</w:t>
      </w:r>
      <w:proofErr w:type="spellStart"/>
      <w:r w:rsidR="00E01C82" w:rsidRPr="009D043A">
        <w:rPr>
          <w:rFonts w:ascii="Times New Roman" w:hAnsi="Times New Roman" w:cs="Times New Roman"/>
          <w:sz w:val="24"/>
          <w:szCs w:val="24"/>
          <w:lang w:val="en-US"/>
        </w:rPr>
        <w:t>Slijkerman</w:t>
      </w:r>
      <w:proofErr w:type="spellEnd"/>
      <w:r w:rsidR="00E01C82" w:rsidRPr="009D043A">
        <w:rPr>
          <w:rFonts w:ascii="Times New Roman" w:hAnsi="Times New Roman" w:cs="Times New Roman"/>
          <w:sz w:val="24"/>
          <w:szCs w:val="24"/>
          <w:lang w:val="en-US"/>
        </w:rPr>
        <w:t xml:space="preserve"> et.al., 2013).</w:t>
      </w:r>
      <w:r w:rsidR="0031695D" w:rsidRPr="009D043A">
        <w:rPr>
          <w:rFonts w:ascii="Times New Roman" w:hAnsi="Times New Roman" w:cs="Times New Roman"/>
          <w:sz w:val="24"/>
          <w:szCs w:val="24"/>
          <w:lang w:val="en-US"/>
        </w:rPr>
        <w:t xml:space="preserve"> The relation between diversification and systemic risk is </w:t>
      </w:r>
      <w:r w:rsidR="003729A6" w:rsidRPr="009D043A">
        <w:rPr>
          <w:rFonts w:ascii="Times New Roman" w:hAnsi="Times New Roman" w:cs="Times New Roman"/>
          <w:sz w:val="24"/>
          <w:szCs w:val="24"/>
          <w:lang w:val="en-US"/>
        </w:rPr>
        <w:t>ambiguous</w:t>
      </w:r>
      <w:r w:rsidR="0031695D" w:rsidRPr="009D043A">
        <w:rPr>
          <w:rFonts w:ascii="Times New Roman" w:hAnsi="Times New Roman" w:cs="Times New Roman"/>
          <w:sz w:val="24"/>
          <w:szCs w:val="24"/>
          <w:lang w:val="en-US"/>
        </w:rPr>
        <w:t xml:space="preserve">, some of the </w:t>
      </w:r>
      <w:r w:rsidR="003729A6" w:rsidRPr="009D043A">
        <w:rPr>
          <w:rFonts w:ascii="Times New Roman" w:hAnsi="Times New Roman" w:cs="Times New Roman"/>
          <w:sz w:val="24"/>
          <w:szCs w:val="24"/>
          <w:lang w:val="en-US"/>
        </w:rPr>
        <w:t>researchers</w:t>
      </w:r>
      <w:r w:rsidR="0031695D" w:rsidRPr="009D043A">
        <w:rPr>
          <w:rFonts w:ascii="Times New Roman" w:hAnsi="Times New Roman" w:cs="Times New Roman"/>
          <w:sz w:val="24"/>
          <w:szCs w:val="24"/>
          <w:lang w:val="en-US"/>
        </w:rPr>
        <w:t xml:space="preserve"> propose that diversification at financial institutions </w:t>
      </w:r>
      <w:r w:rsidR="00111FE6" w:rsidRPr="009D043A">
        <w:rPr>
          <w:rFonts w:ascii="Times New Roman" w:hAnsi="Times New Roman" w:cs="Times New Roman"/>
          <w:sz w:val="24"/>
          <w:szCs w:val="24"/>
          <w:lang w:val="en-US"/>
        </w:rPr>
        <w:t>support</w:t>
      </w:r>
      <w:r w:rsidR="0031695D" w:rsidRPr="009D043A">
        <w:rPr>
          <w:rFonts w:ascii="Times New Roman" w:hAnsi="Times New Roman" w:cs="Times New Roman"/>
          <w:sz w:val="24"/>
          <w:szCs w:val="24"/>
          <w:lang w:val="en-US"/>
        </w:rPr>
        <w:t xml:space="preserve"> the stability of the financial system (Wagner, 2010). However, other perspective indicates that diversification has a dark-side as it makes banks more similar contributing to the systemi</w:t>
      </w:r>
      <w:r w:rsidR="003729A6" w:rsidRPr="009D043A">
        <w:rPr>
          <w:rFonts w:ascii="Times New Roman" w:hAnsi="Times New Roman" w:cs="Times New Roman"/>
          <w:sz w:val="24"/>
          <w:szCs w:val="24"/>
          <w:lang w:val="en-US"/>
        </w:rPr>
        <w:t>c</w:t>
      </w:r>
      <w:r w:rsidR="0031695D" w:rsidRPr="009D043A">
        <w:rPr>
          <w:rFonts w:ascii="Times New Roman" w:hAnsi="Times New Roman" w:cs="Times New Roman"/>
          <w:sz w:val="24"/>
          <w:szCs w:val="24"/>
          <w:lang w:val="en-US"/>
        </w:rPr>
        <w:t xml:space="preserve"> risk of the financial system (Van </w:t>
      </w:r>
      <w:proofErr w:type="spellStart"/>
      <w:r w:rsidR="0031695D" w:rsidRPr="009D043A">
        <w:rPr>
          <w:rFonts w:ascii="Times New Roman" w:hAnsi="Times New Roman" w:cs="Times New Roman"/>
          <w:sz w:val="24"/>
          <w:szCs w:val="24"/>
          <w:lang w:val="en-US"/>
        </w:rPr>
        <w:t>Oodt</w:t>
      </w:r>
      <w:proofErr w:type="spellEnd"/>
      <w:r w:rsidR="0031695D" w:rsidRPr="009D043A">
        <w:rPr>
          <w:rFonts w:ascii="Times New Roman" w:hAnsi="Times New Roman" w:cs="Times New Roman"/>
          <w:sz w:val="24"/>
          <w:szCs w:val="24"/>
          <w:lang w:val="en-US"/>
        </w:rPr>
        <w:t xml:space="preserve">, 2010; </w:t>
      </w:r>
      <w:r w:rsidR="003729A6" w:rsidRPr="009D043A">
        <w:rPr>
          <w:rFonts w:ascii="Times New Roman" w:hAnsi="Times New Roman" w:cs="Times New Roman"/>
          <w:sz w:val="24"/>
          <w:szCs w:val="24"/>
          <w:lang w:val="en-US"/>
        </w:rPr>
        <w:t>Wagner, 2010</w:t>
      </w:r>
      <w:r w:rsidR="00111FE6" w:rsidRPr="009D043A">
        <w:rPr>
          <w:rFonts w:ascii="Times New Roman" w:hAnsi="Times New Roman" w:cs="Times New Roman"/>
          <w:sz w:val="24"/>
          <w:szCs w:val="24"/>
          <w:lang w:val="en-US"/>
        </w:rPr>
        <w:t>;</w:t>
      </w:r>
      <w:r w:rsidR="003729A6" w:rsidRPr="009D043A">
        <w:rPr>
          <w:rFonts w:ascii="Times New Roman" w:hAnsi="Times New Roman" w:cs="Times New Roman"/>
          <w:sz w:val="24"/>
          <w:szCs w:val="24"/>
          <w:lang w:val="en-US"/>
        </w:rPr>
        <w:t xml:space="preserve"> </w:t>
      </w:r>
      <w:r w:rsidR="007D57DF" w:rsidRPr="009D043A">
        <w:rPr>
          <w:rFonts w:ascii="Times New Roman" w:hAnsi="Times New Roman" w:cs="Times New Roman"/>
          <w:sz w:val="24"/>
          <w:szCs w:val="24"/>
          <w:lang w:val="en-US"/>
        </w:rPr>
        <w:t>Shaffer</w:t>
      </w:r>
      <w:r w:rsidR="00111FE6" w:rsidRPr="009D043A">
        <w:rPr>
          <w:rFonts w:ascii="Times New Roman" w:hAnsi="Times New Roman" w:cs="Times New Roman"/>
          <w:sz w:val="24"/>
          <w:szCs w:val="24"/>
          <w:lang w:val="en-US"/>
        </w:rPr>
        <w:t xml:space="preserve">, </w:t>
      </w:r>
      <w:r w:rsidR="007D57DF" w:rsidRPr="009D043A">
        <w:rPr>
          <w:rFonts w:ascii="Times New Roman" w:hAnsi="Times New Roman" w:cs="Times New Roman"/>
          <w:sz w:val="24"/>
          <w:szCs w:val="24"/>
          <w:lang w:val="en-US"/>
        </w:rPr>
        <w:t>1994</w:t>
      </w:r>
      <w:r w:rsidR="00512040" w:rsidRPr="009D043A">
        <w:rPr>
          <w:rFonts w:ascii="Times New Roman" w:hAnsi="Times New Roman" w:cs="Times New Roman"/>
          <w:sz w:val="24"/>
          <w:szCs w:val="24"/>
          <w:lang w:val="en-US"/>
        </w:rPr>
        <w:t xml:space="preserve"> and </w:t>
      </w:r>
      <w:proofErr w:type="spellStart"/>
      <w:r w:rsidR="00512040" w:rsidRPr="009D043A">
        <w:rPr>
          <w:rFonts w:ascii="Times New Roman" w:hAnsi="Times New Roman" w:cs="Times New Roman"/>
          <w:sz w:val="24"/>
          <w:szCs w:val="24"/>
          <w:lang w:val="en-US"/>
        </w:rPr>
        <w:t>Ibragimov</w:t>
      </w:r>
      <w:proofErr w:type="spellEnd"/>
      <w:r w:rsidR="00512040" w:rsidRPr="009D043A">
        <w:rPr>
          <w:rFonts w:ascii="Times New Roman" w:hAnsi="Times New Roman" w:cs="Times New Roman"/>
          <w:sz w:val="24"/>
          <w:szCs w:val="24"/>
          <w:lang w:val="en-US"/>
        </w:rPr>
        <w:t xml:space="preserve"> et al.</w:t>
      </w:r>
      <w:r w:rsidR="00047484" w:rsidRPr="009D043A">
        <w:rPr>
          <w:rFonts w:ascii="Times New Roman" w:hAnsi="Times New Roman" w:cs="Times New Roman"/>
          <w:sz w:val="24"/>
          <w:szCs w:val="24"/>
          <w:lang w:val="en-US"/>
        </w:rPr>
        <w:t>,</w:t>
      </w:r>
      <w:r w:rsidR="00512040" w:rsidRPr="009D043A">
        <w:rPr>
          <w:rFonts w:ascii="Times New Roman" w:hAnsi="Times New Roman" w:cs="Times New Roman"/>
          <w:sz w:val="24"/>
          <w:szCs w:val="24"/>
          <w:lang w:val="en-US"/>
        </w:rPr>
        <w:t xml:space="preserve"> </w:t>
      </w:r>
      <w:r w:rsidR="00362544" w:rsidRPr="009D043A">
        <w:rPr>
          <w:rFonts w:ascii="Times New Roman" w:hAnsi="Times New Roman" w:cs="Times New Roman"/>
          <w:sz w:val="24"/>
          <w:szCs w:val="24"/>
          <w:lang w:val="en-US"/>
        </w:rPr>
        <w:t xml:space="preserve">2011) </w:t>
      </w:r>
      <w:r w:rsidR="00425D99" w:rsidRPr="009D043A">
        <w:rPr>
          <w:rFonts w:ascii="Times New Roman" w:hAnsi="Times New Roman" w:cs="Times New Roman"/>
          <w:sz w:val="24"/>
          <w:szCs w:val="24"/>
          <w:lang w:val="en-US"/>
        </w:rPr>
        <w:t>a</w:t>
      </w:r>
      <w:r w:rsidR="00512040" w:rsidRPr="009D043A">
        <w:rPr>
          <w:rFonts w:ascii="Times New Roman" w:hAnsi="Times New Roman" w:cs="Times New Roman"/>
          <w:sz w:val="24"/>
          <w:szCs w:val="24"/>
          <w:lang w:val="en-US"/>
        </w:rPr>
        <w:t>ddressed the full diversification condition and indicated that diversification may benefit individual institutions but</w:t>
      </w:r>
      <w:r w:rsidR="007D57DF" w:rsidRPr="009D043A">
        <w:rPr>
          <w:rFonts w:ascii="Times New Roman" w:hAnsi="Times New Roman" w:cs="Times New Roman"/>
          <w:sz w:val="24"/>
          <w:szCs w:val="24"/>
          <w:lang w:val="en-US"/>
        </w:rPr>
        <w:t xml:space="preserve"> </w:t>
      </w:r>
      <w:r w:rsidR="00512040" w:rsidRPr="009D043A">
        <w:rPr>
          <w:rFonts w:ascii="Times New Roman" w:hAnsi="Times New Roman" w:cs="Times New Roman"/>
          <w:sz w:val="24"/>
          <w:szCs w:val="24"/>
          <w:lang w:val="en-US"/>
        </w:rPr>
        <w:t>often increases systemic risk</w:t>
      </w:r>
      <w:r w:rsidR="00DA7761" w:rsidRPr="009D043A">
        <w:rPr>
          <w:rFonts w:ascii="Times New Roman" w:hAnsi="Times New Roman" w:cs="Times New Roman"/>
          <w:sz w:val="24"/>
          <w:szCs w:val="24"/>
          <w:lang w:val="en-US"/>
        </w:rPr>
        <w:t xml:space="preserve">. </w:t>
      </w:r>
    </w:p>
    <w:p w:rsidR="007D57DF" w:rsidRPr="009D043A" w:rsidRDefault="007D57DF" w:rsidP="009D043A">
      <w:pPr>
        <w:autoSpaceDE w:val="0"/>
        <w:autoSpaceDN w:val="0"/>
        <w:adjustRightInd w:val="0"/>
        <w:spacing w:after="0" w:line="240" w:lineRule="auto"/>
        <w:jc w:val="both"/>
        <w:rPr>
          <w:rFonts w:ascii="Times New Roman" w:hAnsi="Times New Roman" w:cs="Times New Roman"/>
          <w:sz w:val="24"/>
          <w:szCs w:val="24"/>
          <w:lang w:val="en-US"/>
        </w:rPr>
      </w:pPr>
    </w:p>
    <w:p w:rsidR="00B27ED4" w:rsidRPr="009D043A" w:rsidRDefault="0036254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All the regulatory efforts on banking </w:t>
      </w:r>
      <w:r w:rsidR="00997657" w:rsidRPr="009D043A">
        <w:rPr>
          <w:rFonts w:ascii="Times New Roman" w:hAnsi="Times New Roman" w:cs="Times New Roman"/>
          <w:sz w:val="24"/>
          <w:szCs w:val="24"/>
          <w:lang w:val="en-US"/>
        </w:rPr>
        <w:t xml:space="preserve">in every country </w:t>
      </w:r>
      <w:r w:rsidRPr="009D043A">
        <w:rPr>
          <w:rFonts w:ascii="Times New Roman" w:hAnsi="Times New Roman" w:cs="Times New Roman"/>
          <w:sz w:val="24"/>
          <w:szCs w:val="24"/>
          <w:lang w:val="en-US"/>
        </w:rPr>
        <w:t xml:space="preserve">aims to lower the risk exposure of individual banks </w:t>
      </w:r>
      <w:r w:rsidR="00997657" w:rsidRPr="009D043A">
        <w:rPr>
          <w:rFonts w:ascii="Times New Roman" w:hAnsi="Times New Roman" w:cs="Times New Roman"/>
          <w:sz w:val="24"/>
          <w:szCs w:val="24"/>
          <w:lang w:val="en-US"/>
        </w:rPr>
        <w:t xml:space="preserve">by limiting the concentration of credit, liquidity, foreign exchange and all other risks.  At the bank and portfolio level, in order to control concentration of exposures, diversification seems a preferred solution. However, especially for the bigger banks which have the potential to influence the overall banking system, the strategies of diversification may result with </w:t>
      </w:r>
      <w:r w:rsidR="00C84BBC" w:rsidRPr="009D043A">
        <w:rPr>
          <w:rFonts w:ascii="Times New Roman" w:hAnsi="Times New Roman" w:cs="Times New Roman"/>
          <w:sz w:val="24"/>
          <w:szCs w:val="24"/>
          <w:lang w:val="en-US"/>
        </w:rPr>
        <w:t>increased systemic risk for the financial system, which, in turn will adversely affect the banks.</w:t>
      </w:r>
      <w:r w:rsidR="005776FF" w:rsidRPr="009D043A">
        <w:rPr>
          <w:rFonts w:ascii="Times New Roman" w:hAnsi="Times New Roman" w:cs="Times New Roman"/>
          <w:sz w:val="24"/>
          <w:szCs w:val="24"/>
          <w:lang w:val="en-US"/>
        </w:rPr>
        <w:t xml:space="preserve"> It is fact that there exist a</w:t>
      </w:r>
      <w:r w:rsidR="007D57DF"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 xml:space="preserve">gap of research in relation with the individual bank diversification and the </w:t>
      </w:r>
      <w:r w:rsidR="00DD09B8" w:rsidRPr="009D043A">
        <w:rPr>
          <w:rFonts w:ascii="Times New Roman" w:hAnsi="Times New Roman" w:cs="Times New Roman"/>
          <w:sz w:val="24"/>
          <w:szCs w:val="24"/>
          <w:lang w:val="en-US"/>
        </w:rPr>
        <w:t>systemic risk. The aim of this paper is to contribute to the literature t</w:t>
      </w:r>
      <w:r w:rsidR="00153B2B" w:rsidRPr="009D043A">
        <w:rPr>
          <w:rFonts w:ascii="Times New Roman" w:hAnsi="Times New Roman" w:cs="Times New Roman"/>
          <w:sz w:val="24"/>
          <w:szCs w:val="24"/>
          <w:lang w:val="en-US"/>
        </w:rPr>
        <w:t xml:space="preserve">o determine the relation between diversification </w:t>
      </w:r>
      <w:r w:rsidR="00111FE6" w:rsidRPr="009D043A">
        <w:rPr>
          <w:rFonts w:ascii="Times New Roman" w:hAnsi="Times New Roman" w:cs="Times New Roman"/>
          <w:sz w:val="24"/>
          <w:szCs w:val="24"/>
          <w:lang w:val="en-US"/>
        </w:rPr>
        <w:t>and</w:t>
      </w:r>
      <w:r w:rsidR="00153B2B" w:rsidRPr="009D043A">
        <w:rPr>
          <w:rFonts w:ascii="Times New Roman" w:hAnsi="Times New Roman" w:cs="Times New Roman"/>
          <w:sz w:val="24"/>
          <w:szCs w:val="24"/>
          <w:lang w:val="en-US"/>
        </w:rPr>
        <w:t xml:space="preserve"> systemic risk by employing Turkish data.</w:t>
      </w:r>
    </w:p>
    <w:p w:rsidR="00553D69" w:rsidRPr="009D043A" w:rsidRDefault="00553D69" w:rsidP="009D043A">
      <w:pPr>
        <w:autoSpaceDE w:val="0"/>
        <w:autoSpaceDN w:val="0"/>
        <w:adjustRightInd w:val="0"/>
        <w:spacing w:after="0" w:line="240" w:lineRule="auto"/>
        <w:jc w:val="both"/>
        <w:rPr>
          <w:rFonts w:ascii="Times New Roman" w:hAnsi="Times New Roman" w:cs="Times New Roman"/>
          <w:sz w:val="24"/>
          <w:szCs w:val="24"/>
          <w:lang w:val="en-US"/>
        </w:rPr>
      </w:pPr>
    </w:p>
    <w:p w:rsidR="00362544" w:rsidRPr="009D043A" w:rsidRDefault="00AF32D0"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Methodology</w:t>
      </w:r>
    </w:p>
    <w:p w:rsidR="0046785A" w:rsidRPr="009D043A" w:rsidRDefault="0046785A" w:rsidP="009D043A">
      <w:pPr>
        <w:autoSpaceDE w:val="0"/>
        <w:autoSpaceDN w:val="0"/>
        <w:adjustRightInd w:val="0"/>
        <w:spacing w:after="0" w:line="240" w:lineRule="auto"/>
        <w:jc w:val="both"/>
        <w:rPr>
          <w:rFonts w:ascii="Times New Roman" w:hAnsi="Times New Roman" w:cs="Times New Roman"/>
          <w:sz w:val="24"/>
          <w:szCs w:val="24"/>
          <w:lang w:val="en-US"/>
        </w:rPr>
      </w:pPr>
    </w:p>
    <w:p w:rsidR="00CB3AF2" w:rsidRPr="009D043A" w:rsidRDefault="003767B7"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Diversification in banking </w:t>
      </w:r>
      <w:r w:rsidR="00111FE6" w:rsidRPr="009D043A">
        <w:rPr>
          <w:rFonts w:ascii="Times New Roman" w:hAnsi="Times New Roman" w:cs="Times New Roman"/>
          <w:sz w:val="24"/>
          <w:szCs w:val="24"/>
          <w:lang w:val="en-US"/>
        </w:rPr>
        <w:t xml:space="preserve">sector </w:t>
      </w:r>
      <w:r w:rsidRPr="009D043A">
        <w:rPr>
          <w:rFonts w:ascii="Times New Roman" w:hAnsi="Times New Roman" w:cs="Times New Roman"/>
          <w:sz w:val="24"/>
          <w:szCs w:val="24"/>
          <w:lang w:val="en-US"/>
        </w:rPr>
        <w:t xml:space="preserve">can be achieved by means of </w:t>
      </w:r>
      <w:r w:rsidR="00F75A1B" w:rsidRPr="009D043A">
        <w:rPr>
          <w:rFonts w:ascii="Times New Roman" w:hAnsi="Times New Roman" w:cs="Times New Roman"/>
          <w:sz w:val="24"/>
          <w:szCs w:val="24"/>
          <w:lang w:val="en-US"/>
        </w:rPr>
        <w:t xml:space="preserve">using different types of </w:t>
      </w:r>
      <w:r w:rsidRPr="009D043A">
        <w:rPr>
          <w:rFonts w:ascii="Times New Roman" w:hAnsi="Times New Roman" w:cs="Times New Roman"/>
          <w:sz w:val="24"/>
          <w:szCs w:val="24"/>
          <w:lang w:val="en-US"/>
        </w:rPr>
        <w:t>financial products and services, geographic expansion</w:t>
      </w:r>
      <w:r w:rsidR="00F75A1B" w:rsidRPr="009D043A">
        <w:rPr>
          <w:rFonts w:ascii="Times New Roman" w:hAnsi="Times New Roman" w:cs="Times New Roman"/>
          <w:sz w:val="24"/>
          <w:szCs w:val="24"/>
          <w:lang w:val="en-US"/>
        </w:rPr>
        <w:t xml:space="preserve"> and </w:t>
      </w:r>
      <w:r w:rsidRPr="009D043A">
        <w:rPr>
          <w:rFonts w:ascii="Times New Roman" w:hAnsi="Times New Roman" w:cs="Times New Roman"/>
          <w:sz w:val="24"/>
          <w:szCs w:val="24"/>
          <w:lang w:val="en-US"/>
        </w:rPr>
        <w:t>a combination of geographic and business line diversification</w:t>
      </w:r>
      <w:r w:rsidR="00047484" w:rsidRPr="009D043A">
        <w:rPr>
          <w:rFonts w:ascii="Times New Roman" w:hAnsi="Times New Roman" w:cs="Times New Roman"/>
          <w:sz w:val="24"/>
          <w:szCs w:val="24"/>
          <w:lang w:val="en-US"/>
        </w:rPr>
        <w:t xml:space="preserve"> (</w:t>
      </w:r>
      <w:proofErr w:type="spellStart"/>
      <w:r w:rsidR="00047484" w:rsidRPr="009D043A">
        <w:rPr>
          <w:rFonts w:ascii="Times New Roman" w:hAnsi="Times New Roman" w:cs="Times New Roman"/>
          <w:sz w:val="24"/>
          <w:szCs w:val="24"/>
          <w:lang w:val="en-US"/>
        </w:rPr>
        <w:t>Merceria</w:t>
      </w:r>
      <w:proofErr w:type="spellEnd"/>
      <w:r w:rsidR="00047484" w:rsidRPr="009D043A">
        <w:rPr>
          <w:rFonts w:ascii="Times New Roman" w:hAnsi="Times New Roman" w:cs="Times New Roman"/>
          <w:sz w:val="24"/>
          <w:szCs w:val="24"/>
          <w:lang w:val="en-US"/>
        </w:rPr>
        <w:t xml:space="preserve"> et al., 2007)</w:t>
      </w:r>
      <w:r w:rsidRPr="009D043A">
        <w:rPr>
          <w:rFonts w:ascii="Times New Roman" w:hAnsi="Times New Roman" w:cs="Times New Roman"/>
          <w:sz w:val="24"/>
          <w:szCs w:val="24"/>
          <w:lang w:val="en-US"/>
        </w:rPr>
        <w:t>.</w:t>
      </w:r>
      <w:r w:rsidR="00F75A1B" w:rsidRPr="009D043A">
        <w:rPr>
          <w:rFonts w:ascii="Times New Roman" w:hAnsi="Times New Roman" w:cs="Times New Roman"/>
          <w:sz w:val="24"/>
          <w:szCs w:val="24"/>
          <w:lang w:val="en-US"/>
        </w:rPr>
        <w:t xml:space="preserve"> However, i</w:t>
      </w:r>
      <w:r w:rsidRPr="009D043A">
        <w:rPr>
          <w:rFonts w:ascii="Times New Roman" w:hAnsi="Times New Roman" w:cs="Times New Roman"/>
          <w:sz w:val="24"/>
          <w:szCs w:val="24"/>
          <w:lang w:val="en-US"/>
        </w:rPr>
        <w:t>n this paper, bank diversification will be evaluated by means of distribution of non-interest income amongst the sources as proposed b</w:t>
      </w:r>
      <w:r w:rsidR="00F75A1B" w:rsidRPr="009D043A">
        <w:rPr>
          <w:rFonts w:ascii="Times New Roman" w:hAnsi="Times New Roman" w:cs="Times New Roman"/>
          <w:sz w:val="24"/>
          <w:szCs w:val="24"/>
          <w:lang w:val="en-US"/>
        </w:rPr>
        <w:t xml:space="preserve">y </w:t>
      </w:r>
      <w:r w:rsidR="00F75A1B" w:rsidRPr="009D043A">
        <w:rPr>
          <w:rFonts w:ascii="Times New Roman" w:hAnsi="Times New Roman" w:cs="Times New Roman"/>
          <w:sz w:val="24"/>
          <w:szCs w:val="24"/>
          <w:lang w:val="en-US"/>
        </w:rPr>
        <w:lastRenderedPageBreak/>
        <w:t xml:space="preserve">many researchers. </w:t>
      </w:r>
      <w:r w:rsidR="00CB3AF2" w:rsidRPr="009D043A">
        <w:rPr>
          <w:rFonts w:ascii="Times New Roman" w:hAnsi="Times New Roman" w:cs="Times New Roman"/>
          <w:sz w:val="24"/>
          <w:szCs w:val="24"/>
          <w:lang w:val="en-US"/>
        </w:rPr>
        <w:t xml:space="preserve">This method originated by </w:t>
      </w:r>
      <w:proofErr w:type="spellStart"/>
      <w:r w:rsidR="00CB3AF2" w:rsidRPr="009D043A">
        <w:rPr>
          <w:rFonts w:ascii="Times New Roman" w:hAnsi="Times New Roman" w:cs="Times New Roman"/>
          <w:sz w:val="24"/>
          <w:szCs w:val="24"/>
          <w:lang w:val="en-US"/>
        </w:rPr>
        <w:t>Herfindahl</w:t>
      </w:r>
      <w:proofErr w:type="spellEnd"/>
      <w:r w:rsidR="00CB3AF2" w:rsidRPr="009D043A">
        <w:rPr>
          <w:rFonts w:ascii="Times New Roman" w:hAnsi="Times New Roman" w:cs="Times New Roman"/>
          <w:sz w:val="24"/>
          <w:szCs w:val="24"/>
          <w:lang w:val="en-US"/>
        </w:rPr>
        <w:t xml:space="preserve"> has been modified and used by many researchers such Morgan and </w:t>
      </w:r>
      <w:proofErr w:type="spellStart"/>
      <w:r w:rsidR="00CB3AF2" w:rsidRPr="009D043A">
        <w:rPr>
          <w:rFonts w:ascii="Times New Roman" w:hAnsi="Times New Roman" w:cs="Times New Roman"/>
          <w:sz w:val="24"/>
          <w:szCs w:val="24"/>
          <w:lang w:val="en-US"/>
        </w:rPr>
        <w:t>Samolyk</w:t>
      </w:r>
      <w:proofErr w:type="spellEnd"/>
      <w:r w:rsidR="00CB3AF2" w:rsidRPr="009D043A">
        <w:rPr>
          <w:rFonts w:ascii="Times New Roman" w:hAnsi="Times New Roman" w:cs="Times New Roman"/>
          <w:sz w:val="24"/>
          <w:szCs w:val="24"/>
          <w:lang w:val="en-US"/>
        </w:rPr>
        <w:t xml:space="preserve"> (2003); </w:t>
      </w:r>
      <w:proofErr w:type="spellStart"/>
      <w:r w:rsidR="00CB3AF2" w:rsidRPr="009D043A">
        <w:rPr>
          <w:rFonts w:ascii="Times New Roman" w:hAnsi="Times New Roman" w:cs="Times New Roman"/>
          <w:sz w:val="24"/>
          <w:szCs w:val="24"/>
          <w:lang w:val="en-US"/>
        </w:rPr>
        <w:t>Stiroh</w:t>
      </w:r>
      <w:proofErr w:type="spellEnd"/>
      <w:r w:rsidR="00CB3AF2" w:rsidRPr="009D043A">
        <w:rPr>
          <w:rFonts w:ascii="Times New Roman" w:hAnsi="Times New Roman" w:cs="Times New Roman"/>
          <w:sz w:val="24"/>
          <w:szCs w:val="24"/>
          <w:lang w:val="en-US"/>
        </w:rPr>
        <w:t xml:space="preserve"> (2004a), Thomas (2002) and Li (2016).</w:t>
      </w:r>
    </w:p>
    <w:p w:rsidR="00CB3AF2" w:rsidRPr="009D043A" w:rsidRDefault="00CB3AF2" w:rsidP="009D043A">
      <w:pPr>
        <w:autoSpaceDE w:val="0"/>
        <w:autoSpaceDN w:val="0"/>
        <w:adjustRightInd w:val="0"/>
        <w:spacing w:after="0" w:line="240" w:lineRule="auto"/>
        <w:jc w:val="both"/>
        <w:rPr>
          <w:rFonts w:ascii="Times New Roman" w:hAnsi="Times New Roman" w:cs="Times New Roman"/>
          <w:sz w:val="24"/>
          <w:szCs w:val="24"/>
          <w:lang w:val="en-US"/>
        </w:rPr>
      </w:pPr>
    </w:p>
    <w:p w:rsidR="00FB7865" w:rsidRPr="009D043A" w:rsidRDefault="00167D6C"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Referring</w:t>
      </w:r>
      <w:r w:rsidR="00CB3AF2" w:rsidRPr="009D043A">
        <w:rPr>
          <w:rFonts w:ascii="Times New Roman" w:hAnsi="Times New Roman" w:cs="Times New Roman"/>
          <w:sz w:val="24"/>
          <w:szCs w:val="24"/>
          <w:lang w:val="en-US"/>
        </w:rPr>
        <w:t xml:space="preserve"> to the study of </w:t>
      </w:r>
      <w:proofErr w:type="spellStart"/>
      <w:r w:rsidR="00FB7865" w:rsidRPr="009D043A">
        <w:rPr>
          <w:rFonts w:ascii="Times New Roman" w:hAnsi="Times New Roman" w:cs="Times New Roman"/>
          <w:sz w:val="24"/>
          <w:szCs w:val="24"/>
          <w:lang w:val="en-US"/>
        </w:rPr>
        <w:t>Elsas</w:t>
      </w:r>
      <w:proofErr w:type="spellEnd"/>
      <w:r w:rsidR="00FB7865" w:rsidRPr="009D043A">
        <w:rPr>
          <w:rFonts w:ascii="Times New Roman" w:hAnsi="Times New Roman" w:cs="Times New Roman"/>
          <w:sz w:val="24"/>
          <w:szCs w:val="24"/>
          <w:lang w:val="en-US"/>
        </w:rPr>
        <w:t xml:space="preserve"> et al. (2010),</w:t>
      </w:r>
      <w:r w:rsidR="00CB3AF2" w:rsidRPr="009D043A">
        <w:rPr>
          <w:rFonts w:ascii="Times New Roman" w:hAnsi="Times New Roman" w:cs="Times New Roman"/>
          <w:sz w:val="24"/>
          <w:szCs w:val="24"/>
          <w:lang w:val="en-US"/>
        </w:rPr>
        <w:t xml:space="preserve"> diversification has been measured</w:t>
      </w:r>
      <w:r w:rsidR="00FB7865" w:rsidRPr="009D043A">
        <w:rPr>
          <w:rFonts w:ascii="Times New Roman" w:hAnsi="Times New Roman" w:cs="Times New Roman"/>
          <w:sz w:val="24"/>
          <w:szCs w:val="24"/>
          <w:lang w:val="en-US"/>
        </w:rPr>
        <w:t xml:space="preserve"> by classifying bank’s non-interest-related activities into net commission revenue, net trading revenue and all other net revenue and the formulation</w:t>
      </w:r>
      <w:r w:rsidR="008973DE" w:rsidRPr="009D043A">
        <w:rPr>
          <w:rFonts w:ascii="Times New Roman" w:hAnsi="Times New Roman" w:cs="Times New Roman"/>
          <w:sz w:val="24"/>
          <w:szCs w:val="24"/>
          <w:lang w:val="en-US"/>
        </w:rPr>
        <w:t xml:space="preserve"> </w:t>
      </w:r>
      <w:r w:rsidR="00E74728" w:rsidRPr="009D043A">
        <w:rPr>
          <w:rFonts w:ascii="Times New Roman" w:hAnsi="Times New Roman" w:cs="Times New Roman"/>
          <w:sz w:val="24"/>
          <w:szCs w:val="24"/>
          <w:lang w:val="en-US"/>
        </w:rPr>
        <w:t xml:space="preserve">to illustrate the diversification indicator of bank </w:t>
      </w:r>
      <w:r w:rsidR="00E74728" w:rsidRPr="009D043A">
        <w:rPr>
          <w:rFonts w:ascii="Cambria Math" w:hAnsi="Cambria Math" w:cs="Cambria Math"/>
          <w:sz w:val="24"/>
          <w:szCs w:val="24"/>
          <w:lang w:val="en-US"/>
        </w:rPr>
        <w:t>𝑖</w:t>
      </w:r>
      <w:r w:rsidR="00E74728" w:rsidRPr="009D043A">
        <w:rPr>
          <w:rFonts w:ascii="Times New Roman" w:hAnsi="Times New Roman" w:cs="Times New Roman"/>
          <w:sz w:val="24"/>
          <w:szCs w:val="24"/>
          <w:lang w:val="en-US"/>
        </w:rPr>
        <w:t xml:space="preserve"> at time </w:t>
      </w:r>
      <w:r w:rsidR="00E74728" w:rsidRPr="009D043A">
        <w:rPr>
          <w:rFonts w:ascii="Cambria Math" w:hAnsi="Cambria Math" w:cs="Cambria Math"/>
          <w:sz w:val="24"/>
          <w:szCs w:val="24"/>
          <w:lang w:val="en-US"/>
        </w:rPr>
        <w:t>𝑡</w:t>
      </w:r>
      <w:r w:rsidR="00E74728" w:rsidRPr="009D043A">
        <w:rPr>
          <w:rFonts w:ascii="Times New Roman" w:hAnsi="Times New Roman" w:cs="Times New Roman"/>
          <w:sz w:val="24"/>
          <w:szCs w:val="24"/>
          <w:lang w:val="en-US"/>
        </w:rPr>
        <w:t xml:space="preserve"> as follows</w:t>
      </w:r>
      <w:r w:rsidR="00FB7865" w:rsidRPr="009D043A">
        <w:rPr>
          <w:rFonts w:ascii="Times New Roman" w:hAnsi="Times New Roman" w:cs="Times New Roman"/>
          <w:sz w:val="24"/>
          <w:szCs w:val="24"/>
          <w:lang w:val="en-US"/>
        </w:rPr>
        <w:t>:</w:t>
      </w:r>
    </w:p>
    <w:p w:rsidR="00FB7865" w:rsidRPr="009D043A" w:rsidRDefault="00FB7865" w:rsidP="009D043A">
      <w:pPr>
        <w:autoSpaceDE w:val="0"/>
        <w:autoSpaceDN w:val="0"/>
        <w:adjustRightInd w:val="0"/>
        <w:spacing w:after="0" w:line="240" w:lineRule="auto"/>
        <w:jc w:val="both"/>
        <w:rPr>
          <w:rFonts w:ascii="Times New Roman" w:hAnsi="Times New Roman" w:cs="Times New Roman"/>
          <w:sz w:val="24"/>
          <w:szCs w:val="24"/>
          <w:lang w:val="en-US"/>
        </w:rPr>
      </w:pPr>
    </w:p>
    <w:p w:rsidR="00FB7865" w:rsidRPr="009D043A" w:rsidRDefault="009522F0" w:rsidP="009D043A">
      <w:pPr>
        <w:autoSpaceDE w:val="0"/>
        <w:autoSpaceDN w:val="0"/>
        <w:adjustRightInd w:val="0"/>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DIV</m:t>
              </m:r>
            </m:e>
            <m:sub>
              <m: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d>
            <m:dPr>
              <m:begChr m:val="["/>
              <m:endChr m:val="]"/>
              <m:ctrlPr>
                <w:rPr>
                  <w:rFonts w:ascii="Cambria Math" w:hAnsi="Cambria Math" w:cs="Times New Roman"/>
                  <w:sz w:val="24"/>
                  <w:szCs w:val="24"/>
                  <w:lang w:val="en-US"/>
                </w:rPr>
              </m:ctrlPr>
            </m:dPr>
            <m:e>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w:rPr>
                                  <w:rFonts w:ascii="Cambria Math" w:hAnsi="Cambria Math" w:cs="Times New Roman"/>
                                  <w:sz w:val="24"/>
                                  <w:szCs w:val="24"/>
                                  <w:lang w:val="en-US"/>
                                </w:rPr>
                                <m:t>INT</m:t>
                              </m:r>
                            </m:e>
                            <m:sub>
                              <m:r>
                                <w:rPr>
                                  <w:rFonts w:ascii="Cambria Math" w:hAnsi="Cambria Math" w:cs="Times New Roman"/>
                                  <w:sz w:val="24"/>
                                  <w:szCs w:val="24"/>
                                  <w:lang w:val="en-US"/>
                                </w:rPr>
                                <m:t>it</m:t>
                              </m:r>
                            </m:sub>
                          </m:sSub>
                        </m:num>
                        <m:den>
                          <m:sSub>
                            <m:sSubPr>
                              <m:ctrlPr>
                                <w:rPr>
                                  <w:rFonts w:ascii="Cambria Math" w:hAnsi="Cambria Math" w:cs="Times New Roman"/>
                                  <w:sz w:val="24"/>
                                  <w:szCs w:val="24"/>
                                  <w:lang w:val="en-US"/>
                                </w:rPr>
                              </m:ctrlPr>
                            </m:sSubPr>
                            <m:e>
                              <m:r>
                                <w:rPr>
                                  <w:rFonts w:ascii="Cambria Math" w:hAnsi="Cambria Math" w:cs="Times New Roman"/>
                                  <w:sz w:val="24"/>
                                  <w:szCs w:val="24"/>
                                  <w:lang w:val="en-US"/>
                                </w:rPr>
                                <m:t>TOR</m:t>
                              </m:r>
                            </m:e>
                            <m:sub>
                              <m:r>
                                <w:rPr>
                                  <w:rFonts w:ascii="Cambria Math" w:hAnsi="Cambria Math" w:cs="Times New Roman"/>
                                  <w:sz w:val="24"/>
                                  <w:szCs w:val="24"/>
                                  <w:lang w:val="en-US"/>
                                </w:rPr>
                                <m:t>it</m:t>
                              </m:r>
                            </m:sub>
                          </m:sSub>
                        </m:den>
                      </m:f>
                    </m:e>
                  </m:d>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 xml:space="preserve">+ </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w:rPr>
                                  <w:rFonts w:ascii="Cambria Math" w:hAnsi="Cambria Math" w:cs="Times New Roman"/>
                                  <w:sz w:val="24"/>
                                  <w:szCs w:val="24"/>
                                  <w:lang w:val="en-US"/>
                                </w:rPr>
                                <m:t>COM</m:t>
                              </m:r>
                            </m:e>
                            <m:sub>
                              <m:r>
                                <w:rPr>
                                  <w:rFonts w:ascii="Cambria Math" w:hAnsi="Cambria Math" w:cs="Times New Roman"/>
                                  <w:sz w:val="24"/>
                                  <w:szCs w:val="24"/>
                                  <w:lang w:val="en-US"/>
                                </w:rPr>
                                <m:t>it</m:t>
                              </m:r>
                            </m:sub>
                          </m:sSub>
                        </m:num>
                        <m:den>
                          <m:sSub>
                            <m:sSubPr>
                              <m:ctrlPr>
                                <w:rPr>
                                  <w:rFonts w:ascii="Cambria Math" w:hAnsi="Cambria Math" w:cs="Times New Roman"/>
                                  <w:sz w:val="24"/>
                                  <w:szCs w:val="24"/>
                                  <w:lang w:val="en-US"/>
                                </w:rPr>
                              </m:ctrlPr>
                            </m:sSubPr>
                            <m:e>
                              <m:r>
                                <w:rPr>
                                  <w:rFonts w:ascii="Cambria Math" w:hAnsi="Cambria Math" w:cs="Times New Roman"/>
                                  <w:sz w:val="24"/>
                                  <w:szCs w:val="24"/>
                                  <w:lang w:val="en-US"/>
                                </w:rPr>
                                <m:t>TOR</m:t>
                              </m:r>
                            </m:e>
                            <m:sub>
                              <m:r>
                                <w:rPr>
                                  <w:rFonts w:ascii="Cambria Math" w:hAnsi="Cambria Math" w:cs="Times New Roman"/>
                                  <w:sz w:val="24"/>
                                  <w:szCs w:val="24"/>
                                  <w:lang w:val="en-US"/>
                                </w:rPr>
                                <m:t>it</m:t>
                              </m:r>
                            </m:sub>
                          </m:sSub>
                        </m:den>
                      </m:f>
                    </m:e>
                  </m:d>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w:rPr>
                                  <w:rFonts w:ascii="Cambria Math" w:hAnsi="Cambria Math" w:cs="Times New Roman"/>
                                  <w:sz w:val="24"/>
                                  <w:szCs w:val="24"/>
                                  <w:lang w:val="en-US"/>
                                </w:rPr>
                                <m:t>TRAD</m:t>
                              </m:r>
                            </m:e>
                            <m:sub>
                              <m:r>
                                <w:rPr>
                                  <w:rFonts w:ascii="Cambria Math" w:hAnsi="Cambria Math" w:cs="Times New Roman"/>
                                  <w:sz w:val="24"/>
                                  <w:szCs w:val="24"/>
                                  <w:lang w:val="en-US"/>
                                </w:rPr>
                                <m:t>it</m:t>
                              </m:r>
                            </m:sub>
                          </m:sSub>
                        </m:num>
                        <m:den>
                          <m:sSub>
                            <m:sSubPr>
                              <m:ctrlPr>
                                <w:rPr>
                                  <w:rFonts w:ascii="Cambria Math" w:hAnsi="Cambria Math" w:cs="Times New Roman"/>
                                  <w:sz w:val="24"/>
                                  <w:szCs w:val="24"/>
                                  <w:lang w:val="en-US"/>
                                </w:rPr>
                              </m:ctrlPr>
                            </m:sSubPr>
                            <m:e>
                              <m:r>
                                <w:rPr>
                                  <w:rFonts w:ascii="Cambria Math" w:hAnsi="Cambria Math" w:cs="Times New Roman"/>
                                  <w:sz w:val="24"/>
                                  <w:szCs w:val="24"/>
                                  <w:lang w:val="en-US"/>
                                </w:rPr>
                                <m:t>TOR</m:t>
                              </m:r>
                            </m:e>
                            <m:sub>
                              <m:r>
                                <w:rPr>
                                  <w:rFonts w:ascii="Cambria Math" w:hAnsi="Cambria Math" w:cs="Times New Roman"/>
                                  <w:sz w:val="24"/>
                                  <w:szCs w:val="24"/>
                                  <w:lang w:val="en-US"/>
                                </w:rPr>
                                <m:t>it</m:t>
                              </m:r>
                            </m:sub>
                          </m:sSub>
                        </m:den>
                      </m:f>
                    </m:e>
                  </m:d>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w:rPr>
                                  <w:rFonts w:ascii="Cambria Math" w:hAnsi="Cambria Math" w:cs="Times New Roman"/>
                                  <w:sz w:val="24"/>
                                  <w:szCs w:val="24"/>
                                  <w:lang w:val="en-US"/>
                                </w:rPr>
                                <m:t>OTH</m:t>
                              </m:r>
                            </m:e>
                            <m:sub>
                              <m:r>
                                <w:rPr>
                                  <w:rFonts w:ascii="Cambria Math" w:hAnsi="Cambria Math" w:cs="Times New Roman"/>
                                  <w:sz w:val="24"/>
                                  <w:szCs w:val="24"/>
                                  <w:lang w:val="en-US"/>
                                </w:rPr>
                                <m:t>it</m:t>
                              </m:r>
                            </m:sub>
                          </m:sSub>
                        </m:num>
                        <m:den>
                          <m:sSub>
                            <m:sSubPr>
                              <m:ctrlPr>
                                <w:rPr>
                                  <w:rFonts w:ascii="Cambria Math" w:hAnsi="Cambria Math" w:cs="Times New Roman"/>
                                  <w:sz w:val="24"/>
                                  <w:szCs w:val="24"/>
                                  <w:lang w:val="en-US"/>
                                </w:rPr>
                              </m:ctrlPr>
                            </m:sSubPr>
                            <m:e>
                              <m:r>
                                <w:rPr>
                                  <w:rFonts w:ascii="Cambria Math" w:hAnsi="Cambria Math" w:cs="Times New Roman"/>
                                  <w:sz w:val="24"/>
                                  <w:szCs w:val="24"/>
                                  <w:lang w:val="en-US"/>
                                </w:rPr>
                                <m:t>TOR</m:t>
                              </m:r>
                            </m:e>
                            <m:sub>
                              <m:r>
                                <w:rPr>
                                  <w:rFonts w:ascii="Cambria Math" w:hAnsi="Cambria Math" w:cs="Times New Roman"/>
                                  <w:sz w:val="24"/>
                                  <w:szCs w:val="24"/>
                                  <w:lang w:val="en-US"/>
                                </w:rPr>
                                <m:t>it</m:t>
                              </m:r>
                            </m:sub>
                          </m:sSub>
                        </m:den>
                      </m:f>
                    </m:e>
                  </m:d>
                </m:e>
                <m:sup>
                  <m:r>
                    <m:rPr>
                      <m:sty m:val="p"/>
                    </m:rPr>
                    <w:rPr>
                      <w:rFonts w:ascii="Cambria Math" w:hAnsi="Cambria Math" w:cs="Times New Roman"/>
                      <w:sz w:val="24"/>
                      <w:szCs w:val="24"/>
                      <w:lang w:val="en-US"/>
                    </w:rPr>
                    <m:t>2</m:t>
                  </m:r>
                </m:sup>
              </m:sSup>
            </m:e>
          </m:d>
        </m:oMath>
      </m:oMathPara>
    </w:p>
    <w:p w:rsidR="00FB7865" w:rsidRPr="009D043A" w:rsidRDefault="00FB7865" w:rsidP="009D043A">
      <w:pPr>
        <w:autoSpaceDE w:val="0"/>
        <w:autoSpaceDN w:val="0"/>
        <w:adjustRightInd w:val="0"/>
        <w:spacing w:after="0" w:line="240" w:lineRule="auto"/>
        <w:jc w:val="both"/>
        <w:rPr>
          <w:rFonts w:ascii="Times New Roman" w:hAnsi="Times New Roman" w:cs="Times New Roman"/>
          <w:sz w:val="24"/>
          <w:szCs w:val="24"/>
          <w:lang w:val="en-US"/>
        </w:rPr>
      </w:pPr>
    </w:p>
    <w:p w:rsidR="00FB7865" w:rsidRPr="009D043A" w:rsidRDefault="00AF32D0" w:rsidP="009D04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D043A">
        <w:rPr>
          <w:rFonts w:ascii="Times New Roman" w:hAnsi="Times New Roman" w:cs="Times New Roman"/>
          <w:sz w:val="24"/>
          <w:szCs w:val="24"/>
          <w:lang w:val="en-US"/>
        </w:rPr>
        <w:t>where</w:t>
      </w:r>
      <w:proofErr w:type="gramEnd"/>
      <w:r w:rsidRPr="009D043A">
        <w:rPr>
          <w:rFonts w:ascii="Times New Roman" w:hAnsi="Times New Roman" w:cs="Times New Roman"/>
          <w:sz w:val="24"/>
          <w:szCs w:val="24"/>
          <w:lang w:val="en-US"/>
        </w:rPr>
        <w:t xml:space="preserve"> INT denotes gross interest revenue, COM net commission revenue, TRAD net trading revenue, and OTH all other net revenue, respectively. TOR indicates total operating revenue, which is equal to the sum of the absolute values of INT, COM, TRAD, and OTH.</w:t>
      </w:r>
      <w:r w:rsidR="009F276B" w:rsidRPr="009D043A">
        <w:rPr>
          <w:rFonts w:ascii="Times New Roman" w:hAnsi="Times New Roman" w:cs="Times New Roman"/>
          <w:sz w:val="24"/>
          <w:szCs w:val="24"/>
          <w:lang w:val="en-US"/>
        </w:rPr>
        <w:t xml:space="preserve"> For each quarter in the </w:t>
      </w:r>
      <w:r w:rsidR="00202C44" w:rsidRPr="009D043A">
        <w:rPr>
          <w:rFonts w:ascii="Times New Roman" w:hAnsi="Times New Roman" w:cs="Times New Roman"/>
          <w:sz w:val="24"/>
          <w:szCs w:val="24"/>
          <w:lang w:val="en-US"/>
        </w:rPr>
        <w:t xml:space="preserve">period </w:t>
      </w:r>
      <w:proofErr w:type="gramStart"/>
      <w:r w:rsidR="00202C44" w:rsidRPr="009D043A">
        <w:rPr>
          <w:rFonts w:ascii="Times New Roman" w:hAnsi="Times New Roman" w:cs="Times New Roman"/>
          <w:sz w:val="24"/>
          <w:szCs w:val="24"/>
          <w:lang w:val="en-US"/>
        </w:rPr>
        <w:t xml:space="preserve">between </w:t>
      </w:r>
      <w:r w:rsidR="009F276B" w:rsidRPr="009D043A">
        <w:rPr>
          <w:rFonts w:ascii="Times New Roman" w:hAnsi="Times New Roman" w:cs="Times New Roman"/>
          <w:sz w:val="24"/>
          <w:szCs w:val="24"/>
          <w:lang w:val="en-US"/>
        </w:rPr>
        <w:t>2009-2016,</w:t>
      </w:r>
      <w:proofErr w:type="gramEnd"/>
      <w:r w:rsidR="009F276B" w:rsidRPr="009D043A">
        <w:rPr>
          <w:rFonts w:ascii="Times New Roman" w:hAnsi="Times New Roman" w:cs="Times New Roman"/>
          <w:sz w:val="24"/>
          <w:szCs w:val="24"/>
          <w:lang w:val="en-US"/>
        </w:rPr>
        <w:t xml:space="preserve"> an average diversification </w:t>
      </w:r>
      <w:r w:rsidR="00202C44" w:rsidRPr="009D043A">
        <w:rPr>
          <w:rFonts w:ascii="Times New Roman" w:hAnsi="Times New Roman" w:cs="Times New Roman"/>
          <w:sz w:val="24"/>
          <w:szCs w:val="24"/>
          <w:lang w:val="en-US"/>
        </w:rPr>
        <w:t xml:space="preserve">indicator </w:t>
      </w:r>
      <w:r w:rsidR="009F276B" w:rsidRPr="009D043A">
        <w:rPr>
          <w:rFonts w:ascii="Times New Roman" w:hAnsi="Times New Roman" w:cs="Times New Roman"/>
          <w:sz w:val="24"/>
          <w:szCs w:val="24"/>
          <w:lang w:val="en-US"/>
        </w:rPr>
        <w:t>(A</w:t>
      </w:r>
      <w:r w:rsidR="00202C44" w:rsidRPr="009D043A">
        <w:rPr>
          <w:rFonts w:ascii="Times New Roman" w:hAnsi="Times New Roman" w:cs="Times New Roman"/>
          <w:sz w:val="24"/>
          <w:szCs w:val="24"/>
          <w:lang w:val="en-US"/>
        </w:rPr>
        <w:t>DI)</w:t>
      </w:r>
      <w:r w:rsidR="0033389C" w:rsidRPr="009D043A">
        <w:rPr>
          <w:rFonts w:ascii="Times New Roman" w:hAnsi="Times New Roman" w:cs="Times New Roman"/>
          <w:sz w:val="24"/>
          <w:szCs w:val="24"/>
          <w:lang w:val="en-US"/>
        </w:rPr>
        <w:t xml:space="preserve"> and a weighted average diversification indicator (WADI) were calculated by using the </w:t>
      </w:r>
      <w:r w:rsidR="00124731" w:rsidRPr="009D043A">
        <w:rPr>
          <w:rFonts w:ascii="Times New Roman" w:hAnsi="Times New Roman" w:cs="Times New Roman"/>
          <w:sz w:val="24"/>
          <w:szCs w:val="24"/>
          <w:lang w:val="en-US"/>
        </w:rPr>
        <w:t>individual bank market capital values</w:t>
      </w:r>
      <w:r w:rsidR="0033389C" w:rsidRPr="009D043A">
        <w:rPr>
          <w:rFonts w:ascii="Times New Roman" w:hAnsi="Times New Roman" w:cs="Times New Roman"/>
          <w:sz w:val="24"/>
          <w:szCs w:val="24"/>
          <w:lang w:val="en-US"/>
        </w:rPr>
        <w:t>.</w:t>
      </w:r>
    </w:p>
    <w:p w:rsidR="00124731" w:rsidRPr="009D043A" w:rsidRDefault="00124731" w:rsidP="009D043A">
      <w:pPr>
        <w:autoSpaceDE w:val="0"/>
        <w:autoSpaceDN w:val="0"/>
        <w:adjustRightInd w:val="0"/>
        <w:spacing w:after="0" w:line="240" w:lineRule="auto"/>
        <w:jc w:val="both"/>
        <w:rPr>
          <w:rFonts w:ascii="Times New Roman" w:hAnsi="Times New Roman" w:cs="Times New Roman"/>
          <w:sz w:val="24"/>
          <w:szCs w:val="24"/>
          <w:lang w:val="en-US"/>
        </w:rPr>
      </w:pPr>
    </w:p>
    <w:p w:rsidR="00390420" w:rsidRPr="009D043A" w:rsidRDefault="00563F22"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The research on systemic risk measurement has focused on develop</w:t>
      </w:r>
      <w:r w:rsidR="00507524" w:rsidRPr="009D043A">
        <w:rPr>
          <w:rFonts w:ascii="Times New Roman" w:hAnsi="Times New Roman" w:cs="Times New Roman"/>
          <w:sz w:val="24"/>
          <w:szCs w:val="24"/>
          <w:lang w:val="en-US"/>
        </w:rPr>
        <w:t>ing</w:t>
      </w:r>
      <w:r w:rsidRPr="009D043A">
        <w:rPr>
          <w:rFonts w:ascii="Times New Roman" w:hAnsi="Times New Roman" w:cs="Times New Roman"/>
          <w:sz w:val="24"/>
          <w:szCs w:val="24"/>
          <w:lang w:val="en-US"/>
        </w:rPr>
        <w:t xml:space="preserve"> an understanding about the interrelationship between the</w:t>
      </w:r>
      <w:r w:rsidR="00051F38" w:rsidRPr="009D043A">
        <w:rPr>
          <w:rFonts w:ascii="Times New Roman" w:hAnsi="Times New Roman" w:cs="Times New Roman"/>
          <w:sz w:val="24"/>
          <w:szCs w:val="24"/>
          <w:lang w:val="en-US"/>
        </w:rPr>
        <w:t xml:space="preserve"> individual</w:t>
      </w:r>
      <w:r w:rsidRPr="009D043A">
        <w:rPr>
          <w:rFonts w:ascii="Times New Roman" w:hAnsi="Times New Roman" w:cs="Times New Roman"/>
          <w:sz w:val="24"/>
          <w:szCs w:val="24"/>
          <w:lang w:val="en-US"/>
        </w:rPr>
        <w:t xml:space="preserve"> bank risk and financial system </w:t>
      </w:r>
      <w:r w:rsidR="008005A5" w:rsidRPr="009D043A">
        <w:rPr>
          <w:rFonts w:ascii="Times New Roman" w:hAnsi="Times New Roman" w:cs="Times New Roman"/>
          <w:sz w:val="24"/>
          <w:szCs w:val="24"/>
          <w:lang w:val="en-US"/>
        </w:rPr>
        <w:t>stability. The in</w:t>
      </w:r>
      <w:r w:rsidRPr="009D043A">
        <w:rPr>
          <w:rFonts w:ascii="Times New Roman" w:hAnsi="Times New Roman" w:cs="Times New Roman"/>
          <w:sz w:val="24"/>
          <w:szCs w:val="24"/>
          <w:lang w:val="en-US"/>
        </w:rPr>
        <w:t>stitution-level measurement approaches</w:t>
      </w:r>
      <w:r w:rsidR="008005A5" w:rsidRPr="009D043A">
        <w:rPr>
          <w:rFonts w:ascii="Times New Roman" w:hAnsi="Times New Roman" w:cs="Times New Roman"/>
          <w:sz w:val="24"/>
          <w:szCs w:val="24"/>
          <w:lang w:val="en-US"/>
        </w:rPr>
        <w:t xml:space="preserve"> include but not limited to </w:t>
      </w:r>
      <w:proofErr w:type="spellStart"/>
      <w:r w:rsidRPr="009D043A">
        <w:rPr>
          <w:rFonts w:ascii="Times New Roman" w:hAnsi="Times New Roman" w:cs="Times New Roman"/>
          <w:sz w:val="24"/>
          <w:szCs w:val="24"/>
          <w:lang w:val="en-US"/>
        </w:rPr>
        <w:t>CoVaR</w:t>
      </w:r>
      <w:proofErr w:type="spellEnd"/>
      <w:r w:rsidRPr="009D043A">
        <w:rPr>
          <w:rFonts w:ascii="Times New Roman" w:hAnsi="Times New Roman" w:cs="Times New Roman"/>
          <w:sz w:val="24"/>
          <w:szCs w:val="24"/>
          <w:lang w:val="en-US"/>
        </w:rPr>
        <w:t xml:space="preserve"> (Adrian and </w:t>
      </w:r>
      <w:proofErr w:type="spellStart"/>
      <w:r w:rsidRPr="009D043A">
        <w:rPr>
          <w:rFonts w:ascii="Times New Roman" w:hAnsi="Times New Roman" w:cs="Times New Roman"/>
          <w:sz w:val="24"/>
          <w:szCs w:val="24"/>
          <w:lang w:val="en-US"/>
        </w:rPr>
        <w:t>Brunnermeier</w:t>
      </w:r>
      <w:proofErr w:type="spellEnd"/>
      <w:r w:rsidRPr="009D043A">
        <w:rPr>
          <w:rFonts w:ascii="Times New Roman" w:hAnsi="Times New Roman" w:cs="Times New Roman"/>
          <w:sz w:val="24"/>
          <w:szCs w:val="24"/>
          <w:lang w:val="en-US"/>
        </w:rPr>
        <w:t xml:space="preserve">, 2008), </w:t>
      </w:r>
      <w:proofErr w:type="spellStart"/>
      <w:r w:rsidRPr="009D043A">
        <w:rPr>
          <w:rFonts w:ascii="Times New Roman" w:hAnsi="Times New Roman" w:cs="Times New Roman"/>
          <w:sz w:val="24"/>
          <w:szCs w:val="24"/>
          <w:lang w:val="en-US"/>
        </w:rPr>
        <w:t>CoRisk</w:t>
      </w:r>
      <w:proofErr w:type="spellEnd"/>
      <w:r w:rsidRPr="009D043A">
        <w:rPr>
          <w:rFonts w:ascii="Times New Roman" w:hAnsi="Times New Roman" w:cs="Times New Roman"/>
          <w:sz w:val="24"/>
          <w:szCs w:val="24"/>
          <w:lang w:val="en-US"/>
        </w:rPr>
        <w:t xml:space="preserve"> (Chan-Lau, 2010), Systemic Expected Shortfall (SES) (Acharya and others, 2009, 2010, and 2012) (as well as extensions thereof, such as the Distress Insurance Premium (DIP) by Huang and others (2009 and 2010)), Granger Causality (</w:t>
      </w:r>
      <w:proofErr w:type="spellStart"/>
      <w:r w:rsidRPr="009D043A">
        <w:rPr>
          <w:rFonts w:ascii="Times New Roman" w:hAnsi="Times New Roman" w:cs="Times New Roman"/>
          <w:sz w:val="24"/>
          <w:szCs w:val="24"/>
          <w:lang w:val="en-US"/>
        </w:rPr>
        <w:t>Billio</w:t>
      </w:r>
      <w:proofErr w:type="spellEnd"/>
      <w:r w:rsidRPr="009D043A">
        <w:rPr>
          <w:rFonts w:ascii="Times New Roman" w:hAnsi="Times New Roman" w:cs="Times New Roman"/>
          <w:sz w:val="24"/>
          <w:szCs w:val="24"/>
          <w:lang w:val="en-US"/>
        </w:rPr>
        <w:t xml:space="preserve"> and others, 2010), SRISK (</w:t>
      </w:r>
      <w:proofErr w:type="spellStart"/>
      <w:r w:rsidRPr="009D043A">
        <w:rPr>
          <w:rFonts w:ascii="Times New Roman" w:hAnsi="Times New Roman" w:cs="Times New Roman"/>
          <w:sz w:val="24"/>
          <w:szCs w:val="24"/>
          <w:lang w:val="en-US"/>
        </w:rPr>
        <w:t>Brownlees</w:t>
      </w:r>
      <w:proofErr w:type="spellEnd"/>
      <w:r w:rsidRPr="009D043A">
        <w:rPr>
          <w:rFonts w:ascii="Times New Roman" w:hAnsi="Times New Roman" w:cs="Times New Roman"/>
          <w:sz w:val="24"/>
          <w:szCs w:val="24"/>
          <w:lang w:val="en-US"/>
        </w:rPr>
        <w:t xml:space="preserve"> and Engle, 2011), and the Joint Probability of Distress (</w:t>
      </w:r>
      <w:proofErr w:type="spellStart"/>
      <w:r w:rsidRPr="009D043A">
        <w:rPr>
          <w:rFonts w:ascii="Times New Roman" w:hAnsi="Times New Roman" w:cs="Times New Roman"/>
          <w:sz w:val="24"/>
          <w:szCs w:val="24"/>
          <w:lang w:val="en-US"/>
        </w:rPr>
        <w:t>Segoviano</w:t>
      </w:r>
      <w:proofErr w:type="spellEnd"/>
      <w:r w:rsidRPr="009D043A">
        <w:rPr>
          <w:rFonts w:ascii="Times New Roman" w:hAnsi="Times New Roman" w:cs="Times New Roman"/>
          <w:sz w:val="24"/>
          <w:szCs w:val="24"/>
          <w:lang w:val="en-US"/>
        </w:rPr>
        <w:t xml:space="preserve"> and </w:t>
      </w:r>
      <w:proofErr w:type="spellStart"/>
      <w:r w:rsidRPr="009D043A">
        <w:rPr>
          <w:rFonts w:ascii="Times New Roman" w:hAnsi="Times New Roman" w:cs="Times New Roman"/>
          <w:sz w:val="24"/>
          <w:szCs w:val="24"/>
          <w:lang w:val="en-US"/>
        </w:rPr>
        <w:t>Goodhart</w:t>
      </w:r>
      <w:proofErr w:type="spellEnd"/>
      <w:r w:rsidRPr="009D043A">
        <w:rPr>
          <w:rFonts w:ascii="Times New Roman" w:hAnsi="Times New Roman" w:cs="Times New Roman"/>
          <w:sz w:val="24"/>
          <w:szCs w:val="24"/>
          <w:lang w:val="en-US"/>
        </w:rPr>
        <w:t>, 2009</w:t>
      </w:r>
      <w:r w:rsidR="00BB71D1" w:rsidRPr="009D043A">
        <w:rPr>
          <w:rFonts w:ascii="Times New Roman" w:hAnsi="Times New Roman" w:cs="Times New Roman"/>
          <w:sz w:val="24"/>
          <w:szCs w:val="24"/>
          <w:lang w:val="en-US"/>
        </w:rPr>
        <w:t>)</w:t>
      </w:r>
      <w:r w:rsidR="008005A5" w:rsidRPr="009D043A">
        <w:rPr>
          <w:rFonts w:ascii="Times New Roman" w:hAnsi="Times New Roman" w:cs="Times New Roman"/>
          <w:sz w:val="24"/>
          <w:szCs w:val="24"/>
          <w:lang w:val="en-US"/>
        </w:rPr>
        <w:t>.</w:t>
      </w:r>
      <w:r w:rsidR="00051F38" w:rsidRPr="009D043A">
        <w:rPr>
          <w:rFonts w:ascii="Times New Roman" w:hAnsi="Times New Roman" w:cs="Times New Roman"/>
          <w:sz w:val="24"/>
          <w:szCs w:val="24"/>
          <w:vertAlign w:val="superscript"/>
          <w:lang w:val="en-US"/>
        </w:rPr>
        <w:footnoteReference w:id="2"/>
      </w:r>
      <w:r w:rsidR="00597A13" w:rsidRPr="009D043A">
        <w:rPr>
          <w:rFonts w:ascii="Times New Roman" w:hAnsi="Times New Roman" w:cs="Times New Roman"/>
          <w:sz w:val="24"/>
          <w:szCs w:val="24"/>
          <w:vertAlign w:val="superscript"/>
          <w:lang w:val="en-US"/>
        </w:rPr>
        <w:t xml:space="preserve"> </w:t>
      </w:r>
      <w:r w:rsidR="00597A13" w:rsidRPr="009D043A">
        <w:rPr>
          <w:rFonts w:ascii="Times New Roman" w:hAnsi="Times New Roman" w:cs="Times New Roman"/>
          <w:sz w:val="24"/>
          <w:szCs w:val="24"/>
          <w:lang w:val="en-US"/>
        </w:rPr>
        <w:t xml:space="preserve">In this paper, Contingent Claims Analysis (CCA) </w:t>
      </w:r>
      <w:r w:rsidR="00CE732D" w:rsidRPr="009D043A">
        <w:rPr>
          <w:rFonts w:ascii="Times New Roman" w:hAnsi="Times New Roman" w:cs="Times New Roman"/>
          <w:sz w:val="24"/>
          <w:szCs w:val="24"/>
          <w:lang w:val="en-US"/>
        </w:rPr>
        <w:t xml:space="preserve">is used </w:t>
      </w:r>
      <w:r w:rsidR="00597A13" w:rsidRPr="009D043A">
        <w:rPr>
          <w:rFonts w:ascii="Times New Roman" w:hAnsi="Times New Roman" w:cs="Times New Roman"/>
          <w:sz w:val="24"/>
          <w:szCs w:val="24"/>
          <w:lang w:val="en-US"/>
        </w:rPr>
        <w:t xml:space="preserve">as a measure of </w:t>
      </w:r>
      <w:r w:rsidR="00CE732D" w:rsidRPr="009D043A">
        <w:rPr>
          <w:rFonts w:ascii="Times New Roman" w:hAnsi="Times New Roman" w:cs="Times New Roman"/>
          <w:sz w:val="24"/>
          <w:szCs w:val="24"/>
          <w:lang w:val="en-US"/>
        </w:rPr>
        <w:t xml:space="preserve">banking systemic risk which incorporates market-based and balance sheet information to obtain financial risk indicators, such as Distance-to-Default (DD), probabilities of default </w:t>
      </w:r>
      <w:proofErr w:type="spellStart"/>
      <w:r w:rsidR="00CE732D" w:rsidRPr="009D043A">
        <w:rPr>
          <w:rFonts w:ascii="Times New Roman" w:hAnsi="Times New Roman" w:cs="Times New Roman"/>
          <w:sz w:val="24"/>
          <w:szCs w:val="24"/>
          <w:lang w:val="en-US"/>
        </w:rPr>
        <w:t>etc</w:t>
      </w:r>
      <w:proofErr w:type="spellEnd"/>
      <w:r w:rsidR="00CE732D" w:rsidRPr="009D043A">
        <w:rPr>
          <w:rFonts w:ascii="Times New Roman" w:hAnsi="Times New Roman" w:cs="Times New Roman"/>
          <w:sz w:val="24"/>
          <w:szCs w:val="24"/>
          <w:lang w:val="en-US"/>
        </w:rPr>
        <w:t xml:space="preserve"> (</w:t>
      </w:r>
      <w:proofErr w:type="spellStart"/>
      <w:r w:rsidR="00CE732D" w:rsidRPr="009D043A">
        <w:rPr>
          <w:rFonts w:ascii="Times New Roman" w:hAnsi="Times New Roman" w:cs="Times New Roman"/>
          <w:sz w:val="24"/>
          <w:szCs w:val="24"/>
          <w:lang w:val="en-US"/>
        </w:rPr>
        <w:t>Saldias</w:t>
      </w:r>
      <w:proofErr w:type="spellEnd"/>
      <w:r w:rsidR="00CE732D" w:rsidRPr="009D043A">
        <w:rPr>
          <w:rFonts w:ascii="Times New Roman" w:hAnsi="Times New Roman" w:cs="Times New Roman"/>
          <w:sz w:val="24"/>
          <w:szCs w:val="24"/>
          <w:lang w:val="en-US"/>
        </w:rPr>
        <w:t>, 2013).</w:t>
      </w:r>
      <w:r w:rsidR="00390420" w:rsidRPr="009D043A">
        <w:rPr>
          <w:rFonts w:ascii="Times New Roman" w:hAnsi="Times New Roman" w:cs="Times New Roman"/>
          <w:sz w:val="24"/>
          <w:szCs w:val="24"/>
          <w:lang w:val="en-US"/>
        </w:rPr>
        <w:t xml:space="preserve"> Referring to the study of Singh et al. (2014)</w:t>
      </w:r>
      <w:proofErr w:type="gramStart"/>
      <w:r w:rsidR="00390420" w:rsidRPr="009D043A">
        <w:rPr>
          <w:rFonts w:ascii="Times New Roman" w:hAnsi="Times New Roman" w:cs="Times New Roman"/>
          <w:sz w:val="24"/>
          <w:szCs w:val="24"/>
          <w:lang w:val="en-US"/>
        </w:rPr>
        <w:t>,DD</w:t>
      </w:r>
      <w:proofErr w:type="gramEnd"/>
      <w:r w:rsidR="00390420" w:rsidRPr="009D043A">
        <w:rPr>
          <w:rFonts w:ascii="Cambria Math" w:hAnsi="Cambria Math" w:cs="Cambria Math"/>
          <w:sz w:val="24"/>
          <w:szCs w:val="24"/>
          <w:lang w:val="en-US"/>
        </w:rPr>
        <w:t>𝑖𝑡</w:t>
      </w:r>
      <w:r w:rsidR="00390420" w:rsidRPr="009D043A">
        <w:rPr>
          <w:rFonts w:ascii="Times New Roman" w:hAnsi="Times New Roman" w:cs="Times New Roman"/>
          <w:sz w:val="24"/>
          <w:szCs w:val="24"/>
          <w:lang w:val="en-US"/>
        </w:rPr>
        <w:t xml:space="preserve">, the distance-to-default of bank </w:t>
      </w:r>
      <w:r w:rsidR="00390420" w:rsidRPr="009D043A">
        <w:rPr>
          <w:rFonts w:ascii="Cambria Math" w:hAnsi="Cambria Math" w:cs="Cambria Math"/>
          <w:sz w:val="24"/>
          <w:szCs w:val="24"/>
          <w:lang w:val="en-US"/>
        </w:rPr>
        <w:t>𝑖</w:t>
      </w:r>
      <w:r w:rsidR="00390420" w:rsidRPr="009D043A">
        <w:rPr>
          <w:rFonts w:ascii="Times New Roman" w:hAnsi="Times New Roman" w:cs="Times New Roman"/>
          <w:sz w:val="24"/>
          <w:szCs w:val="24"/>
          <w:lang w:val="en-US"/>
        </w:rPr>
        <w:t xml:space="preserve"> at time </w:t>
      </w:r>
      <w:r w:rsidR="00390420" w:rsidRPr="009D043A">
        <w:rPr>
          <w:rFonts w:ascii="Cambria Math" w:hAnsi="Cambria Math" w:cs="Cambria Math"/>
          <w:sz w:val="24"/>
          <w:szCs w:val="24"/>
          <w:lang w:val="en-US"/>
        </w:rPr>
        <w:t>𝑡</w:t>
      </w:r>
      <w:r w:rsidR="00390420" w:rsidRPr="009D043A">
        <w:rPr>
          <w:rFonts w:ascii="Times New Roman" w:hAnsi="Times New Roman" w:cs="Times New Roman"/>
          <w:sz w:val="24"/>
          <w:szCs w:val="24"/>
          <w:lang w:val="en-US"/>
        </w:rPr>
        <w:t>, is calculated by the following equations:</w:t>
      </w:r>
    </w:p>
    <w:p w:rsidR="00235763" w:rsidRPr="009D043A" w:rsidRDefault="00235763" w:rsidP="009D043A">
      <w:pPr>
        <w:autoSpaceDE w:val="0"/>
        <w:autoSpaceDN w:val="0"/>
        <w:adjustRightInd w:val="0"/>
        <w:spacing w:after="0" w:line="240" w:lineRule="auto"/>
        <w:jc w:val="both"/>
        <w:rPr>
          <w:rFonts w:ascii="Times New Roman" w:hAnsi="Times New Roman" w:cs="Times New Roman"/>
          <w:sz w:val="24"/>
          <w:szCs w:val="24"/>
          <w:lang w:val="en-US"/>
        </w:rPr>
      </w:pPr>
    </w:p>
    <w:p w:rsidR="00563F22" w:rsidRPr="009D043A" w:rsidRDefault="00563F22" w:rsidP="009D043A">
      <w:pPr>
        <w:autoSpaceDE w:val="0"/>
        <w:autoSpaceDN w:val="0"/>
        <w:adjustRightInd w:val="0"/>
        <w:spacing w:after="0" w:line="240" w:lineRule="auto"/>
        <w:jc w:val="both"/>
        <w:rPr>
          <w:rFonts w:ascii="Times New Roman" w:hAnsi="Times New Roman" w:cs="Times New Roman"/>
          <w:sz w:val="24"/>
          <w:szCs w:val="24"/>
          <w:lang w:val="en-US"/>
        </w:rPr>
      </w:pPr>
    </w:p>
    <w:p w:rsidR="00563F22" w:rsidRPr="009D043A" w:rsidRDefault="009522F0" w:rsidP="009D043A">
      <w:pPr>
        <w:autoSpaceDE w:val="0"/>
        <w:autoSpaceDN w:val="0"/>
        <w:adjustRightInd w:val="0"/>
        <w:spacing w:after="0" w:line="24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DD</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it</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it</m:t>
                </m:r>
              </m:sub>
            </m:sSub>
          </m:den>
        </m:f>
      </m:oMath>
      <w:r w:rsidR="00101EFC" w:rsidRPr="009D043A">
        <w:rPr>
          <w:rFonts w:ascii="Times New Roman" w:eastAsiaTheme="minorEastAsia" w:hAnsi="Times New Roman" w:cs="Times New Roman"/>
          <w:sz w:val="24"/>
          <w:szCs w:val="24"/>
          <w:lang w:val="en-US"/>
        </w:rPr>
        <w:tab/>
      </w:r>
      <w:r w:rsidR="00101EFC" w:rsidRPr="009D043A">
        <w:rPr>
          <w:rFonts w:ascii="Times New Roman" w:eastAsiaTheme="minorEastAsia" w:hAnsi="Times New Roman" w:cs="Times New Roman"/>
          <w:sz w:val="24"/>
          <w:szCs w:val="24"/>
          <w:lang w:val="en-US"/>
        </w:rPr>
        <w:tab/>
      </w:r>
      <w:r w:rsidR="00101EFC" w:rsidRPr="009D043A">
        <w:rPr>
          <w:rFonts w:ascii="Times New Roman" w:eastAsiaTheme="minorEastAsia" w:hAnsi="Times New Roman" w:cs="Times New Roman"/>
          <w:sz w:val="24"/>
          <w:szCs w:val="24"/>
          <w:lang w:val="en-US"/>
        </w:rPr>
        <w:tab/>
      </w:r>
      <w:r w:rsidR="00101EFC" w:rsidRPr="009D043A">
        <w:rPr>
          <w:rFonts w:ascii="Times New Roman" w:eastAsiaTheme="minorEastAsia" w:hAnsi="Times New Roman" w:cs="Times New Roman"/>
          <w:sz w:val="24"/>
          <w:szCs w:val="24"/>
          <w:lang w:val="en-US"/>
        </w:rPr>
        <w:tab/>
        <w:t>(1)</w:t>
      </w:r>
    </w:p>
    <w:p w:rsidR="00EF3EE6" w:rsidRPr="009D043A" w:rsidRDefault="00EF3EE6" w:rsidP="009D043A">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390420" w:rsidRPr="009D043A" w:rsidRDefault="009522F0" w:rsidP="009D043A">
      <w:pPr>
        <w:autoSpaceDE w:val="0"/>
        <w:autoSpaceDN w:val="0"/>
        <w:adjustRightInd w:val="0"/>
        <w:spacing w:after="0" w:line="24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N </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1</m:t>
                </m:r>
              </m:sub>
            </m:sSub>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it</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-rT</m:t>
            </m:r>
          </m:sup>
        </m:sSup>
        <m:r>
          <w:rPr>
            <w:rFonts w:ascii="Cambria Math" w:hAnsi="Cambria Math" w:cs="Times New Roman"/>
            <w:sz w:val="24"/>
            <w:szCs w:val="24"/>
            <w:lang w:val="en-US"/>
          </w:rPr>
          <m:t xml:space="preserve">N </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2</m:t>
                </m:r>
              </m:sub>
            </m:sSub>
          </m:e>
        </m:d>
      </m:oMath>
      <w:r w:rsidR="00101EFC" w:rsidRPr="009D043A">
        <w:rPr>
          <w:rFonts w:ascii="Times New Roman" w:eastAsiaTheme="minorEastAsia" w:hAnsi="Times New Roman" w:cs="Times New Roman"/>
          <w:sz w:val="24"/>
          <w:szCs w:val="24"/>
          <w:lang w:val="en-US"/>
        </w:rPr>
        <w:tab/>
        <w:t>(2)</w:t>
      </w:r>
    </w:p>
    <w:p w:rsidR="003165A6" w:rsidRPr="009D043A" w:rsidRDefault="003165A6" w:rsidP="009D043A">
      <w:pPr>
        <w:autoSpaceDE w:val="0"/>
        <w:autoSpaceDN w:val="0"/>
        <w:adjustRightInd w:val="0"/>
        <w:spacing w:after="0" w:line="240" w:lineRule="auto"/>
        <w:jc w:val="both"/>
        <w:rPr>
          <w:rFonts w:ascii="Times New Roman" w:eastAsiaTheme="minorEastAsia" w:hAnsi="Times New Roman" w:cs="Times New Roman"/>
          <w:sz w:val="24"/>
          <w:szCs w:val="24"/>
          <w:lang w:val="en-US"/>
        </w:rPr>
      </w:pPr>
    </w:p>
    <w:p w:rsidR="003165A6" w:rsidRPr="009D043A" w:rsidRDefault="009522F0" w:rsidP="009D043A">
      <w:pPr>
        <w:autoSpaceDE w:val="0"/>
        <w:autoSpaceDN w:val="0"/>
        <w:adjustRightInd w:val="0"/>
        <w:spacing w:after="0" w:line="240" w:lineRule="auto"/>
        <w:jc w:val="both"/>
        <w:rPr>
          <w:rFonts w:ascii="Times New Roman"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it</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it</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it</m:t>
                </m:r>
              </m:sub>
            </m:sSub>
          </m:den>
        </m:f>
        <m:r>
          <w:rPr>
            <w:rFonts w:ascii="Cambria Math" w:hAnsi="Cambria Math" w:cs="Times New Roman"/>
            <w:sz w:val="24"/>
            <w:szCs w:val="24"/>
            <w:lang w:val="en-US"/>
          </w:rPr>
          <m:t xml:space="preserve"> 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it</m:t>
            </m:r>
          </m:sub>
        </m:sSub>
      </m:oMath>
      <w:r w:rsidR="00942E83" w:rsidRPr="009D043A">
        <w:rPr>
          <w:rFonts w:ascii="Times New Roman" w:eastAsiaTheme="minorEastAsia" w:hAnsi="Times New Roman" w:cs="Times New Roman"/>
          <w:sz w:val="24"/>
          <w:szCs w:val="24"/>
          <w:lang w:val="en-US"/>
        </w:rPr>
        <w:tab/>
      </w:r>
      <w:r w:rsidR="00942E83" w:rsidRPr="009D043A">
        <w:rPr>
          <w:rFonts w:ascii="Times New Roman" w:eastAsiaTheme="minorEastAsia" w:hAnsi="Times New Roman" w:cs="Times New Roman"/>
          <w:sz w:val="24"/>
          <w:szCs w:val="24"/>
          <w:lang w:val="en-US"/>
        </w:rPr>
        <w:tab/>
      </w:r>
      <w:r w:rsidR="00942E83" w:rsidRPr="009D043A">
        <w:rPr>
          <w:rFonts w:ascii="Times New Roman" w:eastAsiaTheme="minorEastAsia" w:hAnsi="Times New Roman" w:cs="Times New Roman"/>
          <w:sz w:val="24"/>
          <w:szCs w:val="24"/>
          <w:lang w:val="en-US"/>
        </w:rPr>
        <w:tab/>
        <w:t>(3)</w:t>
      </w:r>
    </w:p>
    <w:p w:rsidR="00E66DBE" w:rsidRPr="009D043A" w:rsidRDefault="00E66DBE" w:rsidP="009D043A">
      <w:pPr>
        <w:autoSpaceDE w:val="0"/>
        <w:autoSpaceDN w:val="0"/>
        <w:adjustRightInd w:val="0"/>
        <w:spacing w:after="0" w:line="240" w:lineRule="auto"/>
        <w:jc w:val="both"/>
        <w:rPr>
          <w:rFonts w:ascii="Times New Roman" w:hAnsi="Times New Roman" w:cs="Times New Roman"/>
          <w:noProof/>
          <w:sz w:val="24"/>
          <w:szCs w:val="24"/>
          <w:lang w:val="en-US" w:eastAsia="tr-TR"/>
        </w:rPr>
      </w:pPr>
    </w:p>
    <w:p w:rsidR="00E66DBE" w:rsidRPr="009D043A" w:rsidRDefault="009522F0" w:rsidP="009D043A">
      <w:pPr>
        <w:autoSpaceDE w:val="0"/>
        <w:autoSpaceDN w:val="0"/>
        <w:adjustRightInd w:val="0"/>
        <w:spacing w:after="0" w:line="240" w:lineRule="auto"/>
        <w:jc w:val="both"/>
        <w:rPr>
          <w:rFonts w:ascii="Times New Roman" w:eastAsiaTheme="minorEastAsia" w:hAnsi="Times New Roman" w:cs="Times New Roman"/>
          <w:noProof/>
          <w:sz w:val="24"/>
          <w:szCs w:val="24"/>
          <w:lang w:val="en-US" w:eastAsia="tr-TR"/>
        </w:rPr>
      </w:pPr>
      <m:oMath>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d</m:t>
            </m:r>
          </m:e>
          <m:sub>
            <m:r>
              <w:rPr>
                <w:rFonts w:ascii="Cambria Math" w:hAnsi="Cambria Math" w:cs="Times New Roman"/>
                <w:noProof/>
                <w:sz w:val="24"/>
                <w:szCs w:val="24"/>
                <w:lang w:val="en-US" w:eastAsia="tr-TR"/>
              </w:rPr>
              <m:t>1</m:t>
            </m:r>
          </m:sub>
        </m:sSub>
        <m:r>
          <w:rPr>
            <w:rFonts w:ascii="Cambria Math" w:hAnsi="Cambria Math" w:cs="Times New Roman"/>
            <w:noProof/>
            <w:sz w:val="24"/>
            <w:szCs w:val="24"/>
            <w:lang w:val="en-US" w:eastAsia="tr-TR"/>
          </w:rPr>
          <m:t xml:space="preserve">= </m:t>
        </m:r>
        <m:f>
          <m:fPr>
            <m:ctrlPr>
              <w:rPr>
                <w:rFonts w:ascii="Cambria Math" w:hAnsi="Cambria Math" w:cs="Times New Roman"/>
                <w:i/>
                <w:noProof/>
                <w:sz w:val="24"/>
                <w:szCs w:val="24"/>
                <w:lang w:val="en-US" w:eastAsia="tr-TR"/>
              </w:rPr>
            </m:ctrlPr>
          </m:fPr>
          <m:num>
            <m:func>
              <m:funcPr>
                <m:ctrlPr>
                  <w:rPr>
                    <w:rFonts w:ascii="Cambria Math" w:hAnsi="Cambria Math" w:cs="Times New Roman"/>
                    <w:i/>
                    <w:noProof/>
                    <w:sz w:val="24"/>
                    <w:szCs w:val="24"/>
                    <w:lang w:val="en-US" w:eastAsia="tr-TR"/>
                  </w:rPr>
                </m:ctrlPr>
              </m:funcPr>
              <m:fName>
                <m:r>
                  <m:rPr>
                    <m:sty m:val="p"/>
                  </m:rPr>
                  <w:rPr>
                    <w:rFonts w:ascii="Cambria Math" w:hAnsi="Cambria Math" w:cs="Times New Roman"/>
                    <w:noProof/>
                    <w:sz w:val="24"/>
                    <w:szCs w:val="24"/>
                    <w:lang w:val="en-US" w:eastAsia="tr-TR"/>
                  </w:rPr>
                  <m:t>ln</m:t>
                </m:r>
              </m:fName>
              <m:e>
                <m:d>
                  <m:dPr>
                    <m:ctrlPr>
                      <w:rPr>
                        <w:rFonts w:ascii="Cambria Math" w:hAnsi="Cambria Math" w:cs="Times New Roman"/>
                        <w:i/>
                        <w:noProof/>
                        <w:sz w:val="24"/>
                        <w:szCs w:val="24"/>
                        <w:lang w:val="en-US" w:eastAsia="tr-TR"/>
                      </w:rPr>
                    </m:ctrlPr>
                  </m:dPr>
                  <m:e>
                    <m:f>
                      <m:fPr>
                        <m:ctrlPr>
                          <w:rPr>
                            <w:rFonts w:ascii="Cambria Math" w:hAnsi="Cambria Math" w:cs="Times New Roman"/>
                            <w:i/>
                            <w:noProof/>
                            <w:sz w:val="24"/>
                            <w:szCs w:val="24"/>
                            <w:lang w:val="en-US" w:eastAsia="tr-TR"/>
                          </w:rPr>
                        </m:ctrlPr>
                      </m:fPr>
                      <m:num>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A</m:t>
                            </m:r>
                          </m:e>
                          <m:sub>
                            <m:r>
                              <w:rPr>
                                <w:rFonts w:ascii="Cambria Math" w:hAnsi="Cambria Math" w:cs="Times New Roman"/>
                                <w:noProof/>
                                <w:sz w:val="24"/>
                                <w:szCs w:val="24"/>
                                <w:lang w:val="en-US" w:eastAsia="tr-TR"/>
                              </w:rPr>
                              <m:t>it</m:t>
                            </m:r>
                          </m:sub>
                        </m:sSub>
                      </m:num>
                      <m:den>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D</m:t>
                            </m:r>
                          </m:e>
                          <m:sub>
                            <m:r>
                              <w:rPr>
                                <w:rFonts w:ascii="Cambria Math" w:hAnsi="Cambria Math" w:cs="Times New Roman"/>
                                <w:noProof/>
                                <w:sz w:val="24"/>
                                <w:szCs w:val="24"/>
                                <w:lang w:val="en-US" w:eastAsia="tr-TR"/>
                              </w:rPr>
                              <m:t>it</m:t>
                            </m:r>
                          </m:sub>
                        </m:sSub>
                      </m:den>
                    </m:f>
                  </m:e>
                </m:d>
              </m:e>
            </m:func>
            <m:r>
              <w:rPr>
                <w:rFonts w:ascii="Cambria Math" w:hAnsi="Cambria Math" w:cs="Times New Roman"/>
                <w:noProof/>
                <w:sz w:val="24"/>
                <w:szCs w:val="24"/>
                <w:lang w:val="en-US" w:eastAsia="tr-TR"/>
              </w:rPr>
              <m:t>+</m:t>
            </m:r>
            <m:d>
              <m:dPr>
                <m:ctrlPr>
                  <w:rPr>
                    <w:rFonts w:ascii="Cambria Math" w:hAnsi="Cambria Math" w:cs="Times New Roman"/>
                    <w:i/>
                    <w:noProof/>
                    <w:sz w:val="24"/>
                    <w:szCs w:val="24"/>
                    <w:lang w:val="en-US" w:eastAsia="tr-TR"/>
                  </w:rPr>
                </m:ctrlPr>
              </m:dPr>
              <m:e>
                <m:r>
                  <w:rPr>
                    <w:rFonts w:ascii="Cambria Math" w:hAnsi="Cambria Math" w:cs="Times New Roman"/>
                    <w:noProof/>
                    <w:sz w:val="24"/>
                    <w:szCs w:val="24"/>
                    <w:lang w:val="en-US" w:eastAsia="tr-TR"/>
                  </w:rPr>
                  <m:t>r+</m:t>
                </m:r>
                <m:f>
                  <m:fPr>
                    <m:ctrlPr>
                      <w:rPr>
                        <w:rFonts w:ascii="Cambria Math" w:hAnsi="Cambria Math" w:cs="Times New Roman"/>
                        <w:i/>
                        <w:noProof/>
                        <w:sz w:val="24"/>
                        <w:szCs w:val="24"/>
                        <w:lang w:val="en-US" w:eastAsia="tr-TR"/>
                      </w:rPr>
                    </m:ctrlPr>
                  </m:fPr>
                  <m:num>
                    <m:sSubSup>
                      <m:sSubSupPr>
                        <m:ctrlPr>
                          <w:rPr>
                            <w:rFonts w:ascii="Cambria Math" w:hAnsi="Cambria Math" w:cs="Times New Roman"/>
                            <w:i/>
                            <w:noProof/>
                            <w:sz w:val="24"/>
                            <w:szCs w:val="24"/>
                            <w:lang w:val="en-US" w:eastAsia="tr-TR"/>
                          </w:rPr>
                        </m:ctrlPr>
                      </m:sSubSupPr>
                      <m:e>
                        <m:r>
                          <w:rPr>
                            <w:rFonts w:ascii="Cambria Math" w:hAnsi="Cambria Math" w:cs="Times New Roman"/>
                            <w:noProof/>
                            <w:sz w:val="24"/>
                            <w:szCs w:val="24"/>
                            <w:lang w:val="en-US" w:eastAsia="tr-TR"/>
                          </w:rPr>
                          <m:t>σ</m:t>
                        </m:r>
                      </m:e>
                      <m:sub>
                        <m:r>
                          <w:rPr>
                            <w:rFonts w:ascii="Cambria Math" w:hAnsi="Cambria Math" w:cs="Times New Roman"/>
                            <w:noProof/>
                            <w:sz w:val="24"/>
                            <w:szCs w:val="24"/>
                            <w:lang w:val="en-US" w:eastAsia="tr-TR"/>
                          </w:rPr>
                          <m:t>it</m:t>
                        </m:r>
                      </m:sub>
                      <m:sup>
                        <m:r>
                          <w:rPr>
                            <w:rFonts w:ascii="Cambria Math" w:hAnsi="Cambria Math" w:cs="Times New Roman"/>
                            <w:noProof/>
                            <w:sz w:val="24"/>
                            <w:szCs w:val="24"/>
                            <w:lang w:val="en-US" w:eastAsia="tr-TR"/>
                          </w:rPr>
                          <m:t>2</m:t>
                        </m:r>
                      </m:sup>
                    </m:sSubSup>
                  </m:num>
                  <m:den>
                    <m:r>
                      <w:rPr>
                        <w:rFonts w:ascii="Cambria Math" w:hAnsi="Cambria Math" w:cs="Times New Roman"/>
                        <w:noProof/>
                        <w:sz w:val="24"/>
                        <w:szCs w:val="24"/>
                        <w:lang w:val="en-US" w:eastAsia="tr-TR"/>
                      </w:rPr>
                      <m:t>2</m:t>
                    </m:r>
                  </m:den>
                </m:f>
              </m:e>
            </m:d>
            <m:r>
              <w:rPr>
                <w:rFonts w:ascii="Cambria Math" w:hAnsi="Cambria Math" w:cs="Times New Roman"/>
                <w:noProof/>
                <w:sz w:val="24"/>
                <w:szCs w:val="24"/>
                <w:lang w:val="en-US" w:eastAsia="tr-TR"/>
              </w:rPr>
              <m:t>T</m:t>
            </m:r>
          </m:num>
          <m:den>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σ</m:t>
                </m:r>
              </m:e>
              <m:sub>
                <m:r>
                  <w:rPr>
                    <w:rFonts w:ascii="Cambria Math" w:hAnsi="Cambria Math" w:cs="Times New Roman"/>
                    <w:noProof/>
                    <w:sz w:val="24"/>
                    <w:szCs w:val="24"/>
                    <w:lang w:val="en-US" w:eastAsia="tr-TR"/>
                  </w:rPr>
                  <m:t>it</m:t>
                </m:r>
              </m:sub>
            </m:sSub>
            <m:rad>
              <m:radPr>
                <m:degHide m:val="1"/>
                <m:ctrlPr>
                  <w:rPr>
                    <w:rFonts w:ascii="Cambria Math" w:hAnsi="Cambria Math" w:cs="Times New Roman"/>
                    <w:i/>
                    <w:noProof/>
                    <w:sz w:val="24"/>
                    <w:szCs w:val="24"/>
                    <w:lang w:val="en-US" w:eastAsia="tr-TR"/>
                  </w:rPr>
                </m:ctrlPr>
              </m:radPr>
              <m:deg/>
              <m:e>
                <m:r>
                  <w:rPr>
                    <w:rFonts w:ascii="Cambria Math" w:hAnsi="Cambria Math" w:cs="Times New Roman"/>
                    <w:noProof/>
                    <w:sz w:val="24"/>
                    <w:szCs w:val="24"/>
                    <w:lang w:val="en-US" w:eastAsia="tr-TR"/>
                  </w:rPr>
                  <m:t>T</m:t>
                </m:r>
              </m:e>
            </m:rad>
          </m:den>
        </m:f>
      </m:oMath>
      <w:r w:rsidR="00942E83" w:rsidRPr="009D043A">
        <w:rPr>
          <w:rFonts w:ascii="Times New Roman" w:eastAsiaTheme="minorEastAsia" w:hAnsi="Times New Roman" w:cs="Times New Roman"/>
          <w:noProof/>
          <w:sz w:val="24"/>
          <w:szCs w:val="24"/>
          <w:lang w:val="en-US" w:eastAsia="tr-TR"/>
        </w:rPr>
        <w:tab/>
      </w:r>
      <w:r w:rsidR="00942E83" w:rsidRPr="009D043A">
        <w:rPr>
          <w:rFonts w:ascii="Times New Roman" w:eastAsiaTheme="minorEastAsia" w:hAnsi="Times New Roman" w:cs="Times New Roman"/>
          <w:noProof/>
          <w:sz w:val="24"/>
          <w:szCs w:val="24"/>
          <w:lang w:val="en-US" w:eastAsia="tr-TR"/>
        </w:rPr>
        <w:tab/>
      </w:r>
      <w:r w:rsidR="00942E83" w:rsidRPr="009D043A">
        <w:rPr>
          <w:rFonts w:ascii="Times New Roman" w:eastAsiaTheme="minorEastAsia" w:hAnsi="Times New Roman" w:cs="Times New Roman"/>
          <w:noProof/>
          <w:sz w:val="24"/>
          <w:szCs w:val="24"/>
          <w:lang w:val="en-US" w:eastAsia="tr-TR"/>
        </w:rPr>
        <w:tab/>
        <w:t>(4)</w:t>
      </w:r>
    </w:p>
    <w:p w:rsidR="00E66DBE" w:rsidRPr="009D043A" w:rsidRDefault="00E66DBE" w:rsidP="009D043A">
      <w:pPr>
        <w:autoSpaceDE w:val="0"/>
        <w:autoSpaceDN w:val="0"/>
        <w:adjustRightInd w:val="0"/>
        <w:spacing w:after="0" w:line="240" w:lineRule="auto"/>
        <w:jc w:val="both"/>
        <w:rPr>
          <w:rFonts w:ascii="Times New Roman" w:eastAsiaTheme="minorEastAsia" w:hAnsi="Times New Roman" w:cs="Times New Roman"/>
          <w:noProof/>
          <w:sz w:val="24"/>
          <w:szCs w:val="24"/>
          <w:lang w:val="en-US" w:eastAsia="tr-TR"/>
        </w:rPr>
      </w:pPr>
    </w:p>
    <w:p w:rsidR="00E66DBE" w:rsidRPr="009D043A" w:rsidRDefault="009522F0" w:rsidP="009D043A">
      <w:pPr>
        <w:autoSpaceDE w:val="0"/>
        <w:autoSpaceDN w:val="0"/>
        <w:adjustRightInd w:val="0"/>
        <w:spacing w:after="0" w:line="240" w:lineRule="auto"/>
        <w:jc w:val="both"/>
        <w:rPr>
          <w:rFonts w:ascii="Times New Roman" w:hAnsi="Times New Roman" w:cs="Times New Roman"/>
          <w:noProof/>
          <w:sz w:val="24"/>
          <w:szCs w:val="24"/>
          <w:lang w:val="en-US" w:eastAsia="tr-TR"/>
        </w:rPr>
      </w:pPr>
      <m:oMath>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d</m:t>
            </m:r>
          </m:e>
          <m:sub>
            <m:r>
              <w:rPr>
                <w:rFonts w:ascii="Cambria Math" w:hAnsi="Cambria Math" w:cs="Times New Roman"/>
                <w:noProof/>
                <w:sz w:val="24"/>
                <w:szCs w:val="24"/>
                <w:lang w:val="en-US" w:eastAsia="tr-TR"/>
              </w:rPr>
              <m:t>2</m:t>
            </m:r>
          </m:sub>
        </m:sSub>
        <m:r>
          <w:rPr>
            <w:rFonts w:ascii="Cambria Math" w:hAnsi="Cambria Math" w:cs="Times New Roman"/>
            <w:noProof/>
            <w:sz w:val="24"/>
            <w:szCs w:val="24"/>
            <w:lang w:val="en-US" w:eastAsia="tr-TR"/>
          </w:rPr>
          <m:t xml:space="preserve">= </m:t>
        </m:r>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d</m:t>
            </m:r>
          </m:e>
          <m:sub>
            <m:r>
              <w:rPr>
                <w:rFonts w:ascii="Cambria Math" w:hAnsi="Cambria Math" w:cs="Times New Roman"/>
                <w:noProof/>
                <w:sz w:val="24"/>
                <w:szCs w:val="24"/>
                <w:lang w:val="en-US" w:eastAsia="tr-TR"/>
              </w:rPr>
              <m:t>1</m:t>
            </m:r>
          </m:sub>
        </m:sSub>
        <m:r>
          <w:rPr>
            <w:rFonts w:ascii="Cambria Math" w:hAnsi="Cambria Math" w:cs="Times New Roman"/>
            <w:noProof/>
            <w:sz w:val="24"/>
            <w:szCs w:val="24"/>
            <w:lang w:val="en-US" w:eastAsia="tr-TR"/>
          </w:rPr>
          <m:t xml:space="preserve">- </m:t>
        </m:r>
        <m:sSub>
          <m:sSubPr>
            <m:ctrlPr>
              <w:rPr>
                <w:rFonts w:ascii="Cambria Math" w:hAnsi="Cambria Math" w:cs="Times New Roman"/>
                <w:i/>
                <w:noProof/>
                <w:sz w:val="24"/>
                <w:szCs w:val="24"/>
                <w:lang w:val="en-US" w:eastAsia="tr-TR"/>
              </w:rPr>
            </m:ctrlPr>
          </m:sSubPr>
          <m:e>
            <m:r>
              <w:rPr>
                <w:rFonts w:ascii="Cambria Math" w:hAnsi="Cambria Math" w:cs="Times New Roman"/>
                <w:noProof/>
                <w:sz w:val="24"/>
                <w:szCs w:val="24"/>
                <w:lang w:val="en-US" w:eastAsia="tr-TR"/>
              </w:rPr>
              <m:t>σ</m:t>
            </m:r>
          </m:e>
          <m:sub>
            <m:r>
              <w:rPr>
                <w:rFonts w:ascii="Cambria Math" w:hAnsi="Cambria Math" w:cs="Times New Roman"/>
                <w:noProof/>
                <w:sz w:val="24"/>
                <w:szCs w:val="24"/>
                <w:lang w:val="en-US" w:eastAsia="tr-TR"/>
              </w:rPr>
              <m:t>it</m:t>
            </m:r>
          </m:sub>
        </m:sSub>
        <m:rad>
          <m:radPr>
            <m:degHide m:val="1"/>
            <m:ctrlPr>
              <w:rPr>
                <w:rFonts w:ascii="Cambria Math" w:hAnsi="Cambria Math" w:cs="Times New Roman"/>
                <w:i/>
                <w:noProof/>
                <w:sz w:val="24"/>
                <w:szCs w:val="24"/>
                <w:lang w:val="en-US" w:eastAsia="tr-TR"/>
              </w:rPr>
            </m:ctrlPr>
          </m:radPr>
          <m:deg/>
          <m:e>
            <m:r>
              <w:rPr>
                <w:rFonts w:ascii="Cambria Math" w:hAnsi="Cambria Math" w:cs="Times New Roman"/>
                <w:noProof/>
                <w:sz w:val="24"/>
                <w:szCs w:val="24"/>
                <w:lang w:val="en-US" w:eastAsia="tr-TR"/>
              </w:rPr>
              <m:t>T</m:t>
            </m:r>
          </m:e>
        </m:rad>
      </m:oMath>
      <w:r w:rsidR="00942E83" w:rsidRPr="009D043A">
        <w:rPr>
          <w:rFonts w:ascii="Times New Roman" w:eastAsiaTheme="minorEastAsia" w:hAnsi="Times New Roman" w:cs="Times New Roman"/>
          <w:noProof/>
          <w:sz w:val="24"/>
          <w:szCs w:val="24"/>
          <w:lang w:val="en-US" w:eastAsia="tr-TR"/>
        </w:rPr>
        <w:tab/>
      </w:r>
      <w:r w:rsidR="00942E83" w:rsidRPr="009D043A">
        <w:rPr>
          <w:rFonts w:ascii="Times New Roman" w:eastAsiaTheme="minorEastAsia" w:hAnsi="Times New Roman" w:cs="Times New Roman"/>
          <w:noProof/>
          <w:sz w:val="24"/>
          <w:szCs w:val="24"/>
          <w:lang w:val="en-US" w:eastAsia="tr-TR"/>
        </w:rPr>
        <w:tab/>
      </w:r>
      <w:r w:rsidR="00942E83" w:rsidRPr="009D043A">
        <w:rPr>
          <w:rFonts w:ascii="Times New Roman" w:eastAsiaTheme="minorEastAsia" w:hAnsi="Times New Roman" w:cs="Times New Roman"/>
          <w:noProof/>
          <w:sz w:val="24"/>
          <w:szCs w:val="24"/>
          <w:lang w:val="en-US" w:eastAsia="tr-TR"/>
        </w:rPr>
        <w:tab/>
        <w:t>(5)</w:t>
      </w:r>
    </w:p>
    <w:p w:rsidR="0030330E" w:rsidRPr="009D043A" w:rsidRDefault="0030330E" w:rsidP="009D043A">
      <w:pPr>
        <w:autoSpaceDE w:val="0"/>
        <w:autoSpaceDN w:val="0"/>
        <w:adjustRightInd w:val="0"/>
        <w:spacing w:after="0" w:line="240" w:lineRule="auto"/>
        <w:jc w:val="both"/>
        <w:rPr>
          <w:rFonts w:ascii="Times New Roman" w:hAnsi="Times New Roman" w:cs="Times New Roman"/>
          <w:sz w:val="24"/>
          <w:szCs w:val="24"/>
          <w:lang w:val="en-US"/>
        </w:rPr>
      </w:pPr>
    </w:p>
    <w:p w:rsidR="00533C01" w:rsidRPr="009D043A" w:rsidRDefault="00567379"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In the calculation </w:t>
      </w:r>
      <w:r w:rsidRPr="009D043A">
        <w:rPr>
          <w:rFonts w:ascii="Cambria Math" w:hAnsi="Cambria Math" w:cs="Cambria Math"/>
          <w:sz w:val="24"/>
          <w:szCs w:val="24"/>
          <w:lang w:val="en-US"/>
        </w:rPr>
        <w:t>𝐴</w:t>
      </w:r>
      <w:r w:rsidRPr="009D043A">
        <w:rPr>
          <w:rFonts w:ascii="Times New Roman" w:hAnsi="Times New Roman" w:cs="Times New Roman"/>
          <w:sz w:val="24"/>
          <w:szCs w:val="24"/>
          <w:lang w:val="en-US"/>
        </w:rPr>
        <w:t xml:space="preserve"> represents accounting value of bank assets,</w:t>
      </w:r>
      <w:r w:rsidR="00281BE9" w:rsidRPr="009D043A">
        <w:rPr>
          <w:rFonts w:ascii="Times New Roman" w:hAnsi="Times New Roman" w:cs="Times New Roman"/>
          <w:sz w:val="24"/>
          <w:szCs w:val="24"/>
          <w:lang w:val="en-US"/>
        </w:rPr>
        <w:t xml:space="preserve"> </w:t>
      </w:r>
      <w:r w:rsidRPr="009D043A">
        <w:rPr>
          <w:rFonts w:ascii="Cambria Math" w:hAnsi="Cambria Math" w:cs="Cambria Math"/>
          <w:sz w:val="24"/>
          <w:szCs w:val="24"/>
          <w:lang w:val="en-US"/>
        </w:rPr>
        <w:t>𝑇</w:t>
      </w:r>
      <w:r w:rsidR="00281BE9"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 xml:space="preserve">the time horizon of debt, </w:t>
      </w:r>
      <w:r w:rsidRPr="009D043A">
        <w:rPr>
          <w:rFonts w:ascii="Cambria Math" w:hAnsi="Cambria Math" w:cs="Cambria Math"/>
          <w:sz w:val="24"/>
          <w:szCs w:val="24"/>
          <w:lang w:val="en-US"/>
        </w:rPr>
        <w:t>𝐷</w:t>
      </w:r>
      <w:r w:rsidRPr="009D043A">
        <w:rPr>
          <w:rFonts w:ascii="Times New Roman" w:hAnsi="Times New Roman" w:cs="Times New Roman"/>
          <w:sz w:val="24"/>
          <w:szCs w:val="24"/>
          <w:lang w:val="en-US"/>
        </w:rPr>
        <w:t xml:space="preserve"> the face value of the debt, </w:t>
      </w:r>
      <w:r w:rsidRPr="009D043A">
        <w:rPr>
          <w:rFonts w:ascii="Cambria Math" w:hAnsi="Cambria Math" w:cs="Cambria Math"/>
          <w:sz w:val="24"/>
          <w:szCs w:val="24"/>
          <w:lang w:val="en-US"/>
        </w:rPr>
        <w:t>𝜎</w:t>
      </w:r>
      <w:r w:rsidRPr="009D043A">
        <w:rPr>
          <w:rFonts w:ascii="Times New Roman" w:hAnsi="Times New Roman" w:cs="Times New Roman"/>
          <w:sz w:val="24"/>
          <w:szCs w:val="24"/>
          <w:lang w:val="en-US"/>
        </w:rPr>
        <w:t xml:space="preserve"> the volatility of bank assets, </w:t>
      </w:r>
      <w:r w:rsidRPr="009D043A">
        <w:rPr>
          <w:rFonts w:ascii="Cambria Math" w:hAnsi="Cambria Math" w:cs="Cambria Math"/>
          <w:sz w:val="24"/>
          <w:szCs w:val="24"/>
          <w:lang w:val="en-US"/>
        </w:rPr>
        <w:t>𝑟</w:t>
      </w:r>
      <w:r w:rsidRPr="009D043A">
        <w:rPr>
          <w:rFonts w:ascii="Times New Roman" w:hAnsi="Times New Roman" w:cs="Times New Roman"/>
          <w:sz w:val="24"/>
          <w:szCs w:val="24"/>
          <w:lang w:val="en-US"/>
        </w:rPr>
        <w:t xml:space="preserve"> the risk-free rate, </w:t>
      </w:r>
      <w:r w:rsidRPr="009D043A">
        <w:rPr>
          <w:rFonts w:ascii="Cambria Math" w:hAnsi="Cambria Math" w:cs="Cambria Math"/>
          <w:sz w:val="24"/>
          <w:szCs w:val="24"/>
          <w:lang w:val="en-US"/>
        </w:rPr>
        <w:t>𝐸</w:t>
      </w:r>
      <w:r w:rsidRPr="009D043A">
        <w:rPr>
          <w:rFonts w:ascii="Times New Roman" w:hAnsi="Times New Roman" w:cs="Times New Roman"/>
          <w:sz w:val="24"/>
          <w:szCs w:val="24"/>
          <w:lang w:val="en-US"/>
        </w:rPr>
        <w:t xml:space="preserve"> the mark</w:t>
      </w:r>
      <w:r w:rsidR="00942E83" w:rsidRPr="009D043A">
        <w:rPr>
          <w:rFonts w:ascii="Times New Roman" w:hAnsi="Times New Roman" w:cs="Times New Roman"/>
          <w:sz w:val="24"/>
          <w:szCs w:val="24"/>
          <w:lang w:val="en-US"/>
        </w:rPr>
        <w:t xml:space="preserve">et value of bank </w:t>
      </w:r>
      <w:r w:rsidRPr="009D043A">
        <w:rPr>
          <w:rFonts w:ascii="Times New Roman" w:hAnsi="Times New Roman" w:cs="Times New Roman"/>
          <w:sz w:val="24"/>
          <w:szCs w:val="24"/>
          <w:lang w:val="en-US"/>
        </w:rPr>
        <w:t>and ̂</w:t>
      </w:r>
      <w:r w:rsidRPr="009D043A">
        <w:rPr>
          <w:rFonts w:ascii="Cambria Math" w:hAnsi="Cambria Math" w:cs="Cambria Math"/>
          <w:sz w:val="24"/>
          <w:szCs w:val="24"/>
          <w:lang w:val="en-US"/>
        </w:rPr>
        <w:t>𝜎</w:t>
      </w:r>
      <w:r w:rsidRPr="009D043A">
        <w:rPr>
          <w:rFonts w:ascii="Times New Roman" w:hAnsi="Times New Roman" w:cs="Times New Roman"/>
          <w:sz w:val="24"/>
          <w:szCs w:val="24"/>
          <w:lang w:val="en-US"/>
        </w:rPr>
        <w:t xml:space="preserve"> the volatility of bank </w:t>
      </w:r>
      <w:r w:rsidR="00B46D62" w:rsidRPr="009D043A">
        <w:rPr>
          <w:rFonts w:ascii="Times New Roman" w:hAnsi="Times New Roman" w:cs="Times New Roman"/>
          <w:sz w:val="24"/>
          <w:szCs w:val="24"/>
          <w:lang w:val="en-US"/>
        </w:rPr>
        <w:t xml:space="preserve">in the </w:t>
      </w:r>
      <w:r w:rsidRPr="009D043A">
        <w:rPr>
          <w:rFonts w:ascii="Times New Roman" w:hAnsi="Times New Roman" w:cs="Times New Roman"/>
          <w:sz w:val="24"/>
          <w:szCs w:val="24"/>
          <w:lang w:val="en-US"/>
        </w:rPr>
        <w:t>capital</w:t>
      </w:r>
      <w:r w:rsidR="00B46D62" w:rsidRPr="009D043A">
        <w:rPr>
          <w:rFonts w:ascii="Times New Roman" w:hAnsi="Times New Roman" w:cs="Times New Roman"/>
          <w:sz w:val="24"/>
          <w:szCs w:val="24"/>
          <w:lang w:val="en-US"/>
        </w:rPr>
        <w:t xml:space="preserve"> market</w:t>
      </w:r>
      <w:r w:rsidRPr="009D043A">
        <w:rPr>
          <w:rFonts w:ascii="Times New Roman" w:hAnsi="Times New Roman" w:cs="Times New Roman"/>
          <w:sz w:val="24"/>
          <w:szCs w:val="24"/>
          <w:lang w:val="en-US"/>
        </w:rPr>
        <w:t>, respectively.</w:t>
      </w:r>
      <w:r w:rsidR="00533C01" w:rsidRPr="009D043A">
        <w:rPr>
          <w:rFonts w:ascii="Times New Roman" w:hAnsi="Times New Roman" w:cs="Times New Roman"/>
          <w:sz w:val="24"/>
          <w:szCs w:val="24"/>
          <w:lang w:val="en-US"/>
        </w:rPr>
        <w:t xml:space="preserve"> </w:t>
      </w:r>
      <w:r w:rsidR="00942E83" w:rsidRPr="009D043A">
        <w:rPr>
          <w:rFonts w:ascii="Times New Roman" w:hAnsi="Times New Roman" w:cs="Times New Roman"/>
          <w:sz w:val="24"/>
          <w:szCs w:val="24"/>
          <w:lang w:val="en-US"/>
        </w:rPr>
        <w:t xml:space="preserve">In the calculation, </w:t>
      </w:r>
      <w:r w:rsidR="00942E83" w:rsidRPr="009D043A">
        <w:rPr>
          <w:rFonts w:ascii="Times New Roman" w:hAnsi="Times New Roman" w:cs="Times New Roman"/>
          <w:sz w:val="24"/>
          <w:szCs w:val="24"/>
          <w:lang w:val="en-US"/>
        </w:rPr>
        <w:lastRenderedPageBreak/>
        <w:t>Equations 2 and 5 are used</w:t>
      </w:r>
      <w:r w:rsidR="007237CB" w:rsidRPr="009D043A">
        <w:rPr>
          <w:rFonts w:ascii="Times New Roman" w:hAnsi="Times New Roman" w:cs="Times New Roman"/>
          <w:sz w:val="24"/>
          <w:szCs w:val="24"/>
          <w:lang w:val="en-US"/>
        </w:rPr>
        <w:t xml:space="preserve"> </w:t>
      </w:r>
      <w:r w:rsidR="00942E83" w:rsidRPr="009D043A">
        <w:rPr>
          <w:rFonts w:ascii="Times New Roman" w:hAnsi="Times New Roman" w:cs="Times New Roman"/>
          <w:sz w:val="24"/>
          <w:szCs w:val="24"/>
          <w:lang w:val="en-US"/>
        </w:rPr>
        <w:t xml:space="preserve">to obtain the implied asset value A and volatility </w:t>
      </w:r>
      <w:proofErr w:type="spellStart"/>
      <w:proofErr w:type="gramStart"/>
      <w:r w:rsidR="00942E83" w:rsidRPr="009D043A">
        <w:rPr>
          <w:rFonts w:ascii="Times New Roman" w:hAnsi="Times New Roman" w:cs="Times New Roman"/>
          <w:sz w:val="24"/>
          <w:szCs w:val="24"/>
          <w:lang w:val="en-US"/>
        </w:rPr>
        <w:t>σ</w:t>
      </w:r>
      <w:r w:rsidR="00942E83" w:rsidRPr="009D043A">
        <w:rPr>
          <w:rFonts w:ascii="Times New Roman" w:hAnsi="Times New Roman" w:cs="Times New Roman"/>
          <w:sz w:val="24"/>
          <w:szCs w:val="24"/>
          <w:vertAlign w:val="subscript"/>
          <w:lang w:val="en-US"/>
        </w:rPr>
        <w:t>A</w:t>
      </w:r>
      <w:proofErr w:type="spellEnd"/>
      <w:proofErr w:type="gramEnd"/>
      <w:r w:rsidR="00942E83" w:rsidRPr="009D043A">
        <w:rPr>
          <w:rFonts w:ascii="Times New Roman" w:hAnsi="Times New Roman" w:cs="Times New Roman"/>
          <w:sz w:val="24"/>
          <w:szCs w:val="24"/>
          <w:lang w:val="en-US"/>
        </w:rPr>
        <w:t xml:space="preserve"> for</w:t>
      </w:r>
      <w:r w:rsidR="00925FF2" w:rsidRPr="009D043A">
        <w:rPr>
          <w:rFonts w:ascii="Times New Roman" w:hAnsi="Times New Roman" w:cs="Times New Roman"/>
          <w:sz w:val="24"/>
          <w:szCs w:val="24"/>
          <w:lang w:val="en-US"/>
        </w:rPr>
        <w:t xml:space="preserve"> </w:t>
      </w:r>
      <w:r w:rsidR="00942E83" w:rsidRPr="009D043A">
        <w:rPr>
          <w:rFonts w:ascii="Times New Roman" w:hAnsi="Times New Roman" w:cs="Times New Roman"/>
          <w:sz w:val="24"/>
          <w:szCs w:val="24"/>
          <w:lang w:val="en-US"/>
        </w:rPr>
        <w:t xml:space="preserve">the calculation of </w:t>
      </w:r>
      <w:proofErr w:type="spellStart"/>
      <w:r w:rsidR="00942E83" w:rsidRPr="009D043A">
        <w:rPr>
          <w:rFonts w:ascii="Times New Roman" w:hAnsi="Times New Roman" w:cs="Times New Roman"/>
          <w:sz w:val="24"/>
          <w:szCs w:val="24"/>
          <w:lang w:val="en-US"/>
        </w:rPr>
        <w:t>DD</w:t>
      </w:r>
      <w:r w:rsidR="00942E83" w:rsidRPr="009D043A">
        <w:rPr>
          <w:rFonts w:ascii="Times New Roman" w:hAnsi="Times New Roman" w:cs="Times New Roman"/>
          <w:sz w:val="24"/>
          <w:szCs w:val="24"/>
          <w:vertAlign w:val="subscript"/>
          <w:lang w:val="en-US"/>
        </w:rPr>
        <w:t>it</w:t>
      </w:r>
      <w:proofErr w:type="spellEnd"/>
      <w:r w:rsidR="00942E83" w:rsidRPr="009D043A">
        <w:rPr>
          <w:rFonts w:ascii="Times New Roman" w:hAnsi="Times New Roman" w:cs="Times New Roman"/>
          <w:sz w:val="24"/>
          <w:szCs w:val="24"/>
          <w:lang w:val="en-US"/>
        </w:rPr>
        <w:t xml:space="preserve"> which are not observable and must be estimated by inverting the two relationships. </w:t>
      </w:r>
      <w:r w:rsidR="00533C01" w:rsidRPr="009D043A">
        <w:rPr>
          <w:rFonts w:ascii="Times New Roman" w:hAnsi="Times New Roman" w:cs="Times New Roman"/>
          <w:sz w:val="24"/>
          <w:szCs w:val="24"/>
          <w:lang w:val="en-US"/>
        </w:rPr>
        <w:t>As an addition to the simple distance-to-default (DD) for each bank and each quarter, weighted average distance-to-default (WADD) were calculated by using the individual bank market capital values.</w:t>
      </w:r>
    </w:p>
    <w:p w:rsidR="0030330E" w:rsidRPr="009D043A" w:rsidRDefault="0030330E" w:rsidP="009D043A">
      <w:pPr>
        <w:autoSpaceDE w:val="0"/>
        <w:autoSpaceDN w:val="0"/>
        <w:adjustRightInd w:val="0"/>
        <w:spacing w:after="0" w:line="240" w:lineRule="auto"/>
        <w:jc w:val="both"/>
        <w:rPr>
          <w:rFonts w:ascii="Times New Roman" w:hAnsi="Times New Roman" w:cs="Times New Roman"/>
          <w:sz w:val="24"/>
          <w:szCs w:val="24"/>
          <w:lang w:val="en-US"/>
        </w:rPr>
      </w:pPr>
    </w:p>
    <w:p w:rsidR="00553D69" w:rsidRPr="009D043A" w:rsidRDefault="00553D69"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 xml:space="preserve">Data and </w:t>
      </w:r>
      <w:r w:rsidR="00B57E88" w:rsidRPr="009D043A">
        <w:rPr>
          <w:rFonts w:ascii="Times New Roman" w:hAnsi="Times New Roman" w:cs="Times New Roman"/>
          <w:b/>
          <w:sz w:val="24"/>
          <w:szCs w:val="24"/>
          <w:lang w:val="en-US"/>
        </w:rPr>
        <w:t>Empirical</w:t>
      </w:r>
      <w:r w:rsidRPr="009D043A">
        <w:rPr>
          <w:rFonts w:ascii="Times New Roman" w:hAnsi="Times New Roman" w:cs="Times New Roman"/>
          <w:b/>
          <w:sz w:val="24"/>
          <w:szCs w:val="24"/>
          <w:lang w:val="en-US"/>
        </w:rPr>
        <w:t xml:space="preserve"> Results</w:t>
      </w:r>
    </w:p>
    <w:p w:rsidR="00553D69" w:rsidRPr="009D043A" w:rsidRDefault="00553D69" w:rsidP="009D043A">
      <w:pPr>
        <w:autoSpaceDE w:val="0"/>
        <w:autoSpaceDN w:val="0"/>
        <w:adjustRightInd w:val="0"/>
        <w:spacing w:after="0" w:line="240" w:lineRule="auto"/>
        <w:jc w:val="both"/>
        <w:rPr>
          <w:rFonts w:ascii="Times New Roman" w:hAnsi="Times New Roman" w:cs="Times New Roman"/>
          <w:sz w:val="24"/>
          <w:szCs w:val="24"/>
          <w:lang w:val="en-US"/>
        </w:rPr>
      </w:pPr>
    </w:p>
    <w:p w:rsidR="00DD09B8" w:rsidRPr="009D043A" w:rsidRDefault="0046785A"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As of December 2016, in the Turkish banking sector there are </w:t>
      </w:r>
      <w:r w:rsidR="004B2771" w:rsidRPr="009D043A">
        <w:rPr>
          <w:rFonts w:ascii="Times New Roman" w:hAnsi="Times New Roman" w:cs="Times New Roman"/>
          <w:sz w:val="24"/>
          <w:szCs w:val="24"/>
          <w:lang w:val="en-US"/>
        </w:rPr>
        <w:t>47</w:t>
      </w:r>
      <w:r w:rsidRPr="009D043A">
        <w:rPr>
          <w:rFonts w:ascii="Times New Roman" w:hAnsi="Times New Roman" w:cs="Times New Roman"/>
          <w:sz w:val="24"/>
          <w:szCs w:val="24"/>
          <w:lang w:val="en-US"/>
        </w:rPr>
        <w:t xml:space="preserve"> banks in total, 3</w:t>
      </w:r>
      <w:r w:rsidR="00830F3C" w:rsidRPr="009D043A">
        <w:rPr>
          <w:rFonts w:ascii="Times New Roman" w:hAnsi="Times New Roman" w:cs="Times New Roman"/>
          <w:sz w:val="24"/>
          <w:szCs w:val="24"/>
          <w:lang w:val="en-US"/>
        </w:rPr>
        <w:t>4</w:t>
      </w:r>
      <w:r w:rsidRPr="009D043A">
        <w:rPr>
          <w:rFonts w:ascii="Times New Roman" w:hAnsi="Times New Roman" w:cs="Times New Roman"/>
          <w:sz w:val="24"/>
          <w:szCs w:val="24"/>
          <w:lang w:val="en-US"/>
        </w:rPr>
        <w:t xml:space="preserve"> of them being deposit</w:t>
      </w:r>
      <w:r w:rsidR="00830F3C" w:rsidRPr="009D043A">
        <w:rPr>
          <w:rFonts w:ascii="Times New Roman" w:hAnsi="Times New Roman" w:cs="Times New Roman"/>
          <w:sz w:val="24"/>
          <w:szCs w:val="24"/>
          <w:lang w:val="en-US"/>
        </w:rPr>
        <w:t xml:space="preserve"> banks </w:t>
      </w:r>
      <w:r w:rsidR="004B2771" w:rsidRPr="009D043A">
        <w:rPr>
          <w:rFonts w:ascii="Times New Roman" w:hAnsi="Times New Roman" w:cs="Times New Roman"/>
          <w:sz w:val="24"/>
          <w:szCs w:val="24"/>
          <w:lang w:val="en-US"/>
        </w:rPr>
        <w:t>out of which 21 are owned by foreigners</w:t>
      </w:r>
      <w:r w:rsidRPr="009D043A">
        <w:rPr>
          <w:rFonts w:ascii="Times New Roman" w:hAnsi="Times New Roman" w:cs="Times New Roman"/>
          <w:sz w:val="24"/>
          <w:szCs w:val="24"/>
          <w:lang w:val="en-US"/>
        </w:rPr>
        <w:t xml:space="preserve">, 13 development and investment banks. </w:t>
      </w:r>
      <w:r w:rsidR="004B2771" w:rsidRPr="009D043A">
        <w:rPr>
          <w:rFonts w:ascii="Times New Roman" w:hAnsi="Times New Roman" w:cs="Times New Roman"/>
          <w:sz w:val="24"/>
          <w:szCs w:val="24"/>
          <w:lang w:val="en-US"/>
        </w:rPr>
        <w:t>The total asset siz</w:t>
      </w:r>
      <w:r w:rsidR="00830F3C" w:rsidRPr="009D043A">
        <w:rPr>
          <w:rFonts w:ascii="Times New Roman" w:hAnsi="Times New Roman" w:cs="Times New Roman"/>
          <w:sz w:val="24"/>
          <w:szCs w:val="24"/>
          <w:lang w:val="en-US"/>
        </w:rPr>
        <w:t>e</w:t>
      </w:r>
      <w:r w:rsidR="004B2771" w:rsidRPr="009D043A">
        <w:rPr>
          <w:rFonts w:ascii="Times New Roman" w:hAnsi="Times New Roman" w:cs="Times New Roman"/>
          <w:sz w:val="24"/>
          <w:szCs w:val="24"/>
          <w:lang w:val="en-US"/>
        </w:rPr>
        <w:t xml:space="preserve"> is </w:t>
      </w:r>
      <w:r w:rsidR="00830F3C" w:rsidRPr="009D043A">
        <w:rPr>
          <w:rFonts w:ascii="Times New Roman" w:hAnsi="Times New Roman" w:cs="Times New Roman"/>
          <w:sz w:val="24"/>
          <w:szCs w:val="24"/>
          <w:lang w:val="en-US"/>
        </w:rPr>
        <w:t>737</w:t>
      </w:r>
      <w:r w:rsidR="00925FF2" w:rsidRPr="009D043A">
        <w:rPr>
          <w:rFonts w:ascii="Times New Roman" w:hAnsi="Times New Roman" w:cs="Times New Roman"/>
          <w:sz w:val="24"/>
          <w:szCs w:val="24"/>
          <w:lang w:val="en-US"/>
        </w:rPr>
        <w:t>.</w:t>
      </w:r>
      <w:r w:rsidR="00830F3C" w:rsidRPr="009D043A">
        <w:rPr>
          <w:rFonts w:ascii="Times New Roman" w:hAnsi="Times New Roman" w:cs="Times New Roman"/>
          <w:sz w:val="24"/>
          <w:szCs w:val="24"/>
          <w:lang w:val="en-US"/>
        </w:rPr>
        <w:t xml:space="preserve">5 billion US Dollars, total loans and receivables amounts to nearly 293 billion US Dollars (66% of balance sheet). 56% of the balance sheet has been funded by the deposits and 11% by share-holders equity. </w:t>
      </w:r>
      <w:r w:rsidR="00AA4AB0" w:rsidRPr="009D043A">
        <w:rPr>
          <w:rFonts w:ascii="Times New Roman" w:hAnsi="Times New Roman" w:cs="Times New Roman"/>
          <w:sz w:val="24"/>
          <w:szCs w:val="24"/>
          <w:lang w:val="en-US"/>
        </w:rPr>
        <w:t>In the period after the 2000–2001 financial crisis in Turkey, structural reforms designed to ensure the banking sector could overcome fragilities became the engine of economic growth and accelerated the resolution of the crisis. In the 2000s, autonomous Regulatory and Supervisory Agen</w:t>
      </w:r>
      <w:r w:rsidR="00427273" w:rsidRPr="009D043A">
        <w:rPr>
          <w:rFonts w:ascii="Times New Roman" w:hAnsi="Times New Roman" w:cs="Times New Roman"/>
          <w:sz w:val="24"/>
          <w:szCs w:val="24"/>
          <w:lang w:val="en-US"/>
        </w:rPr>
        <w:t>cies (Boards) were established and t</w:t>
      </w:r>
      <w:r w:rsidR="00AA4AB0" w:rsidRPr="009D043A">
        <w:rPr>
          <w:rFonts w:ascii="Times New Roman" w:hAnsi="Times New Roman" w:cs="Times New Roman"/>
          <w:sz w:val="24"/>
          <w:szCs w:val="24"/>
          <w:lang w:val="en-US"/>
        </w:rPr>
        <w:t>he Banking Sector Restructuring Program was announced in May 2001, and was focused on the intermediation function aiming to make the banking sector internationally competitive and resilient to internal and external shocks.</w:t>
      </w:r>
    </w:p>
    <w:p w:rsidR="004B2771" w:rsidRPr="009D043A" w:rsidRDefault="004B2771" w:rsidP="009D043A">
      <w:pPr>
        <w:autoSpaceDE w:val="0"/>
        <w:autoSpaceDN w:val="0"/>
        <w:adjustRightInd w:val="0"/>
        <w:spacing w:after="0" w:line="240" w:lineRule="auto"/>
        <w:jc w:val="both"/>
        <w:rPr>
          <w:rFonts w:ascii="Times New Roman" w:hAnsi="Times New Roman" w:cs="Times New Roman"/>
          <w:sz w:val="24"/>
          <w:szCs w:val="24"/>
          <w:lang w:val="en-US"/>
        </w:rPr>
      </w:pPr>
    </w:p>
    <w:p w:rsidR="00005C09" w:rsidRPr="009D043A" w:rsidRDefault="00366027"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The data consist of quarterly </w:t>
      </w:r>
      <w:r w:rsidR="00E874B1" w:rsidRPr="009D043A">
        <w:rPr>
          <w:rFonts w:ascii="Times New Roman" w:hAnsi="Times New Roman" w:cs="Times New Roman"/>
          <w:sz w:val="24"/>
          <w:szCs w:val="24"/>
          <w:lang w:val="en-US"/>
        </w:rPr>
        <w:t>calculated average diversification indicator (ADI), weighted average diversification indicator (WADI), distance-to-default (DD) and weighted average distance-to-default (WADD) for</w:t>
      </w:r>
      <w:r w:rsidR="00DD5579" w:rsidRPr="009D043A">
        <w:rPr>
          <w:rFonts w:ascii="Times New Roman" w:hAnsi="Times New Roman" w:cs="Times New Roman"/>
          <w:sz w:val="24"/>
          <w:szCs w:val="24"/>
          <w:lang w:val="en-US"/>
        </w:rPr>
        <w:t xml:space="preserve"> top</w:t>
      </w:r>
      <w:r w:rsidR="00E874B1" w:rsidRPr="009D043A">
        <w:rPr>
          <w:rFonts w:ascii="Times New Roman" w:hAnsi="Times New Roman" w:cs="Times New Roman"/>
          <w:sz w:val="24"/>
          <w:szCs w:val="24"/>
          <w:lang w:val="en-US"/>
        </w:rPr>
        <w:t xml:space="preserve"> </w:t>
      </w:r>
      <w:r w:rsidR="006F6013" w:rsidRPr="009D043A">
        <w:rPr>
          <w:rFonts w:ascii="Times New Roman" w:hAnsi="Times New Roman" w:cs="Times New Roman"/>
          <w:sz w:val="24"/>
          <w:szCs w:val="24"/>
          <w:lang w:val="en-US"/>
        </w:rPr>
        <w:t>6</w:t>
      </w:r>
      <w:r w:rsidR="00E874B1" w:rsidRPr="009D043A">
        <w:rPr>
          <w:rFonts w:ascii="Times New Roman" w:hAnsi="Times New Roman" w:cs="Times New Roman"/>
          <w:sz w:val="24"/>
          <w:szCs w:val="24"/>
          <w:lang w:val="en-US"/>
        </w:rPr>
        <w:t xml:space="preserve"> Turkish commercial banks that have the highest market share in terms of total assets, total deposits and all other relevant indicators f</w:t>
      </w:r>
      <w:r w:rsidRPr="009D043A">
        <w:rPr>
          <w:rFonts w:ascii="Times New Roman" w:hAnsi="Times New Roman" w:cs="Times New Roman"/>
          <w:sz w:val="24"/>
          <w:szCs w:val="24"/>
          <w:lang w:val="en-US"/>
        </w:rPr>
        <w:t>or each quarter in the period between 2009</w:t>
      </w:r>
      <w:r w:rsidR="00982E18" w:rsidRPr="009D043A">
        <w:rPr>
          <w:rFonts w:ascii="Times New Roman" w:hAnsi="Times New Roman" w:cs="Times New Roman"/>
          <w:sz w:val="24"/>
          <w:szCs w:val="24"/>
          <w:lang w:val="en-US"/>
        </w:rPr>
        <w:t xml:space="preserve"> and </w:t>
      </w:r>
      <w:r w:rsidRPr="009D043A">
        <w:rPr>
          <w:rFonts w:ascii="Times New Roman" w:hAnsi="Times New Roman" w:cs="Times New Roman"/>
          <w:sz w:val="24"/>
          <w:szCs w:val="24"/>
          <w:lang w:val="en-US"/>
        </w:rPr>
        <w:t>2016</w:t>
      </w:r>
      <w:r w:rsidR="00934B60" w:rsidRPr="009D043A">
        <w:rPr>
          <w:rFonts w:ascii="Times New Roman" w:hAnsi="Times New Roman" w:cs="Times New Roman"/>
          <w:sz w:val="24"/>
          <w:szCs w:val="24"/>
          <w:lang w:val="en-US"/>
        </w:rPr>
        <w:t>.</w:t>
      </w:r>
      <w:r w:rsidR="00972970" w:rsidRPr="009D043A">
        <w:rPr>
          <w:rFonts w:ascii="Times New Roman" w:hAnsi="Times New Roman" w:cs="Times New Roman"/>
          <w:sz w:val="24"/>
          <w:szCs w:val="24"/>
          <w:lang w:val="en-US"/>
        </w:rPr>
        <w:t xml:space="preserve"> </w:t>
      </w:r>
      <w:r w:rsidR="00DD5579" w:rsidRPr="009D043A">
        <w:rPr>
          <w:rFonts w:ascii="Times New Roman" w:hAnsi="Times New Roman" w:cs="Times New Roman"/>
          <w:sz w:val="24"/>
          <w:szCs w:val="24"/>
          <w:lang w:val="en-US"/>
        </w:rPr>
        <w:t xml:space="preserve">Top </w:t>
      </w:r>
      <w:r w:rsidR="006F6013" w:rsidRPr="009D043A">
        <w:rPr>
          <w:rFonts w:ascii="Times New Roman" w:hAnsi="Times New Roman" w:cs="Times New Roman"/>
          <w:sz w:val="24"/>
          <w:szCs w:val="24"/>
          <w:lang w:val="en-US"/>
        </w:rPr>
        <w:t>6</w:t>
      </w:r>
      <w:r w:rsidR="00DD5579" w:rsidRPr="009D043A">
        <w:rPr>
          <w:rFonts w:ascii="Times New Roman" w:hAnsi="Times New Roman" w:cs="Times New Roman"/>
          <w:sz w:val="24"/>
          <w:szCs w:val="24"/>
          <w:lang w:val="en-US"/>
        </w:rPr>
        <w:t xml:space="preserve"> Turkish commercial banks have a market share of 60% in terms of nearly all indicators such as total assets, deposits etc.</w:t>
      </w:r>
      <w:r w:rsidR="009315AB" w:rsidRPr="009D043A">
        <w:rPr>
          <w:rFonts w:ascii="Times New Roman" w:hAnsi="Times New Roman" w:cs="Times New Roman"/>
          <w:sz w:val="24"/>
          <w:szCs w:val="24"/>
          <w:lang w:val="en-US"/>
        </w:rPr>
        <w:t xml:space="preserve"> The data sources are Banking Regulation and Supervision Agency (BRSA), The Banks Association of Turkey (BAT) and </w:t>
      </w:r>
      <w:proofErr w:type="spellStart"/>
      <w:r w:rsidR="009315AB" w:rsidRPr="009D043A">
        <w:rPr>
          <w:rFonts w:ascii="Times New Roman" w:hAnsi="Times New Roman" w:cs="Times New Roman"/>
          <w:sz w:val="24"/>
          <w:szCs w:val="24"/>
          <w:lang w:val="en-US"/>
        </w:rPr>
        <w:t>Borsa</w:t>
      </w:r>
      <w:proofErr w:type="spellEnd"/>
      <w:r w:rsidR="009315AB" w:rsidRPr="009D043A">
        <w:rPr>
          <w:rFonts w:ascii="Times New Roman" w:hAnsi="Times New Roman" w:cs="Times New Roman"/>
          <w:sz w:val="24"/>
          <w:szCs w:val="24"/>
          <w:lang w:val="en-US"/>
        </w:rPr>
        <w:t xml:space="preserve"> Istanbul (BIST). </w:t>
      </w:r>
      <w:r w:rsidR="002E2E08" w:rsidRPr="009D043A">
        <w:rPr>
          <w:rFonts w:ascii="Times New Roman" w:hAnsi="Times New Roman" w:cs="Times New Roman"/>
          <w:sz w:val="24"/>
          <w:szCs w:val="24"/>
          <w:lang w:val="en-US"/>
        </w:rPr>
        <w:t xml:space="preserve">Figure 1a and 1b plots the data of average and weighted average (weights are assigned as market </w:t>
      </w:r>
      <w:r w:rsidR="00F63613" w:rsidRPr="009D043A">
        <w:rPr>
          <w:rFonts w:ascii="Times New Roman" w:hAnsi="Times New Roman" w:cs="Times New Roman"/>
          <w:sz w:val="24"/>
          <w:szCs w:val="24"/>
          <w:lang w:val="en-US"/>
        </w:rPr>
        <w:t xml:space="preserve">capital) </w:t>
      </w:r>
      <w:r w:rsidR="002E2E08" w:rsidRPr="009D043A">
        <w:rPr>
          <w:rFonts w:ascii="Times New Roman" w:hAnsi="Times New Roman" w:cs="Times New Roman"/>
          <w:sz w:val="24"/>
          <w:szCs w:val="24"/>
          <w:lang w:val="en-US"/>
        </w:rPr>
        <w:t>diversification indicator of top 6 Turkish banks, as well as the systemic risk indicators banks for the period Dec 2016-Dec 2009</w:t>
      </w:r>
      <w:r w:rsidR="00F63613" w:rsidRPr="009D043A">
        <w:rPr>
          <w:rFonts w:ascii="Times New Roman" w:hAnsi="Times New Roman" w:cs="Times New Roman"/>
          <w:sz w:val="24"/>
          <w:szCs w:val="24"/>
          <w:lang w:val="en-US"/>
        </w:rPr>
        <w:t xml:space="preserve">, respectively. The systemic indicators represents an increasing trend since the end of 2013 when the political tension increased as a result of </w:t>
      </w:r>
      <w:r w:rsidR="00005C09" w:rsidRPr="009D043A">
        <w:rPr>
          <w:rFonts w:ascii="Times New Roman" w:hAnsi="Times New Roman" w:cs="Times New Roman"/>
          <w:sz w:val="24"/>
          <w:szCs w:val="24"/>
          <w:lang w:val="en-US"/>
        </w:rPr>
        <w:t xml:space="preserve">the domestic social unrest beginning with Gezi Park demonstrations in June 2013 especially the way they were settled and the reaction were reflected in domestic government bond market and stock exchange together with foreign exchange market. The timing of the occurrences coincided with the tightening decision of FED which contributed to the degree of reaction. The second wave of political events in the form of corruption investigations took place in late December 2013, causing more </w:t>
      </w:r>
      <w:r w:rsidR="00005C09" w:rsidRPr="009D043A">
        <w:rPr>
          <w:rFonts w:ascii="Times New Roman" w:hAnsi="Times New Roman" w:cs="Times New Roman"/>
          <w:color w:val="333333"/>
          <w:sz w:val="24"/>
          <w:szCs w:val="24"/>
          <w:lang w:val="en-US"/>
        </w:rPr>
        <w:t xml:space="preserve">deterioration in domestic and international markets. All those political events has increased the systemic risk affecting the whole Turkish banking system and </w:t>
      </w:r>
      <w:r w:rsidR="00B056C0" w:rsidRPr="009D043A">
        <w:rPr>
          <w:rFonts w:ascii="Times New Roman" w:hAnsi="Times New Roman" w:cs="Times New Roman"/>
          <w:color w:val="333333"/>
          <w:sz w:val="24"/>
          <w:szCs w:val="24"/>
          <w:lang w:val="en-US"/>
        </w:rPr>
        <w:t xml:space="preserve">has continued to </w:t>
      </w:r>
      <w:r w:rsidR="00005C09" w:rsidRPr="009D043A">
        <w:rPr>
          <w:rFonts w:ascii="Times New Roman" w:hAnsi="Times New Roman" w:cs="Times New Roman"/>
          <w:color w:val="333333"/>
          <w:sz w:val="24"/>
          <w:szCs w:val="24"/>
          <w:lang w:val="en-US"/>
        </w:rPr>
        <w:t xml:space="preserve">increase thereafter as the social, political and geographical factors </w:t>
      </w:r>
      <w:r w:rsidR="00B056C0" w:rsidRPr="009D043A">
        <w:rPr>
          <w:rFonts w:ascii="Times New Roman" w:hAnsi="Times New Roman" w:cs="Times New Roman"/>
          <w:color w:val="333333"/>
          <w:sz w:val="24"/>
          <w:szCs w:val="24"/>
          <w:lang w:val="en-US"/>
        </w:rPr>
        <w:t>have worsened.</w:t>
      </w:r>
    </w:p>
    <w:p w:rsidR="001C5F10" w:rsidRPr="009D043A" w:rsidRDefault="001C5F10" w:rsidP="009D043A">
      <w:pPr>
        <w:autoSpaceDE w:val="0"/>
        <w:autoSpaceDN w:val="0"/>
        <w:adjustRightInd w:val="0"/>
        <w:spacing w:after="0" w:line="240" w:lineRule="auto"/>
        <w:jc w:val="both"/>
        <w:rPr>
          <w:rFonts w:ascii="Times New Roman" w:hAnsi="Times New Roman" w:cs="Times New Roman"/>
          <w:sz w:val="24"/>
          <w:szCs w:val="24"/>
          <w:lang w:val="en-US"/>
        </w:rPr>
      </w:pPr>
    </w:p>
    <w:p w:rsidR="001C5F10" w:rsidRPr="009D043A" w:rsidRDefault="002E2E08" w:rsidP="009D043A">
      <w:pPr>
        <w:autoSpaceDE w:val="0"/>
        <w:autoSpaceDN w:val="0"/>
        <w:adjustRightInd w:val="0"/>
        <w:spacing w:after="0" w:line="240" w:lineRule="auto"/>
        <w:jc w:val="both"/>
        <w:rPr>
          <w:rFonts w:ascii="Times New Roman" w:hAnsi="Times New Roman" w:cs="Times New Roman"/>
          <w:noProof/>
          <w:sz w:val="24"/>
          <w:szCs w:val="24"/>
          <w:lang w:val="en-US" w:eastAsia="tr-TR"/>
        </w:rPr>
      </w:pPr>
      <w:r w:rsidRPr="009D043A">
        <w:rPr>
          <w:rFonts w:ascii="Times New Roman" w:hAnsi="Times New Roman" w:cs="Times New Roman"/>
          <w:noProof/>
          <w:sz w:val="24"/>
          <w:szCs w:val="24"/>
          <w:lang w:eastAsia="tr-TR"/>
        </w:rPr>
        <w:lastRenderedPageBreak/>
        <w:drawing>
          <wp:inline distT="0" distB="0" distL="0" distR="0">
            <wp:extent cx="5762625" cy="221773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556" cy="2227716"/>
                    </a:xfrm>
                    <a:prstGeom prst="rect">
                      <a:avLst/>
                    </a:prstGeom>
                    <a:noFill/>
                    <a:ln>
                      <a:noFill/>
                    </a:ln>
                  </pic:spPr>
                </pic:pic>
              </a:graphicData>
            </a:graphic>
          </wp:inline>
        </w:drawing>
      </w:r>
    </w:p>
    <w:p w:rsidR="000A2B73" w:rsidRPr="009D043A" w:rsidRDefault="00C71DE6"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Table 1 stipulates the descriptive</w:t>
      </w:r>
      <w:r w:rsidR="00251FE7" w:rsidRPr="009D043A">
        <w:rPr>
          <w:rFonts w:ascii="Times New Roman" w:hAnsi="Times New Roman" w:cs="Times New Roman"/>
          <w:sz w:val="24"/>
          <w:szCs w:val="24"/>
          <w:lang w:val="en-US"/>
        </w:rPr>
        <w:t xml:space="preserve"> statis</w:t>
      </w:r>
      <w:r w:rsidRPr="009D043A">
        <w:rPr>
          <w:rFonts w:ascii="Times New Roman" w:hAnsi="Times New Roman" w:cs="Times New Roman"/>
          <w:sz w:val="24"/>
          <w:szCs w:val="24"/>
          <w:lang w:val="en-US"/>
        </w:rPr>
        <w:t>tics</w:t>
      </w:r>
      <w:r w:rsidR="00251FE7" w:rsidRPr="009D043A">
        <w:rPr>
          <w:rFonts w:ascii="Times New Roman" w:hAnsi="Times New Roman" w:cs="Times New Roman"/>
          <w:sz w:val="24"/>
          <w:szCs w:val="24"/>
          <w:lang w:val="en-US"/>
        </w:rPr>
        <w:t>, referring to the Augmented Dickey- Fuller (ADF) test</w:t>
      </w:r>
      <w:r w:rsidRPr="009D043A">
        <w:rPr>
          <w:rFonts w:ascii="Times New Roman" w:hAnsi="Times New Roman" w:cs="Times New Roman"/>
          <w:sz w:val="24"/>
          <w:szCs w:val="24"/>
          <w:lang w:val="en-US"/>
        </w:rPr>
        <w:t xml:space="preserve"> </w:t>
      </w:r>
      <w:r w:rsidR="00251FE7" w:rsidRPr="009D043A">
        <w:rPr>
          <w:rFonts w:ascii="Times New Roman" w:hAnsi="Times New Roman" w:cs="Times New Roman"/>
          <w:sz w:val="24"/>
          <w:szCs w:val="24"/>
          <w:lang w:val="en-US"/>
        </w:rPr>
        <w:t xml:space="preserve">results the quarterly diversification indicators </w:t>
      </w:r>
      <w:r w:rsidR="00427273" w:rsidRPr="009D043A">
        <w:rPr>
          <w:rFonts w:ascii="Times New Roman" w:hAnsi="Times New Roman" w:cs="Times New Roman"/>
          <w:sz w:val="24"/>
          <w:szCs w:val="24"/>
          <w:lang w:val="en-US"/>
        </w:rPr>
        <w:t xml:space="preserve">(ADIV and WADIV) </w:t>
      </w:r>
      <w:r w:rsidR="00251FE7" w:rsidRPr="009D043A">
        <w:rPr>
          <w:rFonts w:ascii="Times New Roman" w:hAnsi="Times New Roman" w:cs="Times New Roman"/>
          <w:sz w:val="24"/>
          <w:szCs w:val="24"/>
          <w:lang w:val="en-US"/>
        </w:rPr>
        <w:t xml:space="preserve">of </w:t>
      </w:r>
      <w:r w:rsidR="00972FFF" w:rsidRPr="009D043A">
        <w:rPr>
          <w:rFonts w:ascii="Times New Roman" w:hAnsi="Times New Roman" w:cs="Times New Roman"/>
          <w:sz w:val="24"/>
          <w:szCs w:val="24"/>
          <w:lang w:val="en-US"/>
        </w:rPr>
        <w:t xml:space="preserve">top 6 </w:t>
      </w:r>
      <w:r w:rsidR="00251FE7" w:rsidRPr="009D043A">
        <w:rPr>
          <w:rFonts w:ascii="Times New Roman" w:hAnsi="Times New Roman" w:cs="Times New Roman"/>
          <w:sz w:val="24"/>
          <w:szCs w:val="24"/>
          <w:lang w:val="en-US"/>
        </w:rPr>
        <w:t>Turkish banks for the period Dec 2016-Dec 2009 ha</w:t>
      </w:r>
      <w:r w:rsidR="00427273" w:rsidRPr="009D043A">
        <w:rPr>
          <w:rFonts w:ascii="Times New Roman" w:hAnsi="Times New Roman" w:cs="Times New Roman"/>
          <w:sz w:val="24"/>
          <w:szCs w:val="24"/>
          <w:lang w:val="en-US"/>
        </w:rPr>
        <w:t>ve</w:t>
      </w:r>
      <w:r w:rsidR="00251FE7" w:rsidRPr="009D043A">
        <w:rPr>
          <w:rFonts w:ascii="Times New Roman" w:hAnsi="Times New Roman" w:cs="Times New Roman"/>
          <w:sz w:val="24"/>
          <w:szCs w:val="24"/>
          <w:lang w:val="en-US"/>
        </w:rPr>
        <w:t xml:space="preserve"> no unit root. However, the no unit root hypothesis are rejected for the systemic risk </w:t>
      </w:r>
      <w:r w:rsidR="00972FFF" w:rsidRPr="009D043A">
        <w:rPr>
          <w:rFonts w:ascii="Times New Roman" w:hAnsi="Times New Roman" w:cs="Times New Roman"/>
          <w:sz w:val="24"/>
          <w:szCs w:val="24"/>
          <w:lang w:val="en-US"/>
        </w:rPr>
        <w:t>indicator</w:t>
      </w:r>
      <w:r w:rsidR="006E42F1" w:rsidRPr="009D043A">
        <w:rPr>
          <w:rFonts w:ascii="Times New Roman" w:hAnsi="Times New Roman" w:cs="Times New Roman"/>
          <w:sz w:val="24"/>
          <w:szCs w:val="24"/>
          <w:lang w:val="en-US"/>
        </w:rPr>
        <w:t>s of DD and WADD</w:t>
      </w:r>
      <w:r w:rsidR="004D66D9" w:rsidRPr="009D043A">
        <w:rPr>
          <w:rFonts w:ascii="Times New Roman" w:hAnsi="Times New Roman" w:cs="Times New Roman"/>
          <w:sz w:val="24"/>
          <w:szCs w:val="24"/>
          <w:lang w:val="en-US"/>
        </w:rPr>
        <w:t>.</w:t>
      </w:r>
      <w:r w:rsidR="006E42F1" w:rsidRPr="009D043A">
        <w:rPr>
          <w:rFonts w:ascii="Times New Roman" w:hAnsi="Times New Roman" w:cs="Times New Roman"/>
          <w:sz w:val="24"/>
          <w:szCs w:val="24"/>
          <w:lang w:val="en-US"/>
        </w:rPr>
        <w:t xml:space="preserve"> </w:t>
      </w:r>
      <w:r w:rsidR="002A2D73" w:rsidRPr="009D043A">
        <w:rPr>
          <w:rFonts w:ascii="Times New Roman" w:hAnsi="Times New Roman" w:cs="Times New Roman"/>
          <w:sz w:val="24"/>
          <w:szCs w:val="24"/>
          <w:lang w:val="en-US"/>
        </w:rPr>
        <w:t>ARDL model was introduced by </w:t>
      </w:r>
      <w:proofErr w:type="spellStart"/>
      <w:r w:rsidR="002A2D73" w:rsidRPr="009D043A">
        <w:rPr>
          <w:rFonts w:ascii="Times New Roman" w:hAnsi="Times New Roman" w:cs="Times New Roman"/>
          <w:sz w:val="24"/>
          <w:szCs w:val="24"/>
          <w:lang w:val="en-US"/>
        </w:rPr>
        <w:fldChar w:fldCharType="begin"/>
      </w:r>
      <w:r w:rsidR="002A2D73" w:rsidRPr="009D043A">
        <w:rPr>
          <w:rFonts w:ascii="Times New Roman" w:hAnsi="Times New Roman" w:cs="Times New Roman"/>
          <w:sz w:val="24"/>
          <w:szCs w:val="24"/>
          <w:lang w:val="en-US"/>
        </w:rPr>
        <w:instrText xml:space="preserve"> HYPERLINK "http://onlinelibrary.wiley.com/doi/10.1002/jae.616/full" \o "Download Original article here" \t "_blank" </w:instrText>
      </w:r>
      <w:r w:rsidR="002A2D73" w:rsidRPr="009D043A">
        <w:rPr>
          <w:rFonts w:ascii="Times New Roman" w:hAnsi="Times New Roman" w:cs="Times New Roman"/>
          <w:sz w:val="24"/>
          <w:szCs w:val="24"/>
          <w:lang w:val="en-US"/>
        </w:rPr>
        <w:fldChar w:fldCharType="separate"/>
      </w:r>
      <w:r w:rsidR="002A2D73" w:rsidRPr="009D043A">
        <w:rPr>
          <w:rFonts w:ascii="Times New Roman" w:hAnsi="Times New Roman" w:cs="Times New Roman"/>
          <w:sz w:val="24"/>
          <w:szCs w:val="24"/>
          <w:lang w:val="en-US"/>
        </w:rPr>
        <w:t>Pesaran</w:t>
      </w:r>
      <w:proofErr w:type="spellEnd"/>
      <w:r w:rsidR="002A2D73" w:rsidRPr="009D043A">
        <w:rPr>
          <w:rFonts w:ascii="Times New Roman" w:hAnsi="Times New Roman" w:cs="Times New Roman"/>
          <w:sz w:val="24"/>
          <w:szCs w:val="24"/>
          <w:lang w:val="en-US"/>
        </w:rPr>
        <w:t xml:space="preserve"> et al. (2001)</w:t>
      </w:r>
      <w:r w:rsidR="002A2D73" w:rsidRPr="009D043A">
        <w:rPr>
          <w:rFonts w:ascii="Times New Roman" w:hAnsi="Times New Roman" w:cs="Times New Roman"/>
          <w:sz w:val="24"/>
          <w:szCs w:val="24"/>
          <w:lang w:val="en-US"/>
        </w:rPr>
        <w:fldChar w:fldCharType="end"/>
      </w:r>
      <w:r w:rsidR="002A2D73" w:rsidRPr="009D043A">
        <w:rPr>
          <w:rFonts w:ascii="Times New Roman" w:hAnsi="Times New Roman" w:cs="Times New Roman"/>
          <w:sz w:val="24"/>
          <w:szCs w:val="24"/>
          <w:lang w:val="en-US"/>
        </w:rPr>
        <w:t xml:space="preserve"> in order to incorporate I(0) and I(1) variables in </w:t>
      </w:r>
      <w:r w:rsidR="000A2B73" w:rsidRPr="009D043A">
        <w:rPr>
          <w:rFonts w:ascii="Times New Roman" w:hAnsi="Times New Roman" w:cs="Times New Roman"/>
          <w:sz w:val="24"/>
          <w:szCs w:val="24"/>
          <w:lang w:val="en-US"/>
        </w:rPr>
        <w:t xml:space="preserve">the analysis as </w:t>
      </w:r>
      <w:r w:rsidR="002A2D73" w:rsidRPr="009D043A">
        <w:rPr>
          <w:rFonts w:ascii="Times New Roman" w:hAnsi="Times New Roman" w:cs="Times New Roman"/>
          <w:sz w:val="24"/>
          <w:szCs w:val="24"/>
          <w:lang w:val="en-US"/>
        </w:rPr>
        <w:t xml:space="preserve">conventional OLS </w:t>
      </w:r>
      <w:r w:rsidR="006E42F1" w:rsidRPr="009D043A">
        <w:rPr>
          <w:rFonts w:ascii="Times New Roman" w:hAnsi="Times New Roman" w:cs="Times New Roman"/>
          <w:sz w:val="24"/>
          <w:szCs w:val="24"/>
          <w:lang w:val="en-US"/>
        </w:rPr>
        <w:t>cannot</w:t>
      </w:r>
      <w:r w:rsidR="000A2B73" w:rsidRPr="009D043A">
        <w:rPr>
          <w:rFonts w:ascii="Times New Roman" w:hAnsi="Times New Roman" w:cs="Times New Roman"/>
          <w:sz w:val="24"/>
          <w:szCs w:val="24"/>
          <w:lang w:val="en-US"/>
        </w:rPr>
        <w:t xml:space="preserve"> be used </w:t>
      </w:r>
      <w:r w:rsidR="002A2D73" w:rsidRPr="009D043A">
        <w:rPr>
          <w:rFonts w:ascii="Times New Roman" w:hAnsi="Times New Roman" w:cs="Times New Roman"/>
          <w:sz w:val="24"/>
          <w:szCs w:val="24"/>
          <w:lang w:val="en-US"/>
        </w:rPr>
        <w:t>if any one of</w:t>
      </w:r>
      <w:r w:rsidR="004D66D9" w:rsidRPr="009D043A">
        <w:rPr>
          <w:rFonts w:ascii="Times New Roman" w:hAnsi="Times New Roman" w:cs="Times New Roman"/>
          <w:sz w:val="24"/>
          <w:szCs w:val="24"/>
          <w:lang w:val="en-US"/>
        </w:rPr>
        <w:t xml:space="preserve"> the variables</w:t>
      </w:r>
      <w:r w:rsidR="002A2D73" w:rsidRPr="009D043A">
        <w:rPr>
          <w:rFonts w:ascii="Times New Roman" w:hAnsi="Times New Roman" w:cs="Times New Roman"/>
          <w:sz w:val="24"/>
          <w:szCs w:val="24"/>
          <w:lang w:val="en-US"/>
        </w:rPr>
        <w:t xml:space="preserve"> or all of them are </w:t>
      </w:r>
      <w:r w:rsidR="00925FF2" w:rsidRPr="009D043A">
        <w:rPr>
          <w:rFonts w:ascii="Times New Roman" w:hAnsi="Times New Roman" w:cs="Times New Roman"/>
          <w:sz w:val="24"/>
          <w:szCs w:val="24"/>
          <w:lang w:val="en-US"/>
        </w:rPr>
        <w:t>I</w:t>
      </w:r>
      <w:r w:rsidR="002A2D73" w:rsidRPr="009D043A">
        <w:rPr>
          <w:rFonts w:ascii="Times New Roman" w:hAnsi="Times New Roman" w:cs="Times New Roman"/>
          <w:sz w:val="24"/>
          <w:szCs w:val="24"/>
          <w:lang w:val="en-US"/>
        </w:rPr>
        <w:t>(1)</w:t>
      </w:r>
      <w:r w:rsidR="000A2B73" w:rsidRPr="009D043A">
        <w:rPr>
          <w:rFonts w:ascii="Times New Roman" w:hAnsi="Times New Roman" w:cs="Times New Roman"/>
          <w:sz w:val="24"/>
          <w:szCs w:val="24"/>
          <w:lang w:val="en-US"/>
        </w:rPr>
        <w:t xml:space="preserve">. In order to run ARDL some preconditions </w:t>
      </w:r>
      <w:r w:rsidR="00A6799A" w:rsidRPr="009D043A">
        <w:rPr>
          <w:rFonts w:ascii="Times New Roman" w:hAnsi="Times New Roman" w:cs="Times New Roman"/>
          <w:sz w:val="24"/>
          <w:szCs w:val="24"/>
          <w:lang w:val="en-US"/>
        </w:rPr>
        <w:t xml:space="preserve">are </w:t>
      </w:r>
      <w:r w:rsidR="000A2B73" w:rsidRPr="009D043A">
        <w:rPr>
          <w:rFonts w:ascii="Times New Roman" w:hAnsi="Times New Roman" w:cs="Times New Roman"/>
          <w:sz w:val="24"/>
          <w:szCs w:val="24"/>
          <w:lang w:val="en-US"/>
        </w:rPr>
        <w:t xml:space="preserve">needed to be checked; first of all, dependent </w:t>
      </w:r>
      <w:r w:rsidR="00A6799A" w:rsidRPr="009D043A">
        <w:rPr>
          <w:rFonts w:ascii="Times New Roman" w:hAnsi="Times New Roman" w:cs="Times New Roman"/>
          <w:sz w:val="24"/>
          <w:szCs w:val="24"/>
          <w:lang w:val="en-US"/>
        </w:rPr>
        <w:t xml:space="preserve">variable </w:t>
      </w:r>
      <w:r w:rsidR="000A2B73" w:rsidRPr="009D043A">
        <w:rPr>
          <w:rFonts w:ascii="Times New Roman" w:hAnsi="Times New Roman" w:cs="Times New Roman"/>
          <w:sz w:val="24"/>
          <w:szCs w:val="24"/>
          <w:lang w:val="en-US"/>
        </w:rPr>
        <w:t>must be non</w:t>
      </w:r>
      <w:r w:rsidR="006E42F1" w:rsidRPr="009D043A">
        <w:rPr>
          <w:rFonts w:ascii="Times New Roman" w:hAnsi="Times New Roman" w:cs="Times New Roman"/>
          <w:sz w:val="24"/>
          <w:szCs w:val="24"/>
          <w:lang w:val="en-US"/>
        </w:rPr>
        <w:t>-</w:t>
      </w:r>
      <w:r w:rsidR="000A2B73" w:rsidRPr="009D043A">
        <w:rPr>
          <w:rFonts w:ascii="Times New Roman" w:hAnsi="Times New Roman" w:cs="Times New Roman"/>
          <w:sz w:val="24"/>
          <w:szCs w:val="24"/>
          <w:lang w:val="en-US"/>
        </w:rPr>
        <w:t xml:space="preserve">stationary in order for the model to behave better and none of the variable should be </w:t>
      </w:r>
      <w:proofErr w:type="gramStart"/>
      <w:r w:rsidR="000A2B73" w:rsidRPr="009D043A">
        <w:rPr>
          <w:rFonts w:ascii="Times New Roman" w:hAnsi="Times New Roman" w:cs="Times New Roman"/>
          <w:sz w:val="24"/>
          <w:szCs w:val="24"/>
          <w:lang w:val="en-US"/>
        </w:rPr>
        <w:t>I(</w:t>
      </w:r>
      <w:proofErr w:type="gramEnd"/>
      <w:r w:rsidR="000A2B73" w:rsidRPr="009D043A">
        <w:rPr>
          <w:rFonts w:ascii="Times New Roman" w:hAnsi="Times New Roman" w:cs="Times New Roman"/>
          <w:sz w:val="24"/>
          <w:szCs w:val="24"/>
          <w:lang w:val="en-US"/>
        </w:rPr>
        <w:t>2) in normal conditions according to Augmented Dickey- Fuller (ADF) test.</w:t>
      </w:r>
      <w:r w:rsidR="00A6799A" w:rsidRPr="009D043A">
        <w:rPr>
          <w:rFonts w:ascii="Times New Roman" w:hAnsi="Times New Roman" w:cs="Times New Roman"/>
          <w:sz w:val="24"/>
          <w:szCs w:val="24"/>
          <w:lang w:val="en-US"/>
        </w:rPr>
        <w:t xml:space="preserve"> The descriptive data given together with ADF shows that the diversification indicators of ADIV and WADIV which</w:t>
      </w:r>
      <w:r w:rsidR="0078142A" w:rsidRPr="009D043A">
        <w:rPr>
          <w:rFonts w:ascii="Times New Roman" w:hAnsi="Times New Roman" w:cs="Times New Roman"/>
          <w:sz w:val="24"/>
          <w:szCs w:val="24"/>
          <w:lang w:val="en-US"/>
        </w:rPr>
        <w:t xml:space="preserve"> are</w:t>
      </w:r>
      <w:r w:rsidR="00A6799A" w:rsidRPr="009D043A">
        <w:rPr>
          <w:rFonts w:ascii="Times New Roman" w:hAnsi="Times New Roman" w:cs="Times New Roman"/>
          <w:sz w:val="24"/>
          <w:szCs w:val="24"/>
          <w:lang w:val="en-US"/>
        </w:rPr>
        <w:t xml:space="preserve"> also the dependent variables are</w:t>
      </w:r>
      <w:r w:rsidR="004D66D9" w:rsidRPr="009D043A">
        <w:rPr>
          <w:rFonts w:ascii="Times New Roman" w:hAnsi="Times New Roman" w:cs="Times New Roman"/>
          <w:sz w:val="24"/>
          <w:szCs w:val="24"/>
          <w:lang w:val="en-US"/>
        </w:rPr>
        <w:t xml:space="preserve"> non-stationary. </w:t>
      </w:r>
      <w:r w:rsidR="006E42F1" w:rsidRPr="009D043A">
        <w:rPr>
          <w:rFonts w:ascii="Times New Roman" w:hAnsi="Times New Roman" w:cs="Times New Roman"/>
          <w:sz w:val="24"/>
          <w:szCs w:val="24"/>
          <w:lang w:val="en-US"/>
        </w:rPr>
        <w:t xml:space="preserve">As a second step of ARDL, </w:t>
      </w:r>
      <w:r w:rsidR="001C5712" w:rsidRPr="009D043A">
        <w:rPr>
          <w:rFonts w:ascii="Times New Roman" w:hAnsi="Times New Roman" w:cs="Times New Roman"/>
          <w:sz w:val="24"/>
          <w:szCs w:val="24"/>
          <w:lang w:val="en-US"/>
        </w:rPr>
        <w:t>b</w:t>
      </w:r>
      <w:r w:rsidR="004D66D9" w:rsidRPr="009D043A">
        <w:rPr>
          <w:rFonts w:ascii="Times New Roman" w:hAnsi="Times New Roman" w:cs="Times New Roman"/>
          <w:sz w:val="24"/>
          <w:szCs w:val="24"/>
          <w:lang w:val="en-US"/>
        </w:rPr>
        <w:t>y performing Vector Auto Regressive Specification Order Criteria</w:t>
      </w:r>
      <w:r w:rsidR="0078142A" w:rsidRPr="009D043A">
        <w:rPr>
          <w:rFonts w:ascii="Times New Roman" w:hAnsi="Times New Roman" w:cs="Times New Roman"/>
          <w:sz w:val="24"/>
          <w:szCs w:val="24"/>
          <w:lang w:val="en-US"/>
        </w:rPr>
        <w:t xml:space="preserve">, the </w:t>
      </w:r>
      <w:r w:rsidR="005965E6" w:rsidRPr="009D043A">
        <w:rPr>
          <w:rFonts w:ascii="Times New Roman" w:hAnsi="Times New Roman" w:cs="Times New Roman"/>
          <w:sz w:val="24"/>
          <w:szCs w:val="24"/>
          <w:lang w:val="en-US"/>
        </w:rPr>
        <w:t xml:space="preserve">lag order is 4 </w:t>
      </w:r>
      <w:r w:rsidR="006E42F1" w:rsidRPr="009D043A">
        <w:rPr>
          <w:rFonts w:ascii="Times New Roman" w:hAnsi="Times New Roman" w:cs="Times New Roman"/>
          <w:sz w:val="24"/>
          <w:szCs w:val="24"/>
          <w:lang w:val="en-US"/>
        </w:rPr>
        <w:t xml:space="preserve">for DD and WADD </w:t>
      </w:r>
      <w:r w:rsidR="005965E6" w:rsidRPr="009D043A">
        <w:rPr>
          <w:rFonts w:ascii="Times New Roman" w:hAnsi="Times New Roman" w:cs="Times New Roman"/>
          <w:sz w:val="24"/>
          <w:szCs w:val="24"/>
          <w:lang w:val="en-US"/>
        </w:rPr>
        <w:t>which means that it is appropriate to perform ARDL test.</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838"/>
        <w:gridCol w:w="1139"/>
        <w:gridCol w:w="1040"/>
        <w:gridCol w:w="1040"/>
        <w:gridCol w:w="1040"/>
      </w:tblGrid>
      <w:tr w:rsidR="00972FFF" w:rsidRPr="009D043A" w:rsidTr="001C5F10">
        <w:trPr>
          <w:trHeight w:val="300"/>
          <w:jc w:val="center"/>
        </w:trPr>
        <w:tc>
          <w:tcPr>
            <w:tcW w:w="5908" w:type="dxa"/>
            <w:gridSpan w:val="5"/>
            <w:tcBorders>
              <w:top w:val="nil"/>
              <w:left w:val="nil"/>
              <w:bottom w:val="single" w:sz="4" w:space="0" w:color="auto"/>
              <w:right w:val="nil"/>
            </w:tcBorders>
            <w:shd w:val="clear" w:color="auto" w:fill="auto"/>
            <w:noWrap/>
            <w:vAlign w:val="bottom"/>
            <w:hideMark/>
          </w:tcPr>
          <w:p w:rsidR="00972FFF" w:rsidRPr="009D043A" w:rsidRDefault="00972FFF" w:rsidP="009D043A">
            <w:pPr>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Table 1 – Descriptive Statistics</w:t>
            </w:r>
          </w:p>
        </w:tc>
      </w:tr>
      <w:tr w:rsidR="007B14B1" w:rsidRPr="009D043A" w:rsidTr="001C5F10">
        <w:trPr>
          <w:trHeight w:val="300"/>
          <w:jc w:val="center"/>
        </w:trPr>
        <w:tc>
          <w:tcPr>
            <w:tcW w:w="1838" w:type="dxa"/>
            <w:tcBorders>
              <w:top w:val="single" w:sz="4" w:space="0" w:color="auto"/>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sz w:val="24"/>
                <w:szCs w:val="24"/>
                <w:lang w:val="en-US" w:eastAsia="tr-TR"/>
              </w:rPr>
            </w:pPr>
          </w:p>
        </w:tc>
        <w:tc>
          <w:tcPr>
            <w:tcW w:w="1139" w:type="dxa"/>
            <w:tcBorders>
              <w:top w:val="single" w:sz="4" w:space="0" w:color="auto"/>
              <w:left w:val="single" w:sz="4" w:space="0" w:color="auto"/>
            </w:tcBorders>
            <w:shd w:val="clear" w:color="auto" w:fill="auto"/>
            <w:noWrap/>
            <w:vAlign w:val="bottom"/>
            <w:hideMark/>
          </w:tcPr>
          <w:p w:rsidR="007B14B1" w:rsidRPr="009D043A" w:rsidRDefault="00251FE7" w:rsidP="009D043A">
            <w:pPr>
              <w:spacing w:after="0" w:line="240" w:lineRule="auto"/>
              <w:jc w:val="both"/>
              <w:rPr>
                <w:rFonts w:ascii="Times New Roman" w:eastAsia="Times New Roman" w:hAnsi="Times New Roman" w:cs="Times New Roman"/>
                <w:b/>
                <w:color w:val="000000"/>
                <w:sz w:val="24"/>
                <w:szCs w:val="24"/>
                <w:lang w:val="en-US" w:eastAsia="tr-TR"/>
              </w:rPr>
            </w:pPr>
            <w:r w:rsidRPr="009D043A">
              <w:rPr>
                <w:rFonts w:ascii="Times New Roman" w:eastAsia="Times New Roman" w:hAnsi="Times New Roman" w:cs="Times New Roman"/>
                <w:b/>
                <w:color w:val="000000"/>
                <w:sz w:val="24"/>
                <w:szCs w:val="24"/>
                <w:lang w:val="en-US" w:eastAsia="tr-TR"/>
              </w:rPr>
              <w:t>ADIV</w:t>
            </w:r>
          </w:p>
        </w:tc>
        <w:tc>
          <w:tcPr>
            <w:tcW w:w="977" w:type="dxa"/>
            <w:tcBorders>
              <w:top w:val="single" w:sz="4" w:space="0" w:color="auto"/>
            </w:tcBorders>
            <w:shd w:val="clear" w:color="auto" w:fill="auto"/>
            <w:noWrap/>
            <w:vAlign w:val="bottom"/>
            <w:hideMark/>
          </w:tcPr>
          <w:p w:rsidR="007B14B1" w:rsidRPr="009D043A" w:rsidRDefault="00251FE7" w:rsidP="009D043A">
            <w:pPr>
              <w:spacing w:after="0" w:line="240" w:lineRule="auto"/>
              <w:jc w:val="both"/>
              <w:rPr>
                <w:rFonts w:ascii="Times New Roman" w:eastAsia="Times New Roman" w:hAnsi="Times New Roman" w:cs="Times New Roman"/>
                <w:b/>
                <w:color w:val="000000"/>
                <w:sz w:val="24"/>
                <w:szCs w:val="24"/>
                <w:lang w:val="en-US" w:eastAsia="tr-TR"/>
              </w:rPr>
            </w:pPr>
            <w:r w:rsidRPr="009D043A">
              <w:rPr>
                <w:rFonts w:ascii="Times New Roman" w:eastAsia="Times New Roman" w:hAnsi="Times New Roman" w:cs="Times New Roman"/>
                <w:b/>
                <w:color w:val="000000"/>
                <w:sz w:val="24"/>
                <w:szCs w:val="24"/>
                <w:lang w:val="en-US" w:eastAsia="tr-TR"/>
              </w:rPr>
              <w:t>DD</w:t>
            </w:r>
          </w:p>
        </w:tc>
        <w:tc>
          <w:tcPr>
            <w:tcW w:w="977" w:type="dxa"/>
            <w:tcBorders>
              <w:top w:val="single" w:sz="4" w:space="0" w:color="auto"/>
            </w:tcBorders>
            <w:shd w:val="clear" w:color="auto" w:fill="auto"/>
            <w:noWrap/>
            <w:vAlign w:val="bottom"/>
            <w:hideMark/>
          </w:tcPr>
          <w:p w:rsidR="007B14B1" w:rsidRPr="009D043A" w:rsidRDefault="00251FE7" w:rsidP="009D043A">
            <w:pPr>
              <w:spacing w:after="0" w:line="240" w:lineRule="auto"/>
              <w:jc w:val="both"/>
              <w:rPr>
                <w:rFonts w:ascii="Times New Roman" w:eastAsia="Times New Roman" w:hAnsi="Times New Roman" w:cs="Times New Roman"/>
                <w:b/>
                <w:color w:val="000000"/>
                <w:sz w:val="24"/>
                <w:szCs w:val="24"/>
                <w:lang w:val="en-US" w:eastAsia="tr-TR"/>
              </w:rPr>
            </w:pPr>
            <w:r w:rsidRPr="009D043A">
              <w:rPr>
                <w:rFonts w:ascii="Times New Roman" w:eastAsia="Times New Roman" w:hAnsi="Times New Roman" w:cs="Times New Roman"/>
                <w:b/>
                <w:color w:val="000000"/>
                <w:sz w:val="24"/>
                <w:szCs w:val="24"/>
                <w:lang w:val="en-US" w:eastAsia="tr-TR"/>
              </w:rPr>
              <w:t>WADIV</w:t>
            </w:r>
          </w:p>
        </w:tc>
        <w:tc>
          <w:tcPr>
            <w:tcW w:w="977" w:type="dxa"/>
            <w:tcBorders>
              <w:top w:val="single" w:sz="4" w:space="0" w:color="auto"/>
            </w:tcBorders>
            <w:shd w:val="clear" w:color="auto" w:fill="auto"/>
            <w:noWrap/>
            <w:vAlign w:val="bottom"/>
            <w:hideMark/>
          </w:tcPr>
          <w:p w:rsidR="007B14B1" w:rsidRPr="009D043A" w:rsidRDefault="00251FE7" w:rsidP="009D043A">
            <w:pPr>
              <w:spacing w:after="0" w:line="240" w:lineRule="auto"/>
              <w:jc w:val="both"/>
              <w:rPr>
                <w:rFonts w:ascii="Times New Roman" w:eastAsia="Times New Roman" w:hAnsi="Times New Roman" w:cs="Times New Roman"/>
                <w:b/>
                <w:color w:val="000000"/>
                <w:sz w:val="24"/>
                <w:szCs w:val="24"/>
                <w:lang w:val="en-US" w:eastAsia="tr-TR"/>
              </w:rPr>
            </w:pPr>
            <w:r w:rsidRPr="009D043A">
              <w:rPr>
                <w:rFonts w:ascii="Times New Roman" w:eastAsia="Times New Roman" w:hAnsi="Times New Roman" w:cs="Times New Roman"/>
                <w:b/>
                <w:color w:val="000000"/>
                <w:sz w:val="24"/>
                <w:szCs w:val="24"/>
                <w:lang w:val="en-US" w:eastAsia="tr-TR"/>
              </w:rPr>
              <w:t>WADD</w:t>
            </w:r>
          </w:p>
        </w:tc>
      </w:tr>
      <w:tr w:rsidR="007B14B1" w:rsidRPr="009D043A" w:rsidTr="001C5F10">
        <w:trPr>
          <w:trHeight w:val="300"/>
          <w:jc w:val="center"/>
        </w:trPr>
        <w:tc>
          <w:tcPr>
            <w:tcW w:w="1838" w:type="dxa"/>
            <w:tcBorders>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bCs/>
                <w:color w:val="000000"/>
                <w:sz w:val="24"/>
                <w:szCs w:val="24"/>
                <w:lang w:val="en-US" w:eastAsia="tr-TR"/>
              </w:rPr>
            </w:pPr>
            <w:r w:rsidRPr="009D043A">
              <w:rPr>
                <w:rFonts w:ascii="Times New Roman" w:eastAsia="Times New Roman" w:hAnsi="Times New Roman" w:cs="Times New Roman"/>
                <w:b/>
                <w:bCs/>
                <w:color w:val="000000"/>
                <w:sz w:val="24"/>
                <w:szCs w:val="24"/>
                <w:lang w:val="en-US" w:eastAsia="tr-TR"/>
              </w:rPr>
              <w:t>Mean</w:t>
            </w:r>
          </w:p>
        </w:tc>
        <w:tc>
          <w:tcPr>
            <w:tcW w:w="1139" w:type="dxa"/>
            <w:tcBorders>
              <w:lef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0.3666</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0.001</w:t>
            </w:r>
            <w:r w:rsidR="00251FE7" w:rsidRPr="009D043A">
              <w:rPr>
                <w:rFonts w:ascii="Times New Roman" w:eastAsia="Times New Roman" w:hAnsi="Times New Roman" w:cs="Times New Roman"/>
                <w:color w:val="000000"/>
                <w:sz w:val="24"/>
                <w:szCs w:val="24"/>
                <w:lang w:val="en-US" w:eastAsia="tr-TR"/>
              </w:rPr>
              <w:t>1</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0.3776</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0.0008</w:t>
            </w:r>
          </w:p>
        </w:tc>
      </w:tr>
      <w:tr w:rsidR="007B14B1" w:rsidRPr="009D043A" w:rsidTr="001C5F10">
        <w:trPr>
          <w:trHeight w:val="300"/>
          <w:jc w:val="center"/>
        </w:trPr>
        <w:tc>
          <w:tcPr>
            <w:tcW w:w="1838" w:type="dxa"/>
            <w:tcBorders>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bCs/>
                <w:color w:val="000000"/>
                <w:sz w:val="24"/>
                <w:szCs w:val="24"/>
                <w:lang w:val="en-US" w:eastAsia="tr-TR"/>
              </w:rPr>
            </w:pPr>
            <w:r w:rsidRPr="009D043A">
              <w:rPr>
                <w:rFonts w:ascii="Times New Roman" w:eastAsia="Times New Roman" w:hAnsi="Times New Roman" w:cs="Times New Roman"/>
                <w:b/>
                <w:bCs/>
                <w:color w:val="000000"/>
                <w:sz w:val="24"/>
                <w:szCs w:val="24"/>
                <w:lang w:val="en-US" w:eastAsia="tr-TR"/>
              </w:rPr>
              <w:t>Std</w:t>
            </w:r>
            <w:r w:rsidR="00251FE7" w:rsidRPr="009D043A">
              <w:rPr>
                <w:rFonts w:ascii="Times New Roman" w:eastAsia="Times New Roman" w:hAnsi="Times New Roman" w:cs="Times New Roman"/>
                <w:b/>
                <w:bCs/>
                <w:color w:val="000000"/>
                <w:sz w:val="24"/>
                <w:szCs w:val="24"/>
                <w:lang w:val="en-US" w:eastAsia="tr-TR"/>
              </w:rPr>
              <w:t>.</w:t>
            </w:r>
            <w:r w:rsidRPr="009D043A">
              <w:rPr>
                <w:rFonts w:ascii="Times New Roman" w:eastAsia="Times New Roman" w:hAnsi="Times New Roman" w:cs="Times New Roman"/>
                <w:b/>
                <w:bCs/>
                <w:color w:val="000000"/>
                <w:sz w:val="24"/>
                <w:szCs w:val="24"/>
                <w:lang w:val="en-US" w:eastAsia="tr-TR"/>
              </w:rPr>
              <w:t xml:space="preserve"> Dev</w:t>
            </w:r>
          </w:p>
        </w:tc>
        <w:tc>
          <w:tcPr>
            <w:tcW w:w="1139" w:type="dxa"/>
            <w:tcBorders>
              <w:lef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0.03668</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0.001335</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0.037451</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0.0009</w:t>
            </w:r>
            <w:r w:rsidR="00251FE7" w:rsidRPr="009D043A">
              <w:rPr>
                <w:rFonts w:ascii="Times New Roman" w:eastAsia="Times New Roman" w:hAnsi="Times New Roman" w:cs="Times New Roman"/>
                <w:color w:val="000000"/>
                <w:sz w:val="24"/>
                <w:szCs w:val="24"/>
                <w:lang w:val="en-US" w:eastAsia="tr-TR"/>
              </w:rPr>
              <w:t>6</w:t>
            </w:r>
          </w:p>
        </w:tc>
      </w:tr>
      <w:tr w:rsidR="007B14B1" w:rsidRPr="009D043A" w:rsidTr="001C5F10">
        <w:trPr>
          <w:trHeight w:val="300"/>
          <w:jc w:val="center"/>
        </w:trPr>
        <w:tc>
          <w:tcPr>
            <w:tcW w:w="1838" w:type="dxa"/>
            <w:tcBorders>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bCs/>
                <w:color w:val="000000"/>
                <w:sz w:val="24"/>
                <w:szCs w:val="24"/>
                <w:lang w:val="en-US" w:eastAsia="tr-TR"/>
              </w:rPr>
            </w:pPr>
            <w:r w:rsidRPr="009D043A">
              <w:rPr>
                <w:rFonts w:ascii="Times New Roman" w:eastAsia="Times New Roman" w:hAnsi="Times New Roman" w:cs="Times New Roman"/>
                <w:b/>
                <w:bCs/>
                <w:color w:val="000000"/>
                <w:sz w:val="24"/>
                <w:szCs w:val="24"/>
                <w:lang w:val="en-US" w:eastAsia="tr-TR"/>
              </w:rPr>
              <w:t>Min</w:t>
            </w:r>
          </w:p>
        </w:tc>
        <w:tc>
          <w:tcPr>
            <w:tcW w:w="1139" w:type="dxa"/>
            <w:tcBorders>
              <w:lef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0.279</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0.000045</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0.303</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0.000041</w:t>
            </w:r>
          </w:p>
        </w:tc>
      </w:tr>
      <w:tr w:rsidR="007B14B1" w:rsidRPr="009D043A" w:rsidTr="001C5F10">
        <w:trPr>
          <w:trHeight w:val="300"/>
          <w:jc w:val="center"/>
        </w:trPr>
        <w:tc>
          <w:tcPr>
            <w:tcW w:w="1838" w:type="dxa"/>
            <w:tcBorders>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bCs/>
                <w:color w:val="000000"/>
                <w:sz w:val="24"/>
                <w:szCs w:val="24"/>
                <w:lang w:val="en-US" w:eastAsia="tr-TR"/>
              </w:rPr>
            </w:pPr>
            <w:r w:rsidRPr="009D043A">
              <w:rPr>
                <w:rFonts w:ascii="Times New Roman" w:eastAsia="Times New Roman" w:hAnsi="Times New Roman" w:cs="Times New Roman"/>
                <w:b/>
                <w:bCs/>
                <w:color w:val="000000"/>
                <w:sz w:val="24"/>
                <w:szCs w:val="24"/>
                <w:lang w:val="en-US" w:eastAsia="tr-TR"/>
              </w:rPr>
              <w:t>Max</w:t>
            </w:r>
          </w:p>
        </w:tc>
        <w:tc>
          <w:tcPr>
            <w:tcW w:w="1139" w:type="dxa"/>
            <w:tcBorders>
              <w:lef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0.418</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0.006572</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0.428</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.004652</w:t>
            </w:r>
          </w:p>
        </w:tc>
      </w:tr>
      <w:tr w:rsidR="007B14B1" w:rsidRPr="009D043A" w:rsidTr="001C5F10">
        <w:trPr>
          <w:trHeight w:val="300"/>
          <w:jc w:val="center"/>
        </w:trPr>
        <w:tc>
          <w:tcPr>
            <w:tcW w:w="1838" w:type="dxa"/>
            <w:tcBorders>
              <w:righ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b/>
                <w:bCs/>
                <w:color w:val="000000"/>
                <w:sz w:val="24"/>
                <w:szCs w:val="24"/>
                <w:lang w:val="en-US" w:eastAsia="tr-TR"/>
              </w:rPr>
            </w:pPr>
            <w:r w:rsidRPr="009D043A">
              <w:rPr>
                <w:rFonts w:ascii="Times New Roman" w:eastAsia="Times New Roman" w:hAnsi="Times New Roman" w:cs="Times New Roman"/>
                <w:b/>
                <w:bCs/>
                <w:color w:val="000000"/>
                <w:sz w:val="24"/>
                <w:szCs w:val="24"/>
                <w:lang w:val="en-US" w:eastAsia="tr-TR"/>
              </w:rPr>
              <w:t>ADF-statistic</w:t>
            </w:r>
          </w:p>
        </w:tc>
        <w:tc>
          <w:tcPr>
            <w:tcW w:w="1139" w:type="dxa"/>
            <w:tcBorders>
              <w:left w:val="single" w:sz="4" w:space="0" w:color="auto"/>
            </w:tcBorders>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-4.786</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0.309</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-4.595</w:t>
            </w:r>
          </w:p>
        </w:tc>
        <w:tc>
          <w:tcPr>
            <w:tcW w:w="977" w:type="dxa"/>
            <w:shd w:val="clear" w:color="auto" w:fill="auto"/>
            <w:noWrap/>
            <w:vAlign w:val="bottom"/>
            <w:hideMark/>
          </w:tcPr>
          <w:p w:rsidR="007B14B1" w:rsidRPr="009D043A" w:rsidRDefault="007B14B1" w:rsidP="009D043A">
            <w:pPr>
              <w:spacing w:after="0" w:line="240" w:lineRule="auto"/>
              <w:jc w:val="both"/>
              <w:rPr>
                <w:rFonts w:ascii="Times New Roman" w:eastAsia="Times New Roman" w:hAnsi="Times New Roman" w:cs="Times New Roman"/>
                <w:color w:val="000000"/>
                <w:sz w:val="24"/>
                <w:szCs w:val="24"/>
                <w:lang w:val="en-US" w:eastAsia="tr-TR"/>
              </w:rPr>
            </w:pPr>
            <w:r w:rsidRPr="009D043A">
              <w:rPr>
                <w:rFonts w:ascii="Times New Roman" w:eastAsia="Times New Roman" w:hAnsi="Times New Roman" w:cs="Times New Roman"/>
                <w:color w:val="000000"/>
                <w:sz w:val="24"/>
                <w:szCs w:val="24"/>
                <w:lang w:val="en-US" w:eastAsia="tr-TR"/>
              </w:rPr>
              <w:t>0.438</w:t>
            </w:r>
          </w:p>
        </w:tc>
      </w:tr>
    </w:tbl>
    <w:p w:rsidR="007B14B1" w:rsidRPr="009D043A" w:rsidRDefault="007B14B1" w:rsidP="009D043A">
      <w:pPr>
        <w:autoSpaceDE w:val="0"/>
        <w:autoSpaceDN w:val="0"/>
        <w:adjustRightInd w:val="0"/>
        <w:spacing w:after="0" w:line="240" w:lineRule="auto"/>
        <w:jc w:val="both"/>
        <w:rPr>
          <w:rFonts w:ascii="Times New Roman" w:hAnsi="Times New Roman" w:cs="Times New Roman"/>
          <w:sz w:val="24"/>
          <w:szCs w:val="24"/>
          <w:lang w:val="en-US"/>
        </w:rPr>
      </w:pPr>
    </w:p>
    <w:p w:rsidR="003063CC" w:rsidRPr="009D043A" w:rsidRDefault="003063CC" w:rsidP="009D043A">
      <w:pPr>
        <w:autoSpaceDE w:val="0"/>
        <w:autoSpaceDN w:val="0"/>
        <w:adjustRightInd w:val="0"/>
        <w:spacing w:after="0" w:line="240" w:lineRule="auto"/>
        <w:jc w:val="both"/>
        <w:rPr>
          <w:rFonts w:ascii="Times New Roman" w:hAnsi="Times New Roman" w:cs="Times New Roman"/>
          <w:sz w:val="24"/>
          <w:szCs w:val="24"/>
          <w:lang w:val="en-US"/>
        </w:rPr>
      </w:pPr>
    </w:p>
    <w:p w:rsidR="006E42F1" w:rsidRPr="009D043A" w:rsidRDefault="006E42F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By using MICROFIT 5, the ARDL approach to cointegration has been used firstly for distance to default as dependent variable </w:t>
      </w:r>
      <w:r w:rsidR="00EB7224" w:rsidRPr="009D043A">
        <w:rPr>
          <w:rFonts w:ascii="Times New Roman" w:hAnsi="Times New Roman" w:cs="Times New Roman"/>
          <w:sz w:val="24"/>
          <w:szCs w:val="24"/>
          <w:lang w:val="en-US"/>
        </w:rPr>
        <w:t xml:space="preserve">(DD) </w:t>
      </w:r>
      <w:r w:rsidRPr="009D043A">
        <w:rPr>
          <w:rFonts w:ascii="Times New Roman" w:hAnsi="Times New Roman" w:cs="Times New Roman"/>
          <w:sz w:val="24"/>
          <w:szCs w:val="24"/>
          <w:lang w:val="en-US"/>
        </w:rPr>
        <w:t xml:space="preserve">and diversification indicator </w:t>
      </w:r>
      <w:r w:rsidR="00EB7224" w:rsidRPr="009D043A">
        <w:rPr>
          <w:rFonts w:ascii="Times New Roman" w:hAnsi="Times New Roman" w:cs="Times New Roman"/>
          <w:sz w:val="24"/>
          <w:szCs w:val="24"/>
          <w:lang w:val="en-US"/>
        </w:rPr>
        <w:t xml:space="preserve">(ADIV) </w:t>
      </w:r>
      <w:r w:rsidRPr="009D043A">
        <w:rPr>
          <w:rFonts w:ascii="Times New Roman" w:hAnsi="Times New Roman" w:cs="Times New Roman"/>
          <w:sz w:val="24"/>
          <w:szCs w:val="24"/>
          <w:lang w:val="en-US"/>
        </w:rPr>
        <w:t xml:space="preserve">as independent variable by using </w:t>
      </w:r>
      <w:proofErr w:type="spellStart"/>
      <w:r w:rsidRPr="009D043A">
        <w:rPr>
          <w:rFonts w:ascii="Times New Roman" w:hAnsi="Times New Roman" w:cs="Times New Roman"/>
          <w:sz w:val="24"/>
          <w:szCs w:val="24"/>
          <w:lang w:val="en-US"/>
        </w:rPr>
        <w:t>Scwarz</w:t>
      </w:r>
      <w:proofErr w:type="spellEnd"/>
      <w:r w:rsidRPr="009D043A">
        <w:rPr>
          <w:rFonts w:ascii="Times New Roman" w:hAnsi="Times New Roman" w:cs="Times New Roman"/>
          <w:sz w:val="24"/>
          <w:szCs w:val="24"/>
          <w:lang w:val="en-US"/>
        </w:rPr>
        <w:t xml:space="preserve"> Bayesian </w:t>
      </w:r>
      <w:proofErr w:type="spellStart"/>
      <w:r w:rsidRPr="009D043A">
        <w:rPr>
          <w:rFonts w:ascii="Times New Roman" w:hAnsi="Times New Roman" w:cs="Times New Roman"/>
          <w:sz w:val="24"/>
          <w:szCs w:val="24"/>
          <w:lang w:val="en-US"/>
        </w:rPr>
        <w:t>Criterian</w:t>
      </w:r>
      <w:proofErr w:type="spellEnd"/>
      <w:r w:rsidRPr="009D043A">
        <w:rPr>
          <w:rFonts w:ascii="Times New Roman" w:hAnsi="Times New Roman" w:cs="Times New Roman"/>
          <w:sz w:val="24"/>
          <w:szCs w:val="24"/>
          <w:lang w:val="en-US"/>
        </w:rPr>
        <w:t>. Table -2 stipulates the results and referring to F-statistic (30.4505) which is higher than lower (7.3961) as well as upper (8.1594) limit, it can be said that there exist cointegration among the set of variables.</w:t>
      </w:r>
      <w:r w:rsidR="00EB7224" w:rsidRPr="009D043A">
        <w:rPr>
          <w:rFonts w:ascii="Times New Roman" w:hAnsi="Times New Roman" w:cs="Times New Roman"/>
          <w:sz w:val="24"/>
          <w:szCs w:val="24"/>
          <w:lang w:val="en-US"/>
        </w:rPr>
        <w:t xml:space="preserve"> There exist positive relationship, however the t-ratio is below requirement and the relationship between distance to default as dependent variable (DD) and diversification indicator (ADIV) as independent variable by using Turkish banking data for the period Dec 2016-Dec 2009</w:t>
      </w:r>
      <w:r w:rsidR="0020459E" w:rsidRPr="009D043A">
        <w:rPr>
          <w:rFonts w:ascii="Times New Roman" w:hAnsi="Times New Roman" w:cs="Times New Roman"/>
          <w:sz w:val="24"/>
          <w:szCs w:val="24"/>
          <w:lang w:val="en-US"/>
        </w:rPr>
        <w:t xml:space="preserve"> seems ambiguous.</w:t>
      </w:r>
    </w:p>
    <w:p w:rsidR="0020459E" w:rsidRPr="009D043A" w:rsidRDefault="0020459E" w:rsidP="009D043A">
      <w:pPr>
        <w:autoSpaceDE w:val="0"/>
        <w:autoSpaceDN w:val="0"/>
        <w:adjustRightInd w:val="0"/>
        <w:spacing w:after="0" w:line="240" w:lineRule="auto"/>
        <w:jc w:val="both"/>
        <w:rPr>
          <w:rFonts w:ascii="Times New Roman" w:hAnsi="Times New Roman" w:cs="Times New Roman"/>
          <w:sz w:val="24"/>
          <w:szCs w:val="24"/>
          <w:lang w:val="en-US"/>
        </w:rPr>
      </w:pPr>
    </w:p>
    <w:p w:rsidR="0020459E" w:rsidRPr="009D043A" w:rsidRDefault="0020459E"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Table-3 gives the ARDL results for weighted distance to default as dependent variable (WADD) and diversification indicator (WADIV) as independent variable by using </w:t>
      </w:r>
      <w:proofErr w:type="spellStart"/>
      <w:r w:rsidRPr="009D043A">
        <w:rPr>
          <w:rFonts w:ascii="Times New Roman" w:hAnsi="Times New Roman" w:cs="Times New Roman"/>
          <w:sz w:val="24"/>
          <w:szCs w:val="24"/>
          <w:lang w:val="en-US"/>
        </w:rPr>
        <w:t>Scwarz</w:t>
      </w:r>
      <w:proofErr w:type="spellEnd"/>
      <w:r w:rsidRPr="009D043A">
        <w:rPr>
          <w:rFonts w:ascii="Times New Roman" w:hAnsi="Times New Roman" w:cs="Times New Roman"/>
          <w:sz w:val="24"/>
          <w:szCs w:val="24"/>
          <w:lang w:val="en-US"/>
        </w:rPr>
        <w:t xml:space="preserve"> Bayesian </w:t>
      </w:r>
      <w:proofErr w:type="spellStart"/>
      <w:r w:rsidRPr="009D043A">
        <w:rPr>
          <w:rFonts w:ascii="Times New Roman" w:hAnsi="Times New Roman" w:cs="Times New Roman"/>
          <w:sz w:val="24"/>
          <w:szCs w:val="24"/>
          <w:lang w:val="en-US"/>
        </w:rPr>
        <w:t>Criterian</w:t>
      </w:r>
      <w:proofErr w:type="spellEnd"/>
      <w:r w:rsidRPr="009D043A">
        <w:rPr>
          <w:rFonts w:ascii="Times New Roman" w:hAnsi="Times New Roman" w:cs="Times New Roman"/>
          <w:sz w:val="24"/>
          <w:szCs w:val="24"/>
          <w:lang w:val="en-US"/>
        </w:rPr>
        <w:t xml:space="preserve">. </w:t>
      </w:r>
      <w:r w:rsidR="00D10D3A" w:rsidRPr="009D043A">
        <w:rPr>
          <w:rFonts w:ascii="Times New Roman" w:hAnsi="Times New Roman" w:cs="Times New Roman"/>
          <w:sz w:val="24"/>
          <w:szCs w:val="24"/>
          <w:lang w:val="en-US"/>
        </w:rPr>
        <w:t>R</w:t>
      </w:r>
      <w:r w:rsidRPr="009D043A">
        <w:rPr>
          <w:rFonts w:ascii="Times New Roman" w:hAnsi="Times New Roman" w:cs="Times New Roman"/>
          <w:sz w:val="24"/>
          <w:szCs w:val="24"/>
          <w:lang w:val="en-US"/>
        </w:rPr>
        <w:t>eferring to F-statistic (</w:t>
      </w:r>
      <w:r w:rsidR="00D10D3A" w:rsidRPr="009D043A">
        <w:rPr>
          <w:rFonts w:ascii="Times New Roman" w:hAnsi="Times New Roman" w:cs="Times New Roman"/>
          <w:sz w:val="24"/>
          <w:szCs w:val="24"/>
          <w:lang w:val="en-US"/>
        </w:rPr>
        <w:t>23.9373</w:t>
      </w:r>
      <w:r w:rsidRPr="009D043A">
        <w:rPr>
          <w:rFonts w:ascii="Times New Roman" w:hAnsi="Times New Roman" w:cs="Times New Roman"/>
          <w:sz w:val="24"/>
          <w:szCs w:val="24"/>
          <w:lang w:val="en-US"/>
        </w:rPr>
        <w:t>) which is higher than lower (7.3961) as well as upper (8.1594) limit, it can be said that there exist cointegration among the set of variables. There exist positive relationship, however the t-ratio is below requirement and the relationship between</w:t>
      </w:r>
      <w:r w:rsidR="00D10D3A" w:rsidRPr="009D043A">
        <w:rPr>
          <w:rFonts w:ascii="Times New Roman" w:hAnsi="Times New Roman" w:cs="Times New Roman"/>
          <w:sz w:val="24"/>
          <w:szCs w:val="24"/>
          <w:lang w:val="en-US"/>
        </w:rPr>
        <w:t xml:space="preserve"> weighted </w:t>
      </w:r>
      <w:r w:rsidRPr="009D043A">
        <w:rPr>
          <w:rFonts w:ascii="Times New Roman" w:hAnsi="Times New Roman" w:cs="Times New Roman"/>
          <w:sz w:val="24"/>
          <w:szCs w:val="24"/>
          <w:lang w:val="en-US"/>
        </w:rPr>
        <w:t>distance to default as dependent variable (</w:t>
      </w:r>
      <w:r w:rsidR="00D10D3A" w:rsidRPr="009D043A">
        <w:rPr>
          <w:rFonts w:ascii="Times New Roman" w:hAnsi="Times New Roman" w:cs="Times New Roman"/>
          <w:sz w:val="24"/>
          <w:szCs w:val="24"/>
          <w:lang w:val="en-US"/>
        </w:rPr>
        <w:t>WA</w:t>
      </w:r>
      <w:r w:rsidRPr="009D043A">
        <w:rPr>
          <w:rFonts w:ascii="Times New Roman" w:hAnsi="Times New Roman" w:cs="Times New Roman"/>
          <w:sz w:val="24"/>
          <w:szCs w:val="24"/>
          <w:lang w:val="en-US"/>
        </w:rPr>
        <w:t xml:space="preserve">DD) and </w:t>
      </w:r>
      <w:r w:rsidR="00D10D3A" w:rsidRPr="009D043A">
        <w:rPr>
          <w:rFonts w:ascii="Times New Roman" w:hAnsi="Times New Roman" w:cs="Times New Roman"/>
          <w:sz w:val="24"/>
          <w:szCs w:val="24"/>
          <w:lang w:val="en-US"/>
        </w:rPr>
        <w:t xml:space="preserve">weighted </w:t>
      </w:r>
      <w:r w:rsidRPr="009D043A">
        <w:rPr>
          <w:rFonts w:ascii="Times New Roman" w:hAnsi="Times New Roman" w:cs="Times New Roman"/>
          <w:sz w:val="24"/>
          <w:szCs w:val="24"/>
          <w:lang w:val="en-US"/>
        </w:rPr>
        <w:lastRenderedPageBreak/>
        <w:t>diversification indicator (</w:t>
      </w:r>
      <w:r w:rsidR="00D10D3A" w:rsidRPr="009D043A">
        <w:rPr>
          <w:rFonts w:ascii="Times New Roman" w:hAnsi="Times New Roman" w:cs="Times New Roman"/>
          <w:sz w:val="24"/>
          <w:szCs w:val="24"/>
          <w:lang w:val="en-US"/>
        </w:rPr>
        <w:t>W</w:t>
      </w:r>
      <w:r w:rsidRPr="009D043A">
        <w:rPr>
          <w:rFonts w:ascii="Times New Roman" w:hAnsi="Times New Roman" w:cs="Times New Roman"/>
          <w:sz w:val="24"/>
          <w:szCs w:val="24"/>
          <w:lang w:val="en-US"/>
        </w:rPr>
        <w:t>ADIV) as independent variable by using Turkish banking data for the period Dec 2016-Dec 2009 seems ambiguous.</w:t>
      </w:r>
    </w:p>
    <w:p w:rsidR="00785F34" w:rsidRPr="009D043A" w:rsidRDefault="00785F34" w:rsidP="009D043A">
      <w:pPr>
        <w:autoSpaceDE w:val="0"/>
        <w:autoSpaceDN w:val="0"/>
        <w:adjustRightInd w:val="0"/>
        <w:spacing w:after="0" w:line="240" w:lineRule="auto"/>
        <w:jc w:val="both"/>
        <w:rPr>
          <w:rFonts w:ascii="Times New Roman" w:hAnsi="Times New Roman" w:cs="Times New Roman"/>
          <w:sz w:val="24"/>
          <w:szCs w:val="24"/>
          <w:lang w:val="en-US"/>
        </w:rPr>
      </w:pPr>
    </w:p>
    <w:p w:rsidR="00785F34" w:rsidRPr="009D043A" w:rsidRDefault="00047484"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T</w:t>
      </w:r>
      <w:r w:rsidR="00785F34" w:rsidRPr="009D043A">
        <w:rPr>
          <w:rFonts w:ascii="Times New Roman" w:hAnsi="Times New Roman" w:cs="Times New Roman"/>
          <w:b/>
          <w:sz w:val="24"/>
          <w:szCs w:val="24"/>
          <w:lang w:val="en-US"/>
        </w:rPr>
        <w:t xml:space="preserve">able 2 - Autoregressive Distributed Lag Estimates      </w:t>
      </w:r>
    </w:p>
    <w:p w:rsidR="00785F34" w:rsidRPr="009D043A" w:rsidRDefault="00785F34" w:rsidP="009D043A">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9D043A">
        <w:rPr>
          <w:rFonts w:ascii="Times New Roman" w:hAnsi="Times New Roman" w:cs="Times New Roman"/>
          <w:b/>
          <w:sz w:val="24"/>
          <w:szCs w:val="24"/>
          <w:lang w:val="en-US"/>
        </w:rPr>
        <w:t>ARDL(</w:t>
      </w:r>
      <w:proofErr w:type="gramEnd"/>
      <w:r w:rsidRPr="009D043A">
        <w:rPr>
          <w:rFonts w:ascii="Times New Roman" w:hAnsi="Times New Roman" w:cs="Times New Roman"/>
          <w:b/>
          <w:sz w:val="24"/>
          <w:szCs w:val="24"/>
          <w:lang w:val="en-US"/>
        </w:rPr>
        <w:t xml:space="preserve">1,0) selected based on Schwarz Bayesian Criterion   </w:t>
      </w:r>
    </w:p>
    <w:p w:rsidR="00785F34" w:rsidRPr="009D043A" w:rsidRDefault="00785F3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noProof/>
          <w:sz w:val="24"/>
          <w:szCs w:val="24"/>
          <w:lang w:eastAsia="tr-TR"/>
        </w:rPr>
        <w:drawing>
          <wp:inline distT="0" distB="0" distL="0" distR="0">
            <wp:extent cx="4703445" cy="464820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140" cy="4669640"/>
                    </a:xfrm>
                    <a:prstGeom prst="rect">
                      <a:avLst/>
                    </a:prstGeom>
                    <a:noFill/>
                    <a:ln>
                      <a:noFill/>
                    </a:ln>
                  </pic:spPr>
                </pic:pic>
              </a:graphicData>
            </a:graphic>
          </wp:inline>
        </w:drawing>
      </w:r>
    </w:p>
    <w:p w:rsidR="00FE03BE" w:rsidRPr="009D043A" w:rsidRDefault="00FE03BE" w:rsidP="009D043A">
      <w:pPr>
        <w:autoSpaceDE w:val="0"/>
        <w:autoSpaceDN w:val="0"/>
        <w:adjustRightInd w:val="0"/>
        <w:spacing w:after="0" w:line="240" w:lineRule="auto"/>
        <w:jc w:val="both"/>
        <w:rPr>
          <w:rFonts w:ascii="Times New Roman" w:hAnsi="Times New Roman" w:cs="Times New Roman"/>
          <w:sz w:val="24"/>
          <w:szCs w:val="24"/>
          <w:lang w:val="en-US"/>
        </w:rPr>
      </w:pPr>
    </w:p>
    <w:p w:rsidR="00B409F7" w:rsidRPr="009D043A" w:rsidRDefault="00B409F7"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The findings given above</w:t>
      </w:r>
      <w:r w:rsidR="006F6013" w:rsidRPr="009D043A">
        <w:rPr>
          <w:rFonts w:ascii="Times New Roman" w:hAnsi="Times New Roman" w:cs="Times New Roman"/>
          <w:sz w:val="24"/>
          <w:szCs w:val="24"/>
          <w:lang w:val="en-US"/>
        </w:rPr>
        <w:t xml:space="preserve"> are in line with the results of the study of Li (2016) who used the banking data of 14 listed </w:t>
      </w:r>
      <w:r w:rsidR="00E20082" w:rsidRPr="009D043A">
        <w:rPr>
          <w:rFonts w:ascii="Times New Roman" w:hAnsi="Times New Roman" w:cs="Times New Roman"/>
          <w:sz w:val="24"/>
          <w:szCs w:val="24"/>
          <w:lang w:val="en-US"/>
        </w:rPr>
        <w:t xml:space="preserve">banks in China in the period </w:t>
      </w:r>
      <w:proofErr w:type="gramStart"/>
      <w:r w:rsidR="00E20082" w:rsidRPr="009D043A">
        <w:rPr>
          <w:rFonts w:ascii="Times New Roman" w:hAnsi="Times New Roman" w:cs="Times New Roman"/>
          <w:sz w:val="24"/>
          <w:szCs w:val="24"/>
          <w:lang w:val="en-US"/>
        </w:rPr>
        <w:t>between October 2007 to June 2014</w:t>
      </w:r>
      <w:proofErr w:type="gramEnd"/>
      <w:r w:rsidR="00E20082" w:rsidRPr="009D043A">
        <w:rPr>
          <w:rFonts w:ascii="Times New Roman" w:hAnsi="Times New Roman" w:cs="Times New Roman"/>
          <w:sz w:val="24"/>
          <w:szCs w:val="24"/>
          <w:lang w:val="en-US"/>
        </w:rPr>
        <w:t xml:space="preserve">. </w:t>
      </w:r>
      <w:r w:rsidR="00482F96" w:rsidRPr="009D043A">
        <w:rPr>
          <w:rFonts w:ascii="Times New Roman" w:hAnsi="Times New Roman" w:cs="Times New Roman"/>
          <w:sz w:val="24"/>
          <w:szCs w:val="24"/>
          <w:lang w:val="en-US"/>
        </w:rPr>
        <w:t>The results of the analysis reveal that there is no linear or nonlinear causal relationship from diversification to banking</w:t>
      </w:r>
      <w:r w:rsidR="001C5712" w:rsidRPr="009D043A">
        <w:rPr>
          <w:rFonts w:ascii="Times New Roman" w:hAnsi="Times New Roman" w:cs="Times New Roman"/>
          <w:sz w:val="24"/>
          <w:szCs w:val="24"/>
          <w:lang w:val="en-US"/>
        </w:rPr>
        <w:t xml:space="preserve"> </w:t>
      </w:r>
      <w:r w:rsidR="00482F96" w:rsidRPr="009D043A">
        <w:rPr>
          <w:rFonts w:ascii="Times New Roman" w:hAnsi="Times New Roman" w:cs="Times New Roman"/>
          <w:sz w:val="24"/>
          <w:szCs w:val="24"/>
          <w:lang w:val="en-US"/>
        </w:rPr>
        <w:t>systemic risk.</w:t>
      </w:r>
    </w:p>
    <w:p w:rsidR="00482F96" w:rsidRPr="009D043A" w:rsidRDefault="00482F96" w:rsidP="009D043A">
      <w:pPr>
        <w:autoSpaceDE w:val="0"/>
        <w:autoSpaceDN w:val="0"/>
        <w:adjustRightInd w:val="0"/>
        <w:spacing w:after="0" w:line="240" w:lineRule="auto"/>
        <w:jc w:val="both"/>
        <w:rPr>
          <w:rFonts w:ascii="Times New Roman" w:hAnsi="Times New Roman" w:cs="Times New Roman"/>
          <w:sz w:val="24"/>
          <w:szCs w:val="24"/>
          <w:lang w:val="en-US"/>
        </w:rPr>
      </w:pPr>
    </w:p>
    <w:p w:rsidR="00E55830" w:rsidRPr="009D043A" w:rsidRDefault="00E55830"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 xml:space="preserve">Table 3 - Autoregressive Distributed Lag Estimates      </w:t>
      </w:r>
    </w:p>
    <w:p w:rsidR="00235763" w:rsidRPr="009D043A" w:rsidRDefault="00E55830" w:rsidP="009D043A">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9D043A">
        <w:rPr>
          <w:rFonts w:ascii="Times New Roman" w:hAnsi="Times New Roman" w:cs="Times New Roman"/>
          <w:b/>
          <w:sz w:val="24"/>
          <w:szCs w:val="24"/>
          <w:lang w:val="en-US"/>
        </w:rPr>
        <w:t>ARDL(</w:t>
      </w:r>
      <w:proofErr w:type="gramEnd"/>
      <w:r w:rsidRPr="009D043A">
        <w:rPr>
          <w:rFonts w:ascii="Times New Roman" w:hAnsi="Times New Roman" w:cs="Times New Roman"/>
          <w:b/>
          <w:sz w:val="24"/>
          <w:szCs w:val="24"/>
          <w:lang w:val="en-US"/>
        </w:rPr>
        <w:t xml:space="preserve">1,0) selected based on Schwarz Bayesian Criterion </w:t>
      </w: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noProof/>
          <w:sz w:val="24"/>
          <w:szCs w:val="24"/>
          <w:lang w:eastAsia="tr-TR"/>
        </w:rPr>
        <w:lastRenderedPageBreak/>
        <w:drawing>
          <wp:inline distT="0" distB="0" distL="0" distR="0" wp14:anchorId="53B74A7F" wp14:editId="39B1CDB8">
            <wp:extent cx="4430395" cy="5105400"/>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524" cy="5110158"/>
                    </a:xfrm>
                    <a:prstGeom prst="rect">
                      <a:avLst/>
                    </a:prstGeom>
                    <a:noFill/>
                    <a:ln>
                      <a:noFill/>
                    </a:ln>
                  </pic:spPr>
                </pic:pic>
              </a:graphicData>
            </a:graphic>
          </wp:inline>
        </w:drawing>
      </w: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t>Conclusion</w:t>
      </w: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Since the global financial crisis, the attention of broad spectrum of financial market actors, especially regulators, have focused on the systemic risk concept. The systemic risk can be defined as the situation when the failure of a limited number of financial institutions or the crash of a financial market creates domino effect on several other financial institutions or markets resulting with their failure emanating from the initial idiosyncratic shock. </w:t>
      </w: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Apart from the empirical analysis, it is a realized fact that there exist interdependencies within the banking sectors by means of are the structure of banking system, the interconnection of the financial institutions through direct exposures and settlement systems and the information intensity of financial contracts and related credibility problems. Some of the analysts argue that diversification has been the key to mitigate individual bank risk of solvency, however it may simultaneously increase the systemic risk for the whole financial system. The relation between diversification and systemic risk is ambiguous, some of the researchers propose that diversification at financial institutions benefits the stability of the financial system. However, other perspective indicates that diversification has a dark-side as it makes banks more similar contributing to the systemic risk of the financial system.</w:t>
      </w: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lastRenderedPageBreak/>
        <w:t xml:space="preserve">This study contributes to literature by being the one of the rare analysis of Turkish banking system in terms of diversification and systemic risk. In the analysis, diversification was measured by classifying bank’s non-interest-related activities into net commission revenue, net trading revenue and all other net revenue. For each quarter in the period </w:t>
      </w:r>
      <w:proofErr w:type="gramStart"/>
      <w:r w:rsidRPr="009D043A">
        <w:rPr>
          <w:rFonts w:ascii="Times New Roman" w:hAnsi="Times New Roman" w:cs="Times New Roman"/>
          <w:sz w:val="24"/>
          <w:szCs w:val="24"/>
          <w:lang w:val="en-US"/>
        </w:rPr>
        <w:t>between 2009-2016,</w:t>
      </w:r>
      <w:proofErr w:type="gramEnd"/>
      <w:r w:rsidRPr="009D043A">
        <w:rPr>
          <w:rFonts w:ascii="Times New Roman" w:hAnsi="Times New Roman" w:cs="Times New Roman"/>
          <w:sz w:val="24"/>
          <w:szCs w:val="24"/>
          <w:lang w:val="en-US"/>
        </w:rPr>
        <w:t xml:space="preserve"> an average diversification indicator (ADI) and a weighted average diversification indicator (WADI) are calculated by using the individual bank market capital values for top 6 Turkish commercial banks that have the highest market share in terms of total assets, total deposits and all other relevant indicators for each quarter.</w:t>
      </w: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Contingent Claims Analysis (CCA) is used as a measure of banking systemic risk which incorporates market-based and balance sheet information to obtain financial risk indicator of Distance-to-Default (DD). Distance-to-default (DD) and weighted average distance-to-default (WADD) for each quarter in order to measure the systemic risk of Turkish banking system.</w:t>
      </w: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The quarterly diversification indicators (ADIV and WADIV) of top 6 Turkish banks for the period Dec 2016-Dec 2009 have no unit root. However, the no unit root hypothesis are rejected for the systemic risk indicators of DD and WADD. ARDL model was introduced by </w:t>
      </w:r>
      <w:proofErr w:type="spellStart"/>
      <w:r w:rsidR="00242F79">
        <w:fldChar w:fldCharType="begin"/>
      </w:r>
      <w:r w:rsidR="00242F79">
        <w:instrText xml:space="preserve"> HYPERLINK "http://onlinelibrary.wiley.com/doi/10.1002/jae.616/full" \t "_blank" \o "Download Original article here" </w:instrText>
      </w:r>
      <w:r w:rsidR="00242F79">
        <w:fldChar w:fldCharType="separate"/>
      </w:r>
      <w:r w:rsidRPr="009D043A">
        <w:rPr>
          <w:rFonts w:ascii="Times New Roman" w:hAnsi="Times New Roman" w:cs="Times New Roman"/>
          <w:sz w:val="24"/>
          <w:szCs w:val="24"/>
          <w:lang w:val="en-US"/>
        </w:rPr>
        <w:t>Pesaran</w:t>
      </w:r>
      <w:proofErr w:type="spellEnd"/>
      <w:r w:rsidRPr="009D043A">
        <w:rPr>
          <w:rFonts w:ascii="Times New Roman" w:hAnsi="Times New Roman" w:cs="Times New Roman"/>
          <w:sz w:val="24"/>
          <w:szCs w:val="24"/>
          <w:lang w:val="en-US"/>
        </w:rPr>
        <w:t xml:space="preserve"> et al. (2001)</w:t>
      </w:r>
      <w:r w:rsidR="00242F79">
        <w:rPr>
          <w:rFonts w:ascii="Times New Roman" w:hAnsi="Times New Roman" w:cs="Times New Roman"/>
          <w:sz w:val="24"/>
          <w:szCs w:val="24"/>
          <w:lang w:val="en-US"/>
        </w:rPr>
        <w:fldChar w:fldCharType="end"/>
      </w:r>
      <w:r w:rsidRPr="009D043A">
        <w:rPr>
          <w:rFonts w:ascii="Times New Roman" w:hAnsi="Times New Roman" w:cs="Times New Roman"/>
          <w:sz w:val="24"/>
          <w:szCs w:val="24"/>
          <w:lang w:val="en-US"/>
        </w:rPr>
        <w:t xml:space="preserve"> in order to incorporate </w:t>
      </w:r>
      <w:proofErr w:type="gramStart"/>
      <w:r w:rsidRPr="009D043A">
        <w:rPr>
          <w:rFonts w:ascii="Times New Roman" w:hAnsi="Times New Roman" w:cs="Times New Roman"/>
          <w:sz w:val="24"/>
          <w:szCs w:val="24"/>
          <w:lang w:val="en-US"/>
        </w:rPr>
        <w:t>I(</w:t>
      </w:r>
      <w:proofErr w:type="gramEnd"/>
      <w:r w:rsidRPr="009D043A">
        <w:rPr>
          <w:rFonts w:ascii="Times New Roman" w:hAnsi="Times New Roman" w:cs="Times New Roman"/>
          <w:sz w:val="24"/>
          <w:szCs w:val="24"/>
          <w:lang w:val="en-US"/>
        </w:rPr>
        <w:t xml:space="preserve">0) and I(1) variables in the analysis. The results indicate that the relationships between distance to default as dependent variable (DD) and diversification indicator (ADIV) as independent variable, also the relation between weighted distance to default as dependent variable (WADD) and diversification indicator (WADIV) as independent variable by using Turkish banking data for the period Dec 2016-Dec 2009 seem ambiguous. The findings given above are in line with the results of the study of Li (2016) who used the banking data of 14 listed banks in China in the period </w:t>
      </w:r>
      <w:proofErr w:type="gramStart"/>
      <w:r w:rsidRPr="009D043A">
        <w:rPr>
          <w:rFonts w:ascii="Times New Roman" w:hAnsi="Times New Roman" w:cs="Times New Roman"/>
          <w:sz w:val="24"/>
          <w:szCs w:val="24"/>
          <w:lang w:val="en-US"/>
        </w:rPr>
        <w:t>between October 2007 to June 2014</w:t>
      </w:r>
      <w:proofErr w:type="gramEnd"/>
      <w:r w:rsidRPr="009D043A">
        <w:rPr>
          <w:rFonts w:ascii="Times New Roman" w:hAnsi="Times New Roman" w:cs="Times New Roman"/>
          <w:sz w:val="24"/>
          <w:szCs w:val="24"/>
          <w:lang w:val="en-US"/>
        </w:rPr>
        <w:t>. The results of the analysis reveal that there is no linear or nonlinear causal relationship from diversification to banking systemic risk.</w:t>
      </w: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011054" w:rsidRPr="009D043A" w:rsidRDefault="00011054" w:rsidP="009D043A">
      <w:pPr>
        <w:autoSpaceDE w:val="0"/>
        <w:autoSpaceDN w:val="0"/>
        <w:adjustRightInd w:val="0"/>
        <w:spacing w:after="0" w:line="240" w:lineRule="auto"/>
        <w:jc w:val="both"/>
        <w:rPr>
          <w:rFonts w:ascii="Times New Roman" w:hAnsi="Times New Roman" w:cs="Times New Roman"/>
          <w:b/>
          <w:sz w:val="24"/>
          <w:szCs w:val="24"/>
          <w:lang w:val="en-US"/>
        </w:rPr>
      </w:pPr>
    </w:p>
    <w:p w:rsidR="007237CB" w:rsidRPr="009D043A" w:rsidRDefault="00E55830"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b/>
          <w:sz w:val="24"/>
          <w:szCs w:val="24"/>
          <w:lang w:val="en-US"/>
        </w:rPr>
        <w:t xml:space="preserve">  </w:t>
      </w:r>
      <w:r w:rsidR="005817D4" w:rsidRPr="009D043A">
        <w:rPr>
          <w:rFonts w:ascii="Times New Roman" w:hAnsi="Times New Roman" w:cs="Times New Roman"/>
          <w:sz w:val="24"/>
          <w:szCs w:val="24"/>
          <w:lang w:val="en-US"/>
        </w:rPr>
        <w:t xml:space="preserve"> </w:t>
      </w:r>
      <w:r w:rsidR="007237CB" w:rsidRPr="009D043A">
        <w:rPr>
          <w:rFonts w:ascii="Times New Roman" w:hAnsi="Times New Roman" w:cs="Times New Roman"/>
          <w:sz w:val="24"/>
          <w:szCs w:val="24"/>
          <w:lang w:val="en-US"/>
        </w:rPr>
        <w:br w:type="page"/>
      </w:r>
    </w:p>
    <w:p w:rsidR="0069624D" w:rsidRPr="009D043A" w:rsidRDefault="0069624D" w:rsidP="009D043A">
      <w:pPr>
        <w:spacing w:line="240" w:lineRule="auto"/>
        <w:jc w:val="both"/>
        <w:rPr>
          <w:rFonts w:ascii="Times New Roman" w:hAnsi="Times New Roman" w:cs="Times New Roman"/>
          <w:b/>
          <w:sz w:val="24"/>
          <w:szCs w:val="24"/>
          <w:lang w:val="en-US"/>
        </w:rPr>
      </w:pPr>
      <w:r w:rsidRPr="009D043A">
        <w:rPr>
          <w:rFonts w:ascii="Times New Roman" w:hAnsi="Times New Roman" w:cs="Times New Roman"/>
          <w:b/>
          <w:sz w:val="24"/>
          <w:szCs w:val="24"/>
          <w:lang w:val="en-US"/>
        </w:rPr>
        <w:lastRenderedPageBreak/>
        <w:t>REFERENCES</w:t>
      </w:r>
    </w:p>
    <w:p w:rsidR="00950386" w:rsidRPr="009D043A" w:rsidRDefault="00950386"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Acharya, V. V., Cooley, T., Richardson, M., Walter, I. (2010), “Manufacturing tail risk: a perspective on the financial crisis of 2007-2009”, Foundations and Trends in Finance, 4, 247–325.</w:t>
      </w: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Acharya, V.V., Pedersen, L.H., </w:t>
      </w:r>
      <w:proofErr w:type="spellStart"/>
      <w:r w:rsidRPr="009D043A">
        <w:rPr>
          <w:rFonts w:ascii="Times New Roman" w:hAnsi="Times New Roman" w:cs="Times New Roman"/>
          <w:sz w:val="24"/>
          <w:szCs w:val="24"/>
          <w:lang w:val="en-US"/>
        </w:rPr>
        <w:t>Philippon</w:t>
      </w:r>
      <w:proofErr w:type="spellEnd"/>
      <w:r w:rsidRPr="009D043A">
        <w:rPr>
          <w:rFonts w:ascii="Times New Roman" w:hAnsi="Times New Roman" w:cs="Times New Roman"/>
          <w:sz w:val="24"/>
          <w:szCs w:val="24"/>
          <w:lang w:val="en-US"/>
        </w:rPr>
        <w:t xml:space="preserve">, T., </w:t>
      </w:r>
      <w:proofErr w:type="spellStart"/>
      <w:r w:rsidRPr="009D043A">
        <w:rPr>
          <w:rFonts w:ascii="Times New Roman" w:hAnsi="Times New Roman" w:cs="Times New Roman"/>
          <w:sz w:val="24"/>
          <w:szCs w:val="24"/>
          <w:lang w:val="en-US"/>
        </w:rPr>
        <w:t>Richardson</w:t>
      </w:r>
      <w:proofErr w:type="gramStart"/>
      <w:r w:rsidRPr="009D043A">
        <w:rPr>
          <w:rFonts w:ascii="Times New Roman" w:hAnsi="Times New Roman" w:cs="Times New Roman"/>
          <w:sz w:val="24"/>
          <w:szCs w:val="24"/>
          <w:lang w:val="en-US"/>
        </w:rPr>
        <w:t>,M</w:t>
      </w:r>
      <w:proofErr w:type="spellEnd"/>
      <w:proofErr w:type="gramEnd"/>
      <w:r w:rsidRPr="009D043A">
        <w:rPr>
          <w:rFonts w:ascii="Times New Roman" w:hAnsi="Times New Roman" w:cs="Times New Roman"/>
          <w:sz w:val="24"/>
          <w:szCs w:val="24"/>
          <w:lang w:val="en-US"/>
        </w:rPr>
        <w:t>., (2010), “Measuring systemic risk”, Federal Reserve Bank of Cleveland Working Paper No. 10-02.</w:t>
      </w:r>
    </w:p>
    <w:p w:rsidR="0066528D" w:rsidRPr="009D043A" w:rsidRDefault="0066528D" w:rsidP="009D043A">
      <w:pPr>
        <w:spacing w:line="240" w:lineRule="auto"/>
        <w:jc w:val="both"/>
        <w:rPr>
          <w:rFonts w:ascii="Times New Roman" w:hAnsi="Times New Roman" w:cs="Times New Roman"/>
          <w:color w:val="37352B"/>
          <w:sz w:val="24"/>
          <w:szCs w:val="24"/>
          <w:shd w:val="clear" w:color="auto" w:fill="FFFFFF"/>
          <w:lang w:val="en-US"/>
        </w:rPr>
      </w:pPr>
      <w:r w:rsidRPr="009D043A">
        <w:rPr>
          <w:rFonts w:ascii="Times New Roman" w:hAnsi="Times New Roman" w:cs="Times New Roman"/>
          <w:color w:val="37352B"/>
          <w:sz w:val="24"/>
          <w:szCs w:val="24"/>
          <w:shd w:val="clear" w:color="auto" w:fill="FFFFFF"/>
          <w:lang w:val="en-US"/>
        </w:rPr>
        <w:t xml:space="preserve">Adrian, Tobias, A., </w:t>
      </w:r>
      <w:proofErr w:type="spellStart"/>
      <w:r w:rsidRPr="009D043A">
        <w:rPr>
          <w:rFonts w:ascii="Times New Roman" w:hAnsi="Times New Roman" w:cs="Times New Roman"/>
          <w:color w:val="37352B"/>
          <w:sz w:val="24"/>
          <w:szCs w:val="24"/>
          <w:shd w:val="clear" w:color="auto" w:fill="FFFFFF"/>
          <w:lang w:val="en-US"/>
        </w:rPr>
        <w:t>Brunnermeier</w:t>
      </w:r>
      <w:proofErr w:type="spellEnd"/>
      <w:r w:rsidRPr="009D043A">
        <w:rPr>
          <w:rFonts w:ascii="Times New Roman" w:hAnsi="Times New Roman" w:cs="Times New Roman"/>
          <w:color w:val="37352B"/>
          <w:sz w:val="24"/>
          <w:szCs w:val="24"/>
          <w:shd w:val="clear" w:color="auto" w:fill="FFFFFF"/>
          <w:lang w:val="en-US"/>
        </w:rPr>
        <w:t xml:space="preserve">, M.K., (2016), </w:t>
      </w:r>
      <w:r w:rsidRPr="009D043A">
        <w:rPr>
          <w:rFonts w:ascii="Times New Roman" w:hAnsi="Times New Roman" w:cs="Times New Roman"/>
          <w:sz w:val="24"/>
          <w:szCs w:val="24"/>
          <w:shd w:val="clear" w:color="auto" w:fill="FFFFFF"/>
          <w:lang w:val="en-US"/>
        </w:rPr>
        <w:t>“</w:t>
      </w:r>
      <w:proofErr w:type="spellStart"/>
      <w:r w:rsidRPr="009D043A">
        <w:fldChar w:fldCharType="begin"/>
      </w:r>
      <w:r w:rsidRPr="009D043A">
        <w:rPr>
          <w:rFonts w:ascii="Times New Roman" w:hAnsi="Times New Roman" w:cs="Times New Roman"/>
          <w:sz w:val="24"/>
          <w:szCs w:val="24"/>
          <w:lang w:val="en-US"/>
        </w:rPr>
        <w:instrText xml:space="preserve"> HYPERLINK "http://scholar.princeton.edu/markus/publications/covar" </w:instrText>
      </w:r>
      <w:r w:rsidRPr="009D043A">
        <w:fldChar w:fldCharType="separate"/>
      </w:r>
      <w:r w:rsidRPr="009D043A">
        <w:rPr>
          <w:rStyle w:val="Kpr"/>
          <w:rFonts w:ascii="Times New Roman" w:hAnsi="Times New Roman" w:cs="Times New Roman"/>
          <w:color w:val="auto"/>
          <w:sz w:val="24"/>
          <w:szCs w:val="24"/>
          <w:shd w:val="clear" w:color="auto" w:fill="FFFFFF"/>
          <w:lang w:val="en-US"/>
        </w:rPr>
        <w:t>CoVaR</w:t>
      </w:r>
      <w:proofErr w:type="spellEnd"/>
      <w:r w:rsidRPr="009D043A">
        <w:rPr>
          <w:rStyle w:val="Kpr"/>
          <w:rFonts w:ascii="Times New Roman" w:hAnsi="Times New Roman" w:cs="Times New Roman"/>
          <w:color w:val="auto"/>
          <w:sz w:val="24"/>
          <w:szCs w:val="24"/>
          <w:shd w:val="clear" w:color="auto" w:fill="FFFFFF"/>
          <w:lang w:val="en-US"/>
        </w:rPr>
        <w:fldChar w:fldCharType="end"/>
      </w:r>
      <w:r w:rsidRPr="009D043A">
        <w:rPr>
          <w:rFonts w:ascii="Times New Roman" w:hAnsi="Times New Roman" w:cs="Times New Roman"/>
          <w:sz w:val="24"/>
          <w:szCs w:val="24"/>
          <w:shd w:val="clear" w:color="auto" w:fill="FFFFFF"/>
          <w:lang w:val="en-US"/>
        </w:rPr>
        <w:t xml:space="preserve">”. </w:t>
      </w:r>
      <w:r w:rsidRPr="009D043A">
        <w:rPr>
          <w:rFonts w:ascii="Times New Roman" w:hAnsi="Times New Roman" w:cs="Times New Roman"/>
          <w:color w:val="37352B"/>
          <w:sz w:val="24"/>
          <w:szCs w:val="24"/>
          <w:shd w:val="clear" w:color="auto" w:fill="FFFFFF"/>
          <w:lang w:val="en-US"/>
        </w:rPr>
        <w:t>American Economic Review, 106.7 (2016)</w:t>
      </w:r>
      <w:proofErr w:type="gramStart"/>
      <w:r w:rsidRPr="009D043A">
        <w:rPr>
          <w:rFonts w:ascii="Times New Roman" w:hAnsi="Times New Roman" w:cs="Times New Roman"/>
          <w:color w:val="37352B"/>
          <w:sz w:val="24"/>
          <w:szCs w:val="24"/>
          <w:shd w:val="clear" w:color="auto" w:fill="FFFFFF"/>
          <w:lang w:val="en-US"/>
        </w:rPr>
        <w:t>: ,</w:t>
      </w:r>
      <w:proofErr w:type="gramEnd"/>
      <w:r w:rsidRPr="009D043A">
        <w:rPr>
          <w:rFonts w:ascii="Times New Roman" w:hAnsi="Times New Roman" w:cs="Times New Roman"/>
          <w:color w:val="37352B"/>
          <w:sz w:val="24"/>
          <w:szCs w:val="24"/>
          <w:shd w:val="clear" w:color="auto" w:fill="FFFFFF"/>
          <w:lang w:val="en-US"/>
        </w:rPr>
        <w:t xml:space="preserve"> 106, 7, 1705-1741.</w:t>
      </w:r>
    </w:p>
    <w:p w:rsidR="00E40518" w:rsidRPr="009D043A" w:rsidRDefault="00E40518" w:rsidP="009D043A">
      <w:pPr>
        <w:shd w:val="clear" w:color="auto" w:fill="FAFAFA"/>
        <w:spacing w:before="240" w:after="240" w:line="240" w:lineRule="auto"/>
        <w:jc w:val="both"/>
        <w:rPr>
          <w:rFonts w:ascii="Times New Roman" w:eastAsia="Times New Roman" w:hAnsi="Times New Roman" w:cs="Times New Roman"/>
          <w:color w:val="111111"/>
          <w:sz w:val="24"/>
          <w:szCs w:val="24"/>
          <w:lang w:val="en-US" w:eastAsia="tr-TR"/>
        </w:rPr>
      </w:pPr>
      <w:proofErr w:type="spellStart"/>
      <w:r w:rsidRPr="009D043A">
        <w:rPr>
          <w:rFonts w:ascii="Times New Roman" w:eastAsia="Times New Roman" w:hAnsi="Times New Roman" w:cs="Times New Roman"/>
          <w:color w:val="111111"/>
          <w:sz w:val="24"/>
          <w:szCs w:val="24"/>
          <w:lang w:val="en-US" w:eastAsia="tr-TR"/>
        </w:rPr>
        <w:t>Akaike</w:t>
      </w:r>
      <w:proofErr w:type="spellEnd"/>
      <w:r w:rsidRPr="009D043A">
        <w:rPr>
          <w:rFonts w:ascii="Times New Roman" w:eastAsia="Times New Roman" w:hAnsi="Times New Roman" w:cs="Times New Roman"/>
          <w:color w:val="111111"/>
          <w:sz w:val="24"/>
          <w:szCs w:val="24"/>
          <w:lang w:val="en-US" w:eastAsia="tr-TR"/>
        </w:rPr>
        <w:t>, H., (1974), “A New Look at the Statistical Model Identification. System Identification and Time-Series Analysis”, IEEE Transactions Automatic Control, 19, 716–723.</w:t>
      </w: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Akkoyun</w:t>
      </w:r>
      <w:proofErr w:type="spellEnd"/>
      <w:r w:rsidRPr="009D043A">
        <w:rPr>
          <w:rFonts w:ascii="Times New Roman" w:hAnsi="Times New Roman" w:cs="Times New Roman"/>
          <w:sz w:val="24"/>
          <w:szCs w:val="24"/>
          <w:lang w:val="en-US"/>
        </w:rPr>
        <w:t xml:space="preserve">, H.Ç., </w:t>
      </w:r>
      <w:proofErr w:type="spellStart"/>
      <w:r w:rsidRPr="009D043A">
        <w:rPr>
          <w:rFonts w:ascii="Times New Roman" w:hAnsi="Times New Roman" w:cs="Times New Roman"/>
          <w:sz w:val="24"/>
          <w:szCs w:val="24"/>
          <w:lang w:val="en-US"/>
        </w:rPr>
        <w:t>Karaşahin</w:t>
      </w:r>
      <w:proofErr w:type="spellEnd"/>
      <w:r w:rsidRPr="009D043A">
        <w:rPr>
          <w:rFonts w:ascii="Times New Roman" w:hAnsi="Times New Roman" w:cs="Times New Roman"/>
          <w:sz w:val="24"/>
          <w:szCs w:val="24"/>
          <w:lang w:val="en-US"/>
        </w:rPr>
        <w:t xml:space="preserve">, R. and </w:t>
      </w:r>
      <w:proofErr w:type="spellStart"/>
      <w:r w:rsidRPr="009D043A">
        <w:rPr>
          <w:rFonts w:ascii="Times New Roman" w:hAnsi="Times New Roman" w:cs="Times New Roman"/>
          <w:sz w:val="24"/>
          <w:szCs w:val="24"/>
          <w:lang w:val="en-US"/>
        </w:rPr>
        <w:t>Keleş</w:t>
      </w:r>
      <w:proofErr w:type="spellEnd"/>
      <w:r w:rsidRPr="009D043A">
        <w:rPr>
          <w:rFonts w:ascii="Times New Roman" w:hAnsi="Times New Roman" w:cs="Times New Roman"/>
          <w:sz w:val="24"/>
          <w:szCs w:val="24"/>
          <w:lang w:val="en-US"/>
        </w:rPr>
        <w:t>, G. (2013), Systemic Risk Contribution of Individual Banks, Central Bank of Turkey Workıng Paper NO: 13/18</w:t>
      </w:r>
      <w:r w:rsidR="00747141" w:rsidRPr="009D043A">
        <w:rPr>
          <w:rFonts w:ascii="Times New Roman" w:hAnsi="Times New Roman" w:cs="Times New Roman"/>
          <w:sz w:val="24"/>
          <w:szCs w:val="24"/>
          <w:lang w:val="en-US"/>
        </w:rPr>
        <w:t>.</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Allenspach</w:t>
      </w:r>
      <w:proofErr w:type="spellEnd"/>
      <w:r w:rsidRPr="009D043A">
        <w:rPr>
          <w:rFonts w:ascii="Times New Roman" w:hAnsi="Times New Roman" w:cs="Times New Roman"/>
          <w:sz w:val="24"/>
          <w:szCs w:val="24"/>
          <w:lang w:val="en-US"/>
        </w:rPr>
        <w:t>, N., Monnin, P., (2006), “International integration, common exposures and systemic risk in the banking sector: an empirical investigation”, Swiss National Bank Working Paper.</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Aspachs</w:t>
      </w:r>
      <w:proofErr w:type="spellEnd"/>
      <w:r w:rsidRPr="009D043A">
        <w:rPr>
          <w:rFonts w:ascii="Times New Roman" w:hAnsi="Times New Roman" w:cs="Times New Roman"/>
          <w:sz w:val="24"/>
          <w:szCs w:val="24"/>
          <w:lang w:val="en-US"/>
        </w:rPr>
        <w:t xml:space="preserve">, O., </w:t>
      </w:r>
      <w:proofErr w:type="spellStart"/>
      <w:r w:rsidRPr="009D043A">
        <w:rPr>
          <w:rFonts w:ascii="Times New Roman" w:hAnsi="Times New Roman" w:cs="Times New Roman"/>
          <w:sz w:val="24"/>
          <w:szCs w:val="24"/>
          <w:lang w:val="en-US"/>
        </w:rPr>
        <w:t>Goodhart</w:t>
      </w:r>
      <w:proofErr w:type="spellEnd"/>
      <w:r w:rsidRPr="009D043A">
        <w:rPr>
          <w:rFonts w:ascii="Times New Roman" w:hAnsi="Times New Roman" w:cs="Times New Roman"/>
          <w:sz w:val="24"/>
          <w:szCs w:val="24"/>
          <w:lang w:val="en-US"/>
        </w:rPr>
        <w:t xml:space="preserve">, C., </w:t>
      </w:r>
      <w:proofErr w:type="spellStart"/>
      <w:r w:rsidRPr="009D043A">
        <w:rPr>
          <w:rFonts w:ascii="Times New Roman" w:hAnsi="Times New Roman" w:cs="Times New Roman"/>
          <w:sz w:val="24"/>
          <w:szCs w:val="24"/>
          <w:lang w:val="en-US"/>
        </w:rPr>
        <w:t>Tsomocos</w:t>
      </w:r>
      <w:proofErr w:type="spellEnd"/>
      <w:r w:rsidRPr="009D043A">
        <w:rPr>
          <w:rFonts w:ascii="Times New Roman" w:hAnsi="Times New Roman" w:cs="Times New Roman"/>
          <w:sz w:val="24"/>
          <w:szCs w:val="24"/>
          <w:lang w:val="en-US"/>
        </w:rPr>
        <w:t xml:space="preserve">, D., </w:t>
      </w:r>
      <w:proofErr w:type="spellStart"/>
      <w:r w:rsidRPr="009D043A">
        <w:rPr>
          <w:rFonts w:ascii="Times New Roman" w:hAnsi="Times New Roman" w:cs="Times New Roman"/>
          <w:sz w:val="24"/>
          <w:szCs w:val="24"/>
          <w:lang w:val="en-US"/>
        </w:rPr>
        <w:t>Zicchino</w:t>
      </w:r>
      <w:proofErr w:type="spellEnd"/>
      <w:r w:rsidRPr="009D043A">
        <w:rPr>
          <w:rFonts w:ascii="Times New Roman" w:hAnsi="Times New Roman" w:cs="Times New Roman"/>
          <w:sz w:val="24"/>
          <w:szCs w:val="24"/>
          <w:lang w:val="en-US"/>
        </w:rPr>
        <w:t>, L., (2007), “Towards a measure of financial fragility”, Annals of Finance, 3, 37–74.</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Avesani</w:t>
      </w:r>
      <w:proofErr w:type="spellEnd"/>
      <w:r w:rsidRPr="009D043A">
        <w:rPr>
          <w:rFonts w:ascii="Times New Roman" w:hAnsi="Times New Roman" w:cs="Times New Roman"/>
          <w:sz w:val="24"/>
          <w:szCs w:val="24"/>
          <w:lang w:val="en-US"/>
        </w:rPr>
        <w:t xml:space="preserve">, R., </w:t>
      </w:r>
      <w:proofErr w:type="spellStart"/>
      <w:r w:rsidRPr="009D043A">
        <w:rPr>
          <w:rFonts w:ascii="Times New Roman" w:hAnsi="Times New Roman" w:cs="Times New Roman"/>
          <w:sz w:val="24"/>
          <w:szCs w:val="24"/>
          <w:lang w:val="en-US"/>
        </w:rPr>
        <w:t>Pascual</w:t>
      </w:r>
      <w:proofErr w:type="spellEnd"/>
      <w:r w:rsidRPr="009D043A">
        <w:rPr>
          <w:rFonts w:ascii="Times New Roman" w:hAnsi="Times New Roman" w:cs="Times New Roman"/>
          <w:sz w:val="24"/>
          <w:szCs w:val="24"/>
          <w:lang w:val="en-US"/>
        </w:rPr>
        <w:t>, A.G., Li, J., (2006)</w:t>
      </w:r>
      <w:proofErr w:type="gramStart"/>
      <w:r w:rsidRPr="009D043A">
        <w:rPr>
          <w:rFonts w:ascii="Times New Roman" w:hAnsi="Times New Roman" w:cs="Times New Roman"/>
          <w:sz w:val="24"/>
          <w:szCs w:val="24"/>
          <w:lang w:val="en-US"/>
        </w:rPr>
        <w:t>,  “</w:t>
      </w:r>
      <w:proofErr w:type="gramEnd"/>
      <w:r w:rsidRPr="009D043A">
        <w:rPr>
          <w:rFonts w:ascii="Times New Roman" w:hAnsi="Times New Roman" w:cs="Times New Roman"/>
          <w:sz w:val="24"/>
          <w:szCs w:val="24"/>
          <w:lang w:val="en-US"/>
        </w:rPr>
        <w:t>A new risk indicator and stress testing tool: a multifactor nth-t-default CDS basket”,  IMF Working Paper, 105.</w:t>
      </w:r>
    </w:p>
    <w:p w:rsidR="00E40518" w:rsidRPr="009D043A" w:rsidRDefault="00E40518" w:rsidP="009D043A">
      <w:pPr>
        <w:shd w:val="clear" w:color="auto" w:fill="FAFAFA"/>
        <w:spacing w:before="240" w:after="240" w:line="240" w:lineRule="auto"/>
        <w:jc w:val="both"/>
        <w:rPr>
          <w:rFonts w:ascii="Times New Roman" w:eastAsia="Times New Roman" w:hAnsi="Times New Roman" w:cs="Times New Roman"/>
          <w:color w:val="111111"/>
          <w:sz w:val="24"/>
          <w:szCs w:val="24"/>
          <w:lang w:val="en-US" w:eastAsia="tr-TR"/>
        </w:rPr>
      </w:pPr>
      <w:proofErr w:type="spellStart"/>
      <w:r w:rsidRPr="009D043A">
        <w:rPr>
          <w:rFonts w:ascii="Times New Roman" w:eastAsia="Times New Roman" w:hAnsi="Times New Roman" w:cs="Times New Roman"/>
          <w:color w:val="111111"/>
          <w:sz w:val="24"/>
          <w:szCs w:val="24"/>
          <w:lang w:val="en-US" w:eastAsia="tr-TR"/>
        </w:rPr>
        <w:t>Badarudin</w:t>
      </w:r>
      <w:proofErr w:type="spellEnd"/>
      <w:r w:rsidRPr="009D043A">
        <w:rPr>
          <w:rFonts w:ascii="Times New Roman" w:eastAsia="Times New Roman" w:hAnsi="Times New Roman" w:cs="Times New Roman"/>
          <w:color w:val="111111"/>
          <w:sz w:val="24"/>
          <w:szCs w:val="24"/>
          <w:lang w:val="en-US" w:eastAsia="tr-TR"/>
        </w:rPr>
        <w:t xml:space="preserve"> Z.E., </w:t>
      </w:r>
      <w:proofErr w:type="spellStart"/>
      <w:r w:rsidRPr="009D043A">
        <w:rPr>
          <w:rFonts w:ascii="Times New Roman" w:eastAsia="Times New Roman" w:hAnsi="Times New Roman" w:cs="Times New Roman"/>
          <w:color w:val="111111"/>
          <w:sz w:val="24"/>
          <w:szCs w:val="24"/>
          <w:lang w:val="en-US" w:eastAsia="tr-TR"/>
        </w:rPr>
        <w:t>Ariff</w:t>
      </w:r>
      <w:proofErr w:type="spellEnd"/>
      <w:r w:rsidRPr="009D043A">
        <w:rPr>
          <w:rFonts w:ascii="Times New Roman" w:eastAsia="Times New Roman" w:hAnsi="Times New Roman" w:cs="Times New Roman"/>
          <w:color w:val="111111"/>
          <w:sz w:val="24"/>
          <w:szCs w:val="24"/>
          <w:lang w:val="en-US" w:eastAsia="tr-TR"/>
        </w:rPr>
        <w:t xml:space="preserve"> M., Khalid A.M., (2013), “Post-Keynesian Money Endogeneity Evidence in G-7 Economies”, Journal of International Money and Finance, 33, 146-162.</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Basel Committee on Banking Supervision (2011).Global Systematically Important Banks: Assessment</w:t>
      </w: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Methodology and the Additional Loss Absorbency Requirement, Rules Text.</w:t>
      </w:r>
    </w:p>
    <w:p w:rsidR="00E40518" w:rsidRPr="009D043A" w:rsidRDefault="00E40518"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Bank of England Quarterly Bulletin, 2014 Q1, </w:t>
      </w:r>
      <w:hyperlink r:id="rId11" w:history="1">
        <w:r w:rsidR="00747141" w:rsidRPr="009D043A">
          <w:rPr>
            <w:rFonts w:ascii="Times New Roman" w:hAnsi="Times New Roman" w:cs="Times New Roman"/>
            <w:sz w:val="24"/>
            <w:szCs w:val="24"/>
            <w:lang w:val="en-US"/>
          </w:rPr>
          <w:t>http://www.bankofengland.co.uk/publications/Pages/quarterlybulletin/2014/qb14q1.aspx</w:t>
        </w:r>
      </w:hyperlink>
      <w:r w:rsidR="00747141" w:rsidRPr="009D043A">
        <w:rPr>
          <w:rFonts w:ascii="Times New Roman" w:hAnsi="Times New Roman" w:cs="Times New Roman"/>
          <w:sz w:val="24"/>
          <w:szCs w:val="24"/>
          <w:lang w:val="en-US"/>
        </w:rPr>
        <w:t>.</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Billio</w:t>
      </w:r>
      <w:proofErr w:type="spellEnd"/>
      <w:r w:rsidRPr="009D043A">
        <w:rPr>
          <w:rFonts w:ascii="Times New Roman" w:hAnsi="Times New Roman" w:cs="Times New Roman"/>
          <w:sz w:val="24"/>
          <w:szCs w:val="24"/>
          <w:lang w:val="en-US"/>
        </w:rPr>
        <w:t xml:space="preserve">, M., </w:t>
      </w:r>
      <w:proofErr w:type="spellStart"/>
      <w:r w:rsidRPr="009D043A">
        <w:rPr>
          <w:rFonts w:ascii="Times New Roman" w:hAnsi="Times New Roman" w:cs="Times New Roman"/>
          <w:sz w:val="24"/>
          <w:szCs w:val="24"/>
          <w:lang w:val="en-US"/>
        </w:rPr>
        <w:t>Getmansky</w:t>
      </w:r>
      <w:proofErr w:type="spellEnd"/>
      <w:r w:rsidRPr="009D043A">
        <w:rPr>
          <w:rFonts w:ascii="Times New Roman" w:hAnsi="Times New Roman" w:cs="Times New Roman"/>
          <w:sz w:val="24"/>
          <w:szCs w:val="24"/>
          <w:lang w:val="en-US"/>
        </w:rPr>
        <w:t xml:space="preserve">, M., Lo, A.W., </w:t>
      </w:r>
      <w:proofErr w:type="spellStart"/>
      <w:r w:rsidRPr="009D043A">
        <w:rPr>
          <w:rFonts w:ascii="Times New Roman" w:hAnsi="Times New Roman" w:cs="Times New Roman"/>
          <w:sz w:val="24"/>
          <w:szCs w:val="24"/>
          <w:lang w:val="en-US"/>
        </w:rPr>
        <w:t>Pelizzon</w:t>
      </w:r>
      <w:proofErr w:type="spellEnd"/>
      <w:r w:rsidRPr="009D043A">
        <w:rPr>
          <w:rFonts w:ascii="Times New Roman" w:hAnsi="Times New Roman" w:cs="Times New Roman"/>
          <w:sz w:val="24"/>
          <w:szCs w:val="24"/>
          <w:lang w:val="en-US"/>
        </w:rPr>
        <w:t>, L. (2010), “Econometric Measures of Systemic Risk in the Finance and Insurance Sectors,” National Bureau of Economic Research (NBER) Working Paper No. 16223.</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482F96" w:rsidRPr="009D043A" w:rsidRDefault="00482F9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Binici</w:t>
      </w:r>
      <w:proofErr w:type="spellEnd"/>
      <w:r w:rsidRPr="009D043A">
        <w:rPr>
          <w:rFonts w:ascii="Times New Roman" w:hAnsi="Times New Roman" w:cs="Times New Roman"/>
          <w:sz w:val="24"/>
          <w:szCs w:val="24"/>
          <w:lang w:val="en-US"/>
        </w:rPr>
        <w:t>, M</w:t>
      </w:r>
      <w:r w:rsidR="00E40518"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Köksal, B</w:t>
      </w:r>
      <w:r w:rsidR="00E40518"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Orman</w:t>
      </w:r>
      <w:proofErr w:type="spellEnd"/>
      <w:r w:rsidRPr="009D043A">
        <w:rPr>
          <w:rFonts w:ascii="Times New Roman" w:hAnsi="Times New Roman" w:cs="Times New Roman"/>
          <w:sz w:val="24"/>
          <w:szCs w:val="24"/>
          <w:lang w:val="en-US"/>
        </w:rPr>
        <w:t>, C</w:t>
      </w:r>
      <w:r w:rsidR="00E40518" w:rsidRPr="009D043A">
        <w:rPr>
          <w:rFonts w:ascii="Times New Roman" w:hAnsi="Times New Roman" w:cs="Times New Roman"/>
          <w:sz w:val="24"/>
          <w:szCs w:val="24"/>
          <w:lang w:val="en-US"/>
        </w:rPr>
        <w:t>., (2012)</w:t>
      </w:r>
      <w:r w:rsidRPr="009D043A">
        <w:rPr>
          <w:rFonts w:ascii="Times New Roman" w:hAnsi="Times New Roman" w:cs="Times New Roman"/>
          <w:sz w:val="24"/>
          <w:szCs w:val="24"/>
          <w:lang w:val="en-US"/>
        </w:rPr>
        <w:t xml:space="preserve">, </w:t>
      </w:r>
      <w:r w:rsidR="00E40518"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Stock Return </w:t>
      </w:r>
      <w:proofErr w:type="spellStart"/>
      <w:r w:rsidRPr="009D043A">
        <w:rPr>
          <w:rFonts w:ascii="Times New Roman" w:hAnsi="Times New Roman" w:cs="Times New Roman"/>
          <w:sz w:val="24"/>
          <w:szCs w:val="24"/>
          <w:lang w:val="en-US"/>
        </w:rPr>
        <w:t>Comovement</w:t>
      </w:r>
      <w:proofErr w:type="spellEnd"/>
      <w:r w:rsidRPr="009D043A">
        <w:rPr>
          <w:rFonts w:ascii="Times New Roman" w:hAnsi="Times New Roman" w:cs="Times New Roman"/>
          <w:sz w:val="24"/>
          <w:szCs w:val="24"/>
          <w:lang w:val="en-US"/>
        </w:rPr>
        <w:t xml:space="preserve"> and Systemic Risk in the Turkish Banking System</w:t>
      </w:r>
      <w:r w:rsidR="00E40518"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Central Bank Review, 13, 2013. Available at SSRN: </w:t>
      </w:r>
      <w:hyperlink r:id="rId12" w:tgtFrame="_blank" w:history="1">
        <w:r w:rsidRPr="009D043A">
          <w:rPr>
            <w:rFonts w:ascii="Times New Roman" w:hAnsi="Times New Roman" w:cs="Times New Roman"/>
            <w:sz w:val="24"/>
            <w:szCs w:val="24"/>
            <w:lang w:val="en-US"/>
          </w:rPr>
          <w:t>https://ssrn.com/abstract=2054436</w:t>
        </w:r>
      </w:hyperlink>
      <w:r w:rsidRPr="009D043A">
        <w:rPr>
          <w:rFonts w:ascii="Times New Roman" w:hAnsi="Times New Roman" w:cs="Times New Roman"/>
          <w:sz w:val="24"/>
          <w:szCs w:val="24"/>
          <w:lang w:val="en-US"/>
        </w:rPr>
        <w:t> or </w:t>
      </w:r>
      <w:hyperlink r:id="rId13" w:tgtFrame="_blank" w:history="1">
        <w:r w:rsidRPr="009D043A">
          <w:rPr>
            <w:rFonts w:ascii="Times New Roman" w:hAnsi="Times New Roman" w:cs="Times New Roman"/>
            <w:sz w:val="24"/>
            <w:szCs w:val="24"/>
            <w:lang w:val="en-US"/>
          </w:rPr>
          <w:t>http://dx.doi.org/10.2139/ssrn.2054436</w:t>
        </w:r>
      </w:hyperlink>
      <w:r w:rsidR="00950386" w:rsidRPr="009D043A">
        <w:rPr>
          <w:rFonts w:ascii="Times New Roman" w:hAnsi="Times New Roman" w:cs="Times New Roman"/>
          <w:sz w:val="24"/>
          <w:szCs w:val="24"/>
          <w:lang w:val="en-US"/>
        </w:rPr>
        <w:t>.</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Brownlees</w:t>
      </w:r>
      <w:proofErr w:type="spellEnd"/>
      <w:r w:rsidRPr="009D043A">
        <w:rPr>
          <w:rFonts w:ascii="Times New Roman" w:hAnsi="Times New Roman" w:cs="Times New Roman"/>
          <w:sz w:val="24"/>
          <w:szCs w:val="24"/>
          <w:lang w:val="en-US"/>
        </w:rPr>
        <w:t>, C.T., Engle, R.F., (2011), “Volatility, correlation and tails for systemic risk measurement”, Working Paper. Stern School of Business, New York University, New York, NY.</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lastRenderedPageBreak/>
        <w:t xml:space="preserve">Chan, N.M., </w:t>
      </w:r>
      <w:proofErr w:type="spellStart"/>
      <w:r w:rsidRPr="009D043A">
        <w:rPr>
          <w:rFonts w:ascii="Times New Roman" w:hAnsi="Times New Roman" w:cs="Times New Roman"/>
          <w:sz w:val="24"/>
          <w:szCs w:val="24"/>
          <w:lang w:val="en-US"/>
        </w:rPr>
        <w:t>Getmansky</w:t>
      </w:r>
      <w:proofErr w:type="spellEnd"/>
      <w:r w:rsidRPr="009D043A">
        <w:rPr>
          <w:rFonts w:ascii="Times New Roman" w:hAnsi="Times New Roman" w:cs="Times New Roman"/>
          <w:sz w:val="24"/>
          <w:szCs w:val="24"/>
          <w:lang w:val="en-US"/>
        </w:rPr>
        <w:t xml:space="preserve">, M., Haas, S.M., </w:t>
      </w:r>
      <w:proofErr w:type="spellStart"/>
      <w:r w:rsidRPr="009D043A">
        <w:rPr>
          <w:rFonts w:ascii="Times New Roman" w:hAnsi="Times New Roman" w:cs="Times New Roman"/>
          <w:sz w:val="24"/>
          <w:szCs w:val="24"/>
          <w:lang w:val="en-US"/>
        </w:rPr>
        <w:t>Lo</w:t>
      </w:r>
      <w:proofErr w:type="gramStart"/>
      <w:r w:rsidRPr="009D043A">
        <w:rPr>
          <w:rFonts w:ascii="Times New Roman" w:hAnsi="Times New Roman" w:cs="Times New Roman"/>
          <w:sz w:val="24"/>
          <w:szCs w:val="24"/>
          <w:lang w:val="en-US"/>
        </w:rPr>
        <w:t>,A.W</w:t>
      </w:r>
      <w:proofErr w:type="spellEnd"/>
      <w:proofErr w:type="gramEnd"/>
      <w:r w:rsidRPr="009D043A">
        <w:rPr>
          <w:rFonts w:ascii="Times New Roman" w:hAnsi="Times New Roman" w:cs="Times New Roman"/>
          <w:sz w:val="24"/>
          <w:szCs w:val="24"/>
          <w:lang w:val="en-US"/>
        </w:rPr>
        <w:t xml:space="preserve">., (2006), “Systemic risk and hedge funds” In: Carey, M., </w:t>
      </w:r>
      <w:proofErr w:type="spellStart"/>
      <w:r w:rsidRPr="009D043A">
        <w:rPr>
          <w:rFonts w:ascii="Times New Roman" w:hAnsi="Times New Roman" w:cs="Times New Roman"/>
          <w:sz w:val="24"/>
          <w:szCs w:val="24"/>
          <w:lang w:val="en-US"/>
        </w:rPr>
        <w:t>Stulz</w:t>
      </w:r>
      <w:proofErr w:type="spellEnd"/>
      <w:r w:rsidRPr="009D043A">
        <w:rPr>
          <w:rFonts w:ascii="Times New Roman" w:hAnsi="Times New Roman" w:cs="Times New Roman"/>
          <w:sz w:val="24"/>
          <w:szCs w:val="24"/>
          <w:lang w:val="en-US"/>
        </w:rPr>
        <w:t>, R.M. (Eds.), The Risks of Financial Institutions. University of Chicago Press, Chicago/London, 235–338.</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Chan-Lau, J., (2010), “Regulatory Capital Charges for Too-Connected-To-Fail Institutions: A Practical Proposal” IMF Working Paper 10/98.</w:t>
      </w:r>
    </w:p>
    <w:p w:rsidR="006078DE" w:rsidRPr="009D043A" w:rsidRDefault="006078DE" w:rsidP="009D043A">
      <w:pPr>
        <w:spacing w:line="240" w:lineRule="auto"/>
        <w:jc w:val="both"/>
        <w:rPr>
          <w:rFonts w:ascii="Times New Roman" w:hAnsi="Times New Roman" w:cs="Times New Roman"/>
          <w:sz w:val="24"/>
          <w:szCs w:val="24"/>
          <w:lang w:val="en-US"/>
        </w:rPr>
      </w:pPr>
    </w:p>
    <w:p w:rsidR="00950386" w:rsidRPr="009D043A" w:rsidRDefault="00950386"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De </w:t>
      </w:r>
      <w:proofErr w:type="spellStart"/>
      <w:r w:rsidRPr="009D043A">
        <w:rPr>
          <w:rFonts w:ascii="Times New Roman" w:hAnsi="Times New Roman" w:cs="Times New Roman"/>
          <w:sz w:val="24"/>
          <w:szCs w:val="24"/>
          <w:lang w:val="en-US"/>
        </w:rPr>
        <w:t>Bandt</w:t>
      </w:r>
      <w:proofErr w:type="spellEnd"/>
      <w:r w:rsidRPr="009D043A">
        <w:rPr>
          <w:rFonts w:ascii="Times New Roman" w:hAnsi="Times New Roman" w:cs="Times New Roman"/>
          <w:sz w:val="24"/>
          <w:szCs w:val="24"/>
          <w:lang w:val="en-US"/>
        </w:rPr>
        <w:t>, O., Hartmann, P. (2000), “Systemic Risk: A Survey”, European Central Bank Working Paper No. 35.</w:t>
      </w:r>
    </w:p>
    <w:p w:rsidR="0066528D" w:rsidRPr="009D043A" w:rsidRDefault="0066528D"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De </w:t>
      </w:r>
      <w:proofErr w:type="spellStart"/>
      <w:r w:rsidRPr="009D043A">
        <w:rPr>
          <w:rFonts w:ascii="Times New Roman" w:hAnsi="Times New Roman" w:cs="Times New Roman"/>
          <w:sz w:val="24"/>
          <w:szCs w:val="24"/>
          <w:lang w:val="en-US"/>
        </w:rPr>
        <w:t>Nicolò</w:t>
      </w:r>
      <w:proofErr w:type="spellEnd"/>
      <w:r w:rsidRPr="009D043A">
        <w:rPr>
          <w:rFonts w:ascii="Times New Roman" w:hAnsi="Times New Roman" w:cs="Times New Roman"/>
          <w:sz w:val="24"/>
          <w:szCs w:val="24"/>
          <w:lang w:val="en-US"/>
        </w:rPr>
        <w:t xml:space="preserve">, G., </w:t>
      </w:r>
      <w:proofErr w:type="spellStart"/>
      <w:r w:rsidRPr="009D043A">
        <w:rPr>
          <w:rFonts w:ascii="Times New Roman" w:hAnsi="Times New Roman" w:cs="Times New Roman"/>
          <w:sz w:val="24"/>
          <w:szCs w:val="24"/>
          <w:lang w:val="en-US"/>
        </w:rPr>
        <w:t>Lucchetta</w:t>
      </w:r>
      <w:proofErr w:type="spellEnd"/>
      <w:r w:rsidRPr="009D043A">
        <w:rPr>
          <w:rFonts w:ascii="Times New Roman" w:hAnsi="Times New Roman" w:cs="Times New Roman"/>
          <w:sz w:val="24"/>
          <w:szCs w:val="24"/>
          <w:lang w:val="en-US"/>
        </w:rPr>
        <w:t xml:space="preserve">, M. (2010), “Systemic Risks and the </w:t>
      </w:r>
      <w:proofErr w:type="spellStart"/>
      <w:r w:rsidRPr="009D043A">
        <w:rPr>
          <w:rFonts w:ascii="Times New Roman" w:hAnsi="Times New Roman" w:cs="Times New Roman"/>
          <w:sz w:val="24"/>
          <w:szCs w:val="24"/>
          <w:lang w:val="en-US"/>
        </w:rPr>
        <w:t>Macroeconomy</w:t>
      </w:r>
      <w:proofErr w:type="spellEnd"/>
      <w:r w:rsidRPr="009D043A">
        <w:rPr>
          <w:rFonts w:ascii="Times New Roman" w:hAnsi="Times New Roman" w:cs="Times New Roman"/>
          <w:sz w:val="24"/>
          <w:szCs w:val="24"/>
          <w:lang w:val="en-US"/>
        </w:rPr>
        <w:t>,” IMF Working Paper No. 10/29, International Monetary Fund.</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De </w:t>
      </w:r>
      <w:proofErr w:type="spellStart"/>
      <w:r w:rsidRPr="009D043A">
        <w:rPr>
          <w:rFonts w:ascii="Times New Roman" w:hAnsi="Times New Roman" w:cs="Times New Roman"/>
          <w:sz w:val="24"/>
          <w:szCs w:val="24"/>
          <w:lang w:val="en-US"/>
        </w:rPr>
        <w:t>Nicolo</w:t>
      </w:r>
      <w:proofErr w:type="spellEnd"/>
      <w:r w:rsidRPr="009D043A">
        <w:rPr>
          <w:rFonts w:ascii="Times New Roman" w:hAnsi="Times New Roman" w:cs="Times New Roman"/>
          <w:sz w:val="24"/>
          <w:szCs w:val="24"/>
          <w:lang w:val="en-US"/>
        </w:rPr>
        <w:t xml:space="preserve">, G., </w:t>
      </w:r>
      <w:proofErr w:type="spellStart"/>
      <w:r w:rsidRPr="009D043A">
        <w:rPr>
          <w:rFonts w:ascii="Times New Roman" w:hAnsi="Times New Roman" w:cs="Times New Roman"/>
          <w:sz w:val="24"/>
          <w:szCs w:val="24"/>
          <w:lang w:val="en-US"/>
        </w:rPr>
        <w:t>Kwast</w:t>
      </w:r>
      <w:proofErr w:type="spellEnd"/>
      <w:r w:rsidRPr="009D043A">
        <w:rPr>
          <w:rFonts w:ascii="Times New Roman" w:hAnsi="Times New Roman" w:cs="Times New Roman"/>
          <w:sz w:val="24"/>
          <w:szCs w:val="24"/>
          <w:lang w:val="en-US"/>
        </w:rPr>
        <w:t>, M., (2002), “Systemic risk and financial consolidation: are they related?</w:t>
      </w:r>
      <w:proofErr w:type="gramStart"/>
      <w:r w:rsidRPr="009D043A">
        <w:rPr>
          <w:rFonts w:ascii="Times New Roman" w:hAnsi="Times New Roman" w:cs="Times New Roman"/>
          <w:sz w:val="24"/>
          <w:szCs w:val="24"/>
          <w:lang w:val="en-US"/>
        </w:rPr>
        <w:t>”,</w:t>
      </w:r>
      <w:proofErr w:type="gramEnd"/>
      <w:r w:rsidRPr="009D043A">
        <w:rPr>
          <w:rFonts w:ascii="Times New Roman" w:hAnsi="Times New Roman" w:cs="Times New Roman"/>
          <w:sz w:val="24"/>
          <w:szCs w:val="24"/>
          <w:lang w:val="en-US"/>
        </w:rPr>
        <w:t xml:space="preserve"> Journal of Banking and Finance, 26, 861–880.</w:t>
      </w:r>
    </w:p>
    <w:p w:rsidR="00747141" w:rsidRPr="009D043A" w:rsidRDefault="00747141" w:rsidP="009D043A">
      <w:pPr>
        <w:spacing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Elsas</w:t>
      </w:r>
      <w:proofErr w:type="spellEnd"/>
      <w:r w:rsidRPr="009D043A">
        <w:rPr>
          <w:rFonts w:ascii="Times New Roman" w:hAnsi="Times New Roman" w:cs="Times New Roman"/>
          <w:sz w:val="24"/>
          <w:szCs w:val="24"/>
          <w:lang w:val="en-US"/>
        </w:rPr>
        <w:t xml:space="preserve">, R., </w:t>
      </w:r>
      <w:proofErr w:type="spellStart"/>
      <w:r w:rsidRPr="009D043A">
        <w:rPr>
          <w:rFonts w:ascii="Times New Roman" w:hAnsi="Times New Roman" w:cs="Times New Roman"/>
          <w:sz w:val="24"/>
          <w:szCs w:val="24"/>
          <w:lang w:val="en-US"/>
        </w:rPr>
        <w:t>Hackethal</w:t>
      </w:r>
      <w:proofErr w:type="spellEnd"/>
      <w:r w:rsidRPr="009D043A">
        <w:rPr>
          <w:rFonts w:ascii="Times New Roman" w:hAnsi="Times New Roman" w:cs="Times New Roman"/>
          <w:sz w:val="24"/>
          <w:szCs w:val="24"/>
          <w:lang w:val="en-US"/>
        </w:rPr>
        <w:t xml:space="preserve">, A., </w:t>
      </w:r>
      <w:proofErr w:type="spellStart"/>
      <w:r w:rsidRPr="009D043A">
        <w:rPr>
          <w:rFonts w:ascii="Times New Roman" w:hAnsi="Times New Roman" w:cs="Times New Roman"/>
          <w:sz w:val="24"/>
          <w:szCs w:val="24"/>
          <w:lang w:val="en-US"/>
        </w:rPr>
        <w:t>Holzhauser</w:t>
      </w:r>
      <w:proofErr w:type="spellEnd"/>
      <w:r w:rsidRPr="009D043A">
        <w:rPr>
          <w:rFonts w:ascii="Times New Roman" w:hAnsi="Times New Roman" w:cs="Times New Roman"/>
          <w:sz w:val="24"/>
          <w:szCs w:val="24"/>
          <w:lang w:val="en-US"/>
        </w:rPr>
        <w:t>, M.</w:t>
      </w:r>
      <w:proofErr w:type="gramStart"/>
      <w:r w:rsidRPr="009D043A">
        <w:rPr>
          <w:rFonts w:ascii="Times New Roman" w:hAnsi="Times New Roman" w:cs="Times New Roman"/>
          <w:sz w:val="24"/>
          <w:szCs w:val="24"/>
          <w:lang w:val="en-US"/>
        </w:rPr>
        <w:t>,(</w:t>
      </w:r>
      <w:proofErr w:type="gramEnd"/>
      <w:r w:rsidRPr="009D043A">
        <w:rPr>
          <w:rFonts w:ascii="Times New Roman" w:hAnsi="Times New Roman" w:cs="Times New Roman"/>
          <w:sz w:val="24"/>
          <w:szCs w:val="24"/>
          <w:lang w:val="en-US"/>
        </w:rPr>
        <w:t xml:space="preserve">2010), “The anatomy of bank diversification,” </w:t>
      </w:r>
      <w:r w:rsidRPr="009D043A">
        <w:rPr>
          <w:rFonts w:ascii="Times New Roman" w:hAnsi="Times New Roman" w:cs="Times New Roman"/>
          <w:iCs/>
          <w:sz w:val="24"/>
          <w:szCs w:val="24"/>
          <w:lang w:val="en-US"/>
        </w:rPr>
        <w:t>Journal of Banking and Finance</w:t>
      </w:r>
      <w:r w:rsidRPr="009D043A">
        <w:rPr>
          <w:rFonts w:ascii="Times New Roman" w:hAnsi="Times New Roman" w:cs="Times New Roman"/>
          <w:sz w:val="24"/>
          <w:szCs w:val="24"/>
          <w:lang w:val="en-US"/>
        </w:rPr>
        <w:t>, 34/6, 1274–1287.</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6528D" w:rsidRPr="009D043A" w:rsidRDefault="0066528D" w:rsidP="009D043A">
      <w:pPr>
        <w:spacing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Giesecke</w:t>
      </w:r>
      <w:proofErr w:type="spellEnd"/>
      <w:r w:rsidRPr="009D043A">
        <w:rPr>
          <w:rFonts w:ascii="Times New Roman" w:hAnsi="Times New Roman" w:cs="Times New Roman"/>
          <w:sz w:val="24"/>
          <w:szCs w:val="24"/>
          <w:lang w:val="en-US"/>
        </w:rPr>
        <w:t>, K., Kim, B. (2011), “Systemic Risk: What Defaults Are Telling Us,” Management Science, 57 (8), 1387–1405.</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Goodhart</w:t>
      </w:r>
      <w:proofErr w:type="spellEnd"/>
      <w:r w:rsidRPr="009D043A">
        <w:rPr>
          <w:rFonts w:ascii="Times New Roman" w:hAnsi="Times New Roman" w:cs="Times New Roman"/>
          <w:sz w:val="24"/>
          <w:szCs w:val="24"/>
          <w:lang w:val="en-US"/>
        </w:rPr>
        <w:t xml:space="preserve">, C., </w:t>
      </w:r>
      <w:proofErr w:type="spellStart"/>
      <w:r w:rsidRPr="009D043A">
        <w:rPr>
          <w:rFonts w:ascii="Times New Roman" w:hAnsi="Times New Roman" w:cs="Times New Roman"/>
          <w:sz w:val="24"/>
          <w:szCs w:val="24"/>
          <w:lang w:val="en-US"/>
        </w:rPr>
        <w:t>Sunirand</w:t>
      </w:r>
      <w:proofErr w:type="spellEnd"/>
      <w:r w:rsidRPr="009D043A">
        <w:rPr>
          <w:rFonts w:ascii="Times New Roman" w:hAnsi="Times New Roman" w:cs="Times New Roman"/>
          <w:sz w:val="24"/>
          <w:szCs w:val="24"/>
          <w:lang w:val="en-US"/>
        </w:rPr>
        <w:t xml:space="preserve">, P., </w:t>
      </w:r>
      <w:proofErr w:type="spellStart"/>
      <w:r w:rsidRPr="009D043A">
        <w:rPr>
          <w:rFonts w:ascii="Times New Roman" w:hAnsi="Times New Roman" w:cs="Times New Roman"/>
          <w:sz w:val="24"/>
          <w:szCs w:val="24"/>
          <w:lang w:val="en-US"/>
        </w:rPr>
        <w:t>Tsomocos</w:t>
      </w:r>
      <w:proofErr w:type="spellEnd"/>
      <w:r w:rsidRPr="009D043A">
        <w:rPr>
          <w:rFonts w:ascii="Times New Roman" w:hAnsi="Times New Roman" w:cs="Times New Roman"/>
          <w:sz w:val="24"/>
          <w:szCs w:val="24"/>
          <w:lang w:val="en-US"/>
        </w:rPr>
        <w:t xml:space="preserve">, D., (2005), “A Risk Assessment Model </w:t>
      </w:r>
      <w:proofErr w:type="gramStart"/>
      <w:r w:rsidRPr="009D043A">
        <w:rPr>
          <w:rFonts w:ascii="Times New Roman" w:hAnsi="Times New Roman" w:cs="Times New Roman"/>
          <w:sz w:val="24"/>
          <w:szCs w:val="24"/>
          <w:lang w:val="en-US"/>
        </w:rPr>
        <w:t>For</w:t>
      </w:r>
      <w:proofErr w:type="gramEnd"/>
      <w:r w:rsidRPr="009D043A">
        <w:rPr>
          <w:rFonts w:ascii="Times New Roman" w:hAnsi="Times New Roman" w:cs="Times New Roman"/>
          <w:sz w:val="24"/>
          <w:szCs w:val="24"/>
          <w:lang w:val="en-US"/>
        </w:rPr>
        <w:t xml:space="preserve"> Banks”, Annals of Finance, 1, 197–224.</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Goodhart</w:t>
      </w:r>
      <w:proofErr w:type="spellEnd"/>
      <w:r w:rsidRPr="009D043A">
        <w:rPr>
          <w:rFonts w:ascii="Times New Roman" w:hAnsi="Times New Roman" w:cs="Times New Roman"/>
          <w:sz w:val="24"/>
          <w:szCs w:val="24"/>
          <w:lang w:val="en-US"/>
        </w:rPr>
        <w:t xml:space="preserve">, C., </w:t>
      </w:r>
      <w:proofErr w:type="spellStart"/>
      <w:r w:rsidRPr="009D043A">
        <w:rPr>
          <w:rFonts w:ascii="Times New Roman" w:hAnsi="Times New Roman" w:cs="Times New Roman"/>
          <w:sz w:val="24"/>
          <w:szCs w:val="24"/>
          <w:lang w:val="en-US"/>
        </w:rPr>
        <w:t>Sunirand</w:t>
      </w:r>
      <w:proofErr w:type="spellEnd"/>
      <w:r w:rsidRPr="009D043A">
        <w:rPr>
          <w:rFonts w:ascii="Times New Roman" w:hAnsi="Times New Roman" w:cs="Times New Roman"/>
          <w:sz w:val="24"/>
          <w:szCs w:val="24"/>
          <w:lang w:val="en-US"/>
        </w:rPr>
        <w:t xml:space="preserve">, P., </w:t>
      </w:r>
      <w:proofErr w:type="spellStart"/>
      <w:r w:rsidRPr="009D043A">
        <w:rPr>
          <w:rFonts w:ascii="Times New Roman" w:hAnsi="Times New Roman" w:cs="Times New Roman"/>
          <w:sz w:val="24"/>
          <w:szCs w:val="24"/>
          <w:lang w:val="en-US"/>
        </w:rPr>
        <w:t>Tsomocos</w:t>
      </w:r>
      <w:proofErr w:type="spellEnd"/>
      <w:r w:rsidRPr="009D043A">
        <w:rPr>
          <w:rFonts w:ascii="Times New Roman" w:hAnsi="Times New Roman" w:cs="Times New Roman"/>
          <w:sz w:val="24"/>
          <w:szCs w:val="24"/>
          <w:lang w:val="en-US"/>
        </w:rPr>
        <w:t xml:space="preserve">, D., (2006), “A Model To </w:t>
      </w:r>
      <w:proofErr w:type="spellStart"/>
      <w:r w:rsidRPr="009D043A">
        <w:rPr>
          <w:rFonts w:ascii="Times New Roman" w:hAnsi="Times New Roman" w:cs="Times New Roman"/>
          <w:sz w:val="24"/>
          <w:szCs w:val="24"/>
          <w:lang w:val="en-US"/>
        </w:rPr>
        <w:t>Analyse</w:t>
      </w:r>
      <w:proofErr w:type="spellEnd"/>
      <w:r w:rsidRPr="009D043A">
        <w:rPr>
          <w:rFonts w:ascii="Times New Roman" w:hAnsi="Times New Roman" w:cs="Times New Roman"/>
          <w:sz w:val="24"/>
          <w:szCs w:val="24"/>
          <w:lang w:val="en-US"/>
        </w:rPr>
        <w:t xml:space="preserve"> Financial Fragility”. Economic Theory, 27, 107–142.</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E40518" w:rsidRPr="009D043A" w:rsidRDefault="00E40518" w:rsidP="009D043A">
      <w:pPr>
        <w:spacing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Gurbuz</w:t>
      </w:r>
      <w:proofErr w:type="spellEnd"/>
      <w:r w:rsidRPr="009D043A">
        <w:rPr>
          <w:rFonts w:ascii="Times New Roman" w:hAnsi="Times New Roman" w:cs="Times New Roman"/>
          <w:sz w:val="24"/>
          <w:szCs w:val="24"/>
          <w:lang w:val="en-US"/>
        </w:rPr>
        <w:t>,</w:t>
      </w:r>
      <w:r w:rsidR="00950386"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A.O., Y</w:t>
      </w:r>
      <w:r w:rsidR="00A12D0D" w:rsidRPr="009D043A">
        <w:rPr>
          <w:rFonts w:ascii="Times New Roman" w:hAnsi="Times New Roman" w:cs="Times New Roman"/>
          <w:sz w:val="24"/>
          <w:szCs w:val="24"/>
          <w:lang w:val="en-US"/>
        </w:rPr>
        <w:t>anik</w:t>
      </w:r>
      <w:proofErr w:type="gramStart"/>
      <w:r w:rsidRPr="009D043A">
        <w:rPr>
          <w:rFonts w:ascii="Times New Roman" w:hAnsi="Times New Roman" w:cs="Times New Roman"/>
          <w:sz w:val="24"/>
          <w:szCs w:val="24"/>
          <w:lang w:val="en-US"/>
        </w:rPr>
        <w:t>,S</w:t>
      </w:r>
      <w:proofErr w:type="gramEnd"/>
      <w:r w:rsidRPr="009D043A">
        <w:rPr>
          <w:rFonts w:ascii="Times New Roman" w:hAnsi="Times New Roman" w:cs="Times New Roman"/>
          <w:sz w:val="24"/>
          <w:szCs w:val="24"/>
          <w:lang w:val="en-US"/>
        </w:rPr>
        <w:t>.,</w:t>
      </w:r>
      <w:proofErr w:type="spellStart"/>
      <w:r w:rsidRPr="009D043A">
        <w:rPr>
          <w:rFonts w:ascii="Times New Roman" w:hAnsi="Times New Roman" w:cs="Times New Roman"/>
          <w:sz w:val="24"/>
          <w:szCs w:val="24"/>
          <w:lang w:val="en-US"/>
        </w:rPr>
        <w:t>A</w:t>
      </w:r>
      <w:r w:rsidR="00A12D0D" w:rsidRPr="009D043A">
        <w:rPr>
          <w:rFonts w:ascii="Times New Roman" w:hAnsi="Times New Roman" w:cs="Times New Roman"/>
          <w:sz w:val="24"/>
          <w:szCs w:val="24"/>
          <w:lang w:val="en-US"/>
        </w:rPr>
        <w:t>yturk</w:t>
      </w:r>
      <w:proofErr w:type="spellEnd"/>
      <w:r w:rsidRPr="009D043A">
        <w:rPr>
          <w:rFonts w:ascii="Times New Roman" w:hAnsi="Times New Roman" w:cs="Times New Roman"/>
          <w:sz w:val="24"/>
          <w:szCs w:val="24"/>
          <w:lang w:val="en-US"/>
        </w:rPr>
        <w:t>, Y.(2013), “</w:t>
      </w:r>
      <w:r w:rsidR="00482F96" w:rsidRPr="009D043A">
        <w:rPr>
          <w:rFonts w:ascii="Times New Roman" w:hAnsi="Times New Roman" w:cs="Times New Roman"/>
          <w:sz w:val="24"/>
          <w:szCs w:val="24"/>
          <w:lang w:val="en-US"/>
        </w:rPr>
        <w:t>Income Diversification and Bank Performance: Evidence From Turkish Banking Sector</w:t>
      </w:r>
      <w:r w:rsidRPr="009D043A">
        <w:rPr>
          <w:rFonts w:ascii="Times New Roman" w:hAnsi="Times New Roman" w:cs="Times New Roman"/>
          <w:sz w:val="24"/>
          <w:szCs w:val="24"/>
          <w:lang w:val="en-US"/>
        </w:rPr>
        <w:t>”</w:t>
      </w:r>
      <w:r w:rsidR="00482F96" w:rsidRPr="009D043A">
        <w:rPr>
          <w:rFonts w:ascii="Times New Roman" w:hAnsi="Times New Roman" w:cs="Times New Roman"/>
          <w:sz w:val="24"/>
          <w:szCs w:val="24"/>
          <w:lang w:val="en-US"/>
        </w:rPr>
        <w:t>,</w:t>
      </w:r>
      <w:hyperlink r:id="rId14" w:history="1">
        <w:r w:rsidRPr="009D043A">
          <w:rPr>
            <w:rFonts w:ascii="Times New Roman" w:hAnsi="Times New Roman" w:cs="Times New Roman"/>
            <w:sz w:val="24"/>
            <w:szCs w:val="24"/>
            <w:lang w:val="en-US"/>
          </w:rPr>
          <w:t xml:space="preserve"> BDDK </w:t>
        </w:r>
        <w:proofErr w:type="spellStart"/>
        <w:r w:rsidRPr="009D043A">
          <w:rPr>
            <w:rFonts w:ascii="Times New Roman" w:hAnsi="Times New Roman" w:cs="Times New Roman"/>
            <w:sz w:val="24"/>
            <w:szCs w:val="24"/>
            <w:lang w:val="en-US"/>
          </w:rPr>
          <w:t>Bankacılık</w:t>
        </w:r>
        <w:proofErr w:type="spell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ve</w:t>
        </w:r>
        <w:proofErr w:type="spell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Finansal</w:t>
        </w:r>
        <w:proofErr w:type="spell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Piyasalar</w:t>
        </w:r>
        <w:proofErr w:type="spellEnd"/>
        <w:r w:rsidRPr="009D043A">
          <w:rPr>
            <w:rFonts w:ascii="Times New Roman" w:hAnsi="Times New Roman" w:cs="Times New Roman"/>
            <w:sz w:val="24"/>
            <w:szCs w:val="24"/>
            <w:lang w:val="en-US"/>
          </w:rPr>
          <w:t xml:space="preserve"> - Cilt:7, Sayı:1, 2013</w:t>
        </w:r>
      </w:hyperlink>
      <w:r w:rsidR="00747141" w:rsidRPr="009D043A">
        <w:rPr>
          <w:rFonts w:ascii="Times New Roman" w:hAnsi="Times New Roman" w:cs="Times New Roman"/>
          <w:sz w:val="24"/>
          <w:szCs w:val="24"/>
          <w:lang w:val="en-US"/>
        </w:rPr>
        <w:t>.</w:t>
      </w: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Huang, X., Zhou, H., </w:t>
      </w:r>
      <w:proofErr w:type="spellStart"/>
      <w:r w:rsidRPr="009D043A">
        <w:rPr>
          <w:rFonts w:ascii="Times New Roman" w:hAnsi="Times New Roman" w:cs="Times New Roman"/>
          <w:sz w:val="24"/>
          <w:szCs w:val="24"/>
          <w:lang w:val="en-US"/>
        </w:rPr>
        <w:t>Haibin</w:t>
      </w:r>
      <w:proofErr w:type="spellEnd"/>
      <w:r w:rsidRPr="009D043A">
        <w:rPr>
          <w:rFonts w:ascii="Times New Roman" w:hAnsi="Times New Roman" w:cs="Times New Roman"/>
          <w:sz w:val="24"/>
          <w:szCs w:val="24"/>
          <w:lang w:val="en-US"/>
        </w:rPr>
        <w:t>, Z. (2009)</w:t>
      </w:r>
      <w:proofErr w:type="gramStart"/>
      <w:r w:rsidRPr="009D043A">
        <w:rPr>
          <w:rFonts w:ascii="Times New Roman" w:hAnsi="Times New Roman" w:cs="Times New Roman"/>
          <w:sz w:val="24"/>
          <w:szCs w:val="24"/>
          <w:lang w:val="en-US"/>
        </w:rPr>
        <w:t>,“</w:t>
      </w:r>
      <w:proofErr w:type="gramEnd"/>
      <w:r w:rsidRPr="009D043A">
        <w:rPr>
          <w:rFonts w:ascii="Times New Roman" w:hAnsi="Times New Roman" w:cs="Times New Roman"/>
          <w:sz w:val="24"/>
          <w:szCs w:val="24"/>
          <w:lang w:val="en-US"/>
        </w:rPr>
        <w:t xml:space="preserve">A Framework for Assessing the Systemic Risk of Major Financial Institutions”, Journal of Banking and Finance, 33 (11), 2036–2049. </w:t>
      </w: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Huang, X., Zhou, H., </w:t>
      </w:r>
      <w:proofErr w:type="spellStart"/>
      <w:r w:rsidRPr="009D043A">
        <w:rPr>
          <w:rFonts w:ascii="Times New Roman" w:hAnsi="Times New Roman" w:cs="Times New Roman"/>
          <w:sz w:val="24"/>
          <w:szCs w:val="24"/>
          <w:lang w:val="en-US"/>
        </w:rPr>
        <w:t>Haibin</w:t>
      </w:r>
      <w:proofErr w:type="spellEnd"/>
      <w:r w:rsidRPr="009D043A">
        <w:rPr>
          <w:rFonts w:ascii="Times New Roman" w:hAnsi="Times New Roman" w:cs="Times New Roman"/>
          <w:sz w:val="24"/>
          <w:szCs w:val="24"/>
          <w:lang w:val="en-US"/>
        </w:rPr>
        <w:t>, Z. (2010), “Assessing the Systemic Risk of a Heterogeneous Portfolio of Banks during the Recent Financial Crisis,” BIS Working Paper No. 296, Bank for International Settlements.</w:t>
      </w: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Huang, X., Zhou, H., </w:t>
      </w:r>
      <w:proofErr w:type="spellStart"/>
      <w:r w:rsidRPr="009D043A">
        <w:rPr>
          <w:rFonts w:ascii="Times New Roman" w:hAnsi="Times New Roman" w:cs="Times New Roman"/>
          <w:sz w:val="24"/>
          <w:szCs w:val="24"/>
          <w:lang w:val="en-US"/>
        </w:rPr>
        <w:t>Haibin</w:t>
      </w:r>
      <w:proofErr w:type="spellEnd"/>
      <w:r w:rsidRPr="009D043A">
        <w:rPr>
          <w:rFonts w:ascii="Times New Roman" w:hAnsi="Times New Roman" w:cs="Times New Roman"/>
          <w:sz w:val="24"/>
          <w:szCs w:val="24"/>
          <w:lang w:val="en-US"/>
        </w:rPr>
        <w:t>, Z. (2011), “Systemic Risk Contributions,” Finance and Economics Discussion Series, Federal Reserve Board.</w:t>
      </w:r>
    </w:p>
    <w:p w:rsidR="00950386" w:rsidRPr="009D043A" w:rsidRDefault="00950386" w:rsidP="009D043A">
      <w:pPr>
        <w:spacing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Ibragimov</w:t>
      </w:r>
      <w:proofErr w:type="spellEnd"/>
      <w:r w:rsidRPr="009D043A">
        <w:rPr>
          <w:rFonts w:ascii="Times New Roman" w:hAnsi="Times New Roman" w:cs="Times New Roman"/>
          <w:sz w:val="24"/>
          <w:szCs w:val="24"/>
          <w:lang w:val="en-US"/>
        </w:rPr>
        <w:t xml:space="preserve">, R., </w:t>
      </w:r>
      <w:proofErr w:type="spellStart"/>
      <w:r w:rsidRPr="009D043A">
        <w:rPr>
          <w:rFonts w:ascii="Times New Roman" w:hAnsi="Times New Roman" w:cs="Times New Roman"/>
          <w:sz w:val="24"/>
          <w:szCs w:val="24"/>
          <w:lang w:val="en-US"/>
        </w:rPr>
        <w:t>Jaffee</w:t>
      </w:r>
      <w:proofErr w:type="gramStart"/>
      <w:r w:rsidRPr="009D043A">
        <w:rPr>
          <w:rFonts w:ascii="Times New Roman" w:hAnsi="Times New Roman" w:cs="Times New Roman"/>
          <w:sz w:val="24"/>
          <w:szCs w:val="24"/>
          <w:lang w:val="en-US"/>
        </w:rPr>
        <w:t>,D</w:t>
      </w:r>
      <w:proofErr w:type="spellEnd"/>
      <w:proofErr w:type="gram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Walden,J</w:t>
      </w:r>
      <w:proofErr w:type="spellEnd"/>
      <w:r w:rsidRPr="009D043A">
        <w:rPr>
          <w:rFonts w:ascii="Times New Roman" w:hAnsi="Times New Roman" w:cs="Times New Roman"/>
          <w:sz w:val="24"/>
          <w:szCs w:val="24"/>
          <w:lang w:val="en-US"/>
        </w:rPr>
        <w:t>. (2011), “Diversification disasters”, Journal of Financial Economics, 99/ 2, 333–348.</w:t>
      </w:r>
    </w:p>
    <w:p w:rsidR="00747141" w:rsidRPr="009D043A" w:rsidRDefault="00747141" w:rsidP="009D043A">
      <w:pPr>
        <w:spacing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Illing</w:t>
      </w:r>
      <w:proofErr w:type="spellEnd"/>
      <w:r w:rsidRPr="009D043A">
        <w:rPr>
          <w:rFonts w:ascii="Times New Roman" w:hAnsi="Times New Roman" w:cs="Times New Roman"/>
          <w:sz w:val="24"/>
          <w:szCs w:val="24"/>
          <w:lang w:val="en-US"/>
        </w:rPr>
        <w:t xml:space="preserve">, M., Liu, Y., (2006), “Measuring Financial Stress </w:t>
      </w:r>
      <w:proofErr w:type="gramStart"/>
      <w:r w:rsidRPr="009D043A">
        <w:rPr>
          <w:rFonts w:ascii="Times New Roman" w:hAnsi="Times New Roman" w:cs="Times New Roman"/>
          <w:sz w:val="24"/>
          <w:szCs w:val="24"/>
          <w:lang w:val="en-US"/>
        </w:rPr>
        <w:t>In</w:t>
      </w:r>
      <w:proofErr w:type="gramEnd"/>
      <w:r w:rsidRPr="009D043A">
        <w:rPr>
          <w:rFonts w:ascii="Times New Roman" w:hAnsi="Times New Roman" w:cs="Times New Roman"/>
          <w:sz w:val="24"/>
          <w:szCs w:val="24"/>
          <w:lang w:val="en-US"/>
        </w:rPr>
        <w:t xml:space="preserve"> A Developed Country: An Application To Canada”, Journal of Financial Stability, 2, 243–265.</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Jorion</w:t>
      </w:r>
      <w:proofErr w:type="spellEnd"/>
      <w:r w:rsidRPr="009D043A">
        <w:rPr>
          <w:rFonts w:ascii="Times New Roman" w:hAnsi="Times New Roman" w:cs="Times New Roman"/>
          <w:sz w:val="24"/>
          <w:szCs w:val="24"/>
          <w:lang w:val="en-US"/>
        </w:rPr>
        <w:t xml:space="preserve">, P., (2006), “Bank trading risk and systemic </w:t>
      </w:r>
      <w:proofErr w:type="spellStart"/>
      <w:r w:rsidRPr="009D043A">
        <w:rPr>
          <w:rFonts w:ascii="Times New Roman" w:hAnsi="Times New Roman" w:cs="Times New Roman"/>
          <w:sz w:val="24"/>
          <w:szCs w:val="24"/>
          <w:lang w:val="en-US"/>
        </w:rPr>
        <w:t>risk”</w:t>
      </w:r>
      <w:proofErr w:type="gramStart"/>
      <w:r w:rsidRPr="009D043A">
        <w:rPr>
          <w:rFonts w:ascii="Times New Roman" w:hAnsi="Times New Roman" w:cs="Times New Roman"/>
          <w:sz w:val="24"/>
          <w:szCs w:val="24"/>
          <w:lang w:val="en-US"/>
        </w:rPr>
        <w:t>,In</w:t>
      </w:r>
      <w:proofErr w:type="spellEnd"/>
      <w:proofErr w:type="gramEnd"/>
      <w:r w:rsidRPr="009D043A">
        <w:rPr>
          <w:rFonts w:ascii="Times New Roman" w:hAnsi="Times New Roman" w:cs="Times New Roman"/>
          <w:sz w:val="24"/>
          <w:szCs w:val="24"/>
          <w:lang w:val="en-US"/>
        </w:rPr>
        <w:t>: The Risks of Financial Institutions. NBER.</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Kambhu</w:t>
      </w:r>
      <w:proofErr w:type="spellEnd"/>
      <w:r w:rsidRPr="009D043A">
        <w:rPr>
          <w:rFonts w:ascii="Times New Roman" w:hAnsi="Times New Roman" w:cs="Times New Roman"/>
          <w:sz w:val="24"/>
          <w:szCs w:val="24"/>
          <w:lang w:val="en-US"/>
        </w:rPr>
        <w:t>, J., Weidman, S., Krishnan, N., (2007), New Directions for Understanding Systemic Risk. National Academies Press.</w:t>
      </w: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22F0" w:rsidP="009D043A">
      <w:pPr>
        <w:autoSpaceDE w:val="0"/>
        <w:autoSpaceDN w:val="0"/>
        <w:adjustRightInd w:val="0"/>
        <w:spacing w:after="0" w:line="240" w:lineRule="auto"/>
        <w:jc w:val="both"/>
        <w:rPr>
          <w:rFonts w:ascii="Times New Roman" w:hAnsi="Times New Roman" w:cs="Times New Roman"/>
          <w:sz w:val="24"/>
          <w:szCs w:val="24"/>
          <w:lang w:val="en-US"/>
        </w:rPr>
      </w:pPr>
      <w:hyperlink r:id="rId15" w:history="1">
        <w:proofErr w:type="spellStart"/>
        <w:r w:rsidR="00950386" w:rsidRPr="009D043A">
          <w:rPr>
            <w:rFonts w:ascii="Times New Roman" w:hAnsi="Times New Roman" w:cs="Times New Roman"/>
            <w:sz w:val="24"/>
            <w:szCs w:val="24"/>
            <w:lang w:val="en-US"/>
          </w:rPr>
          <w:t>Kuzubaş</w:t>
        </w:r>
        <w:proofErr w:type="spellEnd"/>
      </w:hyperlink>
      <w:r w:rsidR="00950386" w:rsidRPr="009D043A">
        <w:rPr>
          <w:rFonts w:ascii="Times New Roman" w:hAnsi="Times New Roman" w:cs="Times New Roman"/>
          <w:sz w:val="24"/>
          <w:szCs w:val="24"/>
          <w:lang w:val="en-US"/>
        </w:rPr>
        <w:t>, T.U. , </w:t>
      </w:r>
      <w:proofErr w:type="spellStart"/>
      <w:r w:rsidR="00950386" w:rsidRPr="009D043A">
        <w:rPr>
          <w:rFonts w:ascii="Times New Roman" w:hAnsi="Times New Roman" w:cs="Times New Roman"/>
          <w:sz w:val="24"/>
          <w:szCs w:val="24"/>
          <w:lang w:val="en-US"/>
        </w:rPr>
        <w:fldChar w:fldCharType="begin"/>
      </w:r>
      <w:r w:rsidR="00950386" w:rsidRPr="009D043A">
        <w:rPr>
          <w:rFonts w:ascii="Times New Roman" w:hAnsi="Times New Roman" w:cs="Times New Roman"/>
          <w:sz w:val="24"/>
          <w:szCs w:val="24"/>
          <w:lang w:val="en-US"/>
        </w:rPr>
        <w:instrText xml:space="preserve"> HYPERLINK "http://www.sciencedirect.com/science/article/pii/S0378437114002003" </w:instrText>
      </w:r>
      <w:r w:rsidR="00950386" w:rsidRPr="009D043A">
        <w:rPr>
          <w:rFonts w:ascii="Times New Roman" w:hAnsi="Times New Roman" w:cs="Times New Roman"/>
          <w:sz w:val="24"/>
          <w:szCs w:val="24"/>
          <w:lang w:val="en-US"/>
        </w:rPr>
        <w:fldChar w:fldCharType="separate"/>
      </w:r>
      <w:r w:rsidR="00950386" w:rsidRPr="009D043A">
        <w:rPr>
          <w:rFonts w:ascii="Times New Roman" w:hAnsi="Times New Roman" w:cs="Times New Roman"/>
          <w:sz w:val="24"/>
          <w:szCs w:val="24"/>
          <w:lang w:val="en-US"/>
        </w:rPr>
        <w:t>Ömercikoğlu</w:t>
      </w:r>
      <w:proofErr w:type="spellEnd"/>
      <w:r w:rsidR="00950386" w:rsidRPr="009D043A">
        <w:rPr>
          <w:rFonts w:ascii="Times New Roman" w:hAnsi="Times New Roman" w:cs="Times New Roman"/>
          <w:sz w:val="24"/>
          <w:szCs w:val="24"/>
          <w:lang w:val="en-US"/>
        </w:rPr>
        <w:fldChar w:fldCharType="end"/>
      </w:r>
      <w:r w:rsidR="00950386" w:rsidRPr="009D043A">
        <w:rPr>
          <w:rFonts w:ascii="Times New Roman" w:hAnsi="Times New Roman" w:cs="Times New Roman"/>
          <w:sz w:val="24"/>
          <w:szCs w:val="24"/>
          <w:lang w:val="en-US"/>
        </w:rPr>
        <w:t>, İ., </w:t>
      </w:r>
      <w:proofErr w:type="spellStart"/>
      <w:r w:rsidR="00950386" w:rsidRPr="009D043A">
        <w:rPr>
          <w:rFonts w:ascii="Times New Roman" w:hAnsi="Times New Roman" w:cs="Times New Roman"/>
          <w:sz w:val="24"/>
          <w:szCs w:val="24"/>
          <w:lang w:val="en-US"/>
        </w:rPr>
        <w:fldChar w:fldCharType="begin"/>
      </w:r>
      <w:r w:rsidR="00950386" w:rsidRPr="009D043A">
        <w:rPr>
          <w:rFonts w:ascii="Times New Roman" w:hAnsi="Times New Roman" w:cs="Times New Roman"/>
          <w:sz w:val="24"/>
          <w:szCs w:val="24"/>
          <w:lang w:val="en-US"/>
        </w:rPr>
        <w:instrText xml:space="preserve"> HYPERLINK "http://www.sciencedirect.com/science/article/pii/S0378437114002003" </w:instrText>
      </w:r>
      <w:r w:rsidR="00950386" w:rsidRPr="009D043A">
        <w:rPr>
          <w:rFonts w:ascii="Times New Roman" w:hAnsi="Times New Roman" w:cs="Times New Roman"/>
          <w:sz w:val="24"/>
          <w:szCs w:val="24"/>
          <w:lang w:val="en-US"/>
        </w:rPr>
        <w:fldChar w:fldCharType="separate"/>
      </w:r>
      <w:r w:rsidR="00950386" w:rsidRPr="009D043A">
        <w:rPr>
          <w:rFonts w:ascii="Times New Roman" w:hAnsi="Times New Roman" w:cs="Times New Roman"/>
          <w:sz w:val="24"/>
          <w:szCs w:val="24"/>
          <w:lang w:val="en-US"/>
        </w:rPr>
        <w:t>Saltoğlu</w:t>
      </w:r>
      <w:proofErr w:type="spellEnd"/>
      <w:r w:rsidR="00950386" w:rsidRPr="009D043A">
        <w:rPr>
          <w:rFonts w:ascii="Times New Roman" w:hAnsi="Times New Roman" w:cs="Times New Roman"/>
          <w:sz w:val="24"/>
          <w:szCs w:val="24"/>
          <w:lang w:val="en-US"/>
        </w:rPr>
        <w:fldChar w:fldCharType="end"/>
      </w:r>
      <w:r w:rsidR="00950386" w:rsidRPr="009D043A">
        <w:rPr>
          <w:rFonts w:ascii="Times New Roman" w:hAnsi="Times New Roman" w:cs="Times New Roman"/>
          <w:sz w:val="24"/>
          <w:szCs w:val="24"/>
          <w:lang w:val="en-US"/>
        </w:rPr>
        <w:t xml:space="preserve">, B. (2014), “Network Centrality Measures And Systemic Risk: An Application To The Turkish Financial Crisis”, </w:t>
      </w:r>
      <w:hyperlink r:id="rId16" w:tooltip="Go to Physica A: Statistical Mechanics and its Applications on ScienceDirect" w:history="1">
        <w:proofErr w:type="spellStart"/>
        <w:r w:rsidR="00950386" w:rsidRPr="009D043A">
          <w:rPr>
            <w:rFonts w:ascii="Times New Roman" w:hAnsi="Times New Roman" w:cs="Times New Roman"/>
            <w:sz w:val="24"/>
            <w:szCs w:val="24"/>
            <w:lang w:val="en-US"/>
          </w:rPr>
          <w:t>Physica</w:t>
        </w:r>
        <w:proofErr w:type="spellEnd"/>
        <w:r w:rsidR="00950386" w:rsidRPr="009D043A">
          <w:rPr>
            <w:rFonts w:ascii="Times New Roman" w:hAnsi="Times New Roman" w:cs="Times New Roman"/>
            <w:sz w:val="24"/>
            <w:szCs w:val="24"/>
            <w:lang w:val="en-US"/>
          </w:rPr>
          <w:t xml:space="preserve"> A: Statistical Mechanics and its Applications</w:t>
        </w:r>
      </w:hyperlink>
      <w:r w:rsidR="00950386" w:rsidRPr="009D043A">
        <w:rPr>
          <w:rFonts w:ascii="Times New Roman" w:hAnsi="Times New Roman" w:cs="Times New Roman"/>
          <w:sz w:val="24"/>
          <w:szCs w:val="24"/>
          <w:lang w:val="en-US"/>
        </w:rPr>
        <w:t xml:space="preserve">, </w:t>
      </w:r>
      <w:hyperlink r:id="rId17" w:tooltip="Go to table of contents for this volume/issue" w:history="1">
        <w:r w:rsidR="00950386" w:rsidRPr="009D043A">
          <w:rPr>
            <w:rFonts w:ascii="Times New Roman" w:hAnsi="Times New Roman" w:cs="Times New Roman"/>
            <w:sz w:val="24"/>
            <w:szCs w:val="24"/>
            <w:lang w:val="en-US"/>
          </w:rPr>
          <w:t>405</w:t>
        </w:r>
      </w:hyperlink>
      <w:r w:rsidR="00950386" w:rsidRPr="009D043A">
        <w:rPr>
          <w:rFonts w:ascii="Times New Roman" w:hAnsi="Times New Roman" w:cs="Times New Roman"/>
          <w:sz w:val="24"/>
          <w:szCs w:val="24"/>
          <w:lang w:val="en-US"/>
        </w:rPr>
        <w:t>, 203–215.</w:t>
      </w: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Laeven</w:t>
      </w:r>
      <w:proofErr w:type="spellEnd"/>
      <w:r w:rsidRPr="009D043A">
        <w:rPr>
          <w:rFonts w:ascii="Times New Roman" w:hAnsi="Times New Roman" w:cs="Times New Roman"/>
          <w:sz w:val="24"/>
          <w:szCs w:val="24"/>
          <w:lang w:val="en-US"/>
        </w:rPr>
        <w:t xml:space="preserve">, L., Levine, R. (2007), “Is there a diversification discount in financial conglomerates?” </w:t>
      </w:r>
      <w:r w:rsidRPr="009D043A">
        <w:rPr>
          <w:rFonts w:ascii="Times New Roman" w:hAnsi="Times New Roman" w:cs="Times New Roman"/>
          <w:iCs/>
          <w:sz w:val="24"/>
          <w:szCs w:val="24"/>
          <w:lang w:val="en-US"/>
        </w:rPr>
        <w:t>Journal of Financial Economics</w:t>
      </w:r>
      <w:r w:rsidRPr="009D043A">
        <w:rPr>
          <w:rFonts w:ascii="Times New Roman" w:hAnsi="Times New Roman" w:cs="Times New Roman"/>
          <w:sz w:val="24"/>
          <w:szCs w:val="24"/>
          <w:lang w:val="en-US"/>
        </w:rPr>
        <w:t>, 85/2, 331–367.</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Lehar, A., (2005), “Measuring Systemic Risk: A Risk Management Approach”, Journal of Banking and Finance, 29, 2577–2603.</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Li</w:t>
      </w:r>
      <w:proofErr w:type="gramStart"/>
      <w:r w:rsidRPr="009D043A">
        <w:rPr>
          <w:rFonts w:ascii="Times New Roman" w:hAnsi="Times New Roman" w:cs="Times New Roman"/>
          <w:sz w:val="24"/>
          <w:szCs w:val="24"/>
          <w:lang w:val="en-US"/>
        </w:rPr>
        <w:t>,S</w:t>
      </w:r>
      <w:proofErr w:type="spellEnd"/>
      <w:proofErr w:type="gramEnd"/>
      <w:r w:rsidRPr="009D043A">
        <w:rPr>
          <w:rFonts w:ascii="Times New Roman" w:hAnsi="Times New Roman" w:cs="Times New Roman"/>
          <w:sz w:val="24"/>
          <w:szCs w:val="24"/>
          <w:lang w:val="en-US"/>
        </w:rPr>
        <w:t xml:space="preserve">., (2016), “Does Diversification Affect Banking Systemic Risk?”, Discrete Dynamics in Nature and Society, </w:t>
      </w:r>
      <w:proofErr w:type="spellStart"/>
      <w:r w:rsidRPr="009D043A">
        <w:rPr>
          <w:rFonts w:ascii="Times New Roman" w:hAnsi="Times New Roman" w:cs="Times New Roman"/>
          <w:sz w:val="24"/>
          <w:szCs w:val="24"/>
          <w:lang w:val="en-US"/>
        </w:rPr>
        <w:t>Artcle</w:t>
      </w:r>
      <w:proofErr w:type="spellEnd"/>
      <w:r w:rsidRPr="009D043A">
        <w:rPr>
          <w:rFonts w:ascii="Times New Roman" w:hAnsi="Times New Roman" w:cs="Times New Roman"/>
          <w:sz w:val="24"/>
          <w:szCs w:val="24"/>
          <w:lang w:val="en-US"/>
        </w:rPr>
        <w:t xml:space="preserve"> ID 2967830.</w:t>
      </w:r>
    </w:p>
    <w:p w:rsidR="00482F96" w:rsidRPr="009D043A" w:rsidRDefault="00482F96"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047484"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Mercieca</w:t>
      </w:r>
      <w:proofErr w:type="spellEnd"/>
      <w:r w:rsidRPr="009D043A">
        <w:rPr>
          <w:rFonts w:ascii="Times New Roman" w:hAnsi="Times New Roman" w:cs="Times New Roman"/>
          <w:sz w:val="24"/>
          <w:szCs w:val="24"/>
          <w:lang w:val="en-US"/>
        </w:rPr>
        <w:t>, S</w:t>
      </w:r>
      <w:r w:rsidR="00DD0BB2"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Schaeck</w:t>
      </w:r>
      <w:proofErr w:type="spellEnd"/>
      <w:r w:rsidR="00DD0BB2" w:rsidRPr="009D043A">
        <w:rPr>
          <w:rFonts w:ascii="Times New Roman" w:hAnsi="Times New Roman" w:cs="Times New Roman"/>
          <w:sz w:val="24"/>
          <w:szCs w:val="24"/>
          <w:lang w:val="en-US"/>
        </w:rPr>
        <w:t>, K.</w:t>
      </w:r>
      <w:r w:rsidRPr="009D043A">
        <w:rPr>
          <w:rFonts w:ascii="Times New Roman" w:hAnsi="Times New Roman" w:cs="Times New Roman"/>
          <w:sz w:val="24"/>
          <w:szCs w:val="24"/>
          <w:lang w:val="en-US"/>
        </w:rPr>
        <w:t xml:space="preserve"> and Wolfe</w:t>
      </w:r>
      <w:r w:rsidR="00DD0BB2" w:rsidRPr="009D043A">
        <w:rPr>
          <w:rFonts w:ascii="Times New Roman" w:hAnsi="Times New Roman" w:cs="Times New Roman"/>
          <w:sz w:val="24"/>
          <w:szCs w:val="24"/>
          <w:lang w:val="en-US"/>
        </w:rPr>
        <w:t>, S.</w:t>
      </w:r>
      <w:r w:rsidRPr="009D043A">
        <w:rPr>
          <w:rFonts w:ascii="Times New Roman" w:hAnsi="Times New Roman" w:cs="Times New Roman"/>
          <w:sz w:val="24"/>
          <w:szCs w:val="24"/>
          <w:lang w:val="en-US"/>
        </w:rPr>
        <w:t xml:space="preserve"> (2007), “Small European Banks: Benefits from Diversification</w:t>
      </w:r>
      <w:proofErr w:type="gramStart"/>
      <w:r w:rsidRPr="009D043A">
        <w:rPr>
          <w:rFonts w:ascii="Times New Roman" w:hAnsi="Times New Roman" w:cs="Times New Roman"/>
          <w:sz w:val="24"/>
          <w:szCs w:val="24"/>
          <w:lang w:val="en-US"/>
        </w:rPr>
        <w:t>?,</w:t>
      </w:r>
      <w:proofErr w:type="gramEnd"/>
      <w:r w:rsidRPr="009D043A">
        <w:rPr>
          <w:rFonts w:ascii="Times New Roman" w:hAnsi="Times New Roman" w:cs="Times New Roman"/>
          <w:sz w:val="24"/>
          <w:szCs w:val="24"/>
          <w:lang w:val="en-US"/>
        </w:rPr>
        <w:t>” Journal of Banking and Finance, 31, 1975-1998.</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Morales, M.A., Estrada, D., (2010), “A financial stability index for Columbia”, Annals of Finance, 6 (4), 555–581.</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Morgan, D.P., Katherine S., (2003), “Geographic Diversification in Banking and its Implication for Bank Portfolio Choice and Performance”, Working Paper, Federal Reserve Bank of New York.</w:t>
      </w:r>
    </w:p>
    <w:p w:rsidR="00747141" w:rsidRPr="009D043A" w:rsidRDefault="00747141" w:rsidP="009D043A">
      <w:pPr>
        <w:spacing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Patro</w:t>
      </w:r>
      <w:proofErr w:type="spellEnd"/>
      <w:r w:rsidRPr="009D043A">
        <w:rPr>
          <w:rFonts w:ascii="Times New Roman" w:hAnsi="Times New Roman" w:cs="Times New Roman"/>
          <w:sz w:val="24"/>
          <w:szCs w:val="24"/>
          <w:lang w:val="en-US"/>
        </w:rPr>
        <w:t>, D. K., Qi, M. and Sun, X., (2013), “A Simple Indicator of Systemic Risk”, Journal of Financial Stability, Journal of Financial Stability, 9, 105–116.</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Rochet, J.C., </w:t>
      </w:r>
      <w:proofErr w:type="spellStart"/>
      <w:r w:rsidRPr="009D043A">
        <w:rPr>
          <w:rFonts w:ascii="Times New Roman" w:hAnsi="Times New Roman" w:cs="Times New Roman"/>
          <w:sz w:val="24"/>
          <w:szCs w:val="24"/>
          <w:lang w:val="en-US"/>
        </w:rPr>
        <w:t>Tirole</w:t>
      </w:r>
      <w:proofErr w:type="spellEnd"/>
      <w:r w:rsidRPr="009D043A">
        <w:rPr>
          <w:rFonts w:ascii="Times New Roman" w:hAnsi="Times New Roman" w:cs="Times New Roman"/>
          <w:sz w:val="24"/>
          <w:szCs w:val="24"/>
          <w:lang w:val="en-US"/>
        </w:rPr>
        <w:t>, J., (1996), “Interbank Lending and Systemic Risk”, Journal of Money, Credit and Banking, 28, 733–762.</w:t>
      </w:r>
    </w:p>
    <w:p w:rsidR="00747141" w:rsidRPr="009D043A" w:rsidRDefault="00747141"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Saldıas</w:t>
      </w:r>
      <w:proofErr w:type="spellEnd"/>
      <w:r w:rsidRPr="009D043A">
        <w:rPr>
          <w:rFonts w:ascii="Times New Roman" w:hAnsi="Times New Roman" w:cs="Times New Roman"/>
          <w:sz w:val="24"/>
          <w:szCs w:val="24"/>
          <w:lang w:val="en-US"/>
        </w:rPr>
        <w:t xml:space="preserve">, M., (2013), “Systemic risk analysis using forward-looking distance-to-default series, </w:t>
      </w:r>
      <w:r w:rsidRPr="009D043A">
        <w:rPr>
          <w:rFonts w:ascii="Times New Roman" w:hAnsi="Times New Roman" w:cs="Times New Roman"/>
          <w:iCs/>
          <w:sz w:val="24"/>
          <w:szCs w:val="24"/>
          <w:lang w:val="en-US"/>
        </w:rPr>
        <w:t>Journal of Financial Stability</w:t>
      </w:r>
      <w:r w:rsidRPr="009D043A">
        <w:rPr>
          <w:rFonts w:ascii="Times New Roman" w:hAnsi="Times New Roman" w:cs="Times New Roman"/>
          <w:sz w:val="24"/>
          <w:szCs w:val="24"/>
          <w:lang w:val="en-US"/>
        </w:rPr>
        <w:t>, 9/ 4, 498–517.</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Segoviano</w:t>
      </w:r>
      <w:proofErr w:type="spellEnd"/>
      <w:r w:rsidRPr="009D043A">
        <w:rPr>
          <w:rFonts w:ascii="Times New Roman" w:hAnsi="Times New Roman" w:cs="Times New Roman"/>
          <w:sz w:val="24"/>
          <w:szCs w:val="24"/>
          <w:lang w:val="en-US"/>
        </w:rPr>
        <w:t xml:space="preserve">, M.A., </w:t>
      </w:r>
      <w:proofErr w:type="spellStart"/>
      <w:r w:rsidRPr="009D043A">
        <w:rPr>
          <w:rFonts w:ascii="Times New Roman" w:hAnsi="Times New Roman" w:cs="Times New Roman"/>
          <w:sz w:val="24"/>
          <w:szCs w:val="24"/>
          <w:lang w:val="en-US"/>
        </w:rPr>
        <w:t>Goodhart</w:t>
      </w:r>
      <w:proofErr w:type="spellEnd"/>
      <w:r w:rsidRPr="009D043A">
        <w:rPr>
          <w:rFonts w:ascii="Times New Roman" w:hAnsi="Times New Roman" w:cs="Times New Roman"/>
          <w:sz w:val="24"/>
          <w:szCs w:val="24"/>
          <w:lang w:val="en-US"/>
        </w:rPr>
        <w:t xml:space="preserve">, C.A.H., (2009) “Banking Stability Measures,” IMF Working Paper No. 09/04. </w:t>
      </w: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Shaffer</w:t>
      </w:r>
      <w:proofErr w:type="gramStart"/>
      <w:r w:rsidRPr="009D043A">
        <w:rPr>
          <w:rFonts w:ascii="Times New Roman" w:hAnsi="Times New Roman" w:cs="Times New Roman"/>
          <w:sz w:val="24"/>
          <w:szCs w:val="24"/>
          <w:lang w:val="en-US"/>
        </w:rPr>
        <w:t>,S</w:t>
      </w:r>
      <w:proofErr w:type="spellEnd"/>
      <w:proofErr w:type="gramEnd"/>
      <w:r w:rsidRPr="009D043A">
        <w:rPr>
          <w:rFonts w:ascii="Times New Roman" w:hAnsi="Times New Roman" w:cs="Times New Roman"/>
          <w:sz w:val="24"/>
          <w:szCs w:val="24"/>
          <w:lang w:val="en-US"/>
        </w:rPr>
        <w:t xml:space="preserve">., (1994),  “Pooling intensifies joint failure risk,” </w:t>
      </w:r>
      <w:r w:rsidRPr="009D043A">
        <w:rPr>
          <w:rFonts w:ascii="Times New Roman" w:hAnsi="Times New Roman" w:cs="Times New Roman"/>
          <w:iCs/>
          <w:sz w:val="24"/>
          <w:szCs w:val="24"/>
          <w:lang w:val="en-US"/>
        </w:rPr>
        <w:t>Research in Financial Services</w:t>
      </w:r>
      <w:r w:rsidRPr="009D043A">
        <w:rPr>
          <w:rFonts w:ascii="Times New Roman" w:hAnsi="Times New Roman" w:cs="Times New Roman"/>
          <w:sz w:val="24"/>
          <w:szCs w:val="24"/>
          <w:lang w:val="en-US"/>
        </w:rPr>
        <w:t>, 6, 249–280.</w:t>
      </w:r>
    </w:p>
    <w:p w:rsidR="0066528D" w:rsidRPr="009D043A" w:rsidRDefault="0066528D" w:rsidP="009D043A">
      <w:pPr>
        <w:spacing w:line="240" w:lineRule="auto"/>
        <w:jc w:val="both"/>
        <w:rPr>
          <w:rFonts w:ascii="Times New Roman" w:hAnsi="Times New Roman" w:cs="Times New Roman"/>
          <w:sz w:val="24"/>
          <w:szCs w:val="24"/>
          <w:lang w:val="en-US"/>
        </w:rPr>
      </w:pPr>
    </w:p>
    <w:p w:rsidR="0066528D" w:rsidRPr="009D043A" w:rsidRDefault="0066528D" w:rsidP="009D043A">
      <w:pPr>
        <w:spacing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Shleifer, A., </w:t>
      </w:r>
      <w:proofErr w:type="spellStart"/>
      <w:r w:rsidRPr="009D043A">
        <w:rPr>
          <w:rFonts w:ascii="Times New Roman" w:hAnsi="Times New Roman" w:cs="Times New Roman"/>
          <w:sz w:val="24"/>
          <w:szCs w:val="24"/>
          <w:lang w:val="en-US"/>
        </w:rPr>
        <w:t>Vishny</w:t>
      </w:r>
      <w:proofErr w:type="spellEnd"/>
      <w:r w:rsidRPr="009D043A">
        <w:rPr>
          <w:rFonts w:ascii="Times New Roman" w:hAnsi="Times New Roman" w:cs="Times New Roman"/>
          <w:sz w:val="24"/>
          <w:szCs w:val="24"/>
          <w:lang w:val="en-US"/>
        </w:rPr>
        <w:t xml:space="preserve">, R.W., (2010), “Unstable banking”, </w:t>
      </w:r>
      <w:r w:rsidRPr="009D043A">
        <w:rPr>
          <w:rFonts w:ascii="Times New Roman" w:hAnsi="Times New Roman" w:cs="Times New Roman"/>
          <w:iCs/>
          <w:sz w:val="24"/>
          <w:szCs w:val="24"/>
          <w:lang w:val="en-US"/>
        </w:rPr>
        <w:t xml:space="preserve">Journal of Financial Economics, </w:t>
      </w:r>
      <w:r w:rsidRPr="009D043A">
        <w:rPr>
          <w:rFonts w:ascii="Times New Roman" w:hAnsi="Times New Roman" w:cs="Times New Roman"/>
          <w:sz w:val="24"/>
          <w:szCs w:val="24"/>
          <w:lang w:val="en-US"/>
        </w:rPr>
        <w:t>97 (3), 306–318.</w:t>
      </w: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Singh</w:t>
      </w:r>
      <w:proofErr w:type="gramStart"/>
      <w:r w:rsidRPr="009D043A">
        <w:rPr>
          <w:rFonts w:ascii="Times New Roman" w:hAnsi="Times New Roman" w:cs="Times New Roman"/>
          <w:sz w:val="24"/>
          <w:szCs w:val="24"/>
          <w:lang w:val="en-US"/>
        </w:rPr>
        <w:t>,M</w:t>
      </w:r>
      <w:proofErr w:type="spellEnd"/>
      <w:proofErr w:type="gramEnd"/>
      <w:r w:rsidRPr="009D043A">
        <w:rPr>
          <w:rFonts w:ascii="Times New Roman" w:hAnsi="Times New Roman" w:cs="Times New Roman"/>
          <w:sz w:val="24"/>
          <w:szCs w:val="24"/>
          <w:lang w:val="en-US"/>
        </w:rPr>
        <w:t>. K.,  Gomez-</w:t>
      </w:r>
      <w:proofErr w:type="spellStart"/>
      <w:r w:rsidRPr="009D043A">
        <w:rPr>
          <w:rFonts w:ascii="Times New Roman" w:hAnsi="Times New Roman" w:cs="Times New Roman"/>
          <w:sz w:val="24"/>
          <w:szCs w:val="24"/>
          <w:lang w:val="en-US"/>
        </w:rPr>
        <w:t>Puig</w:t>
      </w:r>
      <w:proofErr w:type="spellEnd"/>
      <w:r w:rsidRPr="009D043A">
        <w:rPr>
          <w:rFonts w:ascii="Times New Roman" w:hAnsi="Times New Roman" w:cs="Times New Roman"/>
          <w:sz w:val="24"/>
          <w:szCs w:val="24"/>
          <w:lang w:val="en-US"/>
        </w:rPr>
        <w:t xml:space="preserve">, M., </w:t>
      </w:r>
      <w:proofErr w:type="spellStart"/>
      <w:r w:rsidRPr="009D043A">
        <w:rPr>
          <w:rFonts w:ascii="Times New Roman" w:hAnsi="Times New Roman" w:cs="Times New Roman"/>
          <w:sz w:val="24"/>
          <w:szCs w:val="24"/>
          <w:lang w:val="en-US"/>
        </w:rPr>
        <w:t>Sosvilla</w:t>
      </w:r>
      <w:proofErr w:type="spell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Rivero</w:t>
      </w:r>
      <w:proofErr w:type="spellEnd"/>
      <w:r w:rsidRPr="009D043A">
        <w:rPr>
          <w:rFonts w:ascii="Times New Roman" w:hAnsi="Times New Roman" w:cs="Times New Roman"/>
          <w:sz w:val="24"/>
          <w:szCs w:val="24"/>
          <w:lang w:val="en-US"/>
        </w:rPr>
        <w:t xml:space="preserve">, S. (2014)  </w:t>
      </w:r>
      <w:r w:rsidRPr="009D043A">
        <w:rPr>
          <w:rFonts w:ascii="Times New Roman" w:hAnsi="Times New Roman" w:cs="Times New Roman"/>
          <w:i/>
          <w:iCs/>
          <w:sz w:val="24"/>
          <w:szCs w:val="24"/>
          <w:lang w:val="en-US"/>
        </w:rPr>
        <w:t>Forward Looking Banking Stress in EMU Countries</w:t>
      </w:r>
      <w:r w:rsidRPr="009D043A">
        <w:rPr>
          <w:rFonts w:ascii="Times New Roman" w:hAnsi="Times New Roman" w:cs="Times New Roman"/>
          <w:sz w:val="24"/>
          <w:szCs w:val="24"/>
          <w:lang w:val="en-US"/>
        </w:rPr>
        <w:t xml:space="preserve">, 2014. </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roofErr w:type="spellStart"/>
      <w:r w:rsidRPr="009D043A">
        <w:rPr>
          <w:rFonts w:ascii="Times New Roman" w:hAnsi="Times New Roman" w:cs="Times New Roman"/>
          <w:sz w:val="24"/>
          <w:szCs w:val="24"/>
          <w:lang w:val="en-US"/>
        </w:rPr>
        <w:t>Slijkerman</w:t>
      </w:r>
      <w:proofErr w:type="spellEnd"/>
      <w:r w:rsidRPr="009D043A">
        <w:rPr>
          <w:rFonts w:ascii="Times New Roman" w:hAnsi="Times New Roman" w:cs="Times New Roman"/>
          <w:sz w:val="24"/>
          <w:szCs w:val="24"/>
          <w:lang w:val="en-US"/>
        </w:rPr>
        <w:t xml:space="preserve"> J.F., </w:t>
      </w:r>
      <w:proofErr w:type="spellStart"/>
      <w:r w:rsidRPr="009D043A">
        <w:rPr>
          <w:rFonts w:ascii="Times New Roman" w:hAnsi="Times New Roman" w:cs="Times New Roman"/>
          <w:sz w:val="24"/>
          <w:szCs w:val="24"/>
          <w:lang w:val="en-US"/>
        </w:rPr>
        <w:t>Schoenmaker</w:t>
      </w:r>
      <w:proofErr w:type="spellEnd"/>
      <w:r w:rsidRPr="009D043A">
        <w:rPr>
          <w:rFonts w:ascii="Times New Roman" w:hAnsi="Times New Roman" w:cs="Times New Roman"/>
          <w:sz w:val="24"/>
          <w:szCs w:val="24"/>
          <w:lang w:val="en-US"/>
        </w:rPr>
        <w:t xml:space="preserve">, </w:t>
      </w:r>
      <w:proofErr w:type="spellStart"/>
      <w:r w:rsidRPr="009D043A">
        <w:rPr>
          <w:rFonts w:ascii="Times New Roman" w:hAnsi="Times New Roman" w:cs="Times New Roman"/>
          <w:sz w:val="24"/>
          <w:szCs w:val="24"/>
          <w:lang w:val="en-US"/>
        </w:rPr>
        <w:t>D.</w:t>
      </w:r>
      <w:proofErr w:type="gramStart"/>
      <w:r w:rsidRPr="009D043A">
        <w:rPr>
          <w:rFonts w:ascii="Times New Roman" w:hAnsi="Times New Roman" w:cs="Times New Roman"/>
          <w:sz w:val="24"/>
          <w:szCs w:val="24"/>
          <w:lang w:val="en-US"/>
        </w:rPr>
        <w:t>,Casper</w:t>
      </w:r>
      <w:proofErr w:type="spellEnd"/>
      <w:proofErr w:type="gramEnd"/>
      <w:r w:rsidRPr="009D043A">
        <w:rPr>
          <w:rFonts w:ascii="Times New Roman" w:hAnsi="Times New Roman" w:cs="Times New Roman"/>
          <w:sz w:val="24"/>
          <w:szCs w:val="24"/>
          <w:lang w:val="en-US"/>
        </w:rPr>
        <w:t xml:space="preserve"> G. de </w:t>
      </w:r>
      <w:proofErr w:type="spellStart"/>
      <w:r w:rsidRPr="009D043A">
        <w:rPr>
          <w:rFonts w:ascii="Times New Roman" w:hAnsi="Times New Roman" w:cs="Times New Roman"/>
          <w:sz w:val="24"/>
          <w:szCs w:val="24"/>
          <w:lang w:val="en-US"/>
        </w:rPr>
        <w:t>Vries</w:t>
      </w:r>
      <w:proofErr w:type="spellEnd"/>
      <w:r w:rsidRPr="009D043A">
        <w:rPr>
          <w:rFonts w:ascii="Times New Roman" w:hAnsi="Times New Roman" w:cs="Times New Roman"/>
          <w:sz w:val="24"/>
          <w:szCs w:val="24"/>
          <w:lang w:val="en-US"/>
        </w:rPr>
        <w:t xml:space="preserve"> (2013), “Systemic risk and diversification across European banks and insurers”, </w:t>
      </w:r>
      <w:hyperlink r:id="rId18" w:history="1">
        <w:r w:rsidRPr="009D043A">
          <w:rPr>
            <w:rFonts w:ascii="Times New Roman" w:hAnsi="Times New Roman" w:cs="Times New Roman"/>
            <w:sz w:val="24"/>
            <w:szCs w:val="24"/>
            <w:lang w:val="en-US"/>
          </w:rPr>
          <w:t>Journal of banking &amp; finance</w:t>
        </w:r>
      </w:hyperlink>
      <w:r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shd w:val="clear" w:color="auto" w:fill="FFFFFF"/>
          <w:lang w:val="en-US"/>
        </w:rPr>
        <w:t>37/3, 773-785.</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Stiroh</w:t>
      </w:r>
      <w:proofErr w:type="spellEnd"/>
      <w:r w:rsidRPr="009D043A">
        <w:rPr>
          <w:rFonts w:ascii="Times New Roman" w:hAnsi="Times New Roman" w:cs="Times New Roman"/>
          <w:sz w:val="24"/>
          <w:szCs w:val="24"/>
          <w:lang w:val="en-US"/>
        </w:rPr>
        <w:t xml:space="preserve">, K. J., </w:t>
      </w:r>
      <w:proofErr w:type="spellStart"/>
      <w:r w:rsidRPr="009D043A">
        <w:rPr>
          <w:rFonts w:ascii="Times New Roman" w:hAnsi="Times New Roman" w:cs="Times New Roman"/>
          <w:sz w:val="24"/>
          <w:szCs w:val="24"/>
          <w:lang w:val="en-US"/>
        </w:rPr>
        <w:t>Rumble</w:t>
      </w:r>
      <w:proofErr w:type="gramStart"/>
      <w:r w:rsidRPr="009D043A">
        <w:rPr>
          <w:rFonts w:ascii="Times New Roman" w:hAnsi="Times New Roman" w:cs="Times New Roman"/>
          <w:sz w:val="24"/>
          <w:szCs w:val="24"/>
          <w:lang w:val="en-US"/>
        </w:rPr>
        <w:t>,A</w:t>
      </w:r>
      <w:proofErr w:type="spellEnd"/>
      <w:proofErr w:type="gramEnd"/>
      <w:r w:rsidRPr="009D043A">
        <w:rPr>
          <w:rFonts w:ascii="Times New Roman" w:hAnsi="Times New Roman" w:cs="Times New Roman"/>
          <w:sz w:val="24"/>
          <w:szCs w:val="24"/>
          <w:lang w:val="en-US"/>
        </w:rPr>
        <w:t xml:space="preserve">.(2006),  “The dark side of diversification: the case of US financial holding companies”, </w:t>
      </w:r>
      <w:r w:rsidRPr="009D043A">
        <w:rPr>
          <w:rFonts w:ascii="Times New Roman" w:hAnsi="Times New Roman" w:cs="Times New Roman"/>
          <w:iCs/>
          <w:sz w:val="24"/>
          <w:szCs w:val="24"/>
          <w:lang w:val="en-US"/>
        </w:rPr>
        <w:t>Journal of Banking &amp;Finance</w:t>
      </w:r>
      <w:r w:rsidRPr="009D043A">
        <w:rPr>
          <w:rFonts w:ascii="Times New Roman" w:hAnsi="Times New Roman" w:cs="Times New Roman"/>
          <w:sz w:val="24"/>
          <w:szCs w:val="24"/>
          <w:lang w:val="en-US"/>
        </w:rPr>
        <w:t>, 30/ 8, 2131–2161.</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Stiroh</w:t>
      </w:r>
      <w:proofErr w:type="spellEnd"/>
      <w:r w:rsidRPr="009D043A">
        <w:rPr>
          <w:rFonts w:ascii="Times New Roman" w:hAnsi="Times New Roman" w:cs="Times New Roman"/>
          <w:sz w:val="24"/>
          <w:szCs w:val="24"/>
          <w:lang w:val="en-US"/>
        </w:rPr>
        <w:t>, K.J., (2004a), “Do community banks benefit from diversification”, Journal of Financial Services Research, 25 (2–3), 135–160.</w:t>
      </w:r>
    </w:p>
    <w:p w:rsidR="002F2EB4" w:rsidRPr="009D043A" w:rsidRDefault="002F2EB4" w:rsidP="009D043A">
      <w:pPr>
        <w:autoSpaceDE w:val="0"/>
        <w:autoSpaceDN w:val="0"/>
        <w:adjustRightInd w:val="0"/>
        <w:spacing w:after="0" w:line="240" w:lineRule="auto"/>
        <w:jc w:val="both"/>
        <w:rPr>
          <w:rFonts w:ascii="Times New Roman" w:hAnsi="Times New Roman" w:cs="Times New Roman"/>
          <w:sz w:val="24"/>
          <w:szCs w:val="24"/>
          <w:lang w:val="en-US"/>
        </w:rPr>
      </w:pPr>
    </w:p>
    <w:p w:rsidR="00950386" w:rsidRPr="009D043A" w:rsidRDefault="00950386"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Talaslı</w:t>
      </w:r>
      <w:proofErr w:type="spellEnd"/>
      <w:r w:rsidRPr="009D043A">
        <w:rPr>
          <w:rFonts w:ascii="Times New Roman" w:hAnsi="Times New Roman" w:cs="Times New Roman"/>
          <w:sz w:val="24"/>
          <w:szCs w:val="24"/>
          <w:lang w:val="en-US"/>
        </w:rPr>
        <w:t>, İ. (2013), “Systemic Risk Analysis of Turkish Financial Institutions with Systemic Expected Shortfall”, Central Bank of Turkey Working Paper, Working Paper No: 13/11</w:t>
      </w:r>
      <w:r w:rsidR="006078DE" w:rsidRPr="009D043A">
        <w:rPr>
          <w:rFonts w:ascii="Times New Roman" w:hAnsi="Times New Roman" w:cs="Times New Roman"/>
          <w:sz w:val="24"/>
          <w:szCs w:val="24"/>
          <w:lang w:val="en-US"/>
        </w:rPr>
        <w:t>.</w:t>
      </w: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p>
    <w:p w:rsidR="006078DE" w:rsidRPr="009D043A" w:rsidRDefault="006078DE"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Thomas, S., (2002), “Firm diversification and asymmetric information: Evidence from analysts forecasts and earnings announcements”, Journal of Financial Economics, 64, 373–396.</w:t>
      </w:r>
    </w:p>
    <w:p w:rsidR="00DD0BB2" w:rsidRPr="009D043A" w:rsidRDefault="00DD0BB2" w:rsidP="009D043A">
      <w:pPr>
        <w:autoSpaceDE w:val="0"/>
        <w:autoSpaceDN w:val="0"/>
        <w:adjustRightInd w:val="0"/>
        <w:spacing w:after="0" w:line="240" w:lineRule="auto"/>
        <w:jc w:val="both"/>
        <w:rPr>
          <w:rFonts w:ascii="Times New Roman" w:hAnsi="Times New Roman" w:cs="Times New Roman"/>
          <w:sz w:val="24"/>
          <w:szCs w:val="24"/>
          <w:lang w:val="en-US"/>
        </w:rPr>
      </w:pPr>
    </w:p>
    <w:p w:rsidR="00DD60F2" w:rsidRPr="009D043A" w:rsidRDefault="00482F96"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Turkmen,</w:t>
      </w:r>
      <w:r w:rsidR="00DD0BB2" w:rsidRPr="009D043A">
        <w:rPr>
          <w:rFonts w:ascii="Times New Roman" w:hAnsi="Times New Roman" w:cs="Times New Roman"/>
          <w:sz w:val="24"/>
          <w:szCs w:val="24"/>
          <w:lang w:val="en-US"/>
        </w:rPr>
        <w:t xml:space="preserve"> S.Y., </w:t>
      </w:r>
      <w:proofErr w:type="spellStart"/>
      <w:r w:rsidRPr="009D043A">
        <w:rPr>
          <w:rFonts w:ascii="Times New Roman" w:hAnsi="Times New Roman" w:cs="Times New Roman"/>
          <w:sz w:val="24"/>
          <w:szCs w:val="24"/>
          <w:lang w:val="en-US"/>
        </w:rPr>
        <w:t>Yigit</w:t>
      </w:r>
      <w:proofErr w:type="spellEnd"/>
      <w:r w:rsidR="00DD0BB2" w:rsidRPr="009D043A">
        <w:rPr>
          <w:rFonts w:ascii="Times New Roman" w:hAnsi="Times New Roman" w:cs="Times New Roman"/>
          <w:sz w:val="24"/>
          <w:szCs w:val="24"/>
          <w:lang w:val="en-US"/>
        </w:rPr>
        <w:t>, İ</w:t>
      </w:r>
      <w:r w:rsidR="00CA0C79" w:rsidRPr="009D043A">
        <w:rPr>
          <w:rFonts w:ascii="Times New Roman" w:hAnsi="Times New Roman" w:cs="Times New Roman"/>
          <w:sz w:val="24"/>
          <w:szCs w:val="24"/>
          <w:lang w:val="en-US"/>
        </w:rPr>
        <w:t xml:space="preserve">. </w:t>
      </w:r>
      <w:r w:rsidR="00DD0BB2" w:rsidRPr="009D043A">
        <w:rPr>
          <w:rFonts w:ascii="Times New Roman" w:hAnsi="Times New Roman" w:cs="Times New Roman"/>
          <w:sz w:val="24"/>
          <w:szCs w:val="24"/>
          <w:lang w:val="en-US"/>
        </w:rPr>
        <w:t>(2012)</w:t>
      </w:r>
      <w:r w:rsidRPr="009D043A">
        <w:rPr>
          <w:rFonts w:ascii="Times New Roman" w:hAnsi="Times New Roman" w:cs="Times New Roman"/>
          <w:sz w:val="24"/>
          <w:szCs w:val="24"/>
          <w:lang w:val="en-US"/>
        </w:rPr>
        <w:t xml:space="preserve">, </w:t>
      </w:r>
      <w:r w:rsidR="00DD0BB2" w:rsidRPr="009D043A">
        <w:rPr>
          <w:rFonts w:ascii="Times New Roman" w:hAnsi="Times New Roman" w:cs="Times New Roman"/>
          <w:sz w:val="24"/>
          <w:szCs w:val="24"/>
          <w:lang w:val="en-US"/>
        </w:rPr>
        <w:t>“</w:t>
      </w:r>
      <w:r w:rsidR="00DD60F2" w:rsidRPr="009D043A">
        <w:rPr>
          <w:rFonts w:ascii="Times New Roman" w:hAnsi="Times New Roman" w:cs="Times New Roman"/>
          <w:sz w:val="24"/>
          <w:szCs w:val="24"/>
          <w:lang w:val="en-US"/>
        </w:rPr>
        <w:t>Diversification in Banking and its Effect on Banks’ Performance: Evidence from Turkey</w:t>
      </w:r>
      <w:r w:rsidR="00DD0BB2" w:rsidRPr="009D043A">
        <w:rPr>
          <w:rFonts w:ascii="Times New Roman" w:hAnsi="Times New Roman" w:cs="Times New Roman"/>
          <w:sz w:val="24"/>
          <w:szCs w:val="24"/>
          <w:lang w:val="en-US"/>
        </w:rPr>
        <w:t>”,</w:t>
      </w:r>
      <w:r w:rsidR="00DD60F2" w:rsidRPr="009D043A">
        <w:rPr>
          <w:rFonts w:ascii="Times New Roman" w:hAnsi="Times New Roman" w:cs="Times New Roman"/>
          <w:sz w:val="24"/>
          <w:szCs w:val="24"/>
          <w:lang w:val="en-US"/>
        </w:rPr>
        <w:t xml:space="preserve"> American International Journal of Contemporary Research, </w:t>
      </w:r>
      <w:r w:rsidR="00DD0BB2" w:rsidRPr="009D043A">
        <w:rPr>
          <w:rFonts w:ascii="Times New Roman" w:hAnsi="Times New Roman" w:cs="Times New Roman"/>
          <w:sz w:val="24"/>
          <w:szCs w:val="24"/>
          <w:lang w:val="en-US"/>
        </w:rPr>
        <w:t>2 No. 12.</w:t>
      </w:r>
    </w:p>
    <w:p w:rsidR="00E01C82" w:rsidRPr="009D043A" w:rsidRDefault="00E01C82" w:rsidP="009D043A">
      <w:pPr>
        <w:autoSpaceDE w:val="0"/>
        <w:autoSpaceDN w:val="0"/>
        <w:adjustRightInd w:val="0"/>
        <w:spacing w:after="0" w:line="240" w:lineRule="auto"/>
        <w:jc w:val="both"/>
        <w:rPr>
          <w:rFonts w:ascii="Times New Roman" w:hAnsi="Times New Roman" w:cs="Times New Roman"/>
          <w:sz w:val="24"/>
          <w:szCs w:val="24"/>
          <w:lang w:val="en-US"/>
        </w:rPr>
      </w:pPr>
    </w:p>
    <w:p w:rsidR="0031695D" w:rsidRPr="009D043A" w:rsidRDefault="0031695D"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Van </w:t>
      </w:r>
      <w:proofErr w:type="spellStart"/>
      <w:r w:rsidRPr="009D043A">
        <w:rPr>
          <w:rFonts w:ascii="Times New Roman" w:hAnsi="Times New Roman" w:cs="Times New Roman"/>
          <w:sz w:val="24"/>
          <w:szCs w:val="24"/>
          <w:lang w:val="en-US"/>
        </w:rPr>
        <w:t>Oordt</w:t>
      </w:r>
      <w:proofErr w:type="spellEnd"/>
      <w:r w:rsidRPr="009D043A">
        <w:rPr>
          <w:rFonts w:ascii="Times New Roman" w:hAnsi="Times New Roman" w:cs="Times New Roman"/>
          <w:sz w:val="24"/>
          <w:szCs w:val="24"/>
          <w:lang w:val="en-US"/>
        </w:rPr>
        <w:t xml:space="preserve">, </w:t>
      </w:r>
      <w:r w:rsidR="00BA60D1" w:rsidRPr="009D043A">
        <w:rPr>
          <w:rFonts w:ascii="Times New Roman" w:hAnsi="Times New Roman" w:cs="Times New Roman"/>
          <w:sz w:val="24"/>
          <w:szCs w:val="24"/>
          <w:lang w:val="en-US"/>
        </w:rPr>
        <w:t xml:space="preserve">M. R. C. (2014), </w:t>
      </w:r>
      <w:r w:rsidRPr="009D043A">
        <w:rPr>
          <w:rFonts w:ascii="Times New Roman" w:hAnsi="Times New Roman" w:cs="Times New Roman"/>
          <w:sz w:val="24"/>
          <w:szCs w:val="24"/>
          <w:lang w:val="en-US"/>
        </w:rPr>
        <w:t>“Securitization and t</w:t>
      </w:r>
      <w:r w:rsidR="00BA60D1" w:rsidRPr="009D043A">
        <w:rPr>
          <w:rFonts w:ascii="Times New Roman" w:hAnsi="Times New Roman" w:cs="Times New Roman"/>
          <w:sz w:val="24"/>
          <w:szCs w:val="24"/>
          <w:lang w:val="en-US"/>
        </w:rPr>
        <w:t xml:space="preserve">he dark side of diversification”, </w:t>
      </w:r>
      <w:r w:rsidRPr="009D043A">
        <w:rPr>
          <w:rFonts w:ascii="Times New Roman" w:hAnsi="Times New Roman" w:cs="Times New Roman"/>
          <w:iCs/>
          <w:sz w:val="24"/>
          <w:szCs w:val="24"/>
          <w:lang w:val="en-US"/>
        </w:rPr>
        <w:t>Journal of Financial Intermediation</w:t>
      </w:r>
      <w:r w:rsidRPr="009D043A">
        <w:rPr>
          <w:rFonts w:ascii="Times New Roman" w:hAnsi="Times New Roman" w:cs="Times New Roman"/>
          <w:sz w:val="24"/>
          <w:szCs w:val="24"/>
          <w:lang w:val="en-US"/>
        </w:rPr>
        <w:t>, 23</w:t>
      </w:r>
      <w:r w:rsidR="00BA60D1"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2, 214–231</w:t>
      </w:r>
      <w:r w:rsidR="00BA60D1" w:rsidRPr="009D043A">
        <w:rPr>
          <w:rFonts w:ascii="Times New Roman" w:hAnsi="Times New Roman" w:cs="Times New Roman"/>
          <w:sz w:val="24"/>
          <w:szCs w:val="24"/>
          <w:lang w:val="en-US"/>
        </w:rPr>
        <w:t>.</w:t>
      </w:r>
    </w:p>
    <w:p w:rsidR="0031695D" w:rsidRPr="009D043A" w:rsidRDefault="0031695D" w:rsidP="009D043A">
      <w:pPr>
        <w:autoSpaceDE w:val="0"/>
        <w:autoSpaceDN w:val="0"/>
        <w:adjustRightInd w:val="0"/>
        <w:spacing w:after="0" w:line="240" w:lineRule="auto"/>
        <w:jc w:val="both"/>
        <w:rPr>
          <w:rFonts w:ascii="Times New Roman" w:hAnsi="Times New Roman" w:cs="Times New Roman"/>
          <w:sz w:val="24"/>
          <w:szCs w:val="24"/>
          <w:lang w:val="en-US"/>
        </w:rPr>
      </w:pPr>
    </w:p>
    <w:p w:rsidR="00855709" w:rsidRPr="009D043A" w:rsidRDefault="0031695D"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Wagner, </w:t>
      </w:r>
      <w:r w:rsidR="00BA60D1" w:rsidRPr="009D043A">
        <w:rPr>
          <w:rFonts w:ascii="Times New Roman" w:hAnsi="Times New Roman" w:cs="Times New Roman"/>
          <w:sz w:val="24"/>
          <w:szCs w:val="24"/>
          <w:lang w:val="en-US"/>
        </w:rPr>
        <w:t xml:space="preserve">W. (2010), </w:t>
      </w:r>
      <w:r w:rsidRPr="009D043A">
        <w:rPr>
          <w:rFonts w:ascii="Times New Roman" w:hAnsi="Times New Roman" w:cs="Times New Roman"/>
          <w:sz w:val="24"/>
          <w:szCs w:val="24"/>
          <w:lang w:val="en-US"/>
        </w:rPr>
        <w:t>“Diversification at financial institutions and systemic crises</w:t>
      </w:r>
      <w:r w:rsidR="00BA60D1"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 Journal of Financial Intermediation, 19</w:t>
      </w:r>
      <w:r w:rsidR="00BA60D1"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3, </w:t>
      </w:r>
      <w:r w:rsidR="00BA60D1" w:rsidRPr="009D043A">
        <w:rPr>
          <w:rFonts w:ascii="Times New Roman" w:hAnsi="Times New Roman" w:cs="Times New Roman"/>
          <w:sz w:val="24"/>
          <w:szCs w:val="24"/>
          <w:lang w:val="en-US"/>
        </w:rPr>
        <w:t>373–386</w:t>
      </w:r>
      <w:r w:rsidRPr="009D043A">
        <w:rPr>
          <w:rFonts w:ascii="Times New Roman" w:hAnsi="Times New Roman" w:cs="Times New Roman"/>
          <w:sz w:val="24"/>
          <w:szCs w:val="24"/>
          <w:lang w:val="en-US"/>
        </w:rPr>
        <w:t>.</w:t>
      </w:r>
    </w:p>
    <w:p w:rsidR="002F145C" w:rsidRPr="009D043A" w:rsidRDefault="002F145C" w:rsidP="009D043A">
      <w:pPr>
        <w:autoSpaceDE w:val="0"/>
        <w:autoSpaceDN w:val="0"/>
        <w:adjustRightInd w:val="0"/>
        <w:spacing w:after="0" w:line="240" w:lineRule="auto"/>
        <w:jc w:val="both"/>
        <w:rPr>
          <w:rFonts w:ascii="Times New Roman" w:hAnsi="Times New Roman" w:cs="Times New Roman"/>
          <w:sz w:val="24"/>
          <w:szCs w:val="24"/>
          <w:lang w:val="en-US"/>
        </w:rPr>
      </w:pPr>
    </w:p>
    <w:p w:rsidR="009509CC" w:rsidRPr="009D043A" w:rsidRDefault="009509CC" w:rsidP="009D043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D043A">
        <w:rPr>
          <w:rFonts w:ascii="Times New Roman" w:hAnsi="Times New Roman" w:cs="Times New Roman"/>
          <w:sz w:val="24"/>
          <w:szCs w:val="24"/>
          <w:lang w:val="en-US"/>
        </w:rPr>
        <w:t>Zambrana</w:t>
      </w:r>
      <w:proofErr w:type="spellEnd"/>
      <w:r w:rsidRPr="009D043A">
        <w:rPr>
          <w:rFonts w:ascii="Times New Roman" w:hAnsi="Times New Roman" w:cs="Times New Roman"/>
          <w:sz w:val="24"/>
          <w:szCs w:val="24"/>
          <w:lang w:val="en-US"/>
        </w:rPr>
        <w:t xml:space="preserve">, M.S., </w:t>
      </w:r>
      <w:r w:rsidR="00DC7973"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2010</w:t>
      </w:r>
      <w:r w:rsidR="00DC7973" w:rsidRPr="009D043A">
        <w:rPr>
          <w:rFonts w:ascii="Times New Roman" w:hAnsi="Times New Roman" w:cs="Times New Roman"/>
          <w:sz w:val="24"/>
          <w:szCs w:val="24"/>
          <w:lang w:val="en-US"/>
        </w:rPr>
        <w:t>), “</w:t>
      </w:r>
      <w:r w:rsidRPr="009D043A">
        <w:rPr>
          <w:rFonts w:ascii="Times New Roman" w:hAnsi="Times New Roman" w:cs="Times New Roman"/>
          <w:sz w:val="24"/>
          <w:szCs w:val="24"/>
          <w:lang w:val="en-US"/>
        </w:rPr>
        <w:t>Systemic risk analysis using forward-looking distance</w:t>
      </w:r>
      <w:r w:rsidR="003420CA"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to-default series</w:t>
      </w:r>
      <w:r w:rsidR="00DC7973" w:rsidRPr="009D043A">
        <w:rPr>
          <w:rFonts w:ascii="Times New Roman" w:hAnsi="Times New Roman" w:cs="Times New Roman"/>
          <w:sz w:val="24"/>
          <w:szCs w:val="24"/>
          <w:lang w:val="en-US"/>
        </w:rPr>
        <w:t>”</w:t>
      </w:r>
      <w:proofErr w:type="gramStart"/>
      <w:r w:rsidR="00DC7973"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 xml:space="preserve"> Federal</w:t>
      </w:r>
      <w:proofErr w:type="gramEnd"/>
      <w:r w:rsidRPr="009D043A">
        <w:rPr>
          <w:rFonts w:ascii="Times New Roman" w:hAnsi="Times New Roman" w:cs="Times New Roman"/>
          <w:sz w:val="24"/>
          <w:szCs w:val="24"/>
          <w:lang w:val="en-US"/>
        </w:rPr>
        <w:t xml:space="preserve"> Reserve Bank of Cleveland Working Paper</w:t>
      </w:r>
      <w:r w:rsidR="00DC7973" w:rsidRPr="009D043A">
        <w:rPr>
          <w:rFonts w:ascii="Times New Roman" w:hAnsi="Times New Roman" w:cs="Times New Roman"/>
          <w:sz w:val="24"/>
          <w:szCs w:val="24"/>
          <w:lang w:val="en-US"/>
        </w:rPr>
        <w:t xml:space="preserve">, </w:t>
      </w:r>
      <w:r w:rsidRPr="009D043A">
        <w:rPr>
          <w:rFonts w:ascii="Times New Roman" w:hAnsi="Times New Roman" w:cs="Times New Roman"/>
          <w:sz w:val="24"/>
          <w:szCs w:val="24"/>
          <w:lang w:val="en-US"/>
        </w:rPr>
        <w:t>10-05.</w:t>
      </w:r>
    </w:p>
    <w:p w:rsidR="009509CC" w:rsidRPr="009D043A" w:rsidRDefault="009509CC" w:rsidP="009D043A">
      <w:pPr>
        <w:autoSpaceDE w:val="0"/>
        <w:autoSpaceDN w:val="0"/>
        <w:adjustRightInd w:val="0"/>
        <w:spacing w:after="0" w:line="240" w:lineRule="auto"/>
        <w:jc w:val="both"/>
        <w:rPr>
          <w:rFonts w:ascii="Times New Roman" w:hAnsi="Times New Roman" w:cs="Times New Roman"/>
          <w:sz w:val="24"/>
          <w:szCs w:val="24"/>
          <w:lang w:val="en-US"/>
        </w:rPr>
      </w:pPr>
    </w:p>
    <w:p w:rsidR="002F145C" w:rsidRPr="009D043A" w:rsidRDefault="009509CC" w:rsidP="009D043A">
      <w:pPr>
        <w:autoSpaceDE w:val="0"/>
        <w:autoSpaceDN w:val="0"/>
        <w:adjustRightInd w:val="0"/>
        <w:spacing w:after="0" w:line="240" w:lineRule="auto"/>
        <w:jc w:val="both"/>
        <w:rPr>
          <w:rFonts w:ascii="Times New Roman" w:hAnsi="Times New Roman" w:cs="Times New Roman"/>
          <w:sz w:val="24"/>
          <w:szCs w:val="24"/>
          <w:lang w:val="en-US"/>
        </w:rPr>
      </w:pPr>
      <w:r w:rsidRPr="009D043A">
        <w:rPr>
          <w:rFonts w:ascii="Times New Roman" w:hAnsi="Times New Roman" w:cs="Times New Roman"/>
          <w:sz w:val="24"/>
          <w:szCs w:val="24"/>
          <w:lang w:val="en-US"/>
        </w:rPr>
        <w:t xml:space="preserve">Zhang, B.Y., Zhou, H., Zhu, H., </w:t>
      </w:r>
      <w:r w:rsidR="003420CA"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2009</w:t>
      </w:r>
      <w:r w:rsidR="003420CA" w:rsidRPr="009D043A">
        <w:rPr>
          <w:rFonts w:ascii="Times New Roman" w:hAnsi="Times New Roman" w:cs="Times New Roman"/>
          <w:sz w:val="24"/>
          <w:szCs w:val="24"/>
          <w:lang w:val="en-US"/>
        </w:rPr>
        <w:t>), “</w:t>
      </w:r>
      <w:r w:rsidRPr="009D043A">
        <w:rPr>
          <w:rFonts w:ascii="Times New Roman" w:hAnsi="Times New Roman" w:cs="Times New Roman"/>
          <w:sz w:val="24"/>
          <w:szCs w:val="24"/>
          <w:lang w:val="en-US"/>
        </w:rPr>
        <w:t>Explaining credit default swap spreads with equity volatility and jump risks of individual firms</w:t>
      </w:r>
      <w:r w:rsidR="003420CA" w:rsidRPr="009D043A">
        <w:rPr>
          <w:rFonts w:ascii="Times New Roman" w:hAnsi="Times New Roman" w:cs="Times New Roman"/>
          <w:sz w:val="24"/>
          <w:szCs w:val="24"/>
          <w:lang w:val="en-US"/>
        </w:rPr>
        <w:t>”,</w:t>
      </w:r>
      <w:r w:rsidRPr="009D043A">
        <w:rPr>
          <w:rFonts w:ascii="Times New Roman" w:hAnsi="Times New Roman" w:cs="Times New Roman"/>
          <w:sz w:val="24"/>
          <w:szCs w:val="24"/>
          <w:lang w:val="en-US"/>
        </w:rPr>
        <w:t xml:space="preserve"> Review of Financial Studies 22, 5099–5131.</w:t>
      </w:r>
    </w:p>
    <w:p w:rsidR="003420CA" w:rsidRPr="009D043A" w:rsidRDefault="003420CA" w:rsidP="009D043A">
      <w:pPr>
        <w:autoSpaceDE w:val="0"/>
        <w:autoSpaceDN w:val="0"/>
        <w:adjustRightInd w:val="0"/>
        <w:spacing w:after="0" w:line="240" w:lineRule="auto"/>
        <w:jc w:val="both"/>
        <w:rPr>
          <w:rFonts w:ascii="Times New Roman" w:hAnsi="Times New Roman" w:cs="Times New Roman"/>
          <w:sz w:val="24"/>
          <w:szCs w:val="24"/>
          <w:lang w:val="en-US"/>
        </w:rPr>
      </w:pPr>
    </w:p>
    <w:p w:rsidR="00597A13" w:rsidRPr="009D043A" w:rsidRDefault="00597A13" w:rsidP="009D043A">
      <w:pPr>
        <w:autoSpaceDE w:val="0"/>
        <w:autoSpaceDN w:val="0"/>
        <w:adjustRightInd w:val="0"/>
        <w:spacing w:after="0" w:line="240" w:lineRule="auto"/>
        <w:jc w:val="both"/>
        <w:rPr>
          <w:rFonts w:ascii="Times New Roman" w:hAnsi="Times New Roman" w:cs="Times New Roman"/>
          <w:sz w:val="24"/>
          <w:szCs w:val="24"/>
          <w:lang w:val="en-US"/>
        </w:rPr>
      </w:pPr>
    </w:p>
    <w:p w:rsidR="00597A13" w:rsidRPr="009D043A" w:rsidRDefault="00597A13" w:rsidP="009D043A">
      <w:pPr>
        <w:autoSpaceDE w:val="0"/>
        <w:autoSpaceDN w:val="0"/>
        <w:adjustRightInd w:val="0"/>
        <w:spacing w:after="0" w:line="240" w:lineRule="auto"/>
        <w:jc w:val="both"/>
        <w:rPr>
          <w:rFonts w:ascii="Times New Roman" w:hAnsi="Times New Roman" w:cs="Times New Roman"/>
          <w:sz w:val="24"/>
          <w:szCs w:val="24"/>
          <w:lang w:val="en-US"/>
        </w:rPr>
      </w:pPr>
    </w:p>
    <w:p w:rsidR="00597A13" w:rsidRPr="009D043A" w:rsidRDefault="00597A13" w:rsidP="009D043A">
      <w:pPr>
        <w:autoSpaceDE w:val="0"/>
        <w:autoSpaceDN w:val="0"/>
        <w:adjustRightInd w:val="0"/>
        <w:spacing w:after="0" w:line="240" w:lineRule="auto"/>
        <w:jc w:val="both"/>
        <w:rPr>
          <w:rFonts w:ascii="Times New Roman" w:hAnsi="Times New Roman" w:cs="Times New Roman"/>
          <w:sz w:val="24"/>
          <w:szCs w:val="24"/>
          <w:lang w:val="en-US"/>
        </w:rPr>
      </w:pPr>
    </w:p>
    <w:p w:rsidR="00597A13" w:rsidRPr="009D043A" w:rsidRDefault="00597A13" w:rsidP="009D043A">
      <w:pPr>
        <w:autoSpaceDE w:val="0"/>
        <w:autoSpaceDN w:val="0"/>
        <w:adjustRightInd w:val="0"/>
        <w:spacing w:after="0" w:line="240" w:lineRule="auto"/>
        <w:jc w:val="both"/>
        <w:rPr>
          <w:rFonts w:ascii="Times New Roman" w:hAnsi="Times New Roman" w:cs="Times New Roman"/>
          <w:sz w:val="24"/>
          <w:szCs w:val="24"/>
          <w:lang w:val="en-US"/>
        </w:rPr>
      </w:pPr>
    </w:p>
    <w:p w:rsidR="002F145C" w:rsidRPr="009D043A" w:rsidRDefault="002F145C" w:rsidP="009D043A">
      <w:pPr>
        <w:shd w:val="clear" w:color="auto" w:fill="FFFFFF"/>
        <w:spacing w:after="0" w:line="240" w:lineRule="auto"/>
        <w:jc w:val="both"/>
        <w:outlineLvl w:val="0"/>
        <w:rPr>
          <w:rFonts w:ascii="Times New Roman" w:hAnsi="Times New Roman" w:cs="Times New Roman"/>
          <w:sz w:val="24"/>
          <w:szCs w:val="24"/>
          <w:lang w:val="en-US"/>
        </w:rPr>
      </w:pPr>
    </w:p>
    <w:p w:rsidR="009509CC" w:rsidRPr="009D043A" w:rsidRDefault="009509CC" w:rsidP="009D043A">
      <w:pPr>
        <w:autoSpaceDE w:val="0"/>
        <w:autoSpaceDN w:val="0"/>
        <w:adjustRightInd w:val="0"/>
        <w:spacing w:after="0" w:line="240" w:lineRule="auto"/>
        <w:jc w:val="both"/>
        <w:rPr>
          <w:rFonts w:ascii="Times New Roman" w:hAnsi="Times New Roman" w:cs="Times New Roman"/>
          <w:sz w:val="24"/>
          <w:szCs w:val="24"/>
          <w:lang w:val="en-US"/>
        </w:rPr>
      </w:pPr>
    </w:p>
    <w:sectPr w:rsidR="009509CC" w:rsidRPr="009D043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0D" w:rsidRDefault="00A12D0D" w:rsidP="007C20C3">
      <w:pPr>
        <w:spacing w:after="0" w:line="240" w:lineRule="auto"/>
      </w:pPr>
      <w:r>
        <w:separator/>
      </w:r>
    </w:p>
  </w:endnote>
  <w:endnote w:type="continuationSeparator" w:id="0">
    <w:p w:rsidR="00A12D0D" w:rsidRDefault="00A12D0D" w:rsidP="007C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97224"/>
      <w:docPartObj>
        <w:docPartGallery w:val="Page Numbers (Bottom of Page)"/>
        <w:docPartUnique/>
      </w:docPartObj>
    </w:sdtPr>
    <w:sdtEndPr/>
    <w:sdtContent>
      <w:p w:rsidR="00A12D0D" w:rsidRDefault="00A12D0D">
        <w:pPr>
          <w:pStyle w:val="Altbilgi"/>
          <w:jc w:val="center"/>
        </w:pPr>
        <w:r>
          <w:fldChar w:fldCharType="begin"/>
        </w:r>
        <w:r>
          <w:instrText>PAGE   \* MERGEFORMAT</w:instrText>
        </w:r>
        <w:r>
          <w:fldChar w:fldCharType="separate"/>
        </w:r>
        <w:r w:rsidR="009522F0">
          <w:rPr>
            <w:noProof/>
          </w:rPr>
          <w:t>1</w:t>
        </w:r>
        <w:r>
          <w:fldChar w:fldCharType="end"/>
        </w:r>
      </w:p>
    </w:sdtContent>
  </w:sdt>
  <w:p w:rsidR="00A12D0D" w:rsidRDefault="00A12D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0D" w:rsidRDefault="00A12D0D" w:rsidP="007C20C3">
      <w:pPr>
        <w:spacing w:after="0" w:line="240" w:lineRule="auto"/>
      </w:pPr>
      <w:r>
        <w:separator/>
      </w:r>
    </w:p>
  </w:footnote>
  <w:footnote w:type="continuationSeparator" w:id="0">
    <w:p w:rsidR="00A12D0D" w:rsidRDefault="00A12D0D" w:rsidP="007C20C3">
      <w:pPr>
        <w:spacing w:after="0" w:line="240" w:lineRule="auto"/>
      </w:pPr>
      <w:r>
        <w:continuationSeparator/>
      </w:r>
    </w:p>
  </w:footnote>
  <w:footnote w:id="1">
    <w:p w:rsidR="00A12D0D" w:rsidRPr="008A2AD5" w:rsidRDefault="00A12D0D" w:rsidP="008A2AD5">
      <w:pPr>
        <w:pStyle w:val="DipnotMetni"/>
        <w:jc w:val="both"/>
        <w:rPr>
          <w:lang w:val="en-US"/>
        </w:rPr>
      </w:pPr>
      <w:r w:rsidRPr="008A2AD5">
        <w:rPr>
          <w:rStyle w:val="DipnotBavurusu"/>
          <w:lang w:val="en-US"/>
        </w:rPr>
        <w:footnoteRef/>
      </w:r>
      <w:r w:rsidRPr="008A2AD5">
        <w:rPr>
          <w:lang w:val="en-US"/>
        </w:rPr>
        <w:t xml:space="preserve"> https://www.imf.org/external/np/g20/pdf/100109.pdf</w:t>
      </w:r>
    </w:p>
  </w:footnote>
  <w:footnote w:id="2">
    <w:p w:rsidR="00A12D0D" w:rsidRDefault="00A12D0D">
      <w:pPr>
        <w:pStyle w:val="DipnotMetni"/>
      </w:pPr>
      <w:r>
        <w:rPr>
          <w:rStyle w:val="DipnotBavurusu"/>
        </w:rPr>
        <w:footnoteRef/>
      </w:r>
      <w:r>
        <w:t xml:space="preserve"> </w:t>
      </w:r>
      <w:r w:rsidRPr="00051F38">
        <w:t>https://www.imf.org/external/pubs/ft/wp/2013/wp1354.pdf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351"/>
    <w:multiLevelType w:val="multilevel"/>
    <w:tmpl w:val="EEF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42B30"/>
    <w:multiLevelType w:val="multilevel"/>
    <w:tmpl w:val="25C2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F"/>
    <w:rsid w:val="00005C09"/>
    <w:rsid w:val="00011054"/>
    <w:rsid w:val="00023BCC"/>
    <w:rsid w:val="00025DE0"/>
    <w:rsid w:val="0003139B"/>
    <w:rsid w:val="00033921"/>
    <w:rsid w:val="00047484"/>
    <w:rsid w:val="00051F38"/>
    <w:rsid w:val="0007740C"/>
    <w:rsid w:val="000804B8"/>
    <w:rsid w:val="000833F6"/>
    <w:rsid w:val="00085028"/>
    <w:rsid w:val="00092602"/>
    <w:rsid w:val="0009477A"/>
    <w:rsid w:val="000A2B73"/>
    <w:rsid w:val="000C56F5"/>
    <w:rsid w:val="000E7E21"/>
    <w:rsid w:val="00101EFC"/>
    <w:rsid w:val="00111FE6"/>
    <w:rsid w:val="00124731"/>
    <w:rsid w:val="00126BC3"/>
    <w:rsid w:val="00151BD7"/>
    <w:rsid w:val="00153B2B"/>
    <w:rsid w:val="00167D6C"/>
    <w:rsid w:val="001711AF"/>
    <w:rsid w:val="0018385D"/>
    <w:rsid w:val="001950CF"/>
    <w:rsid w:val="001C5712"/>
    <w:rsid w:val="001C5F10"/>
    <w:rsid w:val="001D0ADF"/>
    <w:rsid w:val="001D720E"/>
    <w:rsid w:val="001E4B81"/>
    <w:rsid w:val="00202C44"/>
    <w:rsid w:val="0020459E"/>
    <w:rsid w:val="00204FA7"/>
    <w:rsid w:val="002059DA"/>
    <w:rsid w:val="00221BA3"/>
    <w:rsid w:val="0022492D"/>
    <w:rsid w:val="002251C7"/>
    <w:rsid w:val="002302A0"/>
    <w:rsid w:val="00231FD6"/>
    <w:rsid w:val="00235763"/>
    <w:rsid w:val="002404BF"/>
    <w:rsid w:val="00242F79"/>
    <w:rsid w:val="00251FE7"/>
    <w:rsid w:val="00253C9D"/>
    <w:rsid w:val="0026120B"/>
    <w:rsid w:val="00261460"/>
    <w:rsid w:val="002666E6"/>
    <w:rsid w:val="00280540"/>
    <w:rsid w:val="00281BE9"/>
    <w:rsid w:val="002821EA"/>
    <w:rsid w:val="002954E1"/>
    <w:rsid w:val="00295ED1"/>
    <w:rsid w:val="002A2D73"/>
    <w:rsid w:val="002B423F"/>
    <w:rsid w:val="002C14EC"/>
    <w:rsid w:val="002C731E"/>
    <w:rsid w:val="002D0BCB"/>
    <w:rsid w:val="002D2FDB"/>
    <w:rsid w:val="002D7072"/>
    <w:rsid w:val="002D7219"/>
    <w:rsid w:val="002E0241"/>
    <w:rsid w:val="002E2E08"/>
    <w:rsid w:val="002F145C"/>
    <w:rsid w:val="002F2EB4"/>
    <w:rsid w:val="0030010E"/>
    <w:rsid w:val="0030330E"/>
    <w:rsid w:val="003063CC"/>
    <w:rsid w:val="003165A6"/>
    <w:rsid w:val="0031695D"/>
    <w:rsid w:val="00331107"/>
    <w:rsid w:val="0033389C"/>
    <w:rsid w:val="00334160"/>
    <w:rsid w:val="00336235"/>
    <w:rsid w:val="003420CA"/>
    <w:rsid w:val="0034412B"/>
    <w:rsid w:val="003473E5"/>
    <w:rsid w:val="0035204D"/>
    <w:rsid w:val="00362544"/>
    <w:rsid w:val="003659CC"/>
    <w:rsid w:val="00366027"/>
    <w:rsid w:val="00370A05"/>
    <w:rsid w:val="003729A6"/>
    <w:rsid w:val="003767B7"/>
    <w:rsid w:val="00390420"/>
    <w:rsid w:val="003B035D"/>
    <w:rsid w:val="003B3F75"/>
    <w:rsid w:val="003C0E6E"/>
    <w:rsid w:val="003D2BF6"/>
    <w:rsid w:val="004036E8"/>
    <w:rsid w:val="00410A5D"/>
    <w:rsid w:val="00417187"/>
    <w:rsid w:val="00425D99"/>
    <w:rsid w:val="00427273"/>
    <w:rsid w:val="00440CE0"/>
    <w:rsid w:val="0046785A"/>
    <w:rsid w:val="00482F96"/>
    <w:rsid w:val="0049595B"/>
    <w:rsid w:val="004B2771"/>
    <w:rsid w:val="004C0904"/>
    <w:rsid w:val="004C1CEC"/>
    <w:rsid w:val="004C6E83"/>
    <w:rsid w:val="004D66D9"/>
    <w:rsid w:val="00507524"/>
    <w:rsid w:val="00512040"/>
    <w:rsid w:val="00523C74"/>
    <w:rsid w:val="005316FF"/>
    <w:rsid w:val="00533C01"/>
    <w:rsid w:val="005364AF"/>
    <w:rsid w:val="00553D69"/>
    <w:rsid w:val="00563F22"/>
    <w:rsid w:val="00567379"/>
    <w:rsid w:val="00571625"/>
    <w:rsid w:val="00571A04"/>
    <w:rsid w:val="005776FF"/>
    <w:rsid w:val="005817D4"/>
    <w:rsid w:val="005965E6"/>
    <w:rsid w:val="00597A13"/>
    <w:rsid w:val="005B209B"/>
    <w:rsid w:val="005C3CDE"/>
    <w:rsid w:val="005D45D0"/>
    <w:rsid w:val="005D7968"/>
    <w:rsid w:val="005E3BCF"/>
    <w:rsid w:val="006078DE"/>
    <w:rsid w:val="00614CC9"/>
    <w:rsid w:val="00625ACF"/>
    <w:rsid w:val="0063456D"/>
    <w:rsid w:val="00641F62"/>
    <w:rsid w:val="00645CDB"/>
    <w:rsid w:val="006501C0"/>
    <w:rsid w:val="0066528D"/>
    <w:rsid w:val="00680FC6"/>
    <w:rsid w:val="0068224E"/>
    <w:rsid w:val="0069624D"/>
    <w:rsid w:val="006B1AB0"/>
    <w:rsid w:val="006C07CA"/>
    <w:rsid w:val="006E42F1"/>
    <w:rsid w:val="006F6013"/>
    <w:rsid w:val="007237CB"/>
    <w:rsid w:val="00745C8C"/>
    <w:rsid w:val="00747141"/>
    <w:rsid w:val="007554E0"/>
    <w:rsid w:val="0078142A"/>
    <w:rsid w:val="00785F34"/>
    <w:rsid w:val="00797733"/>
    <w:rsid w:val="007B14B1"/>
    <w:rsid w:val="007B4594"/>
    <w:rsid w:val="007C20C3"/>
    <w:rsid w:val="007D57DF"/>
    <w:rsid w:val="008005A5"/>
    <w:rsid w:val="00826BB0"/>
    <w:rsid w:val="00830F3C"/>
    <w:rsid w:val="008353E5"/>
    <w:rsid w:val="00840162"/>
    <w:rsid w:val="008428CC"/>
    <w:rsid w:val="00855709"/>
    <w:rsid w:val="008666A5"/>
    <w:rsid w:val="008973DE"/>
    <w:rsid w:val="008A2AD5"/>
    <w:rsid w:val="008A3BFE"/>
    <w:rsid w:val="008F46ED"/>
    <w:rsid w:val="008F692D"/>
    <w:rsid w:val="00912581"/>
    <w:rsid w:val="00920056"/>
    <w:rsid w:val="009201FD"/>
    <w:rsid w:val="00925FF2"/>
    <w:rsid w:val="00927D2A"/>
    <w:rsid w:val="009315AB"/>
    <w:rsid w:val="009318F3"/>
    <w:rsid w:val="00934B60"/>
    <w:rsid w:val="00936D1F"/>
    <w:rsid w:val="00942E83"/>
    <w:rsid w:val="00950386"/>
    <w:rsid w:val="009509CC"/>
    <w:rsid w:val="009522F0"/>
    <w:rsid w:val="00972970"/>
    <w:rsid w:val="00972FFF"/>
    <w:rsid w:val="00982E18"/>
    <w:rsid w:val="00982F30"/>
    <w:rsid w:val="00997657"/>
    <w:rsid w:val="009D043A"/>
    <w:rsid w:val="009F276B"/>
    <w:rsid w:val="009F7EC6"/>
    <w:rsid w:val="00A06BA2"/>
    <w:rsid w:val="00A12D0D"/>
    <w:rsid w:val="00A21E3C"/>
    <w:rsid w:val="00A42AEA"/>
    <w:rsid w:val="00A63946"/>
    <w:rsid w:val="00A6799A"/>
    <w:rsid w:val="00A91FA7"/>
    <w:rsid w:val="00AA4AB0"/>
    <w:rsid w:val="00AC46F1"/>
    <w:rsid w:val="00AD5070"/>
    <w:rsid w:val="00AF32D0"/>
    <w:rsid w:val="00B056C0"/>
    <w:rsid w:val="00B27ED4"/>
    <w:rsid w:val="00B33952"/>
    <w:rsid w:val="00B409F7"/>
    <w:rsid w:val="00B46D62"/>
    <w:rsid w:val="00B5231F"/>
    <w:rsid w:val="00B527BC"/>
    <w:rsid w:val="00B56BF7"/>
    <w:rsid w:val="00B56C2C"/>
    <w:rsid w:val="00B57E88"/>
    <w:rsid w:val="00BA60D1"/>
    <w:rsid w:val="00BB52F1"/>
    <w:rsid w:val="00BB71D1"/>
    <w:rsid w:val="00BD0163"/>
    <w:rsid w:val="00BE3AFF"/>
    <w:rsid w:val="00BF3843"/>
    <w:rsid w:val="00C1124B"/>
    <w:rsid w:val="00C24DFA"/>
    <w:rsid w:val="00C25289"/>
    <w:rsid w:val="00C4379F"/>
    <w:rsid w:val="00C55D32"/>
    <w:rsid w:val="00C63659"/>
    <w:rsid w:val="00C71DE6"/>
    <w:rsid w:val="00C84BBC"/>
    <w:rsid w:val="00C869C0"/>
    <w:rsid w:val="00C904B5"/>
    <w:rsid w:val="00CA0C79"/>
    <w:rsid w:val="00CB23F1"/>
    <w:rsid w:val="00CB2A12"/>
    <w:rsid w:val="00CB3AF2"/>
    <w:rsid w:val="00CE732D"/>
    <w:rsid w:val="00D10D3A"/>
    <w:rsid w:val="00D250F1"/>
    <w:rsid w:val="00D411B2"/>
    <w:rsid w:val="00D87ACA"/>
    <w:rsid w:val="00DA206C"/>
    <w:rsid w:val="00DA7761"/>
    <w:rsid w:val="00DB3C1F"/>
    <w:rsid w:val="00DC4274"/>
    <w:rsid w:val="00DC7973"/>
    <w:rsid w:val="00DC7BF6"/>
    <w:rsid w:val="00DD09B8"/>
    <w:rsid w:val="00DD0BB2"/>
    <w:rsid w:val="00DD5579"/>
    <w:rsid w:val="00DD60F2"/>
    <w:rsid w:val="00E01C82"/>
    <w:rsid w:val="00E0605C"/>
    <w:rsid w:val="00E121B6"/>
    <w:rsid w:val="00E174B7"/>
    <w:rsid w:val="00E20082"/>
    <w:rsid w:val="00E320BD"/>
    <w:rsid w:val="00E34678"/>
    <w:rsid w:val="00E40518"/>
    <w:rsid w:val="00E43041"/>
    <w:rsid w:val="00E55830"/>
    <w:rsid w:val="00E66DBE"/>
    <w:rsid w:val="00E74728"/>
    <w:rsid w:val="00E77B75"/>
    <w:rsid w:val="00E874B1"/>
    <w:rsid w:val="00EB7224"/>
    <w:rsid w:val="00EE0358"/>
    <w:rsid w:val="00EE1C75"/>
    <w:rsid w:val="00EF3EE6"/>
    <w:rsid w:val="00F05041"/>
    <w:rsid w:val="00F21136"/>
    <w:rsid w:val="00F24F25"/>
    <w:rsid w:val="00F310DA"/>
    <w:rsid w:val="00F3113C"/>
    <w:rsid w:val="00F3154B"/>
    <w:rsid w:val="00F63613"/>
    <w:rsid w:val="00F71685"/>
    <w:rsid w:val="00F75A1B"/>
    <w:rsid w:val="00FA6BBB"/>
    <w:rsid w:val="00FB5BD3"/>
    <w:rsid w:val="00FB7865"/>
    <w:rsid w:val="00FC3868"/>
    <w:rsid w:val="00FE03BE"/>
    <w:rsid w:val="00FE5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68AC-D35C-41D5-AC0F-7A94E42E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01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A06B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6BA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06B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06BA2"/>
  </w:style>
  <w:style w:type="character" w:styleId="Kpr">
    <w:name w:val="Hyperlink"/>
    <w:basedOn w:val="VarsaylanParagrafYazTipi"/>
    <w:uiPriority w:val="99"/>
    <w:unhideWhenUsed/>
    <w:rsid w:val="00A06BA2"/>
    <w:rPr>
      <w:color w:val="0000FF"/>
      <w:u w:val="single"/>
    </w:rPr>
  </w:style>
  <w:style w:type="paragraph" w:styleId="DipnotMetni">
    <w:name w:val="footnote text"/>
    <w:basedOn w:val="Normal"/>
    <w:link w:val="DipnotMetniChar"/>
    <w:uiPriority w:val="99"/>
    <w:semiHidden/>
    <w:unhideWhenUsed/>
    <w:rsid w:val="007C20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20C3"/>
    <w:rPr>
      <w:sz w:val="20"/>
      <w:szCs w:val="20"/>
    </w:rPr>
  </w:style>
  <w:style w:type="character" w:styleId="DipnotBavurusu">
    <w:name w:val="footnote reference"/>
    <w:basedOn w:val="VarsaylanParagrafYazTipi"/>
    <w:uiPriority w:val="99"/>
    <w:semiHidden/>
    <w:unhideWhenUsed/>
    <w:rsid w:val="007C20C3"/>
    <w:rPr>
      <w:vertAlign w:val="superscript"/>
    </w:rPr>
  </w:style>
  <w:style w:type="character" w:customStyle="1" w:styleId="Balk1Char">
    <w:name w:val="Başlık 1 Char"/>
    <w:basedOn w:val="VarsaylanParagrafYazTipi"/>
    <w:link w:val="Balk1"/>
    <w:uiPriority w:val="9"/>
    <w:rsid w:val="00E01C82"/>
    <w:rPr>
      <w:rFonts w:asciiTheme="majorHAnsi" w:eastAsiaTheme="majorEastAsia" w:hAnsiTheme="majorHAnsi" w:cstheme="majorBidi"/>
      <w:color w:val="2E74B5" w:themeColor="accent1" w:themeShade="BF"/>
      <w:sz w:val="32"/>
      <w:szCs w:val="32"/>
    </w:rPr>
  </w:style>
  <w:style w:type="character" w:styleId="YerTutucuMetni">
    <w:name w:val="Placeholder Text"/>
    <w:basedOn w:val="VarsaylanParagrafYazTipi"/>
    <w:uiPriority w:val="99"/>
    <w:semiHidden/>
    <w:rsid w:val="00167D6C"/>
    <w:rPr>
      <w:color w:val="808080"/>
    </w:rPr>
  </w:style>
  <w:style w:type="paragraph" w:styleId="stbilgi">
    <w:name w:val="header"/>
    <w:basedOn w:val="Normal"/>
    <w:link w:val="stbilgiChar"/>
    <w:uiPriority w:val="99"/>
    <w:unhideWhenUsed/>
    <w:rsid w:val="003904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0420"/>
  </w:style>
  <w:style w:type="paragraph" w:styleId="Altbilgi">
    <w:name w:val="footer"/>
    <w:basedOn w:val="Normal"/>
    <w:link w:val="AltbilgiChar"/>
    <w:uiPriority w:val="99"/>
    <w:unhideWhenUsed/>
    <w:rsid w:val="003904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0420"/>
  </w:style>
  <w:style w:type="paragraph" w:customStyle="1" w:styleId="Default">
    <w:name w:val="Default"/>
    <w:rsid w:val="009315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olissue">
    <w:name w:val="volissue"/>
    <w:basedOn w:val="Normal"/>
    <w:rsid w:val="008A3BF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1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047484"/>
  </w:style>
  <w:style w:type="character" w:customStyle="1" w:styleId="author-name">
    <w:name w:val="author-name"/>
    <w:basedOn w:val="VarsaylanParagrafYazTipi"/>
    <w:rsid w:val="00047484"/>
  </w:style>
  <w:style w:type="character" w:customStyle="1" w:styleId="sr-only">
    <w:name w:val="sr-only"/>
    <w:basedOn w:val="VarsaylanParagrafYazTipi"/>
    <w:rsid w:val="0004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4383">
      <w:bodyDiv w:val="1"/>
      <w:marLeft w:val="0"/>
      <w:marRight w:val="0"/>
      <w:marTop w:val="0"/>
      <w:marBottom w:val="0"/>
      <w:divBdr>
        <w:top w:val="none" w:sz="0" w:space="0" w:color="auto"/>
        <w:left w:val="none" w:sz="0" w:space="0" w:color="auto"/>
        <w:bottom w:val="none" w:sz="0" w:space="0" w:color="auto"/>
        <w:right w:val="none" w:sz="0" w:space="0" w:color="auto"/>
      </w:divBdr>
      <w:divsChild>
        <w:div w:id="1314674194">
          <w:marLeft w:val="0"/>
          <w:marRight w:val="0"/>
          <w:marTop w:val="45"/>
          <w:marBottom w:val="0"/>
          <w:divBdr>
            <w:top w:val="none" w:sz="0" w:space="0" w:color="auto"/>
            <w:left w:val="none" w:sz="0" w:space="0" w:color="auto"/>
            <w:bottom w:val="none" w:sz="0" w:space="0" w:color="auto"/>
            <w:right w:val="none" w:sz="0" w:space="0" w:color="auto"/>
          </w:divBdr>
        </w:div>
      </w:divsChild>
    </w:div>
    <w:div w:id="35618567">
      <w:bodyDiv w:val="1"/>
      <w:marLeft w:val="0"/>
      <w:marRight w:val="0"/>
      <w:marTop w:val="0"/>
      <w:marBottom w:val="0"/>
      <w:divBdr>
        <w:top w:val="none" w:sz="0" w:space="0" w:color="auto"/>
        <w:left w:val="none" w:sz="0" w:space="0" w:color="auto"/>
        <w:bottom w:val="none" w:sz="0" w:space="0" w:color="auto"/>
        <w:right w:val="none" w:sz="0" w:space="0" w:color="auto"/>
      </w:divBdr>
    </w:div>
    <w:div w:id="41444531">
      <w:bodyDiv w:val="1"/>
      <w:marLeft w:val="0"/>
      <w:marRight w:val="0"/>
      <w:marTop w:val="0"/>
      <w:marBottom w:val="0"/>
      <w:divBdr>
        <w:top w:val="none" w:sz="0" w:space="0" w:color="auto"/>
        <w:left w:val="none" w:sz="0" w:space="0" w:color="auto"/>
        <w:bottom w:val="none" w:sz="0" w:space="0" w:color="auto"/>
        <w:right w:val="none" w:sz="0" w:space="0" w:color="auto"/>
      </w:divBdr>
    </w:div>
    <w:div w:id="81882136">
      <w:bodyDiv w:val="1"/>
      <w:marLeft w:val="0"/>
      <w:marRight w:val="0"/>
      <w:marTop w:val="0"/>
      <w:marBottom w:val="0"/>
      <w:divBdr>
        <w:top w:val="none" w:sz="0" w:space="0" w:color="auto"/>
        <w:left w:val="none" w:sz="0" w:space="0" w:color="auto"/>
        <w:bottom w:val="none" w:sz="0" w:space="0" w:color="auto"/>
        <w:right w:val="none" w:sz="0" w:space="0" w:color="auto"/>
      </w:divBdr>
    </w:div>
    <w:div w:id="194388375">
      <w:bodyDiv w:val="1"/>
      <w:marLeft w:val="0"/>
      <w:marRight w:val="0"/>
      <w:marTop w:val="0"/>
      <w:marBottom w:val="0"/>
      <w:divBdr>
        <w:top w:val="none" w:sz="0" w:space="0" w:color="auto"/>
        <w:left w:val="none" w:sz="0" w:space="0" w:color="auto"/>
        <w:bottom w:val="none" w:sz="0" w:space="0" w:color="auto"/>
        <w:right w:val="none" w:sz="0" w:space="0" w:color="auto"/>
      </w:divBdr>
    </w:div>
    <w:div w:id="656693583">
      <w:bodyDiv w:val="1"/>
      <w:marLeft w:val="0"/>
      <w:marRight w:val="0"/>
      <w:marTop w:val="0"/>
      <w:marBottom w:val="0"/>
      <w:divBdr>
        <w:top w:val="none" w:sz="0" w:space="0" w:color="auto"/>
        <w:left w:val="none" w:sz="0" w:space="0" w:color="auto"/>
        <w:bottom w:val="none" w:sz="0" w:space="0" w:color="auto"/>
        <w:right w:val="none" w:sz="0" w:space="0" w:color="auto"/>
      </w:divBdr>
    </w:div>
    <w:div w:id="766849323">
      <w:bodyDiv w:val="1"/>
      <w:marLeft w:val="0"/>
      <w:marRight w:val="0"/>
      <w:marTop w:val="0"/>
      <w:marBottom w:val="0"/>
      <w:divBdr>
        <w:top w:val="none" w:sz="0" w:space="0" w:color="auto"/>
        <w:left w:val="none" w:sz="0" w:space="0" w:color="auto"/>
        <w:bottom w:val="none" w:sz="0" w:space="0" w:color="auto"/>
        <w:right w:val="none" w:sz="0" w:space="0" w:color="auto"/>
      </w:divBdr>
    </w:div>
    <w:div w:id="1048188511">
      <w:bodyDiv w:val="1"/>
      <w:marLeft w:val="0"/>
      <w:marRight w:val="0"/>
      <w:marTop w:val="0"/>
      <w:marBottom w:val="0"/>
      <w:divBdr>
        <w:top w:val="none" w:sz="0" w:space="0" w:color="auto"/>
        <w:left w:val="none" w:sz="0" w:space="0" w:color="auto"/>
        <w:bottom w:val="none" w:sz="0" w:space="0" w:color="auto"/>
        <w:right w:val="none" w:sz="0" w:space="0" w:color="auto"/>
      </w:divBdr>
    </w:div>
    <w:div w:id="1211838960">
      <w:bodyDiv w:val="1"/>
      <w:marLeft w:val="0"/>
      <w:marRight w:val="0"/>
      <w:marTop w:val="0"/>
      <w:marBottom w:val="0"/>
      <w:divBdr>
        <w:top w:val="none" w:sz="0" w:space="0" w:color="auto"/>
        <w:left w:val="none" w:sz="0" w:space="0" w:color="auto"/>
        <w:bottom w:val="none" w:sz="0" w:space="0" w:color="auto"/>
        <w:right w:val="none" w:sz="0" w:space="0" w:color="auto"/>
      </w:divBdr>
    </w:div>
    <w:div w:id="1367372380">
      <w:bodyDiv w:val="1"/>
      <w:marLeft w:val="0"/>
      <w:marRight w:val="0"/>
      <w:marTop w:val="0"/>
      <w:marBottom w:val="0"/>
      <w:divBdr>
        <w:top w:val="none" w:sz="0" w:space="0" w:color="auto"/>
        <w:left w:val="none" w:sz="0" w:space="0" w:color="auto"/>
        <w:bottom w:val="none" w:sz="0" w:space="0" w:color="auto"/>
        <w:right w:val="none" w:sz="0" w:space="0" w:color="auto"/>
      </w:divBdr>
    </w:div>
    <w:div w:id="1709721945">
      <w:bodyDiv w:val="1"/>
      <w:marLeft w:val="0"/>
      <w:marRight w:val="0"/>
      <w:marTop w:val="0"/>
      <w:marBottom w:val="0"/>
      <w:divBdr>
        <w:top w:val="none" w:sz="0" w:space="0" w:color="auto"/>
        <w:left w:val="none" w:sz="0" w:space="0" w:color="auto"/>
        <w:bottom w:val="none" w:sz="0" w:space="0" w:color="auto"/>
        <w:right w:val="none" w:sz="0" w:space="0" w:color="auto"/>
      </w:divBdr>
    </w:div>
    <w:div w:id="17228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x.doi.org/10.2139/ssrn.2054436" TargetMode="External"/><Relationship Id="rId18" Type="http://schemas.openxmlformats.org/officeDocument/2006/relationships/hyperlink" Target="https://www.econbiz.de/Record/journal-of-banking-finance/100003672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rn.com/abstract=2054436" TargetMode="External"/><Relationship Id="rId17" Type="http://schemas.openxmlformats.org/officeDocument/2006/relationships/hyperlink" Target="http://www.sciencedirect.com/science/journal/03784371/405/supp/C" TargetMode="External"/><Relationship Id="rId2" Type="http://schemas.openxmlformats.org/officeDocument/2006/relationships/numbering" Target="numbering.xml"/><Relationship Id="rId16" Type="http://schemas.openxmlformats.org/officeDocument/2006/relationships/hyperlink" Target="http://www.sciencedirect.com/science/journal/037843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ofengland.co.uk/publications/Pages/quarterlybulletin/2014/qb14q1.aspx" TargetMode="External"/><Relationship Id="rId5" Type="http://schemas.openxmlformats.org/officeDocument/2006/relationships/webSettings" Target="webSettings.xml"/><Relationship Id="rId15" Type="http://schemas.openxmlformats.org/officeDocument/2006/relationships/hyperlink" Target="http://www.sciencedirect.com/science/article/pii/S0378437114002003"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ddk.org.tr/WebSitesi/turkce/Raporlar/BDDK_Dergi/12246ickapa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E17C-7737-4E67-8DF6-C2775897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13</Pages>
  <Words>5063</Words>
  <Characters>28863</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Topbaş</dc:creator>
  <cp:keywords/>
  <dc:description/>
  <cp:lastModifiedBy>Neslihan Topbaş</cp:lastModifiedBy>
  <cp:revision>46</cp:revision>
  <cp:lastPrinted>2017-07-15T11:43:00Z</cp:lastPrinted>
  <dcterms:created xsi:type="dcterms:W3CDTF">2017-06-21T07:52:00Z</dcterms:created>
  <dcterms:modified xsi:type="dcterms:W3CDTF">2017-07-15T12:22:00Z</dcterms:modified>
</cp:coreProperties>
</file>