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82D2" w14:textId="44F90D2E" w:rsidR="00DD3E92" w:rsidRPr="004D4D3A" w:rsidRDefault="00DD3E92" w:rsidP="00DD3E92">
      <w:pPr>
        <w:jc w:val="center"/>
        <w:rPr>
          <w:rFonts w:ascii="Times New Roman" w:hAnsi="Times New Roman" w:cs="Times New Roman"/>
          <w:b/>
          <w:color w:val="000000" w:themeColor="text1"/>
          <w:sz w:val="32"/>
          <w:szCs w:val="32"/>
        </w:rPr>
      </w:pPr>
      <w:r w:rsidRPr="004D4D3A">
        <w:rPr>
          <w:rFonts w:ascii="Times New Roman" w:hAnsi="Times New Roman" w:cs="Times New Roman"/>
          <w:b/>
          <w:color w:val="000000" w:themeColor="text1"/>
          <w:sz w:val="32"/>
          <w:szCs w:val="32"/>
        </w:rPr>
        <w:t>Related Party Transactions and Opinion Shopping</w:t>
      </w:r>
    </w:p>
    <w:p w14:paraId="0436CA8B" w14:textId="77777777" w:rsidR="00C463FD" w:rsidRPr="004D4D3A" w:rsidRDefault="00C463FD">
      <w:pPr>
        <w:rPr>
          <w:rFonts w:ascii="Times New Roman" w:hAnsi="Times New Roman" w:cs="Times New Roman"/>
          <w:color w:val="000000" w:themeColor="text1"/>
        </w:rPr>
      </w:pPr>
    </w:p>
    <w:p w14:paraId="39E650DC" w14:textId="4A77C54D" w:rsidR="00AD3AE9" w:rsidRPr="004D4D3A" w:rsidRDefault="00C86F37" w:rsidP="0074039E">
      <w:pPr>
        <w:spacing w:line="400" w:lineRule="exact"/>
        <w:rPr>
          <w:rFonts w:ascii="Times New Roman" w:hAnsi="Times New Roman" w:cs="Times New Roman"/>
          <w:color w:val="000000" w:themeColor="text1"/>
          <w:szCs w:val="24"/>
        </w:rPr>
      </w:pPr>
      <w:r w:rsidRPr="004D4D3A">
        <w:rPr>
          <w:rFonts w:ascii="Times New Roman" w:eastAsia="標楷體" w:hAnsi="Times New Roman" w:cs="Times New Roman"/>
          <w:b/>
          <w:color w:val="000000" w:themeColor="text1"/>
          <w:szCs w:val="24"/>
        </w:rPr>
        <w:t>Abstract:</w:t>
      </w:r>
      <w:r w:rsidR="00AD3AE9" w:rsidRPr="004D4D3A">
        <w:rPr>
          <w:rFonts w:ascii="Times New Roman" w:eastAsia="標楷體" w:hAnsi="Times New Roman" w:cs="Times New Roman"/>
          <w:b/>
          <w:color w:val="000000" w:themeColor="text1"/>
          <w:szCs w:val="24"/>
        </w:rPr>
        <w:t xml:space="preserve"> </w:t>
      </w:r>
      <w:r w:rsidR="00AD3AE9" w:rsidRPr="004D4D3A">
        <w:rPr>
          <w:rFonts w:ascii="Times New Roman" w:hAnsi="Times New Roman" w:cs="Times New Roman"/>
          <w:color w:val="000000" w:themeColor="text1"/>
          <w:szCs w:val="24"/>
        </w:rPr>
        <w:t xml:space="preserve">This paper examines the association between related party transactions (RPTs) and partner-level audit opinion shopping. </w:t>
      </w:r>
      <w:r w:rsidR="00144480">
        <w:rPr>
          <w:rFonts w:ascii="Times New Roman" w:hAnsi="Times New Roman" w:cs="Times New Roman"/>
          <w:color w:val="000000" w:themeColor="text1"/>
          <w:szCs w:val="24"/>
        </w:rPr>
        <w:t xml:space="preserve">The use of </w:t>
      </w:r>
      <w:r w:rsidR="00AD3AE9" w:rsidRPr="004D4D3A">
        <w:rPr>
          <w:rFonts w:ascii="Times New Roman" w:hAnsi="Times New Roman" w:cs="Times New Roman"/>
          <w:color w:val="000000" w:themeColor="text1"/>
          <w:szCs w:val="24"/>
        </w:rPr>
        <w:t>RPTs</w:t>
      </w:r>
      <w:r w:rsidR="00144480">
        <w:rPr>
          <w:rFonts w:ascii="Times New Roman" w:hAnsi="Times New Roman" w:cs="Times New Roman"/>
          <w:color w:val="000000" w:themeColor="text1"/>
          <w:szCs w:val="24"/>
        </w:rPr>
        <w:t>,</w:t>
      </w:r>
      <w:r w:rsidR="00AD3AE9" w:rsidRPr="004D4D3A">
        <w:rPr>
          <w:rFonts w:ascii="Times New Roman" w:hAnsi="Times New Roman" w:cs="Times New Roman"/>
          <w:color w:val="000000" w:themeColor="text1"/>
          <w:szCs w:val="24"/>
        </w:rPr>
        <w:t xml:space="preserve"> generally diverse and complex, </w:t>
      </w:r>
      <w:r w:rsidR="00144480">
        <w:rPr>
          <w:rFonts w:ascii="Times New Roman" w:hAnsi="Times New Roman" w:cs="Times New Roman"/>
          <w:color w:val="000000" w:themeColor="text1"/>
          <w:szCs w:val="24"/>
        </w:rPr>
        <w:t>associate</w:t>
      </w:r>
      <w:r w:rsidR="00D83865">
        <w:rPr>
          <w:rFonts w:ascii="Times New Roman" w:hAnsi="Times New Roman" w:cs="Times New Roman"/>
          <w:color w:val="000000" w:themeColor="text1"/>
          <w:szCs w:val="24"/>
        </w:rPr>
        <w:t>s</w:t>
      </w:r>
      <w:r w:rsidR="00144480">
        <w:rPr>
          <w:rFonts w:ascii="Times New Roman" w:hAnsi="Times New Roman" w:cs="Times New Roman"/>
          <w:color w:val="000000" w:themeColor="text1"/>
          <w:szCs w:val="24"/>
        </w:rPr>
        <w:t xml:space="preserve"> with</w:t>
      </w:r>
      <w:r w:rsidR="00AD3AE9" w:rsidRPr="004D4D3A">
        <w:rPr>
          <w:rFonts w:ascii="Times New Roman" w:hAnsi="Times New Roman" w:cs="Times New Roman"/>
          <w:color w:val="000000" w:themeColor="text1"/>
          <w:szCs w:val="24"/>
        </w:rPr>
        <w:t xml:space="preserve"> </w:t>
      </w:r>
      <w:r w:rsidR="00144480">
        <w:rPr>
          <w:rFonts w:ascii="Times New Roman" w:hAnsi="Times New Roman" w:cs="Times New Roman"/>
          <w:color w:val="000000" w:themeColor="text1"/>
          <w:szCs w:val="24"/>
        </w:rPr>
        <w:t xml:space="preserve">an </w:t>
      </w:r>
      <w:r w:rsidR="00AD3AE9" w:rsidRPr="004D4D3A">
        <w:rPr>
          <w:rFonts w:ascii="Times New Roman" w:hAnsi="Times New Roman" w:cs="Times New Roman"/>
          <w:color w:val="000000" w:themeColor="text1"/>
          <w:szCs w:val="24"/>
        </w:rPr>
        <w:t>increas</w:t>
      </w:r>
      <w:r w:rsidR="00144480">
        <w:rPr>
          <w:rFonts w:ascii="Times New Roman" w:hAnsi="Times New Roman" w:cs="Times New Roman"/>
          <w:color w:val="000000" w:themeColor="text1"/>
          <w:szCs w:val="24"/>
        </w:rPr>
        <w:t>ed</w:t>
      </w:r>
      <w:r w:rsidR="00AD3AE9" w:rsidRPr="004D4D3A">
        <w:rPr>
          <w:rFonts w:ascii="Times New Roman" w:hAnsi="Times New Roman" w:cs="Times New Roman"/>
          <w:color w:val="000000" w:themeColor="text1"/>
          <w:szCs w:val="24"/>
        </w:rPr>
        <w:t xml:space="preserve"> audit risk</w:t>
      </w:r>
      <w:r w:rsidR="00144480">
        <w:rPr>
          <w:rFonts w:ascii="Times New Roman" w:hAnsi="Times New Roman" w:cs="Times New Roman"/>
          <w:color w:val="000000" w:themeColor="text1"/>
          <w:szCs w:val="24"/>
        </w:rPr>
        <w:t xml:space="preserve"> and </w:t>
      </w:r>
      <w:r w:rsidR="00AD3AE9" w:rsidRPr="004D4D3A">
        <w:rPr>
          <w:rFonts w:ascii="Times New Roman" w:hAnsi="Times New Roman" w:cs="Times New Roman"/>
          <w:color w:val="000000" w:themeColor="text1"/>
          <w:szCs w:val="24"/>
        </w:rPr>
        <w:t>the probability of receiving modified audit opinions</w:t>
      </w:r>
      <w:r w:rsidR="00AB6FF5">
        <w:rPr>
          <w:rFonts w:ascii="Times New Roman" w:hAnsi="Times New Roman" w:cs="Times New Roman"/>
          <w:color w:val="000000" w:themeColor="text1"/>
          <w:szCs w:val="24"/>
        </w:rPr>
        <w:t xml:space="preserve"> (MAOs)</w:t>
      </w:r>
      <w:r w:rsidR="00AD3AE9" w:rsidRPr="004D4D3A">
        <w:rPr>
          <w:rFonts w:ascii="Times New Roman" w:hAnsi="Times New Roman" w:cs="Times New Roman"/>
          <w:color w:val="000000" w:themeColor="text1"/>
          <w:szCs w:val="24"/>
        </w:rPr>
        <w:t xml:space="preserve">. In China, </w:t>
      </w:r>
      <w:r w:rsidR="001C3728" w:rsidRPr="004D4D3A">
        <w:rPr>
          <w:rFonts w:ascii="Times New Roman" w:hAnsi="Times New Roman" w:cs="Times New Roman"/>
          <w:color w:val="000000" w:themeColor="text1"/>
          <w:szCs w:val="24"/>
        </w:rPr>
        <w:t xml:space="preserve">the </w:t>
      </w:r>
      <w:r w:rsidR="00AD3AE9" w:rsidRPr="004D4D3A">
        <w:rPr>
          <w:rFonts w:ascii="Times New Roman" w:hAnsi="Times New Roman" w:cs="Times New Roman"/>
          <w:color w:val="000000" w:themeColor="text1"/>
          <w:szCs w:val="24"/>
        </w:rPr>
        <w:t>audit market is dispersed</w:t>
      </w:r>
      <w:r w:rsidR="00AC11D5" w:rsidRPr="004D4D3A">
        <w:rPr>
          <w:rFonts w:ascii="Times New Roman" w:hAnsi="Times New Roman" w:cs="Times New Roman"/>
          <w:color w:val="000000" w:themeColor="text1"/>
          <w:szCs w:val="24"/>
        </w:rPr>
        <w:t xml:space="preserve"> and </w:t>
      </w:r>
      <w:r w:rsidR="00144480">
        <w:rPr>
          <w:rFonts w:ascii="Times New Roman" w:hAnsi="Times New Roman" w:cs="Times New Roman"/>
          <w:color w:val="000000" w:themeColor="text1"/>
          <w:szCs w:val="24"/>
        </w:rPr>
        <w:t>audi</w:t>
      </w:r>
      <w:bookmarkStart w:id="0" w:name="_GoBack"/>
      <w:bookmarkEnd w:id="0"/>
      <w:r w:rsidR="00144480">
        <w:rPr>
          <w:rFonts w:ascii="Times New Roman" w:hAnsi="Times New Roman" w:cs="Times New Roman"/>
          <w:color w:val="000000" w:themeColor="text1"/>
          <w:szCs w:val="24"/>
        </w:rPr>
        <w:t xml:space="preserve">t firms’ </w:t>
      </w:r>
      <w:r w:rsidR="00AD3AE9" w:rsidRPr="004D4D3A">
        <w:rPr>
          <w:rFonts w:ascii="Times New Roman" w:hAnsi="Times New Roman" w:cs="Times New Roman"/>
          <w:color w:val="000000" w:themeColor="text1"/>
          <w:szCs w:val="24"/>
        </w:rPr>
        <w:t>internal control mechanisms are weak</w:t>
      </w:r>
      <w:r w:rsidR="00D3574B">
        <w:rPr>
          <w:rFonts w:ascii="Times New Roman" w:hAnsi="Times New Roman" w:cs="Times New Roman"/>
          <w:color w:val="000000" w:themeColor="text1"/>
          <w:szCs w:val="24"/>
        </w:rPr>
        <w:t>. This enables</w:t>
      </w:r>
      <w:r w:rsidR="00AD3AE9" w:rsidRPr="004D4D3A">
        <w:rPr>
          <w:rFonts w:ascii="Times New Roman" w:hAnsi="Times New Roman" w:cs="Times New Roman"/>
          <w:color w:val="000000" w:themeColor="text1"/>
          <w:szCs w:val="24"/>
        </w:rPr>
        <w:t xml:space="preserve"> firms to </w:t>
      </w:r>
      <w:r w:rsidR="001C3728" w:rsidRPr="004D4D3A">
        <w:rPr>
          <w:rFonts w:ascii="Times New Roman" w:hAnsi="Times New Roman" w:cs="Times New Roman"/>
          <w:color w:val="000000" w:themeColor="text1"/>
          <w:szCs w:val="24"/>
        </w:rPr>
        <w:t>shop for a</w:t>
      </w:r>
      <w:r w:rsidR="00AD3AE9" w:rsidRPr="004D4D3A">
        <w:rPr>
          <w:rFonts w:ascii="Times New Roman" w:hAnsi="Times New Roman" w:cs="Times New Roman"/>
          <w:color w:val="000000" w:themeColor="text1"/>
          <w:szCs w:val="24"/>
        </w:rPr>
        <w:t xml:space="preserve"> more lenient audit partner</w:t>
      </w:r>
      <w:r w:rsidR="001C3728" w:rsidRPr="004D4D3A">
        <w:rPr>
          <w:rFonts w:ascii="Times New Roman" w:hAnsi="Times New Roman" w:cs="Times New Roman"/>
          <w:color w:val="000000" w:themeColor="text1"/>
          <w:szCs w:val="24"/>
        </w:rPr>
        <w:t xml:space="preserve"> within the same audit firm</w:t>
      </w:r>
      <w:r w:rsidR="00AD3AE9" w:rsidRPr="004D4D3A">
        <w:rPr>
          <w:rFonts w:ascii="Times New Roman" w:hAnsi="Times New Roman" w:cs="Times New Roman"/>
          <w:color w:val="000000" w:themeColor="text1"/>
          <w:szCs w:val="24"/>
        </w:rPr>
        <w:t xml:space="preserve"> </w:t>
      </w:r>
      <w:r w:rsidR="001C3728" w:rsidRPr="004D4D3A">
        <w:rPr>
          <w:rFonts w:ascii="Times New Roman" w:hAnsi="Times New Roman" w:cs="Times New Roman"/>
          <w:color w:val="000000" w:themeColor="text1"/>
          <w:szCs w:val="24"/>
        </w:rPr>
        <w:t xml:space="preserve">to obtain </w:t>
      </w:r>
      <w:r w:rsidR="00AD3AE9" w:rsidRPr="004D4D3A">
        <w:rPr>
          <w:rFonts w:ascii="Times New Roman" w:hAnsi="Times New Roman" w:cs="Times New Roman"/>
          <w:color w:val="000000" w:themeColor="text1"/>
          <w:szCs w:val="24"/>
        </w:rPr>
        <w:t>a favorable opinion. I argue that firms with more RPTs have greater incentives to press audit firm</w:t>
      </w:r>
      <w:r w:rsidR="001C3728" w:rsidRPr="004D4D3A">
        <w:rPr>
          <w:rFonts w:ascii="Times New Roman" w:hAnsi="Times New Roman" w:cs="Times New Roman"/>
          <w:color w:val="000000" w:themeColor="text1"/>
          <w:szCs w:val="24"/>
        </w:rPr>
        <w:t>s</w:t>
      </w:r>
      <w:r w:rsidR="00AD3AE9" w:rsidRPr="004D4D3A">
        <w:rPr>
          <w:rFonts w:ascii="Times New Roman" w:hAnsi="Times New Roman" w:cs="Times New Roman"/>
          <w:color w:val="000000" w:themeColor="text1"/>
          <w:szCs w:val="24"/>
        </w:rPr>
        <w:t xml:space="preserve"> to switch engagement partner</w:t>
      </w:r>
      <w:r w:rsidR="001C3728" w:rsidRPr="004D4D3A">
        <w:rPr>
          <w:rFonts w:ascii="Times New Roman" w:hAnsi="Times New Roman" w:cs="Times New Roman"/>
          <w:color w:val="000000" w:themeColor="text1"/>
          <w:szCs w:val="24"/>
        </w:rPr>
        <w:t>s</w:t>
      </w:r>
      <w:r w:rsidR="00AD3AE9" w:rsidRPr="004D4D3A">
        <w:rPr>
          <w:rFonts w:ascii="Times New Roman" w:hAnsi="Times New Roman" w:cs="Times New Roman"/>
          <w:color w:val="000000" w:themeColor="text1"/>
          <w:szCs w:val="24"/>
        </w:rPr>
        <w:t xml:space="preserve"> to obtain more favorable opinions. </w:t>
      </w:r>
      <w:r w:rsidR="00460599">
        <w:rPr>
          <w:rFonts w:ascii="Times New Roman" w:hAnsi="Times New Roman" w:cs="Times New Roman"/>
          <w:color w:val="000000" w:themeColor="text1"/>
          <w:szCs w:val="24"/>
        </w:rPr>
        <w:t xml:space="preserve">Based on </w:t>
      </w:r>
      <w:r w:rsidR="002842D0">
        <w:rPr>
          <w:rFonts w:ascii="Times New Roman" w:hAnsi="Times New Roman" w:cs="Times New Roman"/>
          <w:color w:val="000000" w:themeColor="text1"/>
          <w:szCs w:val="24"/>
        </w:rPr>
        <w:t xml:space="preserve">a </w:t>
      </w:r>
      <w:r w:rsidR="00AD3AE9" w:rsidRPr="004D4D3A">
        <w:rPr>
          <w:rFonts w:ascii="Times New Roman" w:hAnsi="Times New Roman" w:cs="Times New Roman"/>
          <w:color w:val="000000" w:themeColor="text1"/>
          <w:szCs w:val="24"/>
        </w:rPr>
        <w:t xml:space="preserve">large sample of Chinese listed firms, I find that </w:t>
      </w:r>
      <w:r w:rsidR="00214666" w:rsidRPr="004D4D3A">
        <w:rPr>
          <w:rFonts w:ascii="Times New Roman" w:hAnsi="Times New Roman" w:cs="Times New Roman"/>
          <w:color w:val="000000" w:themeColor="text1"/>
          <w:szCs w:val="24"/>
        </w:rPr>
        <w:t xml:space="preserve">successful </w:t>
      </w:r>
      <w:r w:rsidR="00AD3AE9" w:rsidRPr="004D4D3A">
        <w:rPr>
          <w:rFonts w:ascii="Times New Roman" w:hAnsi="Times New Roman" w:cs="Times New Roman"/>
          <w:color w:val="000000" w:themeColor="text1"/>
          <w:szCs w:val="24"/>
        </w:rPr>
        <w:t xml:space="preserve">partner-level opinion shopping increases as </w:t>
      </w:r>
      <w:r w:rsidR="00144480">
        <w:rPr>
          <w:rFonts w:ascii="Times New Roman" w:hAnsi="Times New Roman" w:cs="Times New Roman"/>
          <w:color w:val="000000" w:themeColor="text1"/>
          <w:szCs w:val="24"/>
        </w:rPr>
        <w:t xml:space="preserve">the </w:t>
      </w:r>
      <w:r w:rsidR="006352EE">
        <w:rPr>
          <w:rFonts w:ascii="Times New Roman" w:hAnsi="Times New Roman" w:cs="Times New Roman"/>
          <w:color w:val="000000" w:themeColor="text1"/>
          <w:szCs w:val="24"/>
        </w:rPr>
        <w:t>amounts</w:t>
      </w:r>
      <w:r w:rsidR="00144480">
        <w:rPr>
          <w:rFonts w:ascii="Times New Roman" w:hAnsi="Times New Roman" w:cs="Times New Roman"/>
          <w:color w:val="000000" w:themeColor="text1"/>
          <w:szCs w:val="24"/>
        </w:rPr>
        <w:t xml:space="preserve"> of </w:t>
      </w:r>
      <w:r w:rsidR="00AD3AE9" w:rsidRPr="004D4D3A">
        <w:rPr>
          <w:rFonts w:ascii="Times New Roman" w:hAnsi="Times New Roman" w:cs="Times New Roman"/>
          <w:color w:val="000000" w:themeColor="text1"/>
          <w:szCs w:val="24"/>
        </w:rPr>
        <w:t xml:space="preserve">RPTs </w:t>
      </w:r>
      <w:r w:rsidR="00144480">
        <w:rPr>
          <w:rFonts w:ascii="Times New Roman" w:hAnsi="Times New Roman" w:cs="Times New Roman"/>
          <w:color w:val="000000" w:themeColor="text1"/>
          <w:szCs w:val="24"/>
        </w:rPr>
        <w:t>rises</w:t>
      </w:r>
      <w:r w:rsidR="00AD3AE9" w:rsidRPr="004D4D3A">
        <w:rPr>
          <w:rFonts w:ascii="Times New Roman" w:hAnsi="Times New Roman" w:cs="Times New Roman"/>
          <w:color w:val="000000" w:themeColor="text1"/>
          <w:szCs w:val="24"/>
        </w:rPr>
        <w:t xml:space="preserve">. </w:t>
      </w:r>
      <w:r w:rsidR="002842D0">
        <w:rPr>
          <w:rFonts w:ascii="Times New Roman" w:hAnsi="Times New Roman" w:cs="Times New Roman"/>
          <w:color w:val="000000" w:themeColor="text1"/>
          <w:szCs w:val="24"/>
        </w:rPr>
        <w:t xml:space="preserve">I also find that </w:t>
      </w:r>
      <w:r w:rsidR="00D83865">
        <w:rPr>
          <w:rFonts w:ascii="Times New Roman" w:hAnsi="Times New Roman" w:cs="Times New Roman"/>
          <w:color w:val="000000" w:themeColor="text1"/>
          <w:szCs w:val="24"/>
        </w:rPr>
        <w:t>the</w:t>
      </w:r>
      <w:r w:rsidR="00AD3AE9" w:rsidRPr="004D4D3A">
        <w:rPr>
          <w:rFonts w:ascii="Times New Roman" w:hAnsi="Times New Roman" w:cs="Times New Roman"/>
          <w:color w:val="000000" w:themeColor="text1"/>
          <w:szCs w:val="24"/>
        </w:rPr>
        <w:t xml:space="preserve"> positive relation</w:t>
      </w:r>
      <w:r w:rsidR="00144480">
        <w:rPr>
          <w:rFonts w:ascii="Times New Roman" w:hAnsi="Times New Roman" w:cs="Times New Roman"/>
          <w:color w:val="000000" w:themeColor="text1"/>
          <w:szCs w:val="24"/>
        </w:rPr>
        <w:t>ship</w:t>
      </w:r>
      <w:r w:rsidR="00AD3AE9" w:rsidRPr="004D4D3A">
        <w:rPr>
          <w:rFonts w:ascii="Times New Roman" w:hAnsi="Times New Roman" w:cs="Times New Roman"/>
          <w:color w:val="000000" w:themeColor="text1"/>
          <w:szCs w:val="24"/>
        </w:rPr>
        <w:t xml:space="preserve"> between RPTs and </w:t>
      </w:r>
      <w:r w:rsidR="00214666" w:rsidRPr="004D4D3A">
        <w:rPr>
          <w:rFonts w:ascii="Times New Roman" w:hAnsi="Times New Roman" w:cs="Times New Roman"/>
          <w:color w:val="000000" w:themeColor="text1"/>
          <w:szCs w:val="24"/>
        </w:rPr>
        <w:t xml:space="preserve">successful </w:t>
      </w:r>
      <w:r w:rsidR="00AD3AE9" w:rsidRPr="004D4D3A">
        <w:rPr>
          <w:rFonts w:ascii="Times New Roman" w:hAnsi="Times New Roman" w:cs="Times New Roman"/>
          <w:color w:val="000000" w:themeColor="text1"/>
          <w:szCs w:val="24"/>
        </w:rPr>
        <w:t xml:space="preserve">opinion shopping </w:t>
      </w:r>
      <w:r w:rsidR="00AC11D5" w:rsidRPr="004D4D3A">
        <w:rPr>
          <w:rFonts w:ascii="Times New Roman" w:hAnsi="Times New Roman" w:cs="Times New Roman"/>
          <w:color w:val="000000" w:themeColor="text1"/>
          <w:szCs w:val="24"/>
        </w:rPr>
        <w:t>is</w:t>
      </w:r>
      <w:r w:rsidR="00AD3AE9" w:rsidRPr="004D4D3A">
        <w:rPr>
          <w:rFonts w:ascii="Times New Roman" w:hAnsi="Times New Roman" w:cs="Times New Roman"/>
          <w:color w:val="000000" w:themeColor="text1"/>
          <w:szCs w:val="24"/>
        </w:rPr>
        <w:t xml:space="preserve"> more pronounced </w:t>
      </w:r>
      <w:r w:rsidR="001C3728" w:rsidRPr="004D4D3A">
        <w:rPr>
          <w:rFonts w:ascii="Times New Roman" w:hAnsi="Times New Roman" w:cs="Times New Roman"/>
          <w:color w:val="000000" w:themeColor="text1"/>
          <w:szCs w:val="24"/>
        </w:rPr>
        <w:t>in</w:t>
      </w:r>
      <w:r w:rsidR="00AD3AE9" w:rsidRPr="004D4D3A">
        <w:rPr>
          <w:rFonts w:ascii="Times New Roman" w:hAnsi="Times New Roman" w:cs="Times New Roman"/>
          <w:color w:val="000000" w:themeColor="text1"/>
          <w:szCs w:val="24"/>
        </w:rPr>
        <w:t xml:space="preserve"> non-operating RPTs. </w:t>
      </w:r>
      <w:r w:rsidR="007A2540" w:rsidRPr="004D4D3A">
        <w:rPr>
          <w:rFonts w:ascii="Times New Roman" w:hAnsi="Times New Roman" w:cs="Times New Roman"/>
          <w:color w:val="000000" w:themeColor="text1"/>
          <w:szCs w:val="24"/>
        </w:rPr>
        <w:t>P</w:t>
      </w:r>
      <w:r w:rsidR="00AD3AE9" w:rsidRPr="004D4D3A">
        <w:rPr>
          <w:rFonts w:ascii="Times New Roman" w:hAnsi="Times New Roman" w:cs="Times New Roman"/>
          <w:color w:val="000000" w:themeColor="text1"/>
          <w:szCs w:val="24"/>
        </w:rPr>
        <w:t xml:space="preserve">olicymakers </w:t>
      </w:r>
      <w:r w:rsidR="002842D0">
        <w:rPr>
          <w:rFonts w:ascii="Times New Roman" w:hAnsi="Times New Roman" w:cs="Times New Roman"/>
          <w:color w:val="000000" w:themeColor="text1"/>
          <w:szCs w:val="24"/>
        </w:rPr>
        <w:t xml:space="preserve">may </w:t>
      </w:r>
      <w:r w:rsidR="00AD3AE9" w:rsidRPr="004D4D3A">
        <w:rPr>
          <w:rFonts w:ascii="Times New Roman" w:hAnsi="Times New Roman" w:cs="Times New Roman"/>
          <w:color w:val="000000" w:themeColor="text1"/>
          <w:szCs w:val="24"/>
        </w:rPr>
        <w:t xml:space="preserve">consider RPTs </w:t>
      </w:r>
      <w:r w:rsidR="007A2540" w:rsidRPr="004D4D3A">
        <w:rPr>
          <w:rFonts w:ascii="Times New Roman" w:hAnsi="Times New Roman" w:cs="Times New Roman"/>
          <w:color w:val="000000" w:themeColor="text1"/>
          <w:szCs w:val="24"/>
        </w:rPr>
        <w:t>to have a significant effect on</w:t>
      </w:r>
      <w:r w:rsidR="00AD3AE9" w:rsidRPr="004D4D3A">
        <w:rPr>
          <w:rFonts w:ascii="Times New Roman" w:hAnsi="Times New Roman" w:cs="Times New Roman"/>
          <w:color w:val="000000" w:themeColor="text1"/>
          <w:szCs w:val="24"/>
        </w:rPr>
        <w:t xml:space="preserve"> auditor independence and design monitoring mechanism</w:t>
      </w:r>
      <w:r w:rsidR="007A2540" w:rsidRPr="004D4D3A">
        <w:rPr>
          <w:rFonts w:ascii="Times New Roman" w:hAnsi="Times New Roman" w:cs="Times New Roman"/>
          <w:color w:val="000000" w:themeColor="text1"/>
          <w:szCs w:val="24"/>
        </w:rPr>
        <w:t>s</w:t>
      </w:r>
      <w:r w:rsidR="00AD3AE9" w:rsidRPr="004D4D3A">
        <w:rPr>
          <w:rFonts w:ascii="Times New Roman" w:hAnsi="Times New Roman" w:cs="Times New Roman"/>
          <w:color w:val="000000" w:themeColor="text1"/>
          <w:szCs w:val="24"/>
        </w:rPr>
        <w:t xml:space="preserve"> to prevent partner-level opinion shopping. </w:t>
      </w:r>
    </w:p>
    <w:p w14:paraId="53B8EC53" w14:textId="77777777" w:rsidR="00C86F37" w:rsidRPr="004D4D3A" w:rsidRDefault="00C86F37">
      <w:pPr>
        <w:rPr>
          <w:rFonts w:ascii="Times New Roman" w:hAnsi="Times New Roman" w:cs="Times New Roman"/>
          <w:color w:val="000000" w:themeColor="text1"/>
        </w:rPr>
      </w:pPr>
    </w:p>
    <w:p w14:paraId="784F1546" w14:textId="528179F0" w:rsidR="00C86F37" w:rsidRPr="004D4D3A" w:rsidRDefault="00C86F37">
      <w:pPr>
        <w:rPr>
          <w:rFonts w:ascii="Times New Roman" w:hAnsi="Times New Roman" w:cs="Times New Roman"/>
          <w:color w:val="000000" w:themeColor="text1"/>
        </w:rPr>
      </w:pPr>
      <w:r w:rsidRPr="004D4D3A">
        <w:rPr>
          <w:rFonts w:ascii="Times New Roman" w:eastAsia="標楷體" w:hAnsi="Times New Roman" w:cs="Times New Roman"/>
          <w:b/>
          <w:color w:val="000000" w:themeColor="text1"/>
        </w:rPr>
        <w:t>Keywords:</w:t>
      </w:r>
      <w:r w:rsidR="00DD032D" w:rsidRPr="004D4D3A">
        <w:rPr>
          <w:rFonts w:ascii="Times New Roman" w:eastAsia="標楷體" w:hAnsi="Times New Roman" w:cs="Times New Roman"/>
          <w:b/>
          <w:color w:val="000000" w:themeColor="text1"/>
        </w:rPr>
        <w:t xml:space="preserve"> </w:t>
      </w:r>
      <w:r w:rsidR="00DD032D" w:rsidRPr="004D4D3A">
        <w:rPr>
          <w:rFonts w:ascii="Times New Roman" w:eastAsia="標楷體" w:hAnsi="Times New Roman" w:cs="Times New Roman"/>
          <w:color w:val="000000" w:themeColor="text1"/>
        </w:rPr>
        <w:t xml:space="preserve">Opinion shopping; </w:t>
      </w:r>
      <w:r w:rsidR="00DE7FE8" w:rsidRPr="004D4D3A">
        <w:rPr>
          <w:rFonts w:ascii="Times New Roman" w:eastAsia="標楷體" w:hAnsi="Times New Roman" w:cs="Times New Roman"/>
          <w:color w:val="000000" w:themeColor="text1"/>
        </w:rPr>
        <w:t>Partner</w:t>
      </w:r>
      <w:r w:rsidR="00DD032D" w:rsidRPr="004D4D3A">
        <w:rPr>
          <w:rFonts w:ascii="Times New Roman" w:eastAsia="標楷體" w:hAnsi="Times New Roman" w:cs="Times New Roman"/>
          <w:color w:val="000000" w:themeColor="text1"/>
        </w:rPr>
        <w:t xml:space="preserve"> switch</w:t>
      </w:r>
      <w:r w:rsidR="007F2BE8" w:rsidRPr="004D4D3A">
        <w:rPr>
          <w:rFonts w:ascii="Times New Roman" w:eastAsia="標楷體" w:hAnsi="Times New Roman" w:cs="Times New Roman"/>
          <w:color w:val="000000" w:themeColor="text1"/>
        </w:rPr>
        <w:t xml:space="preserve">; Audit quality; </w:t>
      </w:r>
      <w:proofErr w:type="gramStart"/>
      <w:r w:rsidR="007F2BE8" w:rsidRPr="004D4D3A">
        <w:rPr>
          <w:rFonts w:ascii="Times New Roman" w:eastAsia="標楷體" w:hAnsi="Times New Roman" w:cs="Times New Roman"/>
          <w:color w:val="000000" w:themeColor="text1"/>
        </w:rPr>
        <w:t>Related</w:t>
      </w:r>
      <w:proofErr w:type="gramEnd"/>
      <w:r w:rsidR="007F2BE8" w:rsidRPr="004D4D3A">
        <w:rPr>
          <w:rFonts w:ascii="Times New Roman" w:eastAsia="標楷體" w:hAnsi="Times New Roman" w:cs="Times New Roman"/>
          <w:color w:val="000000" w:themeColor="text1"/>
        </w:rPr>
        <w:t xml:space="preserve"> party transactions</w:t>
      </w:r>
    </w:p>
    <w:p w14:paraId="0CF01891" w14:textId="77777777" w:rsidR="00C86F37" w:rsidRPr="004D4D3A" w:rsidRDefault="00C86F37">
      <w:pPr>
        <w:rPr>
          <w:rFonts w:ascii="Times New Roman" w:hAnsi="Times New Roman" w:cs="Times New Roman"/>
          <w:color w:val="000000" w:themeColor="text1"/>
        </w:rPr>
      </w:pPr>
      <w:r w:rsidRPr="004D4D3A">
        <w:rPr>
          <w:rFonts w:ascii="Times New Roman" w:hAnsi="Times New Roman" w:cs="Times New Roman"/>
          <w:color w:val="000000" w:themeColor="text1"/>
        </w:rPr>
        <w:br w:type="page"/>
      </w:r>
    </w:p>
    <w:p w14:paraId="71EB2925" w14:textId="217B7E4C" w:rsidR="00A46D08" w:rsidRPr="004D4D3A" w:rsidRDefault="00A46D08" w:rsidP="00A46D08">
      <w:pPr>
        <w:spacing w:line="400" w:lineRule="exact"/>
        <w:jc w:val="center"/>
        <w:rPr>
          <w:rFonts w:ascii="Times New Roman" w:hAnsi="Times New Roman" w:cs="Times New Roman"/>
          <w:b/>
          <w:color w:val="000000" w:themeColor="text1"/>
          <w:sz w:val="32"/>
          <w:szCs w:val="32"/>
        </w:rPr>
      </w:pPr>
      <w:r w:rsidRPr="004D4D3A">
        <w:rPr>
          <w:rFonts w:ascii="Times New Roman" w:hAnsi="Times New Roman" w:cs="Times New Roman"/>
          <w:b/>
          <w:color w:val="000000" w:themeColor="text1"/>
          <w:sz w:val="32"/>
          <w:szCs w:val="32"/>
        </w:rPr>
        <w:lastRenderedPageBreak/>
        <w:t>Related Party Transactions and Opinion Shopping</w:t>
      </w:r>
    </w:p>
    <w:p w14:paraId="6EADBAB6" w14:textId="77777777" w:rsidR="00465A0B" w:rsidRPr="004D4D3A" w:rsidRDefault="00465A0B" w:rsidP="005145EC">
      <w:pPr>
        <w:spacing w:line="400" w:lineRule="exact"/>
        <w:rPr>
          <w:rFonts w:ascii="Times New Roman" w:eastAsia="標楷體" w:hAnsi="Times New Roman" w:cs="Times New Roman"/>
          <w:b/>
          <w:color w:val="000000" w:themeColor="text1"/>
          <w:sz w:val="32"/>
          <w:szCs w:val="32"/>
        </w:rPr>
      </w:pPr>
    </w:p>
    <w:p w14:paraId="57B9D845" w14:textId="77777777" w:rsidR="00EB7254" w:rsidRPr="004D4D3A" w:rsidRDefault="00AD7452" w:rsidP="00A46D08">
      <w:pPr>
        <w:autoSpaceDE w:val="0"/>
        <w:autoSpaceDN w:val="0"/>
        <w:adjustRightInd w:val="0"/>
        <w:spacing w:line="400" w:lineRule="exact"/>
        <w:rPr>
          <w:rFonts w:ascii="Times New Roman" w:eastAsia="標楷體" w:hAnsi="Times New Roman" w:cs="Times New Roman"/>
          <w:b/>
          <w:color w:val="000000" w:themeColor="text1"/>
          <w:kern w:val="0"/>
          <w:sz w:val="28"/>
          <w:szCs w:val="28"/>
        </w:rPr>
      </w:pPr>
      <w:r w:rsidRPr="004D4D3A">
        <w:rPr>
          <w:rFonts w:ascii="Times New Roman" w:eastAsia="標楷體" w:hAnsi="Times New Roman" w:cs="Times New Roman"/>
          <w:b/>
          <w:color w:val="000000" w:themeColor="text1"/>
          <w:kern w:val="0"/>
          <w:sz w:val="28"/>
          <w:szCs w:val="28"/>
        </w:rPr>
        <w:t xml:space="preserve">1. </w:t>
      </w:r>
      <w:r w:rsidR="00EB7254" w:rsidRPr="004D4D3A">
        <w:rPr>
          <w:rFonts w:ascii="Times New Roman" w:eastAsia="標楷體" w:hAnsi="Times New Roman" w:cs="Times New Roman"/>
          <w:b/>
          <w:color w:val="000000" w:themeColor="text1"/>
          <w:kern w:val="0"/>
          <w:sz w:val="28"/>
          <w:szCs w:val="28"/>
        </w:rPr>
        <w:t>Introduction</w:t>
      </w:r>
    </w:p>
    <w:p w14:paraId="0FAABA38" w14:textId="73937707" w:rsidR="00EF1F9E" w:rsidRPr="004D4D3A" w:rsidRDefault="00753C9A" w:rsidP="00FE5134">
      <w:pPr>
        <w:autoSpaceDE w:val="0"/>
        <w:autoSpaceDN w:val="0"/>
        <w:adjustRightInd w:val="0"/>
        <w:spacing w:line="400" w:lineRule="exact"/>
        <w:ind w:firstLineChars="250" w:firstLine="600"/>
        <w:rPr>
          <w:rFonts w:ascii="Times New Roman" w:hAnsi="Times New Roman" w:cs="Times New Roman"/>
          <w:color w:val="000000" w:themeColor="text1"/>
        </w:rPr>
      </w:pPr>
      <w:r>
        <w:rPr>
          <w:rFonts w:ascii="Times New Roman" w:hAnsi="Times New Roman" w:cs="Times New Roman"/>
          <w:color w:val="000000" w:themeColor="text1"/>
        </w:rPr>
        <w:t>Related party transactions (</w:t>
      </w:r>
      <w:r w:rsidR="00EF1F9E" w:rsidRPr="004D4D3A">
        <w:rPr>
          <w:rFonts w:ascii="Times New Roman" w:hAnsi="Times New Roman" w:cs="Times New Roman"/>
          <w:color w:val="000000" w:themeColor="text1"/>
        </w:rPr>
        <w:t>RPTs</w:t>
      </w:r>
      <w:r>
        <w:rPr>
          <w:rFonts w:ascii="Times New Roman" w:hAnsi="Times New Roman" w:cs="Times New Roman"/>
          <w:color w:val="000000" w:themeColor="text1"/>
        </w:rPr>
        <w:t>)</w:t>
      </w:r>
      <w:r w:rsidR="00EF1F9E" w:rsidRPr="004D4D3A">
        <w:rPr>
          <w:rFonts w:ascii="Times New Roman" w:hAnsi="Times New Roman" w:cs="Times New Roman"/>
          <w:color w:val="000000" w:themeColor="text1"/>
        </w:rPr>
        <w:t xml:space="preserve"> </w:t>
      </w:r>
      <w:r>
        <w:rPr>
          <w:rFonts w:ascii="Times New Roman" w:hAnsi="Times New Roman" w:cs="Times New Roman"/>
          <w:color w:val="000000" w:themeColor="text1"/>
        </w:rPr>
        <w:t>involve</w:t>
      </w:r>
      <w:r w:rsidR="00EF1F9E" w:rsidRPr="004D4D3A">
        <w:rPr>
          <w:rFonts w:ascii="Times New Roman" w:hAnsi="Times New Roman" w:cs="Times New Roman"/>
          <w:color w:val="000000" w:themeColor="text1"/>
        </w:rPr>
        <w:t xml:space="preserve"> a company </w:t>
      </w:r>
      <w:r>
        <w:rPr>
          <w:rFonts w:ascii="Times New Roman" w:hAnsi="Times New Roman" w:cs="Times New Roman"/>
          <w:color w:val="000000" w:themeColor="text1"/>
        </w:rPr>
        <w:t>transacting with</w:t>
      </w:r>
      <w:r w:rsidR="00EF1F9E" w:rsidRPr="004D4D3A">
        <w:rPr>
          <w:rFonts w:ascii="Times New Roman" w:hAnsi="Times New Roman" w:cs="Times New Roman"/>
          <w:color w:val="000000" w:themeColor="text1"/>
        </w:rPr>
        <w:t xml:space="preserve"> its related entities (e.g., subsidiaries, affiliates, principal owners, directors, </w:t>
      </w:r>
      <w:r>
        <w:rPr>
          <w:rFonts w:ascii="Times New Roman" w:hAnsi="Times New Roman" w:cs="Times New Roman"/>
          <w:color w:val="000000" w:themeColor="text1"/>
        </w:rPr>
        <w:t>or</w:t>
      </w:r>
      <w:r w:rsidR="00EF1F9E" w:rsidRPr="004D4D3A">
        <w:rPr>
          <w:rFonts w:ascii="Times New Roman" w:hAnsi="Times New Roman" w:cs="Times New Roman"/>
          <w:color w:val="000000" w:themeColor="text1"/>
        </w:rPr>
        <w:t xml:space="preserve"> officers). </w:t>
      </w:r>
      <w:r>
        <w:rPr>
          <w:rFonts w:ascii="Times New Roman" w:hAnsi="Times New Roman" w:cs="Times New Roman"/>
          <w:color w:val="000000" w:themeColor="text1"/>
        </w:rPr>
        <w:t xml:space="preserve">Companies often use </w:t>
      </w:r>
      <w:r w:rsidR="00EF1F9E" w:rsidRPr="004D4D3A">
        <w:rPr>
          <w:rFonts w:ascii="Times New Roman" w:hAnsi="Times New Roman" w:cs="Times New Roman"/>
          <w:color w:val="000000" w:themeColor="text1"/>
        </w:rPr>
        <w:t xml:space="preserve">RPTs </w:t>
      </w:r>
      <w:r>
        <w:rPr>
          <w:rFonts w:ascii="Times New Roman" w:hAnsi="Times New Roman" w:cs="Times New Roman"/>
          <w:color w:val="000000" w:themeColor="text1"/>
        </w:rPr>
        <w:t xml:space="preserve">as a mechanism </w:t>
      </w:r>
      <w:r w:rsidRPr="004D4D3A">
        <w:rPr>
          <w:rFonts w:ascii="Times New Roman" w:hAnsi="Times New Roman" w:cs="Times New Roman"/>
          <w:color w:val="000000" w:themeColor="text1"/>
        </w:rPr>
        <w:t xml:space="preserve">for financial fraud and for minority shareholder expropriation </w:t>
      </w:r>
      <w:r w:rsidR="00983778">
        <w:rPr>
          <w:rFonts w:ascii="Times New Roman" w:hAnsi="Times New Roman" w:cs="Times New Roman"/>
          <w:color w:val="000000" w:themeColor="text1"/>
        </w:rPr>
        <w:t xml:space="preserve">despite its potential to support </w:t>
      </w:r>
      <w:r w:rsidR="00EF1F9E" w:rsidRPr="004D4D3A">
        <w:rPr>
          <w:rFonts w:ascii="Times New Roman" w:hAnsi="Times New Roman" w:cs="Times New Roman"/>
          <w:color w:val="000000" w:themeColor="text1"/>
        </w:rPr>
        <w:t xml:space="preserve">genuine business </w:t>
      </w:r>
      <w:r w:rsidR="00983778">
        <w:rPr>
          <w:rFonts w:ascii="Times New Roman" w:hAnsi="Times New Roman" w:cs="Times New Roman"/>
          <w:color w:val="000000" w:themeColor="text1"/>
        </w:rPr>
        <w:t>transactions</w:t>
      </w:r>
      <w:r w:rsidR="003127D6">
        <w:rPr>
          <w:rFonts w:ascii="Times New Roman" w:hAnsi="Times New Roman" w:cs="Times New Roman"/>
          <w:color w:val="000000" w:themeColor="text1"/>
        </w:rPr>
        <w:t xml:space="preserve"> </w:t>
      </w:r>
      <w:r w:rsidR="003127D6" w:rsidRPr="004D4D3A">
        <w:rPr>
          <w:rFonts w:ascii="Times New Roman" w:hAnsi="Times New Roman" w:cs="Times New Roman"/>
          <w:color w:val="000000" w:themeColor="text1"/>
        </w:rPr>
        <w:t>(</w:t>
      </w:r>
      <w:proofErr w:type="spellStart"/>
      <w:r w:rsidR="003127D6" w:rsidRPr="004D4D3A">
        <w:rPr>
          <w:rFonts w:ascii="Times New Roman" w:hAnsi="Times New Roman" w:cs="Times New Roman"/>
          <w:color w:val="000000" w:themeColor="text1"/>
        </w:rPr>
        <w:t>Kohlbeck</w:t>
      </w:r>
      <w:proofErr w:type="spellEnd"/>
      <w:r w:rsidR="003127D6" w:rsidRPr="004D4D3A">
        <w:rPr>
          <w:rFonts w:ascii="Times New Roman" w:hAnsi="Times New Roman" w:cs="Times New Roman"/>
          <w:color w:val="000000" w:themeColor="text1"/>
        </w:rPr>
        <w:t xml:space="preserve"> and Mayhew, 2010; </w:t>
      </w:r>
      <w:proofErr w:type="spellStart"/>
      <w:r w:rsidR="003127D6" w:rsidRPr="004D4D3A">
        <w:rPr>
          <w:rFonts w:ascii="Times New Roman" w:hAnsi="Times New Roman" w:cs="Times New Roman"/>
          <w:color w:val="000000" w:themeColor="text1"/>
        </w:rPr>
        <w:t>Ryngaert</w:t>
      </w:r>
      <w:proofErr w:type="spellEnd"/>
      <w:r w:rsidR="003127D6" w:rsidRPr="004D4D3A">
        <w:rPr>
          <w:rFonts w:ascii="Times New Roman" w:hAnsi="Times New Roman" w:cs="Times New Roman"/>
          <w:color w:val="000000" w:themeColor="text1"/>
        </w:rPr>
        <w:t xml:space="preserve"> and Thomas, 2012)</w:t>
      </w:r>
      <w:r w:rsidR="00EF1F9E" w:rsidRPr="004D4D3A">
        <w:rPr>
          <w:rFonts w:ascii="Times New Roman" w:hAnsi="Times New Roman" w:cs="Times New Roman"/>
          <w:color w:val="000000" w:themeColor="text1"/>
        </w:rPr>
        <w:t xml:space="preserve">. Auditors </w:t>
      </w:r>
      <w:r w:rsidR="00DB485B" w:rsidRPr="004D4D3A">
        <w:rPr>
          <w:rFonts w:ascii="Times New Roman" w:hAnsi="Times New Roman" w:cs="Times New Roman"/>
          <w:color w:val="000000" w:themeColor="text1"/>
        </w:rPr>
        <w:t>play</w:t>
      </w:r>
      <w:r w:rsidR="00EF1F9E" w:rsidRPr="004D4D3A">
        <w:rPr>
          <w:rFonts w:ascii="Times New Roman" w:hAnsi="Times New Roman" w:cs="Times New Roman"/>
          <w:color w:val="000000" w:themeColor="text1"/>
        </w:rPr>
        <w:t xml:space="preserve"> an essential role in the reporting of RPTs </w:t>
      </w:r>
      <w:r w:rsidR="00DB485B" w:rsidRPr="004D4D3A">
        <w:rPr>
          <w:rFonts w:ascii="Times New Roman" w:hAnsi="Times New Roman" w:cs="Times New Roman"/>
          <w:color w:val="000000" w:themeColor="text1"/>
        </w:rPr>
        <w:t>and</w:t>
      </w:r>
      <w:r w:rsidR="00EF1F9E" w:rsidRPr="004D4D3A">
        <w:rPr>
          <w:rFonts w:ascii="Times New Roman" w:hAnsi="Times New Roman" w:cs="Times New Roman"/>
          <w:color w:val="000000" w:themeColor="text1"/>
        </w:rPr>
        <w:t xml:space="preserve"> monitor</w:t>
      </w:r>
      <w:r w:rsidR="00DB485B" w:rsidRPr="004D4D3A">
        <w:rPr>
          <w:rFonts w:ascii="Times New Roman" w:hAnsi="Times New Roman" w:cs="Times New Roman"/>
          <w:color w:val="000000" w:themeColor="text1"/>
        </w:rPr>
        <w:t>ing</w:t>
      </w:r>
      <w:r w:rsidR="00EF1F9E" w:rsidRPr="004D4D3A">
        <w:rPr>
          <w:rFonts w:ascii="Times New Roman" w:hAnsi="Times New Roman" w:cs="Times New Roman"/>
          <w:color w:val="000000" w:themeColor="text1"/>
        </w:rPr>
        <w:t xml:space="preserve"> and curb</w:t>
      </w:r>
      <w:r w:rsidR="00DB485B" w:rsidRPr="004D4D3A">
        <w:rPr>
          <w:rFonts w:ascii="Times New Roman" w:hAnsi="Times New Roman" w:cs="Times New Roman"/>
          <w:color w:val="000000" w:themeColor="text1"/>
        </w:rPr>
        <w:t>ing</w:t>
      </w:r>
      <w:r w:rsidR="00EF1F9E" w:rsidRPr="004D4D3A">
        <w:rPr>
          <w:rFonts w:ascii="Times New Roman" w:hAnsi="Times New Roman" w:cs="Times New Roman"/>
          <w:color w:val="000000" w:themeColor="text1"/>
        </w:rPr>
        <w:t xml:space="preserve"> abusive transactions with related parties (</w:t>
      </w:r>
      <w:proofErr w:type="spellStart"/>
      <w:r w:rsidR="00EF1F9E" w:rsidRPr="004D4D3A">
        <w:rPr>
          <w:rFonts w:ascii="Times New Roman" w:hAnsi="Times New Roman" w:cs="Times New Roman"/>
          <w:color w:val="000000" w:themeColor="text1"/>
        </w:rPr>
        <w:t>Bennouri</w:t>
      </w:r>
      <w:proofErr w:type="spellEnd"/>
      <w:r w:rsidR="00EF1F9E" w:rsidRPr="004D4D3A">
        <w:rPr>
          <w:rFonts w:ascii="Times New Roman" w:hAnsi="Times New Roman" w:cs="Times New Roman"/>
          <w:color w:val="000000" w:themeColor="text1"/>
        </w:rPr>
        <w:t xml:space="preserve"> et al., 2015). In China, </w:t>
      </w:r>
      <w:r w:rsidR="00983778">
        <w:rPr>
          <w:rFonts w:ascii="Times New Roman" w:hAnsi="Times New Roman" w:cs="Times New Roman"/>
          <w:color w:val="000000" w:themeColor="text1"/>
        </w:rPr>
        <w:t xml:space="preserve">where </w:t>
      </w:r>
      <w:r w:rsidR="00EF1F9E" w:rsidRPr="004D4D3A">
        <w:rPr>
          <w:rFonts w:ascii="Times New Roman" w:hAnsi="Times New Roman" w:cs="Times New Roman"/>
          <w:color w:val="000000" w:themeColor="text1"/>
        </w:rPr>
        <w:t xml:space="preserve">RPTs are </w:t>
      </w:r>
      <w:r w:rsidR="00983778">
        <w:rPr>
          <w:rFonts w:ascii="Times New Roman" w:hAnsi="Times New Roman" w:cs="Times New Roman"/>
          <w:color w:val="000000" w:themeColor="text1"/>
        </w:rPr>
        <w:t>particularly</w:t>
      </w:r>
      <w:r w:rsidR="00EF1F9E" w:rsidRPr="004D4D3A">
        <w:rPr>
          <w:rFonts w:ascii="Times New Roman" w:hAnsi="Times New Roman" w:cs="Times New Roman"/>
          <w:color w:val="000000" w:themeColor="text1"/>
        </w:rPr>
        <w:t xml:space="preserve"> prevalent (Jiang and Wong, 2010), and auditors perceive RPTs as an audit risk factor (Habib et al., 2015) which is associated with the issuance of modified audit opinions (MAOs) (</w:t>
      </w:r>
      <w:proofErr w:type="spellStart"/>
      <w:r w:rsidR="00EF1F9E" w:rsidRPr="004D4D3A">
        <w:rPr>
          <w:rFonts w:ascii="Times New Roman" w:hAnsi="Times New Roman" w:cs="Times New Roman"/>
          <w:color w:val="000000" w:themeColor="text1"/>
        </w:rPr>
        <w:t>DeFond</w:t>
      </w:r>
      <w:proofErr w:type="spellEnd"/>
      <w:r w:rsidR="00EF1F9E" w:rsidRPr="004D4D3A">
        <w:rPr>
          <w:rFonts w:ascii="Times New Roman" w:hAnsi="Times New Roman" w:cs="Times New Roman"/>
          <w:color w:val="000000" w:themeColor="text1"/>
        </w:rPr>
        <w:t xml:space="preserve"> et al., 1999; Francis and Krishnam, 1999).</w:t>
      </w:r>
      <w:r w:rsidR="00FE5134">
        <w:rPr>
          <w:rFonts w:ascii="Times New Roman" w:hAnsi="Times New Roman" w:cs="Times New Roman"/>
          <w:color w:val="000000" w:themeColor="text1"/>
        </w:rPr>
        <w:t xml:space="preserve"> </w:t>
      </w:r>
      <w:r w:rsidR="00BB5184">
        <w:rPr>
          <w:rFonts w:ascii="Times New Roman" w:hAnsi="Times New Roman" w:cs="Times New Roman"/>
          <w:color w:val="000000" w:themeColor="text1"/>
        </w:rPr>
        <w:t>Firms engag</w:t>
      </w:r>
      <w:r w:rsidR="00D83865">
        <w:rPr>
          <w:rFonts w:ascii="Times New Roman" w:hAnsi="Times New Roman" w:cs="Times New Roman"/>
          <w:color w:val="000000" w:themeColor="text1"/>
        </w:rPr>
        <w:t>e</w:t>
      </w:r>
      <w:r w:rsidR="00BB5184">
        <w:rPr>
          <w:rFonts w:ascii="Times New Roman" w:hAnsi="Times New Roman" w:cs="Times New Roman"/>
          <w:color w:val="000000" w:themeColor="text1"/>
        </w:rPr>
        <w:t xml:space="preserve"> in p</w:t>
      </w:r>
      <w:r w:rsidR="00EF1F9E" w:rsidRPr="004D4D3A">
        <w:rPr>
          <w:rFonts w:ascii="Times New Roman" w:hAnsi="Times New Roman" w:cs="Times New Roman"/>
          <w:color w:val="000000" w:themeColor="text1"/>
        </w:rPr>
        <w:t xml:space="preserve">artner-level audit opinion shopping </w:t>
      </w:r>
      <w:r w:rsidR="00BB5184">
        <w:rPr>
          <w:rFonts w:ascii="Times New Roman" w:hAnsi="Times New Roman" w:cs="Times New Roman"/>
          <w:color w:val="000000" w:themeColor="text1"/>
        </w:rPr>
        <w:t xml:space="preserve">when they </w:t>
      </w:r>
      <w:r w:rsidR="00EF1F9E" w:rsidRPr="004D4D3A">
        <w:rPr>
          <w:rFonts w:ascii="Times New Roman" w:hAnsi="Times New Roman" w:cs="Times New Roman"/>
          <w:color w:val="000000" w:themeColor="text1"/>
        </w:rPr>
        <w:t>successfully pressur</w:t>
      </w:r>
      <w:r w:rsidR="00DB485B" w:rsidRPr="004D4D3A">
        <w:rPr>
          <w:rFonts w:ascii="Times New Roman" w:hAnsi="Times New Roman" w:cs="Times New Roman"/>
          <w:color w:val="000000" w:themeColor="text1"/>
        </w:rPr>
        <w:t>ing</w:t>
      </w:r>
      <w:r w:rsidR="00EF1F9E" w:rsidRPr="004D4D3A">
        <w:rPr>
          <w:rFonts w:ascii="Times New Roman" w:hAnsi="Times New Roman" w:cs="Times New Roman"/>
          <w:color w:val="000000" w:themeColor="text1"/>
        </w:rPr>
        <w:t xml:space="preserve"> their audit firms to substitute </w:t>
      </w:r>
      <w:r w:rsidR="00DB485B" w:rsidRPr="004D4D3A">
        <w:rPr>
          <w:rFonts w:ascii="Times New Roman" w:hAnsi="Times New Roman" w:cs="Times New Roman"/>
          <w:color w:val="000000" w:themeColor="text1"/>
        </w:rPr>
        <w:t>an</w:t>
      </w:r>
      <w:r w:rsidR="00EF1F9E" w:rsidRPr="004D4D3A">
        <w:rPr>
          <w:rFonts w:ascii="Times New Roman" w:hAnsi="Times New Roman" w:cs="Times New Roman"/>
          <w:color w:val="000000" w:themeColor="text1"/>
        </w:rPr>
        <w:t xml:space="preserve"> engagement partner with a more lenient one to obtain </w:t>
      </w:r>
      <w:r w:rsidR="00BB5184">
        <w:rPr>
          <w:rFonts w:ascii="Times New Roman" w:hAnsi="Times New Roman" w:cs="Times New Roman"/>
          <w:color w:val="000000" w:themeColor="text1"/>
        </w:rPr>
        <w:t xml:space="preserve">a </w:t>
      </w:r>
      <w:r w:rsidR="00EF1F9E" w:rsidRPr="004D4D3A">
        <w:rPr>
          <w:rFonts w:ascii="Times New Roman" w:hAnsi="Times New Roman" w:cs="Times New Roman"/>
          <w:color w:val="000000" w:themeColor="text1"/>
        </w:rPr>
        <w:t xml:space="preserve">more favorable audit opinion. Chinese listed firms </w:t>
      </w:r>
      <w:r w:rsidR="00BB5184">
        <w:rPr>
          <w:rFonts w:ascii="Times New Roman" w:hAnsi="Times New Roman" w:cs="Times New Roman"/>
          <w:color w:val="000000" w:themeColor="text1"/>
        </w:rPr>
        <w:t xml:space="preserve">are particularly </w:t>
      </w:r>
      <w:r w:rsidR="00EF1F9E" w:rsidRPr="004D4D3A">
        <w:rPr>
          <w:rFonts w:ascii="Times New Roman" w:hAnsi="Times New Roman" w:cs="Times New Roman"/>
          <w:color w:val="000000" w:themeColor="text1"/>
        </w:rPr>
        <w:t>succe</w:t>
      </w:r>
      <w:r w:rsidR="00BB5184">
        <w:rPr>
          <w:rFonts w:ascii="Times New Roman" w:hAnsi="Times New Roman" w:cs="Times New Roman"/>
          <w:color w:val="000000" w:themeColor="text1"/>
        </w:rPr>
        <w:t xml:space="preserve">ssful </w:t>
      </w:r>
      <w:r w:rsidR="00EF1F9E" w:rsidRPr="004D4D3A">
        <w:rPr>
          <w:rFonts w:ascii="Times New Roman" w:hAnsi="Times New Roman" w:cs="Times New Roman"/>
          <w:color w:val="000000" w:themeColor="text1"/>
        </w:rPr>
        <w:t xml:space="preserve">in partner-level opinion shopping (Chen et al., 2016). </w:t>
      </w:r>
      <w:r w:rsidR="003127D6">
        <w:rPr>
          <w:rFonts w:ascii="Times New Roman" w:hAnsi="Times New Roman" w:cs="Times New Roman"/>
          <w:color w:val="000000" w:themeColor="text1"/>
        </w:rPr>
        <w:t>Such</w:t>
      </w:r>
      <w:r w:rsidR="008F0E45">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MAO</w:t>
      </w:r>
      <w:r w:rsidR="00D83865">
        <w:rPr>
          <w:rFonts w:ascii="Times New Roman" w:hAnsi="Times New Roman" w:cs="Times New Roman"/>
          <w:color w:val="000000" w:themeColor="text1"/>
        </w:rPr>
        <w:t xml:space="preserve">s associate with </w:t>
      </w:r>
      <w:r w:rsidR="00983778">
        <w:rPr>
          <w:rFonts w:ascii="Times New Roman" w:hAnsi="Times New Roman" w:cs="Times New Roman"/>
          <w:color w:val="000000" w:themeColor="text1"/>
        </w:rPr>
        <w:t xml:space="preserve">severe penalties </w:t>
      </w:r>
      <w:r w:rsidR="00EF1F9E" w:rsidRPr="004D4D3A">
        <w:rPr>
          <w:rFonts w:ascii="Times New Roman" w:hAnsi="Times New Roman" w:cs="Times New Roman"/>
          <w:color w:val="000000" w:themeColor="text1"/>
        </w:rPr>
        <w:t>against Chinese listed firms</w:t>
      </w:r>
      <w:r w:rsidR="00983778">
        <w:rPr>
          <w:rFonts w:ascii="Times New Roman" w:hAnsi="Times New Roman" w:cs="Times New Roman"/>
          <w:color w:val="000000" w:themeColor="text1"/>
        </w:rPr>
        <w:t>;</w:t>
      </w:r>
      <w:r w:rsidR="00EF1F9E" w:rsidRPr="004D4D3A">
        <w:rPr>
          <w:rFonts w:ascii="Times New Roman" w:hAnsi="Times New Roman" w:cs="Times New Roman"/>
          <w:color w:val="000000" w:themeColor="text1"/>
        </w:rPr>
        <w:t xml:space="preserve"> such </w:t>
      </w:r>
      <w:r w:rsidR="00DB5EAA">
        <w:rPr>
          <w:rFonts w:ascii="Times New Roman" w:hAnsi="Times New Roman" w:cs="Times New Roman"/>
          <w:color w:val="000000" w:themeColor="text1"/>
        </w:rPr>
        <w:t>as</w:t>
      </w:r>
      <w:r w:rsidR="00983778">
        <w:rPr>
          <w:rFonts w:ascii="Times New Roman" w:hAnsi="Times New Roman" w:cs="Times New Roman"/>
          <w:color w:val="000000" w:themeColor="text1"/>
        </w:rPr>
        <w:t>,</w:t>
      </w:r>
      <w:r w:rsidR="00DB5EAA">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delisting, suspension of trading, and negative market reaction (Chen et al., 2000; Haw et al., 2003). While there is a growing body of research on the consequences of RPTs from </w:t>
      </w:r>
      <w:r w:rsidR="00DB485B" w:rsidRPr="004D4D3A">
        <w:rPr>
          <w:rFonts w:ascii="Times New Roman" w:hAnsi="Times New Roman" w:cs="Times New Roman"/>
          <w:color w:val="000000" w:themeColor="text1"/>
        </w:rPr>
        <w:t>the</w:t>
      </w:r>
      <w:r w:rsidR="00EF1F9E" w:rsidRPr="004D4D3A">
        <w:rPr>
          <w:rFonts w:ascii="Times New Roman" w:hAnsi="Times New Roman" w:cs="Times New Roman"/>
          <w:color w:val="000000" w:themeColor="text1"/>
        </w:rPr>
        <w:t xml:space="preserve"> firm performance, earnings</w:t>
      </w:r>
      <w:r w:rsidR="00DB485B" w:rsidRPr="004D4D3A">
        <w:rPr>
          <w:rFonts w:ascii="Times New Roman" w:hAnsi="Times New Roman" w:cs="Times New Roman"/>
          <w:color w:val="000000" w:themeColor="text1"/>
        </w:rPr>
        <w:t>,</w:t>
      </w:r>
      <w:r w:rsidR="00EF1F9E" w:rsidRPr="004D4D3A">
        <w:rPr>
          <w:rFonts w:ascii="Times New Roman" w:hAnsi="Times New Roman" w:cs="Times New Roman"/>
          <w:color w:val="000000" w:themeColor="text1"/>
        </w:rPr>
        <w:t xml:space="preserve"> and auditing quality perspectives</w:t>
      </w:r>
      <w:r w:rsidR="00EF1F9E" w:rsidRPr="004D4D3A">
        <w:rPr>
          <w:rStyle w:val="aa"/>
          <w:rFonts w:ascii="Times New Roman" w:hAnsi="Times New Roman" w:cs="Times New Roman"/>
          <w:color w:val="000000" w:themeColor="text1"/>
        </w:rPr>
        <w:footnoteReference w:id="1"/>
      </w:r>
      <w:r w:rsidR="00EF1F9E" w:rsidRPr="004D4D3A">
        <w:rPr>
          <w:rFonts w:ascii="Times New Roman" w:hAnsi="Times New Roman" w:cs="Times New Roman"/>
          <w:color w:val="000000" w:themeColor="text1"/>
        </w:rPr>
        <w:t xml:space="preserve">, there is </w:t>
      </w:r>
      <w:r w:rsidR="00983778">
        <w:rPr>
          <w:rFonts w:ascii="Times New Roman" w:hAnsi="Times New Roman" w:cs="Times New Roman"/>
          <w:color w:val="000000" w:themeColor="text1"/>
        </w:rPr>
        <w:t xml:space="preserve">scant </w:t>
      </w:r>
      <w:r w:rsidR="00EF1F9E" w:rsidRPr="004D4D3A">
        <w:rPr>
          <w:rFonts w:ascii="Times New Roman" w:hAnsi="Times New Roman" w:cs="Times New Roman"/>
          <w:color w:val="000000" w:themeColor="text1"/>
        </w:rPr>
        <w:t xml:space="preserve">evidence </w:t>
      </w:r>
      <w:r w:rsidR="00983778">
        <w:rPr>
          <w:rFonts w:ascii="Times New Roman" w:hAnsi="Times New Roman" w:cs="Times New Roman"/>
          <w:color w:val="000000" w:themeColor="text1"/>
        </w:rPr>
        <w:t>as to</w:t>
      </w:r>
      <w:r w:rsidR="00EF1F9E" w:rsidRPr="004D4D3A">
        <w:rPr>
          <w:rFonts w:ascii="Times New Roman" w:hAnsi="Times New Roman" w:cs="Times New Roman"/>
          <w:color w:val="000000" w:themeColor="text1"/>
        </w:rPr>
        <w:t xml:space="preserve"> whether RPTs result in partner-level opinion shopping. </w:t>
      </w:r>
      <w:r w:rsidR="00983778">
        <w:rPr>
          <w:rFonts w:ascii="Times New Roman" w:hAnsi="Times New Roman" w:cs="Times New Roman"/>
          <w:color w:val="000000" w:themeColor="text1"/>
        </w:rPr>
        <w:t>In this study</w:t>
      </w:r>
      <w:r w:rsidR="008F0E45">
        <w:rPr>
          <w:rFonts w:ascii="Times New Roman" w:hAnsi="Times New Roman" w:cs="Times New Roman"/>
          <w:color w:val="000000" w:themeColor="text1"/>
        </w:rPr>
        <w:t>,</w:t>
      </w:r>
      <w:r w:rsidR="00983778">
        <w:rPr>
          <w:rFonts w:ascii="Times New Roman" w:hAnsi="Times New Roman" w:cs="Times New Roman"/>
          <w:color w:val="000000" w:themeColor="text1"/>
        </w:rPr>
        <w:t xml:space="preserve"> </w:t>
      </w:r>
      <w:r w:rsidR="008F0E45">
        <w:rPr>
          <w:rFonts w:ascii="Times New Roman" w:hAnsi="Times New Roman" w:cs="Times New Roman"/>
          <w:color w:val="000000" w:themeColor="text1"/>
        </w:rPr>
        <w:t>I</w:t>
      </w:r>
      <w:r w:rsidR="00983778">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investigate whether firms conduct</w:t>
      </w:r>
      <w:r w:rsidR="008F0E45">
        <w:rPr>
          <w:rFonts w:ascii="Times New Roman" w:hAnsi="Times New Roman" w:cs="Times New Roman"/>
          <w:color w:val="000000" w:themeColor="text1"/>
        </w:rPr>
        <w:t xml:space="preserve"> significant amounts </w:t>
      </w:r>
      <w:r w:rsidR="00983778">
        <w:rPr>
          <w:rFonts w:ascii="Times New Roman" w:hAnsi="Times New Roman" w:cs="Times New Roman"/>
          <w:color w:val="000000" w:themeColor="text1"/>
        </w:rPr>
        <w:t>of</w:t>
      </w:r>
      <w:r w:rsidR="003F07A8" w:rsidRPr="004D4D3A">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RPTs </w:t>
      </w:r>
      <w:r w:rsidR="00983778">
        <w:rPr>
          <w:rFonts w:ascii="Times New Roman" w:hAnsi="Times New Roman" w:cs="Times New Roman"/>
          <w:color w:val="000000" w:themeColor="text1"/>
        </w:rPr>
        <w:t xml:space="preserve">are incentivized </w:t>
      </w:r>
      <w:r w:rsidR="00EF1F9E" w:rsidRPr="004D4D3A">
        <w:rPr>
          <w:rFonts w:ascii="Times New Roman" w:hAnsi="Times New Roman" w:cs="Times New Roman"/>
          <w:color w:val="000000" w:themeColor="text1"/>
        </w:rPr>
        <w:t xml:space="preserve">to </w:t>
      </w:r>
      <w:r w:rsidR="00DB485B" w:rsidRPr="004D4D3A">
        <w:rPr>
          <w:rFonts w:ascii="Times New Roman" w:hAnsi="Times New Roman" w:cs="Times New Roman"/>
          <w:color w:val="000000" w:themeColor="text1"/>
        </w:rPr>
        <w:t xml:space="preserve">compel </w:t>
      </w:r>
      <w:r w:rsidR="00214C9B" w:rsidRPr="004D4D3A">
        <w:rPr>
          <w:rFonts w:ascii="Times New Roman" w:hAnsi="Times New Roman" w:cs="Times New Roman"/>
          <w:color w:val="000000" w:themeColor="text1"/>
        </w:rPr>
        <w:t>their</w:t>
      </w:r>
      <w:r w:rsidR="00EF1F9E" w:rsidRPr="004D4D3A">
        <w:rPr>
          <w:rFonts w:ascii="Times New Roman" w:hAnsi="Times New Roman" w:cs="Times New Roman"/>
          <w:color w:val="000000" w:themeColor="text1"/>
        </w:rPr>
        <w:t xml:space="preserve"> audit firm to switch </w:t>
      </w:r>
      <w:r w:rsidR="00DB485B" w:rsidRPr="004D4D3A">
        <w:rPr>
          <w:rFonts w:ascii="Times New Roman" w:hAnsi="Times New Roman" w:cs="Times New Roman"/>
          <w:color w:val="000000" w:themeColor="text1"/>
        </w:rPr>
        <w:t xml:space="preserve">its </w:t>
      </w:r>
      <w:r w:rsidR="00EF1F9E" w:rsidRPr="004D4D3A">
        <w:rPr>
          <w:rFonts w:ascii="Times New Roman" w:hAnsi="Times New Roman" w:cs="Times New Roman"/>
          <w:color w:val="000000" w:themeColor="text1"/>
        </w:rPr>
        <w:t xml:space="preserve">engagement partner to obtain more favorable opinions. </w:t>
      </w:r>
    </w:p>
    <w:p w14:paraId="08D52928" w14:textId="7F8AB449" w:rsidR="00E5083D" w:rsidRPr="004D4D3A" w:rsidRDefault="00037007" w:rsidP="00E5083D">
      <w:pPr>
        <w:autoSpaceDE w:val="0"/>
        <w:autoSpaceDN w:val="0"/>
        <w:adjustRightInd w:val="0"/>
        <w:spacing w:line="400" w:lineRule="exact"/>
        <w:ind w:firstLineChars="200" w:firstLine="480"/>
        <w:rPr>
          <w:rFonts w:ascii="Times New Roman" w:eastAsia="新細明體" w:hAnsi="Times New Roman" w:cs="Times New Roman"/>
          <w:color w:val="000000" w:themeColor="text1"/>
        </w:rPr>
      </w:pPr>
      <w:r w:rsidRPr="004D4D3A">
        <w:rPr>
          <w:rFonts w:ascii="Times New Roman" w:hAnsi="Times New Roman" w:cs="Times New Roman"/>
          <w:color w:val="000000" w:themeColor="text1"/>
        </w:rPr>
        <w:t>RPTs can be value-destroying if they are used as a means for managerial opportunism.</w:t>
      </w:r>
      <w:r w:rsidR="00E5083D" w:rsidRPr="004D4D3A">
        <w:rPr>
          <w:rFonts w:ascii="Times New Roman" w:hAnsi="Times New Roman" w:cs="Times New Roman"/>
          <w:color w:val="000000" w:themeColor="text1"/>
        </w:rPr>
        <w:t xml:space="preserve"> Th</w:t>
      </w:r>
      <w:r w:rsidR="00E5083D">
        <w:rPr>
          <w:rFonts w:ascii="Times New Roman" w:hAnsi="Times New Roman" w:cs="Times New Roman"/>
          <w:color w:val="000000" w:themeColor="text1"/>
        </w:rPr>
        <w:t xml:space="preserve">ere is a widely reported </w:t>
      </w:r>
      <w:r w:rsidR="00E5083D" w:rsidRPr="004D4D3A">
        <w:rPr>
          <w:rFonts w:ascii="Times New Roman" w:hAnsi="Times New Roman" w:cs="Times New Roman"/>
          <w:color w:val="000000" w:themeColor="text1"/>
        </w:rPr>
        <w:t>negative association between the use of RPTs and firm value.</w:t>
      </w:r>
      <w:r w:rsidR="00E5083D">
        <w:rPr>
          <w:rStyle w:val="aa"/>
          <w:rFonts w:ascii="Times New Roman" w:hAnsi="Times New Roman" w:cs="Times New Roman"/>
          <w:color w:val="000000" w:themeColor="text1"/>
        </w:rPr>
        <w:footnoteReference w:id="2"/>
      </w:r>
      <w:r w:rsidR="00E5083D">
        <w:rPr>
          <w:rStyle w:val="ab"/>
        </w:rPr>
        <w:t xml:space="preserve"> </w:t>
      </w:r>
      <w:r w:rsidR="00E5083D" w:rsidRPr="004D4D3A">
        <w:rPr>
          <w:rFonts w:ascii="Times New Roman" w:hAnsi="Times New Roman" w:cs="Times New Roman"/>
          <w:color w:val="000000" w:themeColor="text1"/>
        </w:rPr>
        <w:t xml:space="preserve">Controlling owners of listed companies frequently engage in RPTs to gain private benefits at the expense of minority shareholders (Chen et al., 2009; Cheung et al., 2009; </w:t>
      </w:r>
      <w:proofErr w:type="spellStart"/>
      <w:r w:rsidR="00E5083D" w:rsidRPr="004D4D3A">
        <w:rPr>
          <w:rFonts w:ascii="Times New Roman" w:hAnsi="Times New Roman" w:cs="Times New Roman"/>
          <w:color w:val="000000" w:themeColor="text1"/>
        </w:rPr>
        <w:t>Aharony</w:t>
      </w:r>
      <w:proofErr w:type="spellEnd"/>
      <w:r w:rsidR="00E5083D" w:rsidRPr="004D4D3A">
        <w:rPr>
          <w:rFonts w:ascii="Times New Roman" w:hAnsi="Times New Roman" w:cs="Times New Roman"/>
          <w:color w:val="000000" w:themeColor="text1"/>
        </w:rPr>
        <w:t xml:space="preserve"> et al., 2010). </w:t>
      </w:r>
      <w:r w:rsidR="00F11610">
        <w:rPr>
          <w:rFonts w:ascii="Times New Roman" w:hAnsi="Times New Roman" w:cs="Times New Roman"/>
          <w:color w:val="000000" w:themeColor="text1"/>
        </w:rPr>
        <w:t xml:space="preserve">Such transactions </w:t>
      </w:r>
      <w:r w:rsidR="00E5083D">
        <w:rPr>
          <w:rFonts w:ascii="Times New Roman" w:hAnsi="Times New Roman" w:cs="Times New Roman"/>
          <w:color w:val="000000" w:themeColor="text1"/>
        </w:rPr>
        <w:t xml:space="preserve">are </w:t>
      </w:r>
      <w:r w:rsidR="00E5083D" w:rsidRPr="004D4D3A">
        <w:rPr>
          <w:rFonts w:ascii="Times New Roman" w:hAnsi="Times New Roman" w:cs="Times New Roman"/>
          <w:color w:val="000000" w:themeColor="text1"/>
        </w:rPr>
        <w:t xml:space="preserve">frequently </w:t>
      </w:r>
      <w:r w:rsidR="00F11610">
        <w:rPr>
          <w:rFonts w:ascii="Times New Roman" w:hAnsi="Times New Roman" w:cs="Times New Roman"/>
          <w:color w:val="000000" w:themeColor="text1"/>
        </w:rPr>
        <w:t xml:space="preserve">pertinent to </w:t>
      </w:r>
      <w:r w:rsidR="00E5083D" w:rsidRPr="004D4D3A">
        <w:rPr>
          <w:rFonts w:ascii="Times New Roman" w:hAnsi="Times New Roman" w:cs="Times New Roman"/>
          <w:color w:val="000000" w:themeColor="text1"/>
        </w:rPr>
        <w:t xml:space="preserve">earnings </w:t>
      </w:r>
      <w:r w:rsidR="00E5083D">
        <w:rPr>
          <w:rFonts w:ascii="Times New Roman" w:hAnsi="Times New Roman" w:cs="Times New Roman"/>
          <w:color w:val="000000" w:themeColor="text1"/>
        </w:rPr>
        <w:t>manipulation</w:t>
      </w:r>
      <w:r w:rsidR="00E5083D" w:rsidRPr="004D4D3A">
        <w:rPr>
          <w:rFonts w:ascii="Times New Roman" w:hAnsi="Times New Roman" w:cs="Times New Roman"/>
          <w:color w:val="000000" w:themeColor="text1"/>
        </w:rPr>
        <w:t xml:space="preserve"> (Jian and Wong, 2004; </w:t>
      </w:r>
      <w:proofErr w:type="spellStart"/>
      <w:r w:rsidR="00E5083D" w:rsidRPr="004D4D3A">
        <w:rPr>
          <w:rFonts w:ascii="Times New Roman" w:hAnsi="Times New Roman" w:cs="Times New Roman"/>
          <w:color w:val="000000" w:themeColor="text1"/>
        </w:rPr>
        <w:t>Aharony</w:t>
      </w:r>
      <w:proofErr w:type="spellEnd"/>
      <w:r w:rsidR="00E5083D" w:rsidRPr="004D4D3A">
        <w:rPr>
          <w:rFonts w:ascii="Times New Roman" w:hAnsi="Times New Roman" w:cs="Times New Roman"/>
          <w:color w:val="000000" w:themeColor="text1"/>
        </w:rPr>
        <w:t xml:space="preserve"> et al., 2010). In addition, the disclosure of RPTs relate</w:t>
      </w:r>
      <w:r w:rsidR="00E5083D">
        <w:rPr>
          <w:rFonts w:ascii="Times New Roman" w:hAnsi="Times New Roman" w:cs="Times New Roman"/>
          <w:color w:val="000000" w:themeColor="text1"/>
        </w:rPr>
        <w:t>s</w:t>
      </w:r>
      <w:r w:rsidR="00E5083D" w:rsidRPr="004D4D3A">
        <w:rPr>
          <w:rFonts w:ascii="Times New Roman" w:hAnsi="Times New Roman" w:cs="Times New Roman"/>
          <w:color w:val="000000" w:themeColor="text1"/>
        </w:rPr>
        <w:t xml:space="preserve"> to a persistent negative risk-adjusted return for up to 12 months (Jiang et al., 2010; </w:t>
      </w:r>
      <w:proofErr w:type="spellStart"/>
      <w:r w:rsidR="00E5083D" w:rsidRPr="004D4D3A">
        <w:rPr>
          <w:rFonts w:ascii="Times New Roman" w:hAnsi="Times New Roman" w:cs="Times New Roman"/>
          <w:color w:val="000000" w:themeColor="text1"/>
        </w:rPr>
        <w:t>Kohlbeck</w:t>
      </w:r>
      <w:proofErr w:type="spellEnd"/>
      <w:r w:rsidR="00E5083D" w:rsidRPr="004D4D3A">
        <w:rPr>
          <w:rFonts w:ascii="Times New Roman" w:hAnsi="Times New Roman" w:cs="Times New Roman"/>
          <w:color w:val="000000" w:themeColor="text1"/>
        </w:rPr>
        <w:t xml:space="preserve"> and Mayhew, 2010) and an increased</w:t>
      </w:r>
      <w:r w:rsidR="00E5083D">
        <w:rPr>
          <w:rFonts w:ascii="Times New Roman" w:hAnsi="Times New Roman" w:cs="Times New Roman"/>
          <w:color w:val="000000" w:themeColor="text1"/>
        </w:rPr>
        <w:t xml:space="preserve"> probability</w:t>
      </w:r>
      <w:r w:rsidR="00E5083D" w:rsidRPr="004D4D3A">
        <w:rPr>
          <w:rFonts w:ascii="Times New Roman" w:hAnsi="Times New Roman" w:cs="Times New Roman"/>
          <w:color w:val="000000" w:themeColor="text1"/>
        </w:rPr>
        <w:t xml:space="preserve"> </w:t>
      </w:r>
      <w:r w:rsidR="00E5083D">
        <w:rPr>
          <w:rFonts w:ascii="Times New Roman" w:hAnsi="Times New Roman" w:cs="Times New Roman"/>
          <w:color w:val="000000" w:themeColor="text1"/>
        </w:rPr>
        <w:t xml:space="preserve">the </w:t>
      </w:r>
      <w:r w:rsidR="00E5083D" w:rsidRPr="004D4D3A">
        <w:rPr>
          <w:rFonts w:ascii="Times New Roman" w:hAnsi="Times New Roman" w:cs="Times New Roman"/>
          <w:color w:val="000000" w:themeColor="text1"/>
        </w:rPr>
        <w:t xml:space="preserve">firm will </w:t>
      </w:r>
      <w:r w:rsidR="00E5083D">
        <w:rPr>
          <w:rFonts w:ascii="Times New Roman" w:hAnsi="Times New Roman" w:cs="Times New Roman"/>
          <w:color w:val="000000" w:themeColor="text1"/>
        </w:rPr>
        <w:t>become</w:t>
      </w:r>
      <w:r w:rsidR="00E5083D" w:rsidRPr="004D4D3A">
        <w:rPr>
          <w:rFonts w:ascii="Times New Roman" w:hAnsi="Times New Roman" w:cs="Times New Roman"/>
          <w:color w:val="000000" w:themeColor="text1"/>
        </w:rPr>
        <w:t xml:space="preserve"> financial distress</w:t>
      </w:r>
      <w:r w:rsidR="00E5083D">
        <w:rPr>
          <w:rFonts w:ascii="Times New Roman" w:hAnsi="Times New Roman" w:cs="Times New Roman"/>
          <w:color w:val="000000" w:themeColor="text1"/>
        </w:rPr>
        <w:t>ed</w:t>
      </w:r>
      <w:r w:rsidR="00E5083D" w:rsidRPr="004D4D3A">
        <w:rPr>
          <w:rFonts w:ascii="Times New Roman" w:hAnsi="Times New Roman" w:cs="Times New Roman"/>
          <w:color w:val="000000" w:themeColor="text1"/>
        </w:rPr>
        <w:t xml:space="preserve"> or deregister its securities (</w:t>
      </w:r>
      <w:proofErr w:type="spellStart"/>
      <w:r w:rsidR="00E5083D" w:rsidRPr="004D4D3A">
        <w:rPr>
          <w:rFonts w:ascii="Times New Roman" w:hAnsi="Times New Roman" w:cs="Times New Roman"/>
          <w:color w:val="000000" w:themeColor="text1"/>
        </w:rPr>
        <w:t>Ryngaert</w:t>
      </w:r>
      <w:proofErr w:type="spellEnd"/>
      <w:r w:rsidR="00E5083D" w:rsidRPr="004D4D3A">
        <w:rPr>
          <w:rFonts w:ascii="Times New Roman" w:hAnsi="Times New Roman" w:cs="Times New Roman"/>
          <w:color w:val="000000" w:themeColor="text1"/>
        </w:rPr>
        <w:t xml:space="preserve"> and Thomas, 2012).</w:t>
      </w:r>
      <w:r w:rsidR="00E5083D" w:rsidRPr="004D4D3A">
        <w:rPr>
          <w:rStyle w:val="aa"/>
          <w:rFonts w:ascii="Times New Roman" w:hAnsi="Times New Roman" w:cs="Times New Roman"/>
          <w:color w:val="000000" w:themeColor="text1"/>
        </w:rPr>
        <w:footnoteReference w:id="3"/>
      </w:r>
      <w:r w:rsidR="00E5083D" w:rsidRPr="004D4D3A">
        <w:rPr>
          <w:rFonts w:ascii="Times New Roman" w:hAnsi="Times New Roman" w:cs="Times New Roman"/>
          <w:color w:val="000000" w:themeColor="text1"/>
        </w:rPr>
        <w:t xml:space="preserve"> </w:t>
      </w:r>
      <w:r w:rsidR="00E5083D">
        <w:rPr>
          <w:rFonts w:ascii="Times New Roman" w:hAnsi="Times New Roman" w:cs="Times New Roman"/>
          <w:color w:val="000000" w:themeColor="text1"/>
        </w:rPr>
        <w:t xml:space="preserve">While this represents the downside of </w:t>
      </w:r>
      <w:r w:rsidR="00E5083D" w:rsidRPr="004D4D3A">
        <w:rPr>
          <w:rFonts w:ascii="Times New Roman" w:hAnsi="Times New Roman" w:cs="Times New Roman"/>
          <w:color w:val="000000" w:themeColor="text1"/>
        </w:rPr>
        <w:t>RPTs</w:t>
      </w:r>
      <w:r w:rsidR="00F11610">
        <w:rPr>
          <w:rFonts w:ascii="Times New Roman" w:hAnsi="Times New Roman" w:cs="Times New Roman"/>
          <w:color w:val="000000" w:themeColor="text1"/>
        </w:rPr>
        <w:t>,</w:t>
      </w:r>
      <w:r w:rsidR="00E5083D" w:rsidRPr="004D4D3A">
        <w:rPr>
          <w:rFonts w:ascii="Times New Roman" w:hAnsi="Times New Roman" w:cs="Times New Roman"/>
          <w:color w:val="000000" w:themeColor="text1"/>
        </w:rPr>
        <w:t xml:space="preserve"> </w:t>
      </w:r>
      <w:r w:rsidR="00E5083D">
        <w:rPr>
          <w:rFonts w:ascii="Times New Roman" w:hAnsi="Times New Roman" w:cs="Times New Roman"/>
          <w:color w:val="000000" w:themeColor="text1"/>
        </w:rPr>
        <w:t xml:space="preserve">their </w:t>
      </w:r>
      <w:r w:rsidR="00E5083D">
        <w:rPr>
          <w:rFonts w:ascii="Times New Roman" w:hAnsi="Times New Roman" w:cs="Times New Roman"/>
          <w:color w:val="000000" w:themeColor="text1"/>
        </w:rPr>
        <w:lastRenderedPageBreak/>
        <w:t xml:space="preserve">upside include fulfilling </w:t>
      </w:r>
      <w:r w:rsidR="00E5083D" w:rsidRPr="004D4D3A">
        <w:rPr>
          <w:rFonts w:ascii="Times New Roman" w:hAnsi="Times New Roman" w:cs="Times New Roman"/>
          <w:color w:val="000000" w:themeColor="text1"/>
        </w:rPr>
        <w:t>normal business activities</w:t>
      </w:r>
      <w:r w:rsidR="00E5083D">
        <w:rPr>
          <w:rFonts w:ascii="Times New Roman" w:hAnsi="Times New Roman" w:cs="Times New Roman"/>
          <w:color w:val="000000" w:themeColor="text1"/>
        </w:rPr>
        <w:t>;</w:t>
      </w:r>
      <w:r w:rsidR="00E5083D" w:rsidRPr="004D4D3A">
        <w:rPr>
          <w:rFonts w:ascii="Times New Roman" w:hAnsi="Times New Roman" w:cs="Times New Roman"/>
          <w:color w:val="000000" w:themeColor="text1"/>
        </w:rPr>
        <w:t xml:space="preserve"> </w:t>
      </w:r>
      <w:r w:rsidR="00E5083D">
        <w:rPr>
          <w:rFonts w:ascii="Times New Roman" w:hAnsi="Times New Roman" w:cs="Times New Roman"/>
          <w:color w:val="000000" w:themeColor="text1"/>
        </w:rPr>
        <w:t>such as</w:t>
      </w:r>
      <w:r w:rsidR="00E5083D" w:rsidRPr="004D4D3A">
        <w:rPr>
          <w:rFonts w:ascii="Times New Roman" w:hAnsi="Times New Roman" w:cs="Times New Roman"/>
          <w:color w:val="000000" w:themeColor="text1"/>
        </w:rPr>
        <w:t>, optimiz</w:t>
      </w:r>
      <w:r w:rsidR="00E5083D">
        <w:rPr>
          <w:rFonts w:ascii="Times New Roman" w:hAnsi="Times New Roman" w:cs="Times New Roman"/>
          <w:color w:val="000000" w:themeColor="text1"/>
        </w:rPr>
        <w:t>ing</w:t>
      </w:r>
      <w:r w:rsidR="00E5083D" w:rsidRPr="004D4D3A">
        <w:rPr>
          <w:rFonts w:ascii="Times New Roman" w:hAnsi="Times New Roman" w:cs="Times New Roman"/>
          <w:color w:val="000000" w:themeColor="text1"/>
        </w:rPr>
        <w:t xml:space="preserve"> internal resource allocation, reduc</w:t>
      </w:r>
      <w:r w:rsidR="00E5083D">
        <w:rPr>
          <w:rFonts w:ascii="Times New Roman" w:hAnsi="Times New Roman" w:cs="Times New Roman"/>
          <w:color w:val="000000" w:themeColor="text1"/>
        </w:rPr>
        <w:t>ing</w:t>
      </w:r>
      <w:r w:rsidR="00E5083D" w:rsidRPr="004D4D3A">
        <w:rPr>
          <w:rFonts w:ascii="Times New Roman" w:hAnsi="Times New Roman" w:cs="Times New Roman"/>
          <w:color w:val="000000" w:themeColor="text1"/>
        </w:rPr>
        <w:t xml:space="preserve"> transaction costs (Khanna and Palepu, 1997; Shin and Park, 1999), and improv</w:t>
      </w:r>
      <w:r w:rsidR="00E5083D">
        <w:rPr>
          <w:rFonts w:ascii="Times New Roman" w:hAnsi="Times New Roman" w:cs="Times New Roman"/>
          <w:color w:val="000000" w:themeColor="text1"/>
        </w:rPr>
        <w:t>ing</w:t>
      </w:r>
      <w:r w:rsidR="00E5083D" w:rsidRPr="004D4D3A">
        <w:rPr>
          <w:rFonts w:ascii="Times New Roman" w:hAnsi="Times New Roman" w:cs="Times New Roman"/>
          <w:color w:val="000000" w:themeColor="text1"/>
        </w:rPr>
        <w:t xml:space="preserve"> performance (Khanna and Palepu, 2000; Wong et al., 2015). </w:t>
      </w:r>
      <w:r w:rsidR="00E5083D">
        <w:rPr>
          <w:rFonts w:ascii="Times New Roman" w:hAnsi="Times New Roman" w:cs="Times New Roman"/>
          <w:color w:val="000000" w:themeColor="text1"/>
        </w:rPr>
        <w:t>E</w:t>
      </w:r>
      <w:r w:rsidR="00E5083D" w:rsidRPr="004D4D3A">
        <w:rPr>
          <w:rFonts w:ascii="Times New Roman" w:hAnsi="Times New Roman" w:cs="Times New Roman"/>
          <w:color w:val="000000" w:themeColor="text1"/>
        </w:rPr>
        <w:t>mpirical evidence regarding such efficiency-enhancing RPTs is</w:t>
      </w:r>
      <w:r w:rsidR="00E5083D">
        <w:rPr>
          <w:rFonts w:ascii="Times New Roman" w:hAnsi="Times New Roman" w:cs="Times New Roman"/>
          <w:color w:val="000000" w:themeColor="text1"/>
        </w:rPr>
        <w:t>, however,</w:t>
      </w:r>
      <w:r w:rsidR="00E5083D" w:rsidRPr="004D4D3A">
        <w:rPr>
          <w:rFonts w:ascii="Times New Roman" w:hAnsi="Times New Roman" w:cs="Times New Roman"/>
          <w:color w:val="000000" w:themeColor="text1"/>
        </w:rPr>
        <w:t xml:space="preserve"> relatively rare.</w:t>
      </w:r>
    </w:p>
    <w:p w14:paraId="3027FFC6" w14:textId="26932D1F" w:rsidR="00E45EF7" w:rsidRDefault="008C21FC" w:rsidP="00EF1F9E">
      <w:pPr>
        <w:autoSpaceDE w:val="0"/>
        <w:autoSpaceDN w:val="0"/>
        <w:adjustRightInd w:val="0"/>
        <w:spacing w:line="400" w:lineRule="exact"/>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Auditors i</w:t>
      </w:r>
      <w:r w:rsidR="00EF1F9E" w:rsidRPr="004D4D3A">
        <w:rPr>
          <w:rFonts w:ascii="Times New Roman" w:hAnsi="Times New Roman" w:cs="Times New Roman"/>
          <w:color w:val="000000" w:themeColor="text1"/>
        </w:rPr>
        <w:t>n China</w:t>
      </w:r>
      <w:r>
        <w:rPr>
          <w:rFonts w:ascii="Times New Roman" w:hAnsi="Times New Roman" w:cs="Times New Roman"/>
          <w:color w:val="000000" w:themeColor="text1"/>
        </w:rPr>
        <w:t xml:space="preserve"> are responsible for</w:t>
      </w:r>
      <w:r w:rsidR="00EF1F9E" w:rsidRPr="004D4D3A">
        <w:rPr>
          <w:rFonts w:ascii="Times New Roman" w:hAnsi="Times New Roman" w:cs="Times New Roman"/>
          <w:color w:val="000000" w:themeColor="text1"/>
        </w:rPr>
        <w:t xml:space="preserve"> identifying, assessing, and handling</w:t>
      </w:r>
      <w:r w:rsidR="00EF6EA2" w:rsidRPr="004D4D3A">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the risks </w:t>
      </w:r>
      <w:r>
        <w:rPr>
          <w:rFonts w:ascii="Times New Roman" w:hAnsi="Times New Roman" w:cs="Times New Roman"/>
          <w:color w:val="000000" w:themeColor="text1"/>
        </w:rPr>
        <w:t xml:space="preserve">associating with </w:t>
      </w:r>
      <w:r w:rsidR="00EF1F9E" w:rsidRPr="004D4D3A">
        <w:rPr>
          <w:rFonts w:ascii="Times New Roman" w:hAnsi="Times New Roman" w:cs="Times New Roman"/>
          <w:color w:val="000000" w:themeColor="text1"/>
        </w:rPr>
        <w:t>their clients’ misreporting of activities relat</w:t>
      </w:r>
      <w:r>
        <w:rPr>
          <w:rFonts w:ascii="Times New Roman" w:hAnsi="Times New Roman" w:cs="Times New Roman"/>
          <w:color w:val="000000" w:themeColor="text1"/>
        </w:rPr>
        <w:t xml:space="preserve">ing </w:t>
      </w:r>
      <w:r w:rsidR="00EF1F9E" w:rsidRPr="004D4D3A">
        <w:rPr>
          <w:rFonts w:ascii="Times New Roman" w:hAnsi="Times New Roman" w:cs="Times New Roman"/>
          <w:color w:val="000000" w:themeColor="text1"/>
        </w:rPr>
        <w:t>to RPTs (</w:t>
      </w:r>
      <w:r w:rsidR="00904F98">
        <w:rPr>
          <w:rFonts w:ascii="Times New Roman" w:hAnsi="Times New Roman" w:cs="Times New Roman"/>
          <w:color w:val="000000" w:themeColor="text1"/>
        </w:rPr>
        <w:t>MOF, 2010</w:t>
      </w:r>
      <w:r w:rsidR="00EF1F9E" w:rsidRPr="004D4D3A">
        <w:rPr>
          <w:rFonts w:ascii="Times New Roman" w:hAnsi="Times New Roman" w:cs="Times New Roman"/>
          <w:color w:val="000000" w:themeColor="text1"/>
        </w:rPr>
        <w:t>). While Chinese listed companies</w:t>
      </w:r>
      <w:r>
        <w:rPr>
          <w:rFonts w:ascii="Times New Roman" w:hAnsi="Times New Roman" w:cs="Times New Roman"/>
          <w:color w:val="000000" w:themeColor="text1"/>
        </w:rPr>
        <w:t xml:space="preserve"> that were</w:t>
      </w:r>
      <w:r w:rsidR="00EF1F9E" w:rsidRPr="004D4D3A">
        <w:rPr>
          <w:rFonts w:ascii="Times New Roman" w:hAnsi="Times New Roman" w:cs="Times New Roman"/>
          <w:color w:val="000000" w:themeColor="text1"/>
        </w:rPr>
        <w:t xml:space="preserve"> originally stated-owned enterprises (SOEs) are technically independent</w:t>
      </w:r>
      <w:r>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they still retain </w:t>
      </w:r>
      <w:r>
        <w:rPr>
          <w:rFonts w:ascii="Times New Roman" w:hAnsi="Times New Roman" w:cs="Times New Roman"/>
          <w:color w:val="000000" w:themeColor="text1"/>
        </w:rPr>
        <w:t xml:space="preserve">strong </w:t>
      </w:r>
      <w:r w:rsidR="00EF1F9E" w:rsidRPr="004D4D3A">
        <w:rPr>
          <w:rFonts w:ascii="Times New Roman" w:hAnsi="Times New Roman" w:cs="Times New Roman"/>
          <w:color w:val="000000" w:themeColor="text1"/>
        </w:rPr>
        <w:t>political-economic ties with the parent group (Liu, 2006)</w:t>
      </w:r>
      <w:r>
        <w:rPr>
          <w:rFonts w:ascii="Times New Roman" w:hAnsi="Times New Roman" w:cs="Times New Roman"/>
          <w:color w:val="000000" w:themeColor="text1"/>
        </w:rPr>
        <w:t>. F</w:t>
      </w:r>
      <w:r w:rsidR="00EF1F9E" w:rsidRPr="004D4D3A">
        <w:rPr>
          <w:rFonts w:ascii="Times New Roman" w:hAnsi="Times New Roman" w:cs="Times New Roman"/>
          <w:color w:val="000000" w:themeColor="text1"/>
        </w:rPr>
        <w:t>irms</w:t>
      </w:r>
      <w:r>
        <w:rPr>
          <w:rFonts w:ascii="Times New Roman" w:hAnsi="Times New Roman" w:cs="Times New Roman"/>
          <w:color w:val="000000" w:themeColor="text1"/>
        </w:rPr>
        <w:t>,</w:t>
      </w:r>
      <w:r w:rsidR="00EF1F9E" w:rsidRPr="004D4D3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therefore, </w:t>
      </w:r>
      <w:r w:rsidR="00EF1F9E" w:rsidRPr="004D4D3A">
        <w:rPr>
          <w:rFonts w:ascii="Times New Roman" w:hAnsi="Times New Roman" w:cs="Times New Roman"/>
          <w:color w:val="000000" w:themeColor="text1"/>
        </w:rPr>
        <w:t>frequently construct complex RPTs with their relate</w:t>
      </w:r>
      <w:r w:rsidR="00EF6EA2" w:rsidRPr="004D4D3A">
        <w:rPr>
          <w:rFonts w:ascii="Times New Roman" w:hAnsi="Times New Roman" w:cs="Times New Roman"/>
          <w:color w:val="000000" w:themeColor="text1"/>
        </w:rPr>
        <w:t>d</w:t>
      </w:r>
      <w:r w:rsidR="00EF1F9E" w:rsidRPr="004D4D3A">
        <w:rPr>
          <w:rFonts w:ascii="Times New Roman" w:hAnsi="Times New Roman" w:cs="Times New Roman"/>
          <w:color w:val="000000" w:themeColor="text1"/>
        </w:rPr>
        <w:t xml:space="preserve"> </w:t>
      </w:r>
      <w:r w:rsidR="00EF6EA2" w:rsidRPr="004D4D3A">
        <w:rPr>
          <w:rFonts w:ascii="Times New Roman" w:hAnsi="Times New Roman" w:cs="Times New Roman"/>
          <w:color w:val="000000" w:themeColor="text1"/>
        </w:rPr>
        <w:t xml:space="preserve">entities </w:t>
      </w:r>
      <w:r w:rsidR="00EF1F9E" w:rsidRPr="004D4D3A">
        <w:rPr>
          <w:rFonts w:ascii="Times New Roman" w:hAnsi="Times New Roman" w:cs="Times New Roman"/>
          <w:color w:val="000000" w:themeColor="text1"/>
        </w:rPr>
        <w:t xml:space="preserve">(Lo et al., 2010). </w:t>
      </w:r>
      <w:r>
        <w:rPr>
          <w:rFonts w:ascii="Times New Roman" w:hAnsi="Times New Roman" w:cs="Times New Roman"/>
          <w:color w:val="000000" w:themeColor="text1"/>
        </w:rPr>
        <w:t>U</w:t>
      </w:r>
      <w:r w:rsidR="00EF1F9E" w:rsidRPr="004D4D3A">
        <w:rPr>
          <w:rFonts w:ascii="Times New Roman" w:hAnsi="Times New Roman" w:cs="Times New Roman"/>
          <w:color w:val="000000" w:themeColor="text1"/>
        </w:rPr>
        <w:t>ntangl</w:t>
      </w:r>
      <w:r>
        <w:rPr>
          <w:rFonts w:ascii="Times New Roman" w:hAnsi="Times New Roman" w:cs="Times New Roman"/>
          <w:color w:val="000000" w:themeColor="text1"/>
        </w:rPr>
        <w:t>ing</w:t>
      </w:r>
      <w:r w:rsidR="00EF1F9E" w:rsidRPr="004D4D3A">
        <w:rPr>
          <w:rFonts w:ascii="Times New Roman" w:hAnsi="Times New Roman" w:cs="Times New Roman"/>
          <w:color w:val="000000" w:themeColor="text1"/>
        </w:rPr>
        <w:t xml:space="preserve"> these complex transactions</w:t>
      </w:r>
      <w:r>
        <w:rPr>
          <w:rFonts w:ascii="Times New Roman" w:hAnsi="Times New Roman" w:cs="Times New Roman"/>
          <w:color w:val="000000" w:themeColor="text1"/>
        </w:rPr>
        <w:t xml:space="preserve"> is a</w:t>
      </w:r>
      <w:r w:rsidR="00D83865">
        <w:rPr>
          <w:rFonts w:ascii="Times New Roman" w:hAnsi="Times New Roman" w:cs="Times New Roman"/>
          <w:color w:val="000000" w:themeColor="text1"/>
        </w:rPr>
        <w:t xml:space="preserve"> </w:t>
      </w:r>
      <w:r w:rsidR="009C675F" w:rsidRPr="004D4D3A">
        <w:rPr>
          <w:rFonts w:ascii="Times New Roman" w:hAnsi="Times New Roman" w:cs="Times New Roman"/>
          <w:color w:val="000000" w:themeColor="text1"/>
        </w:rPr>
        <w:t xml:space="preserve">significant audit risk </w:t>
      </w:r>
      <w:r>
        <w:rPr>
          <w:rFonts w:ascii="Times New Roman" w:hAnsi="Times New Roman" w:cs="Times New Roman"/>
          <w:color w:val="000000" w:themeColor="text1"/>
        </w:rPr>
        <w:t>that requires significant</w:t>
      </w:r>
      <w:r w:rsidR="00EF1F9E" w:rsidRPr="004D4D3A">
        <w:rPr>
          <w:rFonts w:ascii="Times New Roman" w:hAnsi="Times New Roman" w:cs="Times New Roman"/>
          <w:color w:val="000000" w:themeColor="text1"/>
        </w:rPr>
        <w:t xml:space="preserve"> effort</w:t>
      </w:r>
      <w:r w:rsidR="005C31D4" w:rsidRPr="004D4D3A">
        <w:rPr>
          <w:rFonts w:ascii="Times New Roman" w:hAnsi="Times New Roman" w:cs="Times New Roman"/>
          <w:color w:val="000000" w:themeColor="text1"/>
        </w:rPr>
        <w:t xml:space="preserve"> </w:t>
      </w:r>
      <w:r>
        <w:rPr>
          <w:rFonts w:ascii="Times New Roman" w:hAnsi="Times New Roman" w:cs="Times New Roman"/>
          <w:color w:val="000000" w:themeColor="text1"/>
        </w:rPr>
        <w:t>in</w:t>
      </w:r>
      <w:r w:rsidR="005C31D4" w:rsidRPr="004D4D3A">
        <w:rPr>
          <w:rFonts w:ascii="Times New Roman" w:hAnsi="Times New Roman" w:cs="Times New Roman"/>
          <w:color w:val="000000" w:themeColor="text1"/>
        </w:rPr>
        <w:t xml:space="preserve"> the auditing process</w:t>
      </w:r>
      <w:r w:rsidR="00EF1F9E" w:rsidRPr="004D4D3A">
        <w:rPr>
          <w:rFonts w:ascii="Times New Roman" w:hAnsi="Times New Roman" w:cs="Times New Roman"/>
          <w:color w:val="000000" w:themeColor="text1"/>
        </w:rPr>
        <w:t xml:space="preserve"> (Habib et al., 2015). </w:t>
      </w:r>
      <w:r w:rsidR="00DD7EB4" w:rsidRPr="004D4D3A">
        <w:rPr>
          <w:rFonts w:ascii="Times New Roman" w:hAnsi="Times New Roman" w:cs="Times New Roman"/>
          <w:color w:val="000000" w:themeColor="text1"/>
        </w:rPr>
        <w:t>An increase in audit risk also leads to an increase in the proportion of firms that receive MAOs</w:t>
      </w:r>
      <w:r w:rsidR="00EF1F9E" w:rsidRPr="004D4D3A">
        <w:rPr>
          <w:rFonts w:ascii="Times New Roman" w:hAnsi="Times New Roman" w:cs="Times New Roman"/>
          <w:color w:val="000000" w:themeColor="text1"/>
        </w:rPr>
        <w:t xml:space="preserve"> (</w:t>
      </w:r>
      <w:proofErr w:type="spellStart"/>
      <w:r w:rsidR="00EF1F9E" w:rsidRPr="004D4D3A">
        <w:rPr>
          <w:rFonts w:ascii="Times New Roman" w:hAnsi="Times New Roman" w:cs="Times New Roman"/>
          <w:color w:val="000000" w:themeColor="text1"/>
        </w:rPr>
        <w:t>DeFond</w:t>
      </w:r>
      <w:proofErr w:type="spellEnd"/>
      <w:r w:rsidR="00EF1F9E" w:rsidRPr="004D4D3A">
        <w:rPr>
          <w:rFonts w:ascii="Times New Roman" w:hAnsi="Times New Roman" w:cs="Times New Roman"/>
          <w:color w:val="000000" w:themeColor="text1"/>
        </w:rPr>
        <w:t xml:space="preserve"> et al., 1999; Francis and Krishnan, 1999).</w:t>
      </w:r>
    </w:p>
    <w:p w14:paraId="098C26F9" w14:textId="69DFA486" w:rsidR="00EF1F9E" w:rsidRPr="004D4D3A" w:rsidRDefault="008C21FC" w:rsidP="00EF1F9E">
      <w:pPr>
        <w:autoSpaceDE w:val="0"/>
        <w:autoSpaceDN w:val="0"/>
        <w:adjustRightInd w:val="0"/>
        <w:spacing w:line="400" w:lineRule="exact"/>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A number of factors within t</w:t>
      </w:r>
      <w:r w:rsidR="00EF1F9E" w:rsidRPr="004D4D3A">
        <w:rPr>
          <w:rFonts w:ascii="Times New Roman" w:hAnsi="Times New Roman" w:cs="Times New Roman"/>
          <w:color w:val="000000" w:themeColor="text1"/>
        </w:rPr>
        <w:t xml:space="preserve">he Chinese setting make the existence of opinion-shopping at the partner-level especially likely. First, firms </w:t>
      </w:r>
      <w:r w:rsidR="00D31482">
        <w:rPr>
          <w:rFonts w:ascii="Times New Roman" w:hAnsi="Times New Roman" w:cs="Times New Roman"/>
          <w:color w:val="000000" w:themeColor="text1"/>
        </w:rPr>
        <w:t>are under</w:t>
      </w:r>
      <w:r w:rsidR="00EF1F9E" w:rsidRPr="004D4D3A">
        <w:rPr>
          <w:rFonts w:ascii="Times New Roman" w:hAnsi="Times New Roman" w:cs="Times New Roman"/>
          <w:color w:val="000000" w:themeColor="text1"/>
        </w:rPr>
        <w:t xml:space="preserve"> significant pressures to avoid modified reports, as these may weigh</w:t>
      </w:r>
      <w:r w:rsidR="00362B35">
        <w:rPr>
          <w:rFonts w:ascii="Times New Roman" w:hAnsi="Times New Roman" w:cs="Times New Roman"/>
          <w:color w:val="000000" w:themeColor="text1"/>
        </w:rPr>
        <w:t>t in</w:t>
      </w:r>
      <w:r w:rsidR="00EF1F9E" w:rsidRPr="004D4D3A">
        <w:rPr>
          <w:rFonts w:ascii="Times New Roman" w:hAnsi="Times New Roman" w:cs="Times New Roman"/>
          <w:color w:val="000000" w:themeColor="text1"/>
        </w:rPr>
        <w:t xml:space="preserve"> the delisting decisions of the stock market regulator (Chan et al., 2012). Second, the market </w:t>
      </w:r>
      <w:r w:rsidR="00EF6EA2" w:rsidRPr="004D4D3A">
        <w:rPr>
          <w:rFonts w:ascii="Times New Roman" w:hAnsi="Times New Roman" w:cs="Times New Roman"/>
          <w:color w:val="000000" w:themeColor="text1"/>
        </w:rPr>
        <w:t>for audit</w:t>
      </w:r>
      <w:r w:rsidR="00EF1F9E" w:rsidRPr="004D4D3A">
        <w:rPr>
          <w:rFonts w:ascii="Times New Roman" w:hAnsi="Times New Roman" w:cs="Times New Roman"/>
          <w:color w:val="000000" w:themeColor="text1"/>
        </w:rPr>
        <w:t xml:space="preserve"> partners is dispersed</w:t>
      </w:r>
      <w:r w:rsidR="00D31482">
        <w:rPr>
          <w:rFonts w:ascii="Times New Roman" w:hAnsi="Times New Roman" w:cs="Times New Roman"/>
          <w:color w:val="000000" w:themeColor="text1"/>
        </w:rPr>
        <w:t>. F</w:t>
      </w:r>
      <w:r w:rsidR="00EF1F9E" w:rsidRPr="004D4D3A">
        <w:rPr>
          <w:rFonts w:ascii="Times New Roman" w:hAnsi="Times New Roman" w:cs="Times New Roman"/>
          <w:color w:val="000000" w:themeColor="text1"/>
        </w:rPr>
        <w:t>irms</w:t>
      </w:r>
      <w:r w:rsidR="00D31482">
        <w:rPr>
          <w:rFonts w:ascii="Times New Roman" w:hAnsi="Times New Roman" w:cs="Times New Roman"/>
          <w:color w:val="000000" w:themeColor="text1"/>
        </w:rPr>
        <w:t>, generally,</w:t>
      </w:r>
      <w:r w:rsidR="00EF1F9E" w:rsidRPr="004D4D3A">
        <w:rPr>
          <w:rFonts w:ascii="Times New Roman" w:hAnsi="Times New Roman" w:cs="Times New Roman"/>
          <w:color w:val="000000" w:themeColor="text1"/>
        </w:rPr>
        <w:t xml:space="preserve"> have </w:t>
      </w:r>
      <w:r w:rsidR="00EF6EA2" w:rsidRPr="004D4D3A">
        <w:rPr>
          <w:rFonts w:ascii="Times New Roman" w:hAnsi="Times New Roman" w:cs="Times New Roman"/>
          <w:color w:val="000000" w:themeColor="text1"/>
        </w:rPr>
        <w:t>few</w:t>
      </w:r>
      <w:r w:rsidR="00EF1F9E" w:rsidRPr="004D4D3A">
        <w:rPr>
          <w:rFonts w:ascii="Times New Roman" w:hAnsi="Times New Roman" w:cs="Times New Roman"/>
          <w:color w:val="000000" w:themeColor="text1"/>
        </w:rPr>
        <w:t xml:space="preserve"> </w:t>
      </w:r>
      <w:r w:rsidR="00D31482">
        <w:rPr>
          <w:rFonts w:ascii="Times New Roman" w:hAnsi="Times New Roman" w:cs="Times New Roman"/>
          <w:color w:val="000000" w:themeColor="text1"/>
        </w:rPr>
        <w:t xml:space="preserve">formal </w:t>
      </w:r>
      <w:r w:rsidR="00EF1F9E" w:rsidRPr="004D4D3A">
        <w:rPr>
          <w:rFonts w:ascii="Times New Roman" w:hAnsi="Times New Roman" w:cs="Times New Roman"/>
          <w:color w:val="000000" w:themeColor="text1"/>
        </w:rPr>
        <w:t>quality control mechanisms</w:t>
      </w:r>
      <w:r w:rsidR="00D31482">
        <w:rPr>
          <w:rFonts w:ascii="Times New Roman" w:hAnsi="Times New Roman" w:cs="Times New Roman"/>
          <w:color w:val="000000" w:themeColor="text1"/>
        </w:rPr>
        <w:t>. There is</w:t>
      </w:r>
      <w:r w:rsidR="00D83865">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competition for clients among partners within the same firm (Wang et al., 2008; </w:t>
      </w:r>
      <w:proofErr w:type="spellStart"/>
      <w:r w:rsidR="00EF1F9E" w:rsidRPr="004D4D3A">
        <w:rPr>
          <w:rFonts w:ascii="Times New Roman" w:hAnsi="Times New Roman" w:cs="Times New Roman"/>
          <w:color w:val="000000" w:themeColor="text1"/>
        </w:rPr>
        <w:t>Gu</w:t>
      </w:r>
      <w:proofErr w:type="spellEnd"/>
      <w:r w:rsidR="00EF1F9E" w:rsidRPr="004D4D3A">
        <w:rPr>
          <w:rFonts w:ascii="Times New Roman" w:hAnsi="Times New Roman" w:cs="Times New Roman"/>
          <w:color w:val="000000" w:themeColor="text1"/>
        </w:rPr>
        <w:t xml:space="preserve"> et al., 2013</w:t>
      </w:r>
      <w:r w:rsidR="00293D78">
        <w:rPr>
          <w:rFonts w:ascii="Times New Roman" w:hAnsi="Times New Roman" w:cs="Times New Roman"/>
          <w:color w:val="000000" w:themeColor="text1"/>
        </w:rPr>
        <w:t>;</w:t>
      </w:r>
      <w:r w:rsidR="00293D78" w:rsidRPr="00293D78">
        <w:rPr>
          <w:rFonts w:ascii="Times New Roman" w:hAnsi="Times New Roman" w:cs="Times New Roman"/>
          <w:color w:val="000000" w:themeColor="text1"/>
        </w:rPr>
        <w:t xml:space="preserve"> </w:t>
      </w:r>
      <w:r w:rsidR="00293D78" w:rsidRPr="004D4D3A">
        <w:rPr>
          <w:rFonts w:ascii="Times New Roman" w:hAnsi="Times New Roman" w:cs="Times New Roman"/>
          <w:color w:val="000000" w:themeColor="text1"/>
        </w:rPr>
        <w:t>Yang, 2013</w:t>
      </w:r>
      <w:r w:rsidR="00EF1F9E" w:rsidRPr="004D4D3A">
        <w:rPr>
          <w:rFonts w:ascii="Times New Roman" w:hAnsi="Times New Roman" w:cs="Times New Roman"/>
          <w:color w:val="000000" w:themeColor="text1"/>
        </w:rPr>
        <w:t xml:space="preserve">). Third, </w:t>
      </w:r>
      <w:r w:rsidR="0048467C">
        <w:rPr>
          <w:rFonts w:ascii="Times New Roman" w:hAnsi="Times New Roman" w:cs="Times New Roman"/>
          <w:color w:val="000000" w:themeColor="text1"/>
        </w:rPr>
        <w:t>the legal system</w:t>
      </w:r>
      <w:r w:rsidR="0048467C" w:rsidRPr="004D4D3A">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in China </w:t>
      </w:r>
      <w:r w:rsidR="0048467C">
        <w:rPr>
          <w:rFonts w:ascii="Times New Roman" w:hAnsi="Times New Roman" w:cs="Times New Roman"/>
          <w:color w:val="000000" w:themeColor="text1"/>
        </w:rPr>
        <w:t>is</w:t>
      </w:r>
      <w:r w:rsidR="0048467C" w:rsidRPr="004D4D3A">
        <w:rPr>
          <w:rFonts w:ascii="Times New Roman" w:hAnsi="Times New Roman" w:cs="Times New Roman"/>
          <w:color w:val="000000" w:themeColor="text1"/>
        </w:rPr>
        <w:t xml:space="preserve"> </w:t>
      </w:r>
      <w:r w:rsidR="00EF1F9E" w:rsidRPr="004D4D3A">
        <w:rPr>
          <w:rFonts w:ascii="Times New Roman" w:hAnsi="Times New Roman" w:cs="Times New Roman"/>
          <w:color w:val="000000" w:themeColor="text1"/>
        </w:rPr>
        <w:t xml:space="preserve">weak, and investor protection and litigation risk for auditors </w:t>
      </w:r>
      <w:r w:rsidR="00D31482">
        <w:rPr>
          <w:rFonts w:ascii="Times New Roman" w:hAnsi="Times New Roman" w:cs="Times New Roman"/>
          <w:color w:val="000000" w:themeColor="text1"/>
        </w:rPr>
        <w:t xml:space="preserve">is </w:t>
      </w:r>
      <w:r w:rsidR="00EF1F9E" w:rsidRPr="004D4D3A">
        <w:rPr>
          <w:rFonts w:ascii="Times New Roman" w:hAnsi="Times New Roman" w:cs="Times New Roman"/>
          <w:color w:val="000000" w:themeColor="text1"/>
        </w:rPr>
        <w:t xml:space="preserve">low (Chen et al., 2013; He et al., 2013; Dhaliwal et al., </w:t>
      </w:r>
      <w:r w:rsidR="006F7E34" w:rsidRPr="004D4D3A">
        <w:rPr>
          <w:rFonts w:ascii="Times New Roman" w:hAnsi="Times New Roman" w:cs="Times New Roman"/>
          <w:color w:val="000000" w:themeColor="text1"/>
        </w:rPr>
        <w:t>201</w:t>
      </w:r>
      <w:r w:rsidR="006F7E34">
        <w:rPr>
          <w:rFonts w:ascii="Times New Roman" w:hAnsi="Times New Roman" w:cs="Times New Roman"/>
          <w:color w:val="000000" w:themeColor="text1"/>
        </w:rPr>
        <w:t>7</w:t>
      </w:r>
      <w:r w:rsidR="00EF1F9E" w:rsidRPr="004D4D3A">
        <w:rPr>
          <w:rFonts w:ascii="Times New Roman" w:hAnsi="Times New Roman" w:cs="Times New Roman"/>
          <w:color w:val="000000" w:themeColor="text1"/>
        </w:rPr>
        <w:t xml:space="preserve">). </w:t>
      </w:r>
      <w:r w:rsidR="00D31482">
        <w:rPr>
          <w:rFonts w:ascii="Times New Roman" w:hAnsi="Times New Roman" w:cs="Times New Roman"/>
          <w:color w:val="000000" w:themeColor="text1"/>
        </w:rPr>
        <w:t>Overall</w:t>
      </w:r>
      <w:r w:rsidR="00EF1F9E" w:rsidRPr="004D4D3A">
        <w:rPr>
          <w:rFonts w:ascii="Times New Roman" w:hAnsi="Times New Roman" w:cs="Times New Roman"/>
          <w:color w:val="000000" w:themeColor="text1"/>
        </w:rPr>
        <w:t xml:space="preserve">, </w:t>
      </w:r>
      <w:r w:rsidR="00EF6EA2" w:rsidRPr="004D4D3A">
        <w:rPr>
          <w:rFonts w:ascii="Times New Roman" w:hAnsi="Times New Roman" w:cs="Times New Roman"/>
          <w:color w:val="000000" w:themeColor="text1"/>
        </w:rPr>
        <w:t>the</w:t>
      </w:r>
      <w:r w:rsidR="00D31482">
        <w:rPr>
          <w:rFonts w:ascii="Times New Roman" w:hAnsi="Times New Roman" w:cs="Times New Roman"/>
          <w:color w:val="000000" w:themeColor="text1"/>
        </w:rPr>
        <w:t xml:space="preserve"> audit quality in the </w:t>
      </w:r>
      <w:r w:rsidR="00EF6EA2" w:rsidRPr="004D4D3A">
        <w:rPr>
          <w:rFonts w:ascii="Times New Roman" w:hAnsi="Times New Roman" w:cs="Times New Roman"/>
          <w:color w:val="000000" w:themeColor="text1"/>
        </w:rPr>
        <w:t xml:space="preserve">China market </w:t>
      </w:r>
      <w:r w:rsidR="00D31482">
        <w:rPr>
          <w:rFonts w:ascii="Times New Roman" w:hAnsi="Times New Roman" w:cs="Times New Roman"/>
          <w:color w:val="000000" w:themeColor="text1"/>
        </w:rPr>
        <w:t>varies greatly both</w:t>
      </w:r>
      <w:r w:rsidR="00EF1F9E" w:rsidRPr="004D4D3A">
        <w:rPr>
          <w:rFonts w:ascii="Times New Roman" w:hAnsi="Times New Roman" w:cs="Times New Roman"/>
          <w:color w:val="000000" w:themeColor="text1"/>
        </w:rPr>
        <w:t xml:space="preserve"> across firms and partners</w:t>
      </w:r>
      <w:r w:rsidR="00D31482">
        <w:rPr>
          <w:rFonts w:ascii="Times New Roman" w:hAnsi="Times New Roman" w:cs="Times New Roman"/>
          <w:color w:val="000000" w:themeColor="text1"/>
        </w:rPr>
        <w:t>.</w:t>
      </w:r>
      <w:r w:rsidR="00EF1F9E" w:rsidRPr="004D4D3A">
        <w:rPr>
          <w:rFonts w:ascii="Times New Roman" w:hAnsi="Times New Roman" w:cs="Times New Roman"/>
          <w:color w:val="000000" w:themeColor="text1"/>
        </w:rPr>
        <w:t xml:space="preserve"> </w:t>
      </w:r>
      <w:r w:rsidR="00D31482">
        <w:rPr>
          <w:rFonts w:ascii="Times New Roman" w:hAnsi="Times New Roman" w:cs="Times New Roman"/>
          <w:color w:val="000000" w:themeColor="text1"/>
        </w:rPr>
        <w:t>This</w:t>
      </w:r>
      <w:r w:rsidR="00EF1F9E" w:rsidRPr="004D4D3A">
        <w:rPr>
          <w:rFonts w:ascii="Times New Roman" w:hAnsi="Times New Roman" w:cs="Times New Roman"/>
          <w:color w:val="000000" w:themeColor="text1"/>
        </w:rPr>
        <w:t xml:space="preserve"> enable</w:t>
      </w:r>
      <w:r w:rsidR="00EF6EA2" w:rsidRPr="004D4D3A">
        <w:rPr>
          <w:rFonts w:ascii="Times New Roman" w:hAnsi="Times New Roman" w:cs="Times New Roman"/>
          <w:color w:val="000000" w:themeColor="text1"/>
        </w:rPr>
        <w:t>s</w:t>
      </w:r>
      <w:r w:rsidR="00EF1F9E" w:rsidRPr="004D4D3A">
        <w:rPr>
          <w:rFonts w:ascii="Times New Roman" w:hAnsi="Times New Roman" w:cs="Times New Roman"/>
          <w:color w:val="000000" w:themeColor="text1"/>
        </w:rPr>
        <w:t xml:space="preserve"> </w:t>
      </w:r>
      <w:r w:rsidR="00D31482">
        <w:rPr>
          <w:rFonts w:ascii="Times New Roman" w:hAnsi="Times New Roman" w:cs="Times New Roman"/>
          <w:color w:val="000000" w:themeColor="text1"/>
        </w:rPr>
        <w:t xml:space="preserve">client </w:t>
      </w:r>
      <w:r w:rsidR="00EF1F9E" w:rsidRPr="004D4D3A">
        <w:rPr>
          <w:rFonts w:ascii="Times New Roman" w:hAnsi="Times New Roman" w:cs="Times New Roman"/>
          <w:color w:val="000000" w:themeColor="text1"/>
        </w:rPr>
        <w:t xml:space="preserve">firms to identify </w:t>
      </w:r>
      <w:r w:rsidR="00D31482">
        <w:rPr>
          <w:rFonts w:ascii="Times New Roman" w:hAnsi="Times New Roman" w:cs="Times New Roman"/>
          <w:color w:val="000000" w:themeColor="text1"/>
        </w:rPr>
        <w:t xml:space="preserve">partners who are liable to be </w:t>
      </w:r>
      <w:r w:rsidR="00EF1F9E" w:rsidRPr="004D4D3A">
        <w:rPr>
          <w:rFonts w:ascii="Times New Roman" w:hAnsi="Times New Roman" w:cs="Times New Roman"/>
          <w:color w:val="000000" w:themeColor="text1"/>
        </w:rPr>
        <w:t xml:space="preserve">more lenient partners and </w:t>
      </w:r>
      <w:r w:rsidR="00D31482">
        <w:rPr>
          <w:rFonts w:ascii="Times New Roman" w:hAnsi="Times New Roman" w:cs="Times New Roman"/>
          <w:color w:val="000000" w:themeColor="text1"/>
        </w:rPr>
        <w:t>to switch firm or partner</w:t>
      </w:r>
      <w:r w:rsidR="00EF1F9E" w:rsidRPr="004D4D3A">
        <w:rPr>
          <w:rFonts w:ascii="Times New Roman" w:hAnsi="Times New Roman" w:cs="Times New Roman"/>
          <w:color w:val="000000" w:themeColor="text1"/>
        </w:rPr>
        <w:t>.</w:t>
      </w:r>
    </w:p>
    <w:p w14:paraId="60BFE257" w14:textId="27D0AF48" w:rsidR="00EF1F9E" w:rsidRPr="004D4D3A" w:rsidRDefault="00EF1F9E" w:rsidP="00EF1F9E">
      <w:pPr>
        <w:autoSpaceDE w:val="0"/>
        <w:autoSpaceDN w:val="0"/>
        <w:adjustRightInd w:val="0"/>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If RPTs increase the probability of </w:t>
      </w:r>
      <w:r w:rsidR="00613D58" w:rsidRPr="004D4D3A">
        <w:rPr>
          <w:rFonts w:ascii="Times New Roman" w:hAnsi="Times New Roman" w:cs="Times New Roman"/>
          <w:color w:val="000000" w:themeColor="text1"/>
        </w:rPr>
        <w:t>receiving an MAO</w:t>
      </w:r>
      <w:r w:rsidR="00D31482">
        <w:rPr>
          <w:rFonts w:ascii="Times New Roman" w:hAnsi="Times New Roman" w:cs="Times New Roman"/>
          <w:color w:val="000000" w:themeColor="text1"/>
        </w:rPr>
        <w:t xml:space="preserve"> then such</w:t>
      </w:r>
      <w:r w:rsidRPr="004D4D3A">
        <w:rPr>
          <w:rFonts w:ascii="Times New Roman" w:hAnsi="Times New Roman" w:cs="Times New Roman"/>
          <w:color w:val="000000" w:themeColor="text1"/>
        </w:rPr>
        <w:t xml:space="preserve"> firms </w:t>
      </w:r>
      <w:r w:rsidR="002D5E0B" w:rsidRPr="004D4D3A">
        <w:rPr>
          <w:rFonts w:ascii="Times New Roman" w:hAnsi="Times New Roman" w:cs="Times New Roman"/>
          <w:color w:val="000000" w:themeColor="text1"/>
        </w:rPr>
        <w:t>have</w:t>
      </w:r>
      <w:r w:rsidRPr="004D4D3A">
        <w:rPr>
          <w:rFonts w:ascii="Times New Roman" w:hAnsi="Times New Roman" w:cs="Times New Roman"/>
          <w:color w:val="000000" w:themeColor="text1"/>
        </w:rPr>
        <w:t xml:space="preserve"> </w:t>
      </w:r>
      <w:r w:rsidR="00D31482">
        <w:rPr>
          <w:rFonts w:ascii="Times New Roman" w:hAnsi="Times New Roman" w:cs="Times New Roman"/>
          <w:color w:val="000000" w:themeColor="text1"/>
        </w:rPr>
        <w:t>an</w:t>
      </w:r>
      <w:r w:rsidRPr="004D4D3A">
        <w:rPr>
          <w:rFonts w:ascii="Times New Roman" w:hAnsi="Times New Roman" w:cs="Times New Roman"/>
          <w:color w:val="000000" w:themeColor="text1"/>
        </w:rPr>
        <w:t xml:space="preserve"> incentive to engage in partner-level opinion shopping. In China, </w:t>
      </w:r>
      <w:r w:rsidR="00613D58" w:rsidRPr="004D4D3A">
        <w:rPr>
          <w:rFonts w:ascii="Times New Roman" w:hAnsi="Times New Roman" w:cs="Times New Roman"/>
          <w:color w:val="000000" w:themeColor="text1"/>
        </w:rPr>
        <w:t>receiving an MAO</w:t>
      </w:r>
      <w:r w:rsidRPr="004D4D3A">
        <w:rPr>
          <w:rFonts w:ascii="Times New Roman" w:hAnsi="Times New Roman" w:cs="Times New Roman"/>
          <w:color w:val="000000" w:themeColor="text1"/>
        </w:rPr>
        <w:t xml:space="preserve"> </w:t>
      </w:r>
      <w:r w:rsidR="00B5487A">
        <w:rPr>
          <w:rFonts w:ascii="Times New Roman" w:hAnsi="Times New Roman" w:cs="Times New Roman"/>
          <w:color w:val="000000" w:themeColor="text1"/>
        </w:rPr>
        <w:t>imposes costs on a firm</w:t>
      </w:r>
      <w:r w:rsidR="00D31482">
        <w:rPr>
          <w:rFonts w:ascii="Times New Roman" w:hAnsi="Times New Roman" w:cs="Times New Roman"/>
          <w:color w:val="000000" w:themeColor="text1"/>
        </w:rPr>
        <w:t>;</w:t>
      </w:r>
      <w:r w:rsidR="00515895" w:rsidRPr="004D4D3A">
        <w:rPr>
          <w:rFonts w:ascii="Times New Roman" w:hAnsi="Times New Roman" w:cs="Times New Roman"/>
          <w:color w:val="000000" w:themeColor="text1"/>
        </w:rPr>
        <w:t xml:space="preserve"> such as</w:t>
      </w:r>
      <w:r w:rsidR="00D31482">
        <w:rPr>
          <w:rFonts w:ascii="Times New Roman" w:hAnsi="Times New Roman" w:cs="Times New Roman"/>
          <w:color w:val="000000" w:themeColor="text1"/>
        </w:rPr>
        <w:t>,</w:t>
      </w:r>
      <w:r w:rsidR="00DD7EB4" w:rsidRPr="004D4D3A">
        <w:rPr>
          <w:rFonts w:ascii="Times New Roman" w:hAnsi="Times New Roman" w:cs="Times New Roman"/>
          <w:color w:val="000000" w:themeColor="text1"/>
        </w:rPr>
        <w:t xml:space="preserve"> delisting risk</w:t>
      </w:r>
      <w:r w:rsidR="007A7AE0" w:rsidRPr="004D4D3A">
        <w:rPr>
          <w:rFonts w:ascii="Times New Roman" w:hAnsi="Times New Roman" w:cs="Times New Roman"/>
          <w:color w:val="000000" w:themeColor="text1"/>
        </w:rPr>
        <w:t xml:space="preserve"> and equity financing supervision</w:t>
      </w:r>
      <w:r w:rsidRPr="004D4D3A">
        <w:rPr>
          <w:rFonts w:ascii="Times New Roman" w:hAnsi="Times New Roman" w:cs="Times New Roman"/>
          <w:color w:val="000000" w:themeColor="text1"/>
        </w:rPr>
        <w:t xml:space="preserve">, which </w:t>
      </w:r>
      <w:r w:rsidR="00293D78">
        <w:rPr>
          <w:rFonts w:ascii="Times New Roman" w:hAnsi="Times New Roman" w:cs="Times New Roman"/>
          <w:color w:val="000000" w:themeColor="text1"/>
        </w:rPr>
        <w:t>can</w:t>
      </w:r>
      <w:r w:rsidR="00293D78" w:rsidRPr="004D4D3A">
        <w:rPr>
          <w:rFonts w:ascii="Times New Roman" w:hAnsi="Times New Roman" w:cs="Times New Roman"/>
          <w:color w:val="000000" w:themeColor="text1"/>
        </w:rPr>
        <w:t xml:space="preserve"> </w:t>
      </w:r>
      <w:r w:rsidRPr="004D4D3A">
        <w:rPr>
          <w:rFonts w:ascii="Times New Roman" w:hAnsi="Times New Roman" w:cs="Times New Roman"/>
          <w:color w:val="000000" w:themeColor="text1"/>
        </w:rPr>
        <w:t>curb managerial opportunistic behavior. In addition, fierce competi</w:t>
      </w:r>
      <w:r w:rsidR="009F4DD2" w:rsidRPr="004D4D3A">
        <w:rPr>
          <w:rFonts w:ascii="Times New Roman" w:hAnsi="Times New Roman" w:cs="Times New Roman"/>
          <w:color w:val="000000" w:themeColor="text1"/>
        </w:rPr>
        <w:t>ti</w:t>
      </w:r>
      <w:r w:rsidRPr="004D4D3A">
        <w:rPr>
          <w:rFonts w:ascii="Times New Roman" w:hAnsi="Times New Roman" w:cs="Times New Roman"/>
          <w:color w:val="000000" w:themeColor="text1"/>
        </w:rPr>
        <w:t>on for clients among audit firms and among partners of the same audit firm</w:t>
      </w:r>
      <w:r w:rsidR="009F4DD2" w:rsidRPr="004D4D3A">
        <w:rPr>
          <w:rFonts w:ascii="Times New Roman" w:hAnsi="Times New Roman" w:cs="Times New Roman"/>
          <w:color w:val="000000" w:themeColor="text1"/>
        </w:rPr>
        <w:t>, along with</w:t>
      </w:r>
      <w:r w:rsidRPr="004D4D3A">
        <w:rPr>
          <w:rFonts w:ascii="Times New Roman" w:hAnsi="Times New Roman" w:cs="Times New Roman"/>
          <w:color w:val="000000" w:themeColor="text1"/>
        </w:rPr>
        <w:t xml:space="preserve"> weak internal control mechanisms of audit firms</w:t>
      </w:r>
      <w:r w:rsidR="009F4DD2" w:rsidRPr="004D4D3A">
        <w:rPr>
          <w:rFonts w:ascii="Times New Roman" w:hAnsi="Times New Roman" w:cs="Times New Roman"/>
          <w:color w:val="000000" w:themeColor="text1"/>
        </w:rPr>
        <w:t>,</w:t>
      </w:r>
      <w:r w:rsidRPr="004D4D3A">
        <w:rPr>
          <w:rFonts w:ascii="Times New Roman" w:hAnsi="Times New Roman" w:cs="Times New Roman"/>
          <w:color w:val="000000" w:themeColor="text1"/>
        </w:rPr>
        <w:t xml:space="preserve"> </w:t>
      </w:r>
      <w:r w:rsidR="00D22719">
        <w:rPr>
          <w:rFonts w:ascii="Times New Roman" w:hAnsi="Times New Roman" w:cs="Times New Roman"/>
          <w:color w:val="000000" w:themeColor="text1"/>
        </w:rPr>
        <w:t xml:space="preserve">make it easier for client </w:t>
      </w:r>
      <w:r w:rsidRPr="004D4D3A">
        <w:rPr>
          <w:rFonts w:ascii="Times New Roman" w:hAnsi="Times New Roman" w:cs="Times New Roman"/>
          <w:color w:val="000000" w:themeColor="text1"/>
        </w:rPr>
        <w:t xml:space="preserve">firms to seek an audit partner with a more acquiescent attitude if </w:t>
      </w:r>
      <w:r w:rsidR="009F4DD2" w:rsidRPr="004D4D3A">
        <w:rPr>
          <w:rFonts w:ascii="Times New Roman" w:hAnsi="Times New Roman" w:cs="Times New Roman"/>
          <w:color w:val="000000" w:themeColor="text1"/>
        </w:rPr>
        <w:t xml:space="preserve">the </w:t>
      </w:r>
      <w:r w:rsidRPr="004D4D3A">
        <w:rPr>
          <w:rFonts w:ascii="Times New Roman" w:hAnsi="Times New Roman" w:cs="Times New Roman"/>
          <w:color w:val="000000" w:themeColor="text1"/>
        </w:rPr>
        <w:t xml:space="preserve">incumbent partner </w:t>
      </w:r>
      <w:r w:rsidR="00D22719">
        <w:rPr>
          <w:rFonts w:ascii="Times New Roman" w:hAnsi="Times New Roman" w:cs="Times New Roman"/>
          <w:color w:val="000000" w:themeColor="text1"/>
        </w:rPr>
        <w:t xml:space="preserve">is likely to </w:t>
      </w:r>
      <w:r w:rsidRPr="004D4D3A">
        <w:rPr>
          <w:rFonts w:ascii="Times New Roman" w:hAnsi="Times New Roman" w:cs="Times New Roman"/>
          <w:color w:val="000000" w:themeColor="text1"/>
        </w:rPr>
        <w:t xml:space="preserve">issue </w:t>
      </w:r>
      <w:r w:rsidR="00D22719">
        <w:rPr>
          <w:rFonts w:ascii="Times New Roman" w:hAnsi="Times New Roman" w:cs="Times New Roman"/>
          <w:color w:val="000000" w:themeColor="text1"/>
        </w:rPr>
        <w:t xml:space="preserve">an </w:t>
      </w:r>
      <w:r w:rsidRPr="004D4D3A">
        <w:rPr>
          <w:rFonts w:ascii="Times New Roman" w:hAnsi="Times New Roman" w:cs="Times New Roman"/>
          <w:color w:val="000000" w:themeColor="text1"/>
        </w:rPr>
        <w:t xml:space="preserve">unfavorable audit opinions. Therefore, I expect to observe </w:t>
      </w:r>
      <w:r w:rsidR="00515895" w:rsidRPr="004D4D3A">
        <w:rPr>
          <w:rFonts w:ascii="Times New Roman" w:hAnsi="Times New Roman" w:cs="Times New Roman"/>
          <w:color w:val="000000" w:themeColor="text1"/>
        </w:rPr>
        <w:t xml:space="preserve">a positive </w:t>
      </w:r>
      <w:r w:rsidR="002D5E0B" w:rsidRPr="004D4D3A">
        <w:rPr>
          <w:rFonts w:ascii="Times New Roman" w:hAnsi="Times New Roman" w:cs="Times New Roman"/>
          <w:color w:val="000000" w:themeColor="text1"/>
        </w:rPr>
        <w:t>association</w:t>
      </w:r>
      <w:r w:rsidR="00515895" w:rsidRPr="004D4D3A">
        <w:rPr>
          <w:rFonts w:ascii="Times New Roman" w:hAnsi="Times New Roman" w:cs="Times New Roman"/>
          <w:color w:val="000000" w:themeColor="text1"/>
        </w:rPr>
        <w:t xml:space="preserve"> between RPTs and </w:t>
      </w:r>
      <w:r w:rsidR="00580D3C" w:rsidRPr="004D4D3A">
        <w:rPr>
          <w:rFonts w:ascii="Times New Roman" w:hAnsi="Times New Roman" w:cs="Times New Roman"/>
          <w:color w:val="000000" w:themeColor="text1"/>
        </w:rPr>
        <w:t xml:space="preserve">partner-level </w:t>
      </w:r>
      <w:r w:rsidR="00515895" w:rsidRPr="004D4D3A">
        <w:rPr>
          <w:rFonts w:ascii="Times New Roman" w:hAnsi="Times New Roman" w:cs="Times New Roman"/>
          <w:color w:val="000000" w:themeColor="text1"/>
        </w:rPr>
        <w:t>opinion shopping.</w:t>
      </w:r>
    </w:p>
    <w:p w14:paraId="3E53A540" w14:textId="77777777" w:rsidR="00176E72" w:rsidRPr="00E02C83" w:rsidRDefault="00EF1F9E" w:rsidP="00176E72">
      <w:pPr>
        <w:autoSpaceDE w:val="0"/>
        <w:autoSpaceDN w:val="0"/>
        <w:adjustRightInd w:val="0"/>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In addition, </w:t>
      </w:r>
      <w:r w:rsidR="00176E72">
        <w:rPr>
          <w:rFonts w:ascii="Times New Roman" w:hAnsi="Times New Roman" w:cs="Times New Roman"/>
          <w:color w:val="000000" w:themeColor="text1"/>
        </w:rPr>
        <w:t xml:space="preserve">prior </w:t>
      </w:r>
      <w:r w:rsidR="009F4DD2" w:rsidRPr="004D4D3A">
        <w:rPr>
          <w:rFonts w:ascii="Times New Roman" w:hAnsi="Times New Roman" w:cs="Times New Roman"/>
          <w:color w:val="000000" w:themeColor="text1"/>
        </w:rPr>
        <w:t>research</w:t>
      </w:r>
      <w:r w:rsidRPr="004D4D3A">
        <w:rPr>
          <w:rFonts w:ascii="Times New Roman" w:hAnsi="Times New Roman" w:cs="Times New Roman"/>
          <w:color w:val="000000" w:themeColor="text1"/>
        </w:rPr>
        <w:t xml:space="preserve"> has documented that operating (i.e., purchases and sales of good and service) and non-operating (i.e., intercorporate loans) RPTs </w:t>
      </w:r>
      <w:r w:rsidR="009F4DD2" w:rsidRPr="004D4D3A">
        <w:rPr>
          <w:rFonts w:ascii="Times New Roman" w:hAnsi="Times New Roman" w:cs="Times New Roman"/>
          <w:color w:val="000000" w:themeColor="text1"/>
        </w:rPr>
        <w:t xml:space="preserve">are </w:t>
      </w:r>
      <w:r w:rsidR="00515895" w:rsidRPr="004D4D3A">
        <w:rPr>
          <w:rFonts w:ascii="Times New Roman" w:hAnsi="Times New Roman" w:cs="Times New Roman"/>
          <w:color w:val="000000" w:themeColor="text1"/>
        </w:rPr>
        <w:t xml:space="preserve">both associated with </w:t>
      </w:r>
      <w:r w:rsidR="00515895" w:rsidRPr="004D4D3A">
        <w:rPr>
          <w:rFonts w:ascii="Times New Roman" w:hAnsi="Times New Roman" w:cs="Times New Roman"/>
          <w:color w:val="000000" w:themeColor="text1"/>
        </w:rPr>
        <w:lastRenderedPageBreak/>
        <w:t>opportunistic earnings management and</w:t>
      </w:r>
      <w:r w:rsidRPr="004D4D3A">
        <w:rPr>
          <w:rFonts w:ascii="Times New Roman" w:hAnsi="Times New Roman" w:cs="Times New Roman"/>
          <w:color w:val="000000" w:themeColor="text1"/>
        </w:rPr>
        <w:t xml:space="preserve"> tunneling (Berkman et al., 2009; Jiang et al., 2010; </w:t>
      </w:r>
      <w:proofErr w:type="spellStart"/>
      <w:r w:rsidRPr="004D4D3A">
        <w:rPr>
          <w:rFonts w:ascii="Times New Roman" w:hAnsi="Times New Roman" w:cs="Times New Roman"/>
          <w:color w:val="000000" w:themeColor="text1"/>
        </w:rPr>
        <w:t>Kohlbeck</w:t>
      </w:r>
      <w:proofErr w:type="spellEnd"/>
      <w:r w:rsidRPr="004D4D3A">
        <w:rPr>
          <w:rFonts w:ascii="Times New Roman" w:hAnsi="Times New Roman" w:cs="Times New Roman"/>
          <w:color w:val="000000" w:themeColor="text1"/>
        </w:rPr>
        <w:t xml:space="preserve"> and Mayhew, 2010; Lee et al., 2016). Nevertheless, </w:t>
      </w:r>
      <w:r w:rsidR="00176E72">
        <w:rPr>
          <w:rFonts w:ascii="Times New Roman" w:hAnsi="Times New Roman" w:cs="Times New Roman"/>
          <w:color w:val="000000" w:themeColor="text1"/>
        </w:rPr>
        <w:t xml:space="preserve">prior </w:t>
      </w:r>
      <w:r w:rsidR="009F4DD2" w:rsidRPr="004D4D3A">
        <w:rPr>
          <w:rFonts w:ascii="Times New Roman" w:hAnsi="Times New Roman" w:cs="Times New Roman"/>
          <w:color w:val="000000" w:themeColor="text1"/>
        </w:rPr>
        <w:t>research shows</w:t>
      </w:r>
      <w:r w:rsidRPr="004D4D3A">
        <w:rPr>
          <w:rFonts w:ascii="Times New Roman" w:hAnsi="Times New Roman" w:cs="Times New Roman"/>
          <w:color w:val="000000" w:themeColor="text1"/>
        </w:rPr>
        <w:t xml:space="preserve"> that firms us</w:t>
      </w:r>
      <w:r w:rsidR="009F4DD2" w:rsidRPr="004D4D3A">
        <w:rPr>
          <w:rFonts w:ascii="Times New Roman" w:hAnsi="Times New Roman" w:cs="Times New Roman"/>
          <w:color w:val="000000" w:themeColor="text1"/>
        </w:rPr>
        <w:t>ing</w:t>
      </w:r>
      <w:r w:rsidRPr="004D4D3A">
        <w:rPr>
          <w:rFonts w:ascii="Times New Roman" w:hAnsi="Times New Roman" w:cs="Times New Roman"/>
          <w:color w:val="000000" w:themeColor="text1"/>
        </w:rPr>
        <w:t xml:space="preserve"> operating RPTs can maximize the operational efficiency and competitiveness of group companies (Liu and Liu, 2007), and increase firm value (Wong et al., 2015). Habib et al. (2015) also find that firms conducting operating RPTs have lower audit risk than non-operating RPTs. </w:t>
      </w:r>
      <w:r w:rsidR="00176E72" w:rsidRPr="00E02C83">
        <w:rPr>
          <w:rFonts w:ascii="Times New Roman" w:hAnsi="Times New Roman" w:cs="Times New Roman"/>
          <w:color w:val="000000" w:themeColor="text1"/>
        </w:rPr>
        <w:t>There</w:t>
      </w:r>
      <w:r w:rsidR="00176E72">
        <w:rPr>
          <w:rFonts w:ascii="Times New Roman" w:hAnsi="Times New Roman" w:cs="Times New Roman"/>
          <w:color w:val="000000" w:themeColor="text1"/>
        </w:rPr>
        <w:t>fore</w:t>
      </w:r>
      <w:r w:rsidR="00176E72" w:rsidRPr="00E02C83">
        <w:rPr>
          <w:rFonts w:ascii="Times New Roman" w:hAnsi="Times New Roman" w:cs="Times New Roman"/>
          <w:color w:val="000000" w:themeColor="text1"/>
        </w:rPr>
        <w:t>, it is not clear whether auditors are more likely to issue modified opinions for firms conducting operating or non-operating RPTs. Accordingly, I further examine whether operating and non-operating RPTs have different impacts on partner-level opinion shopping.</w:t>
      </w:r>
    </w:p>
    <w:p w14:paraId="135E19A2" w14:textId="5003D6C8" w:rsidR="00834E77" w:rsidRPr="004D4D3A" w:rsidRDefault="00B23535" w:rsidP="005024FF">
      <w:pPr>
        <w:autoSpaceDE w:val="0"/>
        <w:autoSpaceDN w:val="0"/>
        <w:adjustRightInd w:val="0"/>
        <w:spacing w:line="400" w:lineRule="exact"/>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This study uses a sample of</w:t>
      </w:r>
      <w:r w:rsidR="002D5E0B" w:rsidRPr="004D4D3A">
        <w:rPr>
          <w:rFonts w:ascii="Times New Roman" w:hAnsi="Times New Roman" w:cs="Times New Roman"/>
          <w:color w:val="000000" w:themeColor="text1"/>
        </w:rPr>
        <w:t xml:space="preserve"> A-share firms listed on the Shanghai and Shenzhen </w:t>
      </w:r>
      <w:r w:rsidR="00A220BC" w:rsidRPr="004D4D3A">
        <w:rPr>
          <w:rFonts w:ascii="Times New Roman" w:hAnsi="Times New Roman" w:cs="Times New Roman"/>
          <w:color w:val="000000" w:themeColor="text1"/>
          <w:lang w:eastAsia="zh-HK"/>
        </w:rPr>
        <w:t xml:space="preserve">Stock Exchanges </w:t>
      </w:r>
      <w:r w:rsidR="00646648" w:rsidRPr="004D4D3A">
        <w:rPr>
          <w:rFonts w:ascii="Times New Roman" w:hAnsi="Times New Roman" w:cs="Times New Roman"/>
          <w:color w:val="000000" w:themeColor="text1"/>
          <w:lang w:eastAsia="zh-HK"/>
        </w:rPr>
        <w:t xml:space="preserve">from </w:t>
      </w:r>
      <w:r w:rsidR="00A220BC" w:rsidRPr="004D4D3A">
        <w:rPr>
          <w:rFonts w:ascii="Times New Roman" w:hAnsi="Times New Roman" w:cs="Times New Roman"/>
          <w:color w:val="000000" w:themeColor="text1"/>
          <w:lang w:eastAsia="zh-HK"/>
        </w:rPr>
        <w:t>2002</w:t>
      </w:r>
      <w:r w:rsidR="00646648" w:rsidRPr="004D4D3A">
        <w:rPr>
          <w:rFonts w:ascii="Times New Roman" w:hAnsi="Times New Roman" w:cs="Times New Roman"/>
          <w:color w:val="000000" w:themeColor="text1"/>
          <w:lang w:eastAsia="zh-HK"/>
        </w:rPr>
        <w:t xml:space="preserve"> to </w:t>
      </w:r>
      <w:r w:rsidR="00A220BC" w:rsidRPr="004D4D3A">
        <w:rPr>
          <w:rFonts w:ascii="Times New Roman" w:hAnsi="Times New Roman" w:cs="Times New Roman"/>
          <w:color w:val="000000" w:themeColor="text1"/>
          <w:lang w:eastAsia="zh-HK"/>
        </w:rPr>
        <w:t>2015. The results show that RPTs are positively associated with partner</w:t>
      </w:r>
      <w:r w:rsidR="00646648" w:rsidRPr="004D4D3A">
        <w:rPr>
          <w:rFonts w:ascii="Times New Roman" w:hAnsi="Times New Roman" w:cs="Times New Roman"/>
          <w:color w:val="000000" w:themeColor="text1"/>
          <w:lang w:eastAsia="zh-HK"/>
        </w:rPr>
        <w:t>-</w:t>
      </w:r>
      <w:r w:rsidR="00A220BC" w:rsidRPr="004D4D3A">
        <w:rPr>
          <w:rFonts w:ascii="Times New Roman" w:hAnsi="Times New Roman" w:cs="Times New Roman"/>
          <w:color w:val="000000" w:themeColor="text1"/>
          <w:lang w:eastAsia="zh-HK"/>
        </w:rPr>
        <w:t>level opi</w:t>
      </w:r>
      <w:r w:rsidR="00E8485A">
        <w:rPr>
          <w:rFonts w:ascii="Times New Roman" w:hAnsi="Times New Roman" w:cs="Times New Roman"/>
          <w:color w:val="000000" w:themeColor="text1"/>
          <w:lang w:eastAsia="zh-HK"/>
        </w:rPr>
        <w:t>nion</w:t>
      </w:r>
      <w:r w:rsidR="00A220BC" w:rsidRPr="004D4D3A">
        <w:rPr>
          <w:rFonts w:ascii="Times New Roman" w:hAnsi="Times New Roman" w:cs="Times New Roman"/>
          <w:color w:val="000000" w:themeColor="text1"/>
          <w:lang w:eastAsia="zh-HK"/>
        </w:rPr>
        <w:t xml:space="preserve"> shopping. </w:t>
      </w:r>
      <w:r w:rsidR="00714799" w:rsidRPr="004D4D3A">
        <w:rPr>
          <w:rFonts w:ascii="Times New Roman" w:hAnsi="Times New Roman" w:cs="Times New Roman"/>
          <w:color w:val="000000" w:themeColor="text1"/>
          <w:lang w:eastAsia="zh-HK"/>
        </w:rPr>
        <w:t>Th</w:t>
      </w:r>
      <w:r w:rsidR="00DD34ED">
        <w:rPr>
          <w:rFonts w:ascii="Times New Roman" w:hAnsi="Times New Roman" w:cs="Times New Roman"/>
          <w:color w:val="000000" w:themeColor="text1"/>
          <w:lang w:eastAsia="zh-HK"/>
        </w:rPr>
        <w:t>is</w:t>
      </w:r>
      <w:r w:rsidR="00714799" w:rsidRPr="004D4D3A">
        <w:rPr>
          <w:rFonts w:ascii="Times New Roman" w:hAnsi="Times New Roman" w:cs="Times New Roman"/>
          <w:color w:val="000000" w:themeColor="text1"/>
          <w:lang w:eastAsia="zh-HK"/>
        </w:rPr>
        <w:t xml:space="preserve"> finding suggests that RPTs provide insiders with incentives to </w:t>
      </w:r>
      <w:r w:rsidR="00C02F13">
        <w:rPr>
          <w:rFonts w:ascii="Times New Roman" w:hAnsi="Times New Roman" w:cs="Times New Roman"/>
          <w:color w:val="000000" w:themeColor="text1"/>
          <w:lang w:eastAsia="zh-HK"/>
        </w:rPr>
        <w:t>influence</w:t>
      </w:r>
      <w:r w:rsidR="00714799" w:rsidRPr="004D4D3A">
        <w:rPr>
          <w:rFonts w:ascii="Times New Roman" w:hAnsi="Times New Roman" w:cs="Times New Roman"/>
          <w:color w:val="000000" w:themeColor="text1"/>
          <w:lang w:eastAsia="zh-HK"/>
        </w:rPr>
        <w:t xml:space="preserve"> an audit firm’s decision to switch </w:t>
      </w:r>
      <w:r w:rsidR="00DD34ED">
        <w:rPr>
          <w:rFonts w:ascii="Times New Roman" w:hAnsi="Times New Roman" w:cs="Times New Roman"/>
          <w:color w:val="000000" w:themeColor="text1"/>
          <w:lang w:eastAsia="zh-HK"/>
        </w:rPr>
        <w:t>its</w:t>
      </w:r>
      <w:r w:rsidR="00714799" w:rsidRPr="004D4D3A">
        <w:rPr>
          <w:rFonts w:ascii="Times New Roman" w:hAnsi="Times New Roman" w:cs="Times New Roman"/>
          <w:color w:val="000000" w:themeColor="text1"/>
          <w:lang w:eastAsia="zh-HK"/>
        </w:rPr>
        <w:t xml:space="preserve"> engagement partner to obtain more favorable audit opinions. This is </w:t>
      </w:r>
      <w:r w:rsidR="00DD34ED">
        <w:rPr>
          <w:rFonts w:ascii="Times New Roman" w:hAnsi="Times New Roman" w:cs="Times New Roman"/>
          <w:color w:val="000000" w:themeColor="text1"/>
          <w:lang w:eastAsia="zh-HK"/>
        </w:rPr>
        <w:t>in line</w:t>
      </w:r>
      <w:r w:rsidR="005024FF" w:rsidRPr="004D4D3A">
        <w:rPr>
          <w:rFonts w:ascii="Times New Roman" w:hAnsi="Times New Roman" w:cs="Times New Roman"/>
          <w:color w:val="000000" w:themeColor="text1"/>
          <w:lang w:eastAsia="zh-HK"/>
        </w:rPr>
        <w:t xml:space="preserve"> </w:t>
      </w:r>
      <w:r w:rsidR="00714799" w:rsidRPr="004D4D3A">
        <w:rPr>
          <w:rFonts w:ascii="Times New Roman" w:hAnsi="Times New Roman" w:cs="Times New Roman"/>
          <w:color w:val="000000" w:themeColor="text1"/>
          <w:lang w:eastAsia="zh-HK"/>
        </w:rPr>
        <w:t>with the argument that RPTs can be indicative of weaknesses in corporate governance.</w:t>
      </w:r>
      <w:r w:rsidR="00EA728F" w:rsidRPr="004D4D3A">
        <w:rPr>
          <w:rFonts w:ascii="Times New Roman" w:hAnsi="Times New Roman" w:cs="Times New Roman"/>
          <w:color w:val="000000" w:themeColor="text1"/>
          <w:lang w:eastAsia="zh-HK"/>
        </w:rPr>
        <w:t xml:space="preserve"> The additional analysis indicates that the positive association between RPTs and successful opinion shopping is more pronounced </w:t>
      </w:r>
      <w:r w:rsidR="00FC22D9" w:rsidRPr="004D4D3A">
        <w:rPr>
          <w:rFonts w:ascii="Times New Roman" w:hAnsi="Times New Roman" w:cs="Times New Roman"/>
          <w:color w:val="000000" w:themeColor="text1"/>
          <w:lang w:eastAsia="zh-HK"/>
        </w:rPr>
        <w:t>for</w:t>
      </w:r>
      <w:r w:rsidR="00EA728F" w:rsidRPr="004D4D3A">
        <w:rPr>
          <w:rFonts w:ascii="Times New Roman" w:hAnsi="Times New Roman" w:cs="Times New Roman"/>
          <w:color w:val="000000" w:themeColor="text1"/>
          <w:lang w:eastAsia="zh-HK"/>
        </w:rPr>
        <w:t xml:space="preserve"> firms engag</w:t>
      </w:r>
      <w:r w:rsidR="00DD34ED">
        <w:rPr>
          <w:rFonts w:ascii="Times New Roman" w:hAnsi="Times New Roman" w:cs="Times New Roman"/>
          <w:color w:val="000000" w:themeColor="text1"/>
          <w:lang w:eastAsia="zh-HK"/>
        </w:rPr>
        <w:t>ing</w:t>
      </w:r>
      <w:r w:rsidR="00EA728F" w:rsidRPr="004D4D3A">
        <w:rPr>
          <w:rFonts w:ascii="Times New Roman" w:hAnsi="Times New Roman" w:cs="Times New Roman"/>
          <w:color w:val="000000" w:themeColor="text1"/>
          <w:lang w:eastAsia="zh-HK"/>
        </w:rPr>
        <w:t xml:space="preserve"> in more non-operating RPTs. </w:t>
      </w:r>
      <w:r w:rsidR="005024FF" w:rsidRPr="004D4D3A">
        <w:rPr>
          <w:rFonts w:ascii="Times New Roman" w:hAnsi="Times New Roman" w:cs="Times New Roman"/>
          <w:color w:val="000000" w:themeColor="text1"/>
          <w:lang w:eastAsia="zh-HK"/>
        </w:rPr>
        <w:t xml:space="preserve">This is consistent with the opportunistic use of non-operating RPTs. Finally, the results are robust to the use of change specification and alternative measures of audit opinion shopping and RPTs. </w:t>
      </w:r>
    </w:p>
    <w:p w14:paraId="1C0A0FC8" w14:textId="6BBBC826" w:rsidR="00E065C5" w:rsidRPr="004D4D3A" w:rsidRDefault="00E065C5" w:rsidP="00E065C5">
      <w:pPr>
        <w:autoSpaceDE w:val="0"/>
        <w:autoSpaceDN w:val="0"/>
        <w:adjustRightInd w:val="0"/>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This study </w:t>
      </w:r>
      <w:r w:rsidR="002E0DBB">
        <w:rPr>
          <w:rFonts w:ascii="Times New Roman" w:hAnsi="Times New Roman" w:cs="Times New Roman"/>
          <w:color w:val="000000" w:themeColor="text1"/>
        </w:rPr>
        <w:t xml:space="preserve">contributes to the literature in several ways. </w:t>
      </w:r>
      <w:r w:rsidRPr="004D4D3A">
        <w:rPr>
          <w:rFonts w:ascii="Times New Roman" w:hAnsi="Times New Roman" w:cs="Times New Roman"/>
          <w:color w:val="000000" w:themeColor="text1"/>
        </w:rPr>
        <w:t xml:space="preserve">First, previous studies focus on opinion shopping at the audit firm level (e.g., Krishnan and Stephens, 1995; Lennox, 2000; </w:t>
      </w:r>
      <w:proofErr w:type="spellStart"/>
      <w:r w:rsidRPr="004D4D3A">
        <w:rPr>
          <w:rFonts w:ascii="Times New Roman" w:hAnsi="Times New Roman" w:cs="Times New Roman"/>
          <w:color w:val="000000" w:themeColor="text1"/>
        </w:rPr>
        <w:t>Carcello</w:t>
      </w:r>
      <w:proofErr w:type="spellEnd"/>
      <w:r w:rsidRPr="004D4D3A">
        <w:rPr>
          <w:rFonts w:ascii="Times New Roman" w:hAnsi="Times New Roman" w:cs="Times New Roman"/>
          <w:color w:val="000000" w:themeColor="text1"/>
        </w:rPr>
        <w:t xml:space="preserve"> and Neal, 2003; Davidson et al., 2006). Chen et al.</w:t>
      </w:r>
      <w:r w:rsidR="00A1116F">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(2016)</w:t>
      </w:r>
      <w:r w:rsidR="00A1116F">
        <w:rPr>
          <w:rFonts w:ascii="Times New Roman" w:hAnsi="Times New Roman" w:cs="Times New Roman"/>
          <w:color w:val="000000" w:themeColor="text1"/>
        </w:rPr>
        <w:t xml:space="preserve"> empirical work in </w:t>
      </w:r>
      <w:r w:rsidRPr="004D4D3A">
        <w:rPr>
          <w:rFonts w:ascii="Times New Roman" w:hAnsi="Times New Roman" w:cs="Times New Roman"/>
          <w:color w:val="000000" w:themeColor="text1"/>
        </w:rPr>
        <w:t xml:space="preserve">China provides </w:t>
      </w:r>
      <w:r w:rsidR="00A1116F">
        <w:rPr>
          <w:rFonts w:ascii="Times New Roman" w:hAnsi="Times New Roman" w:cs="Times New Roman"/>
          <w:color w:val="000000" w:themeColor="text1"/>
        </w:rPr>
        <w:t xml:space="preserve">preliminary </w:t>
      </w:r>
      <w:r w:rsidRPr="004D4D3A">
        <w:rPr>
          <w:rFonts w:ascii="Times New Roman" w:hAnsi="Times New Roman" w:cs="Times New Roman"/>
          <w:color w:val="000000" w:themeColor="text1"/>
        </w:rPr>
        <w:t>evidence of opinion-shopping at the partner level. This study extend</w:t>
      </w:r>
      <w:r w:rsidR="00AE1068"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their </w:t>
      </w:r>
      <w:r w:rsidR="00A1116F">
        <w:rPr>
          <w:rFonts w:ascii="Times New Roman" w:hAnsi="Times New Roman" w:cs="Times New Roman"/>
          <w:color w:val="000000" w:themeColor="text1"/>
        </w:rPr>
        <w:t>findings</w:t>
      </w:r>
      <w:r w:rsidRPr="004D4D3A">
        <w:rPr>
          <w:rFonts w:ascii="Times New Roman" w:hAnsi="Times New Roman" w:cs="Times New Roman"/>
          <w:color w:val="000000" w:themeColor="text1"/>
        </w:rPr>
        <w:t xml:space="preserve"> by showing that RPTs provide firms with incentives to engage in partner-level opinion shopping. Second, archival studies (e.g., Chen et al., 2008; Chi et al., 2009; </w:t>
      </w:r>
      <w:proofErr w:type="spellStart"/>
      <w:r w:rsidRPr="004D4D3A">
        <w:rPr>
          <w:rFonts w:ascii="Times New Roman" w:hAnsi="Times New Roman" w:cs="Times New Roman"/>
          <w:color w:val="000000" w:themeColor="text1"/>
        </w:rPr>
        <w:t>Carcello</w:t>
      </w:r>
      <w:proofErr w:type="spellEnd"/>
      <w:r w:rsidRPr="004D4D3A">
        <w:rPr>
          <w:rFonts w:ascii="Times New Roman" w:hAnsi="Times New Roman" w:cs="Times New Roman"/>
          <w:color w:val="000000" w:themeColor="text1"/>
        </w:rPr>
        <w:t xml:space="preserve"> and Li, 2013; Gul et al., 2013) us</w:t>
      </w:r>
      <w:r w:rsidR="00ED7E55">
        <w:rPr>
          <w:rFonts w:ascii="Times New Roman" w:hAnsi="Times New Roman" w:cs="Times New Roman"/>
          <w:color w:val="000000" w:themeColor="text1"/>
        </w:rPr>
        <w:t>ing</w:t>
      </w:r>
      <w:r w:rsidRPr="004D4D3A">
        <w:rPr>
          <w:rFonts w:ascii="Times New Roman" w:hAnsi="Times New Roman" w:cs="Times New Roman"/>
          <w:color w:val="000000" w:themeColor="text1"/>
        </w:rPr>
        <w:t xml:space="preserve"> audit partner data examine determinants that </w:t>
      </w:r>
      <w:r w:rsidR="00A1116F">
        <w:rPr>
          <w:rFonts w:ascii="Times New Roman" w:hAnsi="Times New Roman" w:cs="Times New Roman"/>
          <w:color w:val="000000" w:themeColor="text1"/>
        </w:rPr>
        <w:t>explain</w:t>
      </w:r>
      <w:r w:rsidRPr="004D4D3A">
        <w:rPr>
          <w:rFonts w:ascii="Times New Roman" w:hAnsi="Times New Roman" w:cs="Times New Roman"/>
          <w:color w:val="000000" w:themeColor="text1"/>
        </w:rPr>
        <w:t xml:space="preserve"> variation in audit quality across audit partners. This work add</w:t>
      </w:r>
      <w:r w:rsidR="00AE1068"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w:t>
      </w:r>
      <w:r w:rsidR="00A1116F">
        <w:rPr>
          <w:rFonts w:ascii="Times New Roman" w:hAnsi="Times New Roman" w:cs="Times New Roman"/>
          <w:color w:val="000000" w:themeColor="text1"/>
        </w:rPr>
        <w:t xml:space="preserve">to </w:t>
      </w:r>
      <w:r w:rsidRPr="004D4D3A">
        <w:rPr>
          <w:rFonts w:ascii="Times New Roman" w:hAnsi="Times New Roman" w:cs="Times New Roman"/>
          <w:color w:val="000000" w:themeColor="text1"/>
        </w:rPr>
        <w:t xml:space="preserve">this stream of literature </w:t>
      </w:r>
      <w:r w:rsidR="00A1116F">
        <w:rPr>
          <w:rFonts w:ascii="Times New Roman" w:hAnsi="Times New Roman" w:cs="Times New Roman"/>
          <w:color w:val="000000" w:themeColor="text1"/>
        </w:rPr>
        <w:t xml:space="preserve">by showing </w:t>
      </w:r>
      <w:r w:rsidRPr="004D4D3A">
        <w:rPr>
          <w:rFonts w:ascii="Times New Roman" w:hAnsi="Times New Roman" w:cs="Times New Roman"/>
          <w:color w:val="000000" w:themeColor="text1"/>
        </w:rPr>
        <w:t xml:space="preserve">that RPTs can result in </w:t>
      </w:r>
      <w:r w:rsidR="00A1116F">
        <w:rPr>
          <w:rFonts w:ascii="Times New Roman" w:hAnsi="Times New Roman" w:cs="Times New Roman"/>
          <w:color w:val="000000" w:themeColor="text1"/>
        </w:rPr>
        <w:t xml:space="preserve">a more </w:t>
      </w:r>
      <w:r w:rsidRPr="004D4D3A">
        <w:rPr>
          <w:rFonts w:ascii="Times New Roman" w:hAnsi="Times New Roman" w:cs="Times New Roman"/>
          <w:color w:val="000000" w:themeColor="text1"/>
        </w:rPr>
        <w:t>heterogeneous audit quality across partners within the same audit firm. Third, this study contribute</w:t>
      </w:r>
      <w:r w:rsidR="00AE1068"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w:t>
      </w:r>
      <w:r w:rsidR="00AE1068" w:rsidRPr="004D4D3A">
        <w:rPr>
          <w:rFonts w:ascii="Times New Roman" w:hAnsi="Times New Roman" w:cs="Times New Roman"/>
          <w:color w:val="000000" w:themeColor="text1"/>
        </w:rPr>
        <w:t xml:space="preserve">to </w:t>
      </w:r>
      <w:r w:rsidRPr="004D4D3A">
        <w:rPr>
          <w:rFonts w:ascii="Times New Roman" w:hAnsi="Times New Roman" w:cs="Times New Roman"/>
          <w:color w:val="000000" w:themeColor="text1"/>
        </w:rPr>
        <w:t xml:space="preserve">the </w:t>
      </w:r>
      <w:r w:rsidR="00AE1068" w:rsidRPr="004D4D3A">
        <w:rPr>
          <w:rFonts w:ascii="Times New Roman" w:hAnsi="Times New Roman" w:cs="Times New Roman"/>
          <w:color w:val="000000" w:themeColor="text1"/>
        </w:rPr>
        <w:t xml:space="preserve">literature on </w:t>
      </w:r>
      <w:r w:rsidRPr="004D4D3A">
        <w:rPr>
          <w:rFonts w:ascii="Times New Roman" w:hAnsi="Times New Roman" w:cs="Times New Roman"/>
          <w:color w:val="000000" w:themeColor="text1"/>
        </w:rPr>
        <w:t xml:space="preserve">corporate governance </w:t>
      </w:r>
      <w:r w:rsidR="00AE1068" w:rsidRPr="004D4D3A">
        <w:rPr>
          <w:rFonts w:ascii="Times New Roman" w:hAnsi="Times New Roman" w:cs="Times New Roman"/>
          <w:color w:val="000000" w:themeColor="text1"/>
        </w:rPr>
        <w:t>and RPTs in China</w:t>
      </w:r>
      <w:r w:rsidRPr="004D4D3A">
        <w:rPr>
          <w:rFonts w:ascii="Times New Roman" w:hAnsi="Times New Roman" w:cs="Times New Roman"/>
          <w:color w:val="000000" w:themeColor="text1"/>
        </w:rPr>
        <w:t xml:space="preserve">. Prior research </w:t>
      </w:r>
      <w:r w:rsidR="00C7516A">
        <w:rPr>
          <w:rFonts w:ascii="Times New Roman" w:hAnsi="Times New Roman" w:cs="Times New Roman"/>
          <w:color w:val="000000" w:themeColor="text1"/>
        </w:rPr>
        <w:t>largely</w:t>
      </w:r>
      <w:r w:rsidRPr="004D4D3A">
        <w:rPr>
          <w:rFonts w:ascii="Times New Roman" w:hAnsi="Times New Roman" w:cs="Times New Roman"/>
          <w:color w:val="000000" w:themeColor="text1"/>
        </w:rPr>
        <w:t xml:space="preserve"> concludes that Chinese </w:t>
      </w:r>
      <w:r w:rsidR="00A1116F">
        <w:rPr>
          <w:rFonts w:ascii="Times New Roman" w:hAnsi="Times New Roman" w:cs="Times New Roman"/>
          <w:color w:val="000000" w:themeColor="text1"/>
        </w:rPr>
        <w:t>firms</w:t>
      </w:r>
      <w:r w:rsidRPr="004D4D3A">
        <w:rPr>
          <w:rFonts w:ascii="Times New Roman" w:hAnsi="Times New Roman" w:cs="Times New Roman"/>
          <w:color w:val="000000" w:themeColor="text1"/>
        </w:rPr>
        <w:t xml:space="preserve"> engage in RPTs to expropriate firm resources </w:t>
      </w:r>
      <w:r w:rsidR="00A1116F">
        <w:rPr>
          <w:rFonts w:ascii="Times New Roman" w:hAnsi="Times New Roman" w:cs="Times New Roman"/>
          <w:color w:val="000000" w:themeColor="text1"/>
        </w:rPr>
        <w:t xml:space="preserve">which reduces </w:t>
      </w:r>
      <w:r w:rsidRPr="004D4D3A">
        <w:rPr>
          <w:rFonts w:ascii="Times New Roman" w:hAnsi="Times New Roman" w:cs="Times New Roman"/>
          <w:color w:val="000000" w:themeColor="text1"/>
        </w:rPr>
        <w:t>performance and earnings quality (Gordon and Henry, 2005; Zhu and Zhu, 2012)</w:t>
      </w:r>
      <w:r w:rsidR="00A1116F">
        <w:rPr>
          <w:rFonts w:ascii="Times New Roman" w:hAnsi="Times New Roman" w:cs="Times New Roman"/>
          <w:color w:val="000000" w:themeColor="text1"/>
        </w:rPr>
        <w:t xml:space="preserve"> while also increasing</w:t>
      </w:r>
      <w:r w:rsidRPr="004D4D3A">
        <w:rPr>
          <w:rFonts w:ascii="Times New Roman" w:hAnsi="Times New Roman" w:cs="Times New Roman"/>
          <w:color w:val="000000" w:themeColor="text1"/>
        </w:rPr>
        <w:t xml:space="preserve"> audit fees (Habib et al., 2015). There </w:t>
      </w:r>
      <w:r w:rsidR="00A1116F">
        <w:rPr>
          <w:rFonts w:ascii="Times New Roman" w:hAnsi="Times New Roman" w:cs="Times New Roman"/>
          <w:color w:val="000000" w:themeColor="text1"/>
        </w:rPr>
        <w:t xml:space="preserve">is a lack of research </w:t>
      </w:r>
      <w:r w:rsidRPr="004D4D3A">
        <w:rPr>
          <w:rFonts w:ascii="Times New Roman" w:hAnsi="Times New Roman" w:cs="Times New Roman"/>
          <w:color w:val="000000" w:themeColor="text1"/>
        </w:rPr>
        <w:t xml:space="preserve">that examines </w:t>
      </w:r>
      <w:r w:rsidR="00C6044A">
        <w:rPr>
          <w:rFonts w:ascii="Times New Roman" w:hAnsi="Times New Roman" w:cs="Times New Roman"/>
          <w:color w:val="000000" w:themeColor="text1"/>
        </w:rPr>
        <w:t xml:space="preserve">whether </w:t>
      </w:r>
      <w:r w:rsidR="008010BB">
        <w:rPr>
          <w:rFonts w:ascii="Times New Roman" w:hAnsi="Times New Roman" w:cs="Times New Roman"/>
          <w:color w:val="000000" w:themeColor="text1"/>
        </w:rPr>
        <w:t xml:space="preserve">client </w:t>
      </w:r>
      <w:r w:rsidRPr="004D4D3A">
        <w:rPr>
          <w:rFonts w:ascii="Times New Roman" w:hAnsi="Times New Roman" w:cs="Times New Roman"/>
          <w:color w:val="000000" w:themeColor="text1"/>
        </w:rPr>
        <w:t xml:space="preserve">firms influence an audit firm’s partner assignment to avoid unfavorable opinions regarding RPTs. This study addresses this gap in </w:t>
      </w:r>
      <w:r w:rsidRPr="004D4D3A">
        <w:rPr>
          <w:rFonts w:ascii="Times New Roman" w:hAnsi="Times New Roman" w:cs="Times New Roman"/>
          <w:color w:val="000000" w:themeColor="text1"/>
        </w:rPr>
        <w:lastRenderedPageBreak/>
        <w:t xml:space="preserve">the literature. Finally, this study may have policy implications for auditor independence. Although external auditors typically are responsible for disclosure of fraud, inefficiency, or irregularities in audit reports to reduce their risk exposure, the existing </w:t>
      </w:r>
      <w:r w:rsidR="00D4616F">
        <w:rPr>
          <w:rFonts w:ascii="Times New Roman" w:hAnsi="Times New Roman" w:cs="Times New Roman"/>
          <w:color w:val="000000" w:themeColor="text1"/>
        </w:rPr>
        <w:t xml:space="preserve">legal and enforcement systems </w:t>
      </w:r>
      <w:r w:rsidRPr="004D4D3A">
        <w:rPr>
          <w:rFonts w:ascii="Times New Roman" w:hAnsi="Times New Roman" w:cs="Times New Roman"/>
          <w:color w:val="000000" w:themeColor="text1"/>
        </w:rPr>
        <w:t xml:space="preserve">in China appear to foster partner-level opinion shopping. </w:t>
      </w:r>
      <w:r w:rsidR="003660A4">
        <w:rPr>
          <w:rFonts w:ascii="Times New Roman" w:hAnsi="Times New Roman" w:cs="Times New Roman"/>
          <w:color w:val="000000" w:themeColor="text1"/>
        </w:rPr>
        <w:t>P</w:t>
      </w:r>
      <w:r w:rsidRPr="004D4D3A">
        <w:rPr>
          <w:rFonts w:ascii="Times New Roman" w:hAnsi="Times New Roman" w:cs="Times New Roman"/>
          <w:color w:val="000000" w:themeColor="text1"/>
        </w:rPr>
        <w:t>olicymakers may attempt to formulate effective discipline mechanisms to moderate the perceived ability of auditors to resist client management pressure for opinion shopping, which may in turn improve auditor independence.</w:t>
      </w:r>
    </w:p>
    <w:p w14:paraId="2EA6FF78" w14:textId="560B82B0" w:rsidR="000C372F" w:rsidRPr="004D4D3A" w:rsidRDefault="000C372F" w:rsidP="00E065C5">
      <w:pPr>
        <w:autoSpaceDE w:val="0"/>
        <w:autoSpaceDN w:val="0"/>
        <w:adjustRightInd w:val="0"/>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The remainder of this paper is organized as follows. Section 2 reviews prior literature and develops testable hypothesis. Section 3 describes the </w:t>
      </w:r>
      <w:r w:rsidR="0052065F" w:rsidRPr="004D4D3A">
        <w:rPr>
          <w:rFonts w:ascii="Times New Roman" w:hAnsi="Times New Roman" w:cs="Times New Roman"/>
          <w:color w:val="000000" w:themeColor="text1"/>
        </w:rPr>
        <w:t>methodology and sa</w:t>
      </w:r>
      <w:r w:rsidR="00954359" w:rsidRPr="004D4D3A">
        <w:rPr>
          <w:rFonts w:ascii="Times New Roman" w:hAnsi="Times New Roman" w:cs="Times New Roman"/>
          <w:color w:val="000000" w:themeColor="text1"/>
        </w:rPr>
        <w:t>mple selection</w:t>
      </w:r>
      <w:r w:rsidRPr="004D4D3A">
        <w:rPr>
          <w:rFonts w:ascii="Times New Roman" w:hAnsi="Times New Roman" w:cs="Times New Roman"/>
          <w:color w:val="000000" w:themeColor="text1"/>
        </w:rPr>
        <w:t>. Section 4 pre</w:t>
      </w:r>
      <w:r w:rsidR="00250A7F" w:rsidRPr="004D4D3A">
        <w:rPr>
          <w:rFonts w:ascii="Times New Roman" w:hAnsi="Times New Roman" w:cs="Times New Roman"/>
          <w:color w:val="000000" w:themeColor="text1"/>
        </w:rPr>
        <w:t xml:space="preserve">sents </w:t>
      </w:r>
      <w:r w:rsidRPr="004D4D3A">
        <w:rPr>
          <w:rFonts w:ascii="Times New Roman" w:hAnsi="Times New Roman" w:cs="Times New Roman"/>
          <w:color w:val="000000" w:themeColor="text1"/>
        </w:rPr>
        <w:t>empirical results</w:t>
      </w:r>
      <w:r w:rsidR="00250A7F" w:rsidRPr="004D4D3A">
        <w:rPr>
          <w:rFonts w:ascii="Times New Roman" w:hAnsi="Times New Roman" w:cs="Times New Roman"/>
          <w:color w:val="000000" w:themeColor="text1"/>
        </w:rPr>
        <w:t>, and s</w:t>
      </w:r>
      <w:r w:rsidRPr="004D4D3A">
        <w:rPr>
          <w:rFonts w:ascii="Times New Roman" w:hAnsi="Times New Roman" w:cs="Times New Roman"/>
          <w:color w:val="000000" w:themeColor="text1"/>
        </w:rPr>
        <w:t xml:space="preserve">ection 5 concludes the paper. </w:t>
      </w:r>
    </w:p>
    <w:p w14:paraId="490C1A69" w14:textId="77777777" w:rsidR="00E065C5" w:rsidRPr="004D4D3A" w:rsidRDefault="00E065C5" w:rsidP="00A46D08">
      <w:pPr>
        <w:spacing w:line="400" w:lineRule="exact"/>
        <w:rPr>
          <w:rFonts w:ascii="Times New Roman" w:hAnsi="Times New Roman" w:cs="Times New Roman"/>
          <w:color w:val="000000" w:themeColor="text1"/>
        </w:rPr>
      </w:pPr>
    </w:p>
    <w:p w14:paraId="705E152B" w14:textId="77777777" w:rsidR="00EB7254" w:rsidRPr="004D4D3A" w:rsidRDefault="00EB7254" w:rsidP="00A46D08">
      <w:pPr>
        <w:spacing w:line="400" w:lineRule="exact"/>
        <w:rPr>
          <w:rFonts w:ascii="Times New Roman" w:eastAsia="標楷體" w:hAnsi="Times New Roman" w:cs="Times New Roman"/>
          <w:b/>
          <w:color w:val="000000" w:themeColor="text1"/>
          <w:sz w:val="28"/>
          <w:szCs w:val="28"/>
        </w:rPr>
      </w:pPr>
      <w:r w:rsidRPr="004D4D3A">
        <w:rPr>
          <w:rFonts w:ascii="Times New Roman" w:eastAsia="標楷體" w:hAnsi="Times New Roman" w:cs="Times New Roman"/>
          <w:b/>
          <w:color w:val="000000" w:themeColor="text1"/>
          <w:sz w:val="28"/>
          <w:szCs w:val="28"/>
        </w:rPr>
        <w:t>2</w:t>
      </w:r>
      <w:r w:rsidR="00E065C5" w:rsidRPr="004D4D3A">
        <w:rPr>
          <w:rFonts w:ascii="Times New Roman" w:eastAsia="標楷體" w:hAnsi="Times New Roman" w:cs="Times New Roman"/>
          <w:b/>
          <w:color w:val="000000" w:themeColor="text1"/>
          <w:sz w:val="28"/>
          <w:szCs w:val="28"/>
        </w:rPr>
        <w:t xml:space="preserve">. </w:t>
      </w:r>
      <w:r w:rsidR="009F4DD2" w:rsidRPr="004D4D3A">
        <w:rPr>
          <w:rFonts w:ascii="Times New Roman" w:eastAsia="標楷體" w:hAnsi="Times New Roman" w:cs="Times New Roman"/>
          <w:b/>
          <w:color w:val="000000" w:themeColor="text1"/>
          <w:sz w:val="28"/>
          <w:szCs w:val="28"/>
        </w:rPr>
        <w:t>L</w:t>
      </w:r>
      <w:r w:rsidRPr="004D4D3A">
        <w:rPr>
          <w:rFonts w:ascii="Times New Roman" w:eastAsia="標楷體" w:hAnsi="Times New Roman" w:cs="Times New Roman"/>
          <w:b/>
          <w:color w:val="000000" w:themeColor="text1"/>
          <w:sz w:val="28"/>
          <w:szCs w:val="28"/>
        </w:rPr>
        <w:t xml:space="preserve">iterature </w:t>
      </w:r>
      <w:r w:rsidR="00695486" w:rsidRPr="004D4D3A">
        <w:rPr>
          <w:rFonts w:ascii="Times New Roman" w:eastAsia="標楷體" w:hAnsi="Times New Roman" w:cs="Times New Roman"/>
          <w:b/>
          <w:color w:val="000000" w:themeColor="text1"/>
          <w:sz w:val="28"/>
          <w:szCs w:val="28"/>
        </w:rPr>
        <w:t>R</w:t>
      </w:r>
      <w:r w:rsidR="00E065C5" w:rsidRPr="004D4D3A">
        <w:rPr>
          <w:rFonts w:ascii="Times New Roman" w:eastAsia="標楷體" w:hAnsi="Times New Roman" w:cs="Times New Roman"/>
          <w:b/>
          <w:color w:val="000000" w:themeColor="text1"/>
          <w:sz w:val="28"/>
          <w:szCs w:val="28"/>
        </w:rPr>
        <w:t xml:space="preserve">eview </w:t>
      </w:r>
      <w:r w:rsidRPr="004D4D3A">
        <w:rPr>
          <w:rFonts w:ascii="Times New Roman" w:eastAsia="標楷體" w:hAnsi="Times New Roman" w:cs="Times New Roman"/>
          <w:b/>
          <w:color w:val="000000" w:themeColor="text1"/>
          <w:sz w:val="28"/>
          <w:szCs w:val="28"/>
        </w:rPr>
        <w:t xml:space="preserve">and </w:t>
      </w:r>
      <w:r w:rsidR="00695486" w:rsidRPr="004D4D3A">
        <w:rPr>
          <w:rFonts w:ascii="Times New Roman" w:eastAsia="標楷體" w:hAnsi="Times New Roman" w:cs="Times New Roman"/>
          <w:b/>
          <w:color w:val="000000" w:themeColor="text1"/>
          <w:sz w:val="28"/>
          <w:szCs w:val="28"/>
        </w:rPr>
        <w:t>H</w:t>
      </w:r>
      <w:r w:rsidRPr="004D4D3A">
        <w:rPr>
          <w:rFonts w:ascii="Times New Roman" w:eastAsia="標楷體" w:hAnsi="Times New Roman" w:cs="Times New Roman"/>
          <w:b/>
          <w:color w:val="000000" w:themeColor="text1"/>
          <w:sz w:val="28"/>
          <w:szCs w:val="28"/>
        </w:rPr>
        <w:t>ypothes</w:t>
      </w:r>
      <w:r w:rsidR="00E065C5" w:rsidRPr="004D4D3A">
        <w:rPr>
          <w:rFonts w:ascii="Times New Roman" w:eastAsia="標楷體" w:hAnsi="Times New Roman" w:cs="Times New Roman"/>
          <w:b/>
          <w:color w:val="000000" w:themeColor="text1"/>
          <w:sz w:val="28"/>
          <w:szCs w:val="28"/>
        </w:rPr>
        <w:t>i</w:t>
      </w:r>
      <w:r w:rsidRPr="004D4D3A">
        <w:rPr>
          <w:rFonts w:ascii="Times New Roman" w:eastAsia="標楷體" w:hAnsi="Times New Roman" w:cs="Times New Roman"/>
          <w:b/>
          <w:color w:val="000000" w:themeColor="text1"/>
          <w:sz w:val="28"/>
          <w:szCs w:val="28"/>
        </w:rPr>
        <w:t>s</w:t>
      </w:r>
      <w:r w:rsidR="00E065C5" w:rsidRPr="004D4D3A">
        <w:rPr>
          <w:rFonts w:ascii="Times New Roman" w:eastAsia="標楷體" w:hAnsi="Times New Roman" w:cs="Times New Roman"/>
          <w:b/>
          <w:color w:val="000000" w:themeColor="text1"/>
          <w:sz w:val="28"/>
          <w:szCs w:val="28"/>
        </w:rPr>
        <w:t xml:space="preserve"> </w:t>
      </w:r>
      <w:r w:rsidR="00695486" w:rsidRPr="004D4D3A">
        <w:rPr>
          <w:rFonts w:ascii="Times New Roman" w:eastAsia="標楷體" w:hAnsi="Times New Roman" w:cs="Times New Roman"/>
          <w:b/>
          <w:color w:val="000000" w:themeColor="text1"/>
          <w:sz w:val="28"/>
          <w:szCs w:val="28"/>
        </w:rPr>
        <w:t>D</w:t>
      </w:r>
      <w:r w:rsidR="00E065C5" w:rsidRPr="004D4D3A">
        <w:rPr>
          <w:rFonts w:ascii="Times New Roman" w:eastAsia="標楷體" w:hAnsi="Times New Roman" w:cs="Times New Roman"/>
          <w:b/>
          <w:color w:val="000000" w:themeColor="text1"/>
          <w:sz w:val="28"/>
          <w:szCs w:val="28"/>
        </w:rPr>
        <w:t>evelopment</w:t>
      </w:r>
    </w:p>
    <w:p w14:paraId="645F0975" w14:textId="77777777" w:rsidR="001A3A5D" w:rsidRPr="004D4D3A" w:rsidRDefault="001A3A5D" w:rsidP="001A3A5D">
      <w:pPr>
        <w:spacing w:line="400" w:lineRule="exact"/>
        <w:rPr>
          <w:rFonts w:ascii="Times New Roman" w:hAnsi="Times New Roman" w:cs="Times New Roman"/>
          <w:b/>
          <w:color w:val="000000" w:themeColor="text1"/>
        </w:rPr>
      </w:pPr>
      <w:r w:rsidRPr="004D4D3A">
        <w:rPr>
          <w:rFonts w:ascii="Times New Roman" w:hAnsi="Times New Roman" w:cs="Times New Roman"/>
          <w:b/>
          <w:color w:val="000000" w:themeColor="text1"/>
        </w:rPr>
        <w:t xml:space="preserve">2.1 </w:t>
      </w:r>
      <w:r w:rsidR="009F4DD2" w:rsidRPr="004D4D3A">
        <w:rPr>
          <w:rFonts w:ascii="Times New Roman" w:hAnsi="Times New Roman" w:cs="Times New Roman"/>
          <w:b/>
          <w:color w:val="000000" w:themeColor="text1"/>
        </w:rPr>
        <w:t>L</w:t>
      </w:r>
      <w:r w:rsidRPr="004D4D3A">
        <w:rPr>
          <w:rFonts w:ascii="Times New Roman" w:hAnsi="Times New Roman" w:cs="Times New Roman"/>
          <w:b/>
          <w:color w:val="000000" w:themeColor="text1"/>
        </w:rPr>
        <w:t>iterature on RPTs</w:t>
      </w:r>
    </w:p>
    <w:p w14:paraId="2CFAAAA4" w14:textId="2CEF2FD9" w:rsidR="00397C6A" w:rsidRPr="004D4D3A" w:rsidRDefault="008010BB" w:rsidP="00397C6A">
      <w:pPr>
        <w:spacing w:line="400" w:lineRule="exact"/>
        <w:ind w:firstLine="482"/>
        <w:rPr>
          <w:rFonts w:ascii="Times New Roman" w:hAnsi="Times New Roman" w:cs="Times New Roman"/>
          <w:color w:val="000000" w:themeColor="text1"/>
        </w:rPr>
      </w:pPr>
      <w:r>
        <w:rPr>
          <w:rFonts w:ascii="Times New Roman" w:hAnsi="Times New Roman" w:cs="Times New Roman"/>
          <w:color w:val="000000" w:themeColor="text1"/>
        </w:rPr>
        <w:t xml:space="preserve">Increasingly </w:t>
      </w:r>
      <w:r w:rsidR="001A3A5D" w:rsidRPr="004D4D3A">
        <w:rPr>
          <w:rFonts w:ascii="Times New Roman" w:hAnsi="Times New Roman" w:cs="Times New Roman"/>
          <w:color w:val="000000" w:themeColor="text1"/>
        </w:rPr>
        <w:t xml:space="preserve">RPTs </w:t>
      </w:r>
      <w:r>
        <w:rPr>
          <w:rFonts w:ascii="Times New Roman" w:hAnsi="Times New Roman" w:cs="Times New Roman"/>
          <w:color w:val="000000" w:themeColor="text1"/>
        </w:rPr>
        <w:t>are</w:t>
      </w:r>
      <w:r w:rsidR="001A3A5D" w:rsidRPr="004D4D3A">
        <w:rPr>
          <w:rFonts w:ascii="Times New Roman" w:hAnsi="Times New Roman" w:cs="Times New Roman"/>
          <w:color w:val="000000" w:themeColor="text1"/>
        </w:rPr>
        <w:t xml:space="preserve"> a significant </w:t>
      </w:r>
      <w:r w:rsidR="00BE6B4E">
        <w:rPr>
          <w:rFonts w:ascii="Times New Roman" w:hAnsi="Times New Roman" w:cs="Times New Roman"/>
          <w:color w:val="000000" w:themeColor="text1"/>
        </w:rPr>
        <w:t>method for</w:t>
      </w:r>
      <w:r w:rsidR="001A3A5D" w:rsidRPr="004D4D3A">
        <w:rPr>
          <w:rFonts w:ascii="Times New Roman" w:hAnsi="Times New Roman" w:cs="Times New Roman"/>
          <w:color w:val="000000" w:themeColor="text1"/>
        </w:rPr>
        <w:t xml:space="preserve"> financial fraud and tunneling. </w:t>
      </w:r>
      <w:r>
        <w:rPr>
          <w:rFonts w:ascii="Times New Roman" w:hAnsi="Times New Roman" w:cs="Times New Roman"/>
          <w:color w:val="000000" w:themeColor="text1"/>
        </w:rPr>
        <w:t xml:space="preserve">A long list of </w:t>
      </w:r>
      <w:r w:rsidR="001A3A5D" w:rsidRPr="004D4D3A">
        <w:rPr>
          <w:rFonts w:ascii="Times New Roman" w:hAnsi="Times New Roman" w:cs="Times New Roman"/>
          <w:color w:val="000000" w:themeColor="text1"/>
        </w:rPr>
        <w:t>accounting scandals (e.g., Adelphia, Enron, Tyco, and WorldCom)</w:t>
      </w:r>
      <w:r>
        <w:rPr>
          <w:rFonts w:ascii="Times New Roman" w:hAnsi="Times New Roman" w:cs="Times New Roman"/>
          <w:color w:val="000000" w:themeColor="text1"/>
        </w:rPr>
        <w:t xml:space="preserve"> are a reminder of the extent to which </w:t>
      </w:r>
      <w:r w:rsidR="001A3A5D" w:rsidRPr="004D4D3A">
        <w:rPr>
          <w:rFonts w:ascii="Times New Roman" w:hAnsi="Times New Roman" w:cs="Times New Roman"/>
          <w:color w:val="000000" w:themeColor="text1"/>
        </w:rPr>
        <w:t>RPTs impact on firm</w:t>
      </w:r>
      <w:r>
        <w:rPr>
          <w:rFonts w:ascii="Times New Roman" w:hAnsi="Times New Roman" w:cs="Times New Roman"/>
          <w:color w:val="000000" w:themeColor="text1"/>
        </w:rPr>
        <w:t>’s</w:t>
      </w:r>
      <w:r w:rsidR="001A3A5D" w:rsidRPr="004D4D3A">
        <w:rPr>
          <w:rFonts w:ascii="Times New Roman" w:hAnsi="Times New Roman" w:cs="Times New Roman"/>
          <w:color w:val="000000" w:themeColor="text1"/>
        </w:rPr>
        <w:t xml:space="preserve"> valuation </w:t>
      </w:r>
      <w:r>
        <w:rPr>
          <w:rFonts w:ascii="Times New Roman" w:hAnsi="Times New Roman" w:cs="Times New Roman"/>
          <w:color w:val="000000" w:themeColor="text1"/>
        </w:rPr>
        <w:t xml:space="preserve">and </w:t>
      </w:r>
      <w:r w:rsidR="006214D8" w:rsidRPr="004D4D3A">
        <w:rPr>
          <w:rFonts w:ascii="Times New Roman" w:hAnsi="Times New Roman" w:cs="Times New Roman"/>
          <w:color w:val="000000" w:themeColor="text1"/>
        </w:rPr>
        <w:t xml:space="preserve">on </w:t>
      </w:r>
      <w:r w:rsidR="001A3A5D" w:rsidRPr="004D4D3A">
        <w:rPr>
          <w:rFonts w:ascii="Times New Roman" w:hAnsi="Times New Roman" w:cs="Times New Roman"/>
          <w:color w:val="000000" w:themeColor="text1"/>
        </w:rPr>
        <w:t xml:space="preserve">the entire capital market. There are two competing theoretical perspectives </w:t>
      </w:r>
      <w:r w:rsidR="00026357" w:rsidRPr="004D4D3A">
        <w:rPr>
          <w:rFonts w:ascii="Times New Roman" w:hAnsi="Times New Roman" w:cs="Times New Roman"/>
          <w:color w:val="000000" w:themeColor="text1"/>
        </w:rPr>
        <w:t xml:space="preserve">on </w:t>
      </w:r>
      <w:r w:rsidR="001A3A5D" w:rsidRPr="004D4D3A">
        <w:rPr>
          <w:rFonts w:ascii="Times New Roman" w:hAnsi="Times New Roman" w:cs="Times New Roman"/>
          <w:color w:val="000000" w:themeColor="text1"/>
        </w:rPr>
        <w:t>RPTs. The efficiency-enhancing theory</w:t>
      </w:r>
      <w:r w:rsidR="00026357" w:rsidRPr="004D4D3A">
        <w:rPr>
          <w:rFonts w:ascii="Times New Roman" w:hAnsi="Times New Roman" w:cs="Times New Roman"/>
          <w:color w:val="000000" w:themeColor="text1"/>
        </w:rPr>
        <w:t xml:space="preserve"> contends</w:t>
      </w:r>
      <w:r w:rsidR="001A3A5D" w:rsidRPr="004D4D3A">
        <w:rPr>
          <w:rFonts w:ascii="Times New Roman" w:hAnsi="Times New Roman" w:cs="Times New Roman"/>
          <w:color w:val="000000" w:themeColor="text1"/>
        </w:rPr>
        <w:t xml:space="preserve"> that the weak legal enforcement and inefficient market mechanisms </w:t>
      </w:r>
      <w:r>
        <w:rPr>
          <w:rFonts w:ascii="Times New Roman" w:hAnsi="Times New Roman" w:cs="Times New Roman"/>
          <w:color w:val="000000" w:themeColor="text1"/>
        </w:rPr>
        <w:t>fundamentally</w:t>
      </w:r>
      <w:r w:rsidR="001A3A5D" w:rsidRPr="004D4D3A">
        <w:rPr>
          <w:rFonts w:ascii="Times New Roman" w:hAnsi="Times New Roman" w:cs="Times New Roman"/>
          <w:color w:val="000000" w:themeColor="text1"/>
        </w:rPr>
        <w:t xml:space="preserve"> increase transaction costs for independent companies. Firms can form corporate groups and u</w:t>
      </w:r>
      <w:r w:rsidR="00026357" w:rsidRPr="004D4D3A">
        <w:rPr>
          <w:rFonts w:ascii="Times New Roman" w:hAnsi="Times New Roman" w:cs="Times New Roman"/>
          <w:color w:val="000000" w:themeColor="text1"/>
        </w:rPr>
        <w:t>s</w:t>
      </w:r>
      <w:r w:rsidR="001A3A5D" w:rsidRPr="004D4D3A">
        <w:rPr>
          <w:rFonts w:ascii="Times New Roman" w:hAnsi="Times New Roman" w:cs="Times New Roman"/>
          <w:color w:val="000000" w:themeColor="text1"/>
        </w:rPr>
        <w:t>e RPTs to optimize internal resource allocation, lower transaction costs, and improve return on assets (Shin and Park, 1999; Khanna and Palepu, 2000).</w:t>
      </w:r>
      <w:r w:rsidR="00026357" w:rsidRPr="004D4D3A">
        <w:rPr>
          <w:rFonts w:ascii="Times New Roman" w:hAnsi="Times New Roman" w:cs="Times New Roman"/>
          <w:color w:val="000000" w:themeColor="text1"/>
        </w:rPr>
        <w:t xml:space="preserve"> T</w:t>
      </w:r>
      <w:r w:rsidR="001A3A5D" w:rsidRPr="004D4D3A">
        <w:rPr>
          <w:rFonts w:ascii="Times New Roman" w:hAnsi="Times New Roman" w:cs="Times New Roman"/>
          <w:color w:val="000000" w:themeColor="text1"/>
        </w:rPr>
        <w:t>he conflict of interest theory views RPTs as value-destroying activities that can be abused to expropriate shareholders</w:t>
      </w:r>
      <w:r w:rsidR="009B24A1" w:rsidRPr="004D4D3A">
        <w:rPr>
          <w:rFonts w:ascii="Times New Roman" w:hAnsi="Times New Roman" w:cs="Times New Roman"/>
          <w:color w:val="000000" w:themeColor="text1"/>
        </w:rPr>
        <w:t>’</w:t>
      </w:r>
      <w:r w:rsidR="001A3A5D" w:rsidRPr="004D4D3A">
        <w:rPr>
          <w:rFonts w:ascii="Times New Roman" w:hAnsi="Times New Roman" w:cs="Times New Roman"/>
          <w:color w:val="000000" w:themeColor="text1"/>
        </w:rPr>
        <w:t xml:space="preserve"> wealth (Chang and Hong, 2000).</w:t>
      </w:r>
    </w:p>
    <w:p w14:paraId="3C960882" w14:textId="2A358CF1" w:rsidR="00C45C61" w:rsidRDefault="001A3A5D" w:rsidP="00397C6A">
      <w:pPr>
        <w:spacing w:line="400" w:lineRule="exact"/>
        <w:ind w:firstLine="482"/>
        <w:rPr>
          <w:rFonts w:ascii="Times New Roman" w:hAnsi="Times New Roman" w:cs="Times New Roman"/>
          <w:color w:val="000000" w:themeColor="text1"/>
        </w:rPr>
      </w:pPr>
      <w:r w:rsidRPr="004D4D3A">
        <w:rPr>
          <w:rFonts w:ascii="Times New Roman" w:hAnsi="Times New Roman" w:cs="Times New Roman"/>
          <w:color w:val="000000" w:themeColor="text1"/>
        </w:rPr>
        <w:t xml:space="preserve">Empirical research </w:t>
      </w:r>
      <w:r w:rsidR="00026357" w:rsidRPr="004D4D3A">
        <w:rPr>
          <w:rFonts w:ascii="Times New Roman" w:hAnsi="Times New Roman" w:cs="Times New Roman"/>
          <w:color w:val="000000" w:themeColor="text1"/>
        </w:rPr>
        <w:t xml:space="preserve">on how </w:t>
      </w:r>
      <w:r w:rsidRPr="004D4D3A">
        <w:rPr>
          <w:rFonts w:ascii="Times New Roman" w:hAnsi="Times New Roman" w:cs="Times New Roman"/>
          <w:color w:val="000000" w:themeColor="text1"/>
        </w:rPr>
        <w:t xml:space="preserve">RPTs </w:t>
      </w:r>
      <w:r w:rsidR="00026357" w:rsidRPr="004D4D3A">
        <w:rPr>
          <w:rFonts w:ascii="Times New Roman" w:hAnsi="Times New Roman" w:cs="Times New Roman"/>
          <w:color w:val="000000" w:themeColor="text1"/>
        </w:rPr>
        <w:t>reduce</w:t>
      </w:r>
      <w:r w:rsidRPr="004D4D3A">
        <w:rPr>
          <w:rFonts w:ascii="Times New Roman" w:hAnsi="Times New Roman" w:cs="Times New Roman"/>
          <w:color w:val="000000" w:themeColor="text1"/>
        </w:rPr>
        <w:t xml:space="preserve"> transaction costs and facilitat</w:t>
      </w:r>
      <w:r w:rsidR="00026357" w:rsidRPr="004D4D3A">
        <w:rPr>
          <w:rFonts w:ascii="Times New Roman" w:hAnsi="Times New Roman" w:cs="Times New Roman"/>
          <w:color w:val="000000" w:themeColor="text1"/>
        </w:rPr>
        <w:t>e</w:t>
      </w:r>
      <w:r w:rsidRPr="004D4D3A">
        <w:rPr>
          <w:rFonts w:ascii="Times New Roman" w:hAnsi="Times New Roman" w:cs="Times New Roman"/>
          <w:color w:val="000000" w:themeColor="text1"/>
        </w:rPr>
        <w:t xml:space="preserve"> internal resource allocation is relatively sparse. </w:t>
      </w:r>
      <w:r w:rsidR="00F3265A" w:rsidRPr="004D4D3A">
        <w:rPr>
          <w:rFonts w:ascii="Times New Roman" w:hAnsi="Times New Roman" w:cs="Times New Roman"/>
          <w:color w:val="000000" w:themeColor="text1"/>
        </w:rPr>
        <w:t>Chen et al. (2012)</w:t>
      </w:r>
      <w:r w:rsidR="00F3265A">
        <w:rPr>
          <w:rFonts w:ascii="Times New Roman" w:hAnsi="Times New Roman" w:cs="Times New Roman"/>
          <w:color w:val="000000" w:themeColor="text1"/>
        </w:rPr>
        <w:t>, i</w:t>
      </w:r>
      <w:r w:rsidR="00A70FA8" w:rsidRPr="004D4D3A">
        <w:rPr>
          <w:rFonts w:ascii="Times New Roman" w:hAnsi="Times New Roman" w:cs="Times New Roman"/>
          <w:color w:val="000000" w:themeColor="text1"/>
        </w:rPr>
        <w:t>n the context of China</w:t>
      </w:r>
      <w:r w:rsidRPr="004D4D3A">
        <w:rPr>
          <w:rFonts w:ascii="Times New Roman" w:hAnsi="Times New Roman" w:cs="Times New Roman"/>
          <w:color w:val="000000" w:themeColor="text1"/>
        </w:rPr>
        <w:t xml:space="preserve">, </w:t>
      </w:r>
      <w:r w:rsidR="00A70FA8" w:rsidRPr="004D4D3A">
        <w:rPr>
          <w:rFonts w:ascii="Times New Roman" w:hAnsi="Times New Roman" w:cs="Times New Roman"/>
          <w:color w:val="000000" w:themeColor="text1"/>
        </w:rPr>
        <w:t>show</w:t>
      </w:r>
      <w:r w:rsidRPr="004D4D3A">
        <w:rPr>
          <w:rFonts w:ascii="Times New Roman" w:hAnsi="Times New Roman" w:cs="Times New Roman"/>
          <w:color w:val="000000" w:themeColor="text1"/>
        </w:rPr>
        <w:t xml:space="preserve"> that firms in more competitive industries tend to increase RPTs to diminish transaction cost</w:t>
      </w:r>
      <w:r w:rsidR="00026357"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which can potentially alleviate their bankruptcy risk. </w:t>
      </w:r>
      <w:r w:rsidR="00026357" w:rsidRPr="004D4D3A">
        <w:rPr>
          <w:rFonts w:ascii="Times New Roman" w:hAnsi="Times New Roman" w:cs="Times New Roman"/>
          <w:color w:val="000000" w:themeColor="text1"/>
        </w:rPr>
        <w:t>Similarly</w:t>
      </w:r>
      <w:r w:rsidRPr="004D4D3A">
        <w:rPr>
          <w:rFonts w:ascii="Times New Roman" w:hAnsi="Times New Roman" w:cs="Times New Roman"/>
          <w:color w:val="000000" w:themeColor="text1"/>
        </w:rPr>
        <w:t xml:space="preserve">, Wong et al. (2015) </w:t>
      </w:r>
      <w:r w:rsidR="00F3265A">
        <w:rPr>
          <w:rFonts w:ascii="Times New Roman" w:hAnsi="Times New Roman" w:cs="Times New Roman"/>
          <w:color w:val="000000" w:themeColor="text1"/>
        </w:rPr>
        <w:t>report</w:t>
      </w:r>
      <w:r w:rsidRPr="004D4D3A">
        <w:rPr>
          <w:rFonts w:ascii="Times New Roman" w:hAnsi="Times New Roman" w:cs="Times New Roman"/>
          <w:color w:val="000000" w:themeColor="text1"/>
        </w:rPr>
        <w:t xml:space="preserve"> that RPTs are a tool for improving resource allocation efficiency among affiliat</w:t>
      </w:r>
      <w:r w:rsidR="00F3265A">
        <w:rPr>
          <w:rFonts w:ascii="Times New Roman" w:hAnsi="Times New Roman" w:cs="Times New Roman"/>
          <w:color w:val="000000" w:themeColor="text1"/>
        </w:rPr>
        <w:t>ing</w:t>
      </w:r>
      <w:r w:rsidR="00397C6A" w:rsidRPr="004D4D3A">
        <w:rPr>
          <w:rFonts w:ascii="Times New Roman" w:hAnsi="Times New Roman" w:cs="Times New Roman"/>
          <w:color w:val="000000" w:themeColor="text1"/>
        </w:rPr>
        <w:t xml:space="preserve"> </w:t>
      </w:r>
      <w:r w:rsidRPr="004D4D3A">
        <w:rPr>
          <w:rFonts w:ascii="Times New Roman" w:hAnsi="Times New Roman" w:cs="Times New Roman"/>
          <w:color w:val="000000" w:themeColor="text1"/>
        </w:rPr>
        <w:t>firms within the same business group</w:t>
      </w:r>
      <w:r w:rsidR="00397C6A" w:rsidRPr="004D4D3A">
        <w:rPr>
          <w:rFonts w:ascii="Times New Roman" w:hAnsi="Times New Roman" w:cs="Times New Roman"/>
          <w:color w:val="000000" w:themeColor="text1"/>
        </w:rPr>
        <w:t xml:space="preserve">. </w:t>
      </w:r>
    </w:p>
    <w:p w14:paraId="277126F4" w14:textId="7E5C6BC9" w:rsidR="007D3916" w:rsidRPr="004D4D3A" w:rsidRDefault="00AA5B28" w:rsidP="00397C6A">
      <w:pPr>
        <w:spacing w:line="400" w:lineRule="exact"/>
        <w:ind w:firstLine="482"/>
        <w:rPr>
          <w:rFonts w:ascii="Times New Roman" w:hAnsi="Times New Roman" w:cs="Times New Roman"/>
          <w:color w:val="000000" w:themeColor="text1"/>
        </w:rPr>
      </w:pPr>
      <w:r>
        <w:rPr>
          <w:rFonts w:ascii="Times New Roman" w:hAnsi="Times New Roman" w:cs="Times New Roman"/>
          <w:color w:val="000000" w:themeColor="text1"/>
        </w:rPr>
        <w:t xml:space="preserve">There is substantial support for the </w:t>
      </w:r>
      <w:r w:rsidR="001A3A5D" w:rsidRPr="004D4D3A">
        <w:rPr>
          <w:rFonts w:ascii="Times New Roman" w:hAnsi="Times New Roman" w:cs="Times New Roman"/>
          <w:color w:val="000000" w:themeColor="text1"/>
        </w:rPr>
        <w:t xml:space="preserve">conflict of interest theory. </w:t>
      </w:r>
      <w:proofErr w:type="spellStart"/>
      <w:r w:rsidRPr="004D4D3A">
        <w:rPr>
          <w:rFonts w:ascii="Times New Roman" w:hAnsi="Times New Roman" w:cs="Times New Roman"/>
          <w:color w:val="000000" w:themeColor="text1"/>
        </w:rPr>
        <w:t>Gordan</w:t>
      </w:r>
      <w:proofErr w:type="spellEnd"/>
      <w:r w:rsidRPr="004D4D3A">
        <w:rPr>
          <w:rFonts w:ascii="Times New Roman" w:hAnsi="Times New Roman" w:cs="Times New Roman"/>
          <w:color w:val="000000" w:themeColor="text1"/>
        </w:rPr>
        <w:t xml:space="preserve"> et al. (2004)</w:t>
      </w:r>
      <w:r w:rsidR="001A3A5D" w:rsidRPr="004D4D3A">
        <w:rPr>
          <w:rFonts w:ascii="Times New Roman" w:hAnsi="Times New Roman" w:cs="Times New Roman"/>
          <w:color w:val="000000" w:themeColor="text1"/>
        </w:rPr>
        <w:t xml:space="preserve">, using </w:t>
      </w:r>
      <w:r w:rsidR="00026357" w:rsidRPr="004D4D3A">
        <w:rPr>
          <w:rFonts w:ascii="Times New Roman" w:hAnsi="Times New Roman" w:cs="Times New Roman"/>
          <w:color w:val="000000" w:themeColor="text1"/>
        </w:rPr>
        <w:t xml:space="preserve">a sample of </w:t>
      </w:r>
      <w:r w:rsidR="001A3A5D" w:rsidRPr="004D4D3A">
        <w:rPr>
          <w:rFonts w:ascii="Times New Roman" w:hAnsi="Times New Roman" w:cs="Times New Roman"/>
          <w:color w:val="000000" w:themeColor="text1"/>
        </w:rPr>
        <w:t xml:space="preserve">U.S. firms, provide evidence that firms with more RPT activity have lower subsequent stock returns. Similarly, </w:t>
      </w:r>
      <w:proofErr w:type="spellStart"/>
      <w:r w:rsidR="001A3A5D" w:rsidRPr="004D4D3A">
        <w:rPr>
          <w:rFonts w:ascii="Times New Roman" w:hAnsi="Times New Roman" w:cs="Times New Roman"/>
          <w:color w:val="000000" w:themeColor="text1"/>
        </w:rPr>
        <w:t>Kohlbeck</w:t>
      </w:r>
      <w:proofErr w:type="spellEnd"/>
      <w:r w:rsidR="001A3A5D" w:rsidRPr="004D4D3A">
        <w:rPr>
          <w:rFonts w:ascii="Times New Roman" w:hAnsi="Times New Roman" w:cs="Times New Roman"/>
          <w:color w:val="000000" w:themeColor="text1"/>
        </w:rPr>
        <w:t xml:space="preserve"> and Mayhew (2010) </w:t>
      </w:r>
      <w:r w:rsidR="007D3916" w:rsidRPr="004D4D3A">
        <w:rPr>
          <w:rFonts w:ascii="Times New Roman" w:hAnsi="Times New Roman" w:cs="Times New Roman"/>
          <w:color w:val="000000" w:themeColor="text1"/>
        </w:rPr>
        <w:t xml:space="preserve">show that </w:t>
      </w:r>
      <w:r w:rsidR="001A3A5D" w:rsidRPr="004D4D3A">
        <w:rPr>
          <w:rFonts w:ascii="Times New Roman" w:hAnsi="Times New Roman" w:cs="Times New Roman"/>
          <w:color w:val="000000" w:themeColor="text1"/>
        </w:rPr>
        <w:t>S&amp;P 500 firms with RPT experience significantly lower valuation</w:t>
      </w:r>
      <w:r>
        <w:rPr>
          <w:rFonts w:ascii="Times New Roman" w:hAnsi="Times New Roman" w:cs="Times New Roman"/>
          <w:color w:val="000000" w:themeColor="text1"/>
        </w:rPr>
        <w:t>s</w:t>
      </w:r>
      <w:r w:rsidR="001A3A5D" w:rsidRPr="004D4D3A">
        <w:rPr>
          <w:rFonts w:ascii="Times New Roman" w:hAnsi="Times New Roman" w:cs="Times New Roman"/>
          <w:color w:val="000000" w:themeColor="text1"/>
        </w:rPr>
        <w:t xml:space="preserve"> and marginally lower subsequent return than firms without RPTs. </w:t>
      </w:r>
      <w:proofErr w:type="spellStart"/>
      <w:r w:rsidR="001A3A5D" w:rsidRPr="004D4D3A">
        <w:rPr>
          <w:rFonts w:ascii="Times New Roman" w:hAnsi="Times New Roman" w:cs="Times New Roman"/>
          <w:color w:val="000000" w:themeColor="text1"/>
        </w:rPr>
        <w:t>Ryngaert</w:t>
      </w:r>
      <w:proofErr w:type="spellEnd"/>
      <w:r w:rsidR="001A3A5D" w:rsidRPr="004D4D3A">
        <w:rPr>
          <w:rFonts w:ascii="Times New Roman" w:hAnsi="Times New Roman" w:cs="Times New Roman"/>
          <w:color w:val="000000" w:themeColor="text1"/>
        </w:rPr>
        <w:t xml:space="preserve"> and Thomas (2012) observe a sample of U.S. small and </w:t>
      </w:r>
      <w:r w:rsidR="001A3A5D" w:rsidRPr="004D4D3A">
        <w:rPr>
          <w:rFonts w:ascii="Times New Roman" w:hAnsi="Times New Roman" w:cs="Times New Roman"/>
          <w:color w:val="000000" w:themeColor="text1"/>
        </w:rPr>
        <w:lastRenderedPageBreak/>
        <w:t>mid-sized firms and distinguish between the impacts of ex</w:t>
      </w:r>
      <w:r w:rsidR="00B23535">
        <w:rPr>
          <w:rFonts w:ascii="Times New Roman" w:hAnsi="Times New Roman" w:cs="Times New Roman"/>
          <w:color w:val="000000" w:themeColor="text1"/>
        </w:rPr>
        <w:t>-</w:t>
      </w:r>
      <w:r w:rsidR="001A3A5D" w:rsidRPr="004D4D3A">
        <w:rPr>
          <w:rFonts w:ascii="Times New Roman" w:hAnsi="Times New Roman" w:cs="Times New Roman"/>
          <w:color w:val="000000" w:themeColor="text1"/>
        </w:rPr>
        <w:t xml:space="preserve">ante RPTs (transactions </w:t>
      </w:r>
      <w:r w:rsidR="00B23535" w:rsidRPr="004D4D3A">
        <w:rPr>
          <w:rFonts w:ascii="Times New Roman" w:hAnsi="Times New Roman" w:cs="Times New Roman"/>
          <w:color w:val="000000" w:themeColor="text1"/>
        </w:rPr>
        <w:t>tha</w:t>
      </w:r>
      <w:r w:rsidR="00B23535">
        <w:rPr>
          <w:rFonts w:ascii="Times New Roman" w:hAnsi="Times New Roman" w:cs="Times New Roman"/>
          <w:color w:val="000000" w:themeColor="text1"/>
        </w:rPr>
        <w:t>t</w:t>
      </w:r>
      <w:r w:rsidR="00B23535" w:rsidRPr="004D4D3A">
        <w:rPr>
          <w:rFonts w:ascii="Times New Roman" w:hAnsi="Times New Roman" w:cs="Times New Roman"/>
          <w:color w:val="000000" w:themeColor="text1"/>
        </w:rPr>
        <w:t xml:space="preserve"> </w:t>
      </w:r>
      <w:r w:rsidR="001A3A5D" w:rsidRPr="004D4D3A">
        <w:rPr>
          <w:rFonts w:ascii="Times New Roman" w:hAnsi="Times New Roman" w:cs="Times New Roman"/>
          <w:color w:val="000000" w:themeColor="text1"/>
        </w:rPr>
        <w:t>predate a counterparty becoming a related party) and ex</w:t>
      </w:r>
      <w:r w:rsidR="00B23535">
        <w:rPr>
          <w:rFonts w:ascii="Times New Roman" w:hAnsi="Times New Roman" w:cs="Times New Roman"/>
          <w:color w:val="000000" w:themeColor="text1"/>
        </w:rPr>
        <w:t>-</w:t>
      </w:r>
      <w:r w:rsidR="001A3A5D" w:rsidRPr="004D4D3A">
        <w:rPr>
          <w:rFonts w:ascii="Times New Roman" w:hAnsi="Times New Roman" w:cs="Times New Roman"/>
          <w:color w:val="000000" w:themeColor="text1"/>
        </w:rPr>
        <w:t>post RPTs (transactions initiated after a counterparty becomes a related party) on firms. They find that ex</w:t>
      </w:r>
      <w:r>
        <w:rPr>
          <w:rFonts w:ascii="Times New Roman" w:hAnsi="Times New Roman" w:cs="Times New Roman"/>
          <w:color w:val="000000" w:themeColor="text1"/>
        </w:rPr>
        <w:t>-</w:t>
      </w:r>
      <w:r w:rsidR="001A3A5D" w:rsidRPr="004D4D3A">
        <w:rPr>
          <w:rFonts w:ascii="Times New Roman" w:hAnsi="Times New Roman" w:cs="Times New Roman"/>
          <w:color w:val="000000" w:themeColor="text1"/>
        </w:rPr>
        <w:t xml:space="preserve">post RPTs reduce shareholder wealth and </w:t>
      </w:r>
      <w:r>
        <w:rPr>
          <w:rFonts w:ascii="Times New Roman" w:hAnsi="Times New Roman" w:cs="Times New Roman"/>
          <w:color w:val="000000" w:themeColor="text1"/>
        </w:rPr>
        <w:t xml:space="preserve">the </w:t>
      </w:r>
      <w:r w:rsidR="001A3A5D" w:rsidRPr="004D4D3A">
        <w:rPr>
          <w:rFonts w:ascii="Times New Roman" w:hAnsi="Times New Roman" w:cs="Times New Roman"/>
          <w:color w:val="000000" w:themeColor="text1"/>
        </w:rPr>
        <w:t>firm</w:t>
      </w:r>
      <w:r>
        <w:rPr>
          <w:rFonts w:ascii="Times New Roman" w:hAnsi="Times New Roman" w:cs="Times New Roman"/>
          <w:color w:val="000000" w:themeColor="text1"/>
        </w:rPr>
        <w:t>’s</w:t>
      </w:r>
      <w:r w:rsidR="001A3A5D" w:rsidRPr="004D4D3A">
        <w:rPr>
          <w:rFonts w:ascii="Times New Roman" w:hAnsi="Times New Roman" w:cs="Times New Roman"/>
          <w:color w:val="000000" w:themeColor="text1"/>
        </w:rPr>
        <w:t xml:space="preserve"> profitability. </w:t>
      </w:r>
    </w:p>
    <w:p w14:paraId="3AF01C28" w14:textId="710BBEC7" w:rsidR="001A3A5D" w:rsidRPr="004D4D3A" w:rsidRDefault="007D3916" w:rsidP="00397C6A">
      <w:pPr>
        <w:spacing w:line="400" w:lineRule="exact"/>
        <w:ind w:firstLine="482"/>
        <w:rPr>
          <w:rFonts w:ascii="Times New Roman" w:hAnsi="Times New Roman" w:cs="Times New Roman"/>
          <w:color w:val="000000" w:themeColor="text1"/>
        </w:rPr>
      </w:pPr>
      <w:r w:rsidRPr="004D4D3A">
        <w:rPr>
          <w:rFonts w:ascii="Times New Roman" w:hAnsi="Times New Roman" w:cs="Times New Roman"/>
          <w:color w:val="000000" w:themeColor="text1"/>
        </w:rPr>
        <w:t>S</w:t>
      </w:r>
      <w:r w:rsidR="001A3A5D" w:rsidRPr="004D4D3A">
        <w:rPr>
          <w:rFonts w:ascii="Times New Roman" w:hAnsi="Times New Roman" w:cs="Times New Roman"/>
          <w:color w:val="000000" w:themeColor="text1"/>
        </w:rPr>
        <w:t>tudies of RPTs in emerging countries flourish, because expropriation via RPTs is more likely in the context of poor law enforcement and prevailing rent-seeking environment. For example, Jian and Wong (200</w:t>
      </w:r>
      <w:r w:rsidR="00661967" w:rsidRPr="004D4D3A">
        <w:rPr>
          <w:rFonts w:ascii="Times New Roman" w:hAnsi="Times New Roman" w:cs="Times New Roman"/>
          <w:color w:val="000000" w:themeColor="text1"/>
        </w:rPr>
        <w:t>4</w:t>
      </w:r>
      <w:r w:rsidR="001A3A5D" w:rsidRPr="004D4D3A">
        <w:rPr>
          <w:rFonts w:ascii="Times New Roman" w:hAnsi="Times New Roman" w:cs="Times New Roman"/>
          <w:color w:val="000000" w:themeColor="text1"/>
        </w:rPr>
        <w:t>) find that Chinese group firms are more likely to use RPTs to manipulate earnings and tunnel firm value. Cheung et al. (2006) report that Hong Kong-listed firms experience negative excess returns both at the initial announcement and during the 12-month period following the announcement of connected transactions. Jiang et al. (2010) demonstrate that Chinese firms that grant loans to relat</w:t>
      </w:r>
      <w:r w:rsidR="00083C53">
        <w:rPr>
          <w:rFonts w:ascii="Times New Roman" w:hAnsi="Times New Roman" w:cs="Times New Roman"/>
          <w:color w:val="000000" w:themeColor="text1"/>
        </w:rPr>
        <w:t>ed</w:t>
      </w:r>
      <w:r w:rsidR="001A3A5D" w:rsidRPr="004D4D3A">
        <w:rPr>
          <w:rFonts w:ascii="Times New Roman" w:hAnsi="Times New Roman" w:cs="Times New Roman"/>
          <w:color w:val="000000" w:themeColor="text1"/>
        </w:rPr>
        <w:t xml:space="preserve"> parties experience </w:t>
      </w:r>
      <w:r w:rsidRPr="004D4D3A">
        <w:rPr>
          <w:rFonts w:ascii="Times New Roman" w:hAnsi="Times New Roman" w:cs="Times New Roman"/>
          <w:color w:val="000000" w:themeColor="text1"/>
        </w:rPr>
        <w:t xml:space="preserve">poorer </w:t>
      </w:r>
      <w:r w:rsidR="001A3A5D" w:rsidRPr="004D4D3A">
        <w:rPr>
          <w:rFonts w:ascii="Times New Roman" w:hAnsi="Times New Roman" w:cs="Times New Roman"/>
          <w:color w:val="000000" w:themeColor="text1"/>
        </w:rPr>
        <w:t>subsequent operating performance. Chen et al. (2011) provide evidence that Chinese IPO firms engag</w:t>
      </w:r>
      <w:r w:rsidRPr="004D4D3A">
        <w:rPr>
          <w:rFonts w:ascii="Times New Roman" w:hAnsi="Times New Roman" w:cs="Times New Roman"/>
          <w:color w:val="000000" w:themeColor="text1"/>
        </w:rPr>
        <w:t>ing</w:t>
      </w:r>
      <w:r w:rsidR="001A3A5D" w:rsidRPr="004D4D3A">
        <w:rPr>
          <w:rFonts w:ascii="Times New Roman" w:hAnsi="Times New Roman" w:cs="Times New Roman"/>
          <w:color w:val="000000" w:themeColor="text1"/>
        </w:rPr>
        <w:t xml:space="preserve"> in RPTs have </w:t>
      </w:r>
      <w:r w:rsidRPr="004D4D3A">
        <w:rPr>
          <w:rFonts w:ascii="Times New Roman" w:hAnsi="Times New Roman" w:cs="Times New Roman"/>
          <w:color w:val="000000" w:themeColor="text1"/>
        </w:rPr>
        <w:t>poorer</w:t>
      </w:r>
      <w:r w:rsidR="001A3A5D" w:rsidRPr="004D4D3A">
        <w:rPr>
          <w:rFonts w:ascii="Times New Roman" w:hAnsi="Times New Roman" w:cs="Times New Roman"/>
          <w:color w:val="000000" w:themeColor="text1"/>
        </w:rPr>
        <w:t xml:space="preserve"> post-IPO long term performance. Kang et al. (2014) report that </w:t>
      </w:r>
      <w:r w:rsidRPr="004D4D3A">
        <w:rPr>
          <w:rFonts w:ascii="Times New Roman" w:hAnsi="Times New Roman" w:cs="Times New Roman"/>
          <w:color w:val="000000" w:themeColor="text1"/>
        </w:rPr>
        <w:t xml:space="preserve">the </w:t>
      </w:r>
      <w:r w:rsidR="001A3A5D" w:rsidRPr="004D4D3A">
        <w:rPr>
          <w:rFonts w:ascii="Times New Roman" w:hAnsi="Times New Roman" w:cs="Times New Roman"/>
          <w:color w:val="000000" w:themeColor="text1"/>
        </w:rPr>
        <w:t xml:space="preserve">RPTs of Korean chaebol firms, on average, diminish firm value, </w:t>
      </w:r>
      <w:r w:rsidRPr="004D4D3A">
        <w:rPr>
          <w:rFonts w:ascii="Times New Roman" w:hAnsi="Times New Roman" w:cs="Times New Roman"/>
          <w:color w:val="000000" w:themeColor="text1"/>
        </w:rPr>
        <w:t xml:space="preserve">and </w:t>
      </w:r>
      <w:r w:rsidR="001A3A5D" w:rsidRPr="004D4D3A">
        <w:rPr>
          <w:rFonts w:ascii="Times New Roman" w:hAnsi="Times New Roman" w:cs="Times New Roman"/>
          <w:color w:val="000000" w:themeColor="text1"/>
        </w:rPr>
        <w:t>this value destruction is most pronounced when the control-ownership wedge is high.</w:t>
      </w:r>
    </w:p>
    <w:p w14:paraId="2875093E" w14:textId="75AA4C39" w:rsidR="001A3A5D" w:rsidRPr="004D4D3A" w:rsidRDefault="007E070D" w:rsidP="001A3A5D">
      <w:pPr>
        <w:spacing w:line="400" w:lineRule="exact"/>
        <w:ind w:firstLine="482"/>
        <w:rPr>
          <w:rFonts w:ascii="Times New Roman" w:hAnsi="Times New Roman" w:cs="Times New Roman"/>
          <w:color w:val="000000" w:themeColor="text1"/>
        </w:rPr>
      </w:pPr>
      <w:r>
        <w:rPr>
          <w:rFonts w:ascii="Times New Roman" w:hAnsi="Times New Roman" w:cs="Times New Roman"/>
          <w:color w:val="000000" w:themeColor="text1"/>
        </w:rPr>
        <w:t xml:space="preserve">In addition, several studies investigate </w:t>
      </w:r>
      <w:r w:rsidR="001A3A5D" w:rsidRPr="004D4D3A">
        <w:rPr>
          <w:rFonts w:ascii="Times New Roman" w:hAnsi="Times New Roman" w:cs="Times New Roman"/>
          <w:color w:val="000000" w:themeColor="text1"/>
        </w:rPr>
        <w:t xml:space="preserve">the association between RPTs and financial reporting quality. </w:t>
      </w:r>
      <w:r>
        <w:rPr>
          <w:rFonts w:ascii="Times New Roman" w:hAnsi="Times New Roman" w:cs="Times New Roman"/>
          <w:color w:val="000000" w:themeColor="text1"/>
        </w:rPr>
        <w:t xml:space="preserve">For example, </w:t>
      </w:r>
      <w:r w:rsidR="001A3A5D" w:rsidRPr="004D4D3A">
        <w:rPr>
          <w:rFonts w:ascii="Times New Roman" w:hAnsi="Times New Roman" w:cs="Times New Roman"/>
          <w:color w:val="000000" w:themeColor="text1"/>
        </w:rPr>
        <w:t xml:space="preserve">Gordon and Henry (2005) show that transactions involving fixed-rate financing from related parties </w:t>
      </w:r>
      <w:r>
        <w:rPr>
          <w:rFonts w:ascii="Times New Roman" w:hAnsi="Times New Roman" w:cs="Times New Roman"/>
          <w:color w:val="000000" w:themeColor="text1"/>
        </w:rPr>
        <w:t xml:space="preserve">are </w:t>
      </w:r>
      <w:r w:rsidR="001A3A5D" w:rsidRPr="004D4D3A">
        <w:rPr>
          <w:rFonts w:ascii="Times New Roman" w:hAnsi="Times New Roman" w:cs="Times New Roman"/>
          <w:color w:val="000000" w:themeColor="text1"/>
        </w:rPr>
        <w:t>positively</w:t>
      </w:r>
      <w:r>
        <w:rPr>
          <w:rFonts w:ascii="Times New Roman" w:hAnsi="Times New Roman" w:cs="Times New Roman"/>
          <w:color w:val="000000" w:themeColor="text1"/>
        </w:rPr>
        <w:t xml:space="preserve"> pertinent to</w:t>
      </w:r>
      <w:r w:rsidR="001A3A5D" w:rsidRPr="004D4D3A">
        <w:rPr>
          <w:rFonts w:ascii="Times New Roman" w:hAnsi="Times New Roman" w:cs="Times New Roman"/>
          <w:color w:val="000000" w:themeColor="text1"/>
        </w:rPr>
        <w:t xml:space="preserve"> absolute abnormal accruals. Jian and Wong (2010) find that firms with group affiliation tend to engage in related party sales with their parent firms to manipulate earnings. Lee et al. (2016) report evidence that firms with more RPTs </w:t>
      </w:r>
      <w:r>
        <w:rPr>
          <w:rFonts w:ascii="Times New Roman" w:hAnsi="Times New Roman" w:cs="Times New Roman"/>
          <w:color w:val="000000" w:themeColor="text1"/>
        </w:rPr>
        <w:t xml:space="preserve">are associated with </w:t>
      </w:r>
      <w:r w:rsidR="001A3A5D" w:rsidRPr="004D4D3A">
        <w:rPr>
          <w:rFonts w:ascii="Times New Roman" w:hAnsi="Times New Roman" w:cs="Times New Roman"/>
          <w:color w:val="000000" w:themeColor="text1"/>
        </w:rPr>
        <w:t xml:space="preserve">lower financial statement comparability. Moreover, Habib et al. (2015) find that the presence of RPTs increase audit fees because </w:t>
      </w:r>
      <w:r w:rsidR="00D16B75">
        <w:rPr>
          <w:rFonts w:ascii="Times New Roman" w:hAnsi="Times New Roman" w:cs="Times New Roman"/>
          <w:color w:val="000000" w:themeColor="text1"/>
        </w:rPr>
        <w:t xml:space="preserve">auditors are </w:t>
      </w:r>
      <w:r w:rsidR="001A3A5D" w:rsidRPr="004D4D3A">
        <w:rPr>
          <w:rFonts w:ascii="Times New Roman" w:hAnsi="Times New Roman" w:cs="Times New Roman"/>
          <w:color w:val="000000" w:themeColor="text1"/>
        </w:rPr>
        <w:t>expose</w:t>
      </w:r>
      <w:r w:rsidR="00D16B75">
        <w:rPr>
          <w:rFonts w:ascii="Times New Roman" w:hAnsi="Times New Roman" w:cs="Times New Roman"/>
          <w:color w:val="000000" w:themeColor="text1"/>
        </w:rPr>
        <w:t>d</w:t>
      </w:r>
      <w:r w:rsidR="001A3A5D" w:rsidRPr="004D4D3A">
        <w:rPr>
          <w:rFonts w:ascii="Times New Roman" w:hAnsi="Times New Roman" w:cs="Times New Roman"/>
          <w:color w:val="000000" w:themeColor="text1"/>
        </w:rPr>
        <w:t xml:space="preserve"> </w:t>
      </w:r>
      <w:r w:rsidR="007D3916" w:rsidRPr="004D4D3A">
        <w:rPr>
          <w:rFonts w:ascii="Times New Roman" w:hAnsi="Times New Roman" w:cs="Times New Roman"/>
          <w:color w:val="000000" w:themeColor="text1"/>
        </w:rPr>
        <w:t xml:space="preserve">to </w:t>
      </w:r>
      <w:r w:rsidR="001A3A5D" w:rsidRPr="004D4D3A">
        <w:rPr>
          <w:rFonts w:ascii="Times New Roman" w:hAnsi="Times New Roman" w:cs="Times New Roman"/>
          <w:color w:val="000000" w:themeColor="text1"/>
        </w:rPr>
        <w:t>significant risk.</w:t>
      </w:r>
      <w:r w:rsidR="001A3A5D" w:rsidRPr="004D4D3A">
        <w:rPr>
          <w:rStyle w:val="aa"/>
          <w:rFonts w:ascii="Times New Roman" w:hAnsi="Times New Roman" w:cs="Times New Roman"/>
          <w:color w:val="000000" w:themeColor="text1"/>
        </w:rPr>
        <w:footnoteReference w:id="4"/>
      </w:r>
    </w:p>
    <w:p w14:paraId="2CF059C7" w14:textId="77777777" w:rsidR="000602B8" w:rsidRPr="004D4D3A" w:rsidRDefault="000602B8" w:rsidP="00A46D08">
      <w:pPr>
        <w:spacing w:line="400" w:lineRule="exact"/>
        <w:rPr>
          <w:rFonts w:ascii="Times New Roman" w:hAnsi="Times New Roman" w:cs="Times New Roman"/>
          <w:color w:val="000000" w:themeColor="text1"/>
        </w:rPr>
      </w:pPr>
    </w:p>
    <w:p w14:paraId="1BB1015C" w14:textId="77777777" w:rsidR="006C4D2C" w:rsidRPr="004D4D3A" w:rsidRDefault="006C4D2C" w:rsidP="00A46D08">
      <w:pPr>
        <w:spacing w:line="400" w:lineRule="exact"/>
        <w:rPr>
          <w:rFonts w:ascii="Times New Roman" w:hAnsi="Times New Roman" w:cs="Times New Roman"/>
          <w:b/>
          <w:color w:val="000000" w:themeColor="text1"/>
        </w:rPr>
      </w:pPr>
      <w:r w:rsidRPr="004D4D3A">
        <w:rPr>
          <w:rFonts w:ascii="Times New Roman" w:hAnsi="Times New Roman" w:cs="Times New Roman"/>
          <w:b/>
          <w:color w:val="000000" w:themeColor="text1"/>
        </w:rPr>
        <w:t>2</w:t>
      </w:r>
      <w:r w:rsidR="000D001D" w:rsidRPr="004D4D3A">
        <w:rPr>
          <w:rFonts w:ascii="Times New Roman" w:hAnsi="Times New Roman" w:cs="Times New Roman"/>
          <w:b/>
          <w:color w:val="000000" w:themeColor="text1"/>
        </w:rPr>
        <w:t>.2</w:t>
      </w:r>
      <w:r w:rsidR="00EF2B9F" w:rsidRPr="004D4D3A">
        <w:rPr>
          <w:rFonts w:ascii="Times New Roman" w:hAnsi="Times New Roman" w:cs="Times New Roman"/>
          <w:b/>
          <w:color w:val="000000" w:themeColor="text1"/>
        </w:rPr>
        <w:t xml:space="preserve"> </w:t>
      </w:r>
      <w:r w:rsidR="00695486" w:rsidRPr="004D4D3A">
        <w:rPr>
          <w:rFonts w:ascii="Times New Roman" w:hAnsi="Times New Roman" w:cs="Times New Roman"/>
          <w:b/>
          <w:color w:val="000000" w:themeColor="text1"/>
        </w:rPr>
        <w:t>L</w:t>
      </w:r>
      <w:r w:rsidR="000D001D" w:rsidRPr="004D4D3A">
        <w:rPr>
          <w:rFonts w:ascii="Times New Roman" w:hAnsi="Times New Roman" w:cs="Times New Roman"/>
          <w:b/>
          <w:color w:val="000000" w:themeColor="text1"/>
        </w:rPr>
        <w:t>iterature on o</w:t>
      </w:r>
      <w:r w:rsidR="00EF2B9F" w:rsidRPr="004D4D3A">
        <w:rPr>
          <w:rFonts w:ascii="Times New Roman" w:hAnsi="Times New Roman" w:cs="Times New Roman"/>
          <w:b/>
          <w:color w:val="000000" w:themeColor="text1"/>
        </w:rPr>
        <w:t>pinion shopping</w:t>
      </w:r>
    </w:p>
    <w:p w14:paraId="708DE6A2" w14:textId="0BDB0E4E" w:rsidR="005D0414" w:rsidRPr="004D4D3A" w:rsidRDefault="00A24FFC" w:rsidP="005D0414">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Research shows that</w:t>
      </w:r>
      <w:r w:rsidR="005D0414" w:rsidRPr="004D4D3A">
        <w:rPr>
          <w:rFonts w:ascii="Times New Roman" w:hAnsi="Times New Roman" w:cs="Times New Roman"/>
          <w:color w:val="000000" w:themeColor="text1"/>
        </w:rPr>
        <w:t xml:space="preserve"> MAO</w:t>
      </w:r>
      <w:r w:rsidR="00D16B75">
        <w:rPr>
          <w:rFonts w:ascii="Times New Roman" w:hAnsi="Times New Roman" w:cs="Times New Roman"/>
          <w:color w:val="000000" w:themeColor="text1"/>
        </w:rPr>
        <w:t>s</w:t>
      </w:r>
      <w:r w:rsidR="005D0414" w:rsidRPr="004D4D3A">
        <w:rPr>
          <w:rFonts w:ascii="Times New Roman" w:hAnsi="Times New Roman" w:cs="Times New Roman"/>
          <w:color w:val="000000" w:themeColor="text1"/>
        </w:rPr>
        <w:t xml:space="preserve"> influence investor</w:t>
      </w:r>
      <w:r w:rsidR="00D16B75">
        <w:rPr>
          <w:rFonts w:ascii="Times New Roman" w:hAnsi="Times New Roman" w:cs="Times New Roman"/>
          <w:color w:val="000000" w:themeColor="text1"/>
        </w:rPr>
        <w:t>s’</w:t>
      </w:r>
      <w:r w:rsidR="005D0414" w:rsidRPr="004D4D3A">
        <w:rPr>
          <w:rFonts w:ascii="Times New Roman" w:hAnsi="Times New Roman" w:cs="Times New Roman"/>
          <w:color w:val="000000" w:themeColor="text1"/>
        </w:rPr>
        <w:t xml:space="preserve"> perceptions of </w:t>
      </w:r>
      <w:r w:rsidR="00D16B75">
        <w:rPr>
          <w:rFonts w:ascii="Times New Roman" w:hAnsi="Times New Roman" w:cs="Times New Roman"/>
          <w:color w:val="000000" w:themeColor="text1"/>
        </w:rPr>
        <w:t xml:space="preserve">the </w:t>
      </w:r>
      <w:r w:rsidR="005D0414" w:rsidRPr="004D4D3A">
        <w:rPr>
          <w:rFonts w:ascii="Times New Roman" w:hAnsi="Times New Roman" w:cs="Times New Roman"/>
          <w:color w:val="000000" w:themeColor="text1"/>
        </w:rPr>
        <w:t>firm value</w:t>
      </w:r>
      <w:r w:rsidR="00D16B75">
        <w:rPr>
          <w:rFonts w:ascii="Times New Roman" w:hAnsi="Times New Roman" w:cs="Times New Roman"/>
          <w:color w:val="000000" w:themeColor="text1"/>
        </w:rPr>
        <w:t xml:space="preserve">. The way </w:t>
      </w:r>
      <w:r w:rsidR="005D0414" w:rsidRPr="004D4D3A">
        <w:rPr>
          <w:rFonts w:ascii="Times New Roman" w:hAnsi="Times New Roman" w:cs="Times New Roman"/>
          <w:color w:val="000000" w:themeColor="text1"/>
        </w:rPr>
        <w:t>firm</w:t>
      </w:r>
      <w:r w:rsidR="00D16B75">
        <w:rPr>
          <w:rFonts w:ascii="Times New Roman" w:hAnsi="Times New Roman" w:cs="Times New Roman"/>
          <w:color w:val="000000" w:themeColor="text1"/>
        </w:rPr>
        <w:t>s’</w:t>
      </w:r>
      <w:r w:rsidR="005D0414" w:rsidRPr="004D4D3A">
        <w:rPr>
          <w:rFonts w:ascii="Times New Roman" w:hAnsi="Times New Roman" w:cs="Times New Roman"/>
          <w:color w:val="000000" w:themeColor="text1"/>
        </w:rPr>
        <w:t xml:space="preserve"> share prices begin to fall </w:t>
      </w:r>
      <w:r w:rsidR="00D16B75">
        <w:rPr>
          <w:rFonts w:ascii="Times New Roman" w:hAnsi="Times New Roman" w:cs="Times New Roman"/>
          <w:color w:val="000000" w:themeColor="text1"/>
        </w:rPr>
        <w:t xml:space="preserve">on receipt of </w:t>
      </w:r>
      <w:r w:rsidR="005D0414" w:rsidRPr="004D4D3A">
        <w:rPr>
          <w:rFonts w:ascii="Times New Roman" w:hAnsi="Times New Roman" w:cs="Times New Roman"/>
          <w:color w:val="000000" w:themeColor="text1"/>
        </w:rPr>
        <w:t>non-clean audit opinions</w:t>
      </w:r>
      <w:r w:rsidR="00D16B75">
        <w:rPr>
          <w:rFonts w:ascii="Times New Roman" w:hAnsi="Times New Roman" w:cs="Times New Roman"/>
          <w:color w:val="000000" w:themeColor="text1"/>
        </w:rPr>
        <w:t xml:space="preserve"> illustrates the effect</w:t>
      </w:r>
      <w:r w:rsidR="005D0414" w:rsidRPr="004D4D3A">
        <w:rPr>
          <w:rFonts w:ascii="Times New Roman" w:hAnsi="Times New Roman" w:cs="Times New Roman"/>
          <w:color w:val="000000" w:themeColor="text1"/>
        </w:rPr>
        <w:t>.</w:t>
      </w:r>
      <w:r w:rsidR="005D0414" w:rsidRPr="004D4D3A">
        <w:rPr>
          <w:rStyle w:val="aa"/>
          <w:rFonts w:ascii="Times New Roman" w:hAnsi="Times New Roman" w:cs="Times New Roman"/>
          <w:color w:val="000000" w:themeColor="text1"/>
        </w:rPr>
        <w:footnoteReference w:id="5"/>
      </w:r>
      <w:r w:rsidR="005D0414" w:rsidRPr="004D4D3A">
        <w:rPr>
          <w:rFonts w:ascii="Times New Roman" w:hAnsi="Times New Roman" w:cs="Times New Roman"/>
          <w:color w:val="000000" w:themeColor="text1"/>
        </w:rPr>
        <w:t xml:space="preserve"> A MAO can </w:t>
      </w:r>
      <w:r w:rsidR="00D16B75">
        <w:rPr>
          <w:rFonts w:ascii="Times New Roman" w:hAnsi="Times New Roman" w:cs="Times New Roman"/>
          <w:color w:val="000000" w:themeColor="text1"/>
        </w:rPr>
        <w:t>lead to serious ramifications against the firm;</w:t>
      </w:r>
      <w:r w:rsidR="005D0414" w:rsidRPr="004D4D3A">
        <w:rPr>
          <w:rFonts w:ascii="Times New Roman" w:hAnsi="Times New Roman" w:cs="Times New Roman"/>
          <w:color w:val="000000" w:themeColor="text1"/>
        </w:rPr>
        <w:t xml:space="preserve"> such as</w:t>
      </w:r>
      <w:r w:rsidR="00D16B75">
        <w:rPr>
          <w:rFonts w:ascii="Times New Roman" w:hAnsi="Times New Roman" w:cs="Times New Roman"/>
          <w:color w:val="000000" w:themeColor="text1"/>
        </w:rPr>
        <w:t>,</w:t>
      </w:r>
      <w:r w:rsidR="005D0414" w:rsidRPr="004D4D3A">
        <w:rPr>
          <w:rFonts w:ascii="Times New Roman" w:hAnsi="Times New Roman" w:cs="Times New Roman"/>
          <w:color w:val="000000" w:themeColor="text1"/>
        </w:rPr>
        <w:t xml:space="preserve"> suspension of securities trading or higher cost of capital (Chow and Rice, 1982; </w:t>
      </w:r>
      <w:proofErr w:type="spellStart"/>
      <w:r w:rsidR="005D0414" w:rsidRPr="004D4D3A">
        <w:rPr>
          <w:rFonts w:ascii="Times New Roman" w:hAnsi="Times New Roman" w:cs="Times New Roman"/>
          <w:color w:val="000000" w:themeColor="text1"/>
        </w:rPr>
        <w:t>Dopuch</w:t>
      </w:r>
      <w:proofErr w:type="spellEnd"/>
      <w:r w:rsidR="005D0414" w:rsidRPr="004D4D3A">
        <w:rPr>
          <w:rFonts w:ascii="Times New Roman" w:hAnsi="Times New Roman" w:cs="Times New Roman"/>
          <w:color w:val="000000" w:themeColor="text1"/>
        </w:rPr>
        <w:t xml:space="preserve"> et al., 1986; Jones, 1996; </w:t>
      </w:r>
      <w:r w:rsidR="005D0414" w:rsidRPr="004D4D3A">
        <w:rPr>
          <w:rFonts w:ascii="Times New Roman" w:hAnsi="Times New Roman" w:cs="Times New Roman"/>
          <w:color w:val="000000" w:themeColor="text1"/>
        </w:rPr>
        <w:lastRenderedPageBreak/>
        <w:t>Haw et al., 2003).</w:t>
      </w:r>
      <w:r w:rsidR="00F05CF1" w:rsidRPr="004D4D3A">
        <w:rPr>
          <w:rStyle w:val="aa"/>
          <w:rFonts w:ascii="Times New Roman" w:hAnsi="Times New Roman" w:cs="Times New Roman"/>
          <w:color w:val="000000" w:themeColor="text1"/>
        </w:rPr>
        <w:footnoteReference w:id="6"/>
      </w:r>
      <w:r w:rsidR="005D0414" w:rsidRPr="004D4D3A">
        <w:rPr>
          <w:rFonts w:ascii="Times New Roman" w:hAnsi="Times New Roman" w:cs="Times New Roman"/>
          <w:color w:val="000000" w:themeColor="text1"/>
        </w:rPr>
        <w:t xml:space="preserve"> Firms may then press auditors for clean opinions when MAOs are warranted. </w:t>
      </w:r>
    </w:p>
    <w:p w14:paraId="0ED5C83F" w14:textId="44566C58" w:rsidR="005D0414" w:rsidRPr="004D4D3A" w:rsidRDefault="005D0414" w:rsidP="005D0414">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In the U.S., the Securities and Exchange Commission (SEC) define</w:t>
      </w:r>
      <w:r w:rsidR="00D16B75">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opinion shopping as the practice of seeking an auditor willing to support a proposed accounting treatment that helps a company accomplish its reporting objectives even though doing so might impair reliable reporting. Chow and Rice (1982), Krishnan (1994), and Krishnan and Stephens (1995) conclude that opinion shopping is not successful in the U.S. setting</w:t>
      </w:r>
      <w:r w:rsidR="007F1214">
        <w:rPr>
          <w:rFonts w:ascii="Times New Roman" w:hAnsi="Times New Roman" w:cs="Times New Roman"/>
          <w:color w:val="000000" w:themeColor="text1"/>
        </w:rPr>
        <w:t xml:space="preserve"> as</w:t>
      </w:r>
      <w:r w:rsidRPr="004D4D3A">
        <w:rPr>
          <w:rFonts w:ascii="Times New Roman" w:hAnsi="Times New Roman" w:cs="Times New Roman"/>
          <w:color w:val="000000" w:themeColor="text1"/>
        </w:rPr>
        <w:t xml:space="preserve"> post-switch audit opinions are not more favorable than pre-switch opinions. </w:t>
      </w:r>
    </w:p>
    <w:p w14:paraId="3A6FC1E0" w14:textId="130930F3" w:rsidR="00157D02" w:rsidRPr="004D4D3A" w:rsidRDefault="005D0414" w:rsidP="005D0414">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Lennox</w:t>
      </w:r>
      <w:r w:rsidR="007F1214">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(2000)</w:t>
      </w:r>
      <w:r w:rsidR="007F1214">
        <w:rPr>
          <w:rFonts w:ascii="Times New Roman" w:hAnsi="Times New Roman" w:cs="Times New Roman"/>
          <w:color w:val="000000" w:themeColor="text1"/>
        </w:rPr>
        <w:t xml:space="preserve"> findings are particular significant</w:t>
      </w:r>
      <w:r w:rsidRPr="004D4D3A">
        <w:rPr>
          <w:rFonts w:ascii="Times New Roman" w:hAnsi="Times New Roman" w:cs="Times New Roman"/>
          <w:color w:val="000000" w:themeColor="text1"/>
        </w:rPr>
        <w:t xml:space="preserve">. Using an audit opinion forecasting model and U.K. data, he finds that audit opinions do not generally improve after firms switch </w:t>
      </w:r>
      <w:proofErr w:type="spellStart"/>
      <w:r w:rsidR="00D82DDC">
        <w:rPr>
          <w:rFonts w:ascii="Times New Roman" w:hAnsi="Times New Roman" w:cs="Times New Roman"/>
          <w:color w:val="000000" w:themeColor="text1"/>
        </w:rPr>
        <w:t>a</w:t>
      </w:r>
      <w:r w:rsidRPr="004D4D3A">
        <w:rPr>
          <w:rFonts w:ascii="Times New Roman" w:hAnsi="Times New Roman" w:cs="Times New Roman"/>
          <w:color w:val="000000" w:themeColor="text1"/>
        </w:rPr>
        <w:t>audit</w:t>
      </w:r>
      <w:r w:rsidR="007F1214">
        <w:rPr>
          <w:rFonts w:ascii="Times New Roman" w:hAnsi="Times New Roman" w:cs="Times New Roman"/>
          <w:color w:val="000000" w:themeColor="text1"/>
        </w:rPr>
        <w:t>ors</w:t>
      </w:r>
      <w:proofErr w:type="spellEnd"/>
      <w:r w:rsidRPr="004D4D3A">
        <w:rPr>
          <w:rFonts w:ascii="Times New Roman" w:hAnsi="Times New Roman" w:cs="Times New Roman"/>
          <w:color w:val="000000" w:themeColor="text1"/>
        </w:rPr>
        <w:t xml:space="preserve">. However, </w:t>
      </w:r>
      <w:r w:rsidR="007F1214">
        <w:rPr>
          <w:rFonts w:ascii="Times New Roman" w:hAnsi="Times New Roman" w:cs="Times New Roman"/>
          <w:color w:val="000000" w:themeColor="text1"/>
        </w:rPr>
        <w:t xml:space="preserve">Lennox’s results </w:t>
      </w:r>
      <w:r w:rsidRPr="004D4D3A">
        <w:rPr>
          <w:rFonts w:ascii="Times New Roman" w:hAnsi="Times New Roman" w:cs="Times New Roman"/>
          <w:color w:val="000000" w:themeColor="text1"/>
        </w:rPr>
        <w:t xml:space="preserve">indicate that switching firms minimize the probability of receiving modified reports, and </w:t>
      </w:r>
      <w:r w:rsidR="007F1214">
        <w:rPr>
          <w:rFonts w:ascii="Times New Roman" w:hAnsi="Times New Roman" w:cs="Times New Roman"/>
          <w:color w:val="000000" w:themeColor="text1"/>
        </w:rPr>
        <w:t>so have</w:t>
      </w:r>
      <w:r w:rsidRPr="004D4D3A">
        <w:rPr>
          <w:rFonts w:ascii="Times New Roman" w:hAnsi="Times New Roman" w:cs="Times New Roman"/>
          <w:color w:val="000000" w:themeColor="text1"/>
        </w:rPr>
        <w:t xml:space="preserve"> successfully engage in opinion shopping. </w:t>
      </w:r>
      <w:r w:rsidR="007F1214">
        <w:rPr>
          <w:rFonts w:ascii="Times New Roman" w:hAnsi="Times New Roman" w:cs="Times New Roman"/>
          <w:color w:val="000000" w:themeColor="text1"/>
        </w:rPr>
        <w:t xml:space="preserve">Other studies also </w:t>
      </w:r>
      <w:r w:rsidRPr="004D4D3A">
        <w:rPr>
          <w:rFonts w:ascii="Times New Roman" w:hAnsi="Times New Roman" w:cs="Times New Roman"/>
          <w:color w:val="000000" w:themeColor="text1"/>
        </w:rPr>
        <w:t xml:space="preserve">find evidence that firms </w:t>
      </w:r>
      <w:r w:rsidR="007F1214">
        <w:rPr>
          <w:rFonts w:ascii="Times New Roman" w:hAnsi="Times New Roman" w:cs="Times New Roman"/>
          <w:color w:val="000000" w:themeColor="text1"/>
        </w:rPr>
        <w:t xml:space="preserve">switch audit firms as a means of </w:t>
      </w:r>
      <w:r w:rsidRPr="004D4D3A">
        <w:rPr>
          <w:rFonts w:ascii="Times New Roman" w:hAnsi="Times New Roman" w:cs="Times New Roman"/>
          <w:color w:val="000000" w:themeColor="text1"/>
        </w:rPr>
        <w:t xml:space="preserve">opinion shopping. For instance, </w:t>
      </w:r>
      <w:proofErr w:type="spellStart"/>
      <w:r w:rsidRPr="004D4D3A">
        <w:rPr>
          <w:rFonts w:ascii="Times New Roman" w:hAnsi="Times New Roman" w:cs="Times New Roman"/>
          <w:color w:val="000000" w:themeColor="text1"/>
        </w:rPr>
        <w:t>Carcello</w:t>
      </w:r>
      <w:proofErr w:type="spellEnd"/>
      <w:r w:rsidRPr="004D4D3A">
        <w:rPr>
          <w:rFonts w:ascii="Times New Roman" w:hAnsi="Times New Roman" w:cs="Times New Roman"/>
          <w:color w:val="000000" w:themeColor="text1"/>
        </w:rPr>
        <w:t xml:space="preserve"> and Neal (2003) find that U.S. firms </w:t>
      </w:r>
      <w:r w:rsidR="007F1214">
        <w:rPr>
          <w:rFonts w:ascii="Times New Roman" w:hAnsi="Times New Roman" w:cs="Times New Roman"/>
          <w:color w:val="000000" w:themeColor="text1"/>
        </w:rPr>
        <w:t xml:space="preserve">with </w:t>
      </w:r>
      <w:r w:rsidRPr="004D4D3A">
        <w:rPr>
          <w:rFonts w:ascii="Times New Roman" w:hAnsi="Times New Roman" w:cs="Times New Roman"/>
          <w:color w:val="000000" w:themeColor="text1"/>
        </w:rPr>
        <w:t>less independent audit committee</w:t>
      </w:r>
      <w:r w:rsidR="0025735A"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are likely to dismiss the auditor following the receipt of a first-time going concern report. Davidson et al. (2006), using U.S. data, </w:t>
      </w:r>
      <w:r w:rsidR="007F1214">
        <w:rPr>
          <w:rFonts w:ascii="Times New Roman" w:hAnsi="Times New Roman" w:cs="Times New Roman"/>
          <w:color w:val="000000" w:themeColor="text1"/>
        </w:rPr>
        <w:t xml:space="preserve">report </w:t>
      </w:r>
      <w:r w:rsidRPr="004D4D3A">
        <w:rPr>
          <w:rFonts w:ascii="Times New Roman" w:hAnsi="Times New Roman" w:cs="Times New Roman"/>
          <w:color w:val="000000" w:themeColor="text1"/>
        </w:rPr>
        <w:t>that firms tend to switch from Big N auditor</w:t>
      </w:r>
      <w:r w:rsidR="00E818DE"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to non-Big N auditor</w:t>
      </w:r>
      <w:r w:rsidR="00E818DE"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following a modified prior audit opinion,</w:t>
      </w:r>
      <w:r w:rsidR="00E818DE" w:rsidRPr="004D4D3A">
        <w:rPr>
          <w:rFonts w:ascii="Times New Roman" w:hAnsi="Times New Roman" w:cs="Times New Roman"/>
          <w:color w:val="000000" w:themeColor="text1"/>
        </w:rPr>
        <w:t xml:space="preserve"> and</w:t>
      </w:r>
      <w:r w:rsidRPr="004D4D3A">
        <w:rPr>
          <w:rFonts w:ascii="Times New Roman" w:hAnsi="Times New Roman" w:cs="Times New Roman"/>
          <w:color w:val="000000" w:themeColor="text1"/>
        </w:rPr>
        <w:t xml:space="preserve"> </w:t>
      </w:r>
      <w:r w:rsidR="007F1214">
        <w:rPr>
          <w:rFonts w:ascii="Times New Roman" w:hAnsi="Times New Roman" w:cs="Times New Roman"/>
          <w:color w:val="000000" w:themeColor="text1"/>
        </w:rPr>
        <w:t xml:space="preserve">also </w:t>
      </w:r>
      <w:r w:rsidRPr="004D4D3A">
        <w:rPr>
          <w:rFonts w:ascii="Times New Roman" w:hAnsi="Times New Roman" w:cs="Times New Roman"/>
          <w:color w:val="000000" w:themeColor="text1"/>
        </w:rPr>
        <w:t>exhibit greater abnormal accruals. Using a sample of U.S. firms, Newton et al. (2015) show that firms are successful at shopping for clean internal control opinion</w:t>
      </w:r>
      <w:r w:rsidR="00E818DE"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and </w:t>
      </w:r>
      <w:r w:rsidR="007F1214">
        <w:rPr>
          <w:rFonts w:ascii="Times New Roman" w:hAnsi="Times New Roman" w:cs="Times New Roman"/>
          <w:color w:val="000000" w:themeColor="text1"/>
        </w:rPr>
        <w:t xml:space="preserve">that </w:t>
      </w:r>
      <w:r w:rsidRPr="004D4D3A">
        <w:rPr>
          <w:rFonts w:ascii="Times New Roman" w:hAnsi="Times New Roman" w:cs="Times New Roman"/>
          <w:color w:val="000000" w:themeColor="text1"/>
        </w:rPr>
        <w:t>this effect is more likely to occur in competitive audit market</w:t>
      </w:r>
      <w:r w:rsidR="00E818DE"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w:t>
      </w:r>
    </w:p>
    <w:p w14:paraId="6C6D6F8F" w14:textId="4537C322" w:rsidR="00157D02" w:rsidRPr="004D4D3A" w:rsidRDefault="007F1214" w:rsidP="00157D02">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Chan et al. (2006)</w:t>
      </w:r>
      <w:r>
        <w:rPr>
          <w:rFonts w:ascii="Times New Roman" w:hAnsi="Times New Roman" w:cs="Times New Roman"/>
          <w:color w:val="000000" w:themeColor="text1"/>
        </w:rPr>
        <w:t>,</w:t>
      </w:r>
      <w:r w:rsidRPr="004D4D3A">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0072399E" w:rsidRPr="004D4D3A">
        <w:rPr>
          <w:rFonts w:ascii="Times New Roman" w:hAnsi="Times New Roman" w:cs="Times New Roman"/>
          <w:color w:val="000000" w:themeColor="text1"/>
        </w:rPr>
        <w:t xml:space="preserve">n the context of China, </w:t>
      </w:r>
      <w:r w:rsidR="005D0414" w:rsidRPr="004D4D3A">
        <w:rPr>
          <w:rFonts w:ascii="Times New Roman" w:hAnsi="Times New Roman" w:cs="Times New Roman"/>
          <w:color w:val="000000" w:themeColor="text1"/>
        </w:rPr>
        <w:t xml:space="preserve">demonstrate that local state-owned enterprises (SOEs) with qualified opinions can shop for unqualified opinions by switching from non-local to local auditors. They </w:t>
      </w:r>
      <w:r w:rsidR="0006331A">
        <w:rPr>
          <w:rFonts w:ascii="Times New Roman" w:hAnsi="Times New Roman" w:cs="Times New Roman"/>
          <w:color w:val="000000" w:themeColor="text1"/>
        </w:rPr>
        <w:t>also</w:t>
      </w:r>
      <w:r w:rsidR="005D0414" w:rsidRPr="004D4D3A">
        <w:rPr>
          <w:rFonts w:ascii="Times New Roman" w:hAnsi="Times New Roman" w:cs="Times New Roman"/>
          <w:color w:val="000000" w:themeColor="text1"/>
        </w:rPr>
        <w:t xml:space="preserve"> find that local SOEs </w:t>
      </w:r>
      <w:r w:rsidR="00E818DE" w:rsidRPr="004D4D3A">
        <w:rPr>
          <w:rFonts w:ascii="Times New Roman" w:hAnsi="Times New Roman" w:cs="Times New Roman"/>
          <w:color w:val="000000" w:themeColor="text1"/>
        </w:rPr>
        <w:t xml:space="preserve">obtain </w:t>
      </w:r>
      <w:r w:rsidR="005D0414" w:rsidRPr="004D4D3A">
        <w:rPr>
          <w:rFonts w:ascii="Times New Roman" w:hAnsi="Times New Roman" w:cs="Times New Roman"/>
          <w:color w:val="000000" w:themeColor="text1"/>
        </w:rPr>
        <w:t xml:space="preserve">more favorable audit opinions from local auditors in regions with a low level of institutional development (Chan et al., 2010) or when they face the need for new equity financing or the threat of delisting (Chan et al., 2012). </w:t>
      </w:r>
      <w:r w:rsidR="00157D02" w:rsidRPr="004D4D3A">
        <w:rPr>
          <w:rFonts w:ascii="Times New Roman" w:hAnsi="Times New Roman" w:cs="Times New Roman"/>
          <w:color w:val="000000" w:themeColor="text1"/>
        </w:rPr>
        <w:t xml:space="preserve">Chen et al. (2016) analyze opinion shopping at the partner-level </w:t>
      </w:r>
      <w:r w:rsidR="00F1452B">
        <w:rPr>
          <w:rFonts w:ascii="Times New Roman" w:hAnsi="Times New Roman" w:cs="Times New Roman"/>
          <w:color w:val="000000" w:themeColor="text1"/>
        </w:rPr>
        <w:t xml:space="preserve">for Chinese listed firms </w:t>
      </w:r>
      <w:r w:rsidR="00157D02" w:rsidRPr="004D4D3A">
        <w:rPr>
          <w:rFonts w:ascii="Times New Roman" w:hAnsi="Times New Roman" w:cs="Times New Roman"/>
          <w:color w:val="000000" w:themeColor="text1"/>
        </w:rPr>
        <w:t xml:space="preserve">and argue that because of </w:t>
      </w:r>
      <w:r w:rsidR="00F1452B">
        <w:rPr>
          <w:rFonts w:ascii="Times New Roman" w:hAnsi="Times New Roman" w:cs="Times New Roman"/>
          <w:color w:val="000000" w:themeColor="text1"/>
        </w:rPr>
        <w:t xml:space="preserve">the </w:t>
      </w:r>
      <w:r w:rsidR="00D85179">
        <w:rPr>
          <w:rFonts w:ascii="Times New Roman" w:hAnsi="Times New Roman" w:cs="Times New Roman"/>
          <w:color w:val="000000" w:themeColor="text1"/>
        </w:rPr>
        <w:t xml:space="preserve">fierce competition </w:t>
      </w:r>
      <w:r w:rsidR="00F1452B">
        <w:rPr>
          <w:rFonts w:ascii="Times New Roman" w:hAnsi="Times New Roman" w:cs="Times New Roman"/>
          <w:color w:val="000000" w:themeColor="text1"/>
        </w:rPr>
        <w:t>audit market</w:t>
      </w:r>
      <w:r w:rsidR="00157D02" w:rsidRPr="004D4D3A">
        <w:rPr>
          <w:rFonts w:ascii="Times New Roman" w:hAnsi="Times New Roman" w:cs="Times New Roman"/>
          <w:color w:val="000000" w:themeColor="text1"/>
        </w:rPr>
        <w:t xml:space="preserve"> and </w:t>
      </w:r>
      <w:r w:rsidR="0006331A">
        <w:rPr>
          <w:rFonts w:ascii="Times New Roman" w:hAnsi="Times New Roman" w:cs="Times New Roman"/>
          <w:color w:val="000000" w:themeColor="text1"/>
        </w:rPr>
        <w:t xml:space="preserve">the </w:t>
      </w:r>
      <w:r w:rsidR="00157D02" w:rsidRPr="004D4D3A">
        <w:rPr>
          <w:rFonts w:ascii="Times New Roman" w:hAnsi="Times New Roman" w:cs="Times New Roman"/>
          <w:color w:val="000000" w:themeColor="text1"/>
        </w:rPr>
        <w:t>weak internal control</w:t>
      </w:r>
      <w:r w:rsidR="0006331A">
        <w:rPr>
          <w:rFonts w:ascii="Times New Roman" w:hAnsi="Times New Roman" w:cs="Times New Roman"/>
          <w:color w:val="000000" w:themeColor="text1"/>
        </w:rPr>
        <w:t>s</w:t>
      </w:r>
      <w:r w:rsidR="00157D02" w:rsidRPr="004D4D3A">
        <w:rPr>
          <w:rFonts w:ascii="Times New Roman" w:hAnsi="Times New Roman" w:cs="Times New Roman"/>
          <w:color w:val="000000" w:themeColor="text1"/>
        </w:rPr>
        <w:t xml:space="preserve"> of audit firm</w:t>
      </w:r>
      <w:r w:rsidR="00E818DE" w:rsidRPr="004D4D3A">
        <w:rPr>
          <w:rFonts w:ascii="Times New Roman" w:hAnsi="Times New Roman" w:cs="Times New Roman"/>
          <w:color w:val="000000" w:themeColor="text1"/>
        </w:rPr>
        <w:t>s</w:t>
      </w:r>
      <w:r w:rsidR="00157D02" w:rsidRPr="004D4D3A">
        <w:rPr>
          <w:rFonts w:ascii="Times New Roman" w:hAnsi="Times New Roman" w:cs="Times New Roman"/>
          <w:color w:val="000000" w:themeColor="text1"/>
        </w:rPr>
        <w:t xml:space="preserve">, firms </w:t>
      </w:r>
      <w:r w:rsidR="0064271B">
        <w:rPr>
          <w:rFonts w:ascii="Times New Roman" w:hAnsi="Times New Roman" w:cs="Times New Roman"/>
          <w:color w:val="000000" w:themeColor="text1"/>
        </w:rPr>
        <w:t>are able to</w:t>
      </w:r>
      <w:r w:rsidR="00157D02" w:rsidRPr="004D4D3A">
        <w:rPr>
          <w:rFonts w:ascii="Times New Roman" w:hAnsi="Times New Roman" w:cs="Times New Roman"/>
          <w:color w:val="000000" w:themeColor="text1"/>
        </w:rPr>
        <w:t xml:space="preserve"> dismiss incumbent auditors and appoint more acquiescent auditors to obtain more favorable audit opinions. They find that firms can </w:t>
      </w:r>
      <w:r w:rsidR="00157D02" w:rsidRPr="004D4D3A">
        <w:rPr>
          <w:rFonts w:ascii="Times New Roman" w:hAnsi="Times New Roman" w:cs="Times New Roman"/>
          <w:color w:val="000000" w:themeColor="text1"/>
        </w:rPr>
        <w:lastRenderedPageBreak/>
        <w:t xml:space="preserve">succeed in partner-level opinion shopping after partner switching, </w:t>
      </w:r>
      <w:r w:rsidR="00E818DE" w:rsidRPr="004D4D3A">
        <w:rPr>
          <w:rFonts w:ascii="Times New Roman" w:hAnsi="Times New Roman" w:cs="Times New Roman"/>
          <w:color w:val="000000" w:themeColor="text1"/>
        </w:rPr>
        <w:t xml:space="preserve">and that </w:t>
      </w:r>
      <w:r w:rsidR="00157D02" w:rsidRPr="004D4D3A">
        <w:rPr>
          <w:rFonts w:ascii="Times New Roman" w:hAnsi="Times New Roman" w:cs="Times New Roman"/>
          <w:color w:val="000000" w:themeColor="text1"/>
        </w:rPr>
        <w:t>incoming partners have a greater propensity to issue clean opinions than their outgoing partners.</w:t>
      </w:r>
    </w:p>
    <w:p w14:paraId="3D5DC233" w14:textId="77777777" w:rsidR="0072399E" w:rsidRPr="004D4D3A" w:rsidRDefault="0072399E" w:rsidP="00157D02">
      <w:pPr>
        <w:spacing w:line="400" w:lineRule="exact"/>
        <w:rPr>
          <w:rFonts w:ascii="Times New Roman" w:hAnsi="Times New Roman" w:cs="Times New Roman"/>
          <w:color w:val="000000" w:themeColor="text1"/>
        </w:rPr>
      </w:pPr>
    </w:p>
    <w:p w14:paraId="50F0051A" w14:textId="77777777" w:rsidR="00EF2B9F" w:rsidRPr="004D4D3A" w:rsidRDefault="000D001D" w:rsidP="00A46D08">
      <w:pPr>
        <w:spacing w:line="400" w:lineRule="exact"/>
        <w:rPr>
          <w:rFonts w:ascii="Times New Roman" w:hAnsi="Times New Roman" w:cs="Times New Roman"/>
          <w:b/>
          <w:color w:val="000000" w:themeColor="text1"/>
        </w:rPr>
      </w:pPr>
      <w:r w:rsidRPr="004D4D3A">
        <w:rPr>
          <w:rFonts w:ascii="Times New Roman" w:hAnsi="Times New Roman" w:cs="Times New Roman"/>
          <w:b/>
          <w:color w:val="000000" w:themeColor="text1"/>
        </w:rPr>
        <w:t>2.</w:t>
      </w:r>
      <w:r w:rsidR="001A3A5D" w:rsidRPr="004D4D3A">
        <w:rPr>
          <w:rFonts w:ascii="Times New Roman" w:hAnsi="Times New Roman" w:cs="Times New Roman"/>
          <w:b/>
          <w:color w:val="000000" w:themeColor="text1"/>
        </w:rPr>
        <w:t>3</w:t>
      </w:r>
      <w:r w:rsidR="00EF2B9F" w:rsidRPr="004D4D3A">
        <w:rPr>
          <w:rFonts w:ascii="Times New Roman" w:hAnsi="Times New Roman" w:cs="Times New Roman"/>
          <w:b/>
          <w:color w:val="000000" w:themeColor="text1"/>
        </w:rPr>
        <w:t xml:space="preserve"> Hypothes</w:t>
      </w:r>
      <w:r w:rsidR="001A3A5D" w:rsidRPr="004D4D3A">
        <w:rPr>
          <w:rFonts w:ascii="Times New Roman" w:hAnsi="Times New Roman" w:cs="Times New Roman"/>
          <w:b/>
          <w:color w:val="000000" w:themeColor="text1"/>
        </w:rPr>
        <w:t>i</w:t>
      </w:r>
      <w:r w:rsidR="00EF2B9F" w:rsidRPr="004D4D3A">
        <w:rPr>
          <w:rFonts w:ascii="Times New Roman" w:hAnsi="Times New Roman" w:cs="Times New Roman"/>
          <w:b/>
          <w:color w:val="000000" w:themeColor="text1"/>
        </w:rPr>
        <w:t>s</w:t>
      </w:r>
      <w:r w:rsidR="00695486" w:rsidRPr="004D4D3A">
        <w:rPr>
          <w:rFonts w:ascii="Times New Roman" w:hAnsi="Times New Roman" w:cs="Times New Roman"/>
          <w:b/>
          <w:color w:val="000000" w:themeColor="text1"/>
        </w:rPr>
        <w:t xml:space="preserve"> development</w:t>
      </w:r>
    </w:p>
    <w:p w14:paraId="2300A9D6" w14:textId="51DEF51F" w:rsidR="005116B5" w:rsidRPr="006D6FA0" w:rsidRDefault="00BB0A84" w:rsidP="006D6FA0">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Davidson et al. (2006) </w:t>
      </w:r>
      <w:r w:rsidR="0006331A">
        <w:rPr>
          <w:rFonts w:ascii="Times New Roman" w:hAnsi="Times New Roman" w:cs="Times New Roman"/>
          <w:color w:val="000000" w:themeColor="text1"/>
        </w:rPr>
        <w:t xml:space="preserve">argue </w:t>
      </w:r>
      <w:r w:rsidRPr="004D4D3A">
        <w:rPr>
          <w:rFonts w:ascii="Times New Roman" w:hAnsi="Times New Roman" w:cs="Times New Roman"/>
          <w:color w:val="000000" w:themeColor="text1"/>
        </w:rPr>
        <w:t xml:space="preserve">that auditor opinion shopping </w:t>
      </w:r>
      <w:r w:rsidR="0006331A">
        <w:rPr>
          <w:rFonts w:ascii="Times New Roman" w:hAnsi="Times New Roman" w:cs="Times New Roman"/>
          <w:color w:val="000000" w:themeColor="text1"/>
        </w:rPr>
        <w:t>is</w:t>
      </w:r>
      <w:r w:rsidRPr="004D4D3A">
        <w:rPr>
          <w:rFonts w:ascii="Times New Roman" w:hAnsi="Times New Roman" w:cs="Times New Roman"/>
          <w:color w:val="000000" w:themeColor="text1"/>
        </w:rPr>
        <w:t xml:space="preserve"> an agency cost</w:t>
      </w:r>
      <w:r w:rsidR="0006331A">
        <w:rPr>
          <w:rFonts w:ascii="Times New Roman" w:hAnsi="Times New Roman" w:cs="Times New Roman"/>
          <w:color w:val="000000" w:themeColor="text1"/>
        </w:rPr>
        <w:t xml:space="preserve"> in that the firm’s </w:t>
      </w:r>
      <w:r w:rsidRPr="004D4D3A">
        <w:rPr>
          <w:rFonts w:ascii="Times New Roman" w:hAnsi="Times New Roman" w:cs="Times New Roman"/>
          <w:color w:val="000000" w:themeColor="text1"/>
        </w:rPr>
        <w:t xml:space="preserve">managers </w:t>
      </w:r>
      <w:r w:rsidR="0006331A">
        <w:rPr>
          <w:rFonts w:ascii="Times New Roman" w:hAnsi="Times New Roman" w:cs="Times New Roman"/>
          <w:color w:val="000000" w:themeColor="text1"/>
        </w:rPr>
        <w:t>are</w:t>
      </w:r>
      <w:r w:rsidRPr="004D4D3A">
        <w:rPr>
          <w:rFonts w:ascii="Times New Roman" w:hAnsi="Times New Roman" w:cs="Times New Roman"/>
          <w:color w:val="000000" w:themeColor="text1"/>
        </w:rPr>
        <w:t xml:space="preserve"> searching for a lower quality audit which reduces the quality of information that reaches financial markets. </w:t>
      </w:r>
      <w:r w:rsidR="0006331A">
        <w:rPr>
          <w:rFonts w:ascii="Times New Roman" w:hAnsi="Times New Roman" w:cs="Times New Roman"/>
          <w:color w:val="000000" w:themeColor="text1"/>
        </w:rPr>
        <w:t xml:space="preserve">From this </w:t>
      </w:r>
      <w:r w:rsidR="0064271B">
        <w:rPr>
          <w:rFonts w:ascii="Times New Roman" w:hAnsi="Times New Roman" w:cs="Times New Roman"/>
          <w:color w:val="000000" w:themeColor="text1"/>
        </w:rPr>
        <w:t xml:space="preserve">perspective, </w:t>
      </w:r>
      <w:r w:rsidR="0006331A">
        <w:rPr>
          <w:rFonts w:ascii="Times New Roman" w:hAnsi="Times New Roman" w:cs="Times New Roman"/>
          <w:color w:val="000000" w:themeColor="text1"/>
        </w:rPr>
        <w:t>m</w:t>
      </w:r>
      <w:r w:rsidRPr="004D4D3A">
        <w:rPr>
          <w:rFonts w:ascii="Times New Roman" w:hAnsi="Times New Roman" w:cs="Times New Roman"/>
          <w:color w:val="000000" w:themeColor="text1"/>
        </w:rPr>
        <w:t>anagers desire to u</w:t>
      </w:r>
      <w:r w:rsidR="00E818DE"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e the resulting increase in asymmetric information for their own benefit. </w:t>
      </w:r>
      <w:r w:rsidRPr="004D4D3A">
        <w:rPr>
          <w:rFonts w:ascii="Times New Roman" w:hAnsi="Times New Roman" w:cs="Times New Roman"/>
          <w:color w:val="000000" w:themeColor="text1"/>
          <w:kern w:val="0"/>
          <w:szCs w:val="24"/>
        </w:rPr>
        <w:t xml:space="preserve">China’s auditing standards require engagement auditors (normally two) to sign their names on the audit reports. </w:t>
      </w:r>
      <w:r w:rsidR="0006331A">
        <w:rPr>
          <w:rFonts w:ascii="Times New Roman" w:hAnsi="Times New Roman" w:cs="Times New Roman"/>
          <w:color w:val="000000" w:themeColor="text1"/>
          <w:kern w:val="0"/>
          <w:szCs w:val="24"/>
        </w:rPr>
        <w:t>T</w:t>
      </w:r>
      <w:r w:rsidRPr="004D4D3A">
        <w:rPr>
          <w:rFonts w:ascii="Times New Roman" w:hAnsi="Times New Roman" w:cs="Times New Roman"/>
          <w:color w:val="000000" w:themeColor="text1"/>
          <w:kern w:val="0"/>
          <w:szCs w:val="24"/>
        </w:rPr>
        <w:t>ypical</w:t>
      </w:r>
      <w:r w:rsidR="0006331A">
        <w:rPr>
          <w:rFonts w:ascii="Times New Roman" w:hAnsi="Times New Roman" w:cs="Times New Roman"/>
          <w:color w:val="000000" w:themeColor="text1"/>
          <w:kern w:val="0"/>
          <w:szCs w:val="24"/>
        </w:rPr>
        <w:t>ly</w:t>
      </w:r>
      <w:r w:rsidRPr="004D4D3A">
        <w:rPr>
          <w:rFonts w:ascii="Times New Roman" w:hAnsi="Times New Roman" w:cs="Times New Roman"/>
          <w:color w:val="000000" w:themeColor="text1"/>
          <w:kern w:val="0"/>
          <w:szCs w:val="24"/>
        </w:rPr>
        <w:t xml:space="preserve"> one of the two signing auditors act as the lead auditor </w:t>
      </w:r>
      <w:r w:rsidR="0006331A">
        <w:rPr>
          <w:rFonts w:ascii="Times New Roman" w:hAnsi="Times New Roman" w:cs="Times New Roman"/>
          <w:color w:val="000000" w:themeColor="text1"/>
          <w:kern w:val="0"/>
          <w:szCs w:val="24"/>
        </w:rPr>
        <w:t xml:space="preserve">who is </w:t>
      </w:r>
      <w:r w:rsidRPr="004D4D3A">
        <w:rPr>
          <w:rFonts w:ascii="Times New Roman" w:hAnsi="Times New Roman" w:cs="Times New Roman"/>
          <w:color w:val="000000" w:themeColor="text1"/>
          <w:kern w:val="0"/>
          <w:szCs w:val="24"/>
        </w:rPr>
        <w:t xml:space="preserve">responsible for field work, and the other must be at least a deputy executive of the firm and act as the reviewer. </w:t>
      </w:r>
      <w:r w:rsidR="0006331A">
        <w:rPr>
          <w:rFonts w:ascii="Times New Roman" w:hAnsi="Times New Roman" w:cs="Times New Roman"/>
          <w:color w:val="000000" w:themeColor="text1"/>
          <w:kern w:val="0"/>
          <w:szCs w:val="24"/>
        </w:rPr>
        <w:t>Since</w:t>
      </w:r>
      <w:r w:rsidRPr="004D4D3A">
        <w:rPr>
          <w:rFonts w:ascii="Times New Roman" w:hAnsi="Times New Roman" w:cs="Times New Roman"/>
          <w:color w:val="000000" w:themeColor="text1"/>
          <w:kern w:val="0"/>
          <w:szCs w:val="24"/>
        </w:rPr>
        <w:t xml:space="preserve"> </w:t>
      </w:r>
      <w:r w:rsidRPr="004D4D3A">
        <w:rPr>
          <w:rFonts w:ascii="Times New Roman" w:hAnsi="Times New Roman" w:cs="Times New Roman"/>
          <w:color w:val="000000" w:themeColor="text1"/>
        </w:rPr>
        <w:t>individual engagement partners differ in expertise, capability, risk profile, cognitive style, and ethical standards, audit quality</w:t>
      </w:r>
      <w:r w:rsidR="00E818DE" w:rsidRPr="004D4D3A">
        <w:rPr>
          <w:rFonts w:ascii="Times New Roman" w:hAnsi="Times New Roman" w:cs="Times New Roman"/>
          <w:color w:val="000000" w:themeColor="text1"/>
        </w:rPr>
        <w:t xml:space="preserve"> varies</w:t>
      </w:r>
      <w:r w:rsidRPr="004D4D3A">
        <w:rPr>
          <w:rFonts w:ascii="Times New Roman" w:hAnsi="Times New Roman" w:cs="Times New Roman"/>
          <w:color w:val="000000" w:themeColor="text1"/>
        </w:rPr>
        <w:t xml:space="preserve"> (Gul et al., 2013).</w:t>
      </w:r>
    </w:p>
    <w:p w14:paraId="6B804617" w14:textId="449A7480" w:rsidR="00CC50E1" w:rsidRPr="004D4D3A" w:rsidRDefault="00BB0A84" w:rsidP="00D95349">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Chinese auditors are responsible for identifying, assessing, and handling the risks of their clients’ misreporting of activities related to RPTs (</w:t>
      </w:r>
      <w:r w:rsidR="00C14F65">
        <w:rPr>
          <w:rFonts w:ascii="Times New Roman" w:hAnsi="Times New Roman" w:cs="Times New Roman"/>
          <w:color w:val="000000" w:themeColor="text1"/>
        </w:rPr>
        <w:t>MOF, 2010</w:t>
      </w:r>
      <w:r w:rsidRPr="004D4D3A">
        <w:rPr>
          <w:rFonts w:ascii="Times New Roman" w:hAnsi="Times New Roman" w:cs="Times New Roman"/>
          <w:color w:val="000000" w:themeColor="text1"/>
        </w:rPr>
        <w:t xml:space="preserve">). Given the competing arguments regarding the financial reporting implications of RPTs, it </w:t>
      </w:r>
      <w:r w:rsidR="00687D92">
        <w:rPr>
          <w:rFonts w:ascii="Times New Roman" w:hAnsi="Times New Roman" w:cs="Times New Roman"/>
          <w:color w:val="000000" w:themeColor="text1"/>
        </w:rPr>
        <w:t xml:space="preserve">is unclear as to whether </w:t>
      </w:r>
      <w:r w:rsidRPr="004D4D3A">
        <w:rPr>
          <w:rFonts w:ascii="Times New Roman" w:hAnsi="Times New Roman" w:cs="Times New Roman"/>
          <w:color w:val="000000" w:themeColor="text1"/>
        </w:rPr>
        <w:t xml:space="preserve">firms </w:t>
      </w:r>
      <w:r w:rsidR="00687D92">
        <w:rPr>
          <w:rFonts w:ascii="Times New Roman" w:hAnsi="Times New Roman" w:cs="Times New Roman"/>
          <w:color w:val="000000" w:themeColor="text1"/>
        </w:rPr>
        <w:t>with</w:t>
      </w:r>
      <w:r w:rsidRPr="004D4D3A">
        <w:rPr>
          <w:rFonts w:ascii="Times New Roman" w:hAnsi="Times New Roman" w:cs="Times New Roman"/>
          <w:color w:val="000000" w:themeColor="text1"/>
        </w:rPr>
        <w:t xml:space="preserve"> RPTs c</w:t>
      </w:r>
      <w:r w:rsidR="00E818DE" w:rsidRPr="004D4D3A">
        <w:rPr>
          <w:rFonts w:ascii="Times New Roman" w:hAnsi="Times New Roman" w:cs="Times New Roman"/>
          <w:color w:val="000000" w:themeColor="text1"/>
        </w:rPr>
        <w:t>an</w:t>
      </w:r>
      <w:r w:rsidRPr="004D4D3A">
        <w:rPr>
          <w:rFonts w:ascii="Times New Roman" w:hAnsi="Times New Roman" w:cs="Times New Roman"/>
          <w:color w:val="000000" w:themeColor="text1"/>
        </w:rPr>
        <w:t xml:space="preserve"> influence </w:t>
      </w:r>
      <w:r w:rsidR="00687D92">
        <w:rPr>
          <w:rFonts w:ascii="Times New Roman" w:hAnsi="Times New Roman" w:cs="Times New Roman"/>
          <w:color w:val="000000" w:themeColor="text1"/>
        </w:rPr>
        <w:t xml:space="preserve">their </w:t>
      </w:r>
      <w:r w:rsidRPr="004D4D3A">
        <w:rPr>
          <w:rFonts w:ascii="Times New Roman" w:hAnsi="Times New Roman" w:cs="Times New Roman"/>
          <w:color w:val="000000" w:themeColor="text1"/>
        </w:rPr>
        <w:t>audit firm’s decision to switch engagement partner</w:t>
      </w:r>
      <w:r w:rsidR="00E818DE"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in China. </w:t>
      </w:r>
      <w:r w:rsidR="000469A7">
        <w:rPr>
          <w:rFonts w:ascii="Times New Roman" w:hAnsi="Times New Roman" w:cs="Times New Roman"/>
          <w:color w:val="000000" w:themeColor="text1"/>
        </w:rPr>
        <w:t>C</w:t>
      </w:r>
      <w:r w:rsidR="000469A7" w:rsidRPr="004D4D3A">
        <w:rPr>
          <w:rFonts w:ascii="Times New Roman" w:hAnsi="Times New Roman" w:cs="Times New Roman"/>
          <w:color w:val="000000" w:themeColor="text1"/>
        </w:rPr>
        <w:t>ompared with arm’s length transactions in a competitive business environment, firms have abundant discretion over the timing, amount, and value of RPTs that may reduce firm value</w:t>
      </w:r>
      <w:r w:rsidR="000469A7">
        <w:rPr>
          <w:rFonts w:ascii="Times New Roman" w:hAnsi="Times New Roman" w:cs="Times New Roman"/>
          <w:color w:val="000000" w:themeColor="text1"/>
        </w:rPr>
        <w:t xml:space="preserve"> </w:t>
      </w:r>
      <w:r w:rsidRPr="004D4D3A">
        <w:rPr>
          <w:rFonts w:ascii="Times New Roman" w:hAnsi="Times New Roman" w:cs="Times New Roman"/>
          <w:color w:val="000000" w:themeColor="text1"/>
        </w:rPr>
        <w:t xml:space="preserve">(e.g., Cheung et al., 2006; </w:t>
      </w:r>
      <w:proofErr w:type="spellStart"/>
      <w:r w:rsidRPr="004D4D3A">
        <w:rPr>
          <w:rFonts w:ascii="Times New Roman" w:hAnsi="Times New Roman" w:cs="Times New Roman"/>
          <w:color w:val="000000" w:themeColor="text1"/>
        </w:rPr>
        <w:t>Kohlbeck</w:t>
      </w:r>
      <w:proofErr w:type="spellEnd"/>
      <w:r w:rsidRPr="004D4D3A">
        <w:rPr>
          <w:rFonts w:ascii="Times New Roman" w:hAnsi="Times New Roman" w:cs="Times New Roman"/>
          <w:color w:val="000000" w:themeColor="text1"/>
        </w:rPr>
        <w:t xml:space="preserve"> and Mayhew, 2010). RPTs can be used by controlling </w:t>
      </w:r>
      <w:r w:rsidR="00BF3DD1" w:rsidRPr="004D4D3A">
        <w:rPr>
          <w:rFonts w:ascii="Times New Roman" w:hAnsi="Times New Roman" w:cs="Times New Roman"/>
          <w:color w:val="000000" w:themeColor="text1"/>
        </w:rPr>
        <w:t xml:space="preserve">owners </w:t>
      </w:r>
      <w:r w:rsidRPr="004D4D3A">
        <w:rPr>
          <w:rFonts w:ascii="Times New Roman" w:hAnsi="Times New Roman" w:cs="Times New Roman"/>
          <w:color w:val="000000" w:themeColor="text1"/>
        </w:rPr>
        <w:t xml:space="preserve">to extract private benefits from minority shareholders through </w:t>
      </w:r>
      <w:r w:rsidR="00F51F64" w:rsidRPr="004D4D3A">
        <w:rPr>
          <w:rFonts w:ascii="Times New Roman" w:hAnsi="Times New Roman" w:cs="Times New Roman"/>
          <w:color w:val="000000" w:themeColor="text1"/>
        </w:rPr>
        <w:t>manipulating earnings or divert</w:t>
      </w:r>
      <w:r w:rsidR="00A916BD" w:rsidRPr="004D4D3A">
        <w:rPr>
          <w:rFonts w:ascii="Times New Roman" w:hAnsi="Times New Roman" w:cs="Times New Roman"/>
          <w:color w:val="000000" w:themeColor="text1"/>
        </w:rPr>
        <w:t>ing</w:t>
      </w:r>
      <w:r w:rsidR="00F51F64" w:rsidRPr="004D4D3A">
        <w:rPr>
          <w:rFonts w:ascii="Times New Roman" w:hAnsi="Times New Roman" w:cs="Times New Roman"/>
          <w:color w:val="000000" w:themeColor="text1"/>
        </w:rPr>
        <w:t xml:space="preserve"> resources away from their </w:t>
      </w:r>
      <w:r w:rsidR="00636BF1">
        <w:rPr>
          <w:rFonts w:ascii="Times New Roman" w:hAnsi="Times New Roman" w:cs="Times New Roman"/>
          <w:color w:val="000000" w:themeColor="text1"/>
        </w:rPr>
        <w:t>firm</w:t>
      </w:r>
      <w:r w:rsidR="000469A7">
        <w:rPr>
          <w:rFonts w:ascii="Times New Roman" w:hAnsi="Times New Roman" w:cs="Times New Roman"/>
          <w:color w:val="000000" w:themeColor="text1"/>
        </w:rPr>
        <w:t>s</w:t>
      </w:r>
      <w:r w:rsidR="00F51F64" w:rsidRPr="004D4D3A">
        <w:rPr>
          <w:rFonts w:ascii="Times New Roman" w:hAnsi="Times New Roman" w:cs="Times New Roman"/>
          <w:color w:val="000000" w:themeColor="text1"/>
        </w:rPr>
        <w:t xml:space="preserve"> (i.e., tunneling)</w:t>
      </w:r>
      <w:r w:rsidRPr="004D4D3A">
        <w:rPr>
          <w:rFonts w:ascii="Times New Roman" w:hAnsi="Times New Roman" w:cs="Times New Roman"/>
          <w:color w:val="000000" w:themeColor="text1"/>
        </w:rPr>
        <w:t xml:space="preserve"> (Jian and Wong, 200</w:t>
      </w:r>
      <w:r w:rsidR="00661967" w:rsidRPr="004D4D3A">
        <w:rPr>
          <w:rFonts w:ascii="Times New Roman" w:hAnsi="Times New Roman" w:cs="Times New Roman"/>
          <w:color w:val="000000" w:themeColor="text1"/>
        </w:rPr>
        <w:t>4</w:t>
      </w:r>
      <w:r w:rsidRPr="004D4D3A">
        <w:rPr>
          <w:rFonts w:ascii="Times New Roman" w:hAnsi="Times New Roman" w:cs="Times New Roman"/>
          <w:color w:val="000000" w:themeColor="text1"/>
        </w:rPr>
        <w:t xml:space="preserve">; </w:t>
      </w:r>
      <w:proofErr w:type="spellStart"/>
      <w:r w:rsidRPr="004D4D3A">
        <w:rPr>
          <w:rFonts w:ascii="Times New Roman" w:hAnsi="Times New Roman" w:cs="Times New Roman"/>
          <w:color w:val="000000" w:themeColor="text1"/>
        </w:rPr>
        <w:t>Claessens</w:t>
      </w:r>
      <w:proofErr w:type="spellEnd"/>
      <w:r w:rsidRPr="004D4D3A">
        <w:rPr>
          <w:rFonts w:ascii="Times New Roman" w:hAnsi="Times New Roman" w:cs="Times New Roman"/>
          <w:color w:val="000000" w:themeColor="text1"/>
        </w:rPr>
        <w:t xml:space="preserve"> et al., 2006</w:t>
      </w:r>
      <w:r w:rsidR="00F51F64" w:rsidRPr="004D4D3A">
        <w:rPr>
          <w:rFonts w:ascii="Times New Roman" w:hAnsi="Times New Roman" w:cs="Times New Roman"/>
          <w:color w:val="000000" w:themeColor="text1"/>
        </w:rPr>
        <w:t xml:space="preserve">; </w:t>
      </w:r>
      <w:proofErr w:type="spellStart"/>
      <w:r w:rsidR="00A6040B" w:rsidRPr="004D4D3A">
        <w:rPr>
          <w:rFonts w:ascii="Times New Roman" w:hAnsi="Times New Roman" w:cs="Times New Roman"/>
          <w:color w:val="000000" w:themeColor="text1"/>
        </w:rPr>
        <w:t>Aharony</w:t>
      </w:r>
      <w:proofErr w:type="spellEnd"/>
      <w:r w:rsidR="00A6040B" w:rsidRPr="004D4D3A">
        <w:rPr>
          <w:rFonts w:ascii="Times New Roman" w:hAnsi="Times New Roman" w:cs="Times New Roman"/>
          <w:color w:val="000000" w:themeColor="text1"/>
        </w:rPr>
        <w:t xml:space="preserve"> et al., 2010</w:t>
      </w:r>
      <w:r w:rsidRPr="004D4D3A">
        <w:rPr>
          <w:rFonts w:ascii="Times New Roman" w:hAnsi="Times New Roman" w:cs="Times New Roman"/>
          <w:color w:val="000000" w:themeColor="text1"/>
        </w:rPr>
        <w:t xml:space="preserve">). </w:t>
      </w:r>
      <w:r w:rsidR="00636BF1">
        <w:rPr>
          <w:rFonts w:ascii="Times New Roman" w:hAnsi="Times New Roman" w:cs="Times New Roman"/>
          <w:color w:val="000000" w:themeColor="text1"/>
        </w:rPr>
        <w:t xml:space="preserve">The use of </w:t>
      </w:r>
      <w:r w:rsidRPr="004D4D3A">
        <w:rPr>
          <w:rFonts w:ascii="Times New Roman" w:hAnsi="Times New Roman" w:cs="Times New Roman"/>
          <w:color w:val="000000" w:themeColor="text1"/>
        </w:rPr>
        <w:t xml:space="preserve">RPTs also </w:t>
      </w:r>
      <w:r w:rsidR="00636BF1">
        <w:rPr>
          <w:rFonts w:ascii="Times New Roman" w:hAnsi="Times New Roman" w:cs="Times New Roman"/>
          <w:color w:val="000000" w:themeColor="text1"/>
        </w:rPr>
        <w:t xml:space="preserve">includes sustaining </w:t>
      </w:r>
      <w:r w:rsidRPr="004D4D3A">
        <w:rPr>
          <w:rFonts w:ascii="Times New Roman" w:hAnsi="Times New Roman" w:cs="Times New Roman"/>
          <w:color w:val="000000" w:themeColor="text1"/>
        </w:rPr>
        <w:t xml:space="preserve">affiliated firms that are new or </w:t>
      </w:r>
      <w:r w:rsidR="00636BF1">
        <w:rPr>
          <w:rFonts w:ascii="Times New Roman" w:hAnsi="Times New Roman" w:cs="Times New Roman"/>
          <w:color w:val="000000" w:themeColor="text1"/>
        </w:rPr>
        <w:t xml:space="preserve">are in </w:t>
      </w:r>
      <w:r w:rsidRPr="004D4D3A">
        <w:rPr>
          <w:rFonts w:ascii="Times New Roman" w:hAnsi="Times New Roman" w:cs="Times New Roman"/>
          <w:color w:val="000000" w:themeColor="text1"/>
        </w:rPr>
        <w:t>financial difficult</w:t>
      </w:r>
      <w:r w:rsidR="00636BF1">
        <w:rPr>
          <w:rFonts w:ascii="Times New Roman" w:hAnsi="Times New Roman" w:cs="Times New Roman"/>
          <w:color w:val="000000" w:themeColor="text1"/>
        </w:rPr>
        <w:t>ies</w:t>
      </w:r>
      <w:r w:rsidRPr="004D4D3A">
        <w:rPr>
          <w:rFonts w:ascii="Times New Roman" w:hAnsi="Times New Roman" w:cs="Times New Roman"/>
          <w:color w:val="000000" w:themeColor="text1"/>
        </w:rPr>
        <w:t xml:space="preserve"> (Chang and Hong, 2000; Friedman et al., 2003). </w:t>
      </w:r>
      <w:r w:rsidR="00636BF1">
        <w:rPr>
          <w:rFonts w:ascii="Times New Roman" w:hAnsi="Times New Roman" w:cs="Times New Roman"/>
          <w:color w:val="000000" w:themeColor="text1"/>
        </w:rPr>
        <w:t xml:space="preserve">Therefore </w:t>
      </w:r>
      <w:r w:rsidRPr="004D4D3A">
        <w:rPr>
          <w:rFonts w:ascii="Times New Roman" w:hAnsi="Times New Roman" w:cs="Times New Roman"/>
          <w:color w:val="000000" w:themeColor="text1"/>
        </w:rPr>
        <w:t xml:space="preserve">RPTs </w:t>
      </w:r>
      <w:r w:rsidR="00636BF1">
        <w:rPr>
          <w:rFonts w:ascii="Times New Roman" w:hAnsi="Times New Roman" w:cs="Times New Roman"/>
          <w:color w:val="000000" w:themeColor="text1"/>
        </w:rPr>
        <w:t>epitomize a situation of extensive</w:t>
      </w:r>
      <w:r w:rsidRPr="004D4D3A">
        <w:rPr>
          <w:rFonts w:ascii="Times New Roman" w:hAnsi="Times New Roman" w:cs="Times New Roman"/>
          <w:color w:val="000000" w:themeColor="text1"/>
        </w:rPr>
        <w:t xml:space="preserve"> management discretion</w:t>
      </w:r>
      <w:r w:rsidR="00636BF1">
        <w:rPr>
          <w:rFonts w:ascii="Times New Roman" w:hAnsi="Times New Roman" w:cs="Times New Roman"/>
          <w:color w:val="000000" w:themeColor="text1"/>
        </w:rPr>
        <w:t>.</w:t>
      </w:r>
      <w:r w:rsidRPr="004D4D3A">
        <w:rPr>
          <w:rFonts w:ascii="Times New Roman" w:hAnsi="Times New Roman" w:cs="Times New Roman"/>
          <w:color w:val="000000" w:themeColor="text1"/>
        </w:rPr>
        <w:t xml:space="preserve"> </w:t>
      </w:r>
      <w:r w:rsidR="00636BF1">
        <w:rPr>
          <w:rFonts w:ascii="Times New Roman" w:hAnsi="Times New Roman" w:cs="Times New Roman"/>
          <w:color w:val="000000" w:themeColor="text1"/>
        </w:rPr>
        <w:t xml:space="preserve">It is for these reasons that </w:t>
      </w:r>
      <w:r w:rsidRPr="004D4D3A">
        <w:rPr>
          <w:rFonts w:ascii="Times New Roman" w:hAnsi="Times New Roman" w:cs="Times New Roman"/>
          <w:color w:val="000000" w:themeColor="text1"/>
        </w:rPr>
        <w:t xml:space="preserve">external auditors </w:t>
      </w:r>
      <w:r w:rsidR="00636BF1">
        <w:rPr>
          <w:rFonts w:ascii="Times New Roman" w:hAnsi="Times New Roman" w:cs="Times New Roman"/>
          <w:color w:val="000000" w:themeColor="text1"/>
        </w:rPr>
        <w:t xml:space="preserve">generally </w:t>
      </w:r>
      <w:r w:rsidRPr="004D4D3A">
        <w:rPr>
          <w:rFonts w:ascii="Times New Roman" w:hAnsi="Times New Roman" w:cs="Times New Roman"/>
          <w:color w:val="000000" w:themeColor="text1"/>
        </w:rPr>
        <w:t xml:space="preserve">consider RPTs </w:t>
      </w:r>
      <w:r w:rsidR="00E818DE" w:rsidRPr="004D4D3A">
        <w:rPr>
          <w:rFonts w:ascii="Times New Roman" w:hAnsi="Times New Roman" w:cs="Times New Roman"/>
          <w:color w:val="000000" w:themeColor="text1"/>
        </w:rPr>
        <w:t>to be</w:t>
      </w:r>
      <w:r w:rsidRPr="004D4D3A">
        <w:rPr>
          <w:rFonts w:ascii="Times New Roman" w:hAnsi="Times New Roman" w:cs="Times New Roman"/>
          <w:color w:val="000000" w:themeColor="text1"/>
        </w:rPr>
        <w:t xml:space="preserve"> a factor that increases inherent risk (Gordon et al., 2007). </w:t>
      </w:r>
    </w:p>
    <w:p w14:paraId="330DC7E8" w14:textId="2ACC081B" w:rsidR="00743B7F" w:rsidRPr="004D4D3A" w:rsidRDefault="00636BF1" w:rsidP="00CC50E1">
      <w:pPr>
        <w:spacing w:line="400" w:lineRule="exact"/>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 xml:space="preserve">A minority of </w:t>
      </w:r>
      <w:r w:rsidR="00563CD4" w:rsidRPr="004D4D3A">
        <w:rPr>
          <w:rFonts w:ascii="Times New Roman" w:hAnsi="Times New Roman" w:cs="Times New Roman"/>
          <w:color w:val="000000" w:themeColor="text1"/>
        </w:rPr>
        <w:t xml:space="preserve">studies </w:t>
      </w:r>
      <w:r>
        <w:rPr>
          <w:rFonts w:ascii="Times New Roman" w:hAnsi="Times New Roman" w:cs="Times New Roman"/>
          <w:color w:val="000000" w:themeColor="text1"/>
        </w:rPr>
        <w:t>report</w:t>
      </w:r>
      <w:r w:rsidR="00563CD4" w:rsidRPr="004D4D3A">
        <w:rPr>
          <w:rFonts w:ascii="Times New Roman" w:hAnsi="Times New Roman" w:cs="Times New Roman"/>
          <w:color w:val="000000" w:themeColor="text1"/>
        </w:rPr>
        <w:t xml:space="preserve"> </w:t>
      </w:r>
      <w:r w:rsidR="00452941" w:rsidRPr="004D4D3A">
        <w:rPr>
          <w:rFonts w:ascii="Times New Roman" w:hAnsi="Times New Roman" w:cs="Times New Roman"/>
          <w:color w:val="000000" w:themeColor="text1"/>
        </w:rPr>
        <w:t xml:space="preserve">RPTs </w:t>
      </w:r>
      <w:r>
        <w:rPr>
          <w:rFonts w:ascii="Times New Roman" w:hAnsi="Times New Roman" w:cs="Times New Roman"/>
          <w:color w:val="000000" w:themeColor="text1"/>
        </w:rPr>
        <w:t>as fulfilling</w:t>
      </w:r>
      <w:r w:rsidR="00452941" w:rsidRPr="004D4D3A">
        <w:rPr>
          <w:rFonts w:ascii="Times New Roman" w:hAnsi="Times New Roman" w:cs="Times New Roman"/>
          <w:color w:val="000000" w:themeColor="text1"/>
        </w:rPr>
        <w:t xml:space="preserve"> the underlying needs of the </w:t>
      </w:r>
      <w:r>
        <w:rPr>
          <w:rFonts w:ascii="Times New Roman" w:hAnsi="Times New Roman" w:cs="Times New Roman"/>
          <w:color w:val="000000" w:themeColor="text1"/>
        </w:rPr>
        <w:t>firm, primarily by promoting</w:t>
      </w:r>
      <w:r w:rsidR="00452941" w:rsidRPr="004D4D3A">
        <w:rPr>
          <w:rFonts w:ascii="Times New Roman" w:hAnsi="Times New Roman" w:cs="Times New Roman"/>
          <w:color w:val="000000" w:themeColor="text1"/>
        </w:rPr>
        <w:t xml:space="preserve"> operatin</w:t>
      </w:r>
      <w:r w:rsidR="00E818DE" w:rsidRPr="004D4D3A">
        <w:rPr>
          <w:rFonts w:ascii="Times New Roman" w:hAnsi="Times New Roman" w:cs="Times New Roman"/>
          <w:color w:val="000000" w:themeColor="text1"/>
        </w:rPr>
        <w:t>g</w:t>
      </w:r>
      <w:r w:rsidR="00452941" w:rsidRPr="004D4D3A">
        <w:rPr>
          <w:rFonts w:ascii="Times New Roman" w:hAnsi="Times New Roman" w:cs="Times New Roman"/>
          <w:color w:val="000000" w:themeColor="text1"/>
        </w:rPr>
        <w:t xml:space="preserve"> efficiency.</w:t>
      </w:r>
      <w:r w:rsidR="000629D1" w:rsidRPr="004D4D3A">
        <w:rPr>
          <w:rStyle w:val="aa"/>
          <w:rFonts w:ascii="Times New Roman" w:hAnsi="Times New Roman" w:cs="Times New Roman"/>
          <w:color w:val="000000" w:themeColor="text1"/>
        </w:rPr>
        <w:footnoteReference w:id="7"/>
      </w:r>
      <w:r w:rsidR="005116B5" w:rsidRPr="004D4D3A">
        <w:rPr>
          <w:rFonts w:ascii="Times New Roman" w:hAnsi="Times New Roman" w:cs="Times New Roman"/>
          <w:color w:val="000000" w:themeColor="text1"/>
        </w:rPr>
        <w:t xml:space="preserve"> However, most listed firms in China are state controlled</w:t>
      </w:r>
      <w:r w:rsidR="00E818DE" w:rsidRPr="004D4D3A">
        <w:rPr>
          <w:rFonts w:ascii="Times New Roman" w:hAnsi="Times New Roman" w:cs="Times New Roman"/>
          <w:color w:val="000000" w:themeColor="text1"/>
        </w:rPr>
        <w:t>.</w:t>
      </w:r>
      <w:r w:rsidR="005116B5" w:rsidRPr="004D4D3A">
        <w:rPr>
          <w:rFonts w:ascii="Times New Roman" w:hAnsi="Times New Roman" w:cs="Times New Roman"/>
          <w:color w:val="000000" w:themeColor="text1"/>
        </w:rPr>
        <w:t xml:space="preserve"> </w:t>
      </w:r>
      <w:r w:rsidR="00E818DE" w:rsidRPr="004D4D3A">
        <w:rPr>
          <w:rFonts w:ascii="Times New Roman" w:hAnsi="Times New Roman" w:cs="Times New Roman"/>
          <w:color w:val="000000" w:themeColor="text1"/>
        </w:rPr>
        <w:t>Such firms</w:t>
      </w:r>
      <w:r w:rsidR="005116B5" w:rsidRPr="004D4D3A">
        <w:rPr>
          <w:rFonts w:ascii="Times New Roman" w:hAnsi="Times New Roman" w:cs="Times New Roman"/>
          <w:color w:val="000000" w:themeColor="text1"/>
        </w:rPr>
        <w:t xml:space="preserve"> often construct complex and frequent RPTs with their related parties for </w:t>
      </w:r>
      <w:r w:rsidR="00E818DE" w:rsidRPr="004D4D3A">
        <w:rPr>
          <w:rFonts w:ascii="Times New Roman" w:hAnsi="Times New Roman" w:cs="Times New Roman"/>
          <w:color w:val="000000" w:themeColor="text1"/>
        </w:rPr>
        <w:t xml:space="preserve">nefarious </w:t>
      </w:r>
      <w:r w:rsidR="005116B5" w:rsidRPr="004D4D3A">
        <w:rPr>
          <w:rFonts w:ascii="Times New Roman" w:hAnsi="Times New Roman" w:cs="Times New Roman"/>
          <w:color w:val="000000" w:themeColor="text1"/>
        </w:rPr>
        <w:t xml:space="preserve">purposes (e.g., </w:t>
      </w:r>
      <w:r w:rsidR="008D1C2F">
        <w:rPr>
          <w:rFonts w:ascii="Times New Roman" w:hAnsi="Times New Roman" w:cs="Times New Roman"/>
          <w:color w:val="000000" w:themeColor="text1"/>
        </w:rPr>
        <w:t>to hide</w:t>
      </w:r>
      <w:r w:rsidR="005116B5" w:rsidRPr="004D4D3A">
        <w:rPr>
          <w:rFonts w:ascii="Times New Roman" w:hAnsi="Times New Roman" w:cs="Times New Roman"/>
          <w:color w:val="000000" w:themeColor="text1"/>
        </w:rPr>
        <w:t xml:space="preserve"> losses). </w:t>
      </w:r>
      <w:r w:rsidR="00C421FF">
        <w:rPr>
          <w:rFonts w:ascii="Times New Roman" w:hAnsi="Times New Roman" w:cs="Times New Roman"/>
          <w:color w:val="000000" w:themeColor="text1"/>
        </w:rPr>
        <w:t>Auditors, t</w:t>
      </w:r>
      <w:r w:rsidR="005116B5" w:rsidRPr="004D4D3A">
        <w:rPr>
          <w:rFonts w:ascii="Times New Roman" w:hAnsi="Times New Roman" w:cs="Times New Roman"/>
          <w:color w:val="000000" w:themeColor="text1"/>
        </w:rPr>
        <w:t xml:space="preserve">o untangle these transactions, </w:t>
      </w:r>
      <w:r w:rsidR="00883128" w:rsidRPr="004D4D3A">
        <w:rPr>
          <w:rFonts w:ascii="Times New Roman" w:hAnsi="Times New Roman" w:cs="Times New Roman"/>
          <w:color w:val="000000" w:themeColor="text1"/>
        </w:rPr>
        <w:t xml:space="preserve">bear </w:t>
      </w:r>
      <w:r w:rsidR="00C421FF">
        <w:rPr>
          <w:rFonts w:ascii="Times New Roman" w:hAnsi="Times New Roman" w:cs="Times New Roman"/>
          <w:color w:val="000000" w:themeColor="text1"/>
        </w:rPr>
        <w:t xml:space="preserve">an </w:t>
      </w:r>
      <w:r w:rsidR="00C421FF">
        <w:rPr>
          <w:rFonts w:ascii="Times New Roman" w:hAnsi="Times New Roman" w:cs="Times New Roman"/>
          <w:color w:val="000000" w:themeColor="text1"/>
        </w:rPr>
        <w:lastRenderedPageBreak/>
        <w:t xml:space="preserve">increased </w:t>
      </w:r>
      <w:r w:rsidR="00883128" w:rsidRPr="004D4D3A">
        <w:rPr>
          <w:rFonts w:ascii="Times New Roman" w:hAnsi="Times New Roman" w:cs="Times New Roman"/>
          <w:color w:val="000000" w:themeColor="text1"/>
        </w:rPr>
        <w:t xml:space="preserve">risk and thus </w:t>
      </w:r>
      <w:r w:rsidR="005116B5" w:rsidRPr="004D4D3A">
        <w:rPr>
          <w:rFonts w:ascii="Times New Roman" w:hAnsi="Times New Roman" w:cs="Times New Roman"/>
          <w:color w:val="000000" w:themeColor="text1"/>
        </w:rPr>
        <w:t>need put more time and effort into the auditing process (Habib et al., 2015).</w:t>
      </w:r>
      <w:r w:rsidR="0091002F" w:rsidRPr="004D4D3A">
        <w:rPr>
          <w:rFonts w:ascii="Times New Roman" w:hAnsi="Times New Roman" w:cs="Times New Roman"/>
          <w:color w:val="000000" w:themeColor="text1"/>
        </w:rPr>
        <w:t xml:space="preserve"> </w:t>
      </w:r>
      <w:r w:rsidR="00E818DE" w:rsidRPr="004D4D3A">
        <w:rPr>
          <w:rFonts w:ascii="Times New Roman" w:hAnsi="Times New Roman" w:cs="Times New Roman"/>
          <w:color w:val="000000" w:themeColor="text1"/>
        </w:rPr>
        <w:t>The l</w:t>
      </w:r>
      <w:r w:rsidR="0091002F" w:rsidRPr="004D4D3A">
        <w:rPr>
          <w:rFonts w:ascii="Times New Roman" w:hAnsi="Times New Roman" w:cs="Times New Roman"/>
          <w:color w:val="000000" w:themeColor="text1"/>
        </w:rPr>
        <w:t>iterature on audit quality also indicates that a</w:t>
      </w:r>
      <w:r w:rsidR="00BB0A84" w:rsidRPr="004D4D3A">
        <w:rPr>
          <w:rFonts w:ascii="Times New Roman" w:hAnsi="Times New Roman" w:cs="Times New Roman"/>
          <w:color w:val="000000" w:themeColor="text1"/>
        </w:rPr>
        <w:t xml:space="preserve">n increase in </w:t>
      </w:r>
      <w:r w:rsidR="00BB0A84" w:rsidRPr="004D4D3A">
        <w:rPr>
          <w:rFonts w:ascii="Times New Roman" w:hAnsi="Times New Roman" w:cs="Times New Roman"/>
          <w:bCs/>
          <w:color w:val="000000" w:themeColor="text1"/>
        </w:rPr>
        <w:t>audit</w:t>
      </w:r>
      <w:r w:rsidR="00BB0A84" w:rsidRPr="004D4D3A">
        <w:rPr>
          <w:rFonts w:ascii="Times New Roman" w:hAnsi="Times New Roman" w:cs="Times New Roman"/>
          <w:color w:val="000000" w:themeColor="text1"/>
        </w:rPr>
        <w:t xml:space="preserve"> </w:t>
      </w:r>
      <w:r w:rsidR="00BB0A84" w:rsidRPr="004D4D3A">
        <w:rPr>
          <w:rFonts w:ascii="Times New Roman" w:hAnsi="Times New Roman" w:cs="Times New Roman"/>
          <w:bCs/>
          <w:color w:val="000000" w:themeColor="text1"/>
        </w:rPr>
        <w:t>risk</w:t>
      </w:r>
      <w:r w:rsidR="00BB0A84" w:rsidRPr="004D4D3A">
        <w:rPr>
          <w:rFonts w:ascii="Times New Roman" w:hAnsi="Times New Roman" w:cs="Times New Roman"/>
          <w:color w:val="000000" w:themeColor="text1"/>
        </w:rPr>
        <w:t xml:space="preserve"> accompanies increases in the proportion of firms receiv</w:t>
      </w:r>
      <w:r w:rsidR="00C421FF">
        <w:rPr>
          <w:rFonts w:ascii="Times New Roman" w:hAnsi="Times New Roman" w:cs="Times New Roman"/>
          <w:color w:val="000000" w:themeColor="text1"/>
        </w:rPr>
        <w:t>ing</w:t>
      </w:r>
      <w:r w:rsidR="00BB0A84" w:rsidRPr="004D4D3A">
        <w:rPr>
          <w:rFonts w:ascii="Times New Roman" w:hAnsi="Times New Roman" w:cs="Times New Roman"/>
          <w:color w:val="000000" w:themeColor="text1"/>
        </w:rPr>
        <w:t xml:space="preserve"> MAOs (</w:t>
      </w:r>
      <w:proofErr w:type="spellStart"/>
      <w:r w:rsidR="00BB0A84" w:rsidRPr="004D4D3A">
        <w:rPr>
          <w:rFonts w:ascii="Times New Roman" w:hAnsi="Times New Roman" w:cs="Times New Roman"/>
          <w:color w:val="000000" w:themeColor="text1"/>
        </w:rPr>
        <w:t>DeFond</w:t>
      </w:r>
      <w:proofErr w:type="spellEnd"/>
      <w:r w:rsidR="00BB0A84" w:rsidRPr="004D4D3A">
        <w:rPr>
          <w:rFonts w:ascii="Times New Roman" w:hAnsi="Times New Roman" w:cs="Times New Roman"/>
          <w:color w:val="000000" w:themeColor="text1"/>
        </w:rPr>
        <w:t xml:space="preserve"> et al., </w:t>
      </w:r>
      <w:r w:rsidR="0091002F" w:rsidRPr="004D4D3A">
        <w:rPr>
          <w:rFonts w:ascii="Times New Roman" w:hAnsi="Times New Roman" w:cs="Times New Roman"/>
          <w:color w:val="000000" w:themeColor="text1"/>
        </w:rPr>
        <w:t>1999</w:t>
      </w:r>
      <w:r w:rsidR="00A76EE3" w:rsidRPr="004D4D3A">
        <w:rPr>
          <w:rFonts w:ascii="Times New Roman" w:hAnsi="Times New Roman" w:cs="Times New Roman"/>
          <w:color w:val="000000" w:themeColor="text1"/>
        </w:rPr>
        <w:t>; Francis and Krishnan, 1999</w:t>
      </w:r>
      <w:r w:rsidR="00BB0A84" w:rsidRPr="004D4D3A">
        <w:rPr>
          <w:rFonts w:ascii="Times New Roman" w:hAnsi="Times New Roman" w:cs="Times New Roman"/>
          <w:color w:val="000000" w:themeColor="text1"/>
        </w:rPr>
        <w:t xml:space="preserve">). </w:t>
      </w:r>
      <w:r w:rsidR="00E818DE" w:rsidRPr="004D4D3A">
        <w:rPr>
          <w:rFonts w:ascii="Times New Roman" w:hAnsi="Times New Roman" w:cs="Times New Roman"/>
          <w:color w:val="000000" w:themeColor="text1"/>
        </w:rPr>
        <w:t>R</w:t>
      </w:r>
      <w:r w:rsidR="00BB0A84" w:rsidRPr="004D4D3A">
        <w:rPr>
          <w:rFonts w:ascii="Times New Roman" w:hAnsi="Times New Roman" w:cs="Times New Roman"/>
          <w:color w:val="000000" w:themeColor="text1"/>
        </w:rPr>
        <w:t xml:space="preserve">eceiving an MAO </w:t>
      </w:r>
      <w:r w:rsidR="00FE38AD">
        <w:rPr>
          <w:rFonts w:ascii="Times New Roman" w:hAnsi="Times New Roman" w:cs="Times New Roman"/>
          <w:color w:val="000000" w:themeColor="text1"/>
        </w:rPr>
        <w:t>c</w:t>
      </w:r>
      <w:r w:rsidR="00BB0A84" w:rsidRPr="004D4D3A">
        <w:rPr>
          <w:rFonts w:ascii="Times New Roman" w:hAnsi="Times New Roman" w:cs="Times New Roman"/>
          <w:color w:val="000000" w:themeColor="text1"/>
        </w:rPr>
        <w:t>ould depress t</w:t>
      </w:r>
      <w:r w:rsidR="00836385" w:rsidRPr="004D4D3A">
        <w:rPr>
          <w:rFonts w:ascii="Times New Roman" w:hAnsi="Times New Roman" w:cs="Times New Roman"/>
          <w:color w:val="000000" w:themeColor="text1"/>
        </w:rPr>
        <w:t xml:space="preserve">he prices of a </w:t>
      </w:r>
      <w:r w:rsidR="007E4E65" w:rsidRPr="004D4D3A">
        <w:rPr>
          <w:rFonts w:ascii="Times New Roman" w:hAnsi="Times New Roman" w:cs="Times New Roman"/>
          <w:color w:val="000000" w:themeColor="text1"/>
        </w:rPr>
        <w:t xml:space="preserve">firm’s </w:t>
      </w:r>
      <w:r w:rsidR="00836385" w:rsidRPr="004D4D3A">
        <w:rPr>
          <w:rFonts w:ascii="Times New Roman" w:hAnsi="Times New Roman" w:cs="Times New Roman"/>
          <w:color w:val="000000" w:themeColor="text1"/>
        </w:rPr>
        <w:t xml:space="preserve">securities and </w:t>
      </w:r>
      <w:r w:rsidR="00BB0A84" w:rsidRPr="004D4D3A">
        <w:rPr>
          <w:rFonts w:ascii="Times New Roman" w:hAnsi="Times New Roman" w:cs="Times New Roman"/>
          <w:color w:val="000000" w:themeColor="text1"/>
        </w:rPr>
        <w:t xml:space="preserve">impair its ability to raise funds in future, and </w:t>
      </w:r>
      <w:r w:rsidR="00702D82" w:rsidRPr="004D4D3A">
        <w:rPr>
          <w:rFonts w:ascii="Times New Roman" w:hAnsi="Times New Roman" w:cs="Times New Roman"/>
          <w:color w:val="000000" w:themeColor="text1"/>
        </w:rPr>
        <w:t>lead the firm</w:t>
      </w:r>
      <w:r w:rsidR="00FE38AD">
        <w:rPr>
          <w:rFonts w:ascii="Times New Roman" w:hAnsi="Times New Roman" w:cs="Times New Roman"/>
          <w:color w:val="000000" w:themeColor="text1"/>
        </w:rPr>
        <w:t xml:space="preserve"> to</w:t>
      </w:r>
      <w:r w:rsidR="00702D82" w:rsidRPr="004D4D3A">
        <w:rPr>
          <w:rFonts w:ascii="Times New Roman" w:hAnsi="Times New Roman" w:cs="Times New Roman"/>
          <w:color w:val="000000" w:themeColor="text1"/>
        </w:rPr>
        <w:t xml:space="preserve"> </w:t>
      </w:r>
      <w:r w:rsidR="00BB0A84" w:rsidRPr="004D4D3A">
        <w:rPr>
          <w:rFonts w:ascii="Times New Roman" w:hAnsi="Times New Roman" w:cs="Times New Roman"/>
          <w:color w:val="000000" w:themeColor="text1"/>
        </w:rPr>
        <w:t>face greater regulatory scrutiny (Chen et al., 2010; Lin and Liu, 2010)</w:t>
      </w:r>
      <w:r w:rsidR="00702D82" w:rsidRPr="004D4D3A">
        <w:rPr>
          <w:rFonts w:ascii="Times New Roman" w:hAnsi="Times New Roman" w:cs="Times New Roman"/>
          <w:color w:val="000000" w:themeColor="text1"/>
        </w:rPr>
        <w:t xml:space="preserve">, </w:t>
      </w:r>
      <w:r w:rsidR="00592149" w:rsidRPr="004D4D3A">
        <w:rPr>
          <w:rFonts w:ascii="Times New Roman" w:hAnsi="Times New Roman" w:cs="Times New Roman"/>
          <w:color w:val="000000" w:themeColor="text1"/>
        </w:rPr>
        <w:t xml:space="preserve">which potentially constrain managerial </w:t>
      </w:r>
      <w:r w:rsidR="00F51F64" w:rsidRPr="004D4D3A">
        <w:rPr>
          <w:rFonts w:ascii="Times New Roman" w:hAnsi="Times New Roman" w:cs="Times New Roman"/>
          <w:color w:val="000000" w:themeColor="text1"/>
        </w:rPr>
        <w:t>opportunistic behavior</w:t>
      </w:r>
      <w:r w:rsidR="00592149" w:rsidRPr="004D4D3A">
        <w:rPr>
          <w:rFonts w:ascii="Times New Roman" w:hAnsi="Times New Roman" w:cs="Times New Roman"/>
          <w:color w:val="000000" w:themeColor="text1"/>
        </w:rPr>
        <w:t xml:space="preserve">. </w:t>
      </w:r>
      <w:r w:rsidR="00D32917">
        <w:rPr>
          <w:rFonts w:ascii="Times New Roman" w:hAnsi="Times New Roman" w:cs="Times New Roman"/>
          <w:color w:val="000000" w:themeColor="text1"/>
        </w:rPr>
        <w:t xml:space="preserve">In addition, </w:t>
      </w:r>
      <w:r w:rsidR="00F248A1" w:rsidRPr="004D4D3A">
        <w:rPr>
          <w:rFonts w:ascii="Times New Roman" w:hAnsi="Times New Roman" w:cs="Times New Roman"/>
          <w:color w:val="000000" w:themeColor="text1"/>
        </w:rPr>
        <w:t>he salient feature</w:t>
      </w:r>
      <w:r w:rsidR="00181C44" w:rsidRPr="004D4D3A">
        <w:rPr>
          <w:rFonts w:ascii="Times New Roman" w:hAnsi="Times New Roman" w:cs="Times New Roman"/>
          <w:color w:val="000000" w:themeColor="text1"/>
        </w:rPr>
        <w:t>s</w:t>
      </w:r>
      <w:r w:rsidR="00F248A1" w:rsidRPr="004D4D3A">
        <w:rPr>
          <w:rFonts w:ascii="Times New Roman" w:hAnsi="Times New Roman" w:cs="Times New Roman"/>
          <w:color w:val="000000" w:themeColor="text1"/>
        </w:rPr>
        <w:t xml:space="preserve"> of the audit market in China </w:t>
      </w:r>
      <w:r w:rsidR="00181C44" w:rsidRPr="004D4D3A">
        <w:rPr>
          <w:rFonts w:ascii="Times New Roman" w:hAnsi="Times New Roman" w:cs="Times New Roman"/>
          <w:color w:val="000000" w:themeColor="text1"/>
        </w:rPr>
        <w:t>are</w:t>
      </w:r>
      <w:r w:rsidR="00F248A1" w:rsidRPr="004D4D3A">
        <w:rPr>
          <w:rFonts w:ascii="Times New Roman" w:hAnsi="Times New Roman" w:cs="Times New Roman"/>
          <w:color w:val="000000" w:themeColor="text1"/>
        </w:rPr>
        <w:t xml:space="preserve"> the presence of heterogeneous audit quality </w:t>
      </w:r>
      <w:r w:rsidR="00181C44" w:rsidRPr="004D4D3A">
        <w:rPr>
          <w:rFonts w:ascii="Times New Roman" w:hAnsi="Times New Roman" w:cs="Times New Roman"/>
          <w:color w:val="000000" w:themeColor="text1"/>
        </w:rPr>
        <w:t xml:space="preserve">among audit partners </w:t>
      </w:r>
      <w:r w:rsidR="00F248A1" w:rsidRPr="004D4D3A">
        <w:rPr>
          <w:rFonts w:ascii="Times New Roman" w:hAnsi="Times New Roman" w:cs="Times New Roman"/>
          <w:color w:val="000000" w:themeColor="text1"/>
        </w:rPr>
        <w:t>within the same audit firm</w:t>
      </w:r>
      <w:r w:rsidR="00181C44" w:rsidRPr="004D4D3A">
        <w:rPr>
          <w:rFonts w:ascii="Times New Roman" w:hAnsi="Times New Roman" w:cs="Times New Roman"/>
          <w:color w:val="000000" w:themeColor="text1"/>
        </w:rPr>
        <w:t xml:space="preserve">, fewer incentives </w:t>
      </w:r>
      <w:r w:rsidR="00C421FF">
        <w:rPr>
          <w:rFonts w:ascii="Times New Roman" w:hAnsi="Times New Roman" w:cs="Times New Roman"/>
          <w:color w:val="000000" w:themeColor="text1"/>
        </w:rPr>
        <w:t>towards</w:t>
      </w:r>
      <w:r w:rsidR="00181C44" w:rsidRPr="004D4D3A">
        <w:rPr>
          <w:rFonts w:ascii="Times New Roman" w:hAnsi="Times New Roman" w:cs="Times New Roman"/>
          <w:color w:val="000000" w:themeColor="text1"/>
        </w:rPr>
        <w:t xml:space="preserve"> mutual monitoring among audit partners, and </w:t>
      </w:r>
      <w:r w:rsidR="00C421FF">
        <w:rPr>
          <w:rFonts w:ascii="Times New Roman" w:hAnsi="Times New Roman" w:cs="Times New Roman"/>
          <w:color w:val="000000" w:themeColor="text1"/>
        </w:rPr>
        <w:t xml:space="preserve">a </w:t>
      </w:r>
      <w:r w:rsidR="00181C44" w:rsidRPr="004D4D3A">
        <w:rPr>
          <w:rFonts w:ascii="Times New Roman" w:hAnsi="Times New Roman" w:cs="Times New Roman"/>
          <w:color w:val="000000" w:themeColor="text1"/>
        </w:rPr>
        <w:t xml:space="preserve">lower </w:t>
      </w:r>
      <w:r w:rsidR="00C82145" w:rsidRPr="004D4D3A">
        <w:rPr>
          <w:rFonts w:ascii="Times New Roman" w:hAnsi="Times New Roman" w:cs="Times New Roman"/>
          <w:color w:val="000000" w:themeColor="text1"/>
        </w:rPr>
        <w:t xml:space="preserve">cost of audit failures for audit firm and their partners due to </w:t>
      </w:r>
      <w:r w:rsidR="00D32917">
        <w:rPr>
          <w:rFonts w:ascii="Times New Roman" w:hAnsi="Times New Roman" w:cs="Times New Roman"/>
          <w:color w:val="000000" w:themeColor="text1"/>
        </w:rPr>
        <w:t>weak</w:t>
      </w:r>
      <w:r w:rsidR="00C82145" w:rsidRPr="004D4D3A">
        <w:rPr>
          <w:rFonts w:ascii="Times New Roman" w:hAnsi="Times New Roman" w:cs="Times New Roman"/>
          <w:color w:val="000000" w:themeColor="text1"/>
        </w:rPr>
        <w:t xml:space="preserve"> regulatory sanctions </w:t>
      </w:r>
      <w:r w:rsidR="00C421FF">
        <w:rPr>
          <w:rFonts w:ascii="Times New Roman" w:hAnsi="Times New Roman" w:cs="Times New Roman"/>
          <w:color w:val="000000" w:themeColor="text1"/>
        </w:rPr>
        <w:t>or</w:t>
      </w:r>
      <w:r w:rsidR="00C82145" w:rsidRPr="004D4D3A">
        <w:rPr>
          <w:rFonts w:ascii="Times New Roman" w:hAnsi="Times New Roman" w:cs="Times New Roman"/>
          <w:color w:val="000000" w:themeColor="text1"/>
        </w:rPr>
        <w:t xml:space="preserve"> penalties (Gul et al., 2013, </w:t>
      </w:r>
      <w:r w:rsidR="004C550C" w:rsidRPr="004D4D3A">
        <w:rPr>
          <w:rFonts w:ascii="Times New Roman" w:hAnsi="Times New Roman" w:cs="Times New Roman"/>
          <w:color w:val="000000" w:themeColor="text1"/>
        </w:rPr>
        <w:t xml:space="preserve">He et al., 2013; Yang, 2013; Dhaliwal et al., </w:t>
      </w:r>
      <w:r w:rsidR="006F7E34" w:rsidRPr="004D4D3A">
        <w:rPr>
          <w:rFonts w:ascii="Times New Roman" w:hAnsi="Times New Roman" w:cs="Times New Roman"/>
          <w:color w:val="000000" w:themeColor="text1"/>
        </w:rPr>
        <w:t>201</w:t>
      </w:r>
      <w:r w:rsidR="006F7E34">
        <w:rPr>
          <w:rFonts w:ascii="Times New Roman" w:hAnsi="Times New Roman" w:cs="Times New Roman"/>
          <w:color w:val="000000" w:themeColor="text1"/>
        </w:rPr>
        <w:t>7</w:t>
      </w:r>
      <w:r w:rsidR="00C82145" w:rsidRPr="004D4D3A">
        <w:rPr>
          <w:rFonts w:ascii="Times New Roman" w:hAnsi="Times New Roman" w:cs="Times New Roman"/>
          <w:color w:val="000000" w:themeColor="text1"/>
        </w:rPr>
        <w:t>)</w:t>
      </w:r>
      <w:r w:rsidR="005870D8" w:rsidRPr="004D4D3A">
        <w:rPr>
          <w:rFonts w:ascii="Times New Roman" w:hAnsi="Times New Roman" w:cs="Times New Roman"/>
          <w:color w:val="000000" w:themeColor="text1"/>
        </w:rPr>
        <w:t xml:space="preserve">. </w:t>
      </w:r>
      <w:r w:rsidR="00E818DE" w:rsidRPr="004D4D3A">
        <w:rPr>
          <w:rFonts w:ascii="Times New Roman" w:hAnsi="Times New Roman" w:cs="Times New Roman"/>
          <w:color w:val="000000" w:themeColor="text1"/>
        </w:rPr>
        <w:t>F</w:t>
      </w:r>
      <w:r w:rsidR="005870D8" w:rsidRPr="004D4D3A">
        <w:rPr>
          <w:rFonts w:ascii="Times New Roman" w:hAnsi="Times New Roman" w:cs="Times New Roman"/>
          <w:color w:val="000000" w:themeColor="text1"/>
        </w:rPr>
        <w:t>irms in China</w:t>
      </w:r>
      <w:r w:rsidR="00AE4178" w:rsidRPr="004D4D3A">
        <w:rPr>
          <w:rFonts w:ascii="Times New Roman" w:hAnsi="Times New Roman" w:cs="Times New Roman"/>
          <w:color w:val="000000" w:themeColor="text1"/>
        </w:rPr>
        <w:t xml:space="preserve"> can</w:t>
      </w:r>
      <w:r w:rsidR="005870D8" w:rsidRPr="004D4D3A">
        <w:rPr>
          <w:rFonts w:ascii="Times New Roman" w:hAnsi="Times New Roman" w:cs="Times New Roman"/>
          <w:color w:val="000000" w:themeColor="text1"/>
        </w:rPr>
        <w:t xml:space="preserve"> successfully pressure audit firms into removing non-acquiescent partners in order to prevent the issuance of MAOs (Chen et al., 2016). </w:t>
      </w:r>
      <w:r w:rsidR="00537DD2" w:rsidRPr="004D4D3A">
        <w:rPr>
          <w:rFonts w:ascii="Times New Roman" w:hAnsi="Times New Roman" w:cs="Times New Roman"/>
          <w:color w:val="000000" w:themeColor="text1"/>
        </w:rPr>
        <w:t xml:space="preserve">Taken together, </w:t>
      </w:r>
      <w:r w:rsidR="00026AFD" w:rsidRPr="004D4D3A">
        <w:rPr>
          <w:rFonts w:ascii="Times New Roman" w:hAnsi="Times New Roman" w:cs="Times New Roman"/>
          <w:color w:val="000000" w:themeColor="text1"/>
        </w:rPr>
        <w:t xml:space="preserve">I argue that </w:t>
      </w:r>
      <w:r w:rsidR="00580D3C" w:rsidRPr="004D4D3A">
        <w:rPr>
          <w:rFonts w:ascii="Times New Roman" w:hAnsi="Times New Roman" w:cs="Times New Roman"/>
          <w:color w:val="000000" w:themeColor="text1"/>
        </w:rPr>
        <w:t xml:space="preserve">firms </w:t>
      </w:r>
      <w:r w:rsidR="004E72A1" w:rsidRPr="004D4D3A">
        <w:rPr>
          <w:rFonts w:ascii="Times New Roman" w:hAnsi="Times New Roman" w:cs="Times New Roman"/>
          <w:color w:val="000000" w:themeColor="text1"/>
        </w:rPr>
        <w:t>conduct</w:t>
      </w:r>
      <w:r w:rsidR="00C318AC">
        <w:rPr>
          <w:rFonts w:ascii="Times New Roman" w:hAnsi="Times New Roman" w:cs="Times New Roman"/>
          <w:color w:val="000000" w:themeColor="text1"/>
        </w:rPr>
        <w:t>ing</w:t>
      </w:r>
      <w:r w:rsidR="004E72A1" w:rsidRPr="004D4D3A">
        <w:rPr>
          <w:rFonts w:ascii="Times New Roman" w:hAnsi="Times New Roman" w:cs="Times New Roman"/>
          <w:color w:val="000000" w:themeColor="text1"/>
        </w:rPr>
        <w:t xml:space="preserve"> more RPTs tend to </w:t>
      </w:r>
      <w:r w:rsidR="00743B7F" w:rsidRPr="004D4D3A">
        <w:rPr>
          <w:rFonts w:ascii="Times New Roman" w:hAnsi="Times New Roman" w:cs="Times New Roman"/>
          <w:color w:val="000000" w:themeColor="text1"/>
        </w:rPr>
        <w:t xml:space="preserve">affect </w:t>
      </w:r>
      <w:r w:rsidR="00C318AC">
        <w:rPr>
          <w:rFonts w:ascii="Times New Roman" w:hAnsi="Times New Roman" w:cs="Times New Roman"/>
          <w:color w:val="000000" w:themeColor="text1"/>
        </w:rPr>
        <w:t>their</w:t>
      </w:r>
      <w:r w:rsidR="00613D58" w:rsidRPr="004D4D3A">
        <w:rPr>
          <w:rFonts w:ascii="Times New Roman" w:hAnsi="Times New Roman" w:cs="Times New Roman"/>
          <w:color w:val="000000" w:themeColor="text1"/>
        </w:rPr>
        <w:t xml:space="preserve"> </w:t>
      </w:r>
      <w:r w:rsidR="00743B7F" w:rsidRPr="004D4D3A">
        <w:rPr>
          <w:rFonts w:ascii="Times New Roman" w:hAnsi="Times New Roman" w:cs="Times New Roman"/>
          <w:color w:val="000000" w:themeColor="text1"/>
        </w:rPr>
        <w:t>audit firms</w:t>
      </w:r>
      <w:r w:rsidR="00470844">
        <w:rPr>
          <w:rFonts w:ascii="Times New Roman" w:hAnsi="Times New Roman" w:cs="Times New Roman"/>
          <w:color w:val="000000" w:themeColor="text1"/>
        </w:rPr>
        <w:t>’</w:t>
      </w:r>
      <w:r w:rsidR="00743B7F" w:rsidRPr="004D4D3A">
        <w:rPr>
          <w:rFonts w:ascii="Times New Roman" w:hAnsi="Times New Roman" w:cs="Times New Roman"/>
          <w:color w:val="000000" w:themeColor="text1"/>
        </w:rPr>
        <w:t xml:space="preserve"> partner </w:t>
      </w:r>
      <w:r w:rsidR="00CF2A6F" w:rsidRPr="004D4D3A">
        <w:rPr>
          <w:rFonts w:ascii="Times New Roman" w:hAnsi="Times New Roman" w:cs="Times New Roman"/>
          <w:color w:val="000000" w:themeColor="text1"/>
        </w:rPr>
        <w:t xml:space="preserve">assignment </w:t>
      </w:r>
      <w:r w:rsidR="00743B7F" w:rsidRPr="004D4D3A">
        <w:rPr>
          <w:rFonts w:ascii="Times New Roman" w:hAnsi="Times New Roman" w:cs="Times New Roman"/>
          <w:color w:val="000000" w:themeColor="text1"/>
        </w:rPr>
        <w:t>decision</w:t>
      </w:r>
      <w:r w:rsidR="00405C49" w:rsidRPr="004D4D3A">
        <w:rPr>
          <w:rFonts w:ascii="Times New Roman" w:hAnsi="Times New Roman" w:cs="Times New Roman"/>
          <w:color w:val="000000" w:themeColor="text1"/>
        </w:rPr>
        <w:t>,</w:t>
      </w:r>
      <w:r w:rsidR="00743B7F" w:rsidRPr="004D4D3A">
        <w:rPr>
          <w:rFonts w:ascii="Times New Roman" w:hAnsi="Times New Roman" w:cs="Times New Roman"/>
          <w:color w:val="000000" w:themeColor="text1"/>
        </w:rPr>
        <w:t xml:space="preserve"> </w:t>
      </w:r>
      <w:r w:rsidR="00C421FF">
        <w:rPr>
          <w:rFonts w:ascii="Times New Roman" w:hAnsi="Times New Roman" w:cs="Times New Roman"/>
          <w:color w:val="000000" w:themeColor="text1"/>
        </w:rPr>
        <w:t xml:space="preserve">towards </w:t>
      </w:r>
      <w:r w:rsidR="00743B7F" w:rsidRPr="004D4D3A">
        <w:rPr>
          <w:rFonts w:ascii="Times New Roman" w:hAnsi="Times New Roman" w:cs="Times New Roman"/>
          <w:color w:val="000000" w:themeColor="text1"/>
        </w:rPr>
        <w:t>more pliable partner</w:t>
      </w:r>
      <w:r w:rsidR="005A655C">
        <w:rPr>
          <w:rFonts w:ascii="Times New Roman" w:hAnsi="Times New Roman" w:cs="Times New Roman"/>
          <w:color w:val="000000" w:themeColor="text1"/>
        </w:rPr>
        <w:t>s</w:t>
      </w:r>
      <w:r w:rsidR="00743B7F" w:rsidRPr="004D4D3A">
        <w:rPr>
          <w:rFonts w:ascii="Times New Roman" w:hAnsi="Times New Roman" w:cs="Times New Roman"/>
          <w:color w:val="000000" w:themeColor="text1"/>
        </w:rPr>
        <w:t xml:space="preserve"> </w:t>
      </w:r>
      <w:r w:rsidR="00C421FF">
        <w:rPr>
          <w:rFonts w:ascii="Times New Roman" w:hAnsi="Times New Roman" w:cs="Times New Roman"/>
          <w:color w:val="000000" w:themeColor="text1"/>
        </w:rPr>
        <w:t xml:space="preserve">who are liable to issues </w:t>
      </w:r>
      <w:r w:rsidR="00CF2A6F" w:rsidRPr="004D4D3A">
        <w:rPr>
          <w:rFonts w:ascii="Times New Roman" w:hAnsi="Times New Roman" w:cs="Times New Roman"/>
          <w:color w:val="000000" w:themeColor="text1"/>
        </w:rPr>
        <w:t>favorable audit opinions</w:t>
      </w:r>
      <w:r w:rsidR="00CC50E1" w:rsidRPr="004D4D3A">
        <w:rPr>
          <w:rFonts w:ascii="Times New Roman" w:hAnsi="Times New Roman" w:cs="Times New Roman"/>
          <w:color w:val="000000" w:themeColor="text1"/>
        </w:rPr>
        <w:t>. The research hypothesis is as follows:</w:t>
      </w:r>
    </w:p>
    <w:p w14:paraId="32BAEA52" w14:textId="77777777" w:rsidR="00CC50E1" w:rsidRPr="004D4D3A" w:rsidRDefault="00CC50E1" w:rsidP="00CC50E1">
      <w:pPr>
        <w:spacing w:line="400" w:lineRule="exact"/>
        <w:rPr>
          <w:rFonts w:ascii="Times New Roman" w:hAnsi="Times New Roman" w:cs="Times New Roman"/>
          <w:color w:val="000000" w:themeColor="text1"/>
        </w:rPr>
      </w:pPr>
    </w:p>
    <w:p w14:paraId="47BC19DD" w14:textId="7484D499" w:rsidR="00CC50E1" w:rsidRPr="004D4D3A" w:rsidRDefault="00CC50E1" w:rsidP="00CC50E1">
      <w:pPr>
        <w:spacing w:line="400" w:lineRule="exact"/>
        <w:rPr>
          <w:rFonts w:ascii="Times New Roman" w:hAnsi="Times New Roman" w:cs="Times New Roman"/>
          <w:color w:val="000000" w:themeColor="text1"/>
        </w:rPr>
      </w:pPr>
      <w:r w:rsidRPr="004D4D3A">
        <w:rPr>
          <w:rFonts w:ascii="Times New Roman" w:hAnsi="Times New Roman" w:cs="Times New Roman"/>
          <w:color w:val="000000" w:themeColor="text1"/>
        </w:rPr>
        <w:t xml:space="preserve">Hypothesis 1: </w:t>
      </w:r>
      <w:r w:rsidR="005E4AE4" w:rsidRPr="004D4D3A">
        <w:rPr>
          <w:rFonts w:ascii="Times New Roman" w:hAnsi="Times New Roman" w:cs="Times New Roman"/>
          <w:color w:val="000000" w:themeColor="text1"/>
        </w:rPr>
        <w:t>F</w:t>
      </w:r>
      <w:r w:rsidRPr="004D4D3A">
        <w:rPr>
          <w:rFonts w:ascii="Times New Roman" w:hAnsi="Times New Roman" w:cs="Times New Roman"/>
          <w:color w:val="000000" w:themeColor="text1"/>
        </w:rPr>
        <w:t xml:space="preserve">irms with more RPTs are </w:t>
      </w:r>
      <w:r w:rsidR="00342275">
        <w:rPr>
          <w:rFonts w:ascii="Times New Roman" w:hAnsi="Times New Roman" w:cs="Times New Roman"/>
          <w:color w:val="000000" w:themeColor="text1"/>
        </w:rPr>
        <w:t xml:space="preserve">more </w:t>
      </w:r>
      <w:r w:rsidRPr="004D4D3A">
        <w:rPr>
          <w:rFonts w:ascii="Times New Roman" w:hAnsi="Times New Roman" w:cs="Times New Roman"/>
          <w:color w:val="000000" w:themeColor="text1"/>
        </w:rPr>
        <w:t>likely to succeed in partner-</w:t>
      </w:r>
      <w:r w:rsidR="00D95349" w:rsidRPr="004D4D3A">
        <w:rPr>
          <w:rFonts w:ascii="Times New Roman" w:hAnsi="Times New Roman" w:cs="Times New Roman"/>
          <w:color w:val="000000" w:themeColor="text1"/>
        </w:rPr>
        <w:t>level audit opinion shopping</w:t>
      </w:r>
      <w:r w:rsidR="005A655C">
        <w:rPr>
          <w:rFonts w:ascii="Times New Roman" w:hAnsi="Times New Roman" w:cs="Times New Roman"/>
          <w:color w:val="000000" w:themeColor="text1"/>
        </w:rPr>
        <w:t>.</w:t>
      </w:r>
    </w:p>
    <w:p w14:paraId="742C9B2D" w14:textId="77777777" w:rsidR="00382F26" w:rsidRPr="004D4D3A" w:rsidRDefault="00382F26" w:rsidP="00A46D08">
      <w:pPr>
        <w:spacing w:line="400" w:lineRule="exact"/>
        <w:rPr>
          <w:rFonts w:ascii="Times New Roman" w:hAnsi="Times New Roman" w:cs="Times New Roman"/>
          <w:color w:val="000000" w:themeColor="text1"/>
        </w:rPr>
      </w:pPr>
    </w:p>
    <w:p w14:paraId="27460474" w14:textId="7132503D" w:rsidR="00EB7254" w:rsidRPr="004D4D3A" w:rsidRDefault="00695486" w:rsidP="00A46D08">
      <w:pPr>
        <w:spacing w:line="400" w:lineRule="exact"/>
        <w:rPr>
          <w:rFonts w:ascii="Times New Roman" w:eastAsia="標楷體" w:hAnsi="Times New Roman" w:cs="Times New Roman"/>
          <w:b/>
          <w:color w:val="000000" w:themeColor="text1"/>
          <w:sz w:val="28"/>
          <w:szCs w:val="28"/>
        </w:rPr>
      </w:pPr>
      <w:r w:rsidRPr="004D4D3A">
        <w:rPr>
          <w:rFonts w:ascii="Times New Roman" w:eastAsia="標楷體" w:hAnsi="Times New Roman" w:cs="Times New Roman"/>
          <w:b/>
          <w:color w:val="000000" w:themeColor="text1"/>
          <w:sz w:val="28"/>
          <w:szCs w:val="28"/>
        </w:rPr>
        <w:t>3</w:t>
      </w:r>
      <w:r w:rsidR="00EB7254" w:rsidRPr="004D4D3A">
        <w:rPr>
          <w:rFonts w:ascii="Times New Roman" w:eastAsia="標楷體" w:hAnsi="Times New Roman" w:cs="Times New Roman"/>
          <w:b/>
          <w:color w:val="000000" w:themeColor="text1"/>
          <w:sz w:val="28"/>
          <w:szCs w:val="28"/>
        </w:rPr>
        <w:t xml:space="preserve">. </w:t>
      </w:r>
      <w:r w:rsidR="00954359" w:rsidRPr="004D4D3A">
        <w:rPr>
          <w:rFonts w:ascii="Times New Roman" w:eastAsia="標楷體" w:hAnsi="Times New Roman" w:cs="Times New Roman"/>
          <w:b/>
          <w:color w:val="000000" w:themeColor="text1"/>
          <w:sz w:val="28"/>
          <w:szCs w:val="28"/>
        </w:rPr>
        <w:t>Methodology</w:t>
      </w:r>
    </w:p>
    <w:p w14:paraId="44258FE9" w14:textId="77777777" w:rsidR="00C86F37" w:rsidRPr="004D4D3A" w:rsidRDefault="00695486" w:rsidP="00A46D08">
      <w:pPr>
        <w:spacing w:line="400" w:lineRule="exact"/>
        <w:rPr>
          <w:rFonts w:ascii="Times New Roman" w:eastAsia="標楷體" w:hAnsi="Times New Roman" w:cs="Times New Roman"/>
          <w:b/>
          <w:color w:val="000000" w:themeColor="text1"/>
        </w:rPr>
      </w:pPr>
      <w:r w:rsidRPr="004D4D3A">
        <w:rPr>
          <w:rFonts w:ascii="Times New Roman" w:eastAsia="標楷體" w:hAnsi="Times New Roman" w:cs="Times New Roman"/>
          <w:b/>
          <w:color w:val="000000" w:themeColor="text1"/>
        </w:rPr>
        <w:t>3.1</w:t>
      </w:r>
      <w:r w:rsidR="00C86F37" w:rsidRPr="004D4D3A">
        <w:rPr>
          <w:rFonts w:ascii="Times New Roman" w:eastAsia="標楷體" w:hAnsi="Times New Roman" w:cs="Times New Roman"/>
          <w:b/>
          <w:color w:val="000000" w:themeColor="text1"/>
        </w:rPr>
        <w:t xml:space="preserve"> Measuring opinion shopping</w:t>
      </w:r>
    </w:p>
    <w:p w14:paraId="700EB934" w14:textId="525C4805" w:rsidR="009307E3" w:rsidRPr="004D4D3A" w:rsidRDefault="009307E3" w:rsidP="009307E3">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Following </w:t>
      </w:r>
      <w:r w:rsidR="00E91F69" w:rsidRPr="004D4D3A">
        <w:rPr>
          <w:rFonts w:ascii="Times New Roman" w:hAnsi="Times New Roman" w:cs="Times New Roman"/>
          <w:color w:val="000000" w:themeColor="text1"/>
        </w:rPr>
        <w:t>pr</w:t>
      </w:r>
      <w:r w:rsidR="00613D58" w:rsidRPr="004D4D3A">
        <w:rPr>
          <w:rFonts w:ascii="Times New Roman" w:hAnsi="Times New Roman" w:cs="Times New Roman"/>
          <w:color w:val="000000" w:themeColor="text1"/>
        </w:rPr>
        <w:t>evious</w:t>
      </w:r>
      <w:r w:rsidR="00E91F69" w:rsidRPr="004D4D3A">
        <w:rPr>
          <w:rFonts w:ascii="Times New Roman" w:hAnsi="Times New Roman" w:cs="Times New Roman"/>
          <w:color w:val="000000" w:themeColor="text1"/>
        </w:rPr>
        <w:t xml:space="preserve"> research (e.g., </w:t>
      </w:r>
      <w:r w:rsidRPr="004D4D3A">
        <w:rPr>
          <w:rFonts w:ascii="Times New Roman" w:hAnsi="Times New Roman" w:cs="Times New Roman"/>
          <w:color w:val="000000" w:themeColor="text1"/>
        </w:rPr>
        <w:t>Lennox</w:t>
      </w:r>
      <w:r w:rsidR="00E91F69" w:rsidRPr="004D4D3A">
        <w:rPr>
          <w:rFonts w:ascii="Times New Roman" w:hAnsi="Times New Roman" w:cs="Times New Roman"/>
          <w:color w:val="000000" w:themeColor="text1"/>
        </w:rPr>
        <w:t xml:space="preserve">, </w:t>
      </w:r>
      <w:r w:rsidRPr="004D4D3A">
        <w:rPr>
          <w:rFonts w:ascii="Times New Roman" w:hAnsi="Times New Roman" w:cs="Times New Roman"/>
          <w:color w:val="000000" w:themeColor="text1"/>
        </w:rPr>
        <w:t>2000</w:t>
      </w:r>
      <w:r w:rsidR="00E91F69" w:rsidRPr="004D4D3A">
        <w:rPr>
          <w:rFonts w:ascii="Times New Roman" w:hAnsi="Times New Roman" w:cs="Times New Roman"/>
          <w:color w:val="000000" w:themeColor="text1"/>
        </w:rPr>
        <w:t xml:space="preserve">; </w:t>
      </w:r>
      <w:r w:rsidRPr="004D4D3A">
        <w:rPr>
          <w:rFonts w:ascii="Times New Roman" w:hAnsi="Times New Roman" w:cs="Times New Roman"/>
          <w:color w:val="000000" w:themeColor="text1"/>
        </w:rPr>
        <w:t>Chen et al.</w:t>
      </w:r>
      <w:r w:rsidR="00E91F69" w:rsidRPr="004D4D3A">
        <w:rPr>
          <w:rFonts w:ascii="Times New Roman" w:hAnsi="Times New Roman" w:cs="Times New Roman"/>
          <w:color w:val="000000" w:themeColor="text1"/>
        </w:rPr>
        <w:t>,</w:t>
      </w:r>
      <w:r w:rsidRPr="004D4D3A">
        <w:rPr>
          <w:rFonts w:ascii="Times New Roman" w:hAnsi="Times New Roman" w:cs="Times New Roman"/>
          <w:color w:val="000000" w:themeColor="text1"/>
        </w:rPr>
        <w:t xml:space="preserve"> 2006), I define partner–level opinion shopping (</w:t>
      </w:r>
      <w:r w:rsidRPr="004D4D3A">
        <w:rPr>
          <w:rFonts w:ascii="Times New Roman" w:hAnsi="Times New Roman" w:cs="Times New Roman"/>
          <w:i/>
          <w:color w:val="000000" w:themeColor="text1"/>
        </w:rPr>
        <w:t>PSHOP</w:t>
      </w:r>
      <w:r w:rsidRPr="004D4D3A">
        <w:rPr>
          <w:rFonts w:ascii="Times New Roman" w:hAnsi="Times New Roman" w:cs="Times New Roman"/>
          <w:color w:val="000000" w:themeColor="text1"/>
        </w:rPr>
        <w:t xml:space="preserve">) as the difference </w:t>
      </w:r>
      <w:r w:rsidR="00C421FF">
        <w:rPr>
          <w:rFonts w:ascii="Times New Roman" w:hAnsi="Times New Roman" w:cs="Times New Roman"/>
          <w:color w:val="000000" w:themeColor="text1"/>
        </w:rPr>
        <w:t xml:space="preserve">between </w:t>
      </w:r>
      <w:r w:rsidRPr="004D4D3A">
        <w:rPr>
          <w:rFonts w:ascii="Times New Roman" w:hAnsi="Times New Roman" w:cs="Times New Roman"/>
          <w:color w:val="000000" w:themeColor="text1"/>
        </w:rPr>
        <w:t xml:space="preserve">the client’s predicted probability of receiving an MAO conditioned to the switching and the non-switching partner scenarios. Based on previous studies (e.g., Chen et al., 2000; Chan et al., 2006; Chan and Wu, 2011; Firth et al., 2012; Chen et al., 2016), I include </w:t>
      </w:r>
      <w:r w:rsidR="00C463FD">
        <w:rPr>
          <w:rFonts w:ascii="Times New Roman" w:hAnsi="Times New Roman" w:cs="Times New Roman"/>
          <w:color w:val="000000" w:themeColor="text1"/>
        </w:rPr>
        <w:t xml:space="preserve">a series of </w:t>
      </w:r>
      <w:r w:rsidRPr="004D4D3A">
        <w:rPr>
          <w:rFonts w:ascii="Times New Roman" w:hAnsi="Times New Roman" w:cs="Times New Roman"/>
          <w:color w:val="000000" w:themeColor="text1"/>
        </w:rPr>
        <w:t>client firm characteristics that may affect the auditors’ propensity to issue MAOs, including partner switch (</w:t>
      </w:r>
      <w:r w:rsidRPr="004D4D3A">
        <w:rPr>
          <w:rFonts w:ascii="Times New Roman" w:hAnsi="Times New Roman" w:cs="Times New Roman"/>
          <w:i/>
          <w:color w:val="000000" w:themeColor="text1"/>
        </w:rPr>
        <w:t>PSWITCH</w:t>
      </w:r>
      <w:r w:rsidRPr="004D4D3A">
        <w:rPr>
          <w:rFonts w:ascii="Times New Roman" w:hAnsi="Times New Roman" w:cs="Times New Roman"/>
          <w:color w:val="000000" w:themeColor="text1"/>
        </w:rPr>
        <w:t>), prior-year audit opinion (</w:t>
      </w:r>
      <w:r w:rsidRPr="004D4D3A">
        <w:rPr>
          <w:rFonts w:ascii="Times New Roman" w:hAnsi="Times New Roman" w:cs="Times New Roman"/>
          <w:i/>
          <w:color w:val="000000" w:themeColor="text1"/>
        </w:rPr>
        <w:t>L</w:t>
      </w:r>
      <w:r w:rsidRPr="004D4D3A">
        <w:rPr>
          <w:rFonts w:ascii="Times New Roman" w:hAnsi="Times New Roman" w:cs="Times New Roman"/>
          <w:color w:val="000000" w:themeColor="text1"/>
        </w:rPr>
        <w:t>1</w:t>
      </w:r>
      <w:r w:rsidRPr="004D4D3A">
        <w:rPr>
          <w:rFonts w:ascii="Times New Roman" w:hAnsi="Times New Roman" w:cs="Times New Roman"/>
          <w:i/>
          <w:color w:val="000000" w:themeColor="text1"/>
        </w:rPr>
        <w:t>MAO</w:t>
      </w:r>
      <w:r w:rsidRPr="004D4D3A">
        <w:rPr>
          <w:rFonts w:ascii="Times New Roman" w:hAnsi="Times New Roman" w:cs="Times New Roman"/>
          <w:color w:val="000000" w:themeColor="text1"/>
        </w:rPr>
        <w:t>), profitability (</w:t>
      </w:r>
      <w:r w:rsidRPr="004D4D3A">
        <w:rPr>
          <w:rFonts w:ascii="Times New Roman" w:hAnsi="Times New Roman" w:cs="Times New Roman"/>
          <w:i/>
          <w:color w:val="000000" w:themeColor="text1"/>
        </w:rPr>
        <w:t>ROA</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LOSS</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CFO</w:t>
      </w:r>
      <w:r w:rsidRPr="004D4D3A">
        <w:rPr>
          <w:rFonts w:ascii="Times New Roman" w:hAnsi="Times New Roman" w:cs="Times New Roman"/>
          <w:color w:val="000000" w:themeColor="text1"/>
        </w:rPr>
        <w:t>), financial risk (</w:t>
      </w:r>
      <w:r w:rsidRPr="004D4D3A">
        <w:rPr>
          <w:rFonts w:ascii="Times New Roman" w:hAnsi="Times New Roman" w:cs="Times New Roman"/>
          <w:i/>
          <w:color w:val="000000" w:themeColor="text1"/>
        </w:rPr>
        <w:t>LEV</w:t>
      </w:r>
      <w:r w:rsidRPr="004D4D3A">
        <w:rPr>
          <w:rFonts w:ascii="Times New Roman" w:hAnsi="Times New Roman" w:cs="Times New Roman"/>
          <w:color w:val="000000" w:themeColor="text1"/>
        </w:rPr>
        <w:t xml:space="preserve">, </w:t>
      </w:r>
      <w:r w:rsidR="00AE4A72" w:rsidRPr="004D4D3A">
        <w:rPr>
          <w:rFonts w:ascii="Times New Roman" w:hAnsi="Times New Roman" w:cs="Times New Roman"/>
          <w:i/>
          <w:color w:val="000000" w:themeColor="text1"/>
        </w:rPr>
        <w:t>OTHAR</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CR</w:t>
      </w:r>
      <w:r w:rsidRPr="004D4D3A">
        <w:rPr>
          <w:rFonts w:ascii="Times New Roman" w:hAnsi="Times New Roman" w:cs="Times New Roman"/>
          <w:color w:val="000000" w:themeColor="text1"/>
        </w:rPr>
        <w:t>), client size and age (</w:t>
      </w:r>
      <w:r w:rsidRPr="004D4D3A">
        <w:rPr>
          <w:rFonts w:ascii="Times New Roman" w:hAnsi="Times New Roman" w:cs="Times New Roman"/>
          <w:i/>
          <w:color w:val="000000" w:themeColor="text1"/>
        </w:rPr>
        <w:t>SIZE</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AGE</w:t>
      </w:r>
      <w:r w:rsidRPr="004D4D3A">
        <w:rPr>
          <w:rFonts w:ascii="Times New Roman" w:hAnsi="Times New Roman" w:cs="Times New Roman"/>
          <w:color w:val="000000" w:themeColor="text1"/>
        </w:rPr>
        <w:t>), accounts receivable and inventories intensiveness (</w:t>
      </w:r>
      <w:r w:rsidRPr="004D4D3A">
        <w:rPr>
          <w:rFonts w:ascii="Times New Roman" w:hAnsi="Times New Roman" w:cs="Times New Roman"/>
          <w:i/>
          <w:color w:val="000000" w:themeColor="text1"/>
        </w:rPr>
        <w:t>ARINV</w:t>
      </w:r>
      <w:r w:rsidRPr="004D4D3A">
        <w:rPr>
          <w:rFonts w:ascii="Times New Roman" w:hAnsi="Times New Roman" w:cs="Times New Roman"/>
          <w:color w:val="000000" w:themeColor="text1"/>
        </w:rPr>
        <w:t>), and stock performance (</w:t>
      </w:r>
      <w:r w:rsidR="00AA3A00" w:rsidRPr="004D4D3A">
        <w:rPr>
          <w:rFonts w:ascii="Times New Roman" w:hAnsi="Times New Roman" w:cs="Times New Roman"/>
          <w:i/>
          <w:color w:val="000000" w:themeColor="text1"/>
        </w:rPr>
        <w:t>MAR</w:t>
      </w:r>
      <w:r w:rsidRPr="004D4D3A">
        <w:rPr>
          <w:rFonts w:ascii="Times New Roman" w:hAnsi="Times New Roman" w:cs="Times New Roman"/>
          <w:color w:val="000000" w:themeColor="text1"/>
        </w:rPr>
        <w:t xml:space="preserve">). Following Lennox (2000), I also include interaction terms between </w:t>
      </w:r>
      <w:r w:rsidRPr="004D4D3A">
        <w:rPr>
          <w:rFonts w:ascii="Times New Roman" w:hAnsi="Times New Roman" w:cs="Times New Roman"/>
          <w:i/>
          <w:color w:val="000000" w:themeColor="text1"/>
        </w:rPr>
        <w:t>PSWITCH</w:t>
      </w:r>
      <w:r w:rsidRPr="004D4D3A">
        <w:rPr>
          <w:rFonts w:ascii="Times New Roman" w:hAnsi="Times New Roman" w:cs="Times New Roman"/>
          <w:color w:val="000000" w:themeColor="text1"/>
        </w:rPr>
        <w:t xml:space="preserve"> and each of </w:t>
      </w:r>
      <w:r w:rsidR="00C463FD">
        <w:rPr>
          <w:rFonts w:ascii="Times New Roman" w:hAnsi="Times New Roman" w:cs="Times New Roman"/>
          <w:color w:val="000000" w:themeColor="text1"/>
        </w:rPr>
        <w:t xml:space="preserve">the </w:t>
      </w:r>
      <w:r w:rsidRPr="004D4D3A">
        <w:rPr>
          <w:rFonts w:ascii="Times New Roman" w:hAnsi="Times New Roman" w:cs="Times New Roman"/>
          <w:color w:val="000000" w:themeColor="text1"/>
        </w:rPr>
        <w:t xml:space="preserve">other variables to capture the difference in coefficients </w:t>
      </w:r>
      <w:r w:rsidR="00C463FD">
        <w:rPr>
          <w:rFonts w:ascii="Times New Roman" w:hAnsi="Times New Roman" w:cs="Times New Roman"/>
          <w:color w:val="000000" w:themeColor="text1"/>
        </w:rPr>
        <w:t xml:space="preserve">of the </w:t>
      </w:r>
      <w:r w:rsidRPr="004D4D3A">
        <w:rPr>
          <w:rFonts w:ascii="Times New Roman" w:hAnsi="Times New Roman" w:cs="Times New Roman"/>
          <w:color w:val="000000" w:themeColor="text1"/>
        </w:rPr>
        <w:t xml:space="preserve">explanatory variables between firms with and without a partner switch. </w:t>
      </w:r>
      <w:r w:rsidR="00C463FD">
        <w:rPr>
          <w:rFonts w:ascii="Times New Roman" w:hAnsi="Times New Roman" w:cs="Times New Roman"/>
          <w:color w:val="000000" w:themeColor="text1"/>
        </w:rPr>
        <w:t xml:space="preserve">The following </w:t>
      </w:r>
      <w:proofErr w:type="spellStart"/>
      <w:r w:rsidR="00C463FD">
        <w:rPr>
          <w:rFonts w:ascii="Times New Roman" w:hAnsi="Times New Roman" w:cs="Times New Roman"/>
          <w:color w:val="000000" w:themeColor="text1"/>
        </w:rPr>
        <w:t>probit</w:t>
      </w:r>
      <w:proofErr w:type="spellEnd"/>
      <w:r w:rsidR="00C463FD">
        <w:rPr>
          <w:rFonts w:ascii="Times New Roman" w:hAnsi="Times New Roman" w:cs="Times New Roman"/>
          <w:color w:val="000000" w:themeColor="text1"/>
        </w:rPr>
        <w:t xml:space="preserve"> model predicts </w:t>
      </w:r>
      <w:r w:rsidRPr="004D4D3A">
        <w:rPr>
          <w:rFonts w:ascii="Times New Roman" w:hAnsi="Times New Roman" w:cs="Times New Roman"/>
          <w:color w:val="000000" w:themeColor="text1"/>
        </w:rPr>
        <w:t xml:space="preserve">the probability of </w:t>
      </w:r>
      <w:r w:rsidR="00613D58" w:rsidRPr="004D4D3A">
        <w:rPr>
          <w:rFonts w:ascii="Times New Roman" w:hAnsi="Times New Roman" w:cs="Times New Roman"/>
          <w:color w:val="000000" w:themeColor="text1"/>
        </w:rPr>
        <w:t>receiving an MAO</w:t>
      </w:r>
      <w:r w:rsidRPr="004D4D3A">
        <w:rPr>
          <w:rFonts w:ascii="Times New Roman" w:hAnsi="Times New Roman" w:cs="Times New Roman"/>
          <w:color w:val="000000" w:themeColor="text1"/>
        </w:rPr>
        <w:t xml:space="preserve"> in a given year:</w:t>
      </w:r>
    </w:p>
    <w:p w14:paraId="7FE3FEBE" w14:textId="2D8BF01F" w:rsidR="009307E3" w:rsidRPr="004D4D3A" w:rsidRDefault="00BD0BCC" w:rsidP="0097357E">
      <w:pPr>
        <w:pStyle w:val="MTDisplayEquation"/>
        <w:spacing w:beforeLines="50" w:before="180" w:afterLines="50" w:after="180"/>
        <w:rPr>
          <w:color w:val="000000" w:themeColor="text1"/>
        </w:rPr>
      </w:pPr>
      <w:r w:rsidRPr="004D4D3A">
        <w:rPr>
          <w:color w:val="000000" w:themeColor="text1"/>
          <w:position w:val="-144"/>
        </w:rPr>
        <w:object w:dxaOrig="8720" w:dyaOrig="3000" w14:anchorId="0BAC4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49.5pt" o:ole="">
            <v:imagedata r:id="rId8" o:title=""/>
          </v:shape>
          <o:OLEObject Type="Embed" ProgID="Equation.DSMT4" ShapeID="_x0000_i1025" DrawAspect="Content" ObjectID="_1629930778" r:id="rId9"/>
        </w:object>
      </w:r>
      <w:r w:rsidR="00797E83" w:rsidRPr="004D4D3A">
        <w:rPr>
          <w:color w:val="000000" w:themeColor="text1"/>
        </w:rPr>
        <w:tab/>
      </w:r>
      <w:r w:rsidR="009307E3" w:rsidRPr="004D4D3A">
        <w:rPr>
          <w:color w:val="000000" w:themeColor="text1"/>
        </w:rPr>
        <w:t>(1)</w:t>
      </w:r>
    </w:p>
    <w:p w14:paraId="68B0ACCB" w14:textId="77777777" w:rsidR="009307E3" w:rsidRPr="004D4D3A" w:rsidRDefault="009307E3" w:rsidP="009307E3">
      <w:pPr>
        <w:autoSpaceDE w:val="0"/>
        <w:autoSpaceDN w:val="0"/>
        <w:adjustRightInd w:val="0"/>
        <w:rPr>
          <w:rFonts w:ascii="Times New Roman" w:hAnsi="Times New Roman" w:cs="Times New Roman"/>
          <w:color w:val="000000" w:themeColor="text1"/>
        </w:rPr>
      </w:pPr>
      <w:proofErr w:type="gramStart"/>
      <w:r w:rsidRPr="004D4D3A">
        <w:rPr>
          <w:rFonts w:ascii="Times New Roman" w:hAnsi="Times New Roman" w:cs="Times New Roman"/>
          <w:color w:val="000000" w:themeColor="text1"/>
        </w:rPr>
        <w:t>where</w:t>
      </w:r>
      <w:proofErr w:type="gramEnd"/>
      <w:r w:rsidRPr="004D4D3A">
        <w:rPr>
          <w:rFonts w:ascii="Times New Roman" w:hAnsi="Times New Roman" w:cs="Times New Roman"/>
          <w:color w:val="000000" w:themeColor="text1"/>
        </w:rPr>
        <w:t xml:space="preserve"> for firm </w:t>
      </w:r>
      <w:proofErr w:type="spellStart"/>
      <w:r w:rsidRPr="004D4D3A">
        <w:rPr>
          <w:rFonts w:ascii="Times New Roman" w:hAnsi="Times New Roman" w:cs="Times New Roman"/>
          <w:i/>
          <w:color w:val="000000" w:themeColor="text1"/>
        </w:rPr>
        <w:t>i</w:t>
      </w:r>
      <w:proofErr w:type="spellEnd"/>
      <w:r w:rsidRPr="004D4D3A">
        <w:rPr>
          <w:rFonts w:ascii="Times New Roman" w:hAnsi="Times New Roman" w:cs="Times New Roman"/>
          <w:color w:val="000000" w:themeColor="text1"/>
        </w:rPr>
        <w:t xml:space="preserve"> in year </w:t>
      </w:r>
      <w:r w:rsidRPr="004D4D3A">
        <w:rPr>
          <w:rFonts w:ascii="Times New Roman" w:hAnsi="Times New Roman" w:cs="Times New Roman"/>
          <w:i/>
          <w:color w:val="000000" w:themeColor="text1"/>
        </w:rPr>
        <w:t>t</w:t>
      </w:r>
      <w:r w:rsidR="0087547B" w:rsidRPr="004D4D3A">
        <w:rPr>
          <w:rFonts w:ascii="Times New Roman" w:hAnsi="Times New Roman" w:cs="Times New Roman"/>
          <w:color w:val="000000" w:themeColor="text1"/>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68"/>
        <w:gridCol w:w="332"/>
        <w:gridCol w:w="7226"/>
      </w:tblGrid>
      <w:tr w:rsidR="004D4D3A" w:rsidRPr="004D4D3A" w14:paraId="4E8E1E7B" w14:textId="77777777" w:rsidTr="005B74A4">
        <w:tc>
          <w:tcPr>
            <w:tcW w:w="1475" w:type="dxa"/>
          </w:tcPr>
          <w:p w14:paraId="5CE1C5A1" w14:textId="77777777" w:rsidR="009307E3" w:rsidRPr="004D4D3A" w:rsidRDefault="009307E3" w:rsidP="006214D8">
            <w:pPr>
              <w:autoSpaceDE w:val="0"/>
              <w:autoSpaceDN w:val="0"/>
              <w:adjustRightInd w:val="0"/>
              <w:spacing w:line="320" w:lineRule="exact"/>
              <w:jc w:val="right"/>
              <w:rPr>
                <w:rFonts w:ascii="Times New Roman" w:hAnsi="Times New Roman" w:cs="Times New Roman"/>
                <w:color w:val="000000" w:themeColor="text1"/>
              </w:rPr>
            </w:pPr>
            <w:r w:rsidRPr="004D4D3A">
              <w:rPr>
                <w:rFonts w:ascii="Times New Roman" w:hAnsi="Times New Roman" w:cs="Times New Roman"/>
                <w:i/>
                <w:color w:val="000000" w:themeColor="text1"/>
              </w:rPr>
              <w:t>MAO</w:t>
            </w:r>
          </w:p>
        </w:tc>
        <w:tc>
          <w:tcPr>
            <w:tcW w:w="333" w:type="dxa"/>
          </w:tcPr>
          <w:p w14:paraId="5C67A22E"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0EC59FBF"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indicator variable that takes the value of 1 if the firm receives a modified audit opinion,</w:t>
            </w:r>
            <w:r w:rsidR="00A93B3C" w:rsidRPr="004D4D3A">
              <w:rPr>
                <w:rStyle w:val="aa"/>
                <w:rFonts w:ascii="Times New Roman" w:hAnsi="Times New Roman" w:cs="Times New Roman"/>
                <w:color w:val="000000" w:themeColor="text1"/>
              </w:rPr>
              <w:footnoteReference w:id="8"/>
            </w:r>
            <w:r w:rsidRPr="004D4D3A">
              <w:rPr>
                <w:rFonts w:ascii="Times New Roman" w:hAnsi="Times New Roman" w:cs="Times New Roman"/>
                <w:color w:val="000000" w:themeColor="text1"/>
              </w:rPr>
              <w:t xml:space="preserve"> and 0 otherwise;</w:t>
            </w:r>
          </w:p>
        </w:tc>
      </w:tr>
      <w:tr w:rsidR="004D4D3A" w:rsidRPr="004D4D3A" w14:paraId="4980D28F" w14:textId="77777777" w:rsidTr="005B74A4">
        <w:tc>
          <w:tcPr>
            <w:tcW w:w="1475" w:type="dxa"/>
          </w:tcPr>
          <w:p w14:paraId="3D342216"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PSWITCH</w:t>
            </w:r>
          </w:p>
        </w:tc>
        <w:tc>
          <w:tcPr>
            <w:tcW w:w="333" w:type="dxa"/>
          </w:tcPr>
          <w:p w14:paraId="140C71D3"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3C77583C"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indicator variable that takes the value of 1 if the firm is audit</w:t>
            </w:r>
            <w:r w:rsidR="00613D58" w:rsidRPr="004D4D3A">
              <w:rPr>
                <w:rFonts w:ascii="Times New Roman" w:hAnsi="Times New Roman" w:cs="Times New Roman"/>
                <w:color w:val="000000" w:themeColor="text1"/>
              </w:rPr>
              <w:t>ed</w:t>
            </w:r>
            <w:r w:rsidRPr="004D4D3A">
              <w:rPr>
                <w:rFonts w:ascii="Times New Roman" w:hAnsi="Times New Roman" w:cs="Times New Roman"/>
                <w:color w:val="000000" w:themeColor="text1"/>
              </w:rPr>
              <w:t xml:space="preserve"> by a new partner, and 0 otherwise;</w:t>
            </w:r>
          </w:p>
        </w:tc>
      </w:tr>
      <w:tr w:rsidR="004D4D3A" w:rsidRPr="004D4D3A" w14:paraId="0669372B" w14:textId="77777777" w:rsidTr="005B74A4">
        <w:tc>
          <w:tcPr>
            <w:tcW w:w="1475" w:type="dxa"/>
          </w:tcPr>
          <w:p w14:paraId="6E1A8CD7" w14:textId="77777777" w:rsidR="009307E3" w:rsidRPr="004D4D3A" w:rsidRDefault="009307E3" w:rsidP="006214D8">
            <w:pPr>
              <w:spacing w:line="320" w:lineRule="exact"/>
              <w:jc w:val="right"/>
              <w:rPr>
                <w:rFonts w:ascii="Times New Roman" w:hAnsi="Times New Roman" w:cs="Times New Roman"/>
                <w:color w:val="000000" w:themeColor="text1"/>
              </w:rPr>
            </w:pPr>
            <w:r w:rsidRPr="004D4D3A">
              <w:rPr>
                <w:rFonts w:ascii="Times New Roman" w:hAnsi="Times New Roman" w:cs="Times New Roman"/>
                <w:i/>
                <w:color w:val="000000" w:themeColor="text1"/>
              </w:rPr>
              <w:t>L</w:t>
            </w:r>
            <w:r w:rsidRPr="004D4D3A">
              <w:rPr>
                <w:rFonts w:ascii="Times New Roman" w:hAnsi="Times New Roman" w:cs="Times New Roman"/>
                <w:color w:val="000000" w:themeColor="text1"/>
              </w:rPr>
              <w:t>1</w:t>
            </w:r>
            <w:r w:rsidRPr="004D4D3A">
              <w:rPr>
                <w:rFonts w:ascii="Times New Roman" w:hAnsi="Times New Roman" w:cs="Times New Roman"/>
                <w:i/>
                <w:color w:val="000000" w:themeColor="text1"/>
              </w:rPr>
              <w:t>MAO</w:t>
            </w:r>
          </w:p>
        </w:tc>
        <w:tc>
          <w:tcPr>
            <w:tcW w:w="333" w:type="dxa"/>
          </w:tcPr>
          <w:p w14:paraId="0B9A0C98"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2FE1D9B1"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 xml:space="preserve">last year’s </w:t>
            </w:r>
            <w:r w:rsidRPr="004D4D3A">
              <w:rPr>
                <w:rFonts w:ascii="Times New Roman" w:hAnsi="Times New Roman" w:cs="Times New Roman"/>
                <w:i/>
                <w:color w:val="000000" w:themeColor="text1"/>
              </w:rPr>
              <w:t>MAO</w:t>
            </w:r>
            <w:r w:rsidRPr="004D4D3A">
              <w:rPr>
                <w:rFonts w:ascii="Times New Roman" w:hAnsi="Times New Roman" w:cs="Times New Roman"/>
                <w:color w:val="000000" w:themeColor="text1"/>
              </w:rPr>
              <w:t>;</w:t>
            </w:r>
          </w:p>
        </w:tc>
      </w:tr>
      <w:tr w:rsidR="004D4D3A" w:rsidRPr="004D4D3A" w14:paraId="7A10E40C" w14:textId="77777777" w:rsidTr="005B74A4">
        <w:tc>
          <w:tcPr>
            <w:tcW w:w="1475" w:type="dxa"/>
          </w:tcPr>
          <w:p w14:paraId="0D761443"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ROA</w:t>
            </w:r>
          </w:p>
        </w:tc>
        <w:tc>
          <w:tcPr>
            <w:tcW w:w="333" w:type="dxa"/>
          </w:tcPr>
          <w:p w14:paraId="05F40531"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7D77DAC6" w14:textId="6E9C1F89" w:rsidR="009307E3" w:rsidRPr="004D4D3A" w:rsidRDefault="00F06719"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 xml:space="preserve">net </w:t>
            </w:r>
            <w:r w:rsidR="009307E3" w:rsidRPr="004D4D3A">
              <w:rPr>
                <w:rFonts w:ascii="Times New Roman" w:hAnsi="Times New Roman" w:cs="Times New Roman"/>
                <w:color w:val="000000" w:themeColor="text1"/>
              </w:rPr>
              <w:t>income scaled by total assets;</w:t>
            </w:r>
          </w:p>
        </w:tc>
      </w:tr>
      <w:tr w:rsidR="004D4D3A" w:rsidRPr="004D4D3A" w14:paraId="173DB6C7" w14:textId="77777777" w:rsidTr="005B74A4">
        <w:tc>
          <w:tcPr>
            <w:tcW w:w="1475" w:type="dxa"/>
          </w:tcPr>
          <w:p w14:paraId="7509A5F4"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LOSS</w:t>
            </w:r>
          </w:p>
        </w:tc>
        <w:tc>
          <w:tcPr>
            <w:tcW w:w="333" w:type="dxa"/>
          </w:tcPr>
          <w:p w14:paraId="0E307CC0"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752E9602"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indicator variable that takes the value of 1 if the firm reports a loss for the year, and 0 otherwise;</w:t>
            </w:r>
          </w:p>
        </w:tc>
      </w:tr>
      <w:tr w:rsidR="004D4D3A" w:rsidRPr="004D4D3A" w14:paraId="2AC30F26" w14:textId="77777777" w:rsidTr="005B74A4">
        <w:tc>
          <w:tcPr>
            <w:tcW w:w="1475" w:type="dxa"/>
          </w:tcPr>
          <w:p w14:paraId="3599A112"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CFO</w:t>
            </w:r>
          </w:p>
        </w:tc>
        <w:tc>
          <w:tcPr>
            <w:tcW w:w="333" w:type="dxa"/>
          </w:tcPr>
          <w:p w14:paraId="61C512E4"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6072AF7C"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cash flow from operations scaled by total assets;</w:t>
            </w:r>
          </w:p>
        </w:tc>
      </w:tr>
      <w:tr w:rsidR="004D4D3A" w:rsidRPr="004D4D3A" w14:paraId="0A60166A" w14:textId="77777777" w:rsidTr="005B74A4">
        <w:tc>
          <w:tcPr>
            <w:tcW w:w="1475" w:type="dxa"/>
          </w:tcPr>
          <w:p w14:paraId="1828FC40"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LEV</w:t>
            </w:r>
          </w:p>
        </w:tc>
        <w:tc>
          <w:tcPr>
            <w:tcW w:w="333" w:type="dxa"/>
          </w:tcPr>
          <w:p w14:paraId="7761D5C0"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7F5210EB"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total liabilities divided by total assets;</w:t>
            </w:r>
          </w:p>
        </w:tc>
      </w:tr>
      <w:tr w:rsidR="004D4D3A" w:rsidRPr="004D4D3A" w14:paraId="635985F9" w14:textId="77777777" w:rsidTr="005B74A4">
        <w:tc>
          <w:tcPr>
            <w:tcW w:w="1475" w:type="dxa"/>
          </w:tcPr>
          <w:p w14:paraId="23488A8B" w14:textId="69BF45EF" w:rsidR="009307E3" w:rsidRPr="004D4D3A" w:rsidRDefault="00AE4A72" w:rsidP="00AE4A72">
            <w:pPr>
              <w:autoSpaceDE w:val="0"/>
              <w:autoSpaceDN w:val="0"/>
              <w:adjustRightInd w:val="0"/>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OTHAR</w:t>
            </w:r>
          </w:p>
        </w:tc>
        <w:tc>
          <w:tcPr>
            <w:tcW w:w="333" w:type="dxa"/>
          </w:tcPr>
          <w:p w14:paraId="30F7CC84"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2D6DAB83" w14:textId="323D2A19" w:rsidR="009307E3" w:rsidRPr="004D4D3A" w:rsidRDefault="00AE4A72" w:rsidP="00AE4A72">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 xml:space="preserve">other accounts receivable </w:t>
            </w:r>
            <w:r w:rsidR="009307E3" w:rsidRPr="004D4D3A">
              <w:rPr>
                <w:rFonts w:ascii="Times New Roman" w:hAnsi="Times New Roman" w:cs="Times New Roman"/>
                <w:color w:val="000000" w:themeColor="text1"/>
              </w:rPr>
              <w:t>scaled by total assets;</w:t>
            </w:r>
          </w:p>
        </w:tc>
      </w:tr>
      <w:tr w:rsidR="004D4D3A" w:rsidRPr="004D4D3A" w14:paraId="0CD7F8C5" w14:textId="77777777" w:rsidTr="005B74A4">
        <w:tc>
          <w:tcPr>
            <w:tcW w:w="1475" w:type="dxa"/>
          </w:tcPr>
          <w:p w14:paraId="7C7582EF"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CR</w:t>
            </w:r>
          </w:p>
        </w:tc>
        <w:tc>
          <w:tcPr>
            <w:tcW w:w="333" w:type="dxa"/>
          </w:tcPr>
          <w:p w14:paraId="432D1717"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33DBA865"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current assets divided by current liabilities;</w:t>
            </w:r>
          </w:p>
        </w:tc>
      </w:tr>
      <w:tr w:rsidR="004D4D3A" w:rsidRPr="004D4D3A" w14:paraId="0ADEA4CD" w14:textId="77777777" w:rsidTr="005B74A4">
        <w:tc>
          <w:tcPr>
            <w:tcW w:w="1475" w:type="dxa"/>
          </w:tcPr>
          <w:p w14:paraId="546F5B62"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SIZE</w:t>
            </w:r>
          </w:p>
        </w:tc>
        <w:tc>
          <w:tcPr>
            <w:tcW w:w="333" w:type="dxa"/>
          </w:tcPr>
          <w:p w14:paraId="4F1192D2"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703A626B"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natural log of total assets;</w:t>
            </w:r>
          </w:p>
        </w:tc>
      </w:tr>
      <w:tr w:rsidR="004D4D3A" w:rsidRPr="004D4D3A" w14:paraId="66A0101A" w14:textId="77777777" w:rsidTr="005B74A4">
        <w:tc>
          <w:tcPr>
            <w:tcW w:w="1475" w:type="dxa"/>
          </w:tcPr>
          <w:p w14:paraId="1A64FEC1"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ARINV</w:t>
            </w:r>
          </w:p>
        </w:tc>
        <w:tc>
          <w:tcPr>
            <w:tcW w:w="333" w:type="dxa"/>
          </w:tcPr>
          <w:p w14:paraId="2F8DE105"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70FE4B6A"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sum of accounts receivable and inventory divided by total assets;</w:t>
            </w:r>
          </w:p>
        </w:tc>
      </w:tr>
      <w:tr w:rsidR="004D4D3A" w:rsidRPr="004D4D3A" w14:paraId="62BA5A91" w14:textId="77777777" w:rsidTr="005B74A4">
        <w:tc>
          <w:tcPr>
            <w:tcW w:w="1475" w:type="dxa"/>
          </w:tcPr>
          <w:p w14:paraId="2596932F" w14:textId="77777777" w:rsidR="009307E3" w:rsidRPr="004D4D3A" w:rsidRDefault="009307E3"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AGE</w:t>
            </w:r>
          </w:p>
        </w:tc>
        <w:tc>
          <w:tcPr>
            <w:tcW w:w="333" w:type="dxa"/>
          </w:tcPr>
          <w:p w14:paraId="1C992E78"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3B987481" w14:textId="77777777"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number of years since the firm’s initial public offering;</w:t>
            </w:r>
          </w:p>
        </w:tc>
      </w:tr>
      <w:tr w:rsidR="004D4D3A" w:rsidRPr="004D4D3A" w14:paraId="7A309564" w14:textId="77777777" w:rsidTr="005B74A4">
        <w:tc>
          <w:tcPr>
            <w:tcW w:w="1475" w:type="dxa"/>
          </w:tcPr>
          <w:p w14:paraId="2231677C" w14:textId="22F4D5F0" w:rsidR="009307E3" w:rsidRPr="004D4D3A" w:rsidRDefault="00AA3A00" w:rsidP="006214D8">
            <w:pPr>
              <w:autoSpaceDE w:val="0"/>
              <w:autoSpaceDN w:val="0"/>
              <w:adjustRightInd w:val="0"/>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MAR</w:t>
            </w:r>
          </w:p>
        </w:tc>
        <w:tc>
          <w:tcPr>
            <w:tcW w:w="333" w:type="dxa"/>
          </w:tcPr>
          <w:p w14:paraId="5C5BCEB8" w14:textId="77777777" w:rsidR="009307E3" w:rsidRPr="004D4D3A" w:rsidRDefault="009307E3"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49165E68" w14:textId="6F84D752" w:rsidR="009307E3" w:rsidRPr="004D4D3A" w:rsidRDefault="009307E3"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market-adjusted stock return over the fiscal year</w:t>
            </w:r>
            <w:r w:rsidR="001B1F8E" w:rsidRPr="004D4D3A">
              <w:rPr>
                <w:rFonts w:ascii="Times New Roman" w:hAnsi="Times New Roman" w:cs="Times New Roman"/>
                <w:color w:val="000000" w:themeColor="text1"/>
              </w:rPr>
              <w:t>;</w:t>
            </w:r>
          </w:p>
        </w:tc>
      </w:tr>
      <w:tr w:rsidR="004D4D3A" w:rsidRPr="004D4D3A" w14:paraId="58B9843C" w14:textId="77777777" w:rsidTr="005B74A4">
        <w:tc>
          <w:tcPr>
            <w:tcW w:w="1475" w:type="dxa"/>
          </w:tcPr>
          <w:p w14:paraId="46511E17" w14:textId="6C611629" w:rsidR="001B1F8E" w:rsidRPr="004D4D3A" w:rsidRDefault="001B1F8E" w:rsidP="006214D8">
            <w:pPr>
              <w:autoSpaceDE w:val="0"/>
              <w:autoSpaceDN w:val="0"/>
              <w:adjustRightInd w:val="0"/>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Years</w:t>
            </w:r>
          </w:p>
        </w:tc>
        <w:tc>
          <w:tcPr>
            <w:tcW w:w="333" w:type="dxa"/>
          </w:tcPr>
          <w:p w14:paraId="30FC2888" w14:textId="228F3D4C" w:rsidR="001B1F8E" w:rsidRPr="004D4D3A" w:rsidRDefault="001B1F8E"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54ABAA85" w14:textId="52C6CBAF" w:rsidR="001B1F8E" w:rsidRPr="004D4D3A" w:rsidRDefault="001B1F8E"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year dummies;</w:t>
            </w:r>
          </w:p>
        </w:tc>
      </w:tr>
      <w:tr w:rsidR="004D4D3A" w:rsidRPr="004D4D3A" w14:paraId="34F47DEA" w14:textId="77777777" w:rsidTr="005B74A4">
        <w:tc>
          <w:tcPr>
            <w:tcW w:w="1475" w:type="dxa"/>
          </w:tcPr>
          <w:p w14:paraId="43C1BB34" w14:textId="639C19CE" w:rsidR="001B1F8E" w:rsidRPr="004D4D3A" w:rsidRDefault="001B1F8E" w:rsidP="006214D8">
            <w:pPr>
              <w:autoSpaceDE w:val="0"/>
              <w:autoSpaceDN w:val="0"/>
              <w:adjustRightInd w:val="0"/>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Industries</w:t>
            </w:r>
          </w:p>
        </w:tc>
        <w:tc>
          <w:tcPr>
            <w:tcW w:w="333" w:type="dxa"/>
          </w:tcPr>
          <w:p w14:paraId="7A37966D" w14:textId="6C2F446E" w:rsidR="001B1F8E" w:rsidRPr="004D4D3A" w:rsidRDefault="001B1F8E" w:rsidP="005B74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7332" w:type="dxa"/>
          </w:tcPr>
          <w:p w14:paraId="4192B9F3" w14:textId="2F80E2E6" w:rsidR="001B1F8E" w:rsidRPr="004D4D3A" w:rsidRDefault="001B1F8E" w:rsidP="006214D8">
            <w:pPr>
              <w:autoSpaceDE w:val="0"/>
              <w:autoSpaceDN w:val="0"/>
              <w:adjustRightInd w:val="0"/>
              <w:spacing w:line="320" w:lineRule="exact"/>
              <w:rPr>
                <w:rFonts w:ascii="Times New Roman" w:hAnsi="Times New Roman" w:cs="Times New Roman"/>
                <w:color w:val="000000" w:themeColor="text1"/>
              </w:rPr>
            </w:pPr>
            <w:proofErr w:type="gramStart"/>
            <w:r w:rsidRPr="004D4D3A">
              <w:rPr>
                <w:rFonts w:ascii="Times New Roman" w:hAnsi="Times New Roman" w:cs="Times New Roman"/>
                <w:color w:val="000000" w:themeColor="text1"/>
              </w:rPr>
              <w:t>industry</w:t>
            </w:r>
            <w:proofErr w:type="gramEnd"/>
            <w:r w:rsidRPr="004D4D3A">
              <w:rPr>
                <w:rFonts w:ascii="Times New Roman" w:hAnsi="Times New Roman" w:cs="Times New Roman"/>
                <w:color w:val="000000" w:themeColor="text1"/>
              </w:rPr>
              <w:t xml:space="preserve"> dummies (based on CSRC industry classification standard).</w:t>
            </w:r>
          </w:p>
        </w:tc>
      </w:tr>
    </w:tbl>
    <w:p w14:paraId="34E026D3" w14:textId="78F93AD6" w:rsidR="009307E3" w:rsidRPr="004D4D3A" w:rsidRDefault="009307E3" w:rsidP="0097357E">
      <w:pPr>
        <w:spacing w:beforeLines="100" w:before="360"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I use the coefficients obtained in equation (1) to calculate the probability of receiving </w:t>
      </w:r>
      <w:r w:rsidR="00613D58" w:rsidRPr="004D4D3A">
        <w:rPr>
          <w:rFonts w:ascii="Times New Roman" w:hAnsi="Times New Roman" w:cs="Times New Roman"/>
          <w:color w:val="000000" w:themeColor="text1"/>
        </w:rPr>
        <w:t xml:space="preserve">an </w:t>
      </w:r>
      <w:r w:rsidRPr="004D4D3A">
        <w:rPr>
          <w:rFonts w:ascii="Times New Roman" w:hAnsi="Times New Roman" w:cs="Times New Roman"/>
          <w:color w:val="000000" w:themeColor="text1"/>
        </w:rPr>
        <w:t>MAO if a firm switches its partner (</w:t>
      </w:r>
      <w:r w:rsidRPr="004D4D3A">
        <w:rPr>
          <w:rFonts w:ascii="Times New Roman" w:hAnsi="Times New Roman" w:cs="Times New Roman"/>
          <w:i/>
          <w:color w:val="000000" w:themeColor="text1"/>
        </w:rPr>
        <w:t>MAO</w:t>
      </w:r>
      <w:r w:rsidRPr="004D4D3A">
        <w:rPr>
          <w:rFonts w:ascii="Times New Roman" w:hAnsi="Times New Roman" w:cs="Times New Roman"/>
          <w:i/>
          <w:color w:val="000000" w:themeColor="text1"/>
          <w:vertAlign w:val="subscript"/>
        </w:rPr>
        <w:t>S</w:t>
      </w:r>
      <w:r w:rsidRPr="004D4D3A">
        <w:rPr>
          <w:rFonts w:ascii="Times New Roman" w:hAnsi="Times New Roman" w:cs="Times New Roman"/>
          <w:color w:val="000000" w:themeColor="text1"/>
        </w:rPr>
        <w:t xml:space="preserve">) and the probability of </w:t>
      </w:r>
      <w:r w:rsidR="00613D58" w:rsidRPr="004D4D3A">
        <w:rPr>
          <w:rFonts w:ascii="Times New Roman" w:hAnsi="Times New Roman" w:cs="Times New Roman"/>
          <w:color w:val="000000" w:themeColor="text1"/>
        </w:rPr>
        <w:t>receiving an MAO</w:t>
      </w:r>
      <w:r w:rsidRPr="004D4D3A">
        <w:rPr>
          <w:rFonts w:ascii="Times New Roman" w:hAnsi="Times New Roman" w:cs="Times New Roman"/>
          <w:color w:val="000000" w:themeColor="text1"/>
        </w:rPr>
        <w:t xml:space="preserve"> if a firm does not switch its partner (</w:t>
      </w:r>
      <w:r w:rsidRPr="004D4D3A">
        <w:rPr>
          <w:rFonts w:ascii="Times New Roman" w:hAnsi="Times New Roman" w:cs="Times New Roman"/>
          <w:i/>
          <w:color w:val="000000" w:themeColor="text1"/>
        </w:rPr>
        <w:t>MAO</w:t>
      </w:r>
      <w:r w:rsidRPr="004D4D3A">
        <w:rPr>
          <w:rFonts w:ascii="Times New Roman" w:hAnsi="Times New Roman" w:cs="Times New Roman"/>
          <w:i/>
          <w:color w:val="000000" w:themeColor="text1"/>
          <w:vertAlign w:val="subscript"/>
        </w:rPr>
        <w:t>NS</w:t>
      </w:r>
      <w:r w:rsidRPr="004D4D3A">
        <w:rPr>
          <w:rFonts w:ascii="Times New Roman" w:hAnsi="Times New Roman" w:cs="Times New Roman"/>
          <w:color w:val="000000" w:themeColor="text1"/>
        </w:rPr>
        <w:t xml:space="preserve">). The difference in the conditional probability of a firm’s </w:t>
      </w:r>
      <w:r w:rsidR="00613D58" w:rsidRPr="004D4D3A">
        <w:rPr>
          <w:rFonts w:ascii="Times New Roman" w:hAnsi="Times New Roman" w:cs="Times New Roman"/>
          <w:color w:val="000000" w:themeColor="text1"/>
        </w:rPr>
        <w:t>receiving an MAO</w:t>
      </w:r>
      <w:r w:rsidRPr="004D4D3A">
        <w:rPr>
          <w:rFonts w:ascii="Times New Roman" w:hAnsi="Times New Roman" w:cs="Times New Roman"/>
          <w:color w:val="000000" w:themeColor="text1"/>
        </w:rPr>
        <w:t xml:space="preserve"> between the two scenarios (i.e., </w:t>
      </w:r>
      <w:r w:rsidRPr="004D4D3A">
        <w:rPr>
          <w:rFonts w:ascii="Times New Roman" w:hAnsi="Times New Roman" w:cs="Times New Roman"/>
          <w:i/>
          <w:color w:val="000000" w:themeColor="text1"/>
        </w:rPr>
        <w:t>MAO</w:t>
      </w:r>
      <w:r w:rsidRPr="004D4D3A">
        <w:rPr>
          <w:rFonts w:ascii="Times New Roman" w:hAnsi="Times New Roman" w:cs="Times New Roman"/>
          <w:i/>
          <w:color w:val="000000" w:themeColor="text1"/>
          <w:vertAlign w:val="subscript"/>
        </w:rPr>
        <w:t>S</w:t>
      </w:r>
      <w:r w:rsidRPr="004D4D3A">
        <w:rPr>
          <w:rFonts w:ascii="Times New Roman" w:hAnsi="Times New Roman" w:cs="Times New Roman"/>
          <w:color w:val="000000" w:themeColor="text1"/>
        </w:rPr>
        <w:t xml:space="preserve"> </w:t>
      </w:r>
      <w:r w:rsidR="00983A9D" w:rsidRPr="004D4D3A">
        <w:rPr>
          <w:rFonts w:ascii="Times New Roman" w:eastAsia="新細明體" w:hAnsi="Times New Roman" w:cs="Times New Roman"/>
          <w:color w:val="000000" w:themeColor="text1"/>
        </w:rPr>
        <w:t>–</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MAO</w:t>
      </w:r>
      <w:r w:rsidRPr="004D4D3A">
        <w:rPr>
          <w:rFonts w:ascii="Times New Roman" w:hAnsi="Times New Roman" w:cs="Times New Roman"/>
          <w:i/>
          <w:color w:val="000000" w:themeColor="text1"/>
          <w:vertAlign w:val="subscript"/>
        </w:rPr>
        <w:t>NS</w:t>
      </w:r>
      <w:r w:rsidRPr="004D4D3A">
        <w:rPr>
          <w:rFonts w:ascii="Times New Roman" w:hAnsi="Times New Roman" w:cs="Times New Roman"/>
          <w:color w:val="000000" w:themeColor="text1"/>
        </w:rPr>
        <w:t xml:space="preserve">) is defined as the opinion shopping variable, denoted </w:t>
      </w:r>
      <w:r w:rsidR="004959B2">
        <w:rPr>
          <w:rFonts w:ascii="Times New Roman" w:hAnsi="Times New Roman" w:cs="Times New Roman"/>
          <w:color w:val="000000" w:themeColor="text1"/>
        </w:rPr>
        <w:t xml:space="preserve">by </w:t>
      </w:r>
      <w:r w:rsidRPr="004D4D3A">
        <w:rPr>
          <w:rFonts w:ascii="Times New Roman" w:hAnsi="Times New Roman" w:cs="Times New Roman"/>
          <w:i/>
          <w:color w:val="000000" w:themeColor="text1"/>
        </w:rPr>
        <w:t>POPSHOP</w:t>
      </w:r>
      <w:r w:rsidRPr="004D4D3A">
        <w:rPr>
          <w:rFonts w:ascii="Times New Roman" w:hAnsi="Times New Roman" w:cs="Times New Roman"/>
          <w:color w:val="000000" w:themeColor="text1"/>
        </w:rPr>
        <w:t xml:space="preserve">. A negative (positive) value of </w:t>
      </w:r>
      <w:r w:rsidRPr="004D4D3A">
        <w:rPr>
          <w:rFonts w:ascii="Times New Roman" w:hAnsi="Times New Roman" w:cs="Times New Roman"/>
          <w:i/>
          <w:color w:val="000000" w:themeColor="text1"/>
        </w:rPr>
        <w:t>POPSHOP</w:t>
      </w:r>
      <w:r w:rsidRPr="004D4D3A">
        <w:rPr>
          <w:rFonts w:ascii="Times New Roman" w:hAnsi="Times New Roman" w:cs="Times New Roman"/>
          <w:color w:val="000000" w:themeColor="text1"/>
        </w:rPr>
        <w:t xml:space="preserve"> implies that firms engage in opinion shopping if there is a partner switch (no partner switch).</w:t>
      </w:r>
    </w:p>
    <w:p w14:paraId="163E2C1F" w14:textId="77777777" w:rsidR="00C86F37" w:rsidRPr="004D4D3A" w:rsidRDefault="00C86F37" w:rsidP="00A46D08">
      <w:pPr>
        <w:spacing w:line="400" w:lineRule="exact"/>
        <w:rPr>
          <w:rFonts w:ascii="Times New Roman" w:hAnsi="Times New Roman" w:cs="Times New Roman"/>
          <w:color w:val="000000" w:themeColor="text1"/>
        </w:rPr>
      </w:pPr>
    </w:p>
    <w:p w14:paraId="6A2F4EF7" w14:textId="77777777" w:rsidR="00C86F37" w:rsidRPr="004D4D3A" w:rsidRDefault="00695486" w:rsidP="00A46D08">
      <w:pPr>
        <w:spacing w:line="400" w:lineRule="exact"/>
        <w:rPr>
          <w:rFonts w:ascii="Times New Roman" w:hAnsi="Times New Roman" w:cs="Times New Roman"/>
          <w:b/>
          <w:color w:val="000000" w:themeColor="text1"/>
        </w:rPr>
      </w:pPr>
      <w:r w:rsidRPr="004D4D3A">
        <w:rPr>
          <w:rFonts w:ascii="Times New Roman" w:hAnsi="Times New Roman" w:cs="Times New Roman"/>
          <w:b/>
          <w:color w:val="000000" w:themeColor="text1"/>
        </w:rPr>
        <w:t>3.2</w:t>
      </w:r>
      <w:r w:rsidR="00C86F37" w:rsidRPr="004D4D3A">
        <w:rPr>
          <w:rFonts w:ascii="Times New Roman" w:hAnsi="Times New Roman" w:cs="Times New Roman"/>
          <w:b/>
          <w:color w:val="000000" w:themeColor="text1"/>
        </w:rPr>
        <w:t xml:space="preserve"> Model specification</w:t>
      </w:r>
    </w:p>
    <w:p w14:paraId="33F5524B" w14:textId="31089838" w:rsidR="00762FF0" w:rsidRPr="004D4D3A" w:rsidRDefault="00762FF0" w:rsidP="00762FF0">
      <w:pPr>
        <w:autoSpaceDE w:val="0"/>
        <w:autoSpaceDN w:val="0"/>
        <w:adjustRightInd w:val="0"/>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I run the following </w:t>
      </w:r>
      <w:proofErr w:type="spellStart"/>
      <w:r w:rsidRPr="004D4D3A">
        <w:rPr>
          <w:rFonts w:ascii="Times New Roman" w:hAnsi="Times New Roman" w:cs="Times New Roman"/>
          <w:color w:val="000000" w:themeColor="text1"/>
        </w:rPr>
        <w:t>probit</w:t>
      </w:r>
      <w:proofErr w:type="spellEnd"/>
      <w:r w:rsidRPr="004D4D3A">
        <w:rPr>
          <w:rFonts w:ascii="Times New Roman" w:hAnsi="Times New Roman" w:cs="Times New Roman"/>
          <w:color w:val="000000" w:themeColor="text1"/>
        </w:rPr>
        <w:t xml:space="preserve"> model to test the association between RPTs and opinion shopping:</w:t>
      </w:r>
    </w:p>
    <w:p w14:paraId="6562C4AF" w14:textId="77777777" w:rsidR="00762FF0" w:rsidRPr="004D4D3A" w:rsidRDefault="00BD0BCC" w:rsidP="0097357E">
      <w:pPr>
        <w:pStyle w:val="MTDisplayEquation"/>
        <w:spacing w:beforeLines="100" w:before="360" w:afterLines="100" w:after="360"/>
        <w:rPr>
          <w:color w:val="000000" w:themeColor="text1"/>
        </w:rPr>
      </w:pPr>
      <w:r w:rsidRPr="004D4D3A">
        <w:rPr>
          <w:color w:val="000000" w:themeColor="text1"/>
          <w:position w:val="-70"/>
        </w:rPr>
        <w:object w:dxaOrig="8540" w:dyaOrig="1520" w14:anchorId="6A2A3962">
          <v:shape id="_x0000_i1026" type="#_x0000_t75" style="width:407.5pt;height:73pt" o:ole="">
            <v:imagedata r:id="rId10" o:title=""/>
          </v:shape>
          <o:OLEObject Type="Embed" ProgID="Equation.DSMT4" ShapeID="_x0000_i1026" DrawAspect="Content" ObjectID="_1629930779" r:id="rId11"/>
        </w:object>
      </w:r>
      <w:r w:rsidR="00762FF0" w:rsidRPr="004D4D3A">
        <w:rPr>
          <w:color w:val="000000" w:themeColor="text1"/>
        </w:rPr>
        <w:tab/>
        <w:t>(2)</w:t>
      </w:r>
    </w:p>
    <w:p w14:paraId="19206BAE" w14:textId="77777777" w:rsidR="00762FF0" w:rsidRPr="004D4D3A" w:rsidRDefault="00762FF0">
      <w:pPr>
        <w:autoSpaceDE w:val="0"/>
        <w:autoSpaceDN w:val="0"/>
        <w:adjustRightInd w:val="0"/>
        <w:spacing w:beforeLines="100" w:before="360"/>
        <w:rPr>
          <w:rFonts w:ascii="Times New Roman" w:hAnsi="Times New Roman" w:cs="Times New Roman"/>
          <w:color w:val="000000" w:themeColor="text1"/>
        </w:rPr>
      </w:pPr>
      <w:proofErr w:type="gramStart"/>
      <w:r w:rsidRPr="004D4D3A">
        <w:rPr>
          <w:rFonts w:ascii="Times New Roman" w:hAnsi="Times New Roman" w:cs="Times New Roman"/>
          <w:color w:val="000000" w:themeColor="text1"/>
        </w:rPr>
        <w:t>where</w:t>
      </w:r>
      <w:proofErr w:type="gramEnd"/>
      <w:r w:rsidRPr="004D4D3A">
        <w:rPr>
          <w:rFonts w:ascii="Times New Roman" w:hAnsi="Times New Roman" w:cs="Times New Roman"/>
          <w:color w:val="000000" w:themeColor="text1"/>
        </w:rPr>
        <w:t xml:space="preserve"> for firm </w:t>
      </w:r>
      <w:proofErr w:type="spellStart"/>
      <w:r w:rsidRPr="004D4D3A">
        <w:rPr>
          <w:rFonts w:ascii="Times New Roman" w:hAnsi="Times New Roman" w:cs="Times New Roman"/>
          <w:i/>
          <w:color w:val="000000" w:themeColor="text1"/>
        </w:rPr>
        <w:t>i</w:t>
      </w:r>
      <w:proofErr w:type="spellEnd"/>
      <w:r w:rsidRPr="004D4D3A">
        <w:rPr>
          <w:rFonts w:ascii="Times New Roman" w:hAnsi="Times New Roman" w:cs="Times New Roman"/>
          <w:color w:val="000000" w:themeColor="text1"/>
        </w:rPr>
        <w:t xml:space="preserve"> in year </w:t>
      </w:r>
      <w:r w:rsidRPr="004D4D3A">
        <w:rPr>
          <w:rFonts w:ascii="Times New Roman" w:hAnsi="Times New Roman" w:cs="Times New Roman"/>
          <w:i/>
          <w:color w:val="000000" w:themeColor="text1"/>
        </w:rPr>
        <w:t>t</w:t>
      </w:r>
      <w:r w:rsidRPr="004D4D3A">
        <w:rPr>
          <w:rFonts w:ascii="Times New Roman" w:hAnsi="Times New Roman" w:cs="Times New Roman"/>
          <w:color w:val="000000" w:themeColor="text1"/>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27"/>
        <w:gridCol w:w="329"/>
        <w:gridCol w:w="6970"/>
      </w:tblGrid>
      <w:tr w:rsidR="004D4D3A" w:rsidRPr="004D4D3A" w14:paraId="3AC170D5" w14:textId="77777777" w:rsidTr="009D3FA4">
        <w:tc>
          <w:tcPr>
            <w:tcW w:w="1727" w:type="dxa"/>
          </w:tcPr>
          <w:p w14:paraId="0BCFC097" w14:textId="77777777" w:rsidR="00762FF0" w:rsidRPr="004D4D3A" w:rsidRDefault="00762FF0" w:rsidP="006214D8">
            <w:pPr>
              <w:autoSpaceDE w:val="0"/>
              <w:autoSpaceDN w:val="0"/>
              <w:adjustRightInd w:val="0"/>
              <w:spacing w:line="320" w:lineRule="exact"/>
              <w:jc w:val="right"/>
              <w:rPr>
                <w:rFonts w:ascii="Times New Roman" w:hAnsi="Times New Roman" w:cs="Times New Roman"/>
                <w:color w:val="000000" w:themeColor="text1"/>
              </w:rPr>
            </w:pPr>
            <w:r w:rsidRPr="004D4D3A">
              <w:rPr>
                <w:rFonts w:ascii="Times New Roman" w:hAnsi="Times New Roman" w:cs="Times New Roman"/>
                <w:i/>
                <w:color w:val="000000" w:themeColor="text1"/>
              </w:rPr>
              <w:t>RPT</w:t>
            </w:r>
          </w:p>
        </w:tc>
        <w:tc>
          <w:tcPr>
            <w:tcW w:w="329" w:type="dxa"/>
          </w:tcPr>
          <w:p w14:paraId="3C1C142F" w14:textId="77777777" w:rsidR="00762FF0" w:rsidRPr="004D4D3A" w:rsidRDefault="00762FF0" w:rsidP="006214D8">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1C3F12D0" w14:textId="77777777" w:rsidR="00762FF0" w:rsidRPr="004D4D3A" w:rsidRDefault="00762FF0" w:rsidP="006214D8">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total annual PRTs scaled by total assets;</w:t>
            </w:r>
          </w:p>
        </w:tc>
      </w:tr>
      <w:tr w:rsidR="004D4D3A" w:rsidRPr="004D4D3A" w14:paraId="3115943D" w14:textId="77777777" w:rsidTr="009D3FA4">
        <w:tc>
          <w:tcPr>
            <w:tcW w:w="1727" w:type="dxa"/>
          </w:tcPr>
          <w:p w14:paraId="2A1268DB" w14:textId="77777777" w:rsidR="00EE2B7A" w:rsidRPr="004D4D3A" w:rsidRDefault="00EE2B7A" w:rsidP="006214D8">
            <w:pPr>
              <w:spacing w:line="320" w:lineRule="exact"/>
              <w:jc w:val="right"/>
              <w:rPr>
                <w:rFonts w:ascii="Times New Roman" w:hAnsi="Times New Roman" w:cs="Times New Roman"/>
                <w:color w:val="000000" w:themeColor="text1"/>
              </w:rPr>
            </w:pPr>
            <w:r w:rsidRPr="004D4D3A">
              <w:rPr>
                <w:rFonts w:ascii="Times New Roman" w:hAnsi="Times New Roman" w:cs="Times New Roman"/>
                <w:i/>
                <w:color w:val="000000" w:themeColor="text1"/>
              </w:rPr>
              <w:t>TENURE</w:t>
            </w:r>
          </w:p>
        </w:tc>
        <w:tc>
          <w:tcPr>
            <w:tcW w:w="329" w:type="dxa"/>
          </w:tcPr>
          <w:p w14:paraId="1F4D6C5B" w14:textId="77777777" w:rsidR="00EE2B7A" w:rsidRPr="004D4D3A" w:rsidRDefault="00EE2B7A" w:rsidP="006214D8">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7842ADE1" w14:textId="31C46F71" w:rsidR="00EE2B7A" w:rsidRPr="004D4D3A" w:rsidRDefault="00EE2B7A" w:rsidP="001D4991">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number of consecutive years that the firm has retained the incumbent audit firm;</w:t>
            </w:r>
          </w:p>
        </w:tc>
      </w:tr>
      <w:tr w:rsidR="004D4D3A" w:rsidRPr="004D4D3A" w14:paraId="35D1EEE4" w14:textId="77777777" w:rsidTr="009D3FA4">
        <w:tc>
          <w:tcPr>
            <w:tcW w:w="1727" w:type="dxa"/>
          </w:tcPr>
          <w:p w14:paraId="23E4B99C" w14:textId="77777777" w:rsidR="00EE2B7A" w:rsidRPr="004D4D3A" w:rsidRDefault="00EE2B7A"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L</w:t>
            </w:r>
            <w:r w:rsidRPr="004D4D3A">
              <w:rPr>
                <w:rFonts w:ascii="Times New Roman" w:hAnsi="Times New Roman" w:cs="Times New Roman"/>
                <w:color w:val="000000" w:themeColor="text1"/>
              </w:rPr>
              <w:t>1</w:t>
            </w:r>
            <w:r w:rsidRPr="004D4D3A">
              <w:rPr>
                <w:rFonts w:ascii="Times New Roman" w:hAnsi="Times New Roman" w:cs="Times New Roman"/>
                <w:i/>
                <w:color w:val="000000" w:themeColor="text1"/>
              </w:rPr>
              <w:t>PTENURE</w:t>
            </w:r>
          </w:p>
        </w:tc>
        <w:tc>
          <w:tcPr>
            <w:tcW w:w="329" w:type="dxa"/>
          </w:tcPr>
          <w:p w14:paraId="18B15A29" w14:textId="77777777" w:rsidR="00EE2B7A" w:rsidRPr="004D4D3A" w:rsidRDefault="00EE2B7A" w:rsidP="006214D8">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66DC8B1E" w14:textId="4FEC0FC2" w:rsidR="00C259ED" w:rsidRPr="004D4D3A" w:rsidRDefault="00EE2B7A" w:rsidP="004959B2">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 xml:space="preserve">last year’s average number of consecutive years that the </w:t>
            </w:r>
            <w:r w:rsidR="00A16416" w:rsidRPr="004D4D3A">
              <w:rPr>
                <w:rFonts w:ascii="Times New Roman" w:hAnsi="Times New Roman" w:cs="Times New Roman"/>
                <w:color w:val="000000" w:themeColor="text1"/>
              </w:rPr>
              <w:t>engagement partners</w:t>
            </w:r>
            <w:r w:rsidR="00797E83" w:rsidRPr="004D4D3A">
              <w:rPr>
                <w:rFonts w:ascii="Times New Roman" w:hAnsi="Times New Roman" w:cs="Times New Roman"/>
                <w:color w:val="000000" w:themeColor="text1"/>
              </w:rPr>
              <w:t xml:space="preserve"> have signed the </w:t>
            </w:r>
            <w:r w:rsidR="004959B2">
              <w:rPr>
                <w:rFonts w:ascii="Times New Roman" w:hAnsi="Times New Roman" w:cs="Times New Roman"/>
                <w:color w:val="000000" w:themeColor="text1"/>
              </w:rPr>
              <w:t xml:space="preserve">client’s </w:t>
            </w:r>
            <w:r w:rsidR="00797E83" w:rsidRPr="004D4D3A">
              <w:rPr>
                <w:rFonts w:ascii="Times New Roman" w:hAnsi="Times New Roman" w:cs="Times New Roman"/>
                <w:color w:val="000000" w:themeColor="text1"/>
              </w:rPr>
              <w:t>annual audit report</w:t>
            </w:r>
            <w:r w:rsidRPr="004D4D3A">
              <w:rPr>
                <w:rFonts w:ascii="Times New Roman" w:hAnsi="Times New Roman" w:cs="Times New Roman"/>
                <w:color w:val="000000" w:themeColor="text1"/>
              </w:rPr>
              <w:t>;</w:t>
            </w:r>
          </w:p>
        </w:tc>
      </w:tr>
      <w:tr w:rsidR="004D4D3A" w:rsidRPr="004D4D3A" w14:paraId="0CB67006" w14:textId="77777777" w:rsidTr="009D3FA4">
        <w:tc>
          <w:tcPr>
            <w:tcW w:w="1727" w:type="dxa"/>
          </w:tcPr>
          <w:p w14:paraId="51C6775F" w14:textId="77777777" w:rsidR="00EE2B7A" w:rsidRPr="004D4D3A" w:rsidRDefault="00EE2B7A"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PSPEC</w:t>
            </w:r>
          </w:p>
        </w:tc>
        <w:tc>
          <w:tcPr>
            <w:tcW w:w="329" w:type="dxa"/>
          </w:tcPr>
          <w:p w14:paraId="45DE497C" w14:textId="77777777" w:rsidR="00EE2B7A" w:rsidRPr="004D4D3A" w:rsidRDefault="00EE2B7A" w:rsidP="006214D8">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7BB5E8F1" w14:textId="57F40662" w:rsidR="00EE2B7A" w:rsidRPr="004D4D3A" w:rsidRDefault="00EE2B7A" w:rsidP="000F027F">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 xml:space="preserve">indicator variable that takes the value of 1 if </w:t>
            </w:r>
            <w:r w:rsidR="00383F6A" w:rsidRPr="004D4D3A">
              <w:rPr>
                <w:rFonts w:ascii="Times New Roman" w:hAnsi="Times New Roman" w:cs="Times New Roman"/>
                <w:color w:val="000000" w:themeColor="text1"/>
              </w:rPr>
              <w:t xml:space="preserve">any of the </w:t>
            </w:r>
            <w:r w:rsidR="00A16416" w:rsidRPr="004D4D3A">
              <w:rPr>
                <w:rFonts w:ascii="Times New Roman" w:hAnsi="Times New Roman" w:cs="Times New Roman"/>
                <w:color w:val="000000" w:themeColor="text1"/>
              </w:rPr>
              <w:t>engagement partners</w:t>
            </w:r>
            <w:r w:rsidR="00383F6A" w:rsidRPr="004D4D3A">
              <w:rPr>
                <w:rFonts w:ascii="Times New Roman" w:hAnsi="Times New Roman" w:cs="Times New Roman"/>
                <w:color w:val="000000" w:themeColor="text1"/>
              </w:rPr>
              <w:t xml:space="preserve"> is the industry leader or has a market share of greater than 10 percent in terms of total assets</w:t>
            </w:r>
            <w:r w:rsidR="000C2F89" w:rsidRPr="004D4D3A">
              <w:rPr>
                <w:rFonts w:ascii="Times New Roman" w:hAnsi="Times New Roman" w:cs="Times New Roman"/>
                <w:color w:val="000000" w:themeColor="text1"/>
              </w:rPr>
              <w:t xml:space="preserve"> audited in the industry</w:t>
            </w:r>
            <w:r w:rsidRPr="004D4D3A">
              <w:rPr>
                <w:rFonts w:ascii="Times New Roman" w:hAnsi="Times New Roman" w:cs="Times New Roman"/>
                <w:color w:val="000000" w:themeColor="text1"/>
              </w:rPr>
              <w:t>, and 0 otherwise</w:t>
            </w:r>
            <w:r w:rsidR="000F027F" w:rsidRPr="004D4D3A">
              <w:rPr>
                <w:rFonts w:ascii="Times New Roman" w:hAnsi="Times New Roman" w:cs="Times New Roman"/>
                <w:color w:val="000000" w:themeColor="text1"/>
              </w:rPr>
              <w:t>;</w:t>
            </w:r>
          </w:p>
        </w:tc>
      </w:tr>
      <w:tr w:rsidR="004D4D3A" w:rsidRPr="004D4D3A" w14:paraId="603AA71C" w14:textId="77777777" w:rsidTr="009D3FA4">
        <w:tc>
          <w:tcPr>
            <w:tcW w:w="1727" w:type="dxa"/>
          </w:tcPr>
          <w:p w14:paraId="79633350" w14:textId="5A253C07" w:rsidR="009D3FA4" w:rsidRPr="004D4D3A" w:rsidRDefault="009D3FA4" w:rsidP="009D3FA4">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CI</w:t>
            </w:r>
          </w:p>
        </w:tc>
        <w:tc>
          <w:tcPr>
            <w:tcW w:w="329" w:type="dxa"/>
          </w:tcPr>
          <w:p w14:paraId="6DB48D54" w14:textId="617CBAFF" w:rsidR="009D3FA4" w:rsidRPr="004D4D3A" w:rsidRDefault="009D3FA4" w:rsidP="009D3FA4">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429EC6BA" w14:textId="091EBC68" w:rsidR="009D3FA4" w:rsidRPr="004D4D3A" w:rsidRDefault="009D3FA4" w:rsidP="009D3FA4">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natural log of the client’s total assets scaled by the sum of the natural log of total assets of all clients audited by the same audit firm;</w:t>
            </w:r>
          </w:p>
        </w:tc>
      </w:tr>
      <w:tr w:rsidR="004D4D3A" w:rsidRPr="004D4D3A" w14:paraId="20E149D2" w14:textId="77777777" w:rsidTr="009D3FA4">
        <w:tc>
          <w:tcPr>
            <w:tcW w:w="1727" w:type="dxa"/>
          </w:tcPr>
          <w:p w14:paraId="4DF43D11" w14:textId="77777777" w:rsidR="00EE2B7A" w:rsidRPr="004D4D3A" w:rsidRDefault="00EE2B7A" w:rsidP="006214D8">
            <w:pPr>
              <w:autoSpaceDE w:val="0"/>
              <w:autoSpaceDN w:val="0"/>
              <w:adjustRightInd w:val="0"/>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GROWTH</w:t>
            </w:r>
          </w:p>
        </w:tc>
        <w:tc>
          <w:tcPr>
            <w:tcW w:w="329" w:type="dxa"/>
          </w:tcPr>
          <w:p w14:paraId="2DD7996E" w14:textId="77777777" w:rsidR="00EE2B7A" w:rsidRPr="004D4D3A" w:rsidRDefault="00EE2B7A" w:rsidP="006214D8">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4325EC26" w14:textId="47A5D09E" w:rsidR="00EE2B7A" w:rsidRPr="004D4D3A" w:rsidRDefault="00630160" w:rsidP="00630160">
            <w:pPr>
              <w:autoSpaceDE w:val="0"/>
              <w:autoSpaceDN w:val="0"/>
              <w:adjustRightInd w:val="0"/>
              <w:spacing w:line="320" w:lineRule="exact"/>
              <w:rPr>
                <w:rFonts w:ascii="Times New Roman" w:hAnsi="Times New Roman" w:cs="Times New Roman"/>
                <w:color w:val="000000" w:themeColor="text1"/>
              </w:rPr>
            </w:pPr>
            <w:r w:rsidRPr="004D4D3A">
              <w:rPr>
                <w:rFonts w:ascii="Times New Roman" w:hAnsi="Times New Roman" w:cs="Times New Roman"/>
                <w:color w:val="000000" w:themeColor="text1"/>
              </w:rPr>
              <w:t>growth rate of sales</w:t>
            </w:r>
            <w:r w:rsidR="00EE2B7A" w:rsidRPr="004D4D3A">
              <w:rPr>
                <w:rFonts w:ascii="Times New Roman" w:hAnsi="Times New Roman" w:cs="Times New Roman"/>
                <w:color w:val="000000" w:themeColor="text1"/>
              </w:rPr>
              <w:t>;</w:t>
            </w:r>
          </w:p>
        </w:tc>
      </w:tr>
      <w:tr w:rsidR="004D4D3A" w:rsidRPr="004D4D3A" w14:paraId="1B7154DA" w14:textId="77777777" w:rsidTr="009D3FA4">
        <w:tc>
          <w:tcPr>
            <w:tcW w:w="1727" w:type="dxa"/>
          </w:tcPr>
          <w:p w14:paraId="7DD9B2DC" w14:textId="77777777" w:rsidR="00EE2B7A" w:rsidRPr="004D4D3A" w:rsidRDefault="00EE2B7A" w:rsidP="006214D8">
            <w:pPr>
              <w:spacing w:line="320" w:lineRule="exact"/>
              <w:jc w:val="right"/>
              <w:rPr>
                <w:rFonts w:ascii="Times New Roman" w:hAnsi="Times New Roman" w:cs="Times New Roman"/>
                <w:i/>
                <w:color w:val="000000" w:themeColor="text1"/>
              </w:rPr>
            </w:pPr>
            <w:r w:rsidRPr="004D4D3A">
              <w:rPr>
                <w:rFonts w:ascii="Times New Roman" w:hAnsi="Times New Roman" w:cs="Times New Roman"/>
                <w:i/>
                <w:color w:val="000000" w:themeColor="text1"/>
              </w:rPr>
              <w:t>SEO</w:t>
            </w:r>
          </w:p>
        </w:tc>
        <w:tc>
          <w:tcPr>
            <w:tcW w:w="329" w:type="dxa"/>
          </w:tcPr>
          <w:p w14:paraId="23AF9D42" w14:textId="77777777" w:rsidR="00EE2B7A" w:rsidRPr="004D4D3A" w:rsidRDefault="00EE2B7A" w:rsidP="006214D8">
            <w:pPr>
              <w:autoSpaceDE w:val="0"/>
              <w:autoSpaceDN w:val="0"/>
              <w:adjustRightInd w:val="0"/>
              <w:spacing w:line="32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w:t>
            </w:r>
          </w:p>
        </w:tc>
        <w:tc>
          <w:tcPr>
            <w:tcW w:w="6970" w:type="dxa"/>
          </w:tcPr>
          <w:p w14:paraId="23309FDB" w14:textId="2E2578A5" w:rsidR="00EE2B7A" w:rsidRPr="004D4D3A" w:rsidRDefault="00EE2B7A" w:rsidP="004959B2">
            <w:pPr>
              <w:autoSpaceDE w:val="0"/>
              <w:autoSpaceDN w:val="0"/>
              <w:adjustRightInd w:val="0"/>
              <w:spacing w:line="320" w:lineRule="exact"/>
              <w:rPr>
                <w:rFonts w:ascii="Times New Roman" w:hAnsi="Times New Roman" w:cs="Times New Roman"/>
                <w:color w:val="000000" w:themeColor="text1"/>
              </w:rPr>
            </w:pPr>
            <w:proofErr w:type="gramStart"/>
            <w:r w:rsidRPr="004D4D3A">
              <w:rPr>
                <w:rFonts w:ascii="Times New Roman" w:hAnsi="Times New Roman" w:cs="Times New Roman"/>
                <w:color w:val="000000" w:themeColor="text1"/>
              </w:rPr>
              <w:t>indicator</w:t>
            </w:r>
            <w:proofErr w:type="gramEnd"/>
            <w:r w:rsidRPr="004D4D3A">
              <w:rPr>
                <w:rFonts w:ascii="Times New Roman" w:hAnsi="Times New Roman" w:cs="Times New Roman"/>
                <w:color w:val="000000" w:themeColor="text1"/>
              </w:rPr>
              <w:t xml:space="preserve"> variable that takes the value of 1 if the firm has seasoned equity offering in the next year</w:t>
            </w:r>
            <w:r w:rsidR="000F027F" w:rsidRPr="004D4D3A">
              <w:rPr>
                <w:rFonts w:ascii="Times New Roman" w:hAnsi="Times New Roman" w:cs="Times New Roman"/>
                <w:color w:val="000000" w:themeColor="text1"/>
              </w:rPr>
              <w:t>, and 0 otherwise.</w:t>
            </w:r>
          </w:p>
        </w:tc>
      </w:tr>
    </w:tbl>
    <w:p w14:paraId="65D0DCD3" w14:textId="77777777" w:rsidR="00762FF0" w:rsidRPr="004D4D3A" w:rsidRDefault="00762FF0" w:rsidP="00762FF0">
      <w:pPr>
        <w:autoSpaceDE w:val="0"/>
        <w:autoSpaceDN w:val="0"/>
        <w:adjustRightInd w:val="0"/>
        <w:spacing w:line="400" w:lineRule="exact"/>
        <w:rPr>
          <w:rFonts w:ascii="Times New Roman" w:hAnsi="Times New Roman" w:cs="Times New Roman"/>
          <w:color w:val="000000" w:themeColor="text1"/>
        </w:rPr>
      </w:pPr>
      <w:r w:rsidRPr="004D4D3A">
        <w:rPr>
          <w:rFonts w:ascii="Times New Roman" w:hAnsi="Times New Roman" w:cs="Times New Roman"/>
          <w:color w:val="000000" w:themeColor="text1"/>
        </w:rPr>
        <w:t>All other variables are defined in Equation (1)</w:t>
      </w:r>
    </w:p>
    <w:p w14:paraId="18B47C3F" w14:textId="28C56D73" w:rsidR="00081B64" w:rsidRPr="004D4D3A" w:rsidRDefault="00081B64" w:rsidP="00081B64">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In equation (2), the primary variable of interest is the coefficient (</w:t>
      </w:r>
      <w:r w:rsidRPr="004D4D3A">
        <w:rPr>
          <w:rFonts w:ascii="Times New Roman" w:eastAsia="標楷體" w:hAnsi="Times New Roman" w:cs="Times New Roman"/>
          <w:i/>
          <w:color w:val="000000" w:themeColor="text1"/>
        </w:rPr>
        <w:t>γ</w:t>
      </w:r>
      <w:r w:rsidRPr="004D4D3A">
        <w:rPr>
          <w:rFonts w:ascii="Times New Roman" w:eastAsia="標楷體" w:hAnsi="Times New Roman" w:cs="Times New Roman"/>
          <w:color w:val="000000" w:themeColor="text1"/>
          <w:vertAlign w:val="subscript"/>
        </w:rPr>
        <w:t>3</w:t>
      </w:r>
      <w:r w:rsidRPr="004D4D3A">
        <w:rPr>
          <w:rFonts w:ascii="Times New Roman" w:hAnsi="Times New Roman" w:cs="Times New Roman"/>
          <w:color w:val="000000" w:themeColor="text1"/>
        </w:rPr>
        <w:t xml:space="preserve">) on the interaction term, </w:t>
      </w:r>
      <w:r w:rsidRPr="004D4D3A">
        <w:rPr>
          <w:rFonts w:ascii="Times New Roman" w:hAnsi="Times New Roman" w:cs="Times New Roman"/>
          <w:i/>
          <w:color w:val="000000" w:themeColor="text1"/>
        </w:rPr>
        <w:t>POPSHOP</w:t>
      </w:r>
      <w:r w:rsidRPr="004D4D3A">
        <w:rPr>
          <w:rFonts w:ascii="Times New Roman" w:hAnsi="Times New Roman" w:cs="Times New Roman"/>
          <w:color w:val="000000" w:themeColor="text1"/>
        </w:rPr>
        <w:t>×</w:t>
      </w:r>
      <w:r w:rsidRPr="004D4D3A">
        <w:rPr>
          <w:rFonts w:ascii="Times New Roman" w:hAnsi="Times New Roman" w:cs="Times New Roman"/>
          <w:i/>
          <w:color w:val="000000" w:themeColor="text1"/>
        </w:rPr>
        <w:t>RPT</w:t>
      </w:r>
      <w:r w:rsidRPr="004D4D3A">
        <w:rPr>
          <w:rFonts w:ascii="Times New Roman" w:hAnsi="Times New Roman" w:cs="Times New Roman"/>
          <w:color w:val="000000" w:themeColor="text1"/>
        </w:rPr>
        <w:t>. A negative estimate indicate</w:t>
      </w:r>
      <w:r w:rsidR="00E63D47">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that firms conduct</w:t>
      </w:r>
      <w:r w:rsidR="00E63D47">
        <w:rPr>
          <w:rFonts w:ascii="Times New Roman" w:hAnsi="Times New Roman" w:cs="Times New Roman"/>
          <w:color w:val="000000" w:themeColor="text1"/>
        </w:rPr>
        <w:t>ing</w:t>
      </w:r>
      <w:r w:rsidR="009E6EAC" w:rsidRPr="004D4D3A">
        <w:rPr>
          <w:rFonts w:ascii="Times New Roman" w:hAnsi="Times New Roman" w:cs="Times New Roman"/>
          <w:color w:val="000000" w:themeColor="text1"/>
        </w:rPr>
        <w:t xml:space="preserve"> more</w:t>
      </w:r>
      <w:r w:rsidRPr="004D4D3A">
        <w:rPr>
          <w:rFonts w:ascii="Times New Roman" w:hAnsi="Times New Roman" w:cs="Times New Roman"/>
          <w:color w:val="000000" w:themeColor="text1"/>
        </w:rPr>
        <w:t xml:space="preserve"> RPTs are more likely to succeed in </w:t>
      </w:r>
      <w:r w:rsidR="00691088" w:rsidRPr="004D4D3A">
        <w:rPr>
          <w:rFonts w:ascii="Times New Roman" w:hAnsi="Times New Roman" w:cs="Times New Roman"/>
          <w:color w:val="000000" w:themeColor="text1"/>
        </w:rPr>
        <w:t xml:space="preserve">partner-level </w:t>
      </w:r>
      <w:r w:rsidRPr="004D4D3A">
        <w:rPr>
          <w:rFonts w:ascii="Times New Roman" w:hAnsi="Times New Roman" w:cs="Times New Roman"/>
          <w:color w:val="000000" w:themeColor="text1"/>
        </w:rPr>
        <w:t>opinion shopping.</w:t>
      </w:r>
    </w:p>
    <w:p w14:paraId="5F0F3E73" w14:textId="3A79CB84" w:rsidR="00762FF0" w:rsidRPr="004D4D3A" w:rsidRDefault="00762FF0" w:rsidP="00762FF0">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I control for various factors that previously have been shown to affect the probability of auditor changes. First, longer auditor tenure indicates</w:t>
      </w:r>
      <w:r w:rsidR="004959B2">
        <w:rPr>
          <w:rFonts w:ascii="Times New Roman" w:hAnsi="Times New Roman" w:cs="Times New Roman"/>
          <w:color w:val="000000" w:themeColor="text1"/>
        </w:rPr>
        <w:t xml:space="preserve"> that the client is unlikely to change the auditor given the familiarity between</w:t>
      </w:r>
      <w:r w:rsidRPr="004D4D3A">
        <w:rPr>
          <w:rFonts w:ascii="Times New Roman" w:hAnsi="Times New Roman" w:cs="Times New Roman"/>
          <w:color w:val="000000" w:themeColor="text1"/>
        </w:rPr>
        <w:t xml:space="preserve"> </w:t>
      </w:r>
      <w:r w:rsidR="004959B2">
        <w:rPr>
          <w:rFonts w:ascii="Times New Roman" w:hAnsi="Times New Roman" w:cs="Times New Roman"/>
          <w:color w:val="000000" w:themeColor="text1"/>
        </w:rPr>
        <w:t>them</w:t>
      </w:r>
      <w:r w:rsidRPr="004D4D3A">
        <w:rPr>
          <w:rFonts w:ascii="Times New Roman" w:hAnsi="Times New Roman" w:cs="Times New Roman"/>
          <w:color w:val="000000" w:themeColor="text1"/>
        </w:rPr>
        <w:t xml:space="preserve"> (</w:t>
      </w:r>
      <w:proofErr w:type="spellStart"/>
      <w:r w:rsidRPr="004D4D3A">
        <w:rPr>
          <w:rFonts w:ascii="Times New Roman" w:hAnsi="Times New Roman" w:cs="Times New Roman"/>
          <w:color w:val="000000" w:themeColor="text1"/>
        </w:rPr>
        <w:t>Hennes</w:t>
      </w:r>
      <w:proofErr w:type="spellEnd"/>
      <w:r w:rsidRPr="004D4D3A">
        <w:rPr>
          <w:rFonts w:ascii="Times New Roman" w:hAnsi="Times New Roman" w:cs="Times New Roman"/>
          <w:color w:val="000000" w:themeColor="text1"/>
        </w:rPr>
        <w:t xml:space="preserve"> et al., </w:t>
      </w:r>
      <w:r w:rsidR="009A009C" w:rsidRPr="004D4D3A">
        <w:rPr>
          <w:rFonts w:ascii="Times New Roman" w:hAnsi="Times New Roman" w:cs="Times New Roman"/>
          <w:color w:val="000000" w:themeColor="text1"/>
        </w:rPr>
        <w:t>2014</w:t>
      </w:r>
      <w:r w:rsidRPr="004D4D3A">
        <w:rPr>
          <w:rFonts w:ascii="Times New Roman" w:hAnsi="Times New Roman" w:cs="Times New Roman"/>
          <w:color w:val="000000" w:themeColor="text1"/>
        </w:rPr>
        <w:t xml:space="preserve">; Chen et al., 2016). </w:t>
      </w:r>
      <w:r w:rsidR="003B32C3" w:rsidRPr="004D4D3A">
        <w:rPr>
          <w:rFonts w:ascii="Times New Roman" w:hAnsi="Times New Roman" w:cs="Times New Roman"/>
          <w:color w:val="000000" w:themeColor="text1"/>
        </w:rPr>
        <w:t xml:space="preserve">However, </w:t>
      </w:r>
      <w:r w:rsidR="00C641D7" w:rsidRPr="004D4D3A">
        <w:rPr>
          <w:rFonts w:ascii="Times New Roman" w:hAnsi="Times New Roman" w:cs="Times New Roman"/>
          <w:color w:val="000000" w:themeColor="text1"/>
        </w:rPr>
        <w:t xml:space="preserve">longevity of auditor engagement is associated with perceptions of audit quality and could therefore affect the board’s decision to change auditors (Williams, 1988; Ghosh and Moon, 2005). </w:t>
      </w:r>
      <w:r w:rsidRPr="004D4D3A">
        <w:rPr>
          <w:rFonts w:ascii="Times New Roman" w:hAnsi="Times New Roman" w:cs="Times New Roman"/>
          <w:color w:val="000000" w:themeColor="text1"/>
        </w:rPr>
        <w:t>I thus control for both audit firm’s and partner’s tenures (</w:t>
      </w:r>
      <w:r w:rsidRPr="004D4D3A">
        <w:rPr>
          <w:rFonts w:ascii="Times New Roman" w:hAnsi="Times New Roman" w:cs="Times New Roman"/>
          <w:i/>
          <w:color w:val="000000" w:themeColor="text1"/>
        </w:rPr>
        <w:t>TENURE</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L</w:t>
      </w:r>
      <w:r w:rsidRPr="004D4D3A">
        <w:rPr>
          <w:rFonts w:ascii="Times New Roman" w:hAnsi="Times New Roman" w:cs="Times New Roman"/>
          <w:color w:val="000000" w:themeColor="text1"/>
        </w:rPr>
        <w:t>1</w:t>
      </w:r>
      <w:r w:rsidRPr="004D4D3A">
        <w:rPr>
          <w:rFonts w:ascii="Times New Roman" w:hAnsi="Times New Roman" w:cs="Times New Roman"/>
          <w:i/>
          <w:color w:val="000000" w:themeColor="text1"/>
        </w:rPr>
        <w:t>PTENURE</w:t>
      </w:r>
      <w:r w:rsidRPr="004D4D3A">
        <w:rPr>
          <w:rFonts w:ascii="Times New Roman" w:hAnsi="Times New Roman" w:cs="Times New Roman"/>
          <w:color w:val="000000" w:themeColor="text1"/>
        </w:rPr>
        <w:t>) in the regression. Second, firm</w:t>
      </w:r>
      <w:r w:rsidR="005F4D93">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may </w:t>
      </w:r>
      <w:r w:rsidR="007B20DF">
        <w:rPr>
          <w:rFonts w:ascii="Times New Roman" w:hAnsi="Times New Roman" w:cs="Times New Roman"/>
          <w:color w:val="000000" w:themeColor="text1"/>
        </w:rPr>
        <w:t>experience</w:t>
      </w:r>
      <w:r w:rsidRPr="004D4D3A">
        <w:rPr>
          <w:rFonts w:ascii="Times New Roman" w:hAnsi="Times New Roman" w:cs="Times New Roman"/>
          <w:color w:val="000000" w:themeColor="text1"/>
        </w:rPr>
        <w:t xml:space="preserve"> higher switching cost</w:t>
      </w:r>
      <w:r w:rsidR="005F4D93">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if the incumbent partner is an industry specialist (Chi and Chin, 2011). </w:t>
      </w:r>
      <w:r w:rsidR="007B20DF">
        <w:rPr>
          <w:rFonts w:ascii="Times New Roman" w:hAnsi="Times New Roman" w:cs="Times New Roman"/>
          <w:color w:val="000000" w:themeColor="text1"/>
        </w:rPr>
        <w:t xml:space="preserve">Therefore, </w:t>
      </w:r>
      <w:r w:rsidRPr="004D4D3A">
        <w:rPr>
          <w:rFonts w:ascii="Times New Roman" w:hAnsi="Times New Roman" w:cs="Times New Roman"/>
          <w:color w:val="000000" w:themeColor="text1"/>
        </w:rPr>
        <w:t>I include partner industry expertise (</w:t>
      </w:r>
      <w:r w:rsidRPr="004D4D3A">
        <w:rPr>
          <w:rFonts w:ascii="Times New Roman" w:hAnsi="Times New Roman" w:cs="Times New Roman"/>
          <w:i/>
          <w:color w:val="000000" w:themeColor="text1"/>
        </w:rPr>
        <w:t>PSPEC</w:t>
      </w:r>
      <w:r w:rsidRPr="004D4D3A">
        <w:rPr>
          <w:rFonts w:ascii="Times New Roman" w:hAnsi="Times New Roman" w:cs="Times New Roman"/>
          <w:color w:val="000000" w:themeColor="text1"/>
        </w:rPr>
        <w:t xml:space="preserve">) to control for this effect. Third, </w:t>
      </w:r>
      <w:r w:rsidR="003B3798" w:rsidRPr="004D4D3A">
        <w:rPr>
          <w:rFonts w:ascii="Times New Roman" w:hAnsi="Times New Roman" w:cs="Times New Roman"/>
          <w:color w:val="000000" w:themeColor="text1"/>
        </w:rPr>
        <w:t xml:space="preserve">Chen et al. (2016) find a significantly negative </w:t>
      </w:r>
      <w:r w:rsidR="002425A1" w:rsidRPr="004D4D3A">
        <w:rPr>
          <w:rFonts w:ascii="Times New Roman" w:hAnsi="Times New Roman" w:cs="Times New Roman"/>
          <w:color w:val="000000" w:themeColor="text1"/>
        </w:rPr>
        <w:lastRenderedPageBreak/>
        <w:t xml:space="preserve">relation </w:t>
      </w:r>
      <w:r w:rsidR="003B3798" w:rsidRPr="004D4D3A">
        <w:rPr>
          <w:rFonts w:ascii="Times New Roman" w:hAnsi="Times New Roman" w:cs="Times New Roman"/>
          <w:color w:val="000000" w:themeColor="text1"/>
        </w:rPr>
        <w:t xml:space="preserve">between </w:t>
      </w:r>
      <w:r w:rsidR="007A08F7" w:rsidRPr="004D4D3A">
        <w:rPr>
          <w:rFonts w:ascii="Times New Roman" w:hAnsi="Times New Roman" w:cs="Times New Roman"/>
          <w:color w:val="000000" w:themeColor="text1"/>
        </w:rPr>
        <w:t xml:space="preserve">the client economic importance of a firm to its audit firm and auditor switching. </w:t>
      </w:r>
      <w:r w:rsidR="007B20DF">
        <w:rPr>
          <w:rFonts w:ascii="Times New Roman" w:hAnsi="Times New Roman" w:cs="Times New Roman"/>
          <w:color w:val="000000" w:themeColor="text1"/>
        </w:rPr>
        <w:t xml:space="preserve">Consequently, </w:t>
      </w:r>
      <w:r w:rsidR="007A08F7" w:rsidRPr="004D4D3A">
        <w:rPr>
          <w:rFonts w:ascii="Times New Roman" w:hAnsi="Times New Roman" w:cs="Times New Roman"/>
          <w:color w:val="000000" w:themeColor="text1"/>
        </w:rPr>
        <w:t>I control for client importance (</w:t>
      </w:r>
      <w:r w:rsidR="007A08F7" w:rsidRPr="004D4D3A">
        <w:rPr>
          <w:rFonts w:ascii="Times New Roman" w:hAnsi="Times New Roman" w:cs="Times New Roman"/>
          <w:i/>
          <w:color w:val="000000" w:themeColor="text1"/>
        </w:rPr>
        <w:t>CI</w:t>
      </w:r>
      <w:r w:rsidR="007A08F7" w:rsidRPr="004D4D3A">
        <w:rPr>
          <w:rFonts w:ascii="Times New Roman" w:hAnsi="Times New Roman" w:cs="Times New Roman"/>
          <w:color w:val="000000" w:themeColor="text1"/>
        </w:rPr>
        <w:t xml:space="preserve">) in the model. Fourth, </w:t>
      </w:r>
      <w:r w:rsidR="0006709B" w:rsidRPr="004D4D3A">
        <w:rPr>
          <w:rFonts w:ascii="Times New Roman" w:hAnsi="Times New Roman" w:cs="Times New Roman"/>
          <w:color w:val="000000" w:themeColor="text1"/>
        </w:rPr>
        <w:t xml:space="preserve">previous studies suggest that auditor switching is influenced by profitability </w:t>
      </w:r>
      <w:r w:rsidRPr="004D4D3A">
        <w:rPr>
          <w:rFonts w:ascii="Times New Roman" w:hAnsi="Times New Roman" w:cs="Times New Roman"/>
          <w:color w:val="000000" w:themeColor="text1"/>
          <w:kern w:val="0"/>
          <w:szCs w:val="24"/>
        </w:rPr>
        <w:t>(</w:t>
      </w:r>
      <w:r w:rsidRPr="004D4D3A">
        <w:rPr>
          <w:rFonts w:ascii="Times New Roman" w:hAnsi="Times New Roman" w:cs="Times New Roman"/>
          <w:color w:val="000000" w:themeColor="text1"/>
        </w:rPr>
        <w:t xml:space="preserve">Mande and Son, 2013; </w:t>
      </w:r>
      <w:proofErr w:type="spellStart"/>
      <w:r w:rsidR="0006709B" w:rsidRPr="004D4D3A">
        <w:rPr>
          <w:rFonts w:ascii="Times New Roman" w:hAnsi="Times New Roman" w:cs="Times New Roman"/>
          <w:color w:val="000000" w:themeColor="text1"/>
        </w:rPr>
        <w:t>Bagherpour</w:t>
      </w:r>
      <w:proofErr w:type="spellEnd"/>
      <w:r w:rsidR="0006709B" w:rsidRPr="004D4D3A">
        <w:rPr>
          <w:rFonts w:ascii="Times New Roman" w:hAnsi="Times New Roman" w:cs="Times New Roman"/>
          <w:color w:val="000000" w:themeColor="text1"/>
        </w:rPr>
        <w:t xml:space="preserve"> et al., 2014; </w:t>
      </w:r>
      <w:proofErr w:type="spellStart"/>
      <w:r w:rsidRPr="004D4D3A">
        <w:rPr>
          <w:rFonts w:ascii="Times New Roman" w:hAnsi="Times New Roman" w:cs="Times New Roman"/>
          <w:color w:val="000000" w:themeColor="text1"/>
        </w:rPr>
        <w:t>H</w:t>
      </w:r>
      <w:r w:rsidRPr="004D4D3A">
        <w:rPr>
          <w:rFonts w:ascii="Times New Roman" w:hAnsi="Times New Roman" w:cs="Times New Roman"/>
          <w:color w:val="000000" w:themeColor="text1"/>
          <w:kern w:val="0"/>
          <w:szCs w:val="24"/>
        </w:rPr>
        <w:t>ennes</w:t>
      </w:r>
      <w:proofErr w:type="spellEnd"/>
      <w:r w:rsidRPr="004D4D3A">
        <w:rPr>
          <w:rFonts w:ascii="Times New Roman" w:hAnsi="Times New Roman" w:cs="Times New Roman"/>
          <w:color w:val="000000" w:themeColor="text1"/>
          <w:kern w:val="0"/>
          <w:szCs w:val="24"/>
        </w:rPr>
        <w:t xml:space="preserve"> et al., </w:t>
      </w:r>
      <w:r w:rsidR="009A009C" w:rsidRPr="004D4D3A">
        <w:rPr>
          <w:rFonts w:ascii="Times New Roman" w:hAnsi="Times New Roman" w:cs="Times New Roman"/>
          <w:color w:val="000000" w:themeColor="text1"/>
          <w:kern w:val="0"/>
          <w:szCs w:val="24"/>
        </w:rPr>
        <w:t>2014</w:t>
      </w:r>
      <w:r w:rsidR="0006709B" w:rsidRPr="004D4D3A">
        <w:rPr>
          <w:rFonts w:ascii="Times New Roman" w:hAnsi="Times New Roman" w:cs="Times New Roman"/>
          <w:color w:val="000000" w:themeColor="text1"/>
          <w:kern w:val="0"/>
          <w:szCs w:val="24"/>
        </w:rPr>
        <w:t xml:space="preserve">; </w:t>
      </w:r>
      <w:proofErr w:type="spellStart"/>
      <w:r w:rsidR="0006709B" w:rsidRPr="004D4D3A">
        <w:rPr>
          <w:rFonts w:ascii="Times New Roman" w:hAnsi="Times New Roman" w:cs="Times New Roman"/>
          <w:color w:val="000000" w:themeColor="text1"/>
        </w:rPr>
        <w:t>Brocard</w:t>
      </w:r>
      <w:proofErr w:type="spellEnd"/>
      <w:r w:rsidR="0006709B" w:rsidRPr="004D4D3A">
        <w:rPr>
          <w:rFonts w:ascii="Times New Roman" w:hAnsi="Times New Roman" w:cs="Times New Roman"/>
          <w:color w:val="000000" w:themeColor="text1"/>
        </w:rPr>
        <w:t xml:space="preserve"> et al., </w:t>
      </w:r>
      <w:r w:rsidR="00101779" w:rsidRPr="004D4D3A">
        <w:rPr>
          <w:rFonts w:ascii="Times New Roman" w:hAnsi="Times New Roman" w:cs="Times New Roman"/>
          <w:color w:val="000000" w:themeColor="text1"/>
        </w:rPr>
        <w:t>2018</w:t>
      </w:r>
      <w:r w:rsidRPr="004D4D3A">
        <w:rPr>
          <w:rFonts w:ascii="Times New Roman" w:hAnsi="Times New Roman" w:cs="Times New Roman"/>
          <w:color w:val="000000" w:themeColor="text1"/>
          <w:kern w:val="0"/>
          <w:szCs w:val="24"/>
        </w:rPr>
        <w:t>)</w:t>
      </w:r>
      <w:r w:rsidR="007B20DF">
        <w:rPr>
          <w:rFonts w:ascii="Times New Roman" w:hAnsi="Times New Roman" w:cs="Times New Roman"/>
          <w:color w:val="000000" w:themeColor="text1"/>
          <w:kern w:val="0"/>
          <w:szCs w:val="24"/>
        </w:rPr>
        <w:t xml:space="preserve"> this is also controlled for in the model</w:t>
      </w:r>
      <w:r w:rsidRPr="004D4D3A">
        <w:rPr>
          <w:rFonts w:ascii="Times New Roman" w:hAnsi="Times New Roman" w:cs="Times New Roman"/>
          <w:color w:val="000000" w:themeColor="text1"/>
          <w:kern w:val="0"/>
          <w:szCs w:val="24"/>
        </w:rPr>
        <w:t xml:space="preserve"> using return on assets (</w:t>
      </w:r>
      <w:r w:rsidRPr="004D4D3A">
        <w:rPr>
          <w:rFonts w:ascii="Times New Roman" w:hAnsi="Times New Roman" w:cs="Times New Roman"/>
          <w:i/>
          <w:color w:val="000000" w:themeColor="text1"/>
          <w:kern w:val="0"/>
          <w:szCs w:val="24"/>
        </w:rPr>
        <w:t>ROA</w:t>
      </w:r>
      <w:r w:rsidRPr="004D4D3A">
        <w:rPr>
          <w:rFonts w:ascii="Times New Roman" w:hAnsi="Times New Roman" w:cs="Times New Roman"/>
          <w:color w:val="000000" w:themeColor="text1"/>
          <w:kern w:val="0"/>
          <w:szCs w:val="24"/>
        </w:rPr>
        <w:t>), a loss indicator (</w:t>
      </w:r>
      <w:r w:rsidRPr="004D4D3A">
        <w:rPr>
          <w:rFonts w:ascii="Times New Roman" w:hAnsi="Times New Roman" w:cs="Times New Roman"/>
          <w:i/>
          <w:color w:val="000000" w:themeColor="text1"/>
          <w:kern w:val="0"/>
          <w:szCs w:val="24"/>
        </w:rPr>
        <w:t>LOSS</w:t>
      </w:r>
      <w:r w:rsidRPr="004D4D3A">
        <w:rPr>
          <w:rFonts w:ascii="Times New Roman" w:hAnsi="Times New Roman" w:cs="Times New Roman"/>
          <w:color w:val="000000" w:themeColor="text1"/>
          <w:kern w:val="0"/>
          <w:szCs w:val="24"/>
        </w:rPr>
        <w:t>), stock performance (</w:t>
      </w:r>
      <w:r w:rsidR="00AA3A00" w:rsidRPr="004D4D3A">
        <w:rPr>
          <w:rFonts w:ascii="Times New Roman" w:hAnsi="Times New Roman" w:cs="Times New Roman"/>
          <w:i/>
          <w:color w:val="000000" w:themeColor="text1"/>
          <w:kern w:val="0"/>
          <w:szCs w:val="24"/>
        </w:rPr>
        <w:t>MAR</w:t>
      </w:r>
      <w:r w:rsidRPr="004D4D3A">
        <w:rPr>
          <w:rFonts w:ascii="Times New Roman" w:hAnsi="Times New Roman" w:cs="Times New Roman"/>
          <w:color w:val="000000" w:themeColor="text1"/>
          <w:kern w:val="0"/>
          <w:szCs w:val="24"/>
        </w:rPr>
        <w:t>), and sales growth rate (</w:t>
      </w:r>
      <w:r w:rsidRPr="004D4D3A">
        <w:rPr>
          <w:rFonts w:ascii="Times New Roman" w:hAnsi="Times New Roman" w:cs="Times New Roman"/>
          <w:i/>
          <w:color w:val="000000" w:themeColor="text1"/>
          <w:kern w:val="0"/>
          <w:szCs w:val="24"/>
        </w:rPr>
        <w:t>GROWTH</w:t>
      </w:r>
      <w:r w:rsidRPr="004D4D3A">
        <w:rPr>
          <w:rFonts w:ascii="Times New Roman" w:hAnsi="Times New Roman" w:cs="Times New Roman"/>
          <w:color w:val="000000" w:themeColor="text1"/>
          <w:kern w:val="0"/>
          <w:szCs w:val="24"/>
        </w:rPr>
        <w:t>). To further capture differences in firms’ capital structure and financial risk, I add the debt ratio (</w:t>
      </w:r>
      <w:r w:rsidRPr="004D4D3A">
        <w:rPr>
          <w:rFonts w:ascii="Times New Roman" w:hAnsi="Times New Roman" w:cs="Times New Roman"/>
          <w:i/>
          <w:color w:val="000000" w:themeColor="text1"/>
          <w:kern w:val="0"/>
          <w:szCs w:val="24"/>
        </w:rPr>
        <w:t>LEV</w:t>
      </w:r>
      <w:r w:rsidRPr="004D4D3A">
        <w:rPr>
          <w:rFonts w:ascii="Times New Roman" w:hAnsi="Times New Roman" w:cs="Times New Roman"/>
          <w:color w:val="000000" w:themeColor="text1"/>
          <w:kern w:val="0"/>
          <w:szCs w:val="24"/>
        </w:rPr>
        <w:t>) and cash flow from operations (</w:t>
      </w:r>
      <w:r w:rsidRPr="004D4D3A">
        <w:rPr>
          <w:rFonts w:ascii="Times New Roman" w:hAnsi="Times New Roman" w:cs="Times New Roman"/>
          <w:i/>
          <w:color w:val="000000" w:themeColor="text1"/>
          <w:kern w:val="0"/>
          <w:szCs w:val="24"/>
        </w:rPr>
        <w:t>CFO</w:t>
      </w:r>
      <w:r w:rsidRPr="004D4D3A">
        <w:rPr>
          <w:rFonts w:ascii="Times New Roman" w:hAnsi="Times New Roman" w:cs="Times New Roman"/>
          <w:color w:val="000000" w:themeColor="text1"/>
          <w:kern w:val="0"/>
          <w:szCs w:val="24"/>
        </w:rPr>
        <w:t xml:space="preserve">) as measures of financial liquidity (Landsman et al., 2009; Boone et al., 2015). </w:t>
      </w:r>
      <w:r w:rsidR="007A08F7" w:rsidRPr="004D4D3A">
        <w:rPr>
          <w:rFonts w:ascii="Times New Roman" w:hAnsi="Times New Roman" w:cs="Times New Roman"/>
          <w:color w:val="000000" w:themeColor="text1"/>
          <w:kern w:val="0"/>
          <w:szCs w:val="24"/>
        </w:rPr>
        <w:t>Fifth</w:t>
      </w:r>
      <w:r w:rsidRPr="004D4D3A">
        <w:rPr>
          <w:rFonts w:ascii="Times New Roman" w:hAnsi="Times New Roman" w:cs="Times New Roman"/>
          <w:color w:val="000000" w:themeColor="text1"/>
          <w:kern w:val="0"/>
          <w:szCs w:val="24"/>
        </w:rPr>
        <w:t xml:space="preserve">, research suggests that </w:t>
      </w:r>
      <w:r w:rsidRPr="004D4D3A">
        <w:rPr>
          <w:rFonts w:ascii="Times New Roman" w:hAnsi="Times New Roman" w:cs="Times New Roman"/>
          <w:color w:val="000000" w:themeColor="text1"/>
        </w:rPr>
        <w:t>the probability of an auditor switch increases with audit risk (</w:t>
      </w:r>
      <w:proofErr w:type="spellStart"/>
      <w:r w:rsidRPr="004D4D3A">
        <w:rPr>
          <w:rFonts w:ascii="Times New Roman" w:hAnsi="Times New Roman" w:cs="Times New Roman"/>
          <w:color w:val="000000" w:themeColor="text1"/>
        </w:rPr>
        <w:t>Dopuch</w:t>
      </w:r>
      <w:proofErr w:type="spellEnd"/>
      <w:r w:rsidRPr="004D4D3A">
        <w:rPr>
          <w:rFonts w:ascii="Times New Roman" w:hAnsi="Times New Roman" w:cs="Times New Roman"/>
          <w:color w:val="000000" w:themeColor="text1"/>
        </w:rPr>
        <w:t xml:space="preserve"> et al., 1987; Krishnan, 1994). </w:t>
      </w:r>
      <w:r w:rsidR="007B20DF">
        <w:rPr>
          <w:rFonts w:ascii="Times New Roman" w:hAnsi="Times New Roman" w:cs="Times New Roman"/>
          <w:color w:val="000000" w:themeColor="text1"/>
        </w:rPr>
        <w:t xml:space="preserve">To </w:t>
      </w:r>
      <w:r w:rsidR="007B20DF" w:rsidRPr="004D4D3A">
        <w:rPr>
          <w:rFonts w:ascii="Times New Roman" w:hAnsi="Times New Roman" w:cs="Times New Roman"/>
          <w:color w:val="000000" w:themeColor="text1"/>
        </w:rPr>
        <w:t xml:space="preserve">control for audit risk and complexity of client companies </w:t>
      </w:r>
      <w:r w:rsidRPr="004D4D3A">
        <w:rPr>
          <w:rFonts w:ascii="Times New Roman" w:hAnsi="Times New Roman" w:cs="Times New Roman"/>
          <w:color w:val="000000" w:themeColor="text1"/>
        </w:rPr>
        <w:t>I include the ratio of accounts receivable and inventory to total assets (</w:t>
      </w:r>
      <w:r w:rsidRPr="004D4D3A">
        <w:rPr>
          <w:rFonts w:ascii="Times New Roman" w:hAnsi="Times New Roman" w:cs="Times New Roman"/>
          <w:i/>
          <w:color w:val="000000" w:themeColor="text1"/>
        </w:rPr>
        <w:t>ARINV</w:t>
      </w:r>
      <w:r w:rsidRPr="004D4D3A">
        <w:rPr>
          <w:rFonts w:ascii="Times New Roman" w:hAnsi="Times New Roman" w:cs="Times New Roman"/>
          <w:color w:val="000000" w:themeColor="text1"/>
        </w:rPr>
        <w:t xml:space="preserve">). </w:t>
      </w:r>
      <w:r w:rsidR="007A08F7" w:rsidRPr="004D4D3A">
        <w:rPr>
          <w:rFonts w:ascii="Times New Roman" w:hAnsi="Times New Roman" w:cs="Times New Roman"/>
          <w:color w:val="000000" w:themeColor="text1"/>
        </w:rPr>
        <w:t>Sixth</w:t>
      </w:r>
      <w:r w:rsidRPr="004D4D3A">
        <w:rPr>
          <w:rFonts w:ascii="Times New Roman" w:hAnsi="Times New Roman" w:cs="Times New Roman"/>
          <w:color w:val="000000" w:themeColor="text1"/>
        </w:rPr>
        <w:t xml:space="preserve">, </w:t>
      </w:r>
      <w:r w:rsidR="00D81863">
        <w:rPr>
          <w:rFonts w:ascii="Times New Roman" w:hAnsi="Times New Roman" w:cs="Times New Roman"/>
          <w:color w:val="000000" w:themeColor="text1"/>
        </w:rPr>
        <w:t xml:space="preserve">I include an indicator for a </w:t>
      </w:r>
      <w:r w:rsidR="00D81863" w:rsidRPr="004D4D3A">
        <w:rPr>
          <w:rFonts w:ascii="Times New Roman" w:hAnsi="Times New Roman" w:cs="Times New Roman"/>
          <w:color w:val="000000" w:themeColor="text1"/>
        </w:rPr>
        <w:t>seasoned equity offering (</w:t>
      </w:r>
      <w:r w:rsidR="00D81863" w:rsidRPr="004D4D3A">
        <w:rPr>
          <w:rFonts w:ascii="Times New Roman" w:hAnsi="Times New Roman" w:cs="Times New Roman"/>
          <w:i/>
          <w:color w:val="000000" w:themeColor="text1"/>
        </w:rPr>
        <w:t>SEO</w:t>
      </w:r>
      <w:r w:rsidR="00D81863" w:rsidRPr="004D4D3A">
        <w:rPr>
          <w:rFonts w:ascii="Times New Roman" w:hAnsi="Times New Roman" w:cs="Times New Roman"/>
          <w:color w:val="000000" w:themeColor="text1"/>
        </w:rPr>
        <w:t>)</w:t>
      </w:r>
      <w:r w:rsidR="00D81863">
        <w:rPr>
          <w:rFonts w:ascii="Times New Roman" w:hAnsi="Times New Roman" w:cs="Times New Roman"/>
          <w:color w:val="000000" w:themeColor="text1"/>
        </w:rPr>
        <w:t xml:space="preserve"> as </w:t>
      </w:r>
      <w:r w:rsidRPr="004D4D3A">
        <w:rPr>
          <w:rFonts w:ascii="Times New Roman" w:hAnsi="Times New Roman" w:cs="Times New Roman"/>
          <w:color w:val="000000" w:themeColor="text1"/>
        </w:rPr>
        <w:t xml:space="preserve">Chan et al. (2006) indicate that a </w:t>
      </w:r>
      <w:r w:rsidR="005F4D93">
        <w:rPr>
          <w:rFonts w:ascii="Times New Roman" w:hAnsi="Times New Roman" w:cs="Times New Roman"/>
          <w:color w:val="000000" w:themeColor="text1"/>
        </w:rPr>
        <w:t>desire</w:t>
      </w:r>
      <w:r w:rsidRPr="004D4D3A">
        <w:rPr>
          <w:rFonts w:ascii="Times New Roman" w:hAnsi="Times New Roman" w:cs="Times New Roman"/>
          <w:color w:val="000000" w:themeColor="text1"/>
        </w:rPr>
        <w:t xml:space="preserve"> to raise equity capital creates incentives for firms to care more about audit quality, and these firms are less likely to change </w:t>
      </w:r>
      <w:r w:rsidR="00EA3C8E">
        <w:rPr>
          <w:rFonts w:ascii="Times New Roman" w:hAnsi="Times New Roman" w:cs="Times New Roman"/>
          <w:color w:val="000000" w:themeColor="text1"/>
        </w:rPr>
        <w:t xml:space="preserve">their </w:t>
      </w:r>
      <w:r w:rsidRPr="004D4D3A">
        <w:rPr>
          <w:rFonts w:ascii="Times New Roman" w:hAnsi="Times New Roman" w:cs="Times New Roman"/>
          <w:color w:val="000000" w:themeColor="text1"/>
        </w:rPr>
        <w:t>auditor. Seventh, I control for fi</w:t>
      </w:r>
      <w:r w:rsidRPr="004D4D3A">
        <w:rPr>
          <w:rFonts w:ascii="Times New Roman" w:hAnsi="Times New Roman" w:cs="Times New Roman"/>
          <w:color w:val="000000" w:themeColor="text1"/>
          <w:kern w:val="0"/>
          <w:szCs w:val="24"/>
        </w:rPr>
        <w:t>rm size (</w:t>
      </w:r>
      <w:r w:rsidRPr="004D4D3A">
        <w:rPr>
          <w:rFonts w:ascii="Times New Roman" w:hAnsi="Times New Roman" w:cs="Times New Roman"/>
          <w:i/>
          <w:color w:val="000000" w:themeColor="text1"/>
          <w:kern w:val="0"/>
          <w:szCs w:val="24"/>
        </w:rPr>
        <w:t>SIZE</w:t>
      </w:r>
      <w:r w:rsidRPr="004D4D3A">
        <w:rPr>
          <w:rFonts w:ascii="Times New Roman" w:hAnsi="Times New Roman" w:cs="Times New Roman"/>
          <w:color w:val="000000" w:themeColor="text1"/>
          <w:kern w:val="0"/>
          <w:szCs w:val="24"/>
        </w:rPr>
        <w:t>) because large and complex firms are less likely to change the</w:t>
      </w:r>
      <w:r w:rsidR="00613D58" w:rsidRPr="004D4D3A">
        <w:rPr>
          <w:rFonts w:ascii="Times New Roman" w:hAnsi="Times New Roman" w:cs="Times New Roman"/>
          <w:color w:val="000000" w:themeColor="text1"/>
          <w:kern w:val="0"/>
          <w:szCs w:val="24"/>
        </w:rPr>
        <w:t>ir</w:t>
      </w:r>
      <w:r w:rsidRPr="004D4D3A">
        <w:rPr>
          <w:rFonts w:ascii="Times New Roman" w:hAnsi="Times New Roman" w:cs="Times New Roman"/>
          <w:color w:val="000000" w:themeColor="text1"/>
          <w:kern w:val="0"/>
          <w:szCs w:val="24"/>
        </w:rPr>
        <w:t xml:space="preserve"> auditor</w:t>
      </w:r>
      <w:r w:rsidR="00613D58" w:rsidRPr="004D4D3A">
        <w:rPr>
          <w:rFonts w:ascii="Times New Roman" w:hAnsi="Times New Roman" w:cs="Times New Roman"/>
          <w:color w:val="000000" w:themeColor="text1"/>
          <w:kern w:val="0"/>
          <w:szCs w:val="24"/>
        </w:rPr>
        <w:t>s</w:t>
      </w:r>
      <w:r w:rsidRPr="004D4D3A">
        <w:rPr>
          <w:rFonts w:ascii="Times New Roman" w:hAnsi="Times New Roman" w:cs="Times New Roman"/>
          <w:color w:val="000000" w:themeColor="text1"/>
          <w:kern w:val="0"/>
          <w:szCs w:val="24"/>
        </w:rPr>
        <w:t xml:space="preserve"> (</w:t>
      </w:r>
      <w:proofErr w:type="spellStart"/>
      <w:r w:rsidRPr="004D4D3A">
        <w:rPr>
          <w:rFonts w:ascii="Times New Roman" w:hAnsi="Times New Roman" w:cs="Times New Roman"/>
          <w:color w:val="000000" w:themeColor="text1"/>
          <w:kern w:val="0"/>
          <w:szCs w:val="24"/>
        </w:rPr>
        <w:t>Hennes</w:t>
      </w:r>
      <w:proofErr w:type="spellEnd"/>
      <w:r w:rsidRPr="004D4D3A">
        <w:rPr>
          <w:rFonts w:ascii="Times New Roman" w:hAnsi="Times New Roman" w:cs="Times New Roman"/>
          <w:color w:val="000000" w:themeColor="text1"/>
          <w:kern w:val="0"/>
          <w:szCs w:val="24"/>
        </w:rPr>
        <w:t xml:space="preserve"> et al., </w:t>
      </w:r>
      <w:r w:rsidR="009A009C" w:rsidRPr="004D4D3A">
        <w:rPr>
          <w:rFonts w:ascii="Times New Roman" w:hAnsi="Times New Roman" w:cs="Times New Roman"/>
          <w:color w:val="000000" w:themeColor="text1"/>
          <w:kern w:val="0"/>
          <w:szCs w:val="24"/>
        </w:rPr>
        <w:t>2014</w:t>
      </w:r>
      <w:r w:rsidRPr="004D4D3A">
        <w:rPr>
          <w:rFonts w:ascii="Times New Roman" w:hAnsi="Times New Roman" w:cs="Times New Roman"/>
          <w:color w:val="000000" w:themeColor="text1"/>
          <w:kern w:val="0"/>
          <w:szCs w:val="24"/>
        </w:rPr>
        <w:t xml:space="preserve">). </w:t>
      </w:r>
      <w:r w:rsidRPr="004D4D3A">
        <w:rPr>
          <w:rFonts w:ascii="Times New Roman" w:hAnsi="Times New Roman" w:cs="Times New Roman"/>
          <w:color w:val="000000" w:themeColor="text1"/>
        </w:rPr>
        <w:t>Similarly, I control for firm age (</w:t>
      </w:r>
      <w:r w:rsidRPr="004D4D3A">
        <w:rPr>
          <w:rFonts w:ascii="Times New Roman" w:hAnsi="Times New Roman" w:cs="Times New Roman"/>
          <w:i/>
          <w:color w:val="000000" w:themeColor="text1"/>
        </w:rPr>
        <w:t>AGE</w:t>
      </w:r>
      <w:r w:rsidRPr="004D4D3A">
        <w:rPr>
          <w:rFonts w:ascii="Times New Roman" w:hAnsi="Times New Roman" w:cs="Times New Roman"/>
          <w:color w:val="000000" w:themeColor="text1"/>
        </w:rPr>
        <w:t>), as firms of different ages may differ</w:t>
      </w:r>
      <w:r w:rsidR="00EA3C8E">
        <w:rPr>
          <w:rFonts w:ascii="Times New Roman" w:hAnsi="Times New Roman" w:cs="Times New Roman"/>
          <w:color w:val="000000" w:themeColor="text1"/>
        </w:rPr>
        <w:t xml:space="preserve"> in their decisions about switching </w:t>
      </w:r>
      <w:r w:rsidRPr="004D4D3A">
        <w:rPr>
          <w:rFonts w:ascii="Times New Roman" w:hAnsi="Times New Roman" w:cs="Times New Roman"/>
          <w:color w:val="000000" w:themeColor="text1"/>
        </w:rPr>
        <w:t>auditor</w:t>
      </w:r>
      <w:r w:rsidR="00EA3C8E">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Finally, I include </w:t>
      </w:r>
      <w:r w:rsidR="00C259ED" w:rsidRPr="004D4D3A">
        <w:rPr>
          <w:rFonts w:ascii="Times New Roman" w:hAnsi="Times New Roman" w:cs="Times New Roman"/>
          <w:color w:val="000000" w:themeColor="text1"/>
        </w:rPr>
        <w:t>year</w:t>
      </w:r>
      <w:r w:rsidRPr="004D4D3A">
        <w:rPr>
          <w:rFonts w:ascii="Times New Roman" w:hAnsi="Times New Roman" w:cs="Times New Roman"/>
          <w:color w:val="000000" w:themeColor="text1"/>
        </w:rPr>
        <w:t xml:space="preserve"> and </w:t>
      </w:r>
      <w:r w:rsidR="00C259ED" w:rsidRPr="004D4D3A">
        <w:rPr>
          <w:rFonts w:ascii="Times New Roman" w:hAnsi="Times New Roman" w:cs="Times New Roman"/>
          <w:color w:val="000000" w:themeColor="text1"/>
        </w:rPr>
        <w:t>industry</w:t>
      </w:r>
      <w:r w:rsidRPr="004D4D3A">
        <w:rPr>
          <w:rFonts w:ascii="Times New Roman" w:hAnsi="Times New Roman" w:cs="Times New Roman"/>
          <w:color w:val="000000" w:themeColor="text1"/>
        </w:rPr>
        <w:t xml:space="preserve"> dummies to control for </w:t>
      </w:r>
      <w:r w:rsidR="00C259ED" w:rsidRPr="004D4D3A">
        <w:rPr>
          <w:rFonts w:ascii="Times New Roman" w:hAnsi="Times New Roman" w:cs="Times New Roman"/>
          <w:color w:val="000000" w:themeColor="text1"/>
        </w:rPr>
        <w:t>year</w:t>
      </w:r>
      <w:r w:rsidRPr="004D4D3A">
        <w:rPr>
          <w:rFonts w:ascii="Times New Roman" w:hAnsi="Times New Roman" w:cs="Times New Roman"/>
          <w:color w:val="000000" w:themeColor="text1"/>
        </w:rPr>
        <w:t xml:space="preserve"> and </w:t>
      </w:r>
      <w:r w:rsidR="00C259ED" w:rsidRPr="004D4D3A">
        <w:rPr>
          <w:rFonts w:ascii="Times New Roman" w:hAnsi="Times New Roman" w:cs="Times New Roman"/>
          <w:color w:val="000000" w:themeColor="text1"/>
        </w:rPr>
        <w:t>industry</w:t>
      </w:r>
      <w:r w:rsidRPr="004D4D3A">
        <w:rPr>
          <w:rFonts w:ascii="Times New Roman" w:hAnsi="Times New Roman" w:cs="Times New Roman"/>
          <w:color w:val="000000" w:themeColor="text1"/>
        </w:rPr>
        <w:t xml:space="preserve"> effects.</w:t>
      </w:r>
    </w:p>
    <w:p w14:paraId="66DB9924" w14:textId="77777777" w:rsidR="00943D17" w:rsidRPr="004D4D3A" w:rsidRDefault="00943D17" w:rsidP="00A46D08">
      <w:pPr>
        <w:spacing w:line="400" w:lineRule="exact"/>
        <w:rPr>
          <w:rFonts w:ascii="Times New Roman" w:hAnsi="Times New Roman" w:cs="Times New Roman"/>
          <w:color w:val="000000" w:themeColor="text1"/>
        </w:rPr>
      </w:pPr>
    </w:p>
    <w:p w14:paraId="01923F08" w14:textId="68687C67" w:rsidR="00250A7F" w:rsidRPr="004D4D3A" w:rsidRDefault="00250A7F" w:rsidP="00631E95">
      <w:pPr>
        <w:spacing w:line="400" w:lineRule="exact"/>
        <w:rPr>
          <w:rFonts w:ascii="Times New Roman" w:eastAsia="標楷體" w:hAnsi="Times New Roman" w:cs="Times New Roman"/>
          <w:b/>
          <w:color w:val="000000" w:themeColor="text1"/>
        </w:rPr>
      </w:pPr>
      <w:r w:rsidRPr="004D4D3A">
        <w:rPr>
          <w:rFonts w:ascii="Times New Roman" w:eastAsia="標楷體" w:hAnsi="Times New Roman" w:cs="Times New Roman"/>
          <w:b/>
          <w:color w:val="000000" w:themeColor="text1"/>
        </w:rPr>
        <w:t>3.3 Sample selection</w:t>
      </w:r>
    </w:p>
    <w:p w14:paraId="6288D72B" w14:textId="42E7D095" w:rsidR="00250A7F" w:rsidRPr="004D4D3A" w:rsidRDefault="00954359" w:rsidP="00631E95">
      <w:pPr>
        <w:spacing w:line="400" w:lineRule="exact"/>
        <w:ind w:firstLineChars="200" w:firstLine="480"/>
        <w:rPr>
          <w:rFonts w:ascii="Times New Roman" w:eastAsia="標楷體" w:hAnsi="Times New Roman" w:cs="Times New Roman"/>
          <w:color w:val="000000" w:themeColor="text1"/>
        </w:rPr>
      </w:pPr>
      <w:r w:rsidRPr="004D4D3A">
        <w:rPr>
          <w:rFonts w:ascii="Times New Roman" w:eastAsia="標楷體" w:hAnsi="Times New Roman" w:cs="Times New Roman"/>
          <w:color w:val="000000" w:themeColor="text1"/>
        </w:rPr>
        <w:t>Table 1 summar</w:t>
      </w:r>
      <w:r w:rsidR="00EA3C8E">
        <w:rPr>
          <w:rFonts w:ascii="Times New Roman" w:eastAsia="標楷體" w:hAnsi="Times New Roman" w:cs="Times New Roman"/>
          <w:color w:val="000000" w:themeColor="text1"/>
        </w:rPr>
        <w:t>izes</w:t>
      </w:r>
      <w:r w:rsidRPr="004D4D3A">
        <w:rPr>
          <w:rFonts w:ascii="Times New Roman" w:eastAsia="標楷體" w:hAnsi="Times New Roman" w:cs="Times New Roman"/>
          <w:color w:val="000000" w:themeColor="text1"/>
        </w:rPr>
        <w:t xml:space="preserve"> the sample selection process. </w:t>
      </w:r>
      <w:r w:rsidR="00250A7F" w:rsidRPr="004D4D3A">
        <w:rPr>
          <w:rFonts w:ascii="Times New Roman" w:eastAsia="標楷體" w:hAnsi="Times New Roman" w:cs="Times New Roman"/>
          <w:color w:val="000000" w:themeColor="text1"/>
        </w:rPr>
        <w:t>The sample consists of A-share firms listed on the Shanghai and Shenzhen Stock Exchanges for the period 2002-2015.</w:t>
      </w:r>
      <w:r w:rsidR="00250A7F" w:rsidRPr="004D4D3A">
        <w:rPr>
          <w:rStyle w:val="aa"/>
          <w:rFonts w:ascii="Times New Roman" w:eastAsia="標楷體" w:hAnsi="Times New Roman" w:cs="Times New Roman"/>
          <w:color w:val="000000" w:themeColor="text1"/>
        </w:rPr>
        <w:footnoteReference w:id="9"/>
      </w:r>
      <w:r w:rsidR="00250A7F" w:rsidRPr="004D4D3A">
        <w:rPr>
          <w:rFonts w:ascii="Times New Roman" w:eastAsia="標楷體" w:hAnsi="Times New Roman" w:cs="Times New Roman"/>
          <w:color w:val="000000" w:themeColor="text1"/>
        </w:rPr>
        <w:t xml:space="preserve"> I retrieve firms’ RPTs, accounting, and stock return data mainly from the China Stock Market and Accounting Research (CSMAR) database, and auditor data from</w:t>
      </w:r>
      <w:r w:rsidR="00C611FA">
        <w:rPr>
          <w:rFonts w:ascii="Times New Roman" w:eastAsia="標楷體" w:hAnsi="Times New Roman" w:cs="Times New Roman"/>
          <w:color w:val="000000" w:themeColor="text1"/>
        </w:rPr>
        <w:t xml:space="preserve"> the</w:t>
      </w:r>
      <w:r w:rsidR="00250A7F" w:rsidRPr="004D4D3A">
        <w:rPr>
          <w:rFonts w:ascii="Times New Roman" w:eastAsia="標楷體" w:hAnsi="Times New Roman" w:cs="Times New Roman"/>
          <w:color w:val="000000" w:themeColor="text1"/>
        </w:rPr>
        <w:t xml:space="preserve"> Taiwan Economic Journal (TEJ) database. The sample starts in 2002 because this is the first year that data on the reasons for switching audit firm</w:t>
      </w:r>
      <w:r w:rsidR="00C611FA">
        <w:rPr>
          <w:rFonts w:ascii="Times New Roman" w:eastAsia="標楷體" w:hAnsi="Times New Roman" w:cs="Times New Roman"/>
          <w:color w:val="000000" w:themeColor="text1"/>
        </w:rPr>
        <w:t>s</w:t>
      </w:r>
      <w:r w:rsidR="00250A7F" w:rsidRPr="004D4D3A">
        <w:rPr>
          <w:rFonts w:ascii="Times New Roman" w:eastAsia="標楷體" w:hAnsi="Times New Roman" w:cs="Times New Roman"/>
          <w:color w:val="000000" w:themeColor="text1"/>
        </w:rPr>
        <w:t xml:space="preserve"> </w:t>
      </w:r>
      <w:r w:rsidR="00EA3C8E">
        <w:rPr>
          <w:rFonts w:ascii="Times New Roman" w:eastAsia="標楷體" w:hAnsi="Times New Roman" w:cs="Times New Roman"/>
          <w:color w:val="000000" w:themeColor="text1"/>
        </w:rPr>
        <w:t>is</w:t>
      </w:r>
      <w:r w:rsidR="00250A7F" w:rsidRPr="004D4D3A">
        <w:rPr>
          <w:rFonts w:ascii="Times New Roman" w:eastAsia="標楷體" w:hAnsi="Times New Roman" w:cs="Times New Roman"/>
          <w:color w:val="000000" w:themeColor="text1"/>
        </w:rPr>
        <w:t xml:space="preserve"> officially and fully disclosed. From the 24,218 A-share firm-year observations available in CSMAR, I first exclude financial service and insurance firms (581 observations) and first-year IPO firms (1,229 observations). I also remove </w:t>
      </w:r>
      <w:r w:rsidR="009361CF" w:rsidRPr="004D4D3A">
        <w:rPr>
          <w:rFonts w:ascii="Times New Roman" w:eastAsia="標楷體" w:hAnsi="Times New Roman" w:cs="Times New Roman"/>
          <w:color w:val="000000" w:themeColor="text1"/>
        </w:rPr>
        <w:t>3,891</w:t>
      </w:r>
      <w:r w:rsidR="00250A7F" w:rsidRPr="004D4D3A">
        <w:rPr>
          <w:rFonts w:ascii="Times New Roman" w:eastAsia="標楷體" w:hAnsi="Times New Roman" w:cs="Times New Roman"/>
          <w:color w:val="000000" w:themeColor="text1"/>
        </w:rPr>
        <w:t xml:space="preserve"> observations due to missing data </w:t>
      </w:r>
      <w:r w:rsidR="00D81863">
        <w:rPr>
          <w:rFonts w:ascii="Times New Roman" w:eastAsia="標楷體" w:hAnsi="Times New Roman" w:cs="Times New Roman"/>
          <w:color w:val="000000" w:themeColor="text1"/>
        </w:rPr>
        <w:t>for</w:t>
      </w:r>
      <w:r w:rsidR="00250A7F" w:rsidRPr="004D4D3A">
        <w:rPr>
          <w:rFonts w:ascii="Times New Roman" w:eastAsia="標楷體" w:hAnsi="Times New Roman" w:cs="Times New Roman"/>
          <w:color w:val="000000" w:themeColor="text1"/>
        </w:rPr>
        <w:t xml:space="preserve"> auditor identities, related party transactions</w:t>
      </w:r>
      <w:r w:rsidR="00A42055">
        <w:rPr>
          <w:rFonts w:ascii="Times New Roman" w:eastAsia="標楷體" w:hAnsi="Times New Roman" w:cs="Times New Roman"/>
          <w:color w:val="000000" w:themeColor="text1"/>
        </w:rPr>
        <w:t>,</w:t>
      </w:r>
      <w:r w:rsidR="00250A7F" w:rsidRPr="004D4D3A">
        <w:rPr>
          <w:rFonts w:ascii="Times New Roman" w:eastAsia="標楷體" w:hAnsi="Times New Roman" w:cs="Times New Roman"/>
          <w:color w:val="000000" w:themeColor="text1"/>
        </w:rPr>
        <w:t xml:space="preserve"> and control variables in the regression models. I delete </w:t>
      </w:r>
      <w:r w:rsidR="009361CF" w:rsidRPr="004D4D3A">
        <w:rPr>
          <w:rFonts w:ascii="Times New Roman" w:eastAsia="標楷體" w:hAnsi="Times New Roman" w:cs="Times New Roman"/>
          <w:color w:val="000000" w:themeColor="text1"/>
        </w:rPr>
        <w:t>3,221</w:t>
      </w:r>
      <w:r w:rsidR="00250A7F" w:rsidRPr="004D4D3A">
        <w:rPr>
          <w:rFonts w:ascii="Times New Roman" w:eastAsia="標楷體" w:hAnsi="Times New Roman" w:cs="Times New Roman"/>
          <w:color w:val="000000" w:themeColor="text1"/>
        </w:rPr>
        <w:t xml:space="preserve"> observations of firms that switch signatory auditors who are not audit partners.</w:t>
      </w:r>
      <w:r w:rsidR="004B1657" w:rsidRPr="004D4D3A">
        <w:rPr>
          <w:rStyle w:val="aa"/>
          <w:rFonts w:ascii="Times New Roman" w:eastAsia="標楷體" w:hAnsi="Times New Roman" w:cs="Times New Roman"/>
          <w:color w:val="000000" w:themeColor="text1"/>
        </w:rPr>
        <w:footnoteReference w:id="10"/>
      </w:r>
      <w:r w:rsidR="00250A7F" w:rsidRPr="004D4D3A">
        <w:rPr>
          <w:rFonts w:ascii="Times New Roman" w:eastAsia="標楷體" w:hAnsi="Times New Roman" w:cs="Times New Roman"/>
          <w:color w:val="000000" w:themeColor="text1"/>
        </w:rPr>
        <w:t xml:space="preserve"> Since the research focus is on audit partner changes rather than audit firm switches, I delete </w:t>
      </w:r>
      <w:r w:rsidR="009361CF" w:rsidRPr="004D4D3A">
        <w:rPr>
          <w:rFonts w:ascii="Times New Roman" w:eastAsia="標楷體" w:hAnsi="Times New Roman" w:cs="Times New Roman"/>
          <w:color w:val="000000" w:themeColor="text1"/>
        </w:rPr>
        <w:t xml:space="preserve">860 </w:t>
      </w:r>
      <w:r w:rsidR="00250A7F" w:rsidRPr="004D4D3A">
        <w:rPr>
          <w:rFonts w:ascii="Times New Roman" w:eastAsia="標楷體" w:hAnsi="Times New Roman" w:cs="Times New Roman"/>
          <w:color w:val="000000" w:themeColor="text1"/>
        </w:rPr>
        <w:t xml:space="preserve">observations in which </w:t>
      </w:r>
      <w:r w:rsidR="00250A7F" w:rsidRPr="004D4D3A">
        <w:rPr>
          <w:rFonts w:ascii="Times New Roman" w:eastAsia="標楷體" w:hAnsi="Times New Roman" w:cs="Times New Roman"/>
          <w:color w:val="000000" w:themeColor="text1"/>
        </w:rPr>
        <w:lastRenderedPageBreak/>
        <w:t>clients switch audit firms.</w:t>
      </w:r>
      <w:r w:rsidR="003C7BA1" w:rsidRPr="004D4D3A">
        <w:rPr>
          <w:rStyle w:val="aa"/>
          <w:rFonts w:ascii="Times New Roman" w:eastAsia="標楷體" w:hAnsi="Times New Roman" w:cs="Times New Roman"/>
          <w:color w:val="000000" w:themeColor="text1"/>
        </w:rPr>
        <w:footnoteReference w:id="11"/>
      </w:r>
      <w:r w:rsidR="00250A7F" w:rsidRPr="004D4D3A">
        <w:rPr>
          <w:rFonts w:ascii="Times New Roman" w:eastAsia="標楷體" w:hAnsi="Times New Roman" w:cs="Times New Roman"/>
          <w:color w:val="000000" w:themeColor="text1"/>
        </w:rPr>
        <w:t xml:space="preserve"> Furthermore, in the spirit of Lennox (2002), I identify and delete observations with audit partner switches that do not appear to </w:t>
      </w:r>
      <w:r w:rsidR="00EA3C8E">
        <w:rPr>
          <w:rFonts w:ascii="Times New Roman" w:eastAsia="標楷體" w:hAnsi="Times New Roman" w:cs="Times New Roman"/>
          <w:color w:val="000000" w:themeColor="text1"/>
        </w:rPr>
        <w:t>relate to</w:t>
      </w:r>
      <w:r w:rsidR="00C611FA">
        <w:rPr>
          <w:rFonts w:ascii="Times New Roman" w:eastAsia="標楷體" w:hAnsi="Times New Roman" w:cs="Times New Roman"/>
          <w:color w:val="000000" w:themeColor="text1"/>
        </w:rPr>
        <w:t xml:space="preserve"> </w:t>
      </w:r>
      <w:r w:rsidR="00250A7F" w:rsidRPr="004D4D3A">
        <w:rPr>
          <w:rFonts w:ascii="Times New Roman" w:eastAsia="標楷體" w:hAnsi="Times New Roman" w:cs="Times New Roman"/>
          <w:color w:val="000000" w:themeColor="text1"/>
        </w:rPr>
        <w:t xml:space="preserve">clients’ opinion shopping motive. Specifically, I delete </w:t>
      </w:r>
      <w:r w:rsidR="009361CF" w:rsidRPr="004D4D3A">
        <w:rPr>
          <w:rFonts w:ascii="Times New Roman" w:eastAsia="標楷體" w:hAnsi="Times New Roman" w:cs="Times New Roman"/>
          <w:color w:val="000000" w:themeColor="text1"/>
        </w:rPr>
        <w:t xml:space="preserve">96 </w:t>
      </w:r>
      <w:r w:rsidR="00250A7F" w:rsidRPr="004D4D3A">
        <w:rPr>
          <w:rFonts w:ascii="Times New Roman" w:eastAsia="標楷體" w:hAnsi="Times New Roman" w:cs="Times New Roman"/>
          <w:color w:val="000000" w:themeColor="text1"/>
        </w:rPr>
        <w:t>observations in which an audit partner is rotated off due to reach</w:t>
      </w:r>
      <w:r w:rsidR="00C611FA">
        <w:rPr>
          <w:rFonts w:ascii="Times New Roman" w:eastAsia="標楷體" w:hAnsi="Times New Roman" w:cs="Times New Roman"/>
          <w:color w:val="000000" w:themeColor="text1"/>
        </w:rPr>
        <w:t>ing</w:t>
      </w:r>
      <w:r w:rsidR="00250A7F" w:rsidRPr="004D4D3A">
        <w:rPr>
          <w:rFonts w:ascii="Times New Roman" w:eastAsia="標楷體" w:hAnsi="Times New Roman" w:cs="Times New Roman"/>
          <w:color w:val="000000" w:themeColor="text1"/>
        </w:rPr>
        <w:t xml:space="preserve"> the upper limit of audit tenure for a company in the previous year.</w:t>
      </w:r>
      <w:r w:rsidR="00250A7F" w:rsidRPr="004D4D3A">
        <w:rPr>
          <w:rStyle w:val="aa"/>
          <w:rFonts w:ascii="Times New Roman" w:eastAsia="標楷體" w:hAnsi="Times New Roman" w:cs="Times New Roman"/>
          <w:color w:val="000000" w:themeColor="text1"/>
        </w:rPr>
        <w:footnoteReference w:id="12"/>
      </w:r>
      <w:r w:rsidR="00250A7F" w:rsidRPr="004D4D3A">
        <w:rPr>
          <w:rFonts w:ascii="Times New Roman" w:eastAsia="標楷體" w:hAnsi="Times New Roman" w:cs="Times New Roman"/>
          <w:color w:val="000000" w:themeColor="text1"/>
        </w:rPr>
        <w:t xml:space="preserve"> Partner switching c</w:t>
      </w:r>
      <w:r w:rsidR="00862857">
        <w:rPr>
          <w:rFonts w:ascii="Times New Roman" w:eastAsia="標楷體" w:hAnsi="Times New Roman" w:cs="Times New Roman"/>
          <w:color w:val="000000" w:themeColor="text1"/>
        </w:rPr>
        <w:t>an</w:t>
      </w:r>
      <w:r w:rsidR="00250A7F" w:rsidRPr="004D4D3A">
        <w:rPr>
          <w:rFonts w:ascii="Times New Roman" w:eastAsia="標楷體" w:hAnsi="Times New Roman" w:cs="Times New Roman"/>
          <w:color w:val="000000" w:themeColor="text1"/>
        </w:rPr>
        <w:t xml:space="preserve"> also occur if the partner retires (</w:t>
      </w:r>
      <w:r w:rsidR="009361CF" w:rsidRPr="004D4D3A">
        <w:rPr>
          <w:rFonts w:ascii="Times New Roman" w:eastAsia="標楷體" w:hAnsi="Times New Roman" w:cs="Times New Roman"/>
          <w:color w:val="000000" w:themeColor="text1"/>
        </w:rPr>
        <w:t xml:space="preserve">20 </w:t>
      </w:r>
      <w:r w:rsidR="00250A7F" w:rsidRPr="004D4D3A">
        <w:rPr>
          <w:rFonts w:ascii="Times New Roman" w:eastAsia="標楷體" w:hAnsi="Times New Roman" w:cs="Times New Roman"/>
          <w:color w:val="000000" w:themeColor="text1"/>
        </w:rPr>
        <w:t>observations), switches to another audit firm (</w:t>
      </w:r>
      <w:r w:rsidR="009361CF" w:rsidRPr="004D4D3A">
        <w:rPr>
          <w:rFonts w:ascii="Times New Roman" w:eastAsia="標楷體" w:hAnsi="Times New Roman" w:cs="Times New Roman"/>
          <w:color w:val="000000" w:themeColor="text1"/>
        </w:rPr>
        <w:t xml:space="preserve">287 </w:t>
      </w:r>
      <w:r w:rsidR="00250A7F" w:rsidRPr="004D4D3A">
        <w:rPr>
          <w:rFonts w:ascii="Times New Roman" w:eastAsia="標楷體" w:hAnsi="Times New Roman" w:cs="Times New Roman"/>
          <w:color w:val="000000" w:themeColor="text1"/>
        </w:rPr>
        <w:t xml:space="preserve">observations), or suspends or </w:t>
      </w:r>
      <w:r w:rsidR="00862857">
        <w:rPr>
          <w:rFonts w:ascii="Times New Roman" w:eastAsia="標楷體" w:hAnsi="Times New Roman" w:cs="Times New Roman"/>
          <w:color w:val="000000" w:themeColor="text1"/>
        </w:rPr>
        <w:t>terminates</w:t>
      </w:r>
      <w:r w:rsidR="00250A7F" w:rsidRPr="004D4D3A">
        <w:rPr>
          <w:rFonts w:ascii="Times New Roman" w:eastAsia="標楷體" w:hAnsi="Times New Roman" w:cs="Times New Roman"/>
          <w:color w:val="000000" w:themeColor="text1"/>
        </w:rPr>
        <w:t xml:space="preserve"> the audit practice (</w:t>
      </w:r>
      <w:r w:rsidR="009361CF" w:rsidRPr="004D4D3A">
        <w:rPr>
          <w:rFonts w:ascii="Times New Roman" w:eastAsia="標楷體" w:hAnsi="Times New Roman" w:cs="Times New Roman"/>
          <w:color w:val="000000" w:themeColor="text1"/>
        </w:rPr>
        <w:t xml:space="preserve">47 </w:t>
      </w:r>
      <w:r w:rsidR="00250A7F" w:rsidRPr="004D4D3A">
        <w:rPr>
          <w:rFonts w:ascii="Times New Roman" w:eastAsia="標楷體" w:hAnsi="Times New Roman" w:cs="Times New Roman"/>
          <w:color w:val="000000" w:themeColor="text1"/>
        </w:rPr>
        <w:t>observations).</w:t>
      </w:r>
      <w:r w:rsidR="00250A7F" w:rsidRPr="004D4D3A">
        <w:rPr>
          <w:rStyle w:val="aa"/>
          <w:rFonts w:ascii="Times New Roman" w:eastAsia="標楷體" w:hAnsi="Times New Roman" w:cs="Times New Roman"/>
          <w:color w:val="000000" w:themeColor="text1"/>
        </w:rPr>
        <w:footnoteReference w:id="13"/>
      </w:r>
      <w:r w:rsidR="00250A7F" w:rsidRPr="004D4D3A">
        <w:rPr>
          <w:rFonts w:ascii="Times New Roman" w:eastAsia="標楷體" w:hAnsi="Times New Roman" w:cs="Times New Roman"/>
          <w:color w:val="000000" w:themeColor="text1"/>
        </w:rPr>
        <w:t xml:space="preserve"> Furthermore,</w:t>
      </w:r>
      <w:r w:rsidR="00862857">
        <w:rPr>
          <w:rFonts w:ascii="Times New Roman" w:eastAsia="標楷體" w:hAnsi="Times New Roman" w:cs="Times New Roman"/>
          <w:color w:val="000000" w:themeColor="text1"/>
        </w:rPr>
        <w:t xml:space="preserve"> since</w:t>
      </w:r>
      <w:r w:rsidR="00250A7F" w:rsidRPr="004D4D3A">
        <w:rPr>
          <w:rFonts w:ascii="Times New Roman" w:eastAsia="標楷體" w:hAnsi="Times New Roman" w:cs="Times New Roman"/>
          <w:color w:val="000000" w:themeColor="text1"/>
        </w:rPr>
        <w:t xml:space="preserve"> temporary changes of engagement partner are not suggestive of opinion shopping</w:t>
      </w:r>
      <w:r w:rsidR="00862857">
        <w:rPr>
          <w:rFonts w:ascii="Times New Roman" w:eastAsia="標楷體" w:hAnsi="Times New Roman" w:cs="Times New Roman"/>
          <w:color w:val="000000" w:themeColor="text1"/>
        </w:rPr>
        <w:t xml:space="preserve">, I </w:t>
      </w:r>
      <w:r w:rsidR="00250A7F" w:rsidRPr="004D4D3A">
        <w:rPr>
          <w:rFonts w:ascii="Times New Roman" w:eastAsia="標楷體" w:hAnsi="Times New Roman" w:cs="Times New Roman"/>
          <w:color w:val="000000" w:themeColor="text1"/>
        </w:rPr>
        <w:t xml:space="preserve">delete </w:t>
      </w:r>
      <w:r w:rsidR="009361CF" w:rsidRPr="004D4D3A">
        <w:rPr>
          <w:rFonts w:ascii="Times New Roman" w:eastAsia="標楷體" w:hAnsi="Times New Roman" w:cs="Times New Roman"/>
          <w:color w:val="000000" w:themeColor="text1"/>
        </w:rPr>
        <w:t>1,159</w:t>
      </w:r>
      <w:r w:rsidR="00250A7F" w:rsidRPr="004D4D3A">
        <w:rPr>
          <w:rFonts w:ascii="Times New Roman" w:eastAsia="標楷體" w:hAnsi="Times New Roman" w:cs="Times New Roman"/>
          <w:color w:val="000000" w:themeColor="text1"/>
        </w:rPr>
        <w:t xml:space="preserve"> observations </w:t>
      </w:r>
      <w:r w:rsidR="006F2885">
        <w:rPr>
          <w:rFonts w:ascii="Times New Roman" w:eastAsia="標楷體" w:hAnsi="Times New Roman" w:cs="Times New Roman"/>
          <w:color w:val="000000" w:themeColor="text1"/>
        </w:rPr>
        <w:t>in which</w:t>
      </w:r>
      <w:r w:rsidR="00250A7F" w:rsidRPr="004D4D3A">
        <w:rPr>
          <w:rFonts w:ascii="Times New Roman" w:eastAsia="標楷體" w:hAnsi="Times New Roman" w:cs="Times New Roman"/>
          <w:color w:val="000000" w:themeColor="text1"/>
        </w:rPr>
        <w:t xml:space="preserve"> an audit partner is temporarily rotated off the current engagement in a given year but return to audit the same client after one or two years. This leaves a final sample of </w:t>
      </w:r>
      <w:r w:rsidR="009361CF" w:rsidRPr="004D4D3A">
        <w:rPr>
          <w:rFonts w:ascii="Times New Roman" w:eastAsia="標楷體" w:hAnsi="Times New Roman" w:cs="Times New Roman"/>
          <w:color w:val="000000" w:themeColor="text1"/>
        </w:rPr>
        <w:t>12,827</w:t>
      </w:r>
      <w:r w:rsidR="00250A7F" w:rsidRPr="004D4D3A">
        <w:rPr>
          <w:rFonts w:ascii="Times New Roman" w:eastAsia="標楷體" w:hAnsi="Times New Roman" w:cs="Times New Roman"/>
          <w:color w:val="000000" w:themeColor="text1"/>
        </w:rPr>
        <w:t xml:space="preserve"> firm-year observations.</w:t>
      </w:r>
    </w:p>
    <w:p w14:paraId="41AF7C01" w14:textId="77777777" w:rsidR="00250A7F" w:rsidRPr="004D4D3A" w:rsidRDefault="00250A7F" w:rsidP="00631E95">
      <w:pPr>
        <w:spacing w:line="400" w:lineRule="exact"/>
        <w:rPr>
          <w:rFonts w:ascii="Times New Roman" w:hAnsi="Times New Roman" w:cs="Times New Roman"/>
          <w:color w:val="000000" w:themeColor="text1"/>
        </w:rPr>
      </w:pPr>
    </w:p>
    <w:p w14:paraId="6C8C506F" w14:textId="0553D012" w:rsidR="00745130" w:rsidRPr="004D4D3A" w:rsidRDefault="00397F0D" w:rsidP="00631E95">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[Insert Table 1 here]</w:t>
      </w:r>
    </w:p>
    <w:p w14:paraId="0B984B45" w14:textId="77777777" w:rsidR="00745130" w:rsidRPr="004D4D3A" w:rsidRDefault="00745130" w:rsidP="00631E95">
      <w:pPr>
        <w:spacing w:line="400" w:lineRule="exact"/>
        <w:rPr>
          <w:rFonts w:ascii="Times New Roman" w:hAnsi="Times New Roman" w:cs="Times New Roman"/>
          <w:color w:val="000000" w:themeColor="text1"/>
        </w:rPr>
      </w:pPr>
    </w:p>
    <w:p w14:paraId="7681CFF0" w14:textId="08FA2B10" w:rsidR="008E1C97" w:rsidRPr="004D4D3A" w:rsidRDefault="008E1C97" w:rsidP="00631E95">
      <w:pPr>
        <w:spacing w:line="400" w:lineRule="exact"/>
        <w:rPr>
          <w:rFonts w:ascii="Times New Roman" w:hAnsi="Times New Roman" w:cs="Times New Roman"/>
          <w:b/>
          <w:color w:val="000000" w:themeColor="text1"/>
          <w:sz w:val="32"/>
          <w:szCs w:val="32"/>
        </w:rPr>
      </w:pPr>
      <w:r w:rsidRPr="004D4D3A">
        <w:rPr>
          <w:rFonts w:ascii="Times New Roman" w:hAnsi="Times New Roman" w:cs="Times New Roman"/>
          <w:b/>
          <w:color w:val="000000" w:themeColor="text1"/>
          <w:sz w:val="32"/>
          <w:szCs w:val="32"/>
        </w:rPr>
        <w:t>4. Results</w:t>
      </w:r>
    </w:p>
    <w:p w14:paraId="28CFFB27" w14:textId="50F94E47" w:rsidR="008E1C97" w:rsidRPr="004D4D3A" w:rsidRDefault="008E1C97" w:rsidP="00631E95">
      <w:pPr>
        <w:pStyle w:val="ac"/>
        <w:spacing w:line="400" w:lineRule="exact"/>
        <w:rPr>
          <w:rFonts w:ascii="Times New Roman" w:hAnsi="Times New Roman" w:cs="Times New Roman"/>
          <w:b/>
          <w:color w:val="000000" w:themeColor="text1"/>
          <w:szCs w:val="24"/>
        </w:rPr>
      </w:pPr>
      <w:r w:rsidRPr="004D4D3A">
        <w:rPr>
          <w:rFonts w:ascii="Times New Roman" w:hAnsi="Times New Roman" w:cs="Times New Roman"/>
          <w:b/>
          <w:color w:val="000000" w:themeColor="text1"/>
          <w:szCs w:val="24"/>
        </w:rPr>
        <w:t>4.</w:t>
      </w:r>
      <w:r w:rsidR="00250A7F" w:rsidRPr="004D4D3A">
        <w:rPr>
          <w:rFonts w:ascii="Times New Roman" w:hAnsi="Times New Roman" w:cs="Times New Roman"/>
          <w:b/>
          <w:color w:val="000000" w:themeColor="text1"/>
          <w:szCs w:val="24"/>
        </w:rPr>
        <w:t>1</w:t>
      </w:r>
      <w:r w:rsidRPr="004D4D3A">
        <w:rPr>
          <w:rFonts w:ascii="Times New Roman" w:hAnsi="Times New Roman" w:cs="Times New Roman"/>
          <w:b/>
          <w:color w:val="000000" w:themeColor="text1"/>
          <w:szCs w:val="24"/>
        </w:rPr>
        <w:t xml:space="preserve"> Descriptive statistics</w:t>
      </w:r>
    </w:p>
    <w:p w14:paraId="10981C27" w14:textId="605399E7" w:rsidR="008E1C97" w:rsidRPr="004D4D3A" w:rsidRDefault="00745130" w:rsidP="00631E95">
      <w:pPr>
        <w:pStyle w:val="ac"/>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Table </w:t>
      </w:r>
      <w:r w:rsidR="00397F0D" w:rsidRPr="004D4D3A">
        <w:rPr>
          <w:rFonts w:ascii="Times New Roman" w:hAnsi="Times New Roman" w:cs="Times New Roman"/>
          <w:color w:val="000000" w:themeColor="text1"/>
        </w:rPr>
        <w:t xml:space="preserve">2 provides descriptive statistics of the sample. The </w:t>
      </w:r>
      <w:r w:rsidR="008A7DE4" w:rsidRPr="004D4D3A">
        <w:rPr>
          <w:rFonts w:ascii="Times New Roman" w:hAnsi="Times New Roman" w:cs="Times New Roman"/>
          <w:color w:val="000000" w:themeColor="text1"/>
        </w:rPr>
        <w:t xml:space="preserve">average </w:t>
      </w:r>
      <w:r w:rsidR="008A7DE4" w:rsidRPr="004D4D3A">
        <w:rPr>
          <w:rFonts w:ascii="Times New Roman" w:hAnsi="Times New Roman" w:cs="Times New Roman"/>
          <w:i/>
          <w:color w:val="000000" w:themeColor="text1"/>
        </w:rPr>
        <w:t>PSWITCH</w:t>
      </w:r>
      <w:r w:rsidR="008A7DE4" w:rsidRPr="004D4D3A">
        <w:rPr>
          <w:rFonts w:ascii="Times New Roman" w:hAnsi="Times New Roman" w:cs="Times New Roman"/>
          <w:color w:val="000000" w:themeColor="text1"/>
        </w:rPr>
        <w:t xml:space="preserve"> is 0.43, suggesting that 43% of sample firms switch audit partners before they </w:t>
      </w:r>
      <w:r w:rsidR="00E46D3B" w:rsidRPr="004D4D3A">
        <w:rPr>
          <w:rFonts w:ascii="Times New Roman" w:hAnsi="Times New Roman" w:cs="Times New Roman"/>
          <w:color w:val="000000" w:themeColor="text1"/>
        </w:rPr>
        <w:t xml:space="preserve">arrive at the </w:t>
      </w:r>
      <w:r w:rsidR="008A7DE4" w:rsidRPr="004D4D3A">
        <w:rPr>
          <w:rFonts w:ascii="Times New Roman" w:hAnsi="Times New Roman" w:cs="Times New Roman"/>
          <w:color w:val="000000" w:themeColor="text1"/>
        </w:rPr>
        <w:t xml:space="preserve">tenure </w:t>
      </w:r>
      <w:r w:rsidR="00E46D3B" w:rsidRPr="004D4D3A">
        <w:rPr>
          <w:rFonts w:ascii="Times New Roman" w:hAnsi="Times New Roman" w:cs="Times New Roman"/>
          <w:color w:val="000000" w:themeColor="text1"/>
        </w:rPr>
        <w:t>limit of mandatory rotation. This is consistent with pr</w:t>
      </w:r>
      <w:r w:rsidR="00C30F7A">
        <w:rPr>
          <w:rFonts w:ascii="Times New Roman" w:hAnsi="Times New Roman" w:cs="Times New Roman"/>
          <w:color w:val="000000" w:themeColor="text1"/>
        </w:rPr>
        <w:t>ior</w:t>
      </w:r>
      <w:r w:rsidR="00E46D3B" w:rsidRPr="004D4D3A">
        <w:rPr>
          <w:rFonts w:ascii="Times New Roman" w:hAnsi="Times New Roman" w:cs="Times New Roman"/>
          <w:color w:val="000000" w:themeColor="text1"/>
        </w:rPr>
        <w:t xml:space="preserve"> work</w:t>
      </w:r>
      <w:r w:rsidR="00AF40B3">
        <w:rPr>
          <w:rFonts w:ascii="Times New Roman" w:hAnsi="Times New Roman" w:cs="Times New Roman"/>
          <w:color w:val="000000" w:themeColor="text1"/>
        </w:rPr>
        <w:t xml:space="preserve"> finding</w:t>
      </w:r>
      <w:r w:rsidR="00E46D3B" w:rsidRPr="004D4D3A">
        <w:rPr>
          <w:rFonts w:ascii="Times New Roman" w:hAnsi="Times New Roman" w:cs="Times New Roman"/>
          <w:color w:val="000000" w:themeColor="text1"/>
        </w:rPr>
        <w:t xml:space="preserve"> that audit partner switches are prevalent in </w:t>
      </w:r>
      <w:r w:rsidR="00AF40B3">
        <w:rPr>
          <w:rFonts w:ascii="Times New Roman" w:hAnsi="Times New Roman" w:cs="Times New Roman"/>
          <w:color w:val="000000" w:themeColor="text1"/>
        </w:rPr>
        <w:t xml:space="preserve">the </w:t>
      </w:r>
      <w:r w:rsidR="00E46D3B" w:rsidRPr="004D4D3A">
        <w:rPr>
          <w:rFonts w:ascii="Times New Roman" w:hAnsi="Times New Roman" w:cs="Times New Roman"/>
          <w:color w:val="000000" w:themeColor="text1"/>
        </w:rPr>
        <w:t>Chinese capital market (</w:t>
      </w:r>
      <w:r w:rsidR="00A74794" w:rsidRPr="004D4D3A">
        <w:rPr>
          <w:rFonts w:ascii="Times New Roman" w:hAnsi="Times New Roman" w:cs="Times New Roman"/>
          <w:color w:val="000000" w:themeColor="text1"/>
        </w:rPr>
        <w:t xml:space="preserve">Firth et al., 2013; Lennox et al., 2014; </w:t>
      </w:r>
      <w:r w:rsidR="00E46D3B" w:rsidRPr="004D4D3A">
        <w:rPr>
          <w:rFonts w:ascii="Times New Roman" w:hAnsi="Times New Roman" w:cs="Times New Roman"/>
          <w:color w:val="000000" w:themeColor="text1"/>
        </w:rPr>
        <w:t>Chen et al., 2016)</w:t>
      </w:r>
      <w:r w:rsidR="00A74794" w:rsidRPr="004D4D3A">
        <w:rPr>
          <w:rFonts w:ascii="Times New Roman" w:hAnsi="Times New Roman" w:cs="Times New Roman"/>
          <w:color w:val="000000" w:themeColor="text1"/>
        </w:rPr>
        <w:t xml:space="preserve">. </w:t>
      </w:r>
      <w:r w:rsidR="00631E95" w:rsidRPr="004D4D3A">
        <w:rPr>
          <w:rFonts w:ascii="Times New Roman" w:hAnsi="Times New Roman" w:cs="Times New Roman"/>
          <w:color w:val="000000" w:themeColor="text1"/>
        </w:rPr>
        <w:t xml:space="preserve">The average </w:t>
      </w:r>
      <w:r w:rsidR="00631E95" w:rsidRPr="004D4D3A">
        <w:rPr>
          <w:rFonts w:ascii="Times New Roman" w:hAnsi="Times New Roman" w:cs="Times New Roman"/>
          <w:i/>
          <w:color w:val="000000" w:themeColor="text1"/>
        </w:rPr>
        <w:t>POPSHOP</w:t>
      </w:r>
      <w:r w:rsidR="00631E95" w:rsidRPr="004D4D3A">
        <w:rPr>
          <w:rFonts w:ascii="Times New Roman" w:hAnsi="Times New Roman" w:cs="Times New Roman"/>
          <w:color w:val="000000" w:themeColor="text1"/>
        </w:rPr>
        <w:t xml:space="preserve"> is -0.002, indicating that firms </w:t>
      </w:r>
      <w:r w:rsidR="008E1711">
        <w:rPr>
          <w:rFonts w:ascii="Times New Roman" w:hAnsi="Times New Roman" w:cs="Times New Roman"/>
          <w:color w:val="000000" w:themeColor="text1"/>
        </w:rPr>
        <w:t>can</w:t>
      </w:r>
      <w:r w:rsidR="00C22D15">
        <w:rPr>
          <w:rFonts w:ascii="Times New Roman" w:hAnsi="Times New Roman" w:cs="Times New Roman"/>
          <w:color w:val="000000" w:themeColor="text1"/>
        </w:rPr>
        <w:t xml:space="preserve"> </w:t>
      </w:r>
      <w:r w:rsidR="00631E95" w:rsidRPr="004D4D3A">
        <w:rPr>
          <w:rFonts w:ascii="Times New Roman" w:hAnsi="Times New Roman" w:cs="Times New Roman"/>
          <w:color w:val="000000" w:themeColor="text1"/>
        </w:rPr>
        <w:t xml:space="preserve">improve audit opinions </w:t>
      </w:r>
      <w:r w:rsidR="00686179" w:rsidRPr="004D4D3A">
        <w:rPr>
          <w:rFonts w:ascii="Times New Roman" w:hAnsi="Times New Roman" w:cs="Times New Roman"/>
          <w:color w:val="000000" w:themeColor="text1"/>
        </w:rPr>
        <w:t>if</w:t>
      </w:r>
      <w:r w:rsidR="00631E95" w:rsidRPr="004D4D3A">
        <w:rPr>
          <w:rFonts w:ascii="Times New Roman" w:hAnsi="Times New Roman" w:cs="Times New Roman"/>
          <w:color w:val="000000" w:themeColor="text1"/>
        </w:rPr>
        <w:t xml:space="preserve"> </w:t>
      </w:r>
      <w:r w:rsidR="00686179" w:rsidRPr="004D4D3A">
        <w:rPr>
          <w:rFonts w:ascii="Times New Roman" w:hAnsi="Times New Roman" w:cs="Times New Roman"/>
          <w:color w:val="000000" w:themeColor="text1"/>
        </w:rPr>
        <w:t xml:space="preserve">they replace the incumbent audit partners. The mean (median) RPTs </w:t>
      </w:r>
      <w:r w:rsidR="00226EBC" w:rsidRPr="004D4D3A">
        <w:rPr>
          <w:rFonts w:ascii="Times New Roman" w:hAnsi="Times New Roman" w:cs="Times New Roman"/>
          <w:color w:val="000000" w:themeColor="text1"/>
        </w:rPr>
        <w:t xml:space="preserve">normalized total assets </w:t>
      </w:r>
      <w:r w:rsidR="00686179" w:rsidRPr="004D4D3A">
        <w:rPr>
          <w:rFonts w:ascii="Times New Roman" w:hAnsi="Times New Roman" w:cs="Times New Roman"/>
          <w:color w:val="000000" w:themeColor="text1"/>
        </w:rPr>
        <w:t>(</w:t>
      </w:r>
      <w:r w:rsidR="00686179" w:rsidRPr="004D4D3A">
        <w:rPr>
          <w:rFonts w:ascii="Times New Roman" w:hAnsi="Times New Roman" w:cs="Times New Roman"/>
          <w:i/>
          <w:color w:val="000000" w:themeColor="text1"/>
        </w:rPr>
        <w:t>RPT</w:t>
      </w:r>
      <w:r w:rsidR="00686179" w:rsidRPr="004D4D3A">
        <w:rPr>
          <w:rFonts w:ascii="Times New Roman" w:hAnsi="Times New Roman" w:cs="Times New Roman"/>
          <w:color w:val="000000" w:themeColor="text1"/>
        </w:rPr>
        <w:t xml:space="preserve">) </w:t>
      </w:r>
      <w:r w:rsidR="008E1711">
        <w:rPr>
          <w:rFonts w:ascii="Times New Roman" w:hAnsi="Times New Roman" w:cs="Times New Roman"/>
          <w:color w:val="000000" w:themeColor="text1"/>
        </w:rPr>
        <w:t>is</w:t>
      </w:r>
      <w:r w:rsidR="00226EBC" w:rsidRPr="004D4D3A">
        <w:rPr>
          <w:rFonts w:ascii="Times New Roman" w:hAnsi="Times New Roman" w:cs="Times New Roman"/>
          <w:color w:val="000000" w:themeColor="text1"/>
        </w:rPr>
        <w:t xml:space="preserve"> </w:t>
      </w:r>
      <w:r w:rsidR="00686179" w:rsidRPr="004D4D3A">
        <w:rPr>
          <w:rFonts w:ascii="Times New Roman" w:hAnsi="Times New Roman" w:cs="Times New Roman"/>
          <w:color w:val="000000" w:themeColor="text1"/>
        </w:rPr>
        <w:t xml:space="preserve">36.8% (20.8%). </w:t>
      </w:r>
    </w:p>
    <w:p w14:paraId="6CC5C245" w14:textId="0745BA6F" w:rsidR="008E1C97" w:rsidRPr="004D4D3A" w:rsidRDefault="009C65DC" w:rsidP="00315DDB">
      <w:pPr>
        <w:pStyle w:val="ac"/>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The average </w:t>
      </w:r>
      <w:r w:rsidR="00A36DDC" w:rsidRPr="004D4D3A">
        <w:rPr>
          <w:rFonts w:ascii="Times New Roman" w:hAnsi="Times New Roman" w:cs="Times New Roman"/>
          <w:color w:val="000000" w:themeColor="text1"/>
        </w:rPr>
        <w:t>audit firm tenure (</w:t>
      </w:r>
      <w:r w:rsidR="00A36DDC" w:rsidRPr="004D4D3A">
        <w:rPr>
          <w:rFonts w:ascii="Times New Roman" w:hAnsi="Times New Roman" w:cs="Times New Roman"/>
          <w:i/>
          <w:color w:val="000000" w:themeColor="text1"/>
        </w:rPr>
        <w:t>TENURE</w:t>
      </w:r>
      <w:r w:rsidR="00A36DDC" w:rsidRPr="004D4D3A">
        <w:rPr>
          <w:rFonts w:ascii="Times New Roman" w:hAnsi="Times New Roman" w:cs="Times New Roman"/>
          <w:color w:val="000000" w:themeColor="text1"/>
        </w:rPr>
        <w:t>) is 7.192 years</w:t>
      </w:r>
      <w:r w:rsidRPr="004D4D3A">
        <w:rPr>
          <w:rFonts w:ascii="Times New Roman" w:hAnsi="Times New Roman" w:cs="Times New Roman"/>
          <w:color w:val="000000" w:themeColor="text1"/>
        </w:rPr>
        <w:t>,</w:t>
      </w:r>
      <w:r w:rsidR="00A36DDC" w:rsidRPr="004D4D3A">
        <w:rPr>
          <w:rFonts w:ascii="Times New Roman" w:hAnsi="Times New Roman" w:cs="Times New Roman"/>
          <w:color w:val="000000" w:themeColor="text1"/>
        </w:rPr>
        <w:t xml:space="preserve"> and </w:t>
      </w:r>
      <w:r w:rsidRPr="004D4D3A">
        <w:rPr>
          <w:rFonts w:ascii="Times New Roman" w:hAnsi="Times New Roman" w:cs="Times New Roman"/>
          <w:color w:val="000000" w:themeColor="text1"/>
        </w:rPr>
        <w:t xml:space="preserve">the average </w:t>
      </w:r>
      <w:r w:rsidR="00A36DDC" w:rsidRPr="004D4D3A">
        <w:rPr>
          <w:rFonts w:ascii="Times New Roman" w:hAnsi="Times New Roman" w:cs="Times New Roman"/>
          <w:color w:val="000000" w:themeColor="text1"/>
        </w:rPr>
        <w:t>audit partner tenure</w:t>
      </w:r>
      <w:r w:rsidR="00695751" w:rsidRPr="004D4D3A">
        <w:rPr>
          <w:rFonts w:ascii="Times New Roman" w:hAnsi="Times New Roman" w:cs="Times New Roman"/>
          <w:color w:val="000000" w:themeColor="text1"/>
        </w:rPr>
        <w:t xml:space="preserve"> (</w:t>
      </w:r>
      <w:r w:rsidR="00695751" w:rsidRPr="004D4D3A">
        <w:rPr>
          <w:rFonts w:ascii="Times New Roman" w:hAnsi="Times New Roman" w:cs="Times New Roman"/>
          <w:i/>
          <w:color w:val="000000" w:themeColor="text1"/>
        </w:rPr>
        <w:t>L1PTENURE</w:t>
      </w:r>
      <w:r w:rsidR="00695751" w:rsidRPr="004D4D3A">
        <w:rPr>
          <w:rFonts w:ascii="Times New Roman" w:hAnsi="Times New Roman" w:cs="Times New Roman"/>
          <w:color w:val="000000" w:themeColor="text1"/>
        </w:rPr>
        <w:t>)</w:t>
      </w:r>
      <w:r w:rsidR="00A36DDC" w:rsidRPr="004D4D3A">
        <w:rPr>
          <w:rFonts w:ascii="Times New Roman" w:hAnsi="Times New Roman" w:cs="Times New Roman"/>
          <w:color w:val="000000" w:themeColor="text1"/>
        </w:rPr>
        <w:t xml:space="preserve"> is 1.531 years. </w:t>
      </w:r>
      <w:r w:rsidRPr="004D4D3A">
        <w:rPr>
          <w:rFonts w:ascii="Times New Roman" w:hAnsi="Times New Roman" w:cs="Times New Roman"/>
          <w:color w:val="000000" w:themeColor="text1"/>
        </w:rPr>
        <w:t>On average, 4.1% of sample firms are audited by industry specialists (</w:t>
      </w:r>
      <w:r w:rsidRPr="004D4D3A">
        <w:rPr>
          <w:rFonts w:ascii="Times New Roman" w:hAnsi="Times New Roman" w:cs="Times New Roman"/>
          <w:i/>
          <w:color w:val="000000" w:themeColor="text1"/>
        </w:rPr>
        <w:t>SPEC</w:t>
      </w:r>
      <w:r w:rsidRPr="004D4D3A">
        <w:rPr>
          <w:rFonts w:ascii="Times New Roman" w:hAnsi="Times New Roman" w:cs="Times New Roman"/>
          <w:color w:val="000000" w:themeColor="text1"/>
        </w:rPr>
        <w:t>)</w:t>
      </w:r>
      <w:r w:rsidR="00E44874" w:rsidRPr="004D4D3A">
        <w:rPr>
          <w:rFonts w:ascii="Times New Roman" w:hAnsi="Times New Roman" w:cs="Times New Roman"/>
          <w:color w:val="000000" w:themeColor="text1"/>
        </w:rPr>
        <w:t xml:space="preserve">, and </w:t>
      </w:r>
      <w:r w:rsidRPr="004D4D3A">
        <w:rPr>
          <w:rFonts w:ascii="Times New Roman" w:hAnsi="Times New Roman" w:cs="Times New Roman"/>
          <w:color w:val="000000" w:themeColor="text1"/>
        </w:rPr>
        <w:t>t</w:t>
      </w:r>
      <w:r w:rsidR="00E44874" w:rsidRPr="004D4D3A">
        <w:rPr>
          <w:rFonts w:ascii="Times New Roman" w:hAnsi="Times New Roman" w:cs="Times New Roman"/>
          <w:color w:val="000000" w:themeColor="text1"/>
        </w:rPr>
        <w:t>he mean of client importance</w:t>
      </w:r>
      <w:r w:rsidR="00B12722" w:rsidRPr="004D4D3A">
        <w:rPr>
          <w:rFonts w:ascii="Times New Roman" w:hAnsi="Times New Roman" w:cs="Times New Roman"/>
          <w:color w:val="000000" w:themeColor="text1"/>
        </w:rPr>
        <w:t xml:space="preserve"> (</w:t>
      </w:r>
      <w:r w:rsidR="00B12722" w:rsidRPr="004D4D3A">
        <w:rPr>
          <w:rFonts w:ascii="Times New Roman" w:hAnsi="Times New Roman" w:cs="Times New Roman"/>
          <w:i/>
          <w:color w:val="000000" w:themeColor="text1"/>
        </w:rPr>
        <w:t>CI</w:t>
      </w:r>
      <w:r w:rsidR="00B12722" w:rsidRPr="004D4D3A">
        <w:rPr>
          <w:rFonts w:ascii="Times New Roman" w:hAnsi="Times New Roman" w:cs="Times New Roman"/>
          <w:color w:val="000000" w:themeColor="text1"/>
        </w:rPr>
        <w:t>)</w:t>
      </w:r>
      <w:r w:rsidR="00E44874" w:rsidRPr="004D4D3A">
        <w:rPr>
          <w:rFonts w:ascii="Times New Roman" w:hAnsi="Times New Roman" w:cs="Times New Roman"/>
          <w:color w:val="000000" w:themeColor="text1"/>
        </w:rPr>
        <w:t xml:space="preserve"> </w:t>
      </w:r>
      <w:r w:rsidR="00B12722" w:rsidRPr="004D4D3A">
        <w:rPr>
          <w:rFonts w:ascii="Times New Roman" w:hAnsi="Times New Roman" w:cs="Times New Roman"/>
          <w:color w:val="000000" w:themeColor="text1"/>
        </w:rPr>
        <w:t xml:space="preserve">is 4.4%. The </w:t>
      </w:r>
      <w:r w:rsidR="00BA3F97" w:rsidRPr="004D4D3A">
        <w:rPr>
          <w:rFonts w:ascii="Times New Roman" w:hAnsi="Times New Roman" w:cs="Times New Roman"/>
          <w:color w:val="000000" w:themeColor="text1"/>
        </w:rPr>
        <w:t>average return on assets (</w:t>
      </w:r>
      <w:r w:rsidR="00BA3F97" w:rsidRPr="004D4D3A">
        <w:rPr>
          <w:rFonts w:ascii="Times New Roman" w:hAnsi="Times New Roman" w:cs="Times New Roman"/>
          <w:i/>
          <w:color w:val="000000" w:themeColor="text1"/>
        </w:rPr>
        <w:t>ROA</w:t>
      </w:r>
      <w:r w:rsidR="00BA3F97" w:rsidRPr="004D4D3A">
        <w:rPr>
          <w:rFonts w:ascii="Times New Roman" w:hAnsi="Times New Roman" w:cs="Times New Roman"/>
          <w:color w:val="000000" w:themeColor="text1"/>
        </w:rPr>
        <w:t>) is 3%</w:t>
      </w:r>
      <w:r w:rsidRPr="004D4D3A">
        <w:rPr>
          <w:rFonts w:ascii="Times New Roman" w:hAnsi="Times New Roman" w:cs="Times New Roman"/>
          <w:color w:val="000000" w:themeColor="text1"/>
        </w:rPr>
        <w:t>,</w:t>
      </w:r>
      <w:r w:rsidR="00BA3F97" w:rsidRPr="004D4D3A">
        <w:rPr>
          <w:rFonts w:ascii="Times New Roman" w:hAnsi="Times New Roman" w:cs="Times New Roman"/>
          <w:color w:val="000000" w:themeColor="text1"/>
        </w:rPr>
        <w:t xml:space="preserve"> and </w:t>
      </w:r>
      <w:r w:rsidR="00667A90" w:rsidRPr="004D4D3A">
        <w:rPr>
          <w:rFonts w:ascii="Times New Roman" w:hAnsi="Times New Roman" w:cs="Times New Roman"/>
          <w:color w:val="000000" w:themeColor="text1"/>
        </w:rPr>
        <w:t>about 12% of the sample observations report loss (</w:t>
      </w:r>
      <w:r w:rsidR="00667A90" w:rsidRPr="004D4D3A">
        <w:rPr>
          <w:rFonts w:ascii="Times New Roman" w:hAnsi="Times New Roman" w:cs="Times New Roman"/>
          <w:i/>
          <w:color w:val="000000" w:themeColor="text1"/>
        </w:rPr>
        <w:t>LOSS</w:t>
      </w:r>
      <w:r w:rsidR="00667A90" w:rsidRPr="004D4D3A">
        <w:rPr>
          <w:rFonts w:ascii="Times New Roman" w:hAnsi="Times New Roman" w:cs="Times New Roman"/>
          <w:color w:val="000000" w:themeColor="text1"/>
        </w:rPr>
        <w:t xml:space="preserve">) for the year. </w:t>
      </w:r>
      <w:r w:rsidR="00982D4E" w:rsidRPr="004D4D3A">
        <w:rPr>
          <w:rFonts w:ascii="Times New Roman" w:hAnsi="Times New Roman" w:cs="Times New Roman"/>
          <w:color w:val="000000" w:themeColor="text1"/>
        </w:rPr>
        <w:t>The average stock return (</w:t>
      </w:r>
      <w:r w:rsidR="00982D4E" w:rsidRPr="004D4D3A">
        <w:rPr>
          <w:rFonts w:ascii="Times New Roman" w:hAnsi="Times New Roman" w:cs="Times New Roman"/>
          <w:i/>
          <w:color w:val="000000" w:themeColor="text1"/>
        </w:rPr>
        <w:t>MAR</w:t>
      </w:r>
      <w:r w:rsidR="00982D4E" w:rsidRPr="004D4D3A">
        <w:rPr>
          <w:rFonts w:ascii="Times New Roman" w:hAnsi="Times New Roman" w:cs="Times New Roman"/>
          <w:color w:val="000000" w:themeColor="text1"/>
        </w:rPr>
        <w:t>) is 0.3%, and the average sales growth rate (</w:t>
      </w:r>
      <w:r w:rsidR="00982D4E" w:rsidRPr="004D4D3A">
        <w:rPr>
          <w:rFonts w:ascii="Times New Roman" w:hAnsi="Times New Roman" w:cs="Times New Roman"/>
          <w:i/>
          <w:color w:val="000000" w:themeColor="text1"/>
        </w:rPr>
        <w:t>GROWTH</w:t>
      </w:r>
      <w:r w:rsidR="00982D4E" w:rsidRPr="004D4D3A">
        <w:rPr>
          <w:rFonts w:ascii="Times New Roman" w:hAnsi="Times New Roman" w:cs="Times New Roman"/>
          <w:color w:val="000000" w:themeColor="text1"/>
        </w:rPr>
        <w:t>) about 19%.</w:t>
      </w:r>
      <w:r w:rsidR="002F74F5" w:rsidRPr="004D4D3A">
        <w:rPr>
          <w:rFonts w:ascii="Times New Roman" w:hAnsi="Times New Roman" w:cs="Times New Roman"/>
          <w:color w:val="000000" w:themeColor="text1"/>
        </w:rPr>
        <w:t xml:space="preserve"> The typical firm has a debt to assets ratio</w:t>
      </w:r>
      <w:r w:rsidR="00903FE9" w:rsidRPr="004D4D3A">
        <w:rPr>
          <w:rFonts w:ascii="Times New Roman" w:hAnsi="Times New Roman" w:cs="Times New Roman"/>
          <w:color w:val="000000" w:themeColor="text1"/>
        </w:rPr>
        <w:t xml:space="preserve"> (</w:t>
      </w:r>
      <w:r w:rsidR="00903FE9" w:rsidRPr="004D4D3A">
        <w:rPr>
          <w:rFonts w:ascii="Times New Roman" w:hAnsi="Times New Roman" w:cs="Times New Roman"/>
          <w:i/>
          <w:color w:val="000000" w:themeColor="text1"/>
        </w:rPr>
        <w:t>LEV</w:t>
      </w:r>
      <w:r w:rsidR="00903FE9" w:rsidRPr="004D4D3A">
        <w:rPr>
          <w:rFonts w:ascii="Times New Roman" w:hAnsi="Times New Roman" w:cs="Times New Roman"/>
          <w:color w:val="000000" w:themeColor="text1"/>
        </w:rPr>
        <w:t>)</w:t>
      </w:r>
      <w:r w:rsidR="002F74F5" w:rsidRPr="004D4D3A">
        <w:rPr>
          <w:rFonts w:ascii="Times New Roman" w:hAnsi="Times New Roman" w:cs="Times New Roman"/>
          <w:color w:val="000000" w:themeColor="text1"/>
        </w:rPr>
        <w:t xml:space="preserve"> of 50%. The mean </w:t>
      </w:r>
      <w:r w:rsidR="003D269F" w:rsidRPr="004D4D3A">
        <w:rPr>
          <w:rFonts w:ascii="Times New Roman" w:hAnsi="Times New Roman" w:cs="Times New Roman"/>
          <w:color w:val="000000" w:themeColor="text1"/>
        </w:rPr>
        <w:lastRenderedPageBreak/>
        <w:t>operating cash flows</w:t>
      </w:r>
      <w:r w:rsidR="00903FE9" w:rsidRPr="004D4D3A">
        <w:rPr>
          <w:rFonts w:ascii="Times New Roman" w:hAnsi="Times New Roman" w:cs="Times New Roman"/>
          <w:color w:val="000000" w:themeColor="text1"/>
        </w:rPr>
        <w:t xml:space="preserve"> (</w:t>
      </w:r>
      <w:r w:rsidR="00903FE9" w:rsidRPr="004D4D3A">
        <w:rPr>
          <w:rFonts w:ascii="Times New Roman" w:hAnsi="Times New Roman" w:cs="Times New Roman"/>
          <w:i/>
          <w:color w:val="000000" w:themeColor="text1"/>
        </w:rPr>
        <w:t>CFO</w:t>
      </w:r>
      <w:r w:rsidR="00903FE9" w:rsidRPr="004D4D3A">
        <w:rPr>
          <w:rFonts w:ascii="Times New Roman" w:hAnsi="Times New Roman" w:cs="Times New Roman"/>
          <w:color w:val="000000" w:themeColor="text1"/>
        </w:rPr>
        <w:t>)</w:t>
      </w:r>
      <w:r w:rsidR="003D269F" w:rsidRPr="004D4D3A">
        <w:rPr>
          <w:rFonts w:ascii="Times New Roman" w:hAnsi="Times New Roman" w:cs="Times New Roman"/>
          <w:color w:val="000000" w:themeColor="text1"/>
        </w:rPr>
        <w:t xml:space="preserve"> account for 4.6% of total assets. The ratio of the sum of accounts receivable plus inventory to total assets (</w:t>
      </w:r>
      <w:r w:rsidR="00092EA1" w:rsidRPr="004D4D3A">
        <w:rPr>
          <w:rFonts w:ascii="Times New Roman" w:hAnsi="Times New Roman" w:cs="Times New Roman"/>
          <w:i/>
          <w:color w:val="000000" w:themeColor="text1"/>
        </w:rPr>
        <w:t>ARINV</w:t>
      </w:r>
      <w:r w:rsidR="003D269F" w:rsidRPr="004D4D3A">
        <w:rPr>
          <w:rFonts w:ascii="Times New Roman" w:hAnsi="Times New Roman" w:cs="Times New Roman"/>
          <w:color w:val="000000" w:themeColor="text1"/>
        </w:rPr>
        <w:t>) averages 27.5%.</w:t>
      </w:r>
      <w:r w:rsidR="00D71C19" w:rsidRPr="004D4D3A">
        <w:rPr>
          <w:rFonts w:ascii="Times New Roman" w:hAnsi="Times New Roman" w:cs="Times New Roman"/>
          <w:color w:val="000000" w:themeColor="text1"/>
        </w:rPr>
        <w:t xml:space="preserve"> On</w:t>
      </w:r>
      <w:r w:rsidR="00011DC7" w:rsidRPr="004D4D3A">
        <w:rPr>
          <w:rFonts w:ascii="Times New Roman" w:hAnsi="Times New Roman" w:cs="Times New Roman"/>
          <w:color w:val="000000" w:themeColor="text1"/>
        </w:rPr>
        <w:t xml:space="preserve">ly </w:t>
      </w:r>
      <w:r w:rsidR="00D71C19" w:rsidRPr="004D4D3A">
        <w:rPr>
          <w:rFonts w:ascii="Times New Roman" w:hAnsi="Times New Roman" w:cs="Times New Roman"/>
          <w:color w:val="000000" w:themeColor="text1"/>
        </w:rPr>
        <w:t xml:space="preserve">1.2% of </w:t>
      </w:r>
      <w:r w:rsidR="00A46D0F" w:rsidRPr="004D4D3A">
        <w:rPr>
          <w:rFonts w:ascii="Times New Roman" w:hAnsi="Times New Roman" w:cs="Times New Roman"/>
          <w:color w:val="000000" w:themeColor="text1"/>
        </w:rPr>
        <w:t xml:space="preserve">the </w:t>
      </w:r>
      <w:r w:rsidR="00D71C19" w:rsidRPr="004D4D3A">
        <w:rPr>
          <w:rFonts w:ascii="Times New Roman" w:hAnsi="Times New Roman" w:cs="Times New Roman"/>
          <w:color w:val="000000" w:themeColor="text1"/>
        </w:rPr>
        <w:t>firms conduct seasoned equity offering (</w:t>
      </w:r>
      <w:r w:rsidR="00011DC7" w:rsidRPr="004D4D3A">
        <w:rPr>
          <w:rFonts w:ascii="Times New Roman" w:hAnsi="Times New Roman" w:cs="Times New Roman"/>
          <w:i/>
          <w:color w:val="000000" w:themeColor="text1"/>
        </w:rPr>
        <w:t>SEO</w:t>
      </w:r>
      <w:r w:rsidR="00D71C19" w:rsidRPr="004D4D3A">
        <w:rPr>
          <w:rFonts w:ascii="Times New Roman" w:hAnsi="Times New Roman" w:cs="Times New Roman"/>
          <w:color w:val="000000" w:themeColor="text1"/>
        </w:rPr>
        <w:t xml:space="preserve">). </w:t>
      </w:r>
      <w:r w:rsidR="00315DDB" w:rsidRPr="004D4D3A">
        <w:rPr>
          <w:rFonts w:ascii="Times New Roman" w:hAnsi="Times New Roman" w:cs="Times New Roman"/>
          <w:color w:val="000000" w:themeColor="text1"/>
        </w:rPr>
        <w:t xml:space="preserve">The mean of </w:t>
      </w:r>
      <w:r w:rsidR="003965DD" w:rsidRPr="004D4D3A">
        <w:rPr>
          <w:rFonts w:ascii="Times New Roman" w:hAnsi="Times New Roman" w:cs="Times New Roman"/>
          <w:color w:val="000000" w:themeColor="text1"/>
        </w:rPr>
        <w:t>f</w:t>
      </w:r>
      <w:r w:rsidRPr="004D4D3A">
        <w:rPr>
          <w:rFonts w:ascii="Times New Roman" w:hAnsi="Times New Roman" w:cs="Times New Roman"/>
          <w:color w:val="000000" w:themeColor="text1"/>
        </w:rPr>
        <w:t>irm size (</w:t>
      </w:r>
      <w:r w:rsidRPr="004D4D3A">
        <w:rPr>
          <w:rFonts w:ascii="Times New Roman" w:hAnsi="Times New Roman" w:cs="Times New Roman"/>
          <w:i/>
          <w:color w:val="000000" w:themeColor="text1"/>
        </w:rPr>
        <w:t>SIZE</w:t>
      </w:r>
      <w:r w:rsidRPr="004D4D3A">
        <w:rPr>
          <w:rFonts w:ascii="Times New Roman" w:hAnsi="Times New Roman" w:cs="Times New Roman"/>
          <w:color w:val="000000" w:themeColor="text1"/>
        </w:rPr>
        <w:t>)</w:t>
      </w:r>
      <w:r w:rsidR="00315DDB" w:rsidRPr="004D4D3A">
        <w:rPr>
          <w:rFonts w:ascii="Times New Roman" w:hAnsi="Times New Roman" w:cs="Times New Roman"/>
          <w:color w:val="000000" w:themeColor="text1"/>
        </w:rPr>
        <w:t xml:space="preserve"> is 21,825, and the average listing age (</w:t>
      </w:r>
      <w:r w:rsidR="00315DDB" w:rsidRPr="004D4D3A">
        <w:rPr>
          <w:rFonts w:ascii="Times New Roman" w:hAnsi="Times New Roman" w:cs="Times New Roman"/>
          <w:i/>
          <w:color w:val="000000" w:themeColor="text1"/>
        </w:rPr>
        <w:t>AGE</w:t>
      </w:r>
      <w:r w:rsidR="00315DDB" w:rsidRPr="004D4D3A">
        <w:rPr>
          <w:rFonts w:ascii="Times New Roman" w:hAnsi="Times New Roman" w:cs="Times New Roman"/>
          <w:color w:val="000000" w:themeColor="text1"/>
        </w:rPr>
        <w:t>) is 9.966 years.</w:t>
      </w:r>
    </w:p>
    <w:p w14:paraId="05F81A0D" w14:textId="77777777" w:rsidR="00397F0D" w:rsidRPr="004D4D3A" w:rsidRDefault="00397F0D" w:rsidP="00631E95">
      <w:pPr>
        <w:spacing w:line="400" w:lineRule="exact"/>
        <w:rPr>
          <w:rFonts w:ascii="Times New Roman" w:hAnsi="Times New Roman" w:cs="Times New Roman"/>
          <w:color w:val="000000" w:themeColor="text1"/>
        </w:rPr>
      </w:pPr>
    </w:p>
    <w:p w14:paraId="1A0C11C2" w14:textId="548FDFBE" w:rsidR="00397F0D" w:rsidRPr="004D4D3A" w:rsidRDefault="00397F0D" w:rsidP="00631E95">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[Insert Table 2 here]</w:t>
      </w:r>
    </w:p>
    <w:p w14:paraId="2FEBD932" w14:textId="77777777" w:rsidR="00397F0D" w:rsidRPr="004D4D3A" w:rsidRDefault="00397F0D" w:rsidP="00631E95">
      <w:pPr>
        <w:pStyle w:val="ac"/>
        <w:spacing w:line="400" w:lineRule="exact"/>
        <w:rPr>
          <w:rFonts w:ascii="Times New Roman" w:hAnsi="Times New Roman" w:cs="Times New Roman"/>
          <w:color w:val="000000" w:themeColor="text1"/>
        </w:rPr>
      </w:pPr>
    </w:p>
    <w:p w14:paraId="79BAC9B3" w14:textId="42C3A8B5" w:rsidR="008E1C97" w:rsidRPr="004D4D3A" w:rsidRDefault="00A570A2" w:rsidP="00F30BAB">
      <w:pPr>
        <w:pStyle w:val="ac"/>
        <w:rPr>
          <w:rFonts w:ascii="Times New Roman" w:hAnsi="Times New Roman" w:cs="Times New Roman"/>
          <w:b/>
          <w:color w:val="000000" w:themeColor="text1"/>
        </w:rPr>
      </w:pPr>
      <w:r w:rsidRPr="004D4D3A">
        <w:rPr>
          <w:rFonts w:ascii="Times New Roman" w:hAnsi="Times New Roman" w:cs="Times New Roman"/>
          <w:b/>
          <w:color w:val="000000" w:themeColor="text1"/>
        </w:rPr>
        <w:t>4.</w:t>
      </w:r>
      <w:r w:rsidR="00250A7F" w:rsidRPr="004D4D3A">
        <w:rPr>
          <w:rFonts w:ascii="Times New Roman" w:hAnsi="Times New Roman" w:cs="Times New Roman"/>
          <w:b/>
          <w:color w:val="000000" w:themeColor="text1"/>
        </w:rPr>
        <w:t>2</w:t>
      </w:r>
      <w:r w:rsidRPr="004D4D3A">
        <w:rPr>
          <w:rFonts w:ascii="Times New Roman" w:hAnsi="Times New Roman" w:cs="Times New Roman"/>
          <w:b/>
          <w:color w:val="000000" w:themeColor="text1"/>
        </w:rPr>
        <w:t xml:space="preserve"> Regression results</w:t>
      </w:r>
    </w:p>
    <w:p w14:paraId="31BB23B8" w14:textId="7D1F47A7" w:rsidR="00265CB1" w:rsidRPr="004D4D3A" w:rsidRDefault="00265CB1" w:rsidP="00265CB1">
      <w:pPr>
        <w:spacing w:line="400" w:lineRule="exact"/>
        <w:ind w:firstLineChars="200" w:firstLine="480"/>
        <w:rPr>
          <w:rFonts w:ascii="Times New Roman" w:eastAsia="標楷體" w:hAnsi="Times New Roman" w:cs="Times New Roman"/>
          <w:color w:val="000000" w:themeColor="text1"/>
        </w:rPr>
      </w:pPr>
      <w:r w:rsidRPr="004D4D3A">
        <w:rPr>
          <w:rFonts w:ascii="Times New Roman" w:hAnsi="Times New Roman" w:cs="Times New Roman"/>
          <w:color w:val="000000" w:themeColor="text1"/>
        </w:rPr>
        <w:t xml:space="preserve">Table 3 presents the estimation results for the partner switching model. The coefficient on </w:t>
      </w:r>
      <w:r w:rsidRPr="004D4D3A">
        <w:rPr>
          <w:rFonts w:ascii="Times New Roman" w:hAnsi="Times New Roman" w:cs="Times New Roman"/>
          <w:i/>
          <w:color w:val="000000" w:themeColor="text1"/>
        </w:rPr>
        <w:t>POPSHOP</w:t>
      </w:r>
      <w:r w:rsidRPr="004D4D3A">
        <w:rPr>
          <w:rFonts w:ascii="Times New Roman" w:hAnsi="Times New Roman" w:cs="Times New Roman"/>
          <w:color w:val="000000" w:themeColor="text1"/>
        </w:rPr>
        <w:t xml:space="preserve"> is significantly negative (p &lt; 0.01). This finding is consistent with evidence that firms can successfully press audit firms to switch (retain) incumbent partners when the new partners are more (less) likely to issue clean opinions (Chen et al., 2016; </w:t>
      </w:r>
      <w:proofErr w:type="spellStart"/>
      <w:r w:rsidRPr="004D4D3A">
        <w:rPr>
          <w:rFonts w:ascii="Times New Roman" w:hAnsi="Times New Roman" w:cs="Times New Roman"/>
          <w:color w:val="000000" w:themeColor="text1"/>
        </w:rPr>
        <w:t>Osma</w:t>
      </w:r>
      <w:proofErr w:type="spellEnd"/>
      <w:r w:rsidRPr="004D4D3A">
        <w:rPr>
          <w:rFonts w:ascii="Times New Roman" w:hAnsi="Times New Roman" w:cs="Times New Roman"/>
          <w:color w:val="000000" w:themeColor="text1"/>
        </w:rPr>
        <w:t xml:space="preserve"> et al., 2017). In addition, the coefficient on the interaction term, </w:t>
      </w:r>
      <w:r w:rsidRPr="004D4D3A">
        <w:rPr>
          <w:rFonts w:ascii="Times New Roman" w:eastAsia="標楷體" w:hAnsi="Times New Roman" w:cs="Times New Roman"/>
          <w:i/>
          <w:color w:val="000000" w:themeColor="text1"/>
        </w:rPr>
        <w:t>POPSHOP</w:t>
      </w:r>
      <w:r w:rsidRPr="004D4D3A">
        <w:rPr>
          <w:rFonts w:ascii="Times New Roman" w:eastAsia="標楷體" w:hAnsi="Times New Roman" w:cs="Times New Roman"/>
          <w:color w:val="000000" w:themeColor="text1"/>
        </w:rPr>
        <w:t>×</w:t>
      </w:r>
      <w:r w:rsidRPr="004D4D3A">
        <w:rPr>
          <w:rFonts w:ascii="Times New Roman" w:eastAsia="標楷體" w:hAnsi="Times New Roman" w:cs="Times New Roman"/>
          <w:i/>
          <w:color w:val="000000" w:themeColor="text1"/>
        </w:rPr>
        <w:t>RPT</w:t>
      </w:r>
      <w:r w:rsidRPr="004D4D3A">
        <w:rPr>
          <w:rFonts w:ascii="Times New Roman" w:eastAsia="標楷體" w:hAnsi="Times New Roman" w:cs="Times New Roman"/>
          <w:color w:val="000000" w:themeColor="text1"/>
        </w:rPr>
        <w:t xml:space="preserve"> is significantly negative (p &lt; 0.05), supporting the hypothesis that firms with more RPTs are more likely to succeed in partner-level opinion shopping. This finding also </w:t>
      </w:r>
      <w:r w:rsidR="008E1711">
        <w:rPr>
          <w:rFonts w:ascii="Times New Roman" w:eastAsia="標楷體" w:hAnsi="Times New Roman" w:cs="Times New Roman"/>
          <w:color w:val="000000" w:themeColor="text1"/>
        </w:rPr>
        <w:t xml:space="preserve">aligns </w:t>
      </w:r>
      <w:r w:rsidRPr="004D4D3A">
        <w:rPr>
          <w:rFonts w:ascii="Times New Roman" w:eastAsia="標楷體" w:hAnsi="Times New Roman" w:cs="Times New Roman"/>
          <w:color w:val="000000" w:themeColor="text1"/>
        </w:rPr>
        <w:t>with the perspective of weak governance for RPT</w:t>
      </w:r>
      <w:r w:rsidR="00C257FA" w:rsidRPr="004D4D3A">
        <w:rPr>
          <w:rFonts w:ascii="Times New Roman" w:eastAsia="標楷體" w:hAnsi="Times New Roman" w:cs="Times New Roman"/>
          <w:color w:val="000000" w:themeColor="text1"/>
        </w:rPr>
        <w:t xml:space="preserve"> usage</w:t>
      </w:r>
      <w:r w:rsidRPr="004D4D3A">
        <w:rPr>
          <w:rFonts w:ascii="Times New Roman" w:eastAsia="標楷體" w:hAnsi="Times New Roman" w:cs="Times New Roman"/>
          <w:color w:val="000000" w:themeColor="text1"/>
        </w:rPr>
        <w:t>.</w:t>
      </w:r>
    </w:p>
    <w:p w14:paraId="73560D80" w14:textId="5C10CD7D" w:rsidR="00265CB1" w:rsidRPr="004D4D3A" w:rsidRDefault="00265CB1" w:rsidP="00265CB1">
      <w:pPr>
        <w:spacing w:line="400" w:lineRule="exact"/>
        <w:ind w:firstLineChars="200" w:firstLine="480"/>
        <w:rPr>
          <w:rFonts w:ascii="Times New Roman" w:eastAsia="標楷體" w:hAnsi="Times New Roman" w:cs="Times New Roman"/>
          <w:color w:val="000000" w:themeColor="text1"/>
        </w:rPr>
      </w:pPr>
      <w:r w:rsidRPr="004D4D3A">
        <w:rPr>
          <w:rFonts w:ascii="Times New Roman" w:hAnsi="Times New Roman" w:cs="Times New Roman"/>
          <w:color w:val="000000" w:themeColor="text1"/>
        </w:rPr>
        <w:t xml:space="preserve">With respect to the control variables, the coefficients on </w:t>
      </w:r>
      <w:r w:rsidRPr="004D4D3A">
        <w:rPr>
          <w:rFonts w:ascii="Times New Roman" w:hAnsi="Times New Roman" w:cs="Times New Roman"/>
          <w:i/>
          <w:color w:val="000000" w:themeColor="text1"/>
        </w:rPr>
        <w:t>TENURE</w:t>
      </w:r>
      <w:r w:rsidRPr="004D4D3A">
        <w:rPr>
          <w:rFonts w:ascii="Times New Roman" w:hAnsi="Times New Roman" w:cs="Times New Roman"/>
          <w:color w:val="000000" w:themeColor="text1"/>
        </w:rPr>
        <w:t xml:space="preserve"> and </w:t>
      </w:r>
      <w:r w:rsidRPr="004D4D3A">
        <w:rPr>
          <w:rFonts w:ascii="Times New Roman" w:hAnsi="Times New Roman" w:cs="Times New Roman"/>
          <w:i/>
          <w:color w:val="000000" w:themeColor="text1"/>
        </w:rPr>
        <w:t>L1PTENURE</w:t>
      </w:r>
      <w:r w:rsidRPr="004D4D3A">
        <w:rPr>
          <w:rFonts w:ascii="Times New Roman" w:hAnsi="Times New Roman" w:cs="Times New Roman"/>
          <w:color w:val="000000" w:themeColor="text1"/>
        </w:rPr>
        <w:t xml:space="preserve"> are significant with positive signs, which is consistent with longer tenure yield</w:t>
      </w:r>
      <w:r w:rsidR="00AF40B3">
        <w:rPr>
          <w:rFonts w:ascii="Times New Roman" w:hAnsi="Times New Roman" w:cs="Times New Roman"/>
          <w:color w:val="000000" w:themeColor="text1"/>
        </w:rPr>
        <w:t>ing</w:t>
      </w:r>
      <w:r w:rsidRPr="004D4D3A">
        <w:rPr>
          <w:rFonts w:ascii="Times New Roman" w:hAnsi="Times New Roman" w:cs="Times New Roman"/>
          <w:color w:val="000000" w:themeColor="text1"/>
        </w:rPr>
        <w:t xml:space="preserve"> weaker auditor independence that motiv</w:t>
      </w:r>
      <w:r w:rsidR="00AF40B3">
        <w:rPr>
          <w:rFonts w:ascii="Times New Roman" w:hAnsi="Times New Roman" w:cs="Times New Roman"/>
          <w:color w:val="000000" w:themeColor="text1"/>
        </w:rPr>
        <w:t>ate</w:t>
      </w:r>
      <w:r w:rsidRPr="004D4D3A">
        <w:rPr>
          <w:rFonts w:ascii="Times New Roman" w:hAnsi="Times New Roman" w:cs="Times New Roman"/>
          <w:color w:val="000000" w:themeColor="text1"/>
        </w:rPr>
        <w:t xml:space="preserve">s firms to switch </w:t>
      </w:r>
      <w:r w:rsidR="003B32C3" w:rsidRPr="004D4D3A">
        <w:rPr>
          <w:rFonts w:ascii="Times New Roman" w:hAnsi="Times New Roman" w:cs="Times New Roman"/>
          <w:color w:val="000000" w:themeColor="text1"/>
        </w:rPr>
        <w:t xml:space="preserve">audit firms and </w:t>
      </w:r>
      <w:r w:rsidRPr="004D4D3A">
        <w:rPr>
          <w:rFonts w:ascii="Times New Roman" w:hAnsi="Times New Roman" w:cs="Times New Roman"/>
          <w:color w:val="000000" w:themeColor="text1"/>
        </w:rPr>
        <w:t>engagement partners. Auditor industry expertise (</w:t>
      </w:r>
      <w:r w:rsidRPr="004D4D3A">
        <w:rPr>
          <w:rFonts w:ascii="Times New Roman" w:hAnsi="Times New Roman" w:cs="Times New Roman"/>
          <w:i/>
          <w:color w:val="000000" w:themeColor="text1"/>
        </w:rPr>
        <w:t>PSPEC</w:t>
      </w:r>
      <w:r w:rsidRPr="004D4D3A">
        <w:rPr>
          <w:rFonts w:ascii="Times New Roman" w:hAnsi="Times New Roman" w:cs="Times New Roman"/>
          <w:color w:val="000000" w:themeColor="text1"/>
        </w:rPr>
        <w:t>) is positively associated with a switch in audit partners in my tests.</w:t>
      </w:r>
      <w:r w:rsidR="00F529B7" w:rsidRPr="004D4D3A">
        <w:rPr>
          <w:rStyle w:val="aa"/>
          <w:rFonts w:ascii="Times New Roman" w:hAnsi="Times New Roman" w:cs="Times New Roman"/>
          <w:color w:val="000000" w:themeColor="text1"/>
        </w:rPr>
        <w:footnoteReference w:id="14"/>
      </w:r>
      <w:r w:rsidRPr="004D4D3A">
        <w:rPr>
          <w:rFonts w:ascii="Times New Roman" w:hAnsi="Times New Roman" w:cs="Times New Roman"/>
          <w:color w:val="000000" w:themeColor="text1"/>
        </w:rPr>
        <w:t xml:space="preserve"> However, pr</w:t>
      </w:r>
      <w:r w:rsidR="00AF40B3">
        <w:rPr>
          <w:rFonts w:ascii="Times New Roman" w:hAnsi="Times New Roman" w:cs="Times New Roman"/>
          <w:color w:val="000000" w:themeColor="text1"/>
        </w:rPr>
        <w:t>evious</w:t>
      </w:r>
      <w:r w:rsidRPr="004D4D3A">
        <w:rPr>
          <w:rFonts w:ascii="Times New Roman" w:hAnsi="Times New Roman" w:cs="Times New Roman"/>
          <w:color w:val="000000" w:themeColor="text1"/>
        </w:rPr>
        <w:t xml:space="preserve"> empirical research regarding auditor industry expertise has also been mixed (e.g., Chen et al., 2016; </w:t>
      </w:r>
      <w:proofErr w:type="spellStart"/>
      <w:r w:rsidRPr="004D4D3A">
        <w:rPr>
          <w:rFonts w:ascii="Times New Roman" w:hAnsi="Times New Roman" w:cs="Times New Roman"/>
          <w:color w:val="000000" w:themeColor="text1"/>
        </w:rPr>
        <w:t>Osma</w:t>
      </w:r>
      <w:proofErr w:type="spellEnd"/>
      <w:r w:rsidRPr="004D4D3A">
        <w:rPr>
          <w:rFonts w:ascii="Times New Roman" w:hAnsi="Times New Roman" w:cs="Times New Roman"/>
          <w:color w:val="000000" w:themeColor="text1"/>
        </w:rPr>
        <w:t xml:space="preserve"> et al., 2017). In addition, Firms with </w:t>
      </w:r>
      <w:r w:rsidR="00A213F0">
        <w:rPr>
          <w:rFonts w:ascii="Times New Roman" w:hAnsi="Times New Roman" w:cs="Times New Roman"/>
          <w:color w:val="000000" w:themeColor="text1"/>
        </w:rPr>
        <w:t>higher return on assets (</w:t>
      </w:r>
      <w:r w:rsidR="00A213F0" w:rsidRPr="004D4D3A">
        <w:rPr>
          <w:rFonts w:ascii="Times New Roman" w:hAnsi="Times New Roman" w:cs="Times New Roman"/>
          <w:i/>
          <w:color w:val="000000" w:themeColor="text1"/>
        </w:rPr>
        <w:t>ROA</w:t>
      </w:r>
      <w:r w:rsidR="00A213F0">
        <w:rPr>
          <w:rFonts w:ascii="Times New Roman" w:hAnsi="Times New Roman" w:cs="Times New Roman"/>
          <w:color w:val="000000" w:themeColor="text1"/>
        </w:rPr>
        <w:t>) and absence of a loss (</w:t>
      </w:r>
      <w:r w:rsidR="00A213F0" w:rsidRPr="004D4D3A">
        <w:rPr>
          <w:rFonts w:ascii="Times New Roman" w:hAnsi="Times New Roman" w:cs="Times New Roman"/>
          <w:i/>
          <w:color w:val="000000" w:themeColor="text1"/>
        </w:rPr>
        <w:t>LOSS</w:t>
      </w:r>
      <w:r w:rsidR="00A213F0">
        <w:rPr>
          <w:rFonts w:ascii="Times New Roman" w:hAnsi="Times New Roman" w:cs="Times New Roman"/>
          <w:color w:val="000000" w:themeColor="text1"/>
        </w:rPr>
        <w:t xml:space="preserve">) </w:t>
      </w:r>
      <w:r w:rsidRPr="004D4D3A">
        <w:rPr>
          <w:rFonts w:ascii="Times New Roman" w:hAnsi="Times New Roman" w:cs="Times New Roman"/>
          <w:color w:val="000000" w:themeColor="text1"/>
        </w:rPr>
        <w:t xml:space="preserve">are associated with </w:t>
      </w:r>
      <w:r w:rsidR="00D40C3F">
        <w:rPr>
          <w:rFonts w:ascii="Times New Roman" w:hAnsi="Times New Roman" w:cs="Times New Roman"/>
          <w:color w:val="000000" w:themeColor="text1"/>
        </w:rPr>
        <w:t xml:space="preserve">a </w:t>
      </w:r>
      <w:r w:rsidRPr="004D4D3A">
        <w:rPr>
          <w:rFonts w:ascii="Times New Roman" w:hAnsi="Times New Roman" w:cs="Times New Roman"/>
          <w:color w:val="000000" w:themeColor="text1"/>
        </w:rPr>
        <w:t xml:space="preserve">higher probability of switching audit partners. The signs of these coefficients are consistent with previous studies (e.g., </w:t>
      </w:r>
      <w:proofErr w:type="spellStart"/>
      <w:r w:rsidRPr="004D4D3A">
        <w:rPr>
          <w:rFonts w:ascii="Times New Roman" w:eastAsia="新細明體" w:hAnsi="Times New Roman" w:cs="Times New Roman"/>
          <w:color w:val="000000" w:themeColor="text1"/>
        </w:rPr>
        <w:t>Bagherpour</w:t>
      </w:r>
      <w:proofErr w:type="spellEnd"/>
      <w:r w:rsidRPr="004D4D3A">
        <w:rPr>
          <w:rFonts w:ascii="Times New Roman" w:eastAsia="新細明體" w:hAnsi="Times New Roman" w:cs="Times New Roman"/>
          <w:color w:val="000000" w:themeColor="text1"/>
        </w:rPr>
        <w:t xml:space="preserve"> et al., 2014</w:t>
      </w:r>
      <w:r w:rsidRPr="004D4D3A">
        <w:rPr>
          <w:rFonts w:ascii="Times New Roman" w:hAnsi="Times New Roman" w:cs="Times New Roman"/>
          <w:color w:val="000000" w:themeColor="text1"/>
        </w:rPr>
        <w:t xml:space="preserve">; </w:t>
      </w:r>
      <w:proofErr w:type="spellStart"/>
      <w:r w:rsidRPr="004D4D3A">
        <w:rPr>
          <w:rFonts w:ascii="Times New Roman" w:eastAsia="新細明體" w:hAnsi="Times New Roman" w:cs="Times New Roman"/>
          <w:color w:val="000000" w:themeColor="text1"/>
        </w:rPr>
        <w:t>Hennes</w:t>
      </w:r>
      <w:proofErr w:type="spellEnd"/>
      <w:r w:rsidRPr="004D4D3A">
        <w:rPr>
          <w:rFonts w:ascii="Times New Roman" w:eastAsia="新細明體" w:hAnsi="Times New Roman" w:cs="Times New Roman"/>
          <w:color w:val="000000" w:themeColor="text1"/>
        </w:rPr>
        <w:t xml:space="preserve"> et al., 2014</w:t>
      </w:r>
      <w:r w:rsidRPr="004D4D3A">
        <w:rPr>
          <w:rFonts w:ascii="Times New Roman" w:hAnsi="Times New Roman" w:cs="Times New Roman"/>
          <w:color w:val="000000" w:themeColor="text1"/>
        </w:rPr>
        <w:t xml:space="preserve">; </w:t>
      </w:r>
      <w:proofErr w:type="spellStart"/>
      <w:r w:rsidRPr="004D4D3A">
        <w:rPr>
          <w:rFonts w:ascii="Times New Roman" w:hAnsi="Times New Roman" w:cs="Times New Roman"/>
          <w:color w:val="000000" w:themeColor="text1"/>
        </w:rPr>
        <w:t>Brocard</w:t>
      </w:r>
      <w:proofErr w:type="spellEnd"/>
      <w:r w:rsidRPr="004D4D3A">
        <w:rPr>
          <w:rFonts w:ascii="Times New Roman" w:hAnsi="Times New Roman" w:cs="Times New Roman"/>
          <w:color w:val="000000" w:themeColor="text1"/>
        </w:rPr>
        <w:t xml:space="preserve"> et al., </w:t>
      </w:r>
      <w:r w:rsidR="00101779" w:rsidRPr="004D4D3A">
        <w:rPr>
          <w:rFonts w:ascii="Times New Roman" w:hAnsi="Times New Roman" w:cs="Times New Roman"/>
          <w:color w:val="000000" w:themeColor="text1"/>
        </w:rPr>
        <w:t>2018</w:t>
      </w:r>
      <w:r w:rsidRPr="004D4D3A">
        <w:rPr>
          <w:rFonts w:ascii="Times New Roman" w:hAnsi="Times New Roman" w:cs="Times New Roman"/>
          <w:color w:val="000000" w:themeColor="text1"/>
        </w:rPr>
        <w:t>). Finally, younger firms (</w:t>
      </w:r>
      <w:r w:rsidRPr="004D4D3A">
        <w:rPr>
          <w:rFonts w:ascii="Times New Roman" w:hAnsi="Times New Roman" w:cs="Times New Roman"/>
          <w:i/>
          <w:color w:val="000000" w:themeColor="text1"/>
        </w:rPr>
        <w:t>AGE</w:t>
      </w:r>
      <w:r w:rsidRPr="004D4D3A">
        <w:rPr>
          <w:rFonts w:ascii="Times New Roman" w:hAnsi="Times New Roman" w:cs="Times New Roman"/>
          <w:color w:val="000000" w:themeColor="text1"/>
        </w:rPr>
        <w:t xml:space="preserve">) are more likely to experience a partner switch. </w:t>
      </w:r>
    </w:p>
    <w:p w14:paraId="3896A152" w14:textId="77777777" w:rsidR="00397F0D" w:rsidRPr="004D4D3A" w:rsidRDefault="00397F0D" w:rsidP="00397F0D">
      <w:pPr>
        <w:spacing w:line="400" w:lineRule="exact"/>
        <w:rPr>
          <w:rFonts w:ascii="Times New Roman" w:hAnsi="Times New Roman" w:cs="Times New Roman"/>
          <w:color w:val="000000" w:themeColor="text1"/>
        </w:rPr>
      </w:pPr>
    </w:p>
    <w:p w14:paraId="05B79B2A" w14:textId="1C03ADC8" w:rsidR="00397F0D" w:rsidRPr="004D4D3A" w:rsidRDefault="00397F0D" w:rsidP="00397F0D">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[Insert Table 3 here]</w:t>
      </w:r>
    </w:p>
    <w:p w14:paraId="79839979" w14:textId="77777777" w:rsidR="00397F0D" w:rsidRPr="004D4D3A" w:rsidRDefault="00397F0D" w:rsidP="00632F52">
      <w:pPr>
        <w:spacing w:line="400" w:lineRule="exact"/>
        <w:rPr>
          <w:rFonts w:ascii="Times New Roman" w:hAnsi="Times New Roman" w:cs="Times New Roman"/>
          <w:color w:val="000000" w:themeColor="text1"/>
        </w:rPr>
      </w:pPr>
    </w:p>
    <w:p w14:paraId="7EF468E7" w14:textId="1C0FAF5F" w:rsidR="00C86F37" w:rsidRPr="004D4D3A" w:rsidRDefault="00A570A2" w:rsidP="00632F52">
      <w:pPr>
        <w:spacing w:line="400" w:lineRule="exact"/>
        <w:rPr>
          <w:rFonts w:ascii="Times New Roman" w:eastAsia="標楷體" w:hAnsi="Times New Roman" w:cs="Times New Roman"/>
          <w:b/>
          <w:color w:val="000000" w:themeColor="text1"/>
        </w:rPr>
      </w:pPr>
      <w:r w:rsidRPr="004D4D3A">
        <w:rPr>
          <w:rFonts w:ascii="Times New Roman" w:eastAsia="標楷體" w:hAnsi="Times New Roman" w:cs="Times New Roman"/>
          <w:b/>
          <w:color w:val="000000" w:themeColor="text1"/>
        </w:rPr>
        <w:t>4</w:t>
      </w:r>
      <w:r w:rsidR="00C86F37" w:rsidRPr="004D4D3A">
        <w:rPr>
          <w:rFonts w:ascii="Times New Roman" w:eastAsia="標楷體" w:hAnsi="Times New Roman" w:cs="Times New Roman"/>
          <w:b/>
          <w:color w:val="000000" w:themeColor="text1"/>
        </w:rPr>
        <w:t>.</w:t>
      </w:r>
      <w:r w:rsidR="00250A7F" w:rsidRPr="004D4D3A">
        <w:rPr>
          <w:rFonts w:ascii="Times New Roman" w:eastAsia="標楷體" w:hAnsi="Times New Roman" w:cs="Times New Roman"/>
          <w:b/>
          <w:color w:val="000000" w:themeColor="text1"/>
        </w:rPr>
        <w:t>3 Further analysis</w:t>
      </w:r>
    </w:p>
    <w:p w14:paraId="01695378" w14:textId="3D6AD1A9" w:rsidR="00632F52" w:rsidRPr="004D4D3A" w:rsidRDefault="00A570A2" w:rsidP="00632F52">
      <w:pPr>
        <w:spacing w:line="400" w:lineRule="exact"/>
        <w:rPr>
          <w:rFonts w:ascii="Times New Roman" w:hAnsi="Times New Roman" w:cs="Times New Roman"/>
          <w:color w:val="000000" w:themeColor="text1"/>
        </w:rPr>
      </w:pPr>
      <w:r w:rsidRPr="004D4D3A">
        <w:rPr>
          <w:rFonts w:ascii="Times New Roman" w:hAnsi="Times New Roman" w:cs="Times New Roman"/>
          <w:color w:val="000000" w:themeColor="text1"/>
        </w:rPr>
        <w:t>4</w:t>
      </w:r>
      <w:r w:rsidR="00632F52" w:rsidRPr="004D4D3A">
        <w:rPr>
          <w:rFonts w:ascii="Times New Roman" w:hAnsi="Times New Roman" w:cs="Times New Roman"/>
          <w:color w:val="000000" w:themeColor="text1"/>
        </w:rPr>
        <w:t>.</w:t>
      </w:r>
      <w:r w:rsidR="00250A7F" w:rsidRPr="004D4D3A">
        <w:rPr>
          <w:rFonts w:ascii="Times New Roman" w:hAnsi="Times New Roman" w:cs="Times New Roman"/>
          <w:color w:val="000000" w:themeColor="text1"/>
        </w:rPr>
        <w:t>3</w:t>
      </w:r>
      <w:r w:rsidR="00632F52" w:rsidRPr="004D4D3A">
        <w:rPr>
          <w:rFonts w:ascii="Times New Roman" w:hAnsi="Times New Roman" w:cs="Times New Roman"/>
          <w:color w:val="000000" w:themeColor="text1"/>
        </w:rPr>
        <w:t>.1 Operating RPTs versus non-operating RPTs</w:t>
      </w:r>
    </w:p>
    <w:p w14:paraId="40B3C549" w14:textId="1561B99D" w:rsidR="00632F52" w:rsidRPr="004D4D3A" w:rsidRDefault="00E86843" w:rsidP="00632F52">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The </w:t>
      </w:r>
      <w:r w:rsidR="00632F52" w:rsidRPr="004D4D3A">
        <w:rPr>
          <w:rFonts w:ascii="Times New Roman" w:hAnsi="Times New Roman" w:cs="Times New Roman"/>
          <w:color w:val="000000" w:themeColor="text1"/>
        </w:rPr>
        <w:t>literature both theoretically and empirically</w:t>
      </w:r>
      <w:r w:rsidRPr="004D4D3A">
        <w:rPr>
          <w:rFonts w:ascii="Times New Roman" w:hAnsi="Times New Roman" w:cs="Times New Roman"/>
          <w:color w:val="000000" w:themeColor="text1"/>
        </w:rPr>
        <w:t xml:space="preserve"> documents</w:t>
      </w:r>
      <w:r w:rsidR="00632F52" w:rsidRPr="004D4D3A">
        <w:rPr>
          <w:rFonts w:ascii="Times New Roman" w:hAnsi="Times New Roman" w:cs="Times New Roman"/>
          <w:color w:val="000000" w:themeColor="text1"/>
        </w:rPr>
        <w:t xml:space="preserve"> that operating and non-</w:t>
      </w:r>
      <w:r w:rsidR="00632F52" w:rsidRPr="004D4D3A">
        <w:rPr>
          <w:rFonts w:ascii="Times New Roman" w:hAnsi="Times New Roman" w:cs="Times New Roman"/>
          <w:color w:val="000000" w:themeColor="text1"/>
        </w:rPr>
        <w:lastRenderedPageBreak/>
        <w:t>operating transactions with related parties are subject to management discretion (Jiang et al., 2010; Wang and Yuan, 2012; Lee et al., 2016). I further investigate whether the positive association between RPTs and partner-level opinion shopping attribut</w:t>
      </w:r>
      <w:r w:rsidR="00C866D2">
        <w:rPr>
          <w:rFonts w:ascii="Times New Roman" w:hAnsi="Times New Roman" w:cs="Times New Roman"/>
          <w:color w:val="000000" w:themeColor="text1"/>
        </w:rPr>
        <w:t>es</w:t>
      </w:r>
      <w:r w:rsidR="00632F52" w:rsidRPr="004D4D3A">
        <w:rPr>
          <w:rFonts w:ascii="Times New Roman" w:hAnsi="Times New Roman" w:cs="Times New Roman"/>
          <w:color w:val="000000" w:themeColor="text1"/>
        </w:rPr>
        <w:t xml:space="preserve"> to operating or non-operating RPTs. </w:t>
      </w:r>
      <w:r w:rsidR="00C866D2">
        <w:rPr>
          <w:rFonts w:ascii="Times New Roman" w:hAnsi="Times New Roman" w:cs="Times New Roman"/>
          <w:color w:val="000000" w:themeColor="text1"/>
          <w:kern w:val="0"/>
          <w:szCs w:val="24"/>
        </w:rPr>
        <w:t>F</w:t>
      </w:r>
      <w:r w:rsidR="00632F52" w:rsidRPr="004D4D3A">
        <w:rPr>
          <w:rFonts w:ascii="Times New Roman" w:hAnsi="Times New Roman" w:cs="Times New Roman"/>
          <w:color w:val="000000" w:themeColor="text1"/>
          <w:kern w:val="0"/>
          <w:szCs w:val="24"/>
        </w:rPr>
        <w:t xml:space="preserve">ollowing Habib et al. (2015), I define operating RPTs as purchases and sales of goods and service, </w:t>
      </w:r>
      <w:r w:rsidRPr="004D4D3A">
        <w:rPr>
          <w:rFonts w:ascii="Times New Roman" w:hAnsi="Times New Roman" w:cs="Times New Roman"/>
          <w:color w:val="000000" w:themeColor="text1"/>
          <w:kern w:val="0"/>
          <w:szCs w:val="24"/>
        </w:rPr>
        <w:t>and</w:t>
      </w:r>
      <w:r w:rsidR="00632F52" w:rsidRPr="004D4D3A">
        <w:rPr>
          <w:rFonts w:ascii="Times New Roman" w:hAnsi="Times New Roman" w:cs="Times New Roman"/>
          <w:color w:val="000000" w:themeColor="text1"/>
          <w:kern w:val="0"/>
          <w:szCs w:val="24"/>
        </w:rPr>
        <w:t xml:space="preserve"> non-operating RPTs as intercorporate loans. </w:t>
      </w:r>
      <w:r w:rsidR="00632F52" w:rsidRPr="004D4D3A">
        <w:rPr>
          <w:rFonts w:ascii="Times New Roman" w:hAnsi="Times New Roman" w:cs="Times New Roman"/>
          <w:color w:val="000000" w:themeColor="text1"/>
        </w:rPr>
        <w:t xml:space="preserve">From an efficiency-enhancing </w:t>
      </w:r>
      <w:r w:rsidR="00C866D2">
        <w:rPr>
          <w:rFonts w:ascii="Times New Roman" w:hAnsi="Times New Roman" w:cs="Times New Roman"/>
          <w:color w:val="000000" w:themeColor="text1"/>
        </w:rPr>
        <w:t>perspective</w:t>
      </w:r>
      <w:r w:rsidR="00632F52" w:rsidRPr="004D4D3A">
        <w:rPr>
          <w:rFonts w:ascii="Times New Roman" w:hAnsi="Times New Roman" w:cs="Times New Roman"/>
          <w:color w:val="000000" w:themeColor="text1"/>
        </w:rPr>
        <w:t xml:space="preserve">, related party purchases and sales can </w:t>
      </w:r>
      <w:r w:rsidR="00632F52" w:rsidRPr="004D4D3A">
        <w:rPr>
          <w:rFonts w:ascii="Times New Roman" w:hAnsi="Times New Roman" w:cs="Times New Roman"/>
          <w:color w:val="000000" w:themeColor="text1"/>
          <w:kern w:val="0"/>
          <w:szCs w:val="24"/>
        </w:rPr>
        <w:t>encourage cooperation among entities and maximize the operational efficiency and competitiveness of group companies (Liu and Liu</w:t>
      </w:r>
      <w:r w:rsidR="000B02D6" w:rsidRPr="004D4D3A">
        <w:rPr>
          <w:rFonts w:ascii="Times New Roman" w:hAnsi="Times New Roman" w:cs="Times New Roman"/>
          <w:color w:val="000000" w:themeColor="text1"/>
          <w:kern w:val="0"/>
          <w:szCs w:val="24"/>
        </w:rPr>
        <w:t>,</w:t>
      </w:r>
      <w:r w:rsidR="00632F52" w:rsidRPr="004D4D3A">
        <w:rPr>
          <w:rFonts w:ascii="Times New Roman" w:hAnsi="Times New Roman" w:cs="Times New Roman"/>
          <w:color w:val="000000" w:themeColor="text1"/>
          <w:kern w:val="0"/>
          <w:szCs w:val="24"/>
        </w:rPr>
        <w:t xml:space="preserve"> 2007), </w:t>
      </w:r>
      <w:r w:rsidR="00060042" w:rsidRPr="004D4D3A">
        <w:rPr>
          <w:rFonts w:ascii="Times New Roman" w:hAnsi="Times New Roman" w:cs="Times New Roman"/>
          <w:color w:val="000000" w:themeColor="text1"/>
          <w:kern w:val="0"/>
          <w:szCs w:val="24"/>
        </w:rPr>
        <w:t xml:space="preserve">facilitate firm value (Wong et al., 2015), </w:t>
      </w:r>
      <w:r w:rsidR="00632F52" w:rsidRPr="004D4D3A">
        <w:rPr>
          <w:rFonts w:ascii="Times New Roman" w:hAnsi="Times New Roman" w:cs="Times New Roman"/>
          <w:color w:val="000000" w:themeColor="text1"/>
          <w:kern w:val="0"/>
          <w:szCs w:val="24"/>
        </w:rPr>
        <w:t>and allow auditor</w:t>
      </w:r>
      <w:r w:rsidRPr="004D4D3A">
        <w:rPr>
          <w:rFonts w:ascii="Times New Roman" w:hAnsi="Times New Roman" w:cs="Times New Roman"/>
          <w:color w:val="000000" w:themeColor="text1"/>
          <w:kern w:val="0"/>
          <w:szCs w:val="24"/>
        </w:rPr>
        <w:t>s</w:t>
      </w:r>
      <w:r w:rsidR="00632F52" w:rsidRPr="004D4D3A">
        <w:rPr>
          <w:rFonts w:ascii="Times New Roman" w:hAnsi="Times New Roman" w:cs="Times New Roman"/>
          <w:color w:val="000000" w:themeColor="text1"/>
          <w:kern w:val="0"/>
          <w:szCs w:val="24"/>
        </w:rPr>
        <w:t xml:space="preserve"> to reduce </w:t>
      </w:r>
      <w:r w:rsidR="00632F52" w:rsidRPr="004D4D3A">
        <w:rPr>
          <w:rFonts w:ascii="Times New Roman" w:hAnsi="Times New Roman" w:cs="Times New Roman"/>
          <w:color w:val="000000" w:themeColor="text1"/>
        </w:rPr>
        <w:t xml:space="preserve">audit effort and audit risk (Habib et al., 2015). Nevertheless, controlling owners can easily rely on </w:t>
      </w:r>
      <w:r w:rsidR="00632F52" w:rsidRPr="004D4D3A">
        <w:rPr>
          <w:rFonts w:ascii="Times New Roman" w:hAnsi="Times New Roman" w:cs="Times New Roman"/>
          <w:bCs/>
          <w:color w:val="000000" w:themeColor="text1"/>
        </w:rPr>
        <w:t>related</w:t>
      </w:r>
      <w:r w:rsidR="00632F52" w:rsidRPr="004D4D3A">
        <w:rPr>
          <w:rFonts w:ascii="Times New Roman" w:hAnsi="Times New Roman" w:cs="Times New Roman"/>
          <w:color w:val="000000" w:themeColor="text1"/>
        </w:rPr>
        <w:t xml:space="preserve"> purchases</w:t>
      </w:r>
      <w:r w:rsidR="00C866D2">
        <w:rPr>
          <w:rFonts w:ascii="Times New Roman" w:hAnsi="Times New Roman" w:cs="Times New Roman"/>
          <w:color w:val="000000" w:themeColor="text1"/>
        </w:rPr>
        <w:t xml:space="preserve"> </w:t>
      </w:r>
      <w:r w:rsidR="00632F52" w:rsidRPr="004D4D3A">
        <w:rPr>
          <w:rFonts w:ascii="Times New Roman" w:hAnsi="Times New Roman" w:cs="Times New Roman"/>
          <w:color w:val="000000" w:themeColor="text1"/>
        </w:rPr>
        <w:t>/</w:t>
      </w:r>
      <w:r w:rsidR="00C866D2">
        <w:rPr>
          <w:rFonts w:ascii="Times New Roman" w:hAnsi="Times New Roman" w:cs="Times New Roman"/>
          <w:color w:val="000000" w:themeColor="text1"/>
        </w:rPr>
        <w:t xml:space="preserve"> </w:t>
      </w:r>
      <w:r w:rsidR="00632F52" w:rsidRPr="004D4D3A">
        <w:rPr>
          <w:rFonts w:ascii="Times New Roman" w:hAnsi="Times New Roman" w:cs="Times New Roman"/>
          <w:bCs/>
          <w:color w:val="000000" w:themeColor="text1"/>
        </w:rPr>
        <w:t>sales</w:t>
      </w:r>
      <w:r w:rsidR="00632F52" w:rsidRPr="004D4D3A">
        <w:rPr>
          <w:rFonts w:ascii="Times New Roman" w:hAnsi="Times New Roman" w:cs="Times New Roman"/>
          <w:color w:val="000000" w:themeColor="text1"/>
        </w:rPr>
        <w:t xml:space="preserve"> to expropriate minority </w:t>
      </w:r>
      <w:r w:rsidR="00F2580B">
        <w:rPr>
          <w:rFonts w:ascii="Times New Roman" w:hAnsi="Times New Roman" w:cs="Times New Roman"/>
          <w:color w:val="000000" w:themeColor="text1"/>
        </w:rPr>
        <w:t>shareholders’ interests</w:t>
      </w:r>
      <w:r w:rsidR="00632F52" w:rsidRPr="004D4D3A">
        <w:rPr>
          <w:rFonts w:ascii="Times New Roman" w:hAnsi="Times New Roman" w:cs="Times New Roman"/>
          <w:color w:val="000000" w:themeColor="text1"/>
        </w:rPr>
        <w:t xml:space="preserve"> </w:t>
      </w:r>
      <w:r w:rsidR="00C866D2">
        <w:rPr>
          <w:rFonts w:ascii="Times New Roman" w:hAnsi="Times New Roman" w:cs="Times New Roman"/>
          <w:color w:val="000000" w:themeColor="text1"/>
        </w:rPr>
        <w:t>by</w:t>
      </w:r>
      <w:r w:rsidR="00632F52" w:rsidRPr="004D4D3A">
        <w:rPr>
          <w:rFonts w:ascii="Times New Roman" w:hAnsi="Times New Roman" w:cs="Times New Roman"/>
          <w:color w:val="000000" w:themeColor="text1"/>
        </w:rPr>
        <w:t xml:space="preserve"> pro</w:t>
      </w:r>
      <w:r w:rsidR="00590426">
        <w:rPr>
          <w:rFonts w:ascii="Times New Roman" w:hAnsi="Times New Roman" w:cs="Times New Roman"/>
          <w:color w:val="000000" w:themeColor="text1"/>
        </w:rPr>
        <w:t>p</w:t>
      </w:r>
      <w:r w:rsidR="00632F52" w:rsidRPr="004D4D3A">
        <w:rPr>
          <w:rFonts w:ascii="Times New Roman" w:hAnsi="Times New Roman" w:cs="Times New Roman"/>
          <w:color w:val="000000" w:themeColor="text1"/>
        </w:rPr>
        <w:t>p</w:t>
      </w:r>
      <w:r w:rsidR="00590426">
        <w:rPr>
          <w:rFonts w:ascii="Times New Roman" w:hAnsi="Times New Roman" w:cs="Times New Roman"/>
          <w:color w:val="000000" w:themeColor="text1"/>
        </w:rPr>
        <w:t>ing</w:t>
      </w:r>
      <w:r w:rsidR="00632F52" w:rsidRPr="004D4D3A">
        <w:rPr>
          <w:rFonts w:ascii="Times New Roman" w:hAnsi="Times New Roman" w:cs="Times New Roman"/>
          <w:color w:val="000000" w:themeColor="text1"/>
        </w:rPr>
        <w:t xml:space="preserve"> up earnings or tunneling resources (</w:t>
      </w:r>
      <w:proofErr w:type="spellStart"/>
      <w:r w:rsidR="00632F52" w:rsidRPr="004D4D3A">
        <w:rPr>
          <w:rFonts w:ascii="Times New Roman" w:hAnsi="Times New Roman" w:cs="Times New Roman"/>
          <w:color w:val="000000" w:themeColor="text1"/>
        </w:rPr>
        <w:t>Aharony</w:t>
      </w:r>
      <w:proofErr w:type="spellEnd"/>
      <w:r w:rsidR="00632F52" w:rsidRPr="004D4D3A">
        <w:rPr>
          <w:rFonts w:ascii="Times New Roman" w:hAnsi="Times New Roman" w:cs="Times New Roman"/>
          <w:color w:val="000000" w:themeColor="text1"/>
        </w:rPr>
        <w:t xml:space="preserve"> et al., 2010; Jian and Wong, 2010). Thus, it is not clear whether operating RPTs are more likely to trigger modified opinions by auditors for client firms which in turn motiv</w:t>
      </w:r>
      <w:r w:rsidRPr="004D4D3A">
        <w:rPr>
          <w:rFonts w:ascii="Times New Roman" w:hAnsi="Times New Roman" w:cs="Times New Roman"/>
          <w:color w:val="000000" w:themeColor="text1"/>
        </w:rPr>
        <w:t>ate</w:t>
      </w:r>
      <w:r w:rsidR="00632F52" w:rsidRPr="004D4D3A">
        <w:rPr>
          <w:rFonts w:ascii="Times New Roman" w:hAnsi="Times New Roman" w:cs="Times New Roman"/>
          <w:color w:val="000000" w:themeColor="text1"/>
        </w:rPr>
        <w:t>s firms to search</w:t>
      </w:r>
      <w:r w:rsidRPr="004D4D3A">
        <w:rPr>
          <w:rFonts w:ascii="Times New Roman" w:hAnsi="Times New Roman" w:cs="Times New Roman"/>
          <w:color w:val="000000" w:themeColor="text1"/>
        </w:rPr>
        <w:t xml:space="preserve"> for</w:t>
      </w:r>
      <w:r w:rsidR="00632F52" w:rsidRPr="004D4D3A">
        <w:rPr>
          <w:rFonts w:ascii="Times New Roman" w:hAnsi="Times New Roman" w:cs="Times New Roman"/>
          <w:color w:val="000000" w:themeColor="text1"/>
        </w:rPr>
        <w:t xml:space="preserve"> lenient audit partners and succeed in their attempts to obtain more favorable opinions. In addition, </w:t>
      </w:r>
      <w:r w:rsidRPr="004D4D3A">
        <w:rPr>
          <w:rFonts w:ascii="Times New Roman" w:hAnsi="Times New Roman" w:cs="Times New Roman"/>
          <w:color w:val="000000" w:themeColor="text1"/>
        </w:rPr>
        <w:t>the</w:t>
      </w:r>
      <w:r w:rsidR="00632F52" w:rsidRPr="004D4D3A">
        <w:rPr>
          <w:rFonts w:ascii="Times New Roman" w:hAnsi="Times New Roman" w:cs="Times New Roman"/>
          <w:color w:val="000000" w:themeColor="text1"/>
        </w:rPr>
        <w:t xml:space="preserve"> literature commonly supports the value-destroying </w:t>
      </w:r>
      <w:r w:rsidR="00590426">
        <w:rPr>
          <w:rFonts w:ascii="Times New Roman" w:hAnsi="Times New Roman" w:cs="Times New Roman"/>
          <w:color w:val="000000" w:themeColor="text1"/>
        </w:rPr>
        <w:t>effects of</w:t>
      </w:r>
      <w:r w:rsidR="00632F52" w:rsidRPr="004D4D3A">
        <w:rPr>
          <w:rFonts w:ascii="Times New Roman" w:hAnsi="Times New Roman" w:cs="Times New Roman"/>
          <w:color w:val="000000" w:themeColor="text1"/>
        </w:rPr>
        <w:t xml:space="preserve"> non-operating RPTs. That is, intercorporate loans can be u</w:t>
      </w:r>
      <w:r w:rsidRPr="004D4D3A">
        <w:rPr>
          <w:rFonts w:ascii="Times New Roman" w:hAnsi="Times New Roman" w:cs="Times New Roman"/>
          <w:color w:val="000000" w:themeColor="text1"/>
        </w:rPr>
        <w:t>s</w:t>
      </w:r>
      <w:r w:rsidR="00632F52" w:rsidRPr="004D4D3A">
        <w:rPr>
          <w:rFonts w:ascii="Times New Roman" w:hAnsi="Times New Roman" w:cs="Times New Roman"/>
          <w:color w:val="000000" w:themeColor="text1"/>
        </w:rPr>
        <w:t>ed by parent firms for tunneling or siphoning resources out of their listed subsidiaries</w:t>
      </w:r>
      <w:r w:rsidRPr="004D4D3A">
        <w:rPr>
          <w:rFonts w:ascii="Times New Roman" w:hAnsi="Times New Roman" w:cs="Times New Roman"/>
          <w:color w:val="000000" w:themeColor="text1"/>
        </w:rPr>
        <w:t>. Hence,</w:t>
      </w:r>
      <w:r w:rsidR="00632F52" w:rsidRPr="004D4D3A">
        <w:rPr>
          <w:rFonts w:ascii="Times New Roman" w:hAnsi="Times New Roman" w:cs="Times New Roman"/>
          <w:color w:val="000000" w:themeColor="text1"/>
        </w:rPr>
        <w:t xml:space="preserve"> firm</w:t>
      </w:r>
      <w:r w:rsidR="002E43DA" w:rsidRPr="004D4D3A">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which</w:t>
      </w:r>
      <w:r w:rsidR="00632F52" w:rsidRPr="004D4D3A">
        <w:rPr>
          <w:rFonts w:ascii="Times New Roman" w:hAnsi="Times New Roman" w:cs="Times New Roman"/>
          <w:color w:val="000000" w:themeColor="text1"/>
        </w:rPr>
        <w:t xml:space="preserve"> conduct such transactions have poor future performance, higher probability of entering financial distress in the future (Berkman et al., 2009; Jiang et al., 2010; </w:t>
      </w:r>
      <w:proofErr w:type="spellStart"/>
      <w:r w:rsidR="00632F52" w:rsidRPr="004D4D3A">
        <w:rPr>
          <w:rFonts w:ascii="Times New Roman" w:hAnsi="Times New Roman" w:cs="Times New Roman"/>
          <w:color w:val="000000" w:themeColor="text1"/>
        </w:rPr>
        <w:t>Kohlbeck</w:t>
      </w:r>
      <w:proofErr w:type="spellEnd"/>
      <w:r w:rsidR="00632F52" w:rsidRPr="004D4D3A">
        <w:rPr>
          <w:rFonts w:ascii="Times New Roman" w:hAnsi="Times New Roman" w:cs="Times New Roman"/>
          <w:color w:val="000000" w:themeColor="text1"/>
        </w:rPr>
        <w:t xml:space="preserve"> and Mayhew, 2010), significant audit risk faced by auditors (Habib et al., 2015), </w:t>
      </w:r>
      <w:r w:rsidR="00A213F0">
        <w:rPr>
          <w:rFonts w:ascii="Times New Roman" w:hAnsi="Times New Roman" w:cs="Times New Roman"/>
          <w:color w:val="000000" w:themeColor="text1"/>
        </w:rPr>
        <w:t xml:space="preserve">and </w:t>
      </w:r>
      <w:r w:rsidR="00632F52" w:rsidRPr="004D4D3A">
        <w:rPr>
          <w:rFonts w:ascii="Times New Roman" w:hAnsi="Times New Roman" w:cs="Times New Roman"/>
          <w:color w:val="000000" w:themeColor="text1"/>
        </w:rPr>
        <w:t xml:space="preserve">more importantly, higher probability of </w:t>
      </w:r>
      <w:r w:rsidR="00613D58" w:rsidRPr="004D4D3A">
        <w:rPr>
          <w:rFonts w:ascii="Times New Roman" w:hAnsi="Times New Roman" w:cs="Times New Roman"/>
          <w:color w:val="000000" w:themeColor="text1"/>
        </w:rPr>
        <w:t>receiving an MAO</w:t>
      </w:r>
      <w:r w:rsidR="00632F52" w:rsidRPr="004D4D3A">
        <w:rPr>
          <w:rFonts w:ascii="Times New Roman" w:hAnsi="Times New Roman" w:cs="Times New Roman"/>
          <w:color w:val="000000" w:themeColor="text1"/>
        </w:rPr>
        <w:t xml:space="preserve"> (Jiang et al., 2010). Therefore, firms </w:t>
      </w:r>
      <w:r w:rsidR="00A213F0">
        <w:rPr>
          <w:rFonts w:ascii="Times New Roman" w:hAnsi="Times New Roman" w:cs="Times New Roman"/>
          <w:color w:val="000000" w:themeColor="text1"/>
        </w:rPr>
        <w:t xml:space="preserve">that </w:t>
      </w:r>
      <w:r w:rsidR="00632F52" w:rsidRPr="004D4D3A">
        <w:rPr>
          <w:rFonts w:ascii="Times New Roman" w:hAnsi="Times New Roman" w:cs="Times New Roman"/>
          <w:color w:val="000000" w:themeColor="text1"/>
        </w:rPr>
        <w:t xml:space="preserve">have more non-operating RPTs may engage in opinion shopping by switching audit partners. </w:t>
      </w:r>
    </w:p>
    <w:p w14:paraId="4BA45F2E" w14:textId="30024EA8" w:rsidR="00632F52" w:rsidRPr="004D4D3A" w:rsidRDefault="00632F52" w:rsidP="00632F52">
      <w:pPr>
        <w:spacing w:line="400" w:lineRule="exact"/>
        <w:ind w:firstLineChars="200" w:firstLine="480"/>
        <w:rPr>
          <w:rFonts w:ascii="Times New Roman" w:hAnsi="Times New Roman" w:cs="Times New Roman"/>
          <w:color w:val="000000" w:themeColor="text1"/>
        </w:rPr>
      </w:pPr>
      <w:r w:rsidRPr="004D4D3A">
        <w:rPr>
          <w:rFonts w:ascii="Times New Roman" w:hAnsi="Times New Roman" w:cs="Times New Roman"/>
          <w:color w:val="000000" w:themeColor="text1"/>
        </w:rPr>
        <w:t xml:space="preserve">I </w:t>
      </w:r>
      <w:r w:rsidR="00416F6F">
        <w:rPr>
          <w:rFonts w:ascii="Times New Roman" w:hAnsi="Times New Roman" w:cs="Times New Roman"/>
          <w:color w:val="000000" w:themeColor="text1"/>
        </w:rPr>
        <w:t xml:space="preserve">start by </w:t>
      </w:r>
      <w:r w:rsidRPr="004D4D3A">
        <w:rPr>
          <w:rFonts w:ascii="Times New Roman" w:hAnsi="Times New Roman" w:cs="Times New Roman"/>
          <w:color w:val="000000" w:themeColor="text1"/>
        </w:rPr>
        <w:t>replac</w:t>
      </w:r>
      <w:r w:rsidR="00416F6F">
        <w:rPr>
          <w:rFonts w:ascii="Times New Roman" w:hAnsi="Times New Roman" w:cs="Times New Roman"/>
          <w:color w:val="000000" w:themeColor="text1"/>
        </w:rPr>
        <w:t>ing</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RPT</w:t>
      </w:r>
      <w:r w:rsidRPr="004D4D3A">
        <w:rPr>
          <w:rFonts w:ascii="Times New Roman" w:hAnsi="Times New Roman" w:cs="Times New Roman"/>
          <w:color w:val="000000" w:themeColor="text1"/>
        </w:rPr>
        <w:t xml:space="preserve"> with the following two variables: </w:t>
      </w:r>
      <w:r w:rsidRPr="004D4D3A">
        <w:rPr>
          <w:rFonts w:ascii="Times New Roman" w:hAnsi="Times New Roman" w:cs="Times New Roman"/>
          <w:i/>
          <w:color w:val="000000" w:themeColor="text1"/>
        </w:rPr>
        <w:t>OP</w:t>
      </w:r>
      <w:r w:rsidRPr="004D4D3A">
        <w:rPr>
          <w:rFonts w:ascii="Times New Roman" w:hAnsi="Times New Roman" w:cs="Times New Roman"/>
          <w:color w:val="000000" w:themeColor="text1"/>
        </w:rPr>
        <w:t>_</w:t>
      </w:r>
      <w:r w:rsidRPr="004D4D3A">
        <w:rPr>
          <w:rFonts w:ascii="Times New Roman" w:hAnsi="Times New Roman" w:cs="Times New Roman"/>
          <w:i/>
          <w:color w:val="000000" w:themeColor="text1"/>
        </w:rPr>
        <w:t>RPT</w:t>
      </w:r>
      <w:r w:rsidRPr="004D4D3A">
        <w:rPr>
          <w:rFonts w:ascii="Times New Roman" w:hAnsi="Times New Roman" w:cs="Times New Roman"/>
          <w:color w:val="000000" w:themeColor="text1"/>
        </w:rPr>
        <w:t xml:space="preserve"> and </w:t>
      </w:r>
      <w:r w:rsidRPr="004D4D3A">
        <w:rPr>
          <w:rFonts w:ascii="Times New Roman" w:hAnsi="Times New Roman" w:cs="Times New Roman"/>
          <w:i/>
          <w:color w:val="000000" w:themeColor="text1"/>
        </w:rPr>
        <w:t>NOP</w:t>
      </w:r>
      <w:r w:rsidRPr="004D4D3A">
        <w:rPr>
          <w:rFonts w:ascii="Times New Roman" w:hAnsi="Times New Roman" w:cs="Times New Roman"/>
          <w:color w:val="000000" w:themeColor="text1"/>
        </w:rPr>
        <w:t>_</w:t>
      </w:r>
      <w:r w:rsidRPr="004D4D3A">
        <w:rPr>
          <w:rFonts w:ascii="Times New Roman" w:hAnsi="Times New Roman" w:cs="Times New Roman"/>
          <w:i/>
          <w:color w:val="000000" w:themeColor="text1"/>
        </w:rPr>
        <w:t>RPT</w:t>
      </w:r>
      <w:r w:rsidRPr="004D4D3A">
        <w:rPr>
          <w:rFonts w:ascii="Times New Roman" w:hAnsi="Times New Roman" w:cs="Times New Roman"/>
          <w:color w:val="000000" w:themeColor="text1"/>
        </w:rPr>
        <w:t xml:space="preserve">. </w:t>
      </w:r>
      <w:r w:rsidR="00416F6F">
        <w:rPr>
          <w:rFonts w:ascii="Times New Roman" w:hAnsi="Times New Roman" w:cs="Times New Roman"/>
          <w:color w:val="000000" w:themeColor="text1"/>
        </w:rPr>
        <w:t xml:space="preserve">The former </w:t>
      </w:r>
      <w:r w:rsidRPr="004D4D3A">
        <w:rPr>
          <w:rFonts w:ascii="Times New Roman" w:hAnsi="Times New Roman" w:cs="Times New Roman"/>
          <w:color w:val="000000" w:themeColor="text1"/>
        </w:rPr>
        <w:t xml:space="preserve">is measure as the sum of sales and purchases of goods and services revenue and expenses, scaled by total assets. </w:t>
      </w:r>
      <w:r w:rsidR="00416F6F">
        <w:rPr>
          <w:rFonts w:ascii="Times New Roman" w:hAnsi="Times New Roman" w:cs="Times New Roman"/>
          <w:color w:val="000000" w:themeColor="text1"/>
        </w:rPr>
        <w:t xml:space="preserve">While the latter </w:t>
      </w:r>
      <w:r w:rsidRPr="004D4D3A">
        <w:rPr>
          <w:rFonts w:ascii="Times New Roman" w:hAnsi="Times New Roman" w:cs="Times New Roman"/>
          <w:color w:val="000000" w:themeColor="text1"/>
        </w:rPr>
        <w:t>is the sum of related party intercorporate loans (include capital transfer, loans, guarantees, and collateral), scaled by total assets.</w:t>
      </w:r>
      <w:r w:rsidR="001334BA" w:rsidRPr="004D4D3A">
        <w:rPr>
          <w:rFonts w:ascii="Times New Roman" w:hAnsi="Times New Roman" w:cs="Times New Roman"/>
          <w:color w:val="000000" w:themeColor="text1"/>
        </w:rPr>
        <w:t xml:space="preserve"> The results of this analysis are shown in Table 4. The table shows that the coefficient on </w:t>
      </w:r>
      <w:r w:rsidR="0010234A" w:rsidRPr="004D4D3A">
        <w:rPr>
          <w:rFonts w:ascii="Times New Roman" w:hAnsi="Times New Roman" w:cs="Times New Roman"/>
          <w:color w:val="000000" w:themeColor="text1"/>
        </w:rPr>
        <w:t xml:space="preserve">the </w:t>
      </w:r>
      <w:r w:rsidR="001334BA" w:rsidRPr="004D4D3A">
        <w:rPr>
          <w:rFonts w:ascii="Times New Roman" w:hAnsi="Times New Roman" w:cs="Times New Roman"/>
          <w:i/>
          <w:color w:val="000000" w:themeColor="text1"/>
        </w:rPr>
        <w:t>POPSHOP</w:t>
      </w:r>
      <w:r w:rsidR="001334BA" w:rsidRPr="004D4D3A">
        <w:rPr>
          <w:rFonts w:ascii="Times New Roman" w:hAnsi="Times New Roman" w:cs="Times New Roman"/>
          <w:color w:val="000000" w:themeColor="text1"/>
        </w:rPr>
        <w:t>×</w:t>
      </w:r>
      <w:r w:rsidR="001334BA" w:rsidRPr="004D4D3A">
        <w:rPr>
          <w:rFonts w:ascii="Times New Roman" w:hAnsi="Times New Roman" w:cs="Times New Roman"/>
          <w:i/>
          <w:color w:val="000000" w:themeColor="text1"/>
        </w:rPr>
        <w:t>NOP_RPT</w:t>
      </w:r>
      <w:r w:rsidR="001334BA" w:rsidRPr="004D4D3A">
        <w:rPr>
          <w:rFonts w:ascii="Times New Roman" w:hAnsi="Times New Roman" w:cs="Times New Roman"/>
          <w:color w:val="000000" w:themeColor="text1"/>
        </w:rPr>
        <w:t xml:space="preserve"> </w:t>
      </w:r>
      <w:r w:rsidR="0010234A" w:rsidRPr="004D4D3A">
        <w:rPr>
          <w:rFonts w:ascii="Times New Roman" w:hAnsi="Times New Roman" w:cs="Times New Roman"/>
          <w:color w:val="000000" w:themeColor="text1"/>
        </w:rPr>
        <w:t xml:space="preserve">interaction term </w:t>
      </w:r>
      <w:r w:rsidR="001334BA" w:rsidRPr="004D4D3A">
        <w:rPr>
          <w:rFonts w:ascii="Times New Roman" w:hAnsi="Times New Roman" w:cs="Times New Roman"/>
          <w:color w:val="000000" w:themeColor="text1"/>
        </w:rPr>
        <w:t xml:space="preserve">is </w:t>
      </w:r>
      <w:r w:rsidR="00544908" w:rsidRPr="004D4D3A">
        <w:rPr>
          <w:rFonts w:ascii="Times New Roman" w:hAnsi="Times New Roman" w:cs="Times New Roman"/>
          <w:color w:val="000000" w:themeColor="text1"/>
        </w:rPr>
        <w:t xml:space="preserve">negative and significant </w:t>
      </w:r>
      <w:r w:rsidR="0010234A" w:rsidRPr="004D4D3A">
        <w:rPr>
          <w:rFonts w:ascii="Times New Roman" w:hAnsi="Times New Roman" w:cs="Times New Roman"/>
          <w:color w:val="000000" w:themeColor="text1"/>
        </w:rPr>
        <w:t xml:space="preserve">(p &lt; 0.05) while the coefficient on the </w:t>
      </w:r>
      <w:r w:rsidR="0010234A" w:rsidRPr="004D4D3A">
        <w:rPr>
          <w:rFonts w:ascii="Times New Roman" w:hAnsi="Times New Roman" w:cs="Times New Roman"/>
          <w:i/>
          <w:color w:val="000000" w:themeColor="text1"/>
        </w:rPr>
        <w:t>POPSHOP</w:t>
      </w:r>
      <w:r w:rsidR="0010234A" w:rsidRPr="004D4D3A">
        <w:rPr>
          <w:rFonts w:ascii="Times New Roman" w:hAnsi="Times New Roman" w:cs="Times New Roman"/>
          <w:color w:val="000000" w:themeColor="text1"/>
        </w:rPr>
        <w:t>×</w:t>
      </w:r>
      <w:r w:rsidR="0010234A" w:rsidRPr="004D4D3A">
        <w:rPr>
          <w:rFonts w:ascii="Times New Roman" w:hAnsi="Times New Roman" w:cs="Times New Roman"/>
          <w:i/>
          <w:color w:val="000000" w:themeColor="text1"/>
        </w:rPr>
        <w:t>OP_RPT</w:t>
      </w:r>
      <w:r w:rsidR="0010234A" w:rsidRPr="004D4D3A">
        <w:rPr>
          <w:rFonts w:ascii="Times New Roman" w:hAnsi="Times New Roman" w:cs="Times New Roman"/>
          <w:color w:val="000000" w:themeColor="text1"/>
        </w:rPr>
        <w:t xml:space="preserve"> interaction term is</w:t>
      </w:r>
      <w:r w:rsidR="00A13A4E" w:rsidRPr="004D4D3A">
        <w:rPr>
          <w:rFonts w:ascii="Times New Roman" w:hAnsi="Times New Roman" w:cs="Times New Roman"/>
          <w:color w:val="000000" w:themeColor="text1"/>
        </w:rPr>
        <w:t xml:space="preserve"> </w:t>
      </w:r>
      <w:r w:rsidR="00544908" w:rsidRPr="004D4D3A">
        <w:rPr>
          <w:rFonts w:ascii="Times New Roman" w:hAnsi="Times New Roman" w:cs="Times New Roman"/>
          <w:color w:val="000000" w:themeColor="text1"/>
        </w:rPr>
        <w:t xml:space="preserve">negative but not significant. </w:t>
      </w:r>
      <w:r w:rsidR="00A13A4E" w:rsidRPr="004D4D3A">
        <w:rPr>
          <w:rFonts w:ascii="Times New Roman" w:hAnsi="Times New Roman" w:cs="Times New Roman"/>
          <w:color w:val="000000" w:themeColor="text1"/>
        </w:rPr>
        <w:t xml:space="preserve">This </w:t>
      </w:r>
      <w:r w:rsidR="00416F6F">
        <w:rPr>
          <w:rFonts w:ascii="Times New Roman" w:hAnsi="Times New Roman" w:cs="Times New Roman"/>
          <w:color w:val="000000" w:themeColor="text1"/>
        </w:rPr>
        <w:t>indicates</w:t>
      </w:r>
      <w:r w:rsidR="00A13A4E" w:rsidRPr="004D4D3A">
        <w:rPr>
          <w:rFonts w:ascii="Times New Roman" w:hAnsi="Times New Roman" w:cs="Times New Roman"/>
          <w:color w:val="000000" w:themeColor="text1"/>
        </w:rPr>
        <w:t xml:space="preserve"> that </w:t>
      </w:r>
      <w:r w:rsidR="00C70DE3" w:rsidRPr="004D4D3A">
        <w:rPr>
          <w:rFonts w:ascii="Times New Roman" w:hAnsi="Times New Roman" w:cs="Times New Roman"/>
          <w:color w:val="000000" w:themeColor="text1"/>
        </w:rPr>
        <w:t>firms</w:t>
      </w:r>
      <w:r w:rsidR="00816A32" w:rsidRPr="004D4D3A">
        <w:rPr>
          <w:rFonts w:ascii="Times New Roman" w:hAnsi="Times New Roman" w:cs="Times New Roman"/>
          <w:color w:val="000000" w:themeColor="text1"/>
        </w:rPr>
        <w:t xml:space="preserve"> utilize intercorporate loans to </w:t>
      </w:r>
      <w:r w:rsidR="00260F1C" w:rsidRPr="004D4D3A">
        <w:rPr>
          <w:rFonts w:ascii="Times New Roman" w:hAnsi="Times New Roman" w:cs="Times New Roman"/>
          <w:color w:val="000000" w:themeColor="text1"/>
        </w:rPr>
        <w:t>carry out</w:t>
      </w:r>
      <w:r w:rsidR="00816A32" w:rsidRPr="004D4D3A">
        <w:rPr>
          <w:rFonts w:ascii="Times New Roman" w:hAnsi="Times New Roman" w:cs="Times New Roman"/>
          <w:color w:val="000000" w:themeColor="text1"/>
        </w:rPr>
        <w:t xml:space="preserve"> value-destroying tunneling</w:t>
      </w:r>
      <w:r w:rsidR="00416F6F">
        <w:rPr>
          <w:rFonts w:ascii="Times New Roman" w:hAnsi="Times New Roman" w:cs="Times New Roman"/>
          <w:color w:val="000000" w:themeColor="text1"/>
        </w:rPr>
        <w:t xml:space="preserve"> and this </w:t>
      </w:r>
      <w:r w:rsidR="00816A32" w:rsidRPr="004D4D3A">
        <w:rPr>
          <w:rFonts w:ascii="Times New Roman" w:hAnsi="Times New Roman" w:cs="Times New Roman"/>
          <w:color w:val="000000" w:themeColor="text1"/>
        </w:rPr>
        <w:t>mot</w:t>
      </w:r>
      <w:r w:rsidR="00BB53D0">
        <w:rPr>
          <w:rFonts w:ascii="Times New Roman" w:hAnsi="Times New Roman" w:cs="Times New Roman"/>
          <w:color w:val="000000" w:themeColor="text1"/>
        </w:rPr>
        <w:t>ivates</w:t>
      </w:r>
      <w:r w:rsidR="00816A32" w:rsidRPr="004D4D3A">
        <w:rPr>
          <w:rFonts w:ascii="Times New Roman" w:hAnsi="Times New Roman" w:cs="Times New Roman"/>
          <w:color w:val="000000" w:themeColor="text1"/>
        </w:rPr>
        <w:t xml:space="preserve"> them to </w:t>
      </w:r>
      <w:r w:rsidR="00DF3A1C" w:rsidRPr="004D4D3A">
        <w:rPr>
          <w:rFonts w:ascii="Times New Roman" w:hAnsi="Times New Roman" w:cs="Times New Roman"/>
          <w:color w:val="000000" w:themeColor="text1"/>
        </w:rPr>
        <w:t xml:space="preserve">replace </w:t>
      </w:r>
      <w:r w:rsidR="00260F1C" w:rsidRPr="004D4D3A">
        <w:rPr>
          <w:rFonts w:ascii="Times New Roman" w:hAnsi="Times New Roman" w:cs="Times New Roman"/>
          <w:color w:val="000000" w:themeColor="text1"/>
        </w:rPr>
        <w:t xml:space="preserve">incumbent </w:t>
      </w:r>
      <w:r w:rsidR="00DF3A1C" w:rsidRPr="004D4D3A">
        <w:rPr>
          <w:rFonts w:ascii="Times New Roman" w:hAnsi="Times New Roman" w:cs="Times New Roman"/>
          <w:color w:val="000000" w:themeColor="text1"/>
        </w:rPr>
        <w:t xml:space="preserve">partners to obtain more favorable audit opinions. </w:t>
      </w:r>
      <w:r w:rsidR="00D143E6" w:rsidRPr="004D4D3A">
        <w:rPr>
          <w:rFonts w:ascii="Times New Roman" w:hAnsi="Times New Roman" w:cs="Times New Roman"/>
          <w:color w:val="000000" w:themeColor="text1"/>
        </w:rPr>
        <w:t>It is also</w:t>
      </w:r>
      <w:r w:rsidR="00DF3A1C" w:rsidRPr="004D4D3A">
        <w:rPr>
          <w:rFonts w:ascii="Times New Roman" w:hAnsi="Times New Roman" w:cs="Times New Roman"/>
          <w:color w:val="000000" w:themeColor="text1"/>
        </w:rPr>
        <w:t xml:space="preserve"> consistent with the explanation of </w:t>
      </w:r>
      <w:r w:rsidR="00565857" w:rsidRPr="004D4D3A">
        <w:rPr>
          <w:rFonts w:ascii="Times New Roman" w:hAnsi="Times New Roman" w:cs="Times New Roman"/>
          <w:color w:val="000000" w:themeColor="text1"/>
        </w:rPr>
        <w:t>self-dealing</w:t>
      </w:r>
      <w:r w:rsidR="00E3799D" w:rsidRPr="004D4D3A">
        <w:rPr>
          <w:rFonts w:ascii="Times New Roman" w:hAnsi="Times New Roman" w:cs="Times New Roman"/>
          <w:color w:val="000000" w:themeColor="text1"/>
        </w:rPr>
        <w:t xml:space="preserve"> </w:t>
      </w:r>
      <w:r w:rsidR="00416F6F">
        <w:rPr>
          <w:rFonts w:ascii="Times New Roman" w:hAnsi="Times New Roman" w:cs="Times New Roman"/>
          <w:color w:val="000000" w:themeColor="text1"/>
        </w:rPr>
        <w:t>in relation to</w:t>
      </w:r>
      <w:r w:rsidR="00E3799D" w:rsidRPr="004D4D3A">
        <w:rPr>
          <w:rFonts w:ascii="Times New Roman" w:hAnsi="Times New Roman" w:cs="Times New Roman"/>
          <w:color w:val="000000" w:themeColor="text1"/>
        </w:rPr>
        <w:t xml:space="preserve"> non-operating RPTs.</w:t>
      </w:r>
      <w:r w:rsidR="00260F1C" w:rsidRPr="004D4D3A">
        <w:rPr>
          <w:rFonts w:ascii="Times New Roman" w:hAnsi="Times New Roman" w:cs="Times New Roman"/>
          <w:color w:val="000000" w:themeColor="text1"/>
        </w:rPr>
        <w:t xml:space="preserve"> Th</w:t>
      </w:r>
      <w:r w:rsidR="00D143E6" w:rsidRPr="004D4D3A">
        <w:rPr>
          <w:rFonts w:ascii="Times New Roman" w:hAnsi="Times New Roman" w:cs="Times New Roman"/>
          <w:color w:val="000000" w:themeColor="text1"/>
        </w:rPr>
        <w:t>e results for control variables are similar to those in Table 3.</w:t>
      </w:r>
    </w:p>
    <w:p w14:paraId="10E32B59" w14:textId="77777777" w:rsidR="00565857" w:rsidRPr="004D4D3A" w:rsidRDefault="00565857" w:rsidP="00565857">
      <w:pPr>
        <w:spacing w:line="400" w:lineRule="exact"/>
        <w:rPr>
          <w:rFonts w:ascii="Times New Roman" w:hAnsi="Times New Roman" w:cs="Times New Roman"/>
          <w:color w:val="000000" w:themeColor="text1"/>
        </w:rPr>
      </w:pPr>
    </w:p>
    <w:p w14:paraId="6B99B1C1" w14:textId="12A64CF6" w:rsidR="00397F0D" w:rsidRPr="004D4D3A" w:rsidRDefault="00397F0D" w:rsidP="00397F0D">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lastRenderedPageBreak/>
        <w:t>[Insert Table 4 here]</w:t>
      </w:r>
    </w:p>
    <w:p w14:paraId="683147F1" w14:textId="77777777" w:rsidR="00397F0D" w:rsidRPr="004D4D3A" w:rsidRDefault="00397F0D" w:rsidP="00A46D08">
      <w:pPr>
        <w:spacing w:line="400" w:lineRule="exact"/>
        <w:rPr>
          <w:rFonts w:ascii="Times New Roman" w:eastAsia="標楷體" w:hAnsi="Times New Roman" w:cs="Times New Roman"/>
          <w:b/>
          <w:color w:val="000000" w:themeColor="text1"/>
        </w:rPr>
      </w:pPr>
    </w:p>
    <w:p w14:paraId="00B618C0" w14:textId="3520081A" w:rsidR="00C86F37" w:rsidRPr="004D4D3A" w:rsidRDefault="00250A7F" w:rsidP="00035891">
      <w:pPr>
        <w:spacing w:line="400" w:lineRule="exact"/>
        <w:rPr>
          <w:rFonts w:ascii="Times New Roman" w:eastAsia="標楷體" w:hAnsi="Times New Roman" w:cs="Times New Roman"/>
          <w:b/>
          <w:color w:val="000000" w:themeColor="text1"/>
        </w:rPr>
      </w:pPr>
      <w:r w:rsidRPr="004D4D3A">
        <w:rPr>
          <w:rFonts w:ascii="Times New Roman" w:eastAsia="標楷體" w:hAnsi="Times New Roman" w:cs="Times New Roman"/>
          <w:b/>
          <w:color w:val="000000" w:themeColor="text1"/>
        </w:rPr>
        <w:t>4.4</w:t>
      </w:r>
      <w:r w:rsidR="00C86F37" w:rsidRPr="004D4D3A">
        <w:rPr>
          <w:rFonts w:ascii="Times New Roman" w:eastAsia="標楷體" w:hAnsi="Times New Roman" w:cs="Times New Roman"/>
          <w:b/>
          <w:color w:val="000000" w:themeColor="text1"/>
        </w:rPr>
        <w:t xml:space="preserve"> Sensitivity analyses</w:t>
      </w:r>
    </w:p>
    <w:p w14:paraId="1F03C749" w14:textId="58FF9213" w:rsidR="00C37504" w:rsidRPr="004D4D3A" w:rsidRDefault="00C37504" w:rsidP="00035891">
      <w:pPr>
        <w:spacing w:line="400" w:lineRule="exact"/>
        <w:rPr>
          <w:rFonts w:ascii="Times New Roman" w:hAnsi="Times New Roman" w:cs="Times New Roman"/>
          <w:color w:val="000000" w:themeColor="text1"/>
        </w:rPr>
      </w:pPr>
      <w:r w:rsidRPr="004D4D3A">
        <w:rPr>
          <w:rFonts w:ascii="Times New Roman" w:hAnsi="Times New Roman" w:cs="Times New Roman"/>
          <w:color w:val="000000" w:themeColor="text1"/>
        </w:rPr>
        <w:t>4.4.1 Severity of audit opinions</w:t>
      </w:r>
    </w:p>
    <w:p w14:paraId="3D112CCD" w14:textId="54C9F722" w:rsidR="007A2B9C" w:rsidRPr="004D4D3A" w:rsidRDefault="00BB53D0" w:rsidP="00454E72">
      <w:pPr>
        <w:spacing w:line="400" w:lineRule="exact"/>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rPr>
        <w:t>Since d</w:t>
      </w:r>
      <w:r w:rsidR="00C37504" w:rsidRPr="004D4D3A">
        <w:rPr>
          <w:rFonts w:ascii="Times New Roman" w:hAnsi="Times New Roman" w:cs="Times New Roman"/>
          <w:color w:val="000000" w:themeColor="text1"/>
        </w:rPr>
        <w:t xml:space="preserve">ifferent types of modified opinions represent </w:t>
      </w:r>
      <w:r w:rsidR="00C37504" w:rsidRPr="004D4D3A">
        <w:rPr>
          <w:rFonts w:ascii="Times New Roman" w:hAnsi="Times New Roman" w:cs="Times New Roman"/>
          <w:bCs/>
          <w:color w:val="000000" w:themeColor="text1"/>
        </w:rPr>
        <w:t>different</w:t>
      </w:r>
      <w:r w:rsidR="00C37504" w:rsidRPr="004D4D3A">
        <w:rPr>
          <w:rFonts w:ascii="Times New Roman" w:hAnsi="Times New Roman" w:cs="Times New Roman"/>
          <w:color w:val="000000" w:themeColor="text1"/>
        </w:rPr>
        <w:t xml:space="preserve"> </w:t>
      </w:r>
      <w:r w:rsidR="00C37504" w:rsidRPr="004D4D3A">
        <w:rPr>
          <w:rFonts w:ascii="Times New Roman" w:hAnsi="Times New Roman" w:cs="Times New Roman"/>
          <w:bCs/>
          <w:color w:val="000000" w:themeColor="text1"/>
        </w:rPr>
        <w:t>levels</w:t>
      </w:r>
      <w:r w:rsidR="00C37504" w:rsidRPr="004D4D3A">
        <w:rPr>
          <w:rFonts w:ascii="Times New Roman" w:hAnsi="Times New Roman" w:cs="Times New Roman"/>
          <w:color w:val="000000" w:themeColor="text1"/>
        </w:rPr>
        <w:t xml:space="preserve"> </w:t>
      </w:r>
      <w:r w:rsidR="00C37504" w:rsidRPr="004D4D3A">
        <w:rPr>
          <w:rFonts w:ascii="Times New Roman" w:hAnsi="Times New Roman" w:cs="Times New Roman"/>
          <w:bCs/>
          <w:color w:val="000000" w:themeColor="text1"/>
        </w:rPr>
        <w:t>of</w:t>
      </w:r>
      <w:r w:rsidR="00C37504" w:rsidRPr="004D4D3A">
        <w:rPr>
          <w:rFonts w:ascii="Times New Roman" w:hAnsi="Times New Roman" w:cs="Times New Roman"/>
          <w:color w:val="000000" w:themeColor="text1"/>
        </w:rPr>
        <w:t xml:space="preserve"> </w:t>
      </w:r>
      <w:r w:rsidR="00C37504" w:rsidRPr="004D4D3A">
        <w:rPr>
          <w:rFonts w:ascii="Times New Roman" w:hAnsi="Times New Roman" w:cs="Times New Roman"/>
          <w:bCs/>
          <w:color w:val="000000" w:themeColor="text1"/>
        </w:rPr>
        <w:t>severity</w:t>
      </w:r>
      <w:r w:rsidR="00C37504" w:rsidRPr="004D4D3A">
        <w:rPr>
          <w:rFonts w:ascii="Times New Roman" w:hAnsi="Times New Roman" w:cs="Times New Roman"/>
          <w:color w:val="000000" w:themeColor="text1"/>
        </w:rPr>
        <w:t xml:space="preserve"> </w:t>
      </w:r>
      <w:r w:rsidR="00C37504" w:rsidRPr="004D4D3A">
        <w:rPr>
          <w:rFonts w:ascii="Times New Roman" w:hAnsi="Times New Roman" w:cs="Times New Roman"/>
          <w:bCs/>
          <w:color w:val="000000" w:themeColor="text1"/>
        </w:rPr>
        <w:t>in</w:t>
      </w:r>
      <w:r w:rsidR="00C37504" w:rsidRPr="004D4D3A">
        <w:rPr>
          <w:rFonts w:ascii="Times New Roman" w:hAnsi="Times New Roman" w:cs="Times New Roman"/>
          <w:color w:val="000000" w:themeColor="text1"/>
        </w:rPr>
        <w:t xml:space="preserve"> accounting irregularities, </w:t>
      </w:r>
      <w:r>
        <w:rPr>
          <w:rFonts w:ascii="Times New Roman" w:hAnsi="Times New Roman" w:cs="Times New Roman"/>
          <w:color w:val="000000" w:themeColor="text1"/>
        </w:rPr>
        <w:t>they</w:t>
      </w:r>
      <w:r w:rsidRPr="004D4D3A">
        <w:rPr>
          <w:rFonts w:ascii="Times New Roman" w:hAnsi="Times New Roman" w:cs="Times New Roman"/>
          <w:color w:val="000000" w:themeColor="text1"/>
        </w:rPr>
        <w:t xml:space="preserve"> </w:t>
      </w:r>
      <w:r w:rsidR="00C37504" w:rsidRPr="004D4D3A">
        <w:rPr>
          <w:rFonts w:ascii="Times New Roman" w:hAnsi="Times New Roman" w:cs="Times New Roman"/>
          <w:color w:val="000000" w:themeColor="text1"/>
        </w:rPr>
        <w:t xml:space="preserve">vary in terms of costs to audit clients (Chen et al., 2010). Firms are able to shop for clean opinions when modified opinions are warranted or for less-severe modified opinions (e.g., unqualified opinions with explanatory notes) when severe modified opinions (e.g., qualified or disclaimers/adverse opinions) are warranted. Therefore, to measure the different types of MAOs according to their levels of severity, I code the audit opinion variable </w:t>
      </w:r>
      <w:proofErr w:type="spellStart"/>
      <w:r w:rsidR="00C37504" w:rsidRPr="004D4D3A">
        <w:rPr>
          <w:rFonts w:ascii="Times New Roman" w:hAnsi="Times New Roman" w:cs="Times New Roman"/>
          <w:i/>
          <w:color w:val="000000" w:themeColor="text1"/>
        </w:rPr>
        <w:t>OPIN_Type</w:t>
      </w:r>
      <w:proofErr w:type="spellEnd"/>
      <w:r w:rsidR="00C37504" w:rsidRPr="004D4D3A">
        <w:rPr>
          <w:rFonts w:ascii="Times New Roman" w:hAnsi="Times New Roman" w:cs="Times New Roman"/>
          <w:color w:val="000000" w:themeColor="text1"/>
        </w:rPr>
        <w:t xml:space="preserve"> from 0 to 3 to represent clean opinions</w:t>
      </w:r>
      <w:r w:rsidR="00416F6F">
        <w:rPr>
          <w:rFonts w:ascii="Times New Roman" w:hAnsi="Times New Roman" w:cs="Times New Roman"/>
          <w:color w:val="000000" w:themeColor="text1"/>
        </w:rPr>
        <w:t xml:space="preserve"> (0)</w:t>
      </w:r>
      <w:r w:rsidR="00C37504" w:rsidRPr="004D4D3A">
        <w:rPr>
          <w:rFonts w:ascii="Times New Roman" w:hAnsi="Times New Roman" w:cs="Times New Roman"/>
          <w:color w:val="000000" w:themeColor="text1"/>
        </w:rPr>
        <w:t>, unqualified opinions with explanatory notes</w:t>
      </w:r>
      <w:r w:rsidR="00416F6F">
        <w:rPr>
          <w:rFonts w:ascii="Times New Roman" w:hAnsi="Times New Roman" w:cs="Times New Roman"/>
          <w:color w:val="000000" w:themeColor="text1"/>
        </w:rPr>
        <w:t xml:space="preserve"> (1)</w:t>
      </w:r>
      <w:r w:rsidR="00C37504" w:rsidRPr="004D4D3A">
        <w:rPr>
          <w:rFonts w:ascii="Times New Roman" w:hAnsi="Times New Roman" w:cs="Times New Roman"/>
          <w:color w:val="000000" w:themeColor="text1"/>
        </w:rPr>
        <w:t>, qualified opinions</w:t>
      </w:r>
      <w:r w:rsidR="00416F6F">
        <w:rPr>
          <w:rFonts w:ascii="Times New Roman" w:hAnsi="Times New Roman" w:cs="Times New Roman"/>
          <w:color w:val="000000" w:themeColor="text1"/>
        </w:rPr>
        <w:t xml:space="preserve"> (2)</w:t>
      </w:r>
      <w:r w:rsidR="00C37504" w:rsidRPr="004D4D3A">
        <w:rPr>
          <w:rFonts w:ascii="Times New Roman" w:hAnsi="Times New Roman" w:cs="Times New Roman"/>
          <w:color w:val="000000" w:themeColor="text1"/>
        </w:rPr>
        <w:t>, and qualified opinions with explanatory notes/disclaimers opinions/adverse opinions</w:t>
      </w:r>
      <w:r w:rsidR="009E36DB">
        <w:rPr>
          <w:rFonts w:ascii="Times New Roman" w:hAnsi="Times New Roman" w:cs="Times New Roman"/>
          <w:color w:val="000000" w:themeColor="text1"/>
        </w:rPr>
        <w:t xml:space="preserve"> </w:t>
      </w:r>
      <w:r w:rsidR="00416F6F">
        <w:rPr>
          <w:rFonts w:ascii="Times New Roman" w:hAnsi="Times New Roman" w:cs="Times New Roman"/>
          <w:color w:val="000000" w:themeColor="text1"/>
        </w:rPr>
        <w:t>(3).</w:t>
      </w:r>
      <w:r w:rsidR="00C37504" w:rsidRPr="004D4D3A">
        <w:rPr>
          <w:rStyle w:val="aa"/>
          <w:rFonts w:ascii="Times New Roman" w:hAnsi="Times New Roman" w:cs="Times New Roman"/>
          <w:color w:val="000000" w:themeColor="text1"/>
        </w:rPr>
        <w:footnoteReference w:id="15"/>
      </w:r>
      <w:r w:rsidR="00C37504" w:rsidRPr="004D4D3A">
        <w:rPr>
          <w:rFonts w:ascii="Times New Roman" w:hAnsi="Times New Roman" w:cs="Times New Roman"/>
          <w:color w:val="000000" w:themeColor="text1"/>
        </w:rPr>
        <w:t xml:space="preserve"> I replace </w:t>
      </w:r>
      <w:r w:rsidR="00C37504" w:rsidRPr="004D4D3A">
        <w:rPr>
          <w:rFonts w:ascii="Times New Roman" w:hAnsi="Times New Roman" w:cs="Times New Roman"/>
          <w:i/>
          <w:color w:val="000000" w:themeColor="text1"/>
        </w:rPr>
        <w:t>MAO</w:t>
      </w:r>
      <w:r w:rsidR="00C37504" w:rsidRPr="004D4D3A">
        <w:rPr>
          <w:rFonts w:ascii="Times New Roman" w:hAnsi="Times New Roman" w:cs="Times New Roman"/>
          <w:color w:val="000000" w:themeColor="text1"/>
        </w:rPr>
        <w:t xml:space="preserve"> with </w:t>
      </w:r>
      <w:proofErr w:type="spellStart"/>
      <w:r w:rsidR="00C37504" w:rsidRPr="004D4D3A">
        <w:rPr>
          <w:rFonts w:ascii="Times New Roman" w:hAnsi="Times New Roman" w:cs="Times New Roman"/>
          <w:i/>
          <w:color w:val="000000" w:themeColor="text1"/>
        </w:rPr>
        <w:t>OPIN</w:t>
      </w:r>
      <w:r w:rsidR="00C37504" w:rsidRPr="004D4D3A">
        <w:rPr>
          <w:rFonts w:ascii="Times New Roman" w:hAnsi="Times New Roman" w:cs="Times New Roman"/>
          <w:color w:val="000000" w:themeColor="text1"/>
        </w:rPr>
        <w:t>_</w:t>
      </w:r>
      <w:r w:rsidR="00C37504" w:rsidRPr="004D4D3A">
        <w:rPr>
          <w:rFonts w:ascii="Times New Roman" w:hAnsi="Times New Roman" w:cs="Times New Roman"/>
          <w:i/>
          <w:color w:val="000000" w:themeColor="text1"/>
        </w:rPr>
        <w:t>Type</w:t>
      </w:r>
      <w:proofErr w:type="spellEnd"/>
      <w:r w:rsidR="00C37504" w:rsidRPr="004D4D3A">
        <w:rPr>
          <w:rFonts w:ascii="Times New Roman" w:hAnsi="Times New Roman" w:cs="Times New Roman"/>
          <w:color w:val="000000" w:themeColor="text1"/>
        </w:rPr>
        <w:t xml:space="preserve"> in </w:t>
      </w:r>
      <w:r w:rsidR="00903D09">
        <w:rPr>
          <w:rFonts w:ascii="Times New Roman" w:hAnsi="Times New Roman" w:cs="Times New Roman"/>
          <w:color w:val="000000" w:themeColor="text1"/>
        </w:rPr>
        <w:t xml:space="preserve">the </w:t>
      </w:r>
      <w:r w:rsidR="00C37504" w:rsidRPr="004D4D3A">
        <w:rPr>
          <w:rFonts w:ascii="Times New Roman" w:hAnsi="Times New Roman" w:cs="Times New Roman"/>
          <w:color w:val="000000" w:themeColor="text1"/>
        </w:rPr>
        <w:t xml:space="preserve">audit reporting model (equation (1)) and </w:t>
      </w:r>
      <w:r w:rsidR="0013078B" w:rsidRPr="004D4D3A">
        <w:rPr>
          <w:rFonts w:ascii="Times New Roman" w:hAnsi="Times New Roman" w:cs="Times New Roman"/>
          <w:color w:val="000000" w:themeColor="text1"/>
        </w:rPr>
        <w:t xml:space="preserve">adopt </w:t>
      </w:r>
      <w:r w:rsidR="00C37504" w:rsidRPr="004D4D3A">
        <w:rPr>
          <w:rFonts w:ascii="Times New Roman" w:hAnsi="Times New Roman" w:cs="Times New Roman"/>
          <w:color w:val="000000" w:themeColor="text1"/>
        </w:rPr>
        <w:t xml:space="preserve">an ordered </w:t>
      </w:r>
      <w:proofErr w:type="spellStart"/>
      <w:r w:rsidR="00C37504" w:rsidRPr="004D4D3A">
        <w:rPr>
          <w:rFonts w:ascii="Times New Roman" w:hAnsi="Times New Roman" w:cs="Times New Roman"/>
          <w:color w:val="000000" w:themeColor="text1"/>
        </w:rPr>
        <w:t>probit</w:t>
      </w:r>
      <w:proofErr w:type="spellEnd"/>
      <w:r w:rsidR="00C37504" w:rsidRPr="004D4D3A">
        <w:rPr>
          <w:rFonts w:ascii="Times New Roman" w:hAnsi="Times New Roman" w:cs="Times New Roman"/>
          <w:color w:val="000000" w:themeColor="text1"/>
        </w:rPr>
        <w:t xml:space="preserve"> regression</w:t>
      </w:r>
      <w:r w:rsidR="00455469" w:rsidRPr="004D4D3A">
        <w:rPr>
          <w:rFonts w:ascii="Times New Roman" w:hAnsi="Times New Roman" w:cs="Times New Roman"/>
          <w:color w:val="000000" w:themeColor="text1"/>
        </w:rPr>
        <w:t xml:space="preserve"> to estimate the predicted probability</w:t>
      </w:r>
      <w:r w:rsidR="00C37504" w:rsidRPr="004D4D3A">
        <w:rPr>
          <w:rFonts w:ascii="Times New Roman" w:hAnsi="Times New Roman" w:cs="Times New Roman"/>
          <w:color w:val="000000" w:themeColor="text1"/>
        </w:rPr>
        <w:t xml:space="preserve">. </w:t>
      </w:r>
      <w:r w:rsidR="00455469" w:rsidRPr="004D4D3A">
        <w:rPr>
          <w:rFonts w:ascii="Times New Roman" w:hAnsi="Times New Roman" w:cs="Times New Roman"/>
          <w:color w:val="000000" w:themeColor="text1"/>
        </w:rPr>
        <w:t>I then replace t</w:t>
      </w:r>
      <w:r w:rsidR="0013078B" w:rsidRPr="004D4D3A">
        <w:rPr>
          <w:rFonts w:ascii="Times New Roman" w:hAnsi="Times New Roman" w:cs="Times New Roman"/>
          <w:color w:val="000000" w:themeColor="text1"/>
        </w:rPr>
        <w:t xml:space="preserve">he variable </w:t>
      </w:r>
      <w:r w:rsidR="0013078B" w:rsidRPr="004D4D3A">
        <w:rPr>
          <w:rFonts w:ascii="Times New Roman" w:hAnsi="Times New Roman" w:cs="Times New Roman"/>
          <w:i/>
          <w:color w:val="000000" w:themeColor="text1"/>
        </w:rPr>
        <w:t>POPSHOP</w:t>
      </w:r>
      <w:r w:rsidR="0013078B" w:rsidRPr="004D4D3A">
        <w:rPr>
          <w:rFonts w:ascii="Times New Roman" w:hAnsi="Times New Roman" w:cs="Times New Roman"/>
          <w:color w:val="000000" w:themeColor="text1"/>
        </w:rPr>
        <w:t xml:space="preserve"> </w:t>
      </w:r>
      <w:r w:rsidR="00D2739D" w:rsidRPr="004D4D3A">
        <w:rPr>
          <w:rFonts w:ascii="Times New Roman" w:hAnsi="Times New Roman" w:cs="Times New Roman"/>
          <w:color w:val="000000" w:themeColor="text1"/>
        </w:rPr>
        <w:t xml:space="preserve">(equation (2)) </w:t>
      </w:r>
      <w:r w:rsidR="00455469" w:rsidRPr="004D4D3A">
        <w:rPr>
          <w:rFonts w:ascii="Times New Roman" w:hAnsi="Times New Roman" w:cs="Times New Roman"/>
          <w:color w:val="000000" w:themeColor="text1"/>
        </w:rPr>
        <w:t xml:space="preserve">with </w:t>
      </w:r>
      <w:proofErr w:type="spellStart"/>
      <w:r w:rsidR="0013078B" w:rsidRPr="004D4D3A">
        <w:rPr>
          <w:rFonts w:ascii="Times New Roman" w:hAnsi="Times New Roman" w:cs="Times New Roman"/>
          <w:i/>
          <w:color w:val="000000" w:themeColor="text1"/>
        </w:rPr>
        <w:t>POPSHOP_</w:t>
      </w:r>
      <w:r w:rsidR="00DE3E5F" w:rsidRPr="004D4D3A">
        <w:rPr>
          <w:rFonts w:ascii="Times New Roman" w:hAnsi="Times New Roman" w:cs="Times New Roman"/>
          <w:i/>
          <w:color w:val="000000" w:themeColor="text1"/>
        </w:rPr>
        <w:t>S</w:t>
      </w:r>
      <w:r w:rsidR="0013078B" w:rsidRPr="004D4D3A">
        <w:rPr>
          <w:rFonts w:ascii="Times New Roman" w:hAnsi="Times New Roman" w:cs="Times New Roman"/>
          <w:i/>
          <w:color w:val="000000" w:themeColor="text1"/>
        </w:rPr>
        <w:t>ev</w:t>
      </w:r>
      <w:proofErr w:type="spellEnd"/>
      <w:r w:rsidR="00D2739D" w:rsidRPr="004D4D3A">
        <w:rPr>
          <w:rFonts w:ascii="Times New Roman" w:hAnsi="Times New Roman" w:cs="Times New Roman"/>
          <w:color w:val="000000" w:themeColor="text1"/>
        </w:rPr>
        <w:t xml:space="preserve">, </w:t>
      </w:r>
      <w:r w:rsidR="00455469" w:rsidRPr="004D4D3A">
        <w:rPr>
          <w:rFonts w:ascii="Times New Roman" w:hAnsi="Times New Roman" w:cs="Times New Roman"/>
          <w:color w:val="000000" w:themeColor="text1"/>
        </w:rPr>
        <w:t xml:space="preserve">which </w:t>
      </w:r>
      <w:r w:rsidR="00D2739D" w:rsidRPr="004D4D3A">
        <w:rPr>
          <w:rFonts w:ascii="Times New Roman" w:hAnsi="Times New Roman" w:cs="Times New Roman"/>
          <w:color w:val="000000" w:themeColor="text1"/>
        </w:rPr>
        <w:t>define</w:t>
      </w:r>
      <w:r w:rsidR="00903D09">
        <w:rPr>
          <w:rFonts w:ascii="Times New Roman" w:hAnsi="Times New Roman" w:cs="Times New Roman"/>
          <w:color w:val="000000" w:themeColor="text1"/>
        </w:rPr>
        <w:t>s</w:t>
      </w:r>
      <w:r w:rsidR="00D2739D" w:rsidRPr="004D4D3A">
        <w:rPr>
          <w:rFonts w:ascii="Times New Roman" w:hAnsi="Times New Roman" w:cs="Times New Roman"/>
          <w:color w:val="000000" w:themeColor="text1"/>
        </w:rPr>
        <w:t xml:space="preserve"> </w:t>
      </w:r>
      <w:r w:rsidR="00DE3E5F" w:rsidRPr="004D4D3A">
        <w:rPr>
          <w:rFonts w:ascii="Times New Roman" w:hAnsi="Times New Roman" w:cs="Times New Roman"/>
          <w:color w:val="000000" w:themeColor="text1"/>
        </w:rPr>
        <w:t>the difference in the predicted probability between receiving a non-clean opinion condition</w:t>
      </w:r>
      <w:r w:rsidR="00903D09">
        <w:rPr>
          <w:rFonts w:ascii="Times New Roman" w:hAnsi="Times New Roman" w:cs="Times New Roman"/>
          <w:color w:val="000000" w:themeColor="text1"/>
        </w:rPr>
        <w:t>al</w:t>
      </w:r>
      <w:r w:rsidR="00DE3E5F" w:rsidRPr="004D4D3A">
        <w:rPr>
          <w:rFonts w:ascii="Times New Roman" w:hAnsi="Times New Roman" w:cs="Times New Roman"/>
          <w:color w:val="000000" w:themeColor="text1"/>
        </w:rPr>
        <w:t xml:space="preserve"> on a firm switch</w:t>
      </w:r>
      <w:r w:rsidR="00903D09">
        <w:rPr>
          <w:rFonts w:ascii="Times New Roman" w:hAnsi="Times New Roman" w:cs="Times New Roman"/>
          <w:color w:val="000000" w:themeColor="text1"/>
        </w:rPr>
        <w:t>ing</w:t>
      </w:r>
      <w:r w:rsidR="00DE3E5F" w:rsidRPr="004D4D3A">
        <w:rPr>
          <w:rFonts w:ascii="Times New Roman" w:hAnsi="Times New Roman" w:cs="Times New Roman"/>
          <w:color w:val="000000" w:themeColor="text1"/>
        </w:rPr>
        <w:t xml:space="preserve"> its audit partner and receiving a non-clean op</w:t>
      </w:r>
      <w:r w:rsidR="00DE3E5F" w:rsidRPr="004D4D3A">
        <w:rPr>
          <w:rFonts w:ascii="Times New Roman" w:hAnsi="Times New Roman" w:cs="Times New Roman"/>
          <w:color w:val="000000" w:themeColor="text1"/>
          <w:szCs w:val="24"/>
        </w:rPr>
        <w:t>inion condition</w:t>
      </w:r>
      <w:r w:rsidR="00903D09">
        <w:rPr>
          <w:rFonts w:ascii="Times New Roman" w:hAnsi="Times New Roman" w:cs="Times New Roman"/>
          <w:color w:val="000000" w:themeColor="text1"/>
          <w:szCs w:val="24"/>
        </w:rPr>
        <w:t>al</w:t>
      </w:r>
      <w:r w:rsidR="00DE3E5F" w:rsidRPr="004D4D3A">
        <w:rPr>
          <w:rFonts w:ascii="Times New Roman" w:hAnsi="Times New Roman" w:cs="Times New Roman"/>
          <w:color w:val="000000" w:themeColor="text1"/>
          <w:szCs w:val="24"/>
        </w:rPr>
        <w:t xml:space="preserve"> on not switching the partner</w:t>
      </w:r>
      <w:r w:rsidR="00035891" w:rsidRPr="004D4D3A">
        <w:rPr>
          <w:rFonts w:ascii="Times New Roman" w:hAnsi="Times New Roman" w:cs="Times New Roman"/>
          <w:color w:val="000000" w:themeColor="text1"/>
          <w:szCs w:val="24"/>
        </w:rPr>
        <w:t xml:space="preserve"> and rerun the regression</w:t>
      </w:r>
      <w:r w:rsidR="00DE3E5F" w:rsidRPr="004D4D3A">
        <w:rPr>
          <w:rFonts w:ascii="Times New Roman" w:hAnsi="Times New Roman" w:cs="Times New Roman"/>
          <w:color w:val="000000" w:themeColor="text1"/>
          <w:szCs w:val="24"/>
        </w:rPr>
        <w:t xml:space="preserve">. Table 5 </w:t>
      </w:r>
      <w:r w:rsidR="00D2739D" w:rsidRPr="004D4D3A">
        <w:rPr>
          <w:rFonts w:ascii="Times New Roman" w:hAnsi="Times New Roman" w:cs="Times New Roman"/>
          <w:color w:val="000000" w:themeColor="text1"/>
          <w:szCs w:val="24"/>
        </w:rPr>
        <w:t xml:space="preserve">shows that </w:t>
      </w:r>
      <w:r w:rsidR="00DE3E5F" w:rsidRPr="004D4D3A">
        <w:rPr>
          <w:rFonts w:ascii="Times New Roman" w:hAnsi="Times New Roman" w:cs="Times New Roman"/>
          <w:color w:val="000000" w:themeColor="text1"/>
          <w:szCs w:val="24"/>
        </w:rPr>
        <w:t xml:space="preserve">the </w:t>
      </w:r>
      <w:r w:rsidR="00D2739D" w:rsidRPr="004D4D3A">
        <w:rPr>
          <w:rFonts w:ascii="Times New Roman" w:hAnsi="Times New Roman" w:cs="Times New Roman"/>
          <w:color w:val="000000" w:themeColor="text1"/>
          <w:szCs w:val="24"/>
        </w:rPr>
        <w:t>coeffi</w:t>
      </w:r>
      <w:r w:rsidR="00035891" w:rsidRPr="004D4D3A">
        <w:rPr>
          <w:rFonts w:ascii="Times New Roman" w:hAnsi="Times New Roman" w:cs="Times New Roman"/>
          <w:color w:val="000000" w:themeColor="text1"/>
          <w:szCs w:val="24"/>
        </w:rPr>
        <w:t xml:space="preserve">cient for </w:t>
      </w:r>
      <w:proofErr w:type="spellStart"/>
      <w:r w:rsidR="00035891" w:rsidRPr="004D4D3A">
        <w:rPr>
          <w:rFonts w:ascii="Times New Roman" w:hAnsi="Times New Roman" w:cs="Times New Roman"/>
          <w:i/>
          <w:color w:val="000000" w:themeColor="text1"/>
          <w:szCs w:val="24"/>
        </w:rPr>
        <w:t>POPSHOP</w:t>
      </w:r>
      <w:r w:rsidR="00035891" w:rsidRPr="004D4D3A">
        <w:rPr>
          <w:rFonts w:ascii="Times New Roman" w:hAnsi="Times New Roman" w:cs="Times New Roman"/>
          <w:color w:val="000000" w:themeColor="text1"/>
          <w:szCs w:val="24"/>
        </w:rPr>
        <w:t>_</w:t>
      </w:r>
      <w:r w:rsidR="00035891" w:rsidRPr="004D4D3A">
        <w:rPr>
          <w:rFonts w:ascii="Times New Roman" w:hAnsi="Times New Roman" w:cs="Times New Roman"/>
          <w:i/>
          <w:color w:val="000000" w:themeColor="text1"/>
          <w:szCs w:val="24"/>
        </w:rPr>
        <w:t>Sev</w:t>
      </w:r>
      <w:r w:rsidR="00035891" w:rsidRPr="004D4D3A">
        <w:rPr>
          <w:rFonts w:ascii="Times New Roman" w:eastAsia="標楷體" w:hAnsi="Times New Roman" w:cs="Times New Roman"/>
          <w:color w:val="000000" w:themeColor="text1"/>
          <w:szCs w:val="24"/>
        </w:rPr>
        <w:t>×</w:t>
      </w:r>
      <w:r w:rsidR="00035891" w:rsidRPr="004D4D3A">
        <w:rPr>
          <w:rFonts w:ascii="Times New Roman" w:hAnsi="Times New Roman" w:cs="Times New Roman"/>
          <w:i/>
          <w:color w:val="000000" w:themeColor="text1"/>
          <w:szCs w:val="24"/>
        </w:rPr>
        <w:t>RPT</w:t>
      </w:r>
      <w:proofErr w:type="spellEnd"/>
      <w:r w:rsidR="00035891" w:rsidRPr="004D4D3A">
        <w:rPr>
          <w:rFonts w:ascii="Times New Roman" w:hAnsi="Times New Roman" w:cs="Times New Roman"/>
          <w:color w:val="000000" w:themeColor="text1"/>
          <w:szCs w:val="24"/>
        </w:rPr>
        <w:t xml:space="preserve"> is negative and significant (p &lt; 0.05)</w:t>
      </w:r>
      <w:r w:rsidR="000E587A">
        <w:rPr>
          <w:rFonts w:ascii="Times New Roman" w:hAnsi="Times New Roman" w:cs="Times New Roman"/>
          <w:color w:val="000000" w:themeColor="text1"/>
          <w:szCs w:val="24"/>
        </w:rPr>
        <w:t>, which is consistent with the result</w:t>
      </w:r>
      <w:r w:rsidR="0072159A">
        <w:rPr>
          <w:rFonts w:ascii="Times New Roman" w:hAnsi="Times New Roman" w:cs="Times New Roman"/>
          <w:color w:val="000000" w:themeColor="text1"/>
          <w:szCs w:val="24"/>
        </w:rPr>
        <w:t xml:space="preserve"> presented in Table 3. Thus, </w:t>
      </w:r>
      <w:r w:rsidR="000E587A">
        <w:rPr>
          <w:rFonts w:ascii="Times New Roman" w:hAnsi="Times New Roman" w:cs="Times New Roman"/>
          <w:color w:val="000000" w:themeColor="text1"/>
          <w:szCs w:val="24"/>
        </w:rPr>
        <w:t>the main evidence is unaffected by this alternative estimation procedure.</w:t>
      </w:r>
      <w:r w:rsidR="0072159A" w:rsidRPr="004D4D3A" w:rsidDel="0072159A">
        <w:rPr>
          <w:rFonts w:ascii="Times New Roman" w:hAnsi="Times New Roman" w:cs="Times New Roman"/>
          <w:color w:val="000000" w:themeColor="text1"/>
          <w:szCs w:val="24"/>
        </w:rPr>
        <w:t xml:space="preserve"> </w:t>
      </w:r>
    </w:p>
    <w:p w14:paraId="2947518E" w14:textId="77777777" w:rsidR="00454E72" w:rsidRPr="004D4D3A" w:rsidRDefault="00454E72" w:rsidP="00454E72">
      <w:pPr>
        <w:spacing w:line="400" w:lineRule="exact"/>
        <w:rPr>
          <w:rFonts w:ascii="Times New Roman" w:eastAsia="標楷體" w:hAnsi="Times New Roman" w:cs="Times New Roman"/>
          <w:b/>
          <w:color w:val="000000" w:themeColor="text1"/>
          <w:szCs w:val="24"/>
        </w:rPr>
      </w:pPr>
    </w:p>
    <w:p w14:paraId="4D342714" w14:textId="50A6D4C3" w:rsidR="00397F0D" w:rsidRPr="004D4D3A" w:rsidRDefault="00397F0D" w:rsidP="00035891">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[Insert Table 5 here]</w:t>
      </w:r>
    </w:p>
    <w:p w14:paraId="64CBFE2F" w14:textId="77777777" w:rsidR="00397F0D" w:rsidRPr="004D4D3A" w:rsidRDefault="00397F0D" w:rsidP="00035891">
      <w:pPr>
        <w:spacing w:line="400" w:lineRule="exact"/>
        <w:rPr>
          <w:rFonts w:ascii="Times New Roman" w:hAnsi="Times New Roman" w:cs="Times New Roman"/>
          <w:color w:val="000000" w:themeColor="text1"/>
        </w:rPr>
      </w:pPr>
    </w:p>
    <w:p w14:paraId="371F71FE" w14:textId="77777777" w:rsidR="00544908" w:rsidRPr="004D4D3A" w:rsidRDefault="00544908" w:rsidP="00C37620">
      <w:pPr>
        <w:spacing w:line="400" w:lineRule="exact"/>
        <w:rPr>
          <w:rFonts w:ascii="Times New Roman" w:eastAsia="標楷體" w:hAnsi="Times New Roman" w:cs="Times New Roman"/>
          <w:color w:val="000000" w:themeColor="text1"/>
        </w:rPr>
      </w:pPr>
      <w:r w:rsidRPr="004D4D3A">
        <w:rPr>
          <w:rFonts w:ascii="Times New Roman" w:eastAsia="標楷體" w:hAnsi="Times New Roman" w:cs="Times New Roman"/>
          <w:color w:val="000000" w:themeColor="text1"/>
        </w:rPr>
        <w:t>4.4.2 Change analysis</w:t>
      </w:r>
    </w:p>
    <w:p w14:paraId="2AB95BF7" w14:textId="631AB4FB" w:rsidR="00C37620" w:rsidRPr="004D4D3A" w:rsidRDefault="00C37620" w:rsidP="00C37620">
      <w:pPr>
        <w:spacing w:line="400" w:lineRule="exact"/>
        <w:ind w:firstLineChars="200" w:firstLine="480"/>
        <w:rPr>
          <w:rFonts w:ascii="Times New Roman" w:hAnsi="Times New Roman" w:cs="Times New Roman"/>
          <w:color w:val="000000" w:themeColor="text1"/>
          <w:szCs w:val="24"/>
        </w:rPr>
      </w:pPr>
      <w:r w:rsidRPr="004D4D3A">
        <w:rPr>
          <w:rFonts w:ascii="Times New Roman" w:hAnsi="Times New Roman" w:cs="Times New Roman"/>
          <w:color w:val="000000" w:themeColor="text1"/>
          <w:szCs w:val="24"/>
        </w:rPr>
        <w:t xml:space="preserve">I recognize that the findings could be affected by endogeneity. It is possible that successful opinion shopping and RPTs </w:t>
      </w:r>
      <w:r w:rsidR="00903D09">
        <w:rPr>
          <w:rFonts w:ascii="Times New Roman" w:hAnsi="Times New Roman" w:cs="Times New Roman"/>
          <w:color w:val="000000" w:themeColor="text1"/>
          <w:szCs w:val="24"/>
        </w:rPr>
        <w:t>are</w:t>
      </w:r>
      <w:r w:rsidRPr="004D4D3A">
        <w:rPr>
          <w:rFonts w:ascii="Times New Roman" w:hAnsi="Times New Roman" w:cs="Times New Roman"/>
          <w:color w:val="000000" w:themeColor="text1"/>
          <w:szCs w:val="24"/>
        </w:rPr>
        <w:t xml:space="preserve"> influenced by an omitted variable such as</w:t>
      </w:r>
      <w:r w:rsidR="00903D09">
        <w:rPr>
          <w:rFonts w:ascii="Times New Roman" w:hAnsi="Times New Roman" w:cs="Times New Roman"/>
          <w:color w:val="000000" w:themeColor="text1"/>
          <w:szCs w:val="24"/>
        </w:rPr>
        <w:t>, the</w:t>
      </w:r>
      <w:r w:rsidRPr="004D4D3A">
        <w:rPr>
          <w:rFonts w:ascii="Times New Roman" w:hAnsi="Times New Roman" w:cs="Times New Roman"/>
          <w:color w:val="000000" w:themeColor="text1"/>
          <w:szCs w:val="24"/>
        </w:rPr>
        <w:t xml:space="preserve"> quality of management. A firm with inferior directors</w:t>
      </w:r>
      <w:r w:rsidR="008F3416">
        <w:rPr>
          <w:rFonts w:ascii="Times New Roman" w:hAnsi="Times New Roman" w:cs="Times New Roman"/>
          <w:color w:val="000000" w:themeColor="text1"/>
          <w:szCs w:val="24"/>
        </w:rPr>
        <w:t xml:space="preserve"> </w:t>
      </w:r>
      <w:r w:rsidRPr="004D4D3A">
        <w:rPr>
          <w:rFonts w:ascii="Times New Roman" w:hAnsi="Times New Roman" w:cs="Times New Roman"/>
          <w:color w:val="000000" w:themeColor="text1"/>
          <w:szCs w:val="24"/>
        </w:rPr>
        <w:t>/</w:t>
      </w:r>
      <w:r w:rsidR="008F3416">
        <w:rPr>
          <w:rFonts w:ascii="Times New Roman" w:hAnsi="Times New Roman" w:cs="Times New Roman"/>
          <w:color w:val="000000" w:themeColor="text1"/>
          <w:szCs w:val="24"/>
        </w:rPr>
        <w:t xml:space="preserve"> </w:t>
      </w:r>
      <w:r w:rsidRPr="004D4D3A">
        <w:rPr>
          <w:rFonts w:ascii="Times New Roman" w:hAnsi="Times New Roman" w:cs="Times New Roman"/>
          <w:color w:val="000000" w:themeColor="text1"/>
          <w:szCs w:val="24"/>
        </w:rPr>
        <w:t xml:space="preserve">managers may prefer acquiescent </w:t>
      </w:r>
      <w:r w:rsidR="006F3DD9" w:rsidRPr="004D4D3A">
        <w:rPr>
          <w:rFonts w:ascii="Times New Roman" w:hAnsi="Times New Roman" w:cs="Times New Roman"/>
          <w:color w:val="000000" w:themeColor="text1"/>
          <w:szCs w:val="24"/>
        </w:rPr>
        <w:t xml:space="preserve">engagement </w:t>
      </w:r>
      <w:r w:rsidRPr="004D4D3A">
        <w:rPr>
          <w:rFonts w:ascii="Times New Roman" w:hAnsi="Times New Roman" w:cs="Times New Roman"/>
          <w:color w:val="000000" w:themeColor="text1"/>
          <w:szCs w:val="24"/>
        </w:rPr>
        <w:t xml:space="preserve">partners so as to manipulate audit opinions, and thus affect an audit firm’s partner assignment decision. </w:t>
      </w:r>
      <w:r w:rsidR="00031109">
        <w:rPr>
          <w:rFonts w:ascii="Times New Roman" w:hAnsi="Times New Roman" w:cs="Times New Roman"/>
          <w:color w:val="000000" w:themeColor="text1"/>
          <w:szCs w:val="24"/>
        </w:rPr>
        <w:t>Further</w:t>
      </w:r>
      <w:r w:rsidR="00903D09">
        <w:rPr>
          <w:rFonts w:ascii="Times New Roman" w:hAnsi="Times New Roman" w:cs="Times New Roman"/>
          <w:color w:val="000000" w:themeColor="text1"/>
          <w:szCs w:val="24"/>
        </w:rPr>
        <w:t>more</w:t>
      </w:r>
      <w:r w:rsidRPr="004D4D3A">
        <w:rPr>
          <w:rFonts w:ascii="Times New Roman" w:hAnsi="Times New Roman" w:cs="Times New Roman"/>
          <w:color w:val="000000" w:themeColor="text1"/>
          <w:szCs w:val="24"/>
        </w:rPr>
        <w:t>, the quality of</w:t>
      </w:r>
      <w:r w:rsidR="00031109">
        <w:rPr>
          <w:rFonts w:ascii="Times New Roman" w:hAnsi="Times New Roman" w:cs="Times New Roman"/>
          <w:color w:val="000000" w:themeColor="text1"/>
          <w:szCs w:val="24"/>
        </w:rPr>
        <w:t xml:space="preserve"> </w:t>
      </w:r>
      <w:r w:rsidRPr="004D4D3A">
        <w:rPr>
          <w:rFonts w:ascii="Times New Roman" w:hAnsi="Times New Roman" w:cs="Times New Roman"/>
          <w:color w:val="000000" w:themeColor="text1"/>
          <w:szCs w:val="24"/>
        </w:rPr>
        <w:t xml:space="preserve">management is likely to affect the use of RPTs. Therefore, I estimate a change specification which is more capable of controlling </w:t>
      </w:r>
      <w:r w:rsidR="00656596">
        <w:rPr>
          <w:rFonts w:ascii="Times New Roman" w:hAnsi="Times New Roman" w:cs="Times New Roman"/>
          <w:color w:val="000000" w:themeColor="text1"/>
          <w:szCs w:val="24"/>
        </w:rPr>
        <w:t xml:space="preserve">for </w:t>
      </w:r>
      <w:r w:rsidRPr="004D4D3A">
        <w:rPr>
          <w:rFonts w:ascii="Times New Roman" w:hAnsi="Times New Roman" w:cs="Times New Roman"/>
          <w:color w:val="000000" w:themeColor="text1"/>
          <w:szCs w:val="24"/>
        </w:rPr>
        <w:t xml:space="preserve">the endogeneity induced by omitted variables. Specifically, I take the year to </w:t>
      </w:r>
      <w:r w:rsidRPr="004D4D3A">
        <w:rPr>
          <w:rFonts w:ascii="Times New Roman" w:hAnsi="Times New Roman" w:cs="Times New Roman"/>
          <w:color w:val="000000" w:themeColor="text1"/>
          <w:szCs w:val="24"/>
        </w:rPr>
        <w:lastRenderedPageBreak/>
        <w:t xml:space="preserve">year change for each variable in equation (2) so that each firm effectively serves as its own control. This alleviates the impact of omitted variables, particularly if those variables stay relatively constant across years. As seen in Table 6, the </w:t>
      </w:r>
      <w:r w:rsidRPr="004D4D3A">
        <w:rPr>
          <w:rFonts w:ascii="Times New Roman" w:eastAsia="標楷體" w:hAnsi="Times New Roman" w:cs="Times New Roman"/>
          <w:color w:val="000000" w:themeColor="text1"/>
          <w:szCs w:val="24"/>
        </w:rPr>
        <w:sym w:font="Symbol" w:char="F044"/>
      </w:r>
      <w:r w:rsidRPr="004D4D3A">
        <w:rPr>
          <w:rFonts w:ascii="Times New Roman" w:hAnsi="Times New Roman" w:cs="Times New Roman"/>
          <w:i/>
          <w:color w:val="000000" w:themeColor="text1"/>
          <w:szCs w:val="24"/>
        </w:rPr>
        <w:t>POPSHOP</w:t>
      </w:r>
      <w:r w:rsidRPr="004D4D3A">
        <w:rPr>
          <w:rFonts w:ascii="Times New Roman" w:eastAsia="標楷體" w:hAnsi="Times New Roman" w:cs="Times New Roman"/>
          <w:color w:val="000000" w:themeColor="text1"/>
          <w:szCs w:val="24"/>
        </w:rPr>
        <w:t>×</w:t>
      </w:r>
      <w:r w:rsidR="00C823DD" w:rsidRPr="004D4D3A">
        <w:rPr>
          <w:rFonts w:ascii="Times New Roman" w:eastAsia="標楷體" w:hAnsi="Times New Roman" w:cs="Times New Roman"/>
          <w:color w:val="000000" w:themeColor="text1"/>
          <w:szCs w:val="24"/>
        </w:rPr>
        <w:sym w:font="Symbol" w:char="F044"/>
      </w:r>
      <w:r w:rsidRPr="004D4D3A">
        <w:rPr>
          <w:rFonts w:ascii="Times New Roman" w:hAnsi="Times New Roman" w:cs="Times New Roman"/>
          <w:i/>
          <w:color w:val="000000" w:themeColor="text1"/>
          <w:szCs w:val="24"/>
        </w:rPr>
        <w:t>RPT</w:t>
      </w:r>
      <w:r w:rsidRPr="004D4D3A">
        <w:rPr>
          <w:rFonts w:ascii="Times New Roman" w:hAnsi="Times New Roman" w:cs="Times New Roman"/>
          <w:color w:val="000000" w:themeColor="text1"/>
          <w:szCs w:val="24"/>
        </w:rPr>
        <w:t xml:space="preserve"> interaction variable is significantly negative (p &lt; 0.05), which indicates that the main result in Table 3 </w:t>
      </w:r>
      <w:r w:rsidR="00A279AE" w:rsidRPr="004D4D3A">
        <w:rPr>
          <w:rFonts w:ascii="Times New Roman" w:hAnsi="Times New Roman" w:cs="Times New Roman"/>
          <w:color w:val="000000" w:themeColor="text1"/>
          <w:szCs w:val="24"/>
        </w:rPr>
        <w:t>is</w:t>
      </w:r>
      <w:r w:rsidRPr="004D4D3A">
        <w:rPr>
          <w:rFonts w:ascii="Times New Roman" w:hAnsi="Times New Roman" w:cs="Times New Roman"/>
          <w:color w:val="000000" w:themeColor="text1"/>
          <w:szCs w:val="24"/>
        </w:rPr>
        <w:t xml:space="preserve"> unlikely driven by endogeneity bias. </w:t>
      </w:r>
    </w:p>
    <w:p w14:paraId="751082B1" w14:textId="77777777" w:rsidR="00544908" w:rsidRPr="004D4D3A" w:rsidRDefault="00544908" w:rsidP="00544908">
      <w:pPr>
        <w:spacing w:line="400" w:lineRule="exact"/>
        <w:rPr>
          <w:rFonts w:ascii="Times New Roman" w:hAnsi="Times New Roman" w:cs="Times New Roman"/>
          <w:color w:val="000000" w:themeColor="text1"/>
        </w:rPr>
      </w:pPr>
    </w:p>
    <w:p w14:paraId="1572BD95" w14:textId="77777777" w:rsidR="00544908" w:rsidRPr="004D4D3A" w:rsidRDefault="00544908" w:rsidP="00544908">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[Insert Table 6 here]</w:t>
      </w:r>
    </w:p>
    <w:p w14:paraId="4A38835C" w14:textId="1FFB1D46" w:rsidR="00B564FE" w:rsidRPr="004D4D3A" w:rsidRDefault="00B564FE" w:rsidP="00B564FE">
      <w:pPr>
        <w:spacing w:line="400" w:lineRule="exact"/>
        <w:rPr>
          <w:rFonts w:ascii="Times New Roman" w:hAnsi="Times New Roman" w:cs="Times New Roman"/>
          <w:color w:val="000000" w:themeColor="text1"/>
        </w:rPr>
      </w:pPr>
      <w:r w:rsidRPr="004D4D3A">
        <w:rPr>
          <w:rFonts w:ascii="Times New Roman" w:hAnsi="Times New Roman" w:cs="Times New Roman"/>
          <w:color w:val="000000" w:themeColor="text1"/>
        </w:rPr>
        <w:t>4.4.</w:t>
      </w:r>
      <w:r w:rsidR="00544908" w:rsidRPr="004D4D3A">
        <w:rPr>
          <w:rFonts w:ascii="Times New Roman" w:hAnsi="Times New Roman" w:cs="Times New Roman"/>
          <w:color w:val="000000" w:themeColor="text1"/>
        </w:rPr>
        <w:t>3</w:t>
      </w:r>
      <w:r w:rsidRPr="004D4D3A">
        <w:rPr>
          <w:rFonts w:ascii="Times New Roman" w:hAnsi="Times New Roman" w:cs="Times New Roman"/>
          <w:color w:val="000000" w:themeColor="text1"/>
        </w:rPr>
        <w:t xml:space="preserve"> Abnormal RPTs</w:t>
      </w:r>
    </w:p>
    <w:p w14:paraId="65C05B1E" w14:textId="48F6520C" w:rsidR="00B564FE" w:rsidRPr="004D4D3A" w:rsidRDefault="00B564FE" w:rsidP="00F73915">
      <w:pPr>
        <w:spacing w:line="400" w:lineRule="exact"/>
        <w:ind w:firstLineChars="200" w:firstLine="480"/>
        <w:rPr>
          <w:rFonts w:ascii="Times New Roman" w:hAnsi="Times New Roman" w:cs="Times New Roman"/>
          <w:color w:val="000000" w:themeColor="text1"/>
          <w:szCs w:val="24"/>
        </w:rPr>
      </w:pPr>
      <w:r w:rsidRPr="004D4D3A">
        <w:rPr>
          <w:rFonts w:ascii="Times New Roman" w:hAnsi="Times New Roman" w:cs="Times New Roman"/>
          <w:color w:val="000000" w:themeColor="text1"/>
        </w:rPr>
        <w:t>Abnormal RPTs tend to be conducted on a discretionary basis with more arbitrary transaction</w:t>
      </w:r>
      <w:r w:rsidR="00656596">
        <w:rPr>
          <w:rFonts w:ascii="Times New Roman" w:hAnsi="Times New Roman" w:cs="Times New Roman"/>
          <w:color w:val="000000" w:themeColor="text1"/>
        </w:rPr>
        <w:t>s</w:t>
      </w:r>
      <w:r w:rsidRPr="004D4D3A">
        <w:rPr>
          <w:rFonts w:ascii="Times New Roman" w:hAnsi="Times New Roman" w:cs="Times New Roman"/>
          <w:color w:val="000000" w:themeColor="text1"/>
        </w:rPr>
        <w:t xml:space="preserve"> than the predicted (normal) RPTs (Gordon et al., 2004). Consistent with this conjecture, Jian and Wong (2010) find evidence that controlling owners of Chinese listed firms are more likely to use abnormal RTPs to prop up earnings in order to meet earnings targets. </w:t>
      </w:r>
      <w:r w:rsidR="00903D09">
        <w:rPr>
          <w:rFonts w:ascii="Times New Roman" w:hAnsi="Times New Roman" w:cs="Times New Roman"/>
          <w:color w:val="000000" w:themeColor="text1"/>
        </w:rPr>
        <w:t xml:space="preserve">Following </w:t>
      </w:r>
      <w:r w:rsidRPr="004D4D3A">
        <w:rPr>
          <w:rFonts w:ascii="Times New Roman" w:hAnsi="Times New Roman" w:cs="Times New Roman"/>
          <w:color w:val="000000" w:themeColor="text1"/>
        </w:rPr>
        <w:t xml:space="preserve">Jian and Wong (2010), I decompose total RTPs into normal and abnormal parts. For this purpose, for each sample year, I regress </w:t>
      </w:r>
      <w:r w:rsidRPr="004D4D3A">
        <w:rPr>
          <w:rFonts w:ascii="Times New Roman" w:hAnsi="Times New Roman" w:cs="Times New Roman"/>
          <w:i/>
          <w:color w:val="000000" w:themeColor="text1"/>
        </w:rPr>
        <w:t>RPT</w:t>
      </w:r>
      <w:r w:rsidRPr="004D4D3A">
        <w:rPr>
          <w:rFonts w:ascii="Times New Roman" w:hAnsi="Times New Roman" w:cs="Times New Roman"/>
          <w:color w:val="000000" w:themeColor="text1"/>
        </w:rPr>
        <w:t xml:space="preserve"> against </w:t>
      </w:r>
      <w:r w:rsidRPr="004D4D3A">
        <w:rPr>
          <w:rFonts w:ascii="Times New Roman" w:hAnsi="Times New Roman" w:cs="Times New Roman"/>
          <w:i/>
          <w:color w:val="000000" w:themeColor="text1"/>
        </w:rPr>
        <w:t>SIZE</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LEV</w:t>
      </w:r>
      <w:r w:rsidRPr="004D4D3A">
        <w:rPr>
          <w:rFonts w:ascii="Times New Roman" w:hAnsi="Times New Roman" w:cs="Times New Roman"/>
          <w:color w:val="000000" w:themeColor="text1"/>
        </w:rPr>
        <w:t xml:space="preserve">, </w:t>
      </w:r>
      <w:r w:rsidRPr="004D4D3A">
        <w:rPr>
          <w:rFonts w:ascii="Times New Roman" w:hAnsi="Times New Roman" w:cs="Times New Roman"/>
          <w:i/>
          <w:color w:val="000000" w:themeColor="text1"/>
        </w:rPr>
        <w:t>MTB</w:t>
      </w:r>
      <w:r w:rsidRPr="004D4D3A">
        <w:rPr>
          <w:rFonts w:ascii="Times New Roman" w:hAnsi="Times New Roman" w:cs="Times New Roman"/>
          <w:color w:val="000000" w:themeColor="text1"/>
        </w:rPr>
        <w:t xml:space="preserve"> (as measured by the market-to-book ratio), and industry dummies. I measure abnormal RPTs (</w:t>
      </w:r>
      <w:r w:rsidRPr="004D4D3A">
        <w:rPr>
          <w:rFonts w:ascii="Times New Roman" w:hAnsi="Times New Roman" w:cs="Times New Roman"/>
          <w:i/>
          <w:color w:val="000000" w:themeColor="text1"/>
        </w:rPr>
        <w:t>ABRPT</w:t>
      </w:r>
      <w:r w:rsidRPr="004D4D3A">
        <w:rPr>
          <w:rFonts w:ascii="Times New Roman" w:hAnsi="Times New Roman" w:cs="Times New Roman"/>
          <w:color w:val="000000" w:themeColor="text1"/>
        </w:rPr>
        <w:t>) using the residual of the above regression.</w:t>
      </w:r>
      <w:r w:rsidR="00DD02FB" w:rsidRPr="004D4D3A">
        <w:rPr>
          <w:rFonts w:ascii="Times New Roman" w:hAnsi="Times New Roman" w:cs="Times New Roman"/>
          <w:color w:val="000000" w:themeColor="text1"/>
        </w:rPr>
        <w:t xml:space="preserve"> I then use </w:t>
      </w:r>
      <w:r w:rsidR="00DD02FB" w:rsidRPr="004D4D3A">
        <w:rPr>
          <w:rFonts w:ascii="Times New Roman" w:hAnsi="Times New Roman" w:cs="Times New Roman"/>
          <w:i/>
          <w:color w:val="000000" w:themeColor="text1"/>
        </w:rPr>
        <w:t>ABRPT</w:t>
      </w:r>
      <w:r w:rsidR="00DD02FB" w:rsidRPr="004D4D3A">
        <w:rPr>
          <w:rFonts w:ascii="Times New Roman" w:hAnsi="Times New Roman" w:cs="Times New Roman"/>
          <w:color w:val="000000" w:themeColor="text1"/>
        </w:rPr>
        <w:t xml:space="preserve"> to replace </w:t>
      </w:r>
      <w:r w:rsidR="00DD02FB" w:rsidRPr="004D4D3A">
        <w:rPr>
          <w:rFonts w:ascii="Times New Roman" w:hAnsi="Times New Roman" w:cs="Times New Roman"/>
          <w:i/>
          <w:color w:val="000000" w:themeColor="text1"/>
        </w:rPr>
        <w:t>RPT</w:t>
      </w:r>
      <w:r w:rsidR="00DD02FB" w:rsidRPr="004D4D3A">
        <w:rPr>
          <w:rFonts w:ascii="Times New Roman" w:hAnsi="Times New Roman" w:cs="Times New Roman"/>
          <w:color w:val="000000" w:themeColor="text1"/>
        </w:rPr>
        <w:t xml:space="preserve"> in equation (2) and rerun the test. </w:t>
      </w:r>
      <w:r w:rsidR="009B372B">
        <w:rPr>
          <w:rFonts w:ascii="Times New Roman" w:hAnsi="Times New Roman" w:cs="Times New Roman"/>
          <w:color w:val="000000" w:themeColor="text1"/>
        </w:rPr>
        <w:t xml:space="preserve">As shown in </w:t>
      </w:r>
      <w:r w:rsidR="00DD02FB" w:rsidRPr="004D4D3A">
        <w:rPr>
          <w:rFonts w:ascii="Times New Roman" w:hAnsi="Times New Roman" w:cs="Times New Roman"/>
          <w:color w:val="000000" w:themeColor="text1"/>
        </w:rPr>
        <w:t>Table 7</w:t>
      </w:r>
      <w:r w:rsidR="009B372B">
        <w:rPr>
          <w:rFonts w:ascii="Times New Roman" w:hAnsi="Times New Roman" w:cs="Times New Roman"/>
          <w:color w:val="000000" w:themeColor="text1"/>
        </w:rPr>
        <w:t xml:space="preserve">, </w:t>
      </w:r>
      <w:r w:rsidR="00DD02FB" w:rsidRPr="004D4D3A">
        <w:rPr>
          <w:rFonts w:ascii="Times New Roman" w:hAnsi="Times New Roman" w:cs="Times New Roman"/>
          <w:color w:val="000000" w:themeColor="text1"/>
          <w:szCs w:val="24"/>
        </w:rPr>
        <w:t xml:space="preserve">the coefficient on </w:t>
      </w:r>
      <w:r w:rsidR="00DD02FB" w:rsidRPr="004D4D3A">
        <w:rPr>
          <w:rFonts w:ascii="Times New Roman" w:hAnsi="Times New Roman" w:cs="Times New Roman"/>
          <w:i/>
          <w:color w:val="000000" w:themeColor="text1"/>
          <w:szCs w:val="24"/>
        </w:rPr>
        <w:t>POPSHOP</w:t>
      </w:r>
      <w:r w:rsidR="00DD02FB" w:rsidRPr="004D4D3A">
        <w:rPr>
          <w:rFonts w:ascii="Times New Roman" w:eastAsia="標楷體" w:hAnsi="Times New Roman" w:cs="Times New Roman"/>
          <w:color w:val="000000" w:themeColor="text1"/>
          <w:szCs w:val="24"/>
        </w:rPr>
        <w:t>×</w:t>
      </w:r>
      <w:r w:rsidR="00DD02FB" w:rsidRPr="004D4D3A">
        <w:rPr>
          <w:rFonts w:ascii="Times New Roman" w:eastAsia="標楷體" w:hAnsi="Times New Roman" w:cs="Times New Roman"/>
          <w:i/>
          <w:color w:val="000000" w:themeColor="text1"/>
          <w:szCs w:val="24"/>
        </w:rPr>
        <w:t>AB</w:t>
      </w:r>
      <w:r w:rsidR="00DD02FB" w:rsidRPr="004D4D3A">
        <w:rPr>
          <w:rFonts w:ascii="Times New Roman" w:hAnsi="Times New Roman" w:cs="Times New Roman"/>
          <w:i/>
          <w:color w:val="000000" w:themeColor="text1"/>
          <w:szCs w:val="24"/>
        </w:rPr>
        <w:t>RPT</w:t>
      </w:r>
      <w:r w:rsidR="00DD02FB" w:rsidRPr="004D4D3A">
        <w:rPr>
          <w:rFonts w:ascii="Times New Roman" w:hAnsi="Times New Roman" w:cs="Times New Roman"/>
          <w:color w:val="000000" w:themeColor="text1"/>
          <w:szCs w:val="24"/>
        </w:rPr>
        <w:t xml:space="preserve"> </w:t>
      </w:r>
      <w:r w:rsidR="00592B0F">
        <w:rPr>
          <w:rFonts w:ascii="Times New Roman" w:hAnsi="Times New Roman" w:cs="Times New Roman"/>
          <w:color w:val="000000" w:themeColor="text1"/>
          <w:szCs w:val="24"/>
        </w:rPr>
        <w:t>is</w:t>
      </w:r>
      <w:r w:rsidR="00592B0F" w:rsidRPr="004D4D3A">
        <w:rPr>
          <w:rFonts w:ascii="Times New Roman" w:hAnsi="Times New Roman" w:cs="Times New Roman"/>
          <w:color w:val="000000" w:themeColor="text1"/>
          <w:szCs w:val="24"/>
        </w:rPr>
        <w:t xml:space="preserve"> </w:t>
      </w:r>
      <w:r w:rsidR="009B372B">
        <w:rPr>
          <w:rFonts w:ascii="Times New Roman" w:hAnsi="Times New Roman" w:cs="Times New Roman"/>
          <w:color w:val="000000" w:themeColor="text1"/>
          <w:szCs w:val="24"/>
        </w:rPr>
        <w:t xml:space="preserve">also significantly </w:t>
      </w:r>
      <w:r w:rsidR="00F73915" w:rsidRPr="004D4D3A">
        <w:rPr>
          <w:rFonts w:ascii="Times New Roman" w:hAnsi="Times New Roman" w:cs="Times New Roman"/>
          <w:color w:val="000000" w:themeColor="text1"/>
          <w:szCs w:val="24"/>
        </w:rPr>
        <w:t xml:space="preserve">negative. </w:t>
      </w:r>
      <w:r w:rsidR="00592B0F">
        <w:rPr>
          <w:rFonts w:ascii="Times New Roman" w:hAnsi="Times New Roman" w:cs="Times New Roman"/>
          <w:color w:val="000000" w:themeColor="text1"/>
          <w:szCs w:val="24"/>
        </w:rPr>
        <w:t xml:space="preserve">This indicates that </w:t>
      </w:r>
      <w:r w:rsidR="001A427F">
        <w:rPr>
          <w:rFonts w:ascii="Times New Roman" w:hAnsi="Times New Roman" w:cs="Times New Roman"/>
          <w:color w:val="000000" w:themeColor="text1"/>
          <w:szCs w:val="24"/>
        </w:rPr>
        <w:t>t</w:t>
      </w:r>
      <w:r w:rsidR="00A279AE" w:rsidRPr="004D4D3A">
        <w:rPr>
          <w:rFonts w:ascii="Times New Roman" w:hAnsi="Times New Roman" w:cs="Times New Roman"/>
          <w:color w:val="000000" w:themeColor="text1"/>
          <w:szCs w:val="24"/>
        </w:rPr>
        <w:t xml:space="preserve">he main result </w:t>
      </w:r>
      <w:r w:rsidR="00903D09">
        <w:rPr>
          <w:rFonts w:ascii="Times New Roman" w:hAnsi="Times New Roman" w:cs="Times New Roman"/>
          <w:color w:val="000000" w:themeColor="text1"/>
          <w:szCs w:val="24"/>
        </w:rPr>
        <w:t xml:space="preserve">remain </w:t>
      </w:r>
      <w:r w:rsidR="009B372B">
        <w:rPr>
          <w:rFonts w:ascii="Times New Roman" w:hAnsi="Times New Roman" w:cs="Times New Roman"/>
          <w:color w:val="000000" w:themeColor="text1"/>
          <w:szCs w:val="24"/>
        </w:rPr>
        <w:t xml:space="preserve">insensitive </w:t>
      </w:r>
      <w:r w:rsidR="00A279AE" w:rsidRPr="004D4D3A">
        <w:rPr>
          <w:rFonts w:ascii="Times New Roman" w:hAnsi="Times New Roman" w:cs="Times New Roman"/>
          <w:color w:val="000000" w:themeColor="text1"/>
          <w:szCs w:val="24"/>
        </w:rPr>
        <w:t>after using</w:t>
      </w:r>
      <w:r w:rsidR="00F26C8C">
        <w:rPr>
          <w:rFonts w:ascii="Times New Roman" w:hAnsi="Times New Roman" w:cs="Times New Roman"/>
          <w:color w:val="000000" w:themeColor="text1"/>
          <w:szCs w:val="24"/>
        </w:rPr>
        <w:t xml:space="preserve"> this</w:t>
      </w:r>
      <w:r w:rsidR="00656596">
        <w:rPr>
          <w:rFonts w:ascii="Times New Roman" w:hAnsi="Times New Roman" w:cs="Times New Roman"/>
          <w:color w:val="000000" w:themeColor="text1"/>
          <w:szCs w:val="24"/>
        </w:rPr>
        <w:t xml:space="preserve"> </w:t>
      </w:r>
      <w:r w:rsidR="00A279AE" w:rsidRPr="004D4D3A">
        <w:rPr>
          <w:rFonts w:ascii="Times New Roman" w:hAnsi="Times New Roman" w:cs="Times New Roman"/>
          <w:color w:val="000000" w:themeColor="text1"/>
          <w:szCs w:val="24"/>
        </w:rPr>
        <w:t>proxy for RPTs.</w:t>
      </w:r>
    </w:p>
    <w:p w14:paraId="20800F82" w14:textId="77777777" w:rsidR="000C4BFD" w:rsidRPr="004D4D3A" w:rsidRDefault="000C4BFD" w:rsidP="000C4BFD">
      <w:pPr>
        <w:spacing w:line="400" w:lineRule="exact"/>
        <w:rPr>
          <w:rFonts w:ascii="Times New Roman" w:hAnsi="Times New Roman" w:cs="Times New Roman"/>
          <w:color w:val="000000" w:themeColor="text1"/>
        </w:rPr>
      </w:pPr>
    </w:p>
    <w:p w14:paraId="0DC81B18" w14:textId="06B673AB" w:rsidR="00397F0D" w:rsidRPr="004D4D3A" w:rsidRDefault="00397F0D" w:rsidP="00397F0D">
      <w:pPr>
        <w:spacing w:line="400" w:lineRule="exact"/>
        <w:jc w:val="center"/>
        <w:rPr>
          <w:rFonts w:ascii="Times New Roman" w:hAnsi="Times New Roman" w:cs="Times New Roman"/>
          <w:color w:val="000000" w:themeColor="text1"/>
        </w:rPr>
      </w:pPr>
      <w:r w:rsidRPr="004D4D3A">
        <w:rPr>
          <w:rFonts w:ascii="Times New Roman" w:hAnsi="Times New Roman" w:cs="Times New Roman"/>
          <w:color w:val="000000" w:themeColor="text1"/>
        </w:rPr>
        <w:t xml:space="preserve">[Insert Table </w:t>
      </w:r>
      <w:r w:rsidR="00544908" w:rsidRPr="004D4D3A">
        <w:rPr>
          <w:rFonts w:ascii="Times New Roman" w:hAnsi="Times New Roman" w:cs="Times New Roman"/>
          <w:color w:val="000000" w:themeColor="text1"/>
        </w:rPr>
        <w:t>7</w:t>
      </w:r>
      <w:r w:rsidRPr="004D4D3A">
        <w:rPr>
          <w:rFonts w:ascii="Times New Roman" w:hAnsi="Times New Roman" w:cs="Times New Roman"/>
          <w:color w:val="000000" w:themeColor="text1"/>
        </w:rPr>
        <w:t xml:space="preserve"> here]</w:t>
      </w:r>
    </w:p>
    <w:p w14:paraId="50C42C81" w14:textId="77777777" w:rsidR="00397F0D" w:rsidRPr="004D4D3A" w:rsidRDefault="00397F0D" w:rsidP="00397F0D">
      <w:pPr>
        <w:spacing w:line="400" w:lineRule="exact"/>
        <w:rPr>
          <w:rFonts w:ascii="Times New Roman" w:hAnsi="Times New Roman" w:cs="Times New Roman"/>
          <w:color w:val="000000" w:themeColor="text1"/>
        </w:rPr>
      </w:pPr>
    </w:p>
    <w:p w14:paraId="08B2F862" w14:textId="693F1880" w:rsidR="00AD7452" w:rsidRPr="004D4D3A" w:rsidRDefault="00C37504" w:rsidP="00C37504">
      <w:pPr>
        <w:autoSpaceDE w:val="0"/>
        <w:autoSpaceDN w:val="0"/>
        <w:adjustRightInd w:val="0"/>
        <w:spacing w:line="400" w:lineRule="exact"/>
        <w:rPr>
          <w:rFonts w:ascii="Times New Roman" w:hAnsi="Times New Roman" w:cs="Times New Roman"/>
          <w:b/>
          <w:color w:val="000000" w:themeColor="text1"/>
          <w:sz w:val="28"/>
          <w:szCs w:val="28"/>
        </w:rPr>
      </w:pPr>
      <w:r w:rsidRPr="004D4D3A">
        <w:rPr>
          <w:rFonts w:ascii="Times New Roman" w:hAnsi="Times New Roman" w:cs="Times New Roman"/>
          <w:b/>
          <w:color w:val="000000" w:themeColor="text1"/>
          <w:sz w:val="28"/>
          <w:szCs w:val="28"/>
        </w:rPr>
        <w:t>5. Conclusion</w:t>
      </w:r>
    </w:p>
    <w:p w14:paraId="070BC98A" w14:textId="6F8AB438" w:rsidR="00AA3CFD" w:rsidRPr="004D4D3A" w:rsidRDefault="00047F8D" w:rsidP="00AA3CFD">
      <w:pPr>
        <w:autoSpaceDE w:val="0"/>
        <w:autoSpaceDN w:val="0"/>
        <w:adjustRightInd w:val="0"/>
        <w:spacing w:line="400" w:lineRule="exact"/>
        <w:ind w:firstLineChars="200" w:firstLine="480"/>
        <w:rPr>
          <w:rFonts w:ascii="Times New Roman" w:eastAsia="標楷體" w:hAnsi="Times New Roman" w:cs="Times New Roman"/>
          <w:color w:val="000000" w:themeColor="text1"/>
          <w:szCs w:val="24"/>
        </w:rPr>
      </w:pPr>
      <w:r w:rsidRPr="004D4D3A">
        <w:rPr>
          <w:rFonts w:ascii="Times New Roman" w:eastAsia="標楷體" w:hAnsi="Times New Roman" w:cs="Times New Roman" w:hint="eastAsia"/>
          <w:color w:val="000000" w:themeColor="text1"/>
        </w:rPr>
        <w:t>T</w:t>
      </w:r>
      <w:r w:rsidRPr="004D4D3A">
        <w:rPr>
          <w:rFonts w:ascii="Times New Roman" w:eastAsia="標楷體" w:hAnsi="Times New Roman" w:cs="Times New Roman"/>
          <w:color w:val="000000" w:themeColor="text1"/>
        </w:rPr>
        <w:t xml:space="preserve">his study examines how RPTs affect partner-level audit opinion shopping. </w:t>
      </w:r>
      <w:r w:rsidRPr="004D4D3A">
        <w:rPr>
          <w:rFonts w:ascii="Times New Roman" w:eastAsia="標楷體" w:hAnsi="Times New Roman" w:cs="Times New Roman"/>
          <w:color w:val="000000" w:themeColor="text1"/>
          <w:szCs w:val="24"/>
        </w:rPr>
        <w:t xml:space="preserve">Extant research </w:t>
      </w:r>
      <w:r w:rsidR="00E262EC" w:rsidRPr="004D4D3A">
        <w:rPr>
          <w:rFonts w:ascii="Times New Roman" w:eastAsia="標楷體" w:hAnsi="Times New Roman" w:cs="Times New Roman"/>
          <w:color w:val="000000" w:themeColor="text1"/>
          <w:szCs w:val="24"/>
        </w:rPr>
        <w:t xml:space="preserve">and anecdotal evidence generally support the view that </w:t>
      </w:r>
      <w:r w:rsidR="00D1594B" w:rsidRPr="004D4D3A">
        <w:rPr>
          <w:rFonts w:ascii="Times New Roman" w:eastAsia="標楷體" w:hAnsi="Times New Roman" w:cs="Times New Roman"/>
          <w:color w:val="000000" w:themeColor="text1"/>
          <w:szCs w:val="24"/>
        </w:rPr>
        <w:t xml:space="preserve">RPTs are more likely to reflect opportunistic insider behavior. </w:t>
      </w:r>
      <w:r w:rsidR="00635E68">
        <w:rPr>
          <w:rFonts w:ascii="Times New Roman" w:eastAsia="標楷體" w:hAnsi="Times New Roman" w:cs="Times New Roman"/>
          <w:color w:val="000000" w:themeColor="text1"/>
          <w:szCs w:val="24"/>
        </w:rPr>
        <w:t>Further</w:t>
      </w:r>
      <w:r w:rsidR="009B7F41" w:rsidRPr="004D4D3A">
        <w:rPr>
          <w:rFonts w:ascii="Times New Roman" w:eastAsia="標楷體" w:hAnsi="Times New Roman" w:cs="Times New Roman"/>
          <w:color w:val="000000" w:themeColor="text1"/>
          <w:szCs w:val="24"/>
        </w:rPr>
        <w:t>, RPTs are often associated with</w:t>
      </w:r>
      <w:r w:rsidR="00903D09">
        <w:rPr>
          <w:rFonts w:ascii="Times New Roman" w:eastAsia="標楷體" w:hAnsi="Times New Roman" w:cs="Times New Roman"/>
          <w:color w:val="000000" w:themeColor="text1"/>
          <w:szCs w:val="24"/>
        </w:rPr>
        <w:t xml:space="preserve"> an</w:t>
      </w:r>
      <w:r w:rsidR="009B7F41" w:rsidRPr="004D4D3A">
        <w:rPr>
          <w:rFonts w:ascii="Times New Roman" w:eastAsia="標楷體" w:hAnsi="Times New Roman" w:cs="Times New Roman"/>
          <w:color w:val="000000" w:themeColor="text1"/>
          <w:szCs w:val="24"/>
        </w:rPr>
        <w:t xml:space="preserve"> increased audit risk, which in turn, increase</w:t>
      </w:r>
      <w:r w:rsidR="00635E68">
        <w:rPr>
          <w:rFonts w:ascii="Times New Roman" w:eastAsia="標楷體" w:hAnsi="Times New Roman" w:cs="Times New Roman"/>
          <w:color w:val="000000" w:themeColor="text1"/>
          <w:szCs w:val="24"/>
        </w:rPr>
        <w:t>s</w:t>
      </w:r>
      <w:r w:rsidR="009B7F41" w:rsidRPr="004D4D3A">
        <w:rPr>
          <w:rFonts w:ascii="Times New Roman" w:eastAsia="標楷體" w:hAnsi="Times New Roman" w:cs="Times New Roman"/>
          <w:color w:val="000000" w:themeColor="text1"/>
          <w:szCs w:val="24"/>
        </w:rPr>
        <w:t xml:space="preserve"> the probability of receiving MAOs. </w:t>
      </w:r>
      <w:r w:rsidR="00D72772" w:rsidRPr="004D4D3A">
        <w:rPr>
          <w:rFonts w:ascii="Times New Roman" w:eastAsia="標楷體" w:hAnsi="Times New Roman" w:cs="Times New Roman"/>
          <w:color w:val="000000" w:themeColor="text1"/>
          <w:szCs w:val="24"/>
        </w:rPr>
        <w:t xml:space="preserve">Moreover, </w:t>
      </w:r>
      <w:r w:rsidR="00635E68">
        <w:rPr>
          <w:rFonts w:ascii="Times New Roman" w:eastAsia="標楷體" w:hAnsi="Times New Roman" w:cs="Times New Roman"/>
          <w:color w:val="000000" w:themeColor="text1"/>
          <w:szCs w:val="24"/>
        </w:rPr>
        <w:t xml:space="preserve">for a </w:t>
      </w:r>
      <w:r w:rsidR="00D72772" w:rsidRPr="004D4D3A">
        <w:rPr>
          <w:rFonts w:ascii="Times New Roman" w:eastAsia="標楷體" w:hAnsi="Times New Roman" w:cs="Times New Roman"/>
          <w:color w:val="000000" w:themeColor="text1"/>
          <w:szCs w:val="24"/>
        </w:rPr>
        <w:t>f</w:t>
      </w:r>
      <w:r w:rsidR="00DC645D" w:rsidRPr="004D4D3A">
        <w:rPr>
          <w:rFonts w:ascii="Times New Roman" w:eastAsia="標楷體" w:hAnsi="Times New Roman" w:cs="Times New Roman"/>
          <w:color w:val="000000" w:themeColor="text1"/>
          <w:szCs w:val="24"/>
        </w:rPr>
        <w:t>irm</w:t>
      </w:r>
      <w:r w:rsidR="00635E68">
        <w:rPr>
          <w:rFonts w:ascii="Times New Roman" w:eastAsia="標楷體" w:hAnsi="Times New Roman" w:cs="Times New Roman"/>
          <w:color w:val="000000" w:themeColor="text1"/>
          <w:szCs w:val="24"/>
        </w:rPr>
        <w:t>, an</w:t>
      </w:r>
      <w:r w:rsidR="00DC645D" w:rsidRPr="004D4D3A">
        <w:rPr>
          <w:rFonts w:ascii="Times New Roman" w:eastAsia="標楷體" w:hAnsi="Times New Roman" w:cs="Times New Roman"/>
          <w:color w:val="000000" w:themeColor="text1"/>
          <w:szCs w:val="24"/>
        </w:rPr>
        <w:t xml:space="preserve"> MAO </w:t>
      </w:r>
      <w:r w:rsidR="00404834" w:rsidRPr="004D4D3A">
        <w:rPr>
          <w:rFonts w:ascii="Times New Roman" w:eastAsia="標楷體" w:hAnsi="Times New Roman" w:cs="Times New Roman"/>
          <w:color w:val="000000" w:themeColor="text1"/>
          <w:szCs w:val="24"/>
        </w:rPr>
        <w:t>usually result</w:t>
      </w:r>
      <w:r w:rsidR="00635E68">
        <w:rPr>
          <w:rFonts w:ascii="Times New Roman" w:eastAsia="標楷體" w:hAnsi="Times New Roman" w:cs="Times New Roman"/>
          <w:color w:val="000000" w:themeColor="text1"/>
          <w:szCs w:val="24"/>
        </w:rPr>
        <w:t>s</w:t>
      </w:r>
      <w:r w:rsidR="00404834" w:rsidRPr="004D4D3A">
        <w:rPr>
          <w:rFonts w:ascii="Times New Roman" w:eastAsia="標楷體" w:hAnsi="Times New Roman" w:cs="Times New Roman"/>
          <w:color w:val="000000" w:themeColor="text1"/>
          <w:szCs w:val="24"/>
        </w:rPr>
        <w:t xml:space="preserve"> in</w:t>
      </w:r>
      <w:r w:rsidR="006F7645" w:rsidRPr="004D4D3A">
        <w:rPr>
          <w:rFonts w:ascii="Times New Roman" w:eastAsia="標楷體" w:hAnsi="Times New Roman" w:cs="Times New Roman"/>
          <w:color w:val="000000" w:themeColor="text1"/>
          <w:szCs w:val="24"/>
        </w:rPr>
        <w:t xml:space="preserve"> </w:t>
      </w:r>
      <w:r w:rsidR="00635E68">
        <w:rPr>
          <w:rFonts w:ascii="Times New Roman" w:eastAsia="標楷體" w:hAnsi="Times New Roman" w:cs="Times New Roman"/>
          <w:color w:val="000000" w:themeColor="text1"/>
          <w:szCs w:val="24"/>
        </w:rPr>
        <w:t xml:space="preserve">more stringent </w:t>
      </w:r>
      <w:r w:rsidR="00404834" w:rsidRPr="004D4D3A">
        <w:rPr>
          <w:rFonts w:ascii="Times New Roman" w:eastAsia="標楷體" w:hAnsi="Times New Roman" w:cs="Times New Roman"/>
          <w:color w:val="000000" w:themeColor="text1"/>
          <w:szCs w:val="24"/>
        </w:rPr>
        <w:t>regulator</w:t>
      </w:r>
      <w:r w:rsidR="00F25AB8" w:rsidRPr="004D4D3A">
        <w:rPr>
          <w:rFonts w:ascii="Times New Roman" w:eastAsia="標楷體" w:hAnsi="Times New Roman" w:cs="Times New Roman"/>
          <w:color w:val="000000" w:themeColor="text1"/>
          <w:szCs w:val="24"/>
        </w:rPr>
        <w:t xml:space="preserve"> supervision o</w:t>
      </w:r>
      <w:r w:rsidR="00635E68">
        <w:rPr>
          <w:rFonts w:ascii="Times New Roman" w:eastAsia="標楷體" w:hAnsi="Times New Roman" w:cs="Times New Roman"/>
          <w:color w:val="000000" w:themeColor="text1"/>
          <w:szCs w:val="24"/>
        </w:rPr>
        <w:t>f</w:t>
      </w:r>
      <w:r w:rsidR="00F25AB8" w:rsidRPr="004D4D3A">
        <w:rPr>
          <w:rFonts w:ascii="Times New Roman" w:eastAsia="標楷體" w:hAnsi="Times New Roman" w:cs="Times New Roman"/>
          <w:color w:val="000000" w:themeColor="text1"/>
          <w:szCs w:val="24"/>
        </w:rPr>
        <w:t xml:space="preserve"> managerial actions</w:t>
      </w:r>
      <w:r w:rsidR="00404834" w:rsidRPr="004D4D3A">
        <w:rPr>
          <w:rFonts w:ascii="Times New Roman" w:eastAsia="標楷體" w:hAnsi="Times New Roman" w:cs="Times New Roman"/>
          <w:color w:val="000000" w:themeColor="text1"/>
          <w:szCs w:val="24"/>
        </w:rPr>
        <w:t xml:space="preserve"> and </w:t>
      </w:r>
      <w:r w:rsidR="00635E68">
        <w:rPr>
          <w:rFonts w:ascii="Times New Roman" w:eastAsia="標楷體" w:hAnsi="Times New Roman" w:cs="Times New Roman"/>
          <w:color w:val="000000" w:themeColor="text1"/>
          <w:szCs w:val="24"/>
        </w:rPr>
        <w:t xml:space="preserve">a </w:t>
      </w:r>
      <w:r w:rsidR="00DC645D" w:rsidRPr="004D4D3A">
        <w:rPr>
          <w:rFonts w:ascii="Times New Roman" w:eastAsia="標楷體" w:hAnsi="Times New Roman" w:cs="Times New Roman"/>
          <w:color w:val="000000" w:themeColor="text1"/>
          <w:szCs w:val="24"/>
        </w:rPr>
        <w:t xml:space="preserve">negative market reaction, </w:t>
      </w:r>
      <w:r w:rsidR="00404834" w:rsidRPr="004D4D3A">
        <w:rPr>
          <w:rFonts w:ascii="Times New Roman" w:eastAsia="標楷體" w:hAnsi="Times New Roman" w:cs="Times New Roman"/>
          <w:color w:val="000000" w:themeColor="text1"/>
          <w:szCs w:val="24"/>
        </w:rPr>
        <w:t>constrain</w:t>
      </w:r>
      <w:r w:rsidR="00635E68">
        <w:rPr>
          <w:rFonts w:ascii="Times New Roman" w:eastAsia="標楷體" w:hAnsi="Times New Roman" w:cs="Times New Roman"/>
          <w:color w:val="000000" w:themeColor="text1"/>
          <w:szCs w:val="24"/>
        </w:rPr>
        <w:t>ing</w:t>
      </w:r>
      <w:r w:rsidR="00404834" w:rsidRPr="004D4D3A">
        <w:rPr>
          <w:rFonts w:ascii="Times New Roman" w:eastAsia="標楷體" w:hAnsi="Times New Roman" w:cs="Times New Roman"/>
          <w:color w:val="000000" w:themeColor="text1"/>
          <w:szCs w:val="24"/>
        </w:rPr>
        <w:t xml:space="preserve"> the ability of managers to behave opportunistically. Therefore, </w:t>
      </w:r>
      <w:r w:rsidR="00F25AB8" w:rsidRPr="004D4D3A">
        <w:rPr>
          <w:rFonts w:ascii="Times New Roman" w:eastAsia="標楷體" w:hAnsi="Times New Roman" w:cs="Times New Roman"/>
          <w:color w:val="000000" w:themeColor="text1"/>
          <w:szCs w:val="24"/>
        </w:rPr>
        <w:t>firms conduct</w:t>
      </w:r>
      <w:r w:rsidR="00EF7976">
        <w:rPr>
          <w:rFonts w:ascii="Times New Roman" w:eastAsia="標楷體" w:hAnsi="Times New Roman" w:cs="Times New Roman"/>
          <w:color w:val="000000" w:themeColor="text1"/>
          <w:szCs w:val="24"/>
        </w:rPr>
        <w:t xml:space="preserve">ing </w:t>
      </w:r>
      <w:r w:rsidR="00F25AB8" w:rsidRPr="004D4D3A">
        <w:rPr>
          <w:rFonts w:ascii="Times New Roman" w:eastAsia="標楷體" w:hAnsi="Times New Roman" w:cs="Times New Roman"/>
          <w:color w:val="000000" w:themeColor="text1"/>
          <w:szCs w:val="24"/>
        </w:rPr>
        <w:t xml:space="preserve">more RPTs have incentives to </w:t>
      </w:r>
      <w:r w:rsidR="00EF7976">
        <w:rPr>
          <w:rFonts w:ascii="Times New Roman" w:eastAsia="標楷體" w:hAnsi="Times New Roman" w:cs="Times New Roman"/>
          <w:color w:val="000000" w:themeColor="text1"/>
          <w:szCs w:val="24"/>
        </w:rPr>
        <w:t xml:space="preserve">influence </w:t>
      </w:r>
      <w:r w:rsidR="0045538C">
        <w:rPr>
          <w:rFonts w:ascii="Times New Roman" w:eastAsia="標楷體" w:hAnsi="Times New Roman" w:cs="Times New Roman"/>
          <w:color w:val="000000" w:themeColor="text1"/>
          <w:szCs w:val="24"/>
        </w:rPr>
        <w:t>their</w:t>
      </w:r>
      <w:r w:rsidR="0045538C" w:rsidRPr="004D4D3A">
        <w:rPr>
          <w:rFonts w:ascii="Times New Roman" w:eastAsia="標楷體" w:hAnsi="Times New Roman" w:cs="Times New Roman"/>
          <w:color w:val="000000" w:themeColor="text1"/>
          <w:szCs w:val="24"/>
        </w:rPr>
        <w:t xml:space="preserve"> </w:t>
      </w:r>
      <w:r w:rsidR="00F25AB8" w:rsidRPr="004D4D3A">
        <w:rPr>
          <w:rFonts w:ascii="Times New Roman" w:eastAsia="標楷體" w:hAnsi="Times New Roman" w:cs="Times New Roman"/>
          <w:color w:val="000000" w:themeColor="text1"/>
          <w:szCs w:val="24"/>
        </w:rPr>
        <w:t>audit firms</w:t>
      </w:r>
      <w:r w:rsidR="0045538C">
        <w:rPr>
          <w:rFonts w:ascii="Times New Roman" w:eastAsia="標楷體" w:hAnsi="Times New Roman" w:cs="Times New Roman"/>
          <w:color w:val="000000" w:themeColor="text1"/>
          <w:szCs w:val="24"/>
        </w:rPr>
        <w:t>’</w:t>
      </w:r>
      <w:r w:rsidR="00F25AB8" w:rsidRPr="004D4D3A">
        <w:rPr>
          <w:rFonts w:ascii="Times New Roman" w:eastAsia="標楷體" w:hAnsi="Times New Roman" w:cs="Times New Roman"/>
          <w:color w:val="000000" w:themeColor="text1"/>
          <w:szCs w:val="24"/>
        </w:rPr>
        <w:t xml:space="preserve"> partner assignment decision</w:t>
      </w:r>
      <w:r w:rsidR="0045538C">
        <w:rPr>
          <w:rFonts w:ascii="Times New Roman" w:eastAsia="標楷體" w:hAnsi="Times New Roman" w:cs="Times New Roman"/>
          <w:color w:val="000000" w:themeColor="text1"/>
          <w:szCs w:val="24"/>
        </w:rPr>
        <w:t>s</w:t>
      </w:r>
      <w:r w:rsidR="00E21E14" w:rsidRPr="004D4D3A">
        <w:rPr>
          <w:rFonts w:ascii="Times New Roman" w:eastAsia="標楷體" w:hAnsi="Times New Roman" w:cs="Times New Roman"/>
          <w:color w:val="000000" w:themeColor="text1"/>
          <w:szCs w:val="24"/>
        </w:rPr>
        <w:t xml:space="preserve"> for the sake of obtaining more favorable audit opinions</w:t>
      </w:r>
      <w:r w:rsidR="00F25AB8" w:rsidRPr="004D4D3A">
        <w:rPr>
          <w:rFonts w:ascii="Times New Roman" w:eastAsia="標楷體" w:hAnsi="Times New Roman" w:cs="Times New Roman"/>
          <w:color w:val="000000" w:themeColor="text1"/>
          <w:szCs w:val="24"/>
        </w:rPr>
        <w:t xml:space="preserve">. </w:t>
      </w:r>
      <w:r w:rsidR="00404834" w:rsidRPr="004D4D3A">
        <w:rPr>
          <w:rFonts w:ascii="Times New Roman" w:eastAsia="標楷體" w:hAnsi="Times New Roman" w:cs="Times New Roman"/>
          <w:color w:val="000000" w:themeColor="text1"/>
          <w:szCs w:val="24"/>
        </w:rPr>
        <w:t xml:space="preserve">Using a sample from Chinese listed firms, I find that </w:t>
      </w:r>
      <w:r w:rsidR="00B614DA" w:rsidRPr="004D4D3A">
        <w:rPr>
          <w:rFonts w:ascii="Times New Roman" w:eastAsia="標楷體" w:hAnsi="Times New Roman" w:cs="Times New Roman"/>
          <w:color w:val="000000" w:themeColor="text1"/>
          <w:szCs w:val="24"/>
        </w:rPr>
        <w:t>firms with more RPTs</w:t>
      </w:r>
      <w:r w:rsidR="009256D6">
        <w:rPr>
          <w:rFonts w:ascii="Times New Roman" w:eastAsia="標楷體" w:hAnsi="Times New Roman" w:cs="Times New Roman"/>
          <w:color w:val="000000" w:themeColor="text1"/>
          <w:szCs w:val="24"/>
        </w:rPr>
        <w:t xml:space="preserve"> are more likely to</w:t>
      </w:r>
      <w:r w:rsidR="00B614DA" w:rsidRPr="004D4D3A">
        <w:rPr>
          <w:rFonts w:ascii="Times New Roman" w:eastAsia="標楷體" w:hAnsi="Times New Roman" w:cs="Times New Roman"/>
          <w:color w:val="000000" w:themeColor="text1"/>
          <w:szCs w:val="24"/>
        </w:rPr>
        <w:t xml:space="preserve"> successfully engage in opinion shopping. </w:t>
      </w:r>
      <w:r w:rsidR="00743304" w:rsidRPr="004D4D3A">
        <w:rPr>
          <w:rFonts w:ascii="Times New Roman" w:eastAsia="標楷體" w:hAnsi="Times New Roman" w:cs="Times New Roman"/>
          <w:color w:val="000000" w:themeColor="text1"/>
          <w:szCs w:val="24"/>
        </w:rPr>
        <w:t xml:space="preserve">The finding is consistent with weak governance motivation for RPTs usage. </w:t>
      </w:r>
      <w:r w:rsidR="00E21E14" w:rsidRPr="004D4D3A">
        <w:rPr>
          <w:rFonts w:ascii="Times New Roman" w:eastAsia="標楷體" w:hAnsi="Times New Roman" w:cs="Times New Roman"/>
          <w:color w:val="000000" w:themeColor="text1"/>
          <w:szCs w:val="24"/>
        </w:rPr>
        <w:t>In addition, this</w:t>
      </w:r>
      <w:r w:rsidR="00202881">
        <w:rPr>
          <w:rFonts w:ascii="Times New Roman" w:eastAsia="標楷體" w:hAnsi="Times New Roman" w:cs="Times New Roman"/>
          <w:color w:val="000000" w:themeColor="text1"/>
          <w:szCs w:val="24"/>
        </w:rPr>
        <w:t xml:space="preserve"> effect </w:t>
      </w:r>
      <w:r w:rsidR="00B614DA" w:rsidRPr="004D4D3A">
        <w:rPr>
          <w:rFonts w:ascii="Times New Roman" w:eastAsia="標楷體" w:hAnsi="Times New Roman" w:cs="Times New Roman"/>
          <w:color w:val="000000" w:themeColor="text1"/>
          <w:szCs w:val="24"/>
        </w:rPr>
        <w:t xml:space="preserve">is more pronounced </w:t>
      </w:r>
      <w:r w:rsidR="00AA3CFD" w:rsidRPr="004D4D3A">
        <w:rPr>
          <w:rFonts w:ascii="Times New Roman" w:eastAsia="標楷體" w:hAnsi="Times New Roman" w:cs="Times New Roman"/>
          <w:color w:val="000000" w:themeColor="text1"/>
          <w:szCs w:val="24"/>
        </w:rPr>
        <w:t xml:space="preserve">when firms conduct more </w:t>
      </w:r>
      <w:r w:rsidR="00B614DA" w:rsidRPr="004D4D3A">
        <w:rPr>
          <w:rFonts w:ascii="Times New Roman" w:eastAsia="標楷體" w:hAnsi="Times New Roman" w:cs="Times New Roman" w:hint="eastAsia"/>
          <w:color w:val="000000" w:themeColor="text1"/>
          <w:szCs w:val="24"/>
        </w:rPr>
        <w:t>n</w:t>
      </w:r>
      <w:r w:rsidR="00B614DA" w:rsidRPr="004D4D3A">
        <w:rPr>
          <w:rFonts w:ascii="Times New Roman" w:eastAsia="標楷體" w:hAnsi="Times New Roman" w:cs="Times New Roman"/>
          <w:color w:val="000000" w:themeColor="text1"/>
          <w:szCs w:val="24"/>
        </w:rPr>
        <w:t>o</w:t>
      </w:r>
      <w:r w:rsidR="00AA3CFD" w:rsidRPr="004D4D3A">
        <w:rPr>
          <w:rFonts w:ascii="Times New Roman" w:eastAsia="標楷體" w:hAnsi="Times New Roman" w:cs="Times New Roman"/>
          <w:color w:val="000000" w:themeColor="text1"/>
          <w:szCs w:val="24"/>
        </w:rPr>
        <w:t>n</w:t>
      </w:r>
      <w:r w:rsidR="00B614DA" w:rsidRPr="004D4D3A">
        <w:rPr>
          <w:rFonts w:ascii="Times New Roman" w:eastAsia="標楷體" w:hAnsi="Times New Roman" w:cs="Times New Roman"/>
          <w:color w:val="000000" w:themeColor="text1"/>
          <w:szCs w:val="24"/>
        </w:rPr>
        <w:t>-</w:t>
      </w:r>
      <w:r w:rsidR="00B614DA" w:rsidRPr="004D4D3A">
        <w:rPr>
          <w:rFonts w:ascii="Times New Roman" w:eastAsia="標楷體" w:hAnsi="Times New Roman" w:cs="Times New Roman"/>
          <w:color w:val="000000" w:themeColor="text1"/>
          <w:szCs w:val="24"/>
        </w:rPr>
        <w:lastRenderedPageBreak/>
        <w:t>operating RPTs.</w:t>
      </w:r>
      <w:r w:rsidR="00743304" w:rsidRPr="004D4D3A">
        <w:rPr>
          <w:rFonts w:ascii="Times New Roman" w:eastAsia="標楷體" w:hAnsi="Times New Roman" w:cs="Times New Roman"/>
          <w:color w:val="000000" w:themeColor="text1"/>
          <w:szCs w:val="24"/>
        </w:rPr>
        <w:t xml:space="preserve"> </w:t>
      </w:r>
    </w:p>
    <w:p w14:paraId="7E2309F7" w14:textId="78567928" w:rsidR="00AA3CFD" w:rsidRPr="004D4D3A" w:rsidRDefault="00AA3CFD" w:rsidP="00AA3CFD">
      <w:pPr>
        <w:autoSpaceDE w:val="0"/>
        <w:autoSpaceDN w:val="0"/>
        <w:adjustRightInd w:val="0"/>
        <w:spacing w:line="400" w:lineRule="exact"/>
        <w:ind w:firstLineChars="200" w:firstLine="480"/>
        <w:rPr>
          <w:rFonts w:ascii="Times New Roman" w:eastAsia="標楷體" w:hAnsi="Times New Roman" w:cs="Times New Roman"/>
          <w:color w:val="000000" w:themeColor="text1"/>
          <w:szCs w:val="24"/>
        </w:rPr>
      </w:pPr>
      <w:r w:rsidRPr="004D4D3A">
        <w:rPr>
          <w:rFonts w:ascii="Times New Roman" w:eastAsia="標楷體" w:hAnsi="Times New Roman" w:cs="Times New Roman"/>
          <w:color w:val="000000" w:themeColor="text1"/>
          <w:szCs w:val="24"/>
        </w:rPr>
        <w:t>This study respond</w:t>
      </w:r>
      <w:r w:rsidRPr="004D4D3A">
        <w:rPr>
          <w:rFonts w:ascii="Times New Roman" w:eastAsia="標楷體" w:hAnsi="Times New Roman" w:cs="Times New Roman"/>
          <w:color w:val="000000" w:themeColor="text1"/>
        </w:rPr>
        <w:t>s</w:t>
      </w:r>
      <w:r w:rsidRPr="004D4D3A">
        <w:rPr>
          <w:rFonts w:ascii="Times New Roman" w:eastAsia="標楷體" w:hAnsi="Times New Roman" w:cs="Times New Roman"/>
          <w:color w:val="000000" w:themeColor="text1"/>
          <w:szCs w:val="24"/>
        </w:rPr>
        <w:t xml:space="preserve"> to calls for research on </w:t>
      </w:r>
      <w:r w:rsidRPr="004D4D3A">
        <w:rPr>
          <w:rFonts w:ascii="Times New Roman" w:eastAsia="標楷體" w:hAnsi="Times New Roman" w:cs="Times New Roman"/>
          <w:color w:val="000000" w:themeColor="text1"/>
        </w:rPr>
        <w:t xml:space="preserve">the role of </w:t>
      </w:r>
      <w:r w:rsidRPr="004D4D3A">
        <w:rPr>
          <w:rFonts w:ascii="Times New Roman" w:eastAsia="標楷體" w:hAnsi="Times New Roman" w:cs="Times New Roman"/>
          <w:color w:val="000000" w:themeColor="text1"/>
          <w:szCs w:val="24"/>
        </w:rPr>
        <w:t xml:space="preserve">individual auditors in determining audit quality (e.g., </w:t>
      </w:r>
      <w:proofErr w:type="spellStart"/>
      <w:r w:rsidRPr="004D4D3A">
        <w:rPr>
          <w:rFonts w:ascii="Times New Roman" w:eastAsia="標楷體" w:hAnsi="Times New Roman" w:cs="Times New Roman"/>
          <w:color w:val="000000" w:themeColor="text1"/>
          <w:szCs w:val="24"/>
        </w:rPr>
        <w:t>DeFond</w:t>
      </w:r>
      <w:proofErr w:type="spellEnd"/>
      <w:r w:rsidRPr="004D4D3A">
        <w:rPr>
          <w:rFonts w:ascii="Times New Roman" w:eastAsia="標楷體" w:hAnsi="Times New Roman" w:cs="Times New Roman"/>
          <w:color w:val="000000" w:themeColor="text1"/>
          <w:szCs w:val="24"/>
        </w:rPr>
        <w:t xml:space="preserve"> and Francis, 2005; Francis, 2011; Gul et al., 2013)</w:t>
      </w:r>
      <w:r w:rsidRPr="004D4D3A">
        <w:rPr>
          <w:rFonts w:ascii="Times New Roman" w:eastAsia="標楷體" w:hAnsi="Times New Roman" w:cs="Times New Roman"/>
          <w:color w:val="000000" w:themeColor="text1"/>
        </w:rPr>
        <w:t xml:space="preserve">. Several jurisdictions, such as </w:t>
      </w:r>
      <w:r w:rsidRPr="004D4D3A">
        <w:rPr>
          <w:rFonts w:ascii="Times New Roman" w:eastAsia="標楷體" w:hAnsi="Times New Roman" w:cs="Times New Roman"/>
          <w:color w:val="000000" w:themeColor="text1"/>
          <w:szCs w:val="24"/>
        </w:rPr>
        <w:t xml:space="preserve">Australia, </w:t>
      </w:r>
      <w:r w:rsidRPr="004D4D3A">
        <w:rPr>
          <w:rFonts w:ascii="Times New Roman" w:eastAsia="標楷體" w:hAnsi="Times New Roman" w:cs="Times New Roman"/>
          <w:bCs/>
          <w:color w:val="000000" w:themeColor="text1"/>
          <w:szCs w:val="24"/>
        </w:rPr>
        <w:t>China</w:t>
      </w:r>
      <w:r w:rsidRPr="004D4D3A">
        <w:rPr>
          <w:rFonts w:ascii="Times New Roman" w:eastAsia="標楷體" w:hAnsi="Times New Roman" w:cs="Times New Roman"/>
          <w:color w:val="000000" w:themeColor="text1"/>
          <w:szCs w:val="24"/>
        </w:rPr>
        <w:t xml:space="preserve">, </w:t>
      </w:r>
      <w:r w:rsidRPr="004D4D3A">
        <w:rPr>
          <w:rFonts w:ascii="Times New Roman" w:eastAsia="標楷體" w:hAnsi="Times New Roman" w:cs="Times New Roman"/>
          <w:bCs/>
          <w:color w:val="000000" w:themeColor="text1"/>
          <w:szCs w:val="24"/>
        </w:rPr>
        <w:t>Taiwan</w:t>
      </w:r>
      <w:r w:rsidRPr="004D4D3A">
        <w:rPr>
          <w:rFonts w:ascii="Times New Roman" w:eastAsia="標楷體" w:hAnsi="Times New Roman" w:cs="Times New Roman"/>
          <w:bCs/>
          <w:color w:val="000000" w:themeColor="text1"/>
        </w:rPr>
        <w:t xml:space="preserve">, and countries in the European Union </w:t>
      </w:r>
      <w:r w:rsidRPr="004D4D3A">
        <w:rPr>
          <w:rFonts w:ascii="Times New Roman" w:eastAsia="標楷體" w:hAnsi="Times New Roman" w:cs="Times New Roman"/>
          <w:color w:val="000000" w:themeColor="text1"/>
        </w:rPr>
        <w:t>already require disclos</w:t>
      </w:r>
      <w:r w:rsidR="007B05B8">
        <w:rPr>
          <w:rFonts w:ascii="Times New Roman" w:eastAsia="標楷體" w:hAnsi="Times New Roman" w:cs="Times New Roman"/>
          <w:color w:val="000000" w:themeColor="text1"/>
        </w:rPr>
        <w:t xml:space="preserve">ing </w:t>
      </w:r>
      <w:r w:rsidRPr="004D4D3A">
        <w:rPr>
          <w:rFonts w:ascii="Times New Roman" w:eastAsia="標楷體" w:hAnsi="Times New Roman" w:cs="Times New Roman"/>
          <w:color w:val="000000" w:themeColor="text1"/>
        </w:rPr>
        <w:t>the names of the engagement partners in audit reports, and others, such as the U.S., are proposing adopt</w:t>
      </w:r>
      <w:r w:rsidR="007B05B8">
        <w:rPr>
          <w:rFonts w:ascii="Times New Roman" w:eastAsia="標楷體" w:hAnsi="Times New Roman" w:cs="Times New Roman"/>
          <w:color w:val="000000" w:themeColor="text1"/>
        </w:rPr>
        <w:t>ion of</w:t>
      </w:r>
      <w:r w:rsidRPr="004D4D3A">
        <w:rPr>
          <w:rFonts w:ascii="Times New Roman" w:eastAsia="標楷體" w:hAnsi="Times New Roman" w:cs="Times New Roman"/>
          <w:color w:val="000000" w:themeColor="text1"/>
        </w:rPr>
        <w:t xml:space="preserve"> similar disclosure polic</w:t>
      </w:r>
      <w:r w:rsidR="007B05B8">
        <w:rPr>
          <w:rFonts w:ascii="Times New Roman" w:eastAsia="標楷體" w:hAnsi="Times New Roman" w:cs="Times New Roman"/>
          <w:color w:val="000000" w:themeColor="text1"/>
        </w:rPr>
        <w:t>ies</w:t>
      </w:r>
      <w:r w:rsidRPr="004D4D3A">
        <w:rPr>
          <w:rFonts w:ascii="Times New Roman" w:eastAsia="標楷體" w:hAnsi="Times New Roman" w:cs="Times New Roman"/>
          <w:color w:val="000000" w:themeColor="text1"/>
        </w:rPr>
        <w:t>. This study add</w:t>
      </w:r>
      <w:r w:rsidR="009075FE">
        <w:rPr>
          <w:rFonts w:ascii="Times New Roman" w:eastAsia="標楷體" w:hAnsi="Times New Roman" w:cs="Times New Roman"/>
          <w:color w:val="000000" w:themeColor="text1"/>
        </w:rPr>
        <w:t>s to</w:t>
      </w:r>
      <w:r w:rsidRPr="004D4D3A">
        <w:rPr>
          <w:rFonts w:ascii="Times New Roman" w:eastAsia="標楷體" w:hAnsi="Times New Roman" w:cs="Times New Roman"/>
          <w:color w:val="000000" w:themeColor="text1"/>
        </w:rPr>
        <w:t xml:space="preserve"> the debate on what factors motiv</w:t>
      </w:r>
      <w:r w:rsidR="009075FE">
        <w:rPr>
          <w:rFonts w:ascii="Times New Roman" w:eastAsia="標楷體" w:hAnsi="Times New Roman" w:cs="Times New Roman"/>
          <w:color w:val="000000" w:themeColor="text1"/>
        </w:rPr>
        <w:t>ate</w:t>
      </w:r>
      <w:r w:rsidRPr="004D4D3A">
        <w:rPr>
          <w:rFonts w:ascii="Times New Roman" w:eastAsia="標楷體" w:hAnsi="Times New Roman" w:cs="Times New Roman"/>
          <w:color w:val="000000" w:themeColor="text1"/>
        </w:rPr>
        <w:t xml:space="preserve"> client firms to shop </w:t>
      </w:r>
      <w:r w:rsidR="009075FE">
        <w:rPr>
          <w:rFonts w:ascii="Times New Roman" w:eastAsia="標楷體" w:hAnsi="Times New Roman" w:cs="Times New Roman"/>
          <w:color w:val="000000" w:themeColor="text1"/>
        </w:rPr>
        <w:t>for</w:t>
      </w:r>
      <w:r w:rsidRPr="004D4D3A">
        <w:rPr>
          <w:rFonts w:ascii="Times New Roman" w:eastAsia="標楷體" w:hAnsi="Times New Roman" w:cs="Times New Roman"/>
          <w:color w:val="000000" w:themeColor="text1"/>
        </w:rPr>
        <w:t xml:space="preserve"> opinion</w:t>
      </w:r>
      <w:r w:rsidR="009075FE">
        <w:rPr>
          <w:rFonts w:ascii="Times New Roman" w:eastAsia="標楷體" w:hAnsi="Times New Roman" w:cs="Times New Roman"/>
          <w:color w:val="000000" w:themeColor="text1"/>
        </w:rPr>
        <w:t>s</w:t>
      </w:r>
      <w:r w:rsidRPr="004D4D3A">
        <w:rPr>
          <w:rFonts w:ascii="Times New Roman" w:eastAsia="標楷體" w:hAnsi="Times New Roman" w:cs="Times New Roman"/>
          <w:color w:val="000000" w:themeColor="text1"/>
        </w:rPr>
        <w:t xml:space="preserve"> at the partner-level. </w:t>
      </w:r>
      <w:r w:rsidRPr="004D4D3A">
        <w:rPr>
          <w:rFonts w:ascii="Times New Roman" w:eastAsia="標楷體" w:hAnsi="Times New Roman" w:cs="Times New Roman"/>
          <w:bCs/>
          <w:color w:val="000000" w:themeColor="text1"/>
        </w:rPr>
        <w:t>Thus, it may have important</w:t>
      </w:r>
      <w:r w:rsidRPr="004D4D3A">
        <w:rPr>
          <w:rFonts w:ascii="Times New Roman" w:eastAsia="標楷體" w:hAnsi="Times New Roman" w:cs="Times New Roman"/>
          <w:color w:val="000000" w:themeColor="text1"/>
        </w:rPr>
        <w:t xml:space="preserve"> </w:t>
      </w:r>
      <w:r w:rsidRPr="004D4D3A">
        <w:rPr>
          <w:rFonts w:ascii="Times New Roman" w:eastAsia="標楷體" w:hAnsi="Times New Roman" w:cs="Times New Roman"/>
          <w:bCs/>
          <w:color w:val="000000" w:themeColor="text1"/>
        </w:rPr>
        <w:t>policy</w:t>
      </w:r>
      <w:r w:rsidRPr="004D4D3A">
        <w:rPr>
          <w:rFonts w:ascii="Times New Roman" w:eastAsia="標楷體" w:hAnsi="Times New Roman" w:cs="Times New Roman"/>
          <w:color w:val="000000" w:themeColor="text1"/>
        </w:rPr>
        <w:t xml:space="preserve"> </w:t>
      </w:r>
      <w:r w:rsidRPr="004D4D3A">
        <w:rPr>
          <w:rFonts w:ascii="Times New Roman" w:eastAsia="標楷體" w:hAnsi="Times New Roman" w:cs="Times New Roman"/>
          <w:bCs/>
          <w:color w:val="000000" w:themeColor="text1"/>
        </w:rPr>
        <w:t>implications</w:t>
      </w:r>
      <w:r w:rsidRPr="004D4D3A">
        <w:rPr>
          <w:rFonts w:ascii="Times New Roman" w:eastAsia="標楷體" w:hAnsi="Times New Roman" w:cs="Times New Roman"/>
          <w:color w:val="000000" w:themeColor="text1"/>
        </w:rPr>
        <w:t xml:space="preserve"> for standard-setters in China.</w:t>
      </w:r>
    </w:p>
    <w:p w14:paraId="6ACAB8DE" w14:textId="77777777" w:rsidR="00AA3CFD" w:rsidRPr="004D4D3A" w:rsidRDefault="00AA3CFD" w:rsidP="00047F8D">
      <w:pPr>
        <w:autoSpaceDE w:val="0"/>
        <w:autoSpaceDN w:val="0"/>
        <w:adjustRightInd w:val="0"/>
        <w:spacing w:line="400" w:lineRule="exact"/>
        <w:ind w:firstLineChars="200" w:firstLine="480"/>
        <w:rPr>
          <w:rFonts w:ascii="Times New Roman" w:eastAsia="標楷體" w:hAnsi="Times New Roman" w:cs="Times New Roman"/>
          <w:color w:val="000000" w:themeColor="text1"/>
        </w:rPr>
      </w:pPr>
    </w:p>
    <w:p w14:paraId="2DD53C92" w14:textId="77777777" w:rsidR="00CC1885" w:rsidRPr="004D4D3A" w:rsidRDefault="00CC1885" w:rsidP="00AD7452">
      <w:pPr>
        <w:spacing w:line="400" w:lineRule="exact"/>
        <w:rPr>
          <w:rFonts w:ascii="Times New Roman" w:eastAsia="標楷體" w:hAnsi="Times New Roman" w:cs="Times New Roman"/>
          <w:color w:val="000000" w:themeColor="text1"/>
          <w:szCs w:val="24"/>
        </w:rPr>
      </w:pPr>
      <w:r w:rsidRPr="004D4D3A">
        <w:rPr>
          <w:rFonts w:ascii="Times New Roman" w:eastAsia="標楷體" w:hAnsi="Times New Roman" w:cs="Times New Roman"/>
          <w:color w:val="000000" w:themeColor="text1"/>
          <w:szCs w:val="24"/>
        </w:rPr>
        <w:br w:type="page"/>
      </w:r>
    </w:p>
    <w:p w14:paraId="68818288" w14:textId="77777777" w:rsidR="00CC1885" w:rsidRPr="004D4D3A" w:rsidRDefault="00CC1885" w:rsidP="00CC1885">
      <w:pPr>
        <w:spacing w:line="400" w:lineRule="exact"/>
        <w:rPr>
          <w:rFonts w:ascii="Times New Roman" w:eastAsia="標楷體" w:hAnsi="Times New Roman" w:cs="Times New Roman"/>
          <w:b/>
          <w:color w:val="000000" w:themeColor="text1"/>
          <w:sz w:val="28"/>
          <w:szCs w:val="28"/>
        </w:rPr>
      </w:pPr>
      <w:r w:rsidRPr="004D4D3A">
        <w:rPr>
          <w:rFonts w:ascii="Times New Roman" w:eastAsia="標楷體" w:hAnsi="Times New Roman" w:cs="Times New Roman"/>
          <w:b/>
          <w:color w:val="000000" w:themeColor="text1"/>
          <w:sz w:val="28"/>
          <w:szCs w:val="28"/>
        </w:rPr>
        <w:lastRenderedPageBreak/>
        <w:t>References</w:t>
      </w:r>
    </w:p>
    <w:p w14:paraId="0AAE83D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Aharony</w:t>
      </w:r>
      <w:proofErr w:type="spellEnd"/>
      <w:r w:rsidRPr="004D4D3A">
        <w:rPr>
          <w:rFonts w:ascii="Times New Roman" w:eastAsia="標楷體" w:hAnsi="Times New Roman" w:cs="Times New Roman"/>
          <w:color w:val="000000" w:themeColor="text1"/>
          <w:kern w:val="0"/>
          <w:szCs w:val="24"/>
        </w:rPr>
        <w:t>, J., Wang, J., &amp; Yuan, H. (2010). Tunneling as an incentive for earnings management during the IPO process in China. Journal of Accounting and Public Policy, 29(1), 1-26.</w:t>
      </w:r>
    </w:p>
    <w:p w14:paraId="64048580" w14:textId="77777777" w:rsidR="000772A9" w:rsidRPr="004D4D3A" w:rsidRDefault="000772A9" w:rsidP="00670126">
      <w:pPr>
        <w:pStyle w:val="af3"/>
        <w:numPr>
          <w:ilvl w:val="0"/>
          <w:numId w:val="1"/>
        </w:numPr>
        <w:spacing w:line="400" w:lineRule="exact"/>
        <w:ind w:leftChars="0"/>
        <w:rPr>
          <w:rFonts w:ascii="Times New Roman" w:hAnsi="Times New Roman" w:cs="Times New Roman"/>
          <w:color w:val="000000" w:themeColor="text1"/>
        </w:rPr>
      </w:pPr>
      <w:proofErr w:type="spellStart"/>
      <w:r w:rsidRPr="004D4D3A">
        <w:rPr>
          <w:rFonts w:ascii="Times New Roman" w:hAnsi="Times New Roman" w:cs="Times New Roman"/>
          <w:color w:val="000000" w:themeColor="text1"/>
        </w:rPr>
        <w:t>Bagherpour</w:t>
      </w:r>
      <w:proofErr w:type="spellEnd"/>
      <w:r w:rsidRPr="004D4D3A">
        <w:rPr>
          <w:rFonts w:ascii="Times New Roman" w:hAnsi="Times New Roman" w:cs="Times New Roman"/>
          <w:color w:val="000000" w:themeColor="text1"/>
        </w:rPr>
        <w:t>, M. A., Monroe, G. S., &amp; Shailer, G. (2014). Government and managerial influence on auditor switching under partial privatization. Journal of Accounting and Public Policy, 33(4), 372-390.</w:t>
      </w:r>
    </w:p>
    <w:p w14:paraId="1C827AC2"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proofErr w:type="spellStart"/>
      <w:r w:rsidRPr="004D4D3A">
        <w:rPr>
          <w:rFonts w:ascii="Times New Roman" w:eastAsia="新細明體" w:hAnsi="Times New Roman" w:cs="Times New Roman"/>
          <w:color w:val="000000" w:themeColor="text1"/>
          <w:kern w:val="0"/>
          <w:szCs w:val="24"/>
        </w:rPr>
        <w:t>Bennouri</w:t>
      </w:r>
      <w:proofErr w:type="spellEnd"/>
      <w:r w:rsidRPr="004D4D3A">
        <w:rPr>
          <w:rFonts w:ascii="Times New Roman" w:eastAsia="新細明體" w:hAnsi="Times New Roman" w:cs="Times New Roman"/>
          <w:color w:val="000000" w:themeColor="text1"/>
          <w:kern w:val="0"/>
          <w:szCs w:val="24"/>
        </w:rPr>
        <w:t xml:space="preserve">, M., </w:t>
      </w:r>
      <w:proofErr w:type="spellStart"/>
      <w:r w:rsidRPr="004D4D3A">
        <w:rPr>
          <w:rFonts w:ascii="Times New Roman" w:eastAsia="新細明體" w:hAnsi="Times New Roman" w:cs="Times New Roman"/>
          <w:color w:val="000000" w:themeColor="text1"/>
          <w:kern w:val="0"/>
          <w:szCs w:val="24"/>
        </w:rPr>
        <w:t>Nekhili</w:t>
      </w:r>
      <w:proofErr w:type="spellEnd"/>
      <w:r w:rsidRPr="004D4D3A">
        <w:rPr>
          <w:rFonts w:ascii="Times New Roman" w:eastAsia="新細明體" w:hAnsi="Times New Roman" w:cs="Times New Roman"/>
          <w:color w:val="000000" w:themeColor="text1"/>
          <w:kern w:val="0"/>
          <w:szCs w:val="24"/>
        </w:rPr>
        <w:t xml:space="preserve">, M., &amp; </w:t>
      </w:r>
      <w:proofErr w:type="spellStart"/>
      <w:r w:rsidRPr="004D4D3A">
        <w:rPr>
          <w:rFonts w:ascii="Times New Roman" w:eastAsia="新細明體" w:hAnsi="Times New Roman" w:cs="Times New Roman"/>
          <w:color w:val="000000" w:themeColor="text1"/>
          <w:kern w:val="0"/>
          <w:szCs w:val="24"/>
        </w:rPr>
        <w:t>Touron</w:t>
      </w:r>
      <w:proofErr w:type="spellEnd"/>
      <w:r w:rsidRPr="004D4D3A">
        <w:rPr>
          <w:rFonts w:ascii="Times New Roman" w:eastAsia="新細明體" w:hAnsi="Times New Roman" w:cs="Times New Roman"/>
          <w:color w:val="000000" w:themeColor="text1"/>
          <w:kern w:val="0"/>
          <w:szCs w:val="24"/>
        </w:rPr>
        <w:t xml:space="preserve">, P. (2015). Does Auditor Reputation “Discourage” Related-Party Transactions? The French Case. </w:t>
      </w:r>
      <w:r w:rsidRPr="004D4D3A">
        <w:rPr>
          <w:rFonts w:ascii="Times New Roman" w:eastAsia="新細明體" w:hAnsi="Times New Roman" w:cs="Times New Roman"/>
          <w:iCs/>
          <w:color w:val="000000" w:themeColor="text1"/>
          <w:kern w:val="0"/>
          <w:szCs w:val="24"/>
        </w:rPr>
        <w:t>Auditing: A Journal of Practice &amp; Theory</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34</w:t>
      </w:r>
      <w:r w:rsidRPr="004D4D3A">
        <w:rPr>
          <w:rFonts w:ascii="Times New Roman" w:eastAsia="新細明體" w:hAnsi="Times New Roman" w:cs="Times New Roman"/>
          <w:color w:val="000000" w:themeColor="text1"/>
          <w:kern w:val="0"/>
          <w:szCs w:val="24"/>
        </w:rPr>
        <w:t>(4), 1-32.</w:t>
      </w:r>
    </w:p>
    <w:p w14:paraId="54AC3699" w14:textId="77777777" w:rsidR="000772A9" w:rsidRPr="004D4D3A" w:rsidRDefault="000772A9" w:rsidP="00670126">
      <w:pPr>
        <w:pStyle w:val="af3"/>
        <w:numPr>
          <w:ilvl w:val="0"/>
          <w:numId w:val="1"/>
        </w:numPr>
        <w:spacing w:line="400" w:lineRule="exact"/>
        <w:ind w:leftChars="0"/>
        <w:rPr>
          <w:rFonts w:ascii="Times New Roman" w:hAnsi="Times New Roman" w:cs="Times New Roman"/>
          <w:color w:val="000000" w:themeColor="text1"/>
        </w:rPr>
      </w:pPr>
      <w:r w:rsidRPr="004D4D3A">
        <w:rPr>
          <w:rFonts w:ascii="Times New Roman" w:hAnsi="Times New Roman" w:cs="Times New Roman"/>
          <w:color w:val="000000" w:themeColor="text1"/>
        </w:rPr>
        <w:t>Berkman, H., Cole, R. A., &amp; Fu, L. J. (2009). Expropriation through loan guarantees to related parties: Evidence from China. Journal of Banking &amp; Finance, 33(1), 141-156.</w:t>
      </w:r>
    </w:p>
    <w:p w14:paraId="6DB7686A"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Boone, J. P., </w:t>
      </w:r>
      <w:proofErr w:type="spellStart"/>
      <w:r w:rsidRPr="004D4D3A">
        <w:rPr>
          <w:rFonts w:ascii="Times New Roman" w:eastAsia="標楷體" w:hAnsi="Times New Roman" w:cs="Times New Roman"/>
          <w:color w:val="000000" w:themeColor="text1"/>
          <w:kern w:val="0"/>
          <w:szCs w:val="24"/>
        </w:rPr>
        <w:t>Khurana</w:t>
      </w:r>
      <w:proofErr w:type="spellEnd"/>
      <w:r w:rsidRPr="004D4D3A">
        <w:rPr>
          <w:rFonts w:ascii="Times New Roman" w:eastAsia="標楷體" w:hAnsi="Times New Roman" w:cs="Times New Roman"/>
          <w:color w:val="000000" w:themeColor="text1"/>
          <w:kern w:val="0"/>
          <w:szCs w:val="24"/>
        </w:rPr>
        <w:t>, I. K., &amp; Raman, K. K. (2015). Did the 2007 PCAOB Disciplinary Order against Deloitte Impose Actual Costs on the Firm or Improve Its Audit Quality</w:t>
      </w:r>
      <w:proofErr w:type="gramStart"/>
      <w:r w:rsidRPr="004D4D3A">
        <w:rPr>
          <w:rFonts w:ascii="Times New Roman" w:eastAsia="標楷體" w:hAnsi="Times New Roman" w:cs="Times New Roman"/>
          <w:color w:val="000000" w:themeColor="text1"/>
          <w:kern w:val="0"/>
          <w:szCs w:val="24"/>
        </w:rPr>
        <w:t>?.</w:t>
      </w:r>
      <w:proofErr w:type="gramEnd"/>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The Accounting Review</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90</w:t>
      </w:r>
      <w:r w:rsidRPr="004D4D3A">
        <w:rPr>
          <w:rFonts w:ascii="Times New Roman" w:eastAsia="標楷體" w:hAnsi="Times New Roman" w:cs="Times New Roman"/>
          <w:color w:val="000000" w:themeColor="text1"/>
          <w:kern w:val="0"/>
          <w:szCs w:val="24"/>
        </w:rPr>
        <w:t>(2), 405-441.</w:t>
      </w:r>
    </w:p>
    <w:p w14:paraId="302DACBC" w14:textId="77777777" w:rsidR="000772A9" w:rsidRPr="004D4D3A" w:rsidRDefault="000772A9" w:rsidP="00670126">
      <w:pPr>
        <w:pStyle w:val="af3"/>
        <w:numPr>
          <w:ilvl w:val="0"/>
          <w:numId w:val="1"/>
        </w:numPr>
        <w:spacing w:line="400" w:lineRule="exact"/>
        <w:ind w:leftChars="0"/>
        <w:rPr>
          <w:rFonts w:ascii="Times New Roman" w:hAnsi="Times New Roman" w:cs="Times New Roman"/>
          <w:color w:val="000000" w:themeColor="text1"/>
        </w:rPr>
      </w:pPr>
      <w:proofErr w:type="spellStart"/>
      <w:r w:rsidRPr="004D4D3A">
        <w:rPr>
          <w:rFonts w:ascii="Times New Roman" w:hAnsi="Times New Roman" w:cs="Times New Roman"/>
          <w:color w:val="000000" w:themeColor="text1"/>
        </w:rPr>
        <w:t>Brocard</w:t>
      </w:r>
      <w:proofErr w:type="spellEnd"/>
      <w:r w:rsidRPr="004D4D3A">
        <w:rPr>
          <w:rFonts w:ascii="Times New Roman" w:hAnsi="Times New Roman" w:cs="Times New Roman"/>
          <w:color w:val="000000" w:themeColor="text1"/>
        </w:rPr>
        <w:t xml:space="preserve">, M., Franke, B., &amp; </w:t>
      </w:r>
      <w:proofErr w:type="spellStart"/>
      <w:r w:rsidRPr="004D4D3A">
        <w:rPr>
          <w:rFonts w:ascii="Times New Roman" w:hAnsi="Times New Roman" w:cs="Times New Roman"/>
          <w:color w:val="000000" w:themeColor="text1"/>
        </w:rPr>
        <w:t>Voeller</w:t>
      </w:r>
      <w:proofErr w:type="spellEnd"/>
      <w:r w:rsidRPr="004D4D3A">
        <w:rPr>
          <w:rFonts w:ascii="Times New Roman" w:hAnsi="Times New Roman" w:cs="Times New Roman"/>
          <w:color w:val="000000" w:themeColor="text1"/>
        </w:rPr>
        <w:t>, D. (2018). Enforcement actions and auditor changes. European Accounting Review, 27(3), 407-436.</w:t>
      </w:r>
    </w:p>
    <w:p w14:paraId="63487672"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proofErr w:type="spellStart"/>
      <w:r w:rsidRPr="004D4D3A">
        <w:rPr>
          <w:rFonts w:ascii="Times New Roman" w:eastAsia="新細明體" w:hAnsi="Times New Roman" w:cs="Times New Roman"/>
          <w:color w:val="000000" w:themeColor="text1"/>
          <w:kern w:val="0"/>
          <w:szCs w:val="24"/>
        </w:rPr>
        <w:t>Carcello</w:t>
      </w:r>
      <w:proofErr w:type="spellEnd"/>
      <w:r w:rsidRPr="004D4D3A">
        <w:rPr>
          <w:rFonts w:ascii="Times New Roman" w:eastAsia="新細明體" w:hAnsi="Times New Roman" w:cs="Times New Roman"/>
          <w:color w:val="000000" w:themeColor="text1"/>
          <w:kern w:val="0"/>
          <w:szCs w:val="24"/>
        </w:rPr>
        <w:t xml:space="preserve">, J. V., &amp; Li, C. (2013). Costs and benefits of requiring an engagement partner signature: Recent experience in the United Kingdom. </w:t>
      </w:r>
      <w:r w:rsidRPr="004D4D3A">
        <w:rPr>
          <w:rFonts w:ascii="Times New Roman" w:eastAsia="新細明體" w:hAnsi="Times New Roman" w:cs="Times New Roman"/>
          <w:iCs/>
          <w:color w:val="000000" w:themeColor="text1"/>
          <w:kern w:val="0"/>
          <w:szCs w:val="24"/>
        </w:rPr>
        <w:t>The Accounting Review</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88</w:t>
      </w:r>
      <w:r w:rsidRPr="004D4D3A">
        <w:rPr>
          <w:rFonts w:ascii="Times New Roman" w:eastAsia="新細明體" w:hAnsi="Times New Roman" w:cs="Times New Roman"/>
          <w:color w:val="000000" w:themeColor="text1"/>
          <w:kern w:val="0"/>
          <w:szCs w:val="24"/>
        </w:rPr>
        <w:t>(5), 1511-1546.</w:t>
      </w:r>
    </w:p>
    <w:p w14:paraId="6DF4DE8F"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Carcello</w:t>
      </w:r>
      <w:proofErr w:type="spellEnd"/>
      <w:r w:rsidRPr="004D4D3A">
        <w:rPr>
          <w:rFonts w:ascii="Times New Roman" w:eastAsia="標楷體" w:hAnsi="Times New Roman" w:cs="Times New Roman"/>
          <w:color w:val="000000" w:themeColor="text1"/>
          <w:kern w:val="0"/>
          <w:szCs w:val="24"/>
        </w:rPr>
        <w:t>, J. V., &amp; Neal, T. L. (2003). Audit committee characteristics and auditor dismissals following “new” going-concern reports. The Accounting Review, 78(1), 95-117.</w:t>
      </w:r>
    </w:p>
    <w:p w14:paraId="660B0A69"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Chan, K. H., &amp; Wu, D. (2011). Aggregate Quasi Rents and Auditor Independence: Evidence from Audit Firm Mergers in China. Contemporary Accounting Research, 28(1), 175-213.</w:t>
      </w:r>
    </w:p>
    <w:p w14:paraId="509B3EBA"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Chan, K. H., Lin, K. Z., &amp; Mo, P. L. L. (2006). A political–economic analysis of auditor reporting and auditor switches. </w:t>
      </w:r>
      <w:r w:rsidRPr="004D4D3A">
        <w:rPr>
          <w:rFonts w:ascii="Times New Roman" w:eastAsia="標楷體" w:hAnsi="Times New Roman" w:cs="Times New Roman"/>
          <w:iCs/>
          <w:color w:val="000000" w:themeColor="text1"/>
          <w:kern w:val="0"/>
          <w:szCs w:val="24"/>
        </w:rPr>
        <w:t>Review of Accounting Studies</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11</w:t>
      </w:r>
      <w:r w:rsidRPr="004D4D3A">
        <w:rPr>
          <w:rFonts w:ascii="Times New Roman" w:eastAsia="標楷體" w:hAnsi="Times New Roman" w:cs="Times New Roman"/>
          <w:color w:val="000000" w:themeColor="text1"/>
          <w:kern w:val="0"/>
          <w:szCs w:val="24"/>
        </w:rPr>
        <w:t>(1), 21-48.</w:t>
      </w:r>
    </w:p>
    <w:p w14:paraId="6EC24494"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Chan, K. H., Lin, K. Z., &amp; Wang, R. R. (2012). Government ownership, accounting-based regulations, and the pursuit of favorable audit opinions: Evidence from China. Auditing: A Journal of Practice &amp; Theory, 31(4), 47-64.</w:t>
      </w:r>
    </w:p>
    <w:p w14:paraId="2DCDC7E5"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Chan, K. H., Lin, K. Z., &amp; Wong, B. (2010). The impact of government ownership and institutions on the reporting behavior of local auditors in China. Journal of International Accounting Research, 9(2), 1-20.</w:t>
      </w:r>
    </w:p>
    <w:p w14:paraId="4A7A65D8"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lastRenderedPageBreak/>
        <w:t xml:space="preserve">Chang, S. J., &amp; Hong, J. (2000). Economic performance of group-affiliated companies in Korea: Intragroup resource sharing and internal business transactions. </w:t>
      </w:r>
      <w:r w:rsidRPr="004D4D3A">
        <w:rPr>
          <w:rFonts w:ascii="Times New Roman" w:eastAsia="標楷體" w:hAnsi="Times New Roman" w:cs="Times New Roman"/>
          <w:iCs/>
          <w:color w:val="000000" w:themeColor="text1"/>
          <w:kern w:val="0"/>
          <w:szCs w:val="24"/>
        </w:rPr>
        <w:t>Academy of Management Journal</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43</w:t>
      </w:r>
      <w:r w:rsidRPr="004D4D3A">
        <w:rPr>
          <w:rFonts w:ascii="Times New Roman" w:eastAsia="標楷體" w:hAnsi="Times New Roman" w:cs="Times New Roman"/>
          <w:color w:val="000000" w:themeColor="text1"/>
          <w:kern w:val="0"/>
          <w:szCs w:val="24"/>
        </w:rPr>
        <w:t>(3), 429-448.</w:t>
      </w:r>
    </w:p>
    <w:p w14:paraId="54A1FE8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Chen, C. J., Chen, S., &amp; Su, X. (2001). Profitability regulation, earnings management, and modified audit opinions: Evidence from China. Auditing: A Journal of Practice &amp; Theory, 20(2), 9-30.</w:t>
      </w:r>
    </w:p>
    <w:p w14:paraId="65ADC8C5"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Chen, C. J., Su, X., &amp; Zhao, R. (2000). An emerging market's reaction to initial modified audit opinions: Evidence from the Shanghai Stock Exchange. Contemporary Accounting Research, 17(3), 429-455.</w:t>
      </w:r>
    </w:p>
    <w:p w14:paraId="56FC1DF5"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sidRPr="004D4D3A">
        <w:rPr>
          <w:rFonts w:ascii="Times New Roman" w:eastAsia="新細明體" w:hAnsi="Times New Roman" w:cs="Times New Roman"/>
          <w:color w:val="000000" w:themeColor="text1"/>
          <w:kern w:val="0"/>
          <w:szCs w:val="24"/>
        </w:rPr>
        <w:t>Chen, C. Y., Lin, C. J., &amp; Lin, Y. C. (2008). Audit partner tenure, audit firm tenure, and discretionary accruals: Does long auditor tenure impair earnings quality</w:t>
      </w:r>
      <w:proofErr w:type="gramStart"/>
      <w:r w:rsidRPr="004D4D3A">
        <w:rPr>
          <w:rFonts w:ascii="Times New Roman" w:eastAsia="新細明體" w:hAnsi="Times New Roman" w:cs="Times New Roman"/>
          <w:color w:val="000000" w:themeColor="text1"/>
          <w:kern w:val="0"/>
          <w:szCs w:val="24"/>
        </w:rPr>
        <w:t>?.</w:t>
      </w:r>
      <w:proofErr w:type="gramEnd"/>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Contemporary Accounting Research</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25</w:t>
      </w:r>
      <w:r w:rsidRPr="004D4D3A">
        <w:rPr>
          <w:rFonts w:ascii="Times New Roman" w:eastAsia="新細明體" w:hAnsi="Times New Roman" w:cs="Times New Roman"/>
          <w:color w:val="000000" w:themeColor="text1"/>
          <w:kern w:val="0"/>
          <w:szCs w:val="24"/>
        </w:rPr>
        <w:t>(2), 415-445.</w:t>
      </w:r>
    </w:p>
    <w:p w14:paraId="21162B8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Chen, F., Peng, S., </w:t>
      </w:r>
      <w:proofErr w:type="spellStart"/>
      <w:r w:rsidRPr="004D4D3A">
        <w:rPr>
          <w:rFonts w:ascii="Times New Roman" w:eastAsia="標楷體" w:hAnsi="Times New Roman" w:cs="Times New Roman"/>
          <w:color w:val="000000" w:themeColor="text1"/>
          <w:kern w:val="0"/>
          <w:szCs w:val="24"/>
        </w:rPr>
        <w:t>Xue</w:t>
      </w:r>
      <w:proofErr w:type="spellEnd"/>
      <w:r w:rsidRPr="004D4D3A">
        <w:rPr>
          <w:rFonts w:ascii="Times New Roman" w:eastAsia="標楷體" w:hAnsi="Times New Roman" w:cs="Times New Roman"/>
          <w:color w:val="000000" w:themeColor="text1"/>
          <w:kern w:val="0"/>
          <w:szCs w:val="24"/>
        </w:rPr>
        <w:t>, S., Yang, Z., &amp; Ye, F. (2016). Do Audit Clients Successfully Engage in Opinion Shopping? Partner</w:t>
      </w:r>
      <w:r w:rsidRPr="004D4D3A">
        <w:rPr>
          <w:rFonts w:ascii="Times New Roman" w:eastAsia="新細明體" w:hAnsi="Times New Roman" w:cs="Times New Roman"/>
          <w:color w:val="000000" w:themeColor="text1"/>
          <w:kern w:val="0"/>
          <w:szCs w:val="24"/>
        </w:rPr>
        <w:t>‐</w:t>
      </w:r>
      <w:r w:rsidRPr="004D4D3A">
        <w:rPr>
          <w:rFonts w:ascii="Times New Roman" w:eastAsia="標楷體" w:hAnsi="Times New Roman" w:cs="Times New Roman"/>
          <w:color w:val="000000" w:themeColor="text1"/>
          <w:kern w:val="0"/>
          <w:szCs w:val="24"/>
        </w:rPr>
        <w:t xml:space="preserve">Level Evidence. </w:t>
      </w:r>
      <w:r w:rsidRPr="004D4D3A">
        <w:rPr>
          <w:rFonts w:ascii="Times New Roman" w:eastAsia="標楷體" w:hAnsi="Times New Roman" w:cs="Times New Roman"/>
          <w:iCs/>
          <w:color w:val="000000" w:themeColor="text1"/>
          <w:kern w:val="0"/>
          <w:szCs w:val="24"/>
        </w:rPr>
        <w:t>Journal of Accounting Research</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54</w:t>
      </w:r>
      <w:r w:rsidRPr="004D4D3A">
        <w:rPr>
          <w:rFonts w:ascii="Times New Roman" w:eastAsia="標楷體" w:hAnsi="Times New Roman" w:cs="Times New Roman"/>
          <w:color w:val="000000" w:themeColor="text1"/>
          <w:kern w:val="0"/>
          <w:szCs w:val="24"/>
        </w:rPr>
        <w:t>(1), 79-112.</w:t>
      </w:r>
    </w:p>
    <w:p w14:paraId="6A90A69E"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Chen, J. J., Cheng, P., &amp; Xiao, X. (2011). Related party transactions as a source of earnings management. </w:t>
      </w:r>
      <w:r w:rsidRPr="004D4D3A">
        <w:rPr>
          <w:rFonts w:ascii="Times New Roman" w:eastAsia="標楷體" w:hAnsi="Times New Roman" w:cs="Times New Roman"/>
          <w:iCs/>
          <w:color w:val="000000" w:themeColor="text1"/>
          <w:kern w:val="0"/>
          <w:szCs w:val="24"/>
        </w:rPr>
        <w:t>Applied Financial Economics</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21</w:t>
      </w:r>
      <w:r w:rsidRPr="004D4D3A">
        <w:rPr>
          <w:rFonts w:ascii="Times New Roman" w:eastAsia="標楷體" w:hAnsi="Times New Roman" w:cs="Times New Roman"/>
          <w:color w:val="000000" w:themeColor="text1"/>
          <w:kern w:val="0"/>
          <w:szCs w:val="24"/>
        </w:rPr>
        <w:t>(3), 165-181.</w:t>
      </w:r>
    </w:p>
    <w:p w14:paraId="4A54EDAA" w14:textId="77777777" w:rsidR="000772A9" w:rsidRPr="004D4D3A" w:rsidRDefault="000772A9" w:rsidP="00CC1885">
      <w:pPr>
        <w:pStyle w:val="af3"/>
        <w:widowControl/>
        <w:numPr>
          <w:ilvl w:val="0"/>
          <w:numId w:val="1"/>
        </w:numPr>
        <w:spacing w:line="400" w:lineRule="exact"/>
        <w:ind w:leftChars="0"/>
        <w:rPr>
          <w:rFonts w:ascii="Times New Roman" w:hAnsi="Times New Roman" w:cs="Times New Roman"/>
          <w:color w:val="000000" w:themeColor="text1"/>
          <w:szCs w:val="24"/>
        </w:rPr>
      </w:pPr>
      <w:r w:rsidRPr="004D4D3A">
        <w:rPr>
          <w:rFonts w:ascii="Times New Roman" w:hAnsi="Times New Roman" w:cs="Times New Roman"/>
          <w:color w:val="000000" w:themeColor="text1"/>
          <w:szCs w:val="24"/>
        </w:rPr>
        <w:t>Chen, S., Sun, S. Y., &amp; Wu, D. (2010). Client importance, institutional improvements, and audit quality in China: An office and individual auditor level analysis. The Accounting Review, 85(1), 127-158.</w:t>
      </w:r>
    </w:p>
    <w:p w14:paraId="372E6CAC"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Chen, S., Wang, K., &amp; Li, X. (2012). Product market competition, ultimate controlling structure and related party transactions. </w:t>
      </w:r>
      <w:r w:rsidRPr="004D4D3A">
        <w:rPr>
          <w:rFonts w:ascii="Times New Roman" w:eastAsia="標楷體" w:hAnsi="Times New Roman" w:cs="Times New Roman"/>
          <w:iCs/>
          <w:color w:val="000000" w:themeColor="text1"/>
          <w:kern w:val="0"/>
          <w:szCs w:val="24"/>
        </w:rPr>
        <w:t>China Journal of Accounting Research</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5</w:t>
      </w:r>
      <w:r w:rsidRPr="004D4D3A">
        <w:rPr>
          <w:rFonts w:ascii="Times New Roman" w:eastAsia="標楷體" w:hAnsi="Times New Roman" w:cs="Times New Roman"/>
          <w:color w:val="000000" w:themeColor="text1"/>
          <w:kern w:val="0"/>
          <w:szCs w:val="24"/>
        </w:rPr>
        <w:t>(4), 293-306.</w:t>
      </w:r>
    </w:p>
    <w:p w14:paraId="0B0BDB21"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sidRPr="004D4D3A">
        <w:rPr>
          <w:rFonts w:ascii="Times New Roman" w:hAnsi="Times New Roman" w:cs="Times New Roman"/>
          <w:color w:val="000000" w:themeColor="text1"/>
          <w:szCs w:val="24"/>
        </w:rPr>
        <w:t xml:space="preserve">Chen, Y., Chen, C. H., &amp; Chen, W. (2009). The impact of related party transactions on the operational performance of listed companies in China. </w:t>
      </w:r>
      <w:r w:rsidRPr="004D4D3A">
        <w:rPr>
          <w:rFonts w:ascii="Times New Roman" w:hAnsi="Times New Roman" w:cs="Times New Roman"/>
          <w:iCs/>
          <w:color w:val="000000" w:themeColor="text1"/>
          <w:szCs w:val="24"/>
        </w:rPr>
        <w:t>Journal of Economic Policy Reform</w:t>
      </w:r>
      <w:r w:rsidRPr="004D4D3A">
        <w:rPr>
          <w:rFonts w:ascii="Times New Roman" w:hAnsi="Times New Roman" w:cs="Times New Roman"/>
          <w:color w:val="000000" w:themeColor="text1"/>
          <w:szCs w:val="24"/>
        </w:rPr>
        <w:t xml:space="preserve">, </w:t>
      </w:r>
      <w:r w:rsidRPr="004D4D3A">
        <w:rPr>
          <w:rFonts w:ascii="Times New Roman" w:hAnsi="Times New Roman" w:cs="Times New Roman"/>
          <w:iCs/>
          <w:color w:val="000000" w:themeColor="text1"/>
          <w:szCs w:val="24"/>
        </w:rPr>
        <w:t>12</w:t>
      </w:r>
      <w:r w:rsidRPr="004D4D3A">
        <w:rPr>
          <w:rFonts w:ascii="Times New Roman" w:hAnsi="Times New Roman" w:cs="Times New Roman"/>
          <w:color w:val="000000" w:themeColor="text1"/>
          <w:szCs w:val="24"/>
        </w:rPr>
        <w:t>(4), 285-297.</w:t>
      </w:r>
    </w:p>
    <w:p w14:paraId="60E22FE4"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Chen, Z., </w:t>
      </w:r>
      <w:proofErr w:type="spellStart"/>
      <w:r w:rsidRPr="004D4D3A">
        <w:rPr>
          <w:rFonts w:ascii="Times New Roman" w:eastAsia="標楷體" w:hAnsi="Times New Roman" w:cs="Times New Roman"/>
          <w:color w:val="000000" w:themeColor="text1"/>
          <w:kern w:val="0"/>
          <w:szCs w:val="24"/>
        </w:rPr>
        <w:t>Ke</w:t>
      </w:r>
      <w:proofErr w:type="spellEnd"/>
      <w:r w:rsidRPr="004D4D3A">
        <w:rPr>
          <w:rFonts w:ascii="Times New Roman" w:eastAsia="標楷體" w:hAnsi="Times New Roman" w:cs="Times New Roman"/>
          <w:color w:val="000000" w:themeColor="text1"/>
          <w:kern w:val="0"/>
          <w:szCs w:val="24"/>
        </w:rPr>
        <w:t>, B., &amp; Yang, Z. (2013). Minority shareholders’ control rights and the quality of corporate decisions in weak investor protection countries: A natural experiment from China. The Accounting Review, 88(4), 1211-1238.</w:t>
      </w:r>
    </w:p>
    <w:p w14:paraId="605432CA"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sidRPr="004D4D3A">
        <w:rPr>
          <w:rFonts w:ascii="Times New Roman" w:eastAsia="新細明體" w:hAnsi="Times New Roman" w:cs="Times New Roman"/>
          <w:color w:val="000000" w:themeColor="text1"/>
          <w:kern w:val="0"/>
          <w:szCs w:val="24"/>
        </w:rPr>
        <w:t xml:space="preserve">Cheung, Y. L., Jing, L., Lu, T., Rau, P. R., &amp; </w:t>
      </w:r>
      <w:proofErr w:type="spellStart"/>
      <w:r w:rsidRPr="004D4D3A">
        <w:rPr>
          <w:rFonts w:ascii="Times New Roman" w:eastAsia="新細明體" w:hAnsi="Times New Roman" w:cs="Times New Roman"/>
          <w:color w:val="000000" w:themeColor="text1"/>
          <w:kern w:val="0"/>
          <w:szCs w:val="24"/>
        </w:rPr>
        <w:t>Stouraitis</w:t>
      </w:r>
      <w:proofErr w:type="spellEnd"/>
      <w:r w:rsidRPr="004D4D3A">
        <w:rPr>
          <w:rFonts w:ascii="Times New Roman" w:eastAsia="新細明體" w:hAnsi="Times New Roman" w:cs="Times New Roman"/>
          <w:color w:val="000000" w:themeColor="text1"/>
          <w:kern w:val="0"/>
          <w:szCs w:val="24"/>
        </w:rPr>
        <w:t xml:space="preserve">, A. (2009). Tunneling and propping up: An analysis of related party transactions by Chinese listed companies. </w:t>
      </w:r>
      <w:r w:rsidRPr="004D4D3A">
        <w:rPr>
          <w:rFonts w:ascii="Times New Roman" w:eastAsia="新細明體" w:hAnsi="Times New Roman" w:cs="Times New Roman"/>
          <w:iCs/>
          <w:color w:val="000000" w:themeColor="text1"/>
          <w:kern w:val="0"/>
          <w:szCs w:val="24"/>
        </w:rPr>
        <w:t>Pacific-Basin Finance Journal</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17</w:t>
      </w:r>
      <w:r w:rsidRPr="004D4D3A">
        <w:rPr>
          <w:rFonts w:ascii="Times New Roman" w:eastAsia="新細明體" w:hAnsi="Times New Roman" w:cs="Times New Roman"/>
          <w:color w:val="000000" w:themeColor="text1"/>
          <w:kern w:val="0"/>
          <w:szCs w:val="24"/>
        </w:rPr>
        <w:t>(3), 372-393.</w:t>
      </w:r>
    </w:p>
    <w:p w14:paraId="192D5DFB"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lastRenderedPageBreak/>
        <w:t xml:space="preserve">Cheung, Y. L., Rau, P. R., &amp; </w:t>
      </w:r>
      <w:proofErr w:type="spellStart"/>
      <w:r w:rsidRPr="004D4D3A">
        <w:rPr>
          <w:rFonts w:ascii="Times New Roman" w:eastAsia="標楷體" w:hAnsi="Times New Roman" w:cs="Times New Roman"/>
          <w:color w:val="000000" w:themeColor="text1"/>
          <w:kern w:val="0"/>
          <w:szCs w:val="24"/>
        </w:rPr>
        <w:t>Stouraitis</w:t>
      </w:r>
      <w:proofErr w:type="spellEnd"/>
      <w:r w:rsidRPr="004D4D3A">
        <w:rPr>
          <w:rFonts w:ascii="Times New Roman" w:eastAsia="標楷體" w:hAnsi="Times New Roman" w:cs="Times New Roman"/>
          <w:color w:val="000000" w:themeColor="text1"/>
          <w:kern w:val="0"/>
          <w:szCs w:val="24"/>
        </w:rPr>
        <w:t xml:space="preserve">, A. (2006). Tunneling, propping, and expropriation: evidence from connected party transactions in Hong Kong. </w:t>
      </w:r>
      <w:r w:rsidRPr="004D4D3A">
        <w:rPr>
          <w:rFonts w:ascii="Times New Roman" w:eastAsia="標楷體" w:hAnsi="Times New Roman" w:cs="Times New Roman"/>
          <w:iCs/>
          <w:color w:val="000000" w:themeColor="text1"/>
          <w:kern w:val="0"/>
          <w:szCs w:val="24"/>
        </w:rPr>
        <w:t>Journal of Financial Economics</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82</w:t>
      </w:r>
      <w:r w:rsidRPr="004D4D3A">
        <w:rPr>
          <w:rFonts w:ascii="Times New Roman" w:eastAsia="標楷體" w:hAnsi="Times New Roman" w:cs="Times New Roman"/>
          <w:color w:val="000000" w:themeColor="text1"/>
          <w:kern w:val="0"/>
          <w:szCs w:val="24"/>
        </w:rPr>
        <w:t>(2), 343-386.</w:t>
      </w:r>
    </w:p>
    <w:p w14:paraId="7C7B1D8D"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Chi, H. Y., &amp; Chin, C. L. (2011). Firm versus partner measures of auditor industry expertise and effects on auditor quality. </w:t>
      </w:r>
      <w:r w:rsidRPr="004D4D3A">
        <w:rPr>
          <w:rFonts w:ascii="Times New Roman" w:eastAsia="標楷體" w:hAnsi="Times New Roman" w:cs="Times New Roman"/>
          <w:iCs/>
          <w:color w:val="000000" w:themeColor="text1"/>
          <w:kern w:val="0"/>
          <w:szCs w:val="24"/>
        </w:rPr>
        <w:t>Auditing: A Journal of Practice &amp; Theory</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30</w:t>
      </w:r>
      <w:r w:rsidRPr="004D4D3A">
        <w:rPr>
          <w:rFonts w:ascii="Times New Roman" w:eastAsia="標楷體" w:hAnsi="Times New Roman" w:cs="Times New Roman"/>
          <w:color w:val="000000" w:themeColor="text1"/>
          <w:kern w:val="0"/>
          <w:szCs w:val="24"/>
        </w:rPr>
        <w:t>(2), 201-229.</w:t>
      </w:r>
    </w:p>
    <w:p w14:paraId="1A29B358"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sidRPr="004D4D3A">
        <w:rPr>
          <w:rFonts w:ascii="Times New Roman" w:eastAsia="新細明體" w:hAnsi="Times New Roman" w:cs="Times New Roman"/>
          <w:color w:val="000000" w:themeColor="text1"/>
          <w:kern w:val="0"/>
          <w:szCs w:val="24"/>
        </w:rPr>
        <w:t xml:space="preserve">Chi, W., Huang, H., Liao, Y., &amp; </w:t>
      </w:r>
      <w:proofErr w:type="spellStart"/>
      <w:r w:rsidRPr="004D4D3A">
        <w:rPr>
          <w:rFonts w:ascii="Times New Roman" w:eastAsia="新細明體" w:hAnsi="Times New Roman" w:cs="Times New Roman"/>
          <w:color w:val="000000" w:themeColor="text1"/>
          <w:kern w:val="0"/>
          <w:szCs w:val="24"/>
        </w:rPr>
        <w:t>Xie</w:t>
      </w:r>
      <w:proofErr w:type="spellEnd"/>
      <w:r w:rsidRPr="004D4D3A">
        <w:rPr>
          <w:rFonts w:ascii="Times New Roman" w:eastAsia="新細明體" w:hAnsi="Times New Roman" w:cs="Times New Roman"/>
          <w:color w:val="000000" w:themeColor="text1"/>
          <w:kern w:val="0"/>
          <w:szCs w:val="24"/>
        </w:rPr>
        <w:t xml:space="preserve">, H. (2009). Mandatory Audit Partner Rotation, Audit Quality, and Market Perception: Evidence from Taiwan. </w:t>
      </w:r>
      <w:r w:rsidRPr="004D4D3A">
        <w:rPr>
          <w:rFonts w:ascii="Times New Roman" w:eastAsia="新細明體" w:hAnsi="Times New Roman" w:cs="Times New Roman"/>
          <w:iCs/>
          <w:color w:val="000000" w:themeColor="text1"/>
          <w:kern w:val="0"/>
          <w:szCs w:val="24"/>
        </w:rPr>
        <w:t>Contemporary Accounting Research</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26</w:t>
      </w:r>
      <w:r w:rsidRPr="004D4D3A">
        <w:rPr>
          <w:rFonts w:ascii="Times New Roman" w:eastAsia="新細明體" w:hAnsi="Times New Roman" w:cs="Times New Roman"/>
          <w:color w:val="000000" w:themeColor="text1"/>
          <w:kern w:val="0"/>
          <w:szCs w:val="24"/>
        </w:rPr>
        <w:t>(2), 359-391.</w:t>
      </w:r>
    </w:p>
    <w:p w14:paraId="4CD1FA0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Chow, C. W., &amp; Rice, S. J. (1982). Qualified audit opinions and auditor switching. The Accounting Review, 57(2), 326.</w:t>
      </w:r>
    </w:p>
    <w:p w14:paraId="2E71CE30"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Claessens</w:t>
      </w:r>
      <w:proofErr w:type="spellEnd"/>
      <w:r w:rsidRPr="004D4D3A">
        <w:rPr>
          <w:rFonts w:ascii="Times New Roman" w:eastAsia="標楷體" w:hAnsi="Times New Roman" w:cs="Times New Roman"/>
          <w:color w:val="000000" w:themeColor="text1"/>
          <w:kern w:val="0"/>
          <w:szCs w:val="24"/>
        </w:rPr>
        <w:t>, S., Fan, J. P., &amp; Lang, L. H. (2006). The benefits and costs of group affiliation: Evidence from East Asia. Emerging Markets Review, 7(1), 1-26.</w:t>
      </w:r>
    </w:p>
    <w:p w14:paraId="5EFFD3A3" w14:textId="77777777" w:rsidR="000772A9" w:rsidRPr="004D4D3A" w:rsidRDefault="000772A9" w:rsidP="00CC1885">
      <w:pPr>
        <w:pStyle w:val="af3"/>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Davidson III, W. N., </w:t>
      </w:r>
      <w:proofErr w:type="spellStart"/>
      <w:r w:rsidRPr="004D4D3A">
        <w:rPr>
          <w:rFonts w:ascii="Times New Roman" w:eastAsia="標楷體" w:hAnsi="Times New Roman" w:cs="Times New Roman"/>
          <w:color w:val="000000" w:themeColor="text1"/>
          <w:kern w:val="0"/>
          <w:szCs w:val="24"/>
        </w:rPr>
        <w:t>Jiraporn</w:t>
      </w:r>
      <w:proofErr w:type="spellEnd"/>
      <w:r w:rsidRPr="004D4D3A">
        <w:rPr>
          <w:rFonts w:ascii="Times New Roman" w:eastAsia="標楷體" w:hAnsi="Times New Roman" w:cs="Times New Roman"/>
          <w:color w:val="000000" w:themeColor="text1"/>
          <w:kern w:val="0"/>
          <w:szCs w:val="24"/>
        </w:rPr>
        <w:t xml:space="preserve">, P., &amp; </w:t>
      </w:r>
      <w:proofErr w:type="spellStart"/>
      <w:r w:rsidRPr="004D4D3A">
        <w:rPr>
          <w:rFonts w:ascii="Times New Roman" w:eastAsia="標楷體" w:hAnsi="Times New Roman" w:cs="Times New Roman"/>
          <w:color w:val="000000" w:themeColor="text1"/>
          <w:kern w:val="0"/>
          <w:szCs w:val="24"/>
        </w:rPr>
        <w:t>DaDalt</w:t>
      </w:r>
      <w:proofErr w:type="spellEnd"/>
      <w:r w:rsidRPr="004D4D3A">
        <w:rPr>
          <w:rFonts w:ascii="Times New Roman" w:eastAsia="標楷體" w:hAnsi="Times New Roman" w:cs="Times New Roman"/>
          <w:color w:val="000000" w:themeColor="text1"/>
          <w:kern w:val="0"/>
          <w:szCs w:val="24"/>
        </w:rPr>
        <w:t>, P. (2006). Causes and consequences of audit shopping: an analysis of auditor opinions, earnings management, and auditor changes. Quarterly Journal of Business and Economics, 45(1-2), 69-88.</w:t>
      </w:r>
    </w:p>
    <w:p w14:paraId="17670A0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DeFond</w:t>
      </w:r>
      <w:proofErr w:type="spellEnd"/>
      <w:r w:rsidRPr="004D4D3A">
        <w:rPr>
          <w:rFonts w:ascii="Times New Roman" w:eastAsia="標楷體" w:hAnsi="Times New Roman" w:cs="Times New Roman"/>
          <w:color w:val="000000" w:themeColor="text1"/>
          <w:kern w:val="0"/>
          <w:szCs w:val="24"/>
        </w:rPr>
        <w:t>, M. L., Wong, T. J., &amp; Li, S. (1999). The impact of improved auditor independence on audit market concentration in China. Journal of Accounting and Economics, 28(3), 269-305.</w:t>
      </w:r>
    </w:p>
    <w:p w14:paraId="66F79084"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Dhaliwal, D. S., Liu, Q., </w:t>
      </w:r>
      <w:proofErr w:type="spellStart"/>
      <w:r w:rsidRPr="004D4D3A">
        <w:rPr>
          <w:rFonts w:ascii="Times New Roman" w:eastAsia="標楷體" w:hAnsi="Times New Roman" w:cs="Times New Roman"/>
          <w:color w:val="000000" w:themeColor="text1"/>
          <w:kern w:val="0"/>
          <w:szCs w:val="24"/>
        </w:rPr>
        <w:t>Xie</w:t>
      </w:r>
      <w:proofErr w:type="spellEnd"/>
      <w:r w:rsidRPr="004D4D3A">
        <w:rPr>
          <w:rFonts w:ascii="Times New Roman" w:eastAsia="標楷體" w:hAnsi="Times New Roman" w:cs="Times New Roman"/>
          <w:color w:val="000000" w:themeColor="text1"/>
          <w:kern w:val="0"/>
          <w:szCs w:val="24"/>
        </w:rPr>
        <w:t>, H., &amp; Zhang, J. (201</w:t>
      </w:r>
      <w:r>
        <w:rPr>
          <w:rFonts w:ascii="Times New Roman" w:eastAsia="標楷體" w:hAnsi="Times New Roman" w:cs="Times New Roman"/>
          <w:color w:val="000000" w:themeColor="text1"/>
          <w:kern w:val="0"/>
          <w:szCs w:val="24"/>
        </w:rPr>
        <w:t>7</w:t>
      </w:r>
      <w:r w:rsidRPr="004D4D3A">
        <w:rPr>
          <w:rFonts w:ascii="Times New Roman" w:eastAsia="標楷體" w:hAnsi="Times New Roman" w:cs="Times New Roman"/>
          <w:color w:val="000000" w:themeColor="text1"/>
          <w:kern w:val="0"/>
          <w:szCs w:val="24"/>
        </w:rPr>
        <w:t>). Negative press coverage, litigation risk, and audit opinions in China. Working paper, The University of Arizona.</w:t>
      </w:r>
    </w:p>
    <w:p w14:paraId="42701515"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Dopuch</w:t>
      </w:r>
      <w:proofErr w:type="spellEnd"/>
      <w:r w:rsidRPr="004D4D3A">
        <w:rPr>
          <w:rFonts w:ascii="Times New Roman" w:eastAsia="標楷體" w:hAnsi="Times New Roman" w:cs="Times New Roman"/>
          <w:color w:val="000000" w:themeColor="text1"/>
          <w:kern w:val="0"/>
          <w:szCs w:val="24"/>
        </w:rPr>
        <w:t xml:space="preserve">, N., </w:t>
      </w:r>
      <w:proofErr w:type="spellStart"/>
      <w:r w:rsidRPr="004D4D3A">
        <w:rPr>
          <w:rFonts w:ascii="Times New Roman" w:eastAsia="標楷體" w:hAnsi="Times New Roman" w:cs="Times New Roman"/>
          <w:color w:val="000000" w:themeColor="text1"/>
          <w:kern w:val="0"/>
          <w:szCs w:val="24"/>
        </w:rPr>
        <w:t>Holthausen</w:t>
      </w:r>
      <w:proofErr w:type="spellEnd"/>
      <w:r w:rsidRPr="004D4D3A">
        <w:rPr>
          <w:rFonts w:ascii="Times New Roman" w:eastAsia="標楷體" w:hAnsi="Times New Roman" w:cs="Times New Roman"/>
          <w:color w:val="000000" w:themeColor="text1"/>
          <w:kern w:val="0"/>
          <w:szCs w:val="24"/>
        </w:rPr>
        <w:t xml:space="preserve">, R. W., &amp; </w:t>
      </w:r>
      <w:proofErr w:type="spellStart"/>
      <w:r w:rsidRPr="004D4D3A">
        <w:rPr>
          <w:rFonts w:ascii="Times New Roman" w:eastAsia="標楷體" w:hAnsi="Times New Roman" w:cs="Times New Roman"/>
          <w:color w:val="000000" w:themeColor="text1"/>
          <w:kern w:val="0"/>
          <w:szCs w:val="24"/>
        </w:rPr>
        <w:t>Leftwich</w:t>
      </w:r>
      <w:proofErr w:type="spellEnd"/>
      <w:r w:rsidRPr="004D4D3A">
        <w:rPr>
          <w:rFonts w:ascii="Times New Roman" w:eastAsia="標楷體" w:hAnsi="Times New Roman" w:cs="Times New Roman"/>
          <w:color w:val="000000" w:themeColor="text1"/>
          <w:kern w:val="0"/>
          <w:szCs w:val="24"/>
        </w:rPr>
        <w:t xml:space="preserve">, R. W. (1986). Abnormal stock returns associated with media disclosures of ‘subject </w:t>
      </w:r>
      <w:proofErr w:type="spellStart"/>
      <w:r w:rsidRPr="004D4D3A">
        <w:rPr>
          <w:rFonts w:ascii="Times New Roman" w:eastAsia="標楷體" w:hAnsi="Times New Roman" w:cs="Times New Roman"/>
          <w:color w:val="000000" w:themeColor="text1"/>
          <w:kern w:val="0"/>
          <w:szCs w:val="24"/>
        </w:rPr>
        <w:t>to’qualified</w:t>
      </w:r>
      <w:proofErr w:type="spellEnd"/>
      <w:r w:rsidRPr="004D4D3A">
        <w:rPr>
          <w:rFonts w:ascii="Times New Roman" w:eastAsia="標楷體" w:hAnsi="Times New Roman" w:cs="Times New Roman"/>
          <w:color w:val="000000" w:themeColor="text1"/>
          <w:kern w:val="0"/>
          <w:szCs w:val="24"/>
        </w:rPr>
        <w:t xml:space="preserve"> audit opinions. Journal of Accounting and Economics, 8(2), 93-117.</w:t>
      </w:r>
    </w:p>
    <w:p w14:paraId="60E5AD8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Dopuch</w:t>
      </w:r>
      <w:proofErr w:type="spellEnd"/>
      <w:r w:rsidRPr="004D4D3A">
        <w:rPr>
          <w:rFonts w:ascii="Times New Roman" w:eastAsia="標楷體" w:hAnsi="Times New Roman" w:cs="Times New Roman"/>
          <w:color w:val="000000" w:themeColor="text1"/>
          <w:kern w:val="0"/>
          <w:szCs w:val="24"/>
        </w:rPr>
        <w:t xml:space="preserve">, N., </w:t>
      </w:r>
      <w:proofErr w:type="spellStart"/>
      <w:r w:rsidRPr="004D4D3A">
        <w:rPr>
          <w:rFonts w:ascii="Times New Roman" w:eastAsia="標楷體" w:hAnsi="Times New Roman" w:cs="Times New Roman"/>
          <w:color w:val="000000" w:themeColor="text1"/>
          <w:kern w:val="0"/>
          <w:szCs w:val="24"/>
        </w:rPr>
        <w:t>Holthausen</w:t>
      </w:r>
      <w:proofErr w:type="spellEnd"/>
      <w:r w:rsidRPr="004D4D3A">
        <w:rPr>
          <w:rFonts w:ascii="Times New Roman" w:eastAsia="標楷體" w:hAnsi="Times New Roman" w:cs="Times New Roman"/>
          <w:color w:val="000000" w:themeColor="text1"/>
          <w:kern w:val="0"/>
          <w:szCs w:val="24"/>
        </w:rPr>
        <w:t xml:space="preserve">, R. W., &amp; </w:t>
      </w:r>
      <w:proofErr w:type="spellStart"/>
      <w:r w:rsidRPr="004D4D3A">
        <w:rPr>
          <w:rFonts w:ascii="Times New Roman" w:eastAsia="標楷體" w:hAnsi="Times New Roman" w:cs="Times New Roman"/>
          <w:color w:val="000000" w:themeColor="text1"/>
          <w:kern w:val="0"/>
          <w:szCs w:val="24"/>
        </w:rPr>
        <w:t>Leftwich</w:t>
      </w:r>
      <w:proofErr w:type="spellEnd"/>
      <w:r w:rsidRPr="004D4D3A">
        <w:rPr>
          <w:rFonts w:ascii="Times New Roman" w:eastAsia="標楷體" w:hAnsi="Times New Roman" w:cs="Times New Roman"/>
          <w:color w:val="000000" w:themeColor="text1"/>
          <w:kern w:val="0"/>
          <w:szCs w:val="24"/>
        </w:rPr>
        <w:t>, R. W. (1987). Predicting audit qualifications with financial and market variables. T</w:t>
      </w:r>
      <w:r w:rsidRPr="004D4D3A">
        <w:rPr>
          <w:rFonts w:ascii="Times New Roman" w:eastAsia="標楷體" w:hAnsi="Times New Roman" w:cs="Times New Roman"/>
          <w:iCs/>
          <w:color w:val="000000" w:themeColor="text1"/>
          <w:szCs w:val="24"/>
        </w:rPr>
        <w:t>he Accounting Review</w:t>
      </w:r>
      <w:r w:rsidRPr="004D4D3A">
        <w:rPr>
          <w:rFonts w:ascii="Times New Roman" w:eastAsia="標楷體" w:hAnsi="Times New Roman" w:cs="Times New Roman"/>
          <w:color w:val="000000" w:themeColor="text1"/>
          <w:szCs w:val="24"/>
        </w:rPr>
        <w:t xml:space="preserve">, </w:t>
      </w:r>
      <w:r w:rsidRPr="004D4D3A">
        <w:rPr>
          <w:rFonts w:ascii="Times New Roman" w:eastAsia="標楷體" w:hAnsi="Times New Roman" w:cs="Times New Roman"/>
          <w:iCs/>
          <w:color w:val="000000" w:themeColor="text1"/>
          <w:szCs w:val="24"/>
        </w:rPr>
        <w:t>62</w:t>
      </w:r>
      <w:r w:rsidRPr="004D4D3A">
        <w:rPr>
          <w:rFonts w:ascii="Times New Roman" w:eastAsia="標楷體" w:hAnsi="Times New Roman" w:cs="Times New Roman"/>
          <w:color w:val="000000" w:themeColor="text1"/>
          <w:szCs w:val="24"/>
        </w:rPr>
        <w:t>(3),</w:t>
      </w:r>
      <w:r w:rsidRPr="004D4D3A">
        <w:rPr>
          <w:rFonts w:ascii="Times New Roman" w:eastAsia="標楷體" w:hAnsi="Times New Roman" w:cs="Times New Roman"/>
          <w:color w:val="000000" w:themeColor="text1"/>
          <w:kern w:val="0"/>
          <w:szCs w:val="24"/>
        </w:rPr>
        <w:t xml:space="preserve"> 431-454.</w:t>
      </w:r>
    </w:p>
    <w:p w14:paraId="663E16C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Firth, M., Mo, P. L., &amp; Wong, R. M. (2012). Auditors’ organizational form, legal liability, and reporting conservatism: Evidence from China. Contemporary Accounting Research, 29(1), 57-93.</w:t>
      </w:r>
    </w:p>
    <w:p w14:paraId="76FC1C1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Francis, J. R., &amp; Krishnan, J. (1999). Accounting accruals and auditor reporting conservatism. Contemporary Accounting Research, 16(1), 135-165.</w:t>
      </w:r>
    </w:p>
    <w:p w14:paraId="40CDA13A"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Friedman, E., Johnson, S., &amp; Mitton, T. (2003). Propping and tunneling. Journal of Comparative Economics, 31(4), 732-750.</w:t>
      </w:r>
    </w:p>
    <w:p w14:paraId="2BAEFB06" w14:textId="77777777" w:rsidR="000772A9" w:rsidRPr="004D4D3A" w:rsidRDefault="000772A9" w:rsidP="00670126">
      <w:pPr>
        <w:pStyle w:val="af3"/>
        <w:numPr>
          <w:ilvl w:val="0"/>
          <w:numId w:val="1"/>
        </w:numPr>
        <w:spacing w:line="400" w:lineRule="exact"/>
        <w:ind w:leftChars="0"/>
        <w:rPr>
          <w:rFonts w:ascii="Times New Roman" w:hAnsi="Times New Roman" w:cs="Times New Roman"/>
          <w:color w:val="000000" w:themeColor="text1"/>
        </w:rPr>
      </w:pPr>
      <w:r w:rsidRPr="004D4D3A">
        <w:rPr>
          <w:rFonts w:ascii="Times New Roman" w:hAnsi="Times New Roman" w:cs="Times New Roman"/>
          <w:color w:val="000000" w:themeColor="text1"/>
        </w:rPr>
        <w:lastRenderedPageBreak/>
        <w:t>Ghosh, A., &amp; Moon, D. (2005). Auditor tenure and perceptions of audit quality. The Accounting Review, 80(2), 585-612.</w:t>
      </w:r>
    </w:p>
    <w:p w14:paraId="72E0DD8F"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Gordon, E. A., &amp; Henry, E. (2005). Related party transactions and earnings management. Working Paper, </w:t>
      </w:r>
      <w:r w:rsidRPr="004D4D3A">
        <w:rPr>
          <w:rFonts w:ascii="Times New Roman" w:eastAsia="標楷體" w:hAnsi="Times New Roman" w:cs="Times New Roman"/>
          <w:iCs/>
          <w:color w:val="000000" w:themeColor="text1"/>
          <w:kern w:val="0"/>
          <w:szCs w:val="24"/>
        </w:rPr>
        <w:t>Rutgers University.</w:t>
      </w:r>
    </w:p>
    <w:p w14:paraId="37A0A29F"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Gordon, E. A., Henry, E., </w:t>
      </w:r>
      <w:proofErr w:type="spellStart"/>
      <w:r w:rsidRPr="004D4D3A">
        <w:rPr>
          <w:rFonts w:ascii="Times New Roman" w:eastAsia="標楷體" w:hAnsi="Times New Roman" w:cs="Times New Roman"/>
          <w:color w:val="000000" w:themeColor="text1"/>
          <w:kern w:val="0"/>
          <w:szCs w:val="24"/>
        </w:rPr>
        <w:t>Louwers</w:t>
      </w:r>
      <w:proofErr w:type="spellEnd"/>
      <w:r w:rsidRPr="004D4D3A">
        <w:rPr>
          <w:rFonts w:ascii="Times New Roman" w:eastAsia="標楷體" w:hAnsi="Times New Roman" w:cs="Times New Roman"/>
          <w:color w:val="000000" w:themeColor="text1"/>
          <w:kern w:val="0"/>
          <w:szCs w:val="24"/>
        </w:rPr>
        <w:t>, T. J., &amp; Reed, B. J. (2007). Auditing related party transactions: A literature overview and research synthesis. Accounting Horizons, 21(1), 81-102.</w:t>
      </w:r>
    </w:p>
    <w:p w14:paraId="288B885A" w14:textId="77777777" w:rsidR="000772A9" w:rsidRPr="004D4D3A" w:rsidRDefault="000772A9" w:rsidP="00CC1885">
      <w:pPr>
        <w:pStyle w:val="af3"/>
        <w:numPr>
          <w:ilvl w:val="0"/>
          <w:numId w:val="1"/>
        </w:numPr>
        <w:spacing w:line="400" w:lineRule="exact"/>
        <w:ind w:leftChars="0"/>
        <w:rPr>
          <w:rFonts w:ascii="Times New Roman" w:eastAsia="標楷體" w:hAnsi="Times New Roman" w:cs="Times New Roman"/>
          <w:color w:val="000000" w:themeColor="text1"/>
          <w:szCs w:val="24"/>
        </w:rPr>
      </w:pPr>
      <w:r w:rsidRPr="004D4D3A">
        <w:rPr>
          <w:rFonts w:ascii="Times New Roman" w:eastAsia="標楷體" w:hAnsi="Times New Roman" w:cs="Times New Roman"/>
          <w:color w:val="000000" w:themeColor="text1"/>
          <w:szCs w:val="24"/>
        </w:rPr>
        <w:t xml:space="preserve">Gordon, E., Henry, E., &amp; </w:t>
      </w:r>
      <w:proofErr w:type="spellStart"/>
      <w:r w:rsidRPr="004D4D3A">
        <w:rPr>
          <w:rFonts w:ascii="Times New Roman" w:eastAsia="標楷體" w:hAnsi="Times New Roman" w:cs="Times New Roman"/>
          <w:color w:val="000000" w:themeColor="text1"/>
          <w:szCs w:val="24"/>
        </w:rPr>
        <w:t>Palia</w:t>
      </w:r>
      <w:proofErr w:type="spellEnd"/>
      <w:r w:rsidRPr="004D4D3A">
        <w:rPr>
          <w:rFonts w:ascii="Times New Roman" w:eastAsia="標楷體" w:hAnsi="Times New Roman" w:cs="Times New Roman"/>
          <w:color w:val="000000" w:themeColor="text1"/>
          <w:szCs w:val="24"/>
        </w:rPr>
        <w:t xml:space="preserve">, D. (2004). Related party transactions: Associations with corporate governance and firm value. Working Paper, Rutgers University. </w:t>
      </w:r>
    </w:p>
    <w:p w14:paraId="0BFAAF54"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Gul, F. A., Wu, D., &amp; Yang, Z. (2013). Do individual auditors affect audit quality? Evidence from archival data. The Accounting Review, 88(6), 1993-2023.</w:t>
      </w:r>
    </w:p>
    <w:p w14:paraId="2B24D9B2" w14:textId="77777777" w:rsidR="000772A9" w:rsidRPr="004D4D3A" w:rsidRDefault="000772A9" w:rsidP="00670126">
      <w:pPr>
        <w:pStyle w:val="af3"/>
        <w:numPr>
          <w:ilvl w:val="0"/>
          <w:numId w:val="1"/>
        </w:numPr>
        <w:spacing w:line="400" w:lineRule="exact"/>
        <w:ind w:leftChars="0"/>
        <w:rPr>
          <w:rFonts w:ascii="Times New Roman" w:hAnsi="Times New Roman" w:cs="Times New Roman"/>
          <w:color w:val="000000" w:themeColor="text1"/>
        </w:rPr>
      </w:pPr>
      <w:r w:rsidRPr="004D4D3A">
        <w:rPr>
          <w:rFonts w:ascii="Times New Roman" w:hAnsi="Times New Roman" w:cs="Times New Roman"/>
          <w:color w:val="000000" w:themeColor="text1"/>
        </w:rPr>
        <w:t>Habib, A., Jiang, H., &amp; Zhou, D. (2015). Related-party transactions and audit fees: Evidence from China. Journal of International Accounting Research, 14(1), 59-83.</w:t>
      </w:r>
    </w:p>
    <w:p w14:paraId="3FC053A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Haw, I. M. G., Park, K., Qi, D., &amp; Wu, W. (2003). Audit qualification and timing of earnings announcements: Evidence from China. Auditing: A Journal of Practice &amp; Theory, 22(2), 121-146.</w:t>
      </w:r>
    </w:p>
    <w:p w14:paraId="5055631D"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He, X., Pittman, J., &amp; </w:t>
      </w:r>
      <w:proofErr w:type="spellStart"/>
      <w:r w:rsidRPr="004D4D3A">
        <w:rPr>
          <w:rFonts w:ascii="Times New Roman" w:eastAsia="標楷體" w:hAnsi="Times New Roman" w:cs="Times New Roman"/>
          <w:color w:val="000000" w:themeColor="text1"/>
          <w:kern w:val="0"/>
          <w:szCs w:val="24"/>
        </w:rPr>
        <w:t>Rui</w:t>
      </w:r>
      <w:proofErr w:type="spellEnd"/>
      <w:r w:rsidRPr="004D4D3A">
        <w:rPr>
          <w:rFonts w:ascii="Times New Roman" w:eastAsia="標楷體" w:hAnsi="Times New Roman" w:cs="Times New Roman"/>
          <w:color w:val="000000" w:themeColor="text1"/>
          <w:kern w:val="0"/>
          <w:szCs w:val="24"/>
        </w:rPr>
        <w:t xml:space="preserve">, O. (2013). Reputational implications for partners after a major audit failure: Evidence from China. Journal of Business Ethics, 138(4), 702-722. </w:t>
      </w:r>
    </w:p>
    <w:p w14:paraId="76C833A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Hennes</w:t>
      </w:r>
      <w:proofErr w:type="spellEnd"/>
      <w:r w:rsidRPr="004D4D3A">
        <w:rPr>
          <w:rFonts w:ascii="Times New Roman" w:eastAsia="標楷體" w:hAnsi="Times New Roman" w:cs="Times New Roman"/>
          <w:color w:val="000000" w:themeColor="text1"/>
          <w:kern w:val="0"/>
          <w:szCs w:val="24"/>
        </w:rPr>
        <w:t xml:space="preserve">, K. M., Leone, A. J., &amp; Miller, B. P. (2014). Determinants and market consequences of auditor dismissals after accounting restatements. </w:t>
      </w:r>
      <w:r w:rsidRPr="004D4D3A">
        <w:rPr>
          <w:rFonts w:ascii="Times New Roman" w:eastAsia="標楷體" w:hAnsi="Times New Roman" w:cs="Times New Roman"/>
          <w:iCs/>
          <w:color w:val="000000" w:themeColor="text1"/>
          <w:kern w:val="0"/>
          <w:szCs w:val="24"/>
        </w:rPr>
        <w:t>The Accounting Review</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89</w:t>
      </w:r>
      <w:r w:rsidRPr="004D4D3A">
        <w:rPr>
          <w:rFonts w:ascii="Times New Roman" w:eastAsia="標楷體" w:hAnsi="Times New Roman" w:cs="Times New Roman"/>
          <w:color w:val="000000" w:themeColor="text1"/>
          <w:kern w:val="0"/>
          <w:szCs w:val="24"/>
        </w:rPr>
        <w:t>(3), 1051-1082.</w:t>
      </w:r>
    </w:p>
    <w:p w14:paraId="7971E7D3" w14:textId="77777777" w:rsidR="000772A9" w:rsidRPr="004D4D3A" w:rsidRDefault="000772A9" w:rsidP="00CC1885">
      <w:pPr>
        <w:pStyle w:val="af3"/>
        <w:numPr>
          <w:ilvl w:val="0"/>
          <w:numId w:val="1"/>
        </w:numPr>
        <w:spacing w:line="400" w:lineRule="exact"/>
        <w:ind w:leftChars="0"/>
        <w:rPr>
          <w:rFonts w:ascii="Times New Roman" w:eastAsia="標楷體" w:hAnsi="Times New Roman" w:cs="Times New Roman"/>
          <w:color w:val="000000" w:themeColor="text1"/>
          <w:szCs w:val="24"/>
        </w:rPr>
      </w:pPr>
      <w:r w:rsidRPr="004D4D3A">
        <w:rPr>
          <w:rFonts w:ascii="Times New Roman" w:eastAsia="標楷體" w:hAnsi="Times New Roman" w:cs="Times New Roman"/>
          <w:color w:val="000000" w:themeColor="text1"/>
          <w:szCs w:val="24"/>
        </w:rPr>
        <w:t>Jian, M., &amp; Wong, T. J. (2004). Earnings management and tunneling through related party transactions: Evidence from Chinese corporate groups. Working paper, Nanyang Technological University.</w:t>
      </w:r>
    </w:p>
    <w:p w14:paraId="21D79459"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Jian, M., &amp; Wong, T. J. (2010). Propping through related party transactions. </w:t>
      </w:r>
      <w:r w:rsidRPr="004D4D3A">
        <w:rPr>
          <w:rFonts w:ascii="Times New Roman" w:eastAsia="標楷體" w:hAnsi="Times New Roman" w:cs="Times New Roman"/>
          <w:iCs/>
          <w:color w:val="000000" w:themeColor="text1"/>
          <w:kern w:val="0"/>
          <w:szCs w:val="24"/>
        </w:rPr>
        <w:t>Review of Accounting Studies</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15</w:t>
      </w:r>
      <w:r w:rsidRPr="004D4D3A">
        <w:rPr>
          <w:rFonts w:ascii="Times New Roman" w:eastAsia="標楷體" w:hAnsi="Times New Roman" w:cs="Times New Roman"/>
          <w:color w:val="000000" w:themeColor="text1"/>
          <w:kern w:val="0"/>
          <w:szCs w:val="24"/>
        </w:rPr>
        <w:t>(1), 70-105.</w:t>
      </w:r>
    </w:p>
    <w:p w14:paraId="6662D63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Jiang, G., Lee, C. M., &amp; Yue, H. (2010). Tunneling through intercorporate loans: The China experience. Journal of Financial Economics, 98(1), 1-20.</w:t>
      </w:r>
    </w:p>
    <w:p w14:paraId="78C04162"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Jones, F. L. (1996). The information content of the auditor’s going concern evaluation. Journal of Accounting and Public Policy, 15(1), 1-27.</w:t>
      </w:r>
    </w:p>
    <w:p w14:paraId="02994B29"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Kang, M., Lee, H. Y., Lee, M. G., &amp; Park, J. C. (2014). The association between related-party transactions and control–ownership wedge: Evidence from Korea. </w:t>
      </w:r>
      <w:r w:rsidRPr="004D4D3A">
        <w:rPr>
          <w:rFonts w:ascii="Times New Roman" w:eastAsia="標楷體" w:hAnsi="Times New Roman" w:cs="Times New Roman"/>
          <w:iCs/>
          <w:color w:val="000000" w:themeColor="text1"/>
          <w:kern w:val="0"/>
          <w:szCs w:val="24"/>
        </w:rPr>
        <w:t>Pacific-Basin Finance Journal</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29</w:t>
      </w:r>
      <w:r w:rsidRPr="004D4D3A">
        <w:rPr>
          <w:rFonts w:ascii="Times New Roman" w:eastAsia="標楷體" w:hAnsi="Times New Roman" w:cs="Times New Roman"/>
          <w:color w:val="000000" w:themeColor="text1"/>
          <w:kern w:val="0"/>
          <w:szCs w:val="24"/>
        </w:rPr>
        <w:t>, 272-296.</w:t>
      </w:r>
    </w:p>
    <w:p w14:paraId="4DE50F6D"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lastRenderedPageBreak/>
        <w:t xml:space="preserve">Khanna, T., &amp; Palepu, K. (1997). Why focused strategies may be wrong for emerging markets. </w:t>
      </w:r>
      <w:r w:rsidRPr="004D4D3A">
        <w:rPr>
          <w:rFonts w:ascii="Times New Roman" w:eastAsia="標楷體" w:hAnsi="Times New Roman" w:cs="Times New Roman"/>
          <w:iCs/>
          <w:color w:val="000000" w:themeColor="text1"/>
          <w:kern w:val="0"/>
          <w:szCs w:val="24"/>
        </w:rPr>
        <w:t>Harvard business review</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75</w:t>
      </w:r>
      <w:r w:rsidRPr="004D4D3A">
        <w:rPr>
          <w:rFonts w:ascii="Times New Roman" w:eastAsia="標楷體" w:hAnsi="Times New Roman" w:cs="Times New Roman"/>
          <w:color w:val="000000" w:themeColor="text1"/>
          <w:kern w:val="0"/>
          <w:szCs w:val="24"/>
        </w:rPr>
        <w:t>(4), 41-48.</w:t>
      </w:r>
    </w:p>
    <w:p w14:paraId="678DB6E4"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Khanna, T., &amp; Palepu, K. (2000). Is group affiliation profitable in emerging markets? An analysis of diversified Indian business groups. </w:t>
      </w:r>
      <w:r w:rsidRPr="004D4D3A">
        <w:rPr>
          <w:rFonts w:ascii="Times New Roman" w:eastAsia="標楷體" w:hAnsi="Times New Roman" w:cs="Times New Roman"/>
          <w:iCs/>
          <w:color w:val="000000" w:themeColor="text1"/>
          <w:kern w:val="0"/>
          <w:szCs w:val="24"/>
        </w:rPr>
        <w:t>The Journal of Finance</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55</w:t>
      </w:r>
      <w:r w:rsidRPr="004D4D3A">
        <w:rPr>
          <w:rFonts w:ascii="Times New Roman" w:eastAsia="標楷體" w:hAnsi="Times New Roman" w:cs="Times New Roman"/>
          <w:color w:val="000000" w:themeColor="text1"/>
          <w:kern w:val="0"/>
          <w:szCs w:val="24"/>
        </w:rPr>
        <w:t>(2), 867-891.</w:t>
      </w:r>
    </w:p>
    <w:p w14:paraId="42AE480E"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Kohlbeck</w:t>
      </w:r>
      <w:proofErr w:type="spellEnd"/>
      <w:r w:rsidRPr="004D4D3A">
        <w:rPr>
          <w:rFonts w:ascii="Times New Roman" w:eastAsia="標楷體" w:hAnsi="Times New Roman" w:cs="Times New Roman"/>
          <w:color w:val="000000" w:themeColor="text1"/>
          <w:kern w:val="0"/>
          <w:szCs w:val="24"/>
        </w:rPr>
        <w:t xml:space="preserve">, M., &amp; Mayhew, B. W. (2010). Valuation of firms that disclose related party transactions. </w:t>
      </w:r>
      <w:r w:rsidRPr="004D4D3A">
        <w:rPr>
          <w:rFonts w:ascii="Times New Roman" w:eastAsia="標楷體" w:hAnsi="Times New Roman" w:cs="Times New Roman"/>
          <w:iCs/>
          <w:color w:val="000000" w:themeColor="text1"/>
          <w:kern w:val="0"/>
          <w:szCs w:val="24"/>
        </w:rPr>
        <w:t>Journal of Accounting and Public Policy</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29</w:t>
      </w:r>
      <w:r w:rsidRPr="004D4D3A">
        <w:rPr>
          <w:rFonts w:ascii="Times New Roman" w:eastAsia="標楷體" w:hAnsi="Times New Roman" w:cs="Times New Roman"/>
          <w:color w:val="000000" w:themeColor="text1"/>
          <w:kern w:val="0"/>
          <w:szCs w:val="24"/>
        </w:rPr>
        <w:t>(2), 115-137.</w:t>
      </w:r>
    </w:p>
    <w:p w14:paraId="330F2B4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Kohlbeck</w:t>
      </w:r>
      <w:proofErr w:type="spellEnd"/>
      <w:r w:rsidRPr="004D4D3A">
        <w:rPr>
          <w:rFonts w:ascii="Times New Roman" w:eastAsia="標楷體" w:hAnsi="Times New Roman" w:cs="Times New Roman"/>
          <w:color w:val="000000" w:themeColor="text1"/>
          <w:kern w:val="0"/>
          <w:szCs w:val="24"/>
        </w:rPr>
        <w:t>, M., &amp; Mayhew, B. W. (201</w:t>
      </w:r>
      <w:r>
        <w:rPr>
          <w:rFonts w:ascii="Times New Roman" w:eastAsia="標楷體" w:hAnsi="Times New Roman" w:cs="Times New Roman"/>
          <w:color w:val="000000" w:themeColor="text1"/>
          <w:kern w:val="0"/>
          <w:szCs w:val="24"/>
        </w:rPr>
        <w:t>7</w:t>
      </w:r>
      <w:r w:rsidRPr="004D4D3A">
        <w:rPr>
          <w:rFonts w:ascii="Times New Roman" w:eastAsia="標楷體" w:hAnsi="Times New Roman" w:cs="Times New Roman"/>
          <w:color w:val="000000" w:themeColor="text1"/>
          <w:kern w:val="0"/>
          <w:szCs w:val="24"/>
        </w:rPr>
        <w:t>). Are related party transactions red flags</w:t>
      </w:r>
      <w:proofErr w:type="gramStart"/>
      <w:r w:rsidRPr="004D4D3A">
        <w:rPr>
          <w:rFonts w:ascii="Times New Roman" w:eastAsia="標楷體" w:hAnsi="Times New Roman" w:cs="Times New Roman"/>
          <w:color w:val="000000" w:themeColor="text1"/>
          <w:kern w:val="0"/>
          <w:szCs w:val="24"/>
        </w:rPr>
        <w:t>?.</w:t>
      </w:r>
      <w:proofErr w:type="gramEnd"/>
      <w:r w:rsidRPr="004D4D3A">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color w:val="000000" w:themeColor="text1"/>
          <w:kern w:val="0"/>
          <w:szCs w:val="24"/>
        </w:rPr>
        <w:t>Contemporary Accounting Research, 34(2), 900-928.</w:t>
      </w:r>
    </w:p>
    <w:p w14:paraId="67FB6B93"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Krishnan, J. (1994). Auditor Switching and Conservatism. </w:t>
      </w:r>
      <w:r w:rsidRPr="004D4D3A">
        <w:rPr>
          <w:rFonts w:ascii="Times New Roman" w:eastAsia="標楷體" w:hAnsi="Times New Roman" w:cs="Times New Roman"/>
          <w:iCs/>
          <w:color w:val="000000" w:themeColor="text1"/>
          <w:kern w:val="0"/>
          <w:szCs w:val="24"/>
        </w:rPr>
        <w:t>The Accounting Review</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69</w:t>
      </w:r>
      <w:r w:rsidRPr="004D4D3A">
        <w:rPr>
          <w:rFonts w:ascii="Times New Roman" w:eastAsia="標楷體" w:hAnsi="Times New Roman" w:cs="Times New Roman"/>
          <w:color w:val="000000" w:themeColor="text1"/>
          <w:kern w:val="0"/>
          <w:szCs w:val="24"/>
        </w:rPr>
        <w:t>(1), 200.</w:t>
      </w:r>
    </w:p>
    <w:p w14:paraId="335AD61F"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Krishnan, J., &amp; Stephens, R. G. (1995). Evidence on opinion shopping from audit opinion conservatism. Journal of Accounting and public Policy, 14(3), 179-201.</w:t>
      </w:r>
    </w:p>
    <w:p w14:paraId="3ED5366F"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Landsman, W. R., Nelson, K. K., &amp; </w:t>
      </w:r>
      <w:proofErr w:type="spellStart"/>
      <w:r w:rsidRPr="004D4D3A">
        <w:rPr>
          <w:rFonts w:ascii="Times New Roman" w:eastAsia="標楷體" w:hAnsi="Times New Roman" w:cs="Times New Roman"/>
          <w:color w:val="000000" w:themeColor="text1"/>
          <w:kern w:val="0"/>
          <w:szCs w:val="24"/>
        </w:rPr>
        <w:t>Rountree</w:t>
      </w:r>
      <w:proofErr w:type="spellEnd"/>
      <w:r w:rsidRPr="004D4D3A">
        <w:rPr>
          <w:rFonts w:ascii="Times New Roman" w:eastAsia="標楷體" w:hAnsi="Times New Roman" w:cs="Times New Roman"/>
          <w:color w:val="000000" w:themeColor="text1"/>
          <w:kern w:val="0"/>
          <w:szCs w:val="24"/>
        </w:rPr>
        <w:t>, B. R. (2009). Auditor switches in the pre-and post-Enron eras: Risk or realignment</w:t>
      </w:r>
      <w:proofErr w:type="gramStart"/>
      <w:r w:rsidRPr="004D4D3A">
        <w:rPr>
          <w:rFonts w:ascii="Times New Roman" w:eastAsia="標楷體" w:hAnsi="Times New Roman" w:cs="Times New Roman"/>
          <w:color w:val="000000" w:themeColor="text1"/>
          <w:kern w:val="0"/>
          <w:szCs w:val="24"/>
        </w:rPr>
        <w:t>?.</w:t>
      </w:r>
      <w:proofErr w:type="gramEnd"/>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The Accounting Review</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84</w:t>
      </w:r>
      <w:r w:rsidRPr="004D4D3A">
        <w:rPr>
          <w:rFonts w:ascii="Times New Roman" w:eastAsia="標楷體" w:hAnsi="Times New Roman" w:cs="Times New Roman"/>
          <w:color w:val="000000" w:themeColor="text1"/>
          <w:kern w:val="0"/>
          <w:szCs w:val="24"/>
        </w:rPr>
        <w:t>(2), 531-558.</w:t>
      </w:r>
    </w:p>
    <w:p w14:paraId="14960BA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Lee, M. G., Kang, M., Lee, H. Y., &amp; Park, J. C. (2016). Related-party transactions and financial statement comparability: evidence from South Korea. </w:t>
      </w:r>
      <w:r w:rsidRPr="004D4D3A">
        <w:rPr>
          <w:rFonts w:ascii="Times New Roman" w:eastAsia="標楷體" w:hAnsi="Times New Roman" w:cs="Times New Roman"/>
          <w:iCs/>
          <w:color w:val="000000" w:themeColor="text1"/>
          <w:kern w:val="0"/>
          <w:szCs w:val="24"/>
        </w:rPr>
        <w:t>Asia-Pacific Journal of Accounting &amp; Economics</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23</w:t>
      </w:r>
      <w:r w:rsidRPr="004D4D3A">
        <w:rPr>
          <w:rFonts w:ascii="Times New Roman" w:eastAsia="標楷體" w:hAnsi="Times New Roman" w:cs="Times New Roman"/>
          <w:color w:val="000000" w:themeColor="text1"/>
          <w:kern w:val="0"/>
          <w:szCs w:val="24"/>
        </w:rPr>
        <w:t>(2), 224-252.</w:t>
      </w:r>
    </w:p>
    <w:p w14:paraId="5B48E804"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Lennox, C. (2000). Do companies successfully engage in opinion-shopping? Evidence from the UK. </w:t>
      </w:r>
      <w:r w:rsidRPr="004D4D3A">
        <w:rPr>
          <w:rFonts w:ascii="Times New Roman" w:eastAsia="標楷體" w:hAnsi="Times New Roman" w:cs="Times New Roman"/>
          <w:iCs/>
          <w:color w:val="000000" w:themeColor="text1"/>
          <w:kern w:val="0"/>
          <w:szCs w:val="24"/>
        </w:rPr>
        <w:t>Journal of Accounting and Economics</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29</w:t>
      </w:r>
      <w:r w:rsidRPr="004D4D3A">
        <w:rPr>
          <w:rFonts w:ascii="Times New Roman" w:eastAsia="標楷體" w:hAnsi="Times New Roman" w:cs="Times New Roman"/>
          <w:color w:val="000000" w:themeColor="text1"/>
          <w:kern w:val="0"/>
          <w:szCs w:val="24"/>
        </w:rPr>
        <w:t>(3), 321-337.</w:t>
      </w:r>
    </w:p>
    <w:p w14:paraId="16F9DB1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Lennox, C. S. (1999). Audit quality and auditor size: An evaluation of reputation and deep pockets hypotheses. Journal of Business Finance &amp; Accounting, 26(7</w:t>
      </w:r>
      <w:r w:rsidRPr="004D4D3A">
        <w:rPr>
          <w:rFonts w:ascii="Times New Roman" w:eastAsia="新細明體" w:hAnsi="Times New Roman" w:cs="Times New Roman"/>
          <w:color w:val="000000" w:themeColor="text1"/>
          <w:kern w:val="0"/>
          <w:szCs w:val="24"/>
        </w:rPr>
        <w:t>‐</w:t>
      </w:r>
      <w:r w:rsidRPr="004D4D3A">
        <w:rPr>
          <w:rFonts w:ascii="Times New Roman" w:eastAsia="標楷體" w:hAnsi="Times New Roman" w:cs="Times New Roman"/>
          <w:color w:val="000000" w:themeColor="text1"/>
          <w:kern w:val="0"/>
          <w:szCs w:val="24"/>
        </w:rPr>
        <w:t>8), 779-805.</w:t>
      </w:r>
    </w:p>
    <w:p w14:paraId="0A55C716"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Lin, Z. J., &amp; Liu, M. (2010). The determinants of auditor switching from the perspective of corporate governance in China. Advances in Accounting, 26(1), 117-127.</w:t>
      </w:r>
    </w:p>
    <w:p w14:paraId="17C35B68" w14:textId="77777777" w:rsidR="000772A9" w:rsidRPr="004D4D3A" w:rsidRDefault="000772A9" w:rsidP="00CC1885">
      <w:pPr>
        <w:pStyle w:val="af3"/>
        <w:widowControl/>
        <w:numPr>
          <w:ilvl w:val="0"/>
          <w:numId w:val="1"/>
        </w:numPr>
        <w:autoSpaceDE w:val="0"/>
        <w:autoSpaceDN w:val="0"/>
        <w:adjustRightInd w:val="0"/>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Liu, J. M., &amp; Liu, X. (2007). The empirical research on the relationship between related-party transactions and internal corporate governance of listed companies. (In Chinese). China Soft Science, (1): 79-89.</w:t>
      </w:r>
    </w:p>
    <w:p w14:paraId="3C96520A" w14:textId="77777777" w:rsidR="000772A9" w:rsidRPr="004D4D3A" w:rsidRDefault="000772A9" w:rsidP="00CC1885">
      <w:pPr>
        <w:pStyle w:val="af3"/>
        <w:widowControl/>
        <w:numPr>
          <w:ilvl w:val="0"/>
          <w:numId w:val="1"/>
        </w:numPr>
        <w:autoSpaceDE w:val="0"/>
        <w:autoSpaceDN w:val="0"/>
        <w:adjustRightInd w:val="0"/>
        <w:spacing w:line="400" w:lineRule="exact"/>
        <w:ind w:leftChars="0"/>
        <w:rPr>
          <w:rFonts w:ascii="Times New Roman" w:hAnsi="Times New Roman" w:cs="Times New Roman"/>
          <w:color w:val="000000" w:themeColor="text1"/>
          <w:kern w:val="0"/>
          <w:szCs w:val="24"/>
        </w:rPr>
      </w:pPr>
      <w:r w:rsidRPr="004D4D3A">
        <w:rPr>
          <w:rFonts w:ascii="Times New Roman" w:hAnsi="Times New Roman" w:cs="Times New Roman"/>
          <w:color w:val="000000" w:themeColor="text1"/>
          <w:kern w:val="0"/>
          <w:szCs w:val="24"/>
        </w:rPr>
        <w:t xml:space="preserve">Liu, Q. (2006). Corporate governance in China: current practices, economic effects and institutional determinants. </w:t>
      </w:r>
      <w:proofErr w:type="spellStart"/>
      <w:r w:rsidRPr="004D4D3A">
        <w:rPr>
          <w:rFonts w:ascii="Times New Roman" w:hAnsi="Times New Roman" w:cs="Times New Roman"/>
          <w:color w:val="000000" w:themeColor="text1"/>
          <w:kern w:val="0"/>
          <w:szCs w:val="24"/>
        </w:rPr>
        <w:t>CESifo</w:t>
      </w:r>
      <w:proofErr w:type="spellEnd"/>
      <w:r w:rsidRPr="004D4D3A">
        <w:rPr>
          <w:rFonts w:ascii="Times New Roman" w:hAnsi="Times New Roman" w:cs="Times New Roman"/>
          <w:color w:val="000000" w:themeColor="text1"/>
          <w:kern w:val="0"/>
          <w:szCs w:val="24"/>
        </w:rPr>
        <w:t xml:space="preserve"> Economic Studies, 52(2), 415-453.</w:t>
      </w:r>
    </w:p>
    <w:p w14:paraId="6DD61861"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sidRPr="004D4D3A">
        <w:rPr>
          <w:rFonts w:ascii="Times New Roman" w:eastAsia="新細明體" w:hAnsi="Times New Roman" w:cs="Times New Roman"/>
          <w:color w:val="000000" w:themeColor="text1"/>
          <w:kern w:val="0"/>
          <w:szCs w:val="24"/>
        </w:rPr>
        <w:t xml:space="preserve">Lo, A. W., Wong, R. M., &amp; Firth, M. (2010). Can corporate governance deter management from manipulating earnings? Evidence from related-party sales transactions in China. </w:t>
      </w:r>
      <w:r w:rsidRPr="004D4D3A">
        <w:rPr>
          <w:rFonts w:ascii="Times New Roman" w:eastAsia="新細明體" w:hAnsi="Times New Roman" w:cs="Times New Roman"/>
          <w:iCs/>
          <w:color w:val="000000" w:themeColor="text1"/>
          <w:kern w:val="0"/>
          <w:szCs w:val="24"/>
        </w:rPr>
        <w:t>Journal of Corporate Finance</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16</w:t>
      </w:r>
      <w:r w:rsidRPr="004D4D3A">
        <w:rPr>
          <w:rFonts w:ascii="Times New Roman" w:eastAsia="新細明體" w:hAnsi="Times New Roman" w:cs="Times New Roman"/>
          <w:color w:val="000000" w:themeColor="text1"/>
          <w:kern w:val="0"/>
          <w:szCs w:val="24"/>
        </w:rPr>
        <w:t>(2), 225-235.</w:t>
      </w:r>
    </w:p>
    <w:p w14:paraId="49723DC5"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Mande, V., &amp; Son, M. (2013). Do financial restatements lead to auditor changes</w:t>
      </w:r>
      <w:proofErr w:type="gramStart"/>
      <w:r w:rsidRPr="004D4D3A">
        <w:rPr>
          <w:rFonts w:ascii="Times New Roman" w:eastAsia="標楷體" w:hAnsi="Times New Roman" w:cs="Times New Roman"/>
          <w:color w:val="000000" w:themeColor="text1"/>
          <w:kern w:val="0"/>
          <w:szCs w:val="24"/>
        </w:rPr>
        <w:t>?.</w:t>
      </w:r>
      <w:proofErr w:type="gramEnd"/>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Auditing: A Journal of Practice &amp; Theory</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32</w:t>
      </w:r>
      <w:r w:rsidRPr="004D4D3A">
        <w:rPr>
          <w:rFonts w:ascii="Times New Roman" w:eastAsia="標楷體" w:hAnsi="Times New Roman" w:cs="Times New Roman"/>
          <w:color w:val="000000" w:themeColor="text1"/>
          <w:kern w:val="0"/>
          <w:szCs w:val="24"/>
        </w:rPr>
        <w:t>(2), 119-145.</w:t>
      </w:r>
    </w:p>
    <w:p w14:paraId="3EB88436" w14:textId="77777777" w:rsidR="000772A9"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Pr>
          <w:rFonts w:ascii="Times New Roman" w:eastAsia="新細明體" w:hAnsi="Times New Roman" w:cs="Times New Roman"/>
          <w:color w:val="000000" w:themeColor="text1"/>
          <w:kern w:val="0"/>
          <w:szCs w:val="24"/>
        </w:rPr>
        <w:lastRenderedPageBreak/>
        <w:t>Ministry of Finance (MOF). (2010). Auditing standards for certified public accountants no. 1323-Auditing of related party transactions. (As revised on November 1, 2010). (In Chinese). Beijing, China: MOF.</w:t>
      </w:r>
    </w:p>
    <w:p w14:paraId="47B4D6B2"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Monroe, G. S., &amp; </w:t>
      </w:r>
      <w:proofErr w:type="spellStart"/>
      <w:r w:rsidRPr="004D4D3A">
        <w:rPr>
          <w:rFonts w:ascii="Times New Roman" w:eastAsia="標楷體" w:hAnsi="Times New Roman" w:cs="Times New Roman"/>
          <w:color w:val="000000" w:themeColor="text1"/>
          <w:kern w:val="0"/>
          <w:szCs w:val="24"/>
        </w:rPr>
        <w:t>Teh</w:t>
      </w:r>
      <w:proofErr w:type="spellEnd"/>
      <w:r w:rsidRPr="004D4D3A">
        <w:rPr>
          <w:rFonts w:ascii="Times New Roman" w:eastAsia="標楷體" w:hAnsi="Times New Roman" w:cs="Times New Roman"/>
          <w:color w:val="000000" w:themeColor="text1"/>
          <w:kern w:val="0"/>
          <w:szCs w:val="24"/>
        </w:rPr>
        <w:t>, S. T. (1993). Predicting uncertainty audit qualifications in Australia using publicly available information. Accounting &amp; Finance, 33(2), 79-106.</w:t>
      </w:r>
    </w:p>
    <w:p w14:paraId="7F9D44A6" w14:textId="77777777" w:rsidR="000772A9"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proofErr w:type="spellStart"/>
      <w:r w:rsidRPr="004D4D3A">
        <w:rPr>
          <w:rFonts w:ascii="Times New Roman" w:eastAsia="新細明體" w:hAnsi="Times New Roman" w:cs="Times New Roman"/>
          <w:color w:val="000000" w:themeColor="text1"/>
          <w:kern w:val="0"/>
          <w:szCs w:val="24"/>
        </w:rPr>
        <w:t>Nekhili</w:t>
      </w:r>
      <w:proofErr w:type="spellEnd"/>
      <w:r w:rsidRPr="004D4D3A">
        <w:rPr>
          <w:rFonts w:ascii="Times New Roman" w:eastAsia="新細明體" w:hAnsi="Times New Roman" w:cs="Times New Roman"/>
          <w:color w:val="000000" w:themeColor="text1"/>
          <w:kern w:val="0"/>
          <w:szCs w:val="24"/>
        </w:rPr>
        <w:t xml:space="preserve">, M., &amp; </w:t>
      </w:r>
      <w:proofErr w:type="spellStart"/>
      <w:r w:rsidRPr="004D4D3A">
        <w:rPr>
          <w:rFonts w:ascii="Times New Roman" w:eastAsia="新細明體" w:hAnsi="Times New Roman" w:cs="Times New Roman"/>
          <w:color w:val="000000" w:themeColor="text1"/>
          <w:kern w:val="0"/>
          <w:szCs w:val="24"/>
        </w:rPr>
        <w:t>Cherif</w:t>
      </w:r>
      <w:proofErr w:type="spellEnd"/>
      <w:r w:rsidRPr="004D4D3A">
        <w:rPr>
          <w:rFonts w:ascii="Times New Roman" w:eastAsia="新細明體" w:hAnsi="Times New Roman" w:cs="Times New Roman"/>
          <w:color w:val="000000" w:themeColor="text1"/>
          <w:kern w:val="0"/>
          <w:szCs w:val="24"/>
        </w:rPr>
        <w:t xml:space="preserve">, M. (2011). Related parties transactions and firm’s market value: the French case. </w:t>
      </w:r>
      <w:r w:rsidRPr="004D4D3A">
        <w:rPr>
          <w:rFonts w:ascii="Times New Roman" w:eastAsia="新細明體" w:hAnsi="Times New Roman" w:cs="Times New Roman"/>
          <w:iCs/>
          <w:color w:val="000000" w:themeColor="text1"/>
          <w:kern w:val="0"/>
          <w:szCs w:val="24"/>
        </w:rPr>
        <w:t>Review of Accounting and Finance</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10</w:t>
      </w:r>
      <w:r w:rsidRPr="004D4D3A">
        <w:rPr>
          <w:rFonts w:ascii="Times New Roman" w:eastAsia="新細明體" w:hAnsi="Times New Roman" w:cs="Times New Roman"/>
          <w:color w:val="000000" w:themeColor="text1"/>
          <w:kern w:val="0"/>
          <w:szCs w:val="24"/>
        </w:rPr>
        <w:t>(3), 291-315.</w:t>
      </w:r>
    </w:p>
    <w:p w14:paraId="4F5F9A4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Newton, N. J., </w:t>
      </w:r>
      <w:proofErr w:type="spellStart"/>
      <w:r w:rsidRPr="004D4D3A">
        <w:rPr>
          <w:rFonts w:ascii="Times New Roman" w:eastAsia="標楷體" w:hAnsi="Times New Roman" w:cs="Times New Roman"/>
          <w:color w:val="000000" w:themeColor="text1"/>
          <w:kern w:val="0"/>
          <w:szCs w:val="24"/>
        </w:rPr>
        <w:t>Persellin</w:t>
      </w:r>
      <w:proofErr w:type="spellEnd"/>
      <w:r w:rsidRPr="004D4D3A">
        <w:rPr>
          <w:rFonts w:ascii="Times New Roman" w:eastAsia="標楷體" w:hAnsi="Times New Roman" w:cs="Times New Roman"/>
          <w:color w:val="000000" w:themeColor="text1"/>
          <w:kern w:val="0"/>
          <w:szCs w:val="24"/>
        </w:rPr>
        <w:t>, J. S., Wang, D., &amp; Wilkins, M. S. (2015). Internal control opinion shopping and audit market competition. The Accounting Review, 91(2), 603-623.</w:t>
      </w:r>
    </w:p>
    <w:p w14:paraId="21AE66F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iCs/>
          <w:color w:val="000000" w:themeColor="text1"/>
          <w:kern w:val="0"/>
          <w:szCs w:val="24"/>
        </w:rPr>
      </w:pPr>
      <w:proofErr w:type="spellStart"/>
      <w:r w:rsidRPr="004D4D3A">
        <w:rPr>
          <w:rFonts w:ascii="Times New Roman" w:eastAsia="標楷體" w:hAnsi="Times New Roman" w:cs="Times New Roman"/>
          <w:color w:val="000000" w:themeColor="text1"/>
          <w:kern w:val="0"/>
          <w:szCs w:val="24"/>
        </w:rPr>
        <w:t>Osma</w:t>
      </w:r>
      <w:proofErr w:type="spellEnd"/>
      <w:r w:rsidRPr="004D4D3A">
        <w:rPr>
          <w:rFonts w:ascii="Times New Roman" w:eastAsia="標楷體" w:hAnsi="Times New Roman" w:cs="Times New Roman"/>
          <w:color w:val="000000" w:themeColor="text1"/>
          <w:kern w:val="0"/>
          <w:szCs w:val="24"/>
        </w:rPr>
        <w:t xml:space="preserve">, B. G., de </w:t>
      </w:r>
      <w:proofErr w:type="spellStart"/>
      <w:r w:rsidRPr="004D4D3A">
        <w:rPr>
          <w:rFonts w:ascii="Times New Roman" w:eastAsia="標楷體" w:hAnsi="Times New Roman" w:cs="Times New Roman"/>
          <w:color w:val="000000" w:themeColor="text1"/>
          <w:kern w:val="0"/>
          <w:szCs w:val="24"/>
        </w:rPr>
        <w:t>Albornoz</w:t>
      </w:r>
      <w:proofErr w:type="spellEnd"/>
      <w:r w:rsidRPr="004D4D3A">
        <w:rPr>
          <w:rFonts w:ascii="Times New Roman" w:eastAsia="標楷體" w:hAnsi="Times New Roman" w:cs="Times New Roman"/>
          <w:color w:val="000000" w:themeColor="text1"/>
          <w:kern w:val="0"/>
          <w:szCs w:val="24"/>
        </w:rPr>
        <w:t xml:space="preserve"> </w:t>
      </w:r>
      <w:proofErr w:type="spellStart"/>
      <w:r w:rsidRPr="004D4D3A">
        <w:rPr>
          <w:rFonts w:ascii="Times New Roman" w:eastAsia="標楷體" w:hAnsi="Times New Roman" w:cs="Times New Roman"/>
          <w:color w:val="000000" w:themeColor="text1"/>
          <w:kern w:val="0"/>
          <w:szCs w:val="24"/>
        </w:rPr>
        <w:t>Noguer</w:t>
      </w:r>
      <w:proofErr w:type="spellEnd"/>
      <w:r w:rsidRPr="004D4D3A">
        <w:rPr>
          <w:rFonts w:ascii="Times New Roman" w:eastAsia="標楷體" w:hAnsi="Times New Roman" w:cs="Times New Roman"/>
          <w:color w:val="000000" w:themeColor="text1"/>
          <w:kern w:val="0"/>
          <w:szCs w:val="24"/>
        </w:rPr>
        <w:t xml:space="preserve">, B. G., &amp; De las Heras Cristobal, E. (2017). Opinion shopping: Firm versus Partner-level evidence. </w:t>
      </w:r>
      <w:r w:rsidRPr="004D4D3A">
        <w:rPr>
          <w:rFonts w:ascii="Times New Roman" w:eastAsia="標楷體" w:hAnsi="Times New Roman" w:cs="Times New Roman"/>
          <w:iCs/>
          <w:color w:val="000000" w:themeColor="text1"/>
          <w:kern w:val="0"/>
          <w:szCs w:val="24"/>
        </w:rPr>
        <w:t xml:space="preserve">Working paper. Universidad Carlos III de Madrid. </w:t>
      </w:r>
    </w:p>
    <w:p w14:paraId="3AAFFA8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proofErr w:type="spellStart"/>
      <w:r w:rsidRPr="004D4D3A">
        <w:rPr>
          <w:rFonts w:ascii="Times New Roman" w:eastAsia="標楷體" w:hAnsi="Times New Roman" w:cs="Times New Roman"/>
          <w:color w:val="000000" w:themeColor="text1"/>
          <w:kern w:val="0"/>
          <w:szCs w:val="24"/>
        </w:rPr>
        <w:t>Ryngaert</w:t>
      </w:r>
      <w:proofErr w:type="spellEnd"/>
      <w:r w:rsidRPr="004D4D3A">
        <w:rPr>
          <w:rFonts w:ascii="Times New Roman" w:eastAsia="標楷體" w:hAnsi="Times New Roman" w:cs="Times New Roman"/>
          <w:color w:val="000000" w:themeColor="text1"/>
          <w:kern w:val="0"/>
          <w:szCs w:val="24"/>
        </w:rPr>
        <w:t xml:space="preserve">, M., &amp; Thomas, S. (2012). Not all related party transactions (RPTs) are the same: Ex ante versus ex post RPTs. </w:t>
      </w:r>
      <w:r w:rsidRPr="004D4D3A">
        <w:rPr>
          <w:rFonts w:ascii="Times New Roman" w:eastAsia="標楷體" w:hAnsi="Times New Roman" w:cs="Times New Roman"/>
          <w:iCs/>
          <w:color w:val="000000" w:themeColor="text1"/>
          <w:kern w:val="0"/>
          <w:szCs w:val="24"/>
        </w:rPr>
        <w:t>Journal of Accounting Research</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50</w:t>
      </w:r>
      <w:r w:rsidRPr="004D4D3A">
        <w:rPr>
          <w:rFonts w:ascii="Times New Roman" w:eastAsia="標楷體" w:hAnsi="Times New Roman" w:cs="Times New Roman"/>
          <w:color w:val="000000" w:themeColor="text1"/>
          <w:kern w:val="0"/>
          <w:szCs w:val="24"/>
        </w:rPr>
        <w:t>(3), 845-882.</w:t>
      </w:r>
    </w:p>
    <w:p w14:paraId="0C2AD1C1"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Shin, H. H., &amp; Park, Y. S. (1999). Financing constraints and internal capital markets: Evidence from Korean ‘chaebols’. </w:t>
      </w:r>
      <w:r w:rsidRPr="004D4D3A">
        <w:rPr>
          <w:rFonts w:ascii="Times New Roman" w:eastAsia="標楷體" w:hAnsi="Times New Roman" w:cs="Times New Roman"/>
          <w:iCs/>
          <w:color w:val="000000" w:themeColor="text1"/>
          <w:kern w:val="0"/>
          <w:szCs w:val="24"/>
        </w:rPr>
        <w:t>Journal of Corporate Finance</w:t>
      </w:r>
      <w:r w:rsidRPr="004D4D3A">
        <w:rPr>
          <w:rFonts w:ascii="Times New Roman" w:eastAsia="標楷體" w:hAnsi="Times New Roman" w:cs="Times New Roman"/>
          <w:color w:val="000000" w:themeColor="text1"/>
          <w:kern w:val="0"/>
          <w:szCs w:val="24"/>
        </w:rPr>
        <w:t xml:space="preserve">, </w:t>
      </w:r>
      <w:r w:rsidRPr="004D4D3A">
        <w:rPr>
          <w:rFonts w:ascii="Times New Roman" w:eastAsia="標楷體" w:hAnsi="Times New Roman" w:cs="Times New Roman"/>
          <w:iCs/>
          <w:color w:val="000000" w:themeColor="text1"/>
          <w:kern w:val="0"/>
          <w:szCs w:val="24"/>
        </w:rPr>
        <w:t>5</w:t>
      </w:r>
      <w:r w:rsidRPr="004D4D3A">
        <w:rPr>
          <w:rFonts w:ascii="Times New Roman" w:eastAsia="標楷體" w:hAnsi="Times New Roman" w:cs="Times New Roman"/>
          <w:color w:val="000000" w:themeColor="text1"/>
          <w:kern w:val="0"/>
          <w:szCs w:val="24"/>
        </w:rPr>
        <w:t>(2), 169-191.</w:t>
      </w:r>
    </w:p>
    <w:p w14:paraId="61BDA23E" w14:textId="77777777" w:rsidR="000772A9" w:rsidRPr="004D4D3A" w:rsidRDefault="000772A9" w:rsidP="00CC1885">
      <w:pPr>
        <w:pStyle w:val="af3"/>
        <w:widowControl/>
        <w:numPr>
          <w:ilvl w:val="0"/>
          <w:numId w:val="1"/>
        </w:numPr>
        <w:autoSpaceDE w:val="0"/>
        <w:autoSpaceDN w:val="0"/>
        <w:adjustRightInd w:val="0"/>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 xml:space="preserve">Wang, J., &amp; Yuan, H. (2012). The impact of related party sales by listed Chinese firms on earnings </w:t>
      </w:r>
      <w:proofErr w:type="spellStart"/>
      <w:r w:rsidRPr="004D4D3A">
        <w:rPr>
          <w:rFonts w:ascii="Times New Roman" w:eastAsia="標楷體" w:hAnsi="Times New Roman" w:cs="Times New Roman"/>
          <w:color w:val="000000" w:themeColor="text1"/>
          <w:kern w:val="0"/>
          <w:szCs w:val="24"/>
        </w:rPr>
        <w:t>informativeness</w:t>
      </w:r>
      <w:proofErr w:type="spellEnd"/>
      <w:r w:rsidRPr="004D4D3A">
        <w:rPr>
          <w:rFonts w:ascii="Times New Roman" w:eastAsia="標楷體" w:hAnsi="Times New Roman" w:cs="Times New Roman"/>
          <w:color w:val="000000" w:themeColor="text1"/>
          <w:kern w:val="0"/>
          <w:szCs w:val="24"/>
        </w:rPr>
        <w:t xml:space="preserve"> and analysts’ forecasts. International Journal of Business, 17(3), 258-275.</w:t>
      </w:r>
    </w:p>
    <w:p w14:paraId="4306092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Wang, Q., Wong, T. J., &amp; Xia, L. (2008). State ownership, the institutional environment, and auditor choice: Evidence from China. Journal of Accounting and Economics, 46(1), 112-134.</w:t>
      </w:r>
    </w:p>
    <w:p w14:paraId="5999F4D5" w14:textId="77777777" w:rsidR="000772A9" w:rsidRPr="004D4D3A" w:rsidRDefault="000772A9" w:rsidP="00670126">
      <w:pPr>
        <w:pStyle w:val="af3"/>
        <w:numPr>
          <w:ilvl w:val="0"/>
          <w:numId w:val="1"/>
        </w:numPr>
        <w:spacing w:line="400" w:lineRule="exact"/>
        <w:ind w:leftChars="0"/>
        <w:rPr>
          <w:rFonts w:ascii="Times New Roman" w:hAnsi="Times New Roman" w:cs="Times New Roman"/>
          <w:color w:val="000000" w:themeColor="text1"/>
        </w:rPr>
      </w:pPr>
      <w:r w:rsidRPr="004D4D3A">
        <w:rPr>
          <w:rFonts w:ascii="Times New Roman" w:hAnsi="Times New Roman" w:cs="Times New Roman"/>
          <w:color w:val="000000" w:themeColor="text1"/>
        </w:rPr>
        <w:t>Williams, D. D. (1988). The potential determinants of auditor change. Journal of Business Finance &amp; Accounting, 15(2), 243-261.</w:t>
      </w:r>
    </w:p>
    <w:p w14:paraId="02527D27" w14:textId="77777777" w:rsidR="000772A9" w:rsidRPr="004D4D3A" w:rsidRDefault="000772A9" w:rsidP="00CC1885">
      <w:pPr>
        <w:pStyle w:val="af3"/>
        <w:widowControl/>
        <w:numPr>
          <w:ilvl w:val="0"/>
          <w:numId w:val="1"/>
        </w:numPr>
        <w:spacing w:line="400" w:lineRule="exact"/>
        <w:ind w:leftChars="0"/>
        <w:rPr>
          <w:rFonts w:ascii="Times New Roman" w:eastAsia="標楷體" w:hAnsi="Times New Roman" w:cs="Times New Roman"/>
          <w:color w:val="000000" w:themeColor="text1"/>
          <w:kern w:val="0"/>
          <w:szCs w:val="24"/>
        </w:rPr>
      </w:pPr>
      <w:r w:rsidRPr="004D4D3A">
        <w:rPr>
          <w:rFonts w:ascii="Times New Roman" w:eastAsia="標楷體" w:hAnsi="Times New Roman" w:cs="Times New Roman"/>
          <w:color w:val="000000" w:themeColor="text1"/>
          <w:kern w:val="0"/>
          <w:szCs w:val="24"/>
        </w:rPr>
        <w:t>Wong, R. M., Kim, J. B., &amp; Lo, A. W. (2015). Are Related</w:t>
      </w:r>
      <w:r w:rsidRPr="004D4D3A">
        <w:rPr>
          <w:rFonts w:ascii="Times New Roman" w:eastAsia="新細明體" w:hAnsi="Times New Roman" w:cs="Times New Roman"/>
          <w:color w:val="000000" w:themeColor="text1"/>
          <w:kern w:val="0"/>
          <w:szCs w:val="24"/>
        </w:rPr>
        <w:t>‐</w:t>
      </w:r>
      <w:r w:rsidRPr="004D4D3A">
        <w:rPr>
          <w:rFonts w:ascii="Times New Roman" w:eastAsia="標楷體" w:hAnsi="Times New Roman" w:cs="Times New Roman"/>
          <w:color w:val="000000" w:themeColor="text1"/>
          <w:kern w:val="0"/>
          <w:szCs w:val="24"/>
        </w:rPr>
        <w:t>Party Sales Value</w:t>
      </w:r>
      <w:r w:rsidRPr="004D4D3A">
        <w:rPr>
          <w:rFonts w:ascii="Times New Roman" w:eastAsia="新細明體" w:hAnsi="Times New Roman" w:cs="Times New Roman"/>
          <w:color w:val="000000" w:themeColor="text1"/>
          <w:kern w:val="0"/>
          <w:szCs w:val="24"/>
        </w:rPr>
        <w:t>‐</w:t>
      </w:r>
      <w:r w:rsidRPr="004D4D3A">
        <w:rPr>
          <w:rFonts w:ascii="Times New Roman" w:eastAsia="標楷體" w:hAnsi="Times New Roman" w:cs="Times New Roman"/>
          <w:color w:val="000000" w:themeColor="text1"/>
          <w:kern w:val="0"/>
          <w:szCs w:val="24"/>
        </w:rPr>
        <w:t>Adding or Value</w:t>
      </w:r>
      <w:r w:rsidRPr="004D4D3A">
        <w:rPr>
          <w:rFonts w:ascii="Times New Roman" w:eastAsia="新細明體" w:hAnsi="Times New Roman" w:cs="Times New Roman"/>
          <w:color w:val="000000" w:themeColor="text1"/>
          <w:kern w:val="0"/>
          <w:szCs w:val="24"/>
        </w:rPr>
        <w:t>‐</w:t>
      </w:r>
      <w:r w:rsidRPr="004D4D3A">
        <w:rPr>
          <w:rFonts w:ascii="Times New Roman" w:eastAsia="標楷體" w:hAnsi="Times New Roman" w:cs="Times New Roman"/>
          <w:color w:val="000000" w:themeColor="text1"/>
          <w:kern w:val="0"/>
          <w:szCs w:val="24"/>
        </w:rPr>
        <w:t>Destroying? Evidence from China. Journal of International Financial Management &amp; Accounting, 26(1), 1-38.</w:t>
      </w:r>
    </w:p>
    <w:p w14:paraId="3197F89E" w14:textId="77777777" w:rsidR="000772A9" w:rsidRPr="004D4D3A" w:rsidRDefault="000772A9" w:rsidP="00CC1885">
      <w:pPr>
        <w:pStyle w:val="af3"/>
        <w:widowControl/>
        <w:numPr>
          <w:ilvl w:val="0"/>
          <w:numId w:val="1"/>
        </w:numPr>
        <w:spacing w:line="400" w:lineRule="exact"/>
        <w:ind w:leftChars="0"/>
        <w:rPr>
          <w:rFonts w:ascii="Times New Roman" w:hAnsi="Times New Roman" w:cs="Times New Roman"/>
          <w:color w:val="000000" w:themeColor="text1"/>
          <w:szCs w:val="24"/>
        </w:rPr>
      </w:pPr>
      <w:r w:rsidRPr="004D4D3A">
        <w:rPr>
          <w:rFonts w:ascii="Times New Roman" w:eastAsia="標楷體" w:hAnsi="Times New Roman" w:cs="Times New Roman"/>
          <w:color w:val="000000" w:themeColor="text1"/>
          <w:kern w:val="0"/>
          <w:szCs w:val="24"/>
        </w:rPr>
        <w:t>Yang, Z. (2013). Do political connections add value to audit firms? Evidence from IPO audits in China. Contemporary Accounting Research, 30(3), 891-921.</w:t>
      </w:r>
      <w:r w:rsidRPr="004D4D3A">
        <w:rPr>
          <w:rFonts w:ascii="Times New Roman" w:hAnsi="Times New Roman" w:cs="Times New Roman"/>
          <w:color w:val="000000" w:themeColor="text1"/>
          <w:szCs w:val="24"/>
        </w:rPr>
        <w:t xml:space="preserve"> </w:t>
      </w:r>
    </w:p>
    <w:p w14:paraId="2E2988C3" w14:textId="77777777" w:rsidR="000772A9" w:rsidRPr="004D4D3A" w:rsidRDefault="000772A9" w:rsidP="00CC1885">
      <w:pPr>
        <w:pStyle w:val="af3"/>
        <w:widowControl/>
        <w:numPr>
          <w:ilvl w:val="0"/>
          <w:numId w:val="1"/>
        </w:numPr>
        <w:spacing w:line="400" w:lineRule="exact"/>
        <w:ind w:leftChars="0"/>
        <w:rPr>
          <w:rFonts w:ascii="Times New Roman" w:eastAsia="新細明體" w:hAnsi="Times New Roman" w:cs="Times New Roman"/>
          <w:color w:val="000000" w:themeColor="text1"/>
          <w:kern w:val="0"/>
          <w:szCs w:val="24"/>
        </w:rPr>
      </w:pPr>
      <w:r w:rsidRPr="004D4D3A">
        <w:rPr>
          <w:rFonts w:ascii="Times New Roman" w:eastAsia="新細明體" w:hAnsi="Times New Roman" w:cs="Times New Roman"/>
          <w:color w:val="000000" w:themeColor="text1"/>
          <w:kern w:val="0"/>
          <w:szCs w:val="24"/>
        </w:rPr>
        <w:t xml:space="preserve">Zhu, Y., &amp; Zhu, X. (2012). Impact of the Share Structure Reform on the Role of Operating Related Party Transactions in China. </w:t>
      </w:r>
      <w:r w:rsidRPr="004D4D3A">
        <w:rPr>
          <w:rFonts w:ascii="Times New Roman" w:eastAsia="新細明體" w:hAnsi="Times New Roman" w:cs="Times New Roman"/>
          <w:iCs/>
          <w:color w:val="000000" w:themeColor="text1"/>
          <w:kern w:val="0"/>
          <w:szCs w:val="24"/>
        </w:rPr>
        <w:t>Emerging Markets Finance and Trade</w:t>
      </w:r>
      <w:r w:rsidRPr="004D4D3A">
        <w:rPr>
          <w:rFonts w:ascii="Times New Roman" w:eastAsia="新細明體" w:hAnsi="Times New Roman" w:cs="Times New Roman"/>
          <w:color w:val="000000" w:themeColor="text1"/>
          <w:kern w:val="0"/>
          <w:szCs w:val="24"/>
        </w:rPr>
        <w:t xml:space="preserve">, </w:t>
      </w:r>
      <w:r w:rsidRPr="004D4D3A">
        <w:rPr>
          <w:rFonts w:ascii="Times New Roman" w:eastAsia="新細明體" w:hAnsi="Times New Roman" w:cs="Times New Roman"/>
          <w:iCs/>
          <w:color w:val="000000" w:themeColor="text1"/>
          <w:kern w:val="0"/>
          <w:szCs w:val="24"/>
        </w:rPr>
        <w:t>48</w:t>
      </w:r>
      <w:r w:rsidRPr="004D4D3A">
        <w:rPr>
          <w:rFonts w:ascii="Times New Roman" w:eastAsia="新細明體" w:hAnsi="Times New Roman" w:cs="Times New Roman"/>
          <w:color w:val="000000" w:themeColor="text1"/>
          <w:kern w:val="0"/>
          <w:szCs w:val="24"/>
        </w:rPr>
        <w:t>(6), 73-94.</w:t>
      </w:r>
    </w:p>
    <w:p w14:paraId="185B2569" w14:textId="10D6EC00" w:rsidR="00E966CB" w:rsidRPr="004D4D3A" w:rsidRDefault="00E966CB" w:rsidP="00CC1885">
      <w:pPr>
        <w:spacing w:line="400" w:lineRule="exact"/>
        <w:rPr>
          <w:rFonts w:ascii="Times New Roman" w:eastAsia="標楷體" w:hAnsi="Times New Roman" w:cs="Times New Roman"/>
          <w:color w:val="000000" w:themeColor="text1"/>
        </w:rPr>
      </w:pPr>
      <w:r w:rsidRPr="004D4D3A">
        <w:rPr>
          <w:rFonts w:ascii="Times New Roman" w:eastAsia="標楷體" w:hAnsi="Times New Roman" w:cs="Times New Roman"/>
          <w:color w:val="000000" w:themeColor="text1"/>
        </w:rPr>
        <w:br w:type="page"/>
      </w:r>
    </w:p>
    <w:p w14:paraId="202879D1" w14:textId="77777777" w:rsidR="00CC1885" w:rsidRPr="004D4D3A" w:rsidRDefault="00CC1885" w:rsidP="00CC1885">
      <w:pPr>
        <w:spacing w:line="400" w:lineRule="exact"/>
        <w:rPr>
          <w:rFonts w:ascii="Times New Roman" w:eastAsia="標楷體" w:hAnsi="Times New Roman" w:cs="Times New Roman"/>
          <w:color w:val="000000" w:themeColor="text1"/>
        </w:rPr>
      </w:pPr>
    </w:p>
    <w:p w14:paraId="23DAEE21" w14:textId="77777777" w:rsidR="00081DF7" w:rsidRPr="004D4D3A" w:rsidRDefault="00081DF7" w:rsidP="00081DF7">
      <w:pPr>
        <w:rPr>
          <w:rFonts w:ascii="Times New Roman" w:hAnsi="Times New Roman" w:cs="Times New Roman"/>
          <w:color w:val="000000" w:themeColor="text1"/>
        </w:rPr>
      </w:pPr>
    </w:p>
    <w:p w14:paraId="20EE37DD" w14:textId="41DDA91D"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1 Sample selection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5718"/>
        <w:gridCol w:w="2642"/>
      </w:tblGrid>
      <w:tr w:rsidR="004D4D3A" w:rsidRPr="004D4D3A" w14:paraId="195879C7" w14:textId="77777777" w:rsidTr="00047F8D">
        <w:tc>
          <w:tcPr>
            <w:tcW w:w="6374" w:type="dxa"/>
            <w:gridSpan w:val="2"/>
            <w:tcBorders>
              <w:top w:val="single" w:sz="4" w:space="0" w:color="auto"/>
              <w:bottom w:val="single" w:sz="4" w:space="0" w:color="auto"/>
            </w:tcBorders>
          </w:tcPr>
          <w:p w14:paraId="6DE1E4E3" w14:textId="77777777" w:rsidR="00081DF7" w:rsidRPr="004D4D3A" w:rsidRDefault="00081DF7" w:rsidP="00047F8D">
            <w:pPr>
              <w:spacing w:line="280" w:lineRule="exact"/>
              <w:rPr>
                <w:rFonts w:ascii="Times New Roman" w:eastAsia="標楷體" w:hAnsi="Times New Roman" w:cs="Times New Roman"/>
                <w:b/>
                <w:color w:val="000000" w:themeColor="text1"/>
                <w:sz w:val="20"/>
                <w:szCs w:val="20"/>
              </w:rPr>
            </w:pPr>
          </w:p>
        </w:tc>
        <w:tc>
          <w:tcPr>
            <w:tcW w:w="2642" w:type="dxa"/>
            <w:tcBorders>
              <w:top w:val="single" w:sz="4" w:space="0" w:color="auto"/>
              <w:bottom w:val="single" w:sz="4" w:space="0" w:color="auto"/>
            </w:tcBorders>
          </w:tcPr>
          <w:p w14:paraId="0E16BCDF" w14:textId="77777777" w:rsidR="00081DF7" w:rsidRPr="004D4D3A" w:rsidRDefault="00081DF7" w:rsidP="00047F8D">
            <w:pPr>
              <w:spacing w:line="280" w:lineRule="exact"/>
              <w:jc w:val="center"/>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Firm-years observations</w:t>
            </w:r>
          </w:p>
        </w:tc>
      </w:tr>
      <w:tr w:rsidR="004D4D3A" w:rsidRPr="004D4D3A" w14:paraId="29EFE17C" w14:textId="77777777" w:rsidTr="00047F8D">
        <w:tc>
          <w:tcPr>
            <w:tcW w:w="6374" w:type="dxa"/>
            <w:gridSpan w:val="2"/>
            <w:tcBorders>
              <w:top w:val="single" w:sz="4" w:space="0" w:color="auto"/>
            </w:tcBorders>
          </w:tcPr>
          <w:p w14:paraId="724474B2"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lang w:eastAsia="zh-HK"/>
              </w:rPr>
              <w:t>A-share firms in Shanghai and Shenzhen Stock Exchanges from 2002 to 2015</w:t>
            </w:r>
          </w:p>
        </w:tc>
        <w:tc>
          <w:tcPr>
            <w:tcW w:w="2642" w:type="dxa"/>
            <w:tcBorders>
              <w:top w:val="single" w:sz="4" w:space="0" w:color="auto"/>
            </w:tcBorders>
          </w:tcPr>
          <w:p w14:paraId="473DD3B7" w14:textId="77777777" w:rsidR="00081DF7" w:rsidRPr="004D4D3A" w:rsidRDefault="00081DF7" w:rsidP="00047F8D">
            <w:pPr>
              <w:tabs>
                <w:tab w:val="decimal" w:pos="1593"/>
              </w:tabs>
              <w:spacing w:line="280" w:lineRule="exact"/>
              <w:ind w:right="240"/>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24,218</w:t>
            </w:r>
          </w:p>
        </w:tc>
      </w:tr>
      <w:tr w:rsidR="004D4D3A" w:rsidRPr="004D4D3A" w14:paraId="51AF0037" w14:textId="77777777" w:rsidTr="00047F8D">
        <w:tc>
          <w:tcPr>
            <w:tcW w:w="656" w:type="dxa"/>
          </w:tcPr>
          <w:p w14:paraId="72AA08E4"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00241189"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Financial institutions</w:t>
            </w:r>
          </w:p>
        </w:tc>
        <w:tc>
          <w:tcPr>
            <w:tcW w:w="2642" w:type="dxa"/>
          </w:tcPr>
          <w:p w14:paraId="02C16E3E"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581</w:t>
            </w:r>
          </w:p>
        </w:tc>
      </w:tr>
      <w:tr w:rsidR="004D4D3A" w:rsidRPr="004D4D3A" w14:paraId="2DC5DC9C" w14:textId="77777777" w:rsidTr="00047F8D">
        <w:tc>
          <w:tcPr>
            <w:tcW w:w="656" w:type="dxa"/>
          </w:tcPr>
          <w:p w14:paraId="41A80EF7"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67530134"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First year IPO firms</w:t>
            </w:r>
          </w:p>
        </w:tc>
        <w:tc>
          <w:tcPr>
            <w:tcW w:w="2642" w:type="dxa"/>
          </w:tcPr>
          <w:p w14:paraId="7662222C"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1,229</w:t>
            </w:r>
          </w:p>
        </w:tc>
      </w:tr>
      <w:tr w:rsidR="004D4D3A" w:rsidRPr="004D4D3A" w14:paraId="0FBA5DE5" w14:textId="77777777" w:rsidTr="00047F8D">
        <w:tc>
          <w:tcPr>
            <w:tcW w:w="656" w:type="dxa"/>
          </w:tcPr>
          <w:p w14:paraId="1AAD126F"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7CA8E3EB" w14:textId="77777777" w:rsidR="00081DF7" w:rsidRPr="004D4D3A" w:rsidRDefault="00081DF7" w:rsidP="00047F8D">
            <w:pPr>
              <w:autoSpaceDE w:val="0"/>
              <w:autoSpaceDN w:val="0"/>
              <w:adjustRightInd w:val="0"/>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Firms-years with missing values on audit partner identities and control variables</w:t>
            </w:r>
          </w:p>
        </w:tc>
        <w:tc>
          <w:tcPr>
            <w:tcW w:w="2642" w:type="dxa"/>
          </w:tcPr>
          <w:p w14:paraId="763CA607"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3,891</w:t>
            </w:r>
          </w:p>
        </w:tc>
      </w:tr>
      <w:tr w:rsidR="004D4D3A" w:rsidRPr="004D4D3A" w14:paraId="2B0AE355" w14:textId="77777777" w:rsidTr="00047F8D">
        <w:tc>
          <w:tcPr>
            <w:tcW w:w="656" w:type="dxa"/>
          </w:tcPr>
          <w:p w14:paraId="7BB0DDB3"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4B360F1E" w14:textId="77777777" w:rsidR="00081DF7" w:rsidRPr="004D4D3A" w:rsidRDefault="00081DF7" w:rsidP="00047F8D">
            <w:pPr>
              <w:autoSpaceDE w:val="0"/>
              <w:autoSpaceDN w:val="0"/>
              <w:adjustRightInd w:val="0"/>
              <w:spacing w:line="28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t>Firm-years with signatory auditors who are not audit partners</w:t>
            </w:r>
          </w:p>
        </w:tc>
        <w:tc>
          <w:tcPr>
            <w:tcW w:w="2642" w:type="dxa"/>
          </w:tcPr>
          <w:p w14:paraId="73EECBBC"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3,221</w:t>
            </w:r>
          </w:p>
        </w:tc>
      </w:tr>
      <w:tr w:rsidR="004D4D3A" w:rsidRPr="004D4D3A" w14:paraId="0D1BFF76" w14:textId="77777777" w:rsidTr="00047F8D">
        <w:tc>
          <w:tcPr>
            <w:tcW w:w="656" w:type="dxa"/>
          </w:tcPr>
          <w:p w14:paraId="5BC00D6B"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71CF9E08"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Firm-years involving audit firm switches</w:t>
            </w:r>
          </w:p>
        </w:tc>
        <w:tc>
          <w:tcPr>
            <w:tcW w:w="2642" w:type="dxa"/>
          </w:tcPr>
          <w:p w14:paraId="44EE82C8"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860</w:t>
            </w:r>
          </w:p>
        </w:tc>
      </w:tr>
      <w:tr w:rsidR="004D4D3A" w:rsidRPr="004D4D3A" w14:paraId="534F392D" w14:textId="77777777" w:rsidTr="00047F8D">
        <w:tc>
          <w:tcPr>
            <w:tcW w:w="656" w:type="dxa"/>
          </w:tcPr>
          <w:p w14:paraId="06240C51"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2FF9269D" w14:textId="77777777" w:rsidR="00081DF7" w:rsidRPr="004D4D3A" w:rsidRDefault="00081DF7" w:rsidP="00047F8D">
            <w:pPr>
              <w:autoSpaceDE w:val="0"/>
              <w:autoSpaceDN w:val="0"/>
              <w:adjustRightInd w:val="0"/>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Firm-years with partner switches owing to mandatory audit partner rotation</w:t>
            </w:r>
          </w:p>
        </w:tc>
        <w:tc>
          <w:tcPr>
            <w:tcW w:w="2642" w:type="dxa"/>
          </w:tcPr>
          <w:p w14:paraId="044B2ECE"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96</w:t>
            </w:r>
          </w:p>
        </w:tc>
      </w:tr>
      <w:tr w:rsidR="004D4D3A" w:rsidRPr="004D4D3A" w14:paraId="013C977A" w14:textId="77777777" w:rsidTr="00047F8D">
        <w:tc>
          <w:tcPr>
            <w:tcW w:w="656" w:type="dxa"/>
          </w:tcPr>
          <w:p w14:paraId="215150DC"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4797D5C6" w14:textId="77777777" w:rsidR="00081DF7" w:rsidRPr="004D4D3A" w:rsidRDefault="00081DF7" w:rsidP="00047F8D">
            <w:pPr>
              <w:autoSpaceDE w:val="0"/>
              <w:autoSpaceDN w:val="0"/>
              <w:adjustRightInd w:val="0"/>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Firm-years with partner switches owing to audit partners reaching the retirement age</w:t>
            </w:r>
          </w:p>
        </w:tc>
        <w:tc>
          <w:tcPr>
            <w:tcW w:w="2642" w:type="dxa"/>
          </w:tcPr>
          <w:p w14:paraId="26F0DC35"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20</w:t>
            </w:r>
          </w:p>
        </w:tc>
      </w:tr>
      <w:tr w:rsidR="004D4D3A" w:rsidRPr="004D4D3A" w14:paraId="5426A7C3" w14:textId="77777777" w:rsidTr="00047F8D">
        <w:tc>
          <w:tcPr>
            <w:tcW w:w="656" w:type="dxa"/>
          </w:tcPr>
          <w:p w14:paraId="0C8BDBF8"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6C8278DB" w14:textId="77777777" w:rsidR="00081DF7" w:rsidRPr="004D4D3A" w:rsidRDefault="00081DF7" w:rsidP="00047F8D">
            <w:pPr>
              <w:autoSpaceDE w:val="0"/>
              <w:autoSpaceDN w:val="0"/>
              <w:adjustRightInd w:val="0"/>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Firm-years with partner switches owing to audit partners changing to another audit firm</w:t>
            </w:r>
          </w:p>
        </w:tc>
        <w:tc>
          <w:tcPr>
            <w:tcW w:w="2642" w:type="dxa"/>
          </w:tcPr>
          <w:p w14:paraId="64636500"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287</w:t>
            </w:r>
          </w:p>
        </w:tc>
      </w:tr>
      <w:tr w:rsidR="004D4D3A" w:rsidRPr="004D4D3A" w14:paraId="428CE5CF" w14:textId="77777777" w:rsidTr="00047F8D">
        <w:tc>
          <w:tcPr>
            <w:tcW w:w="656" w:type="dxa"/>
          </w:tcPr>
          <w:p w14:paraId="69FEB9DB"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6C2CF47A" w14:textId="10C8547E" w:rsidR="00081DF7" w:rsidRPr="004D4D3A" w:rsidRDefault="00081DF7">
            <w:pPr>
              <w:autoSpaceDE w:val="0"/>
              <w:autoSpaceDN w:val="0"/>
              <w:adjustRightInd w:val="0"/>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 xml:space="preserve">Firm-years with partner switches owing to audit partners suspending or </w:t>
            </w:r>
            <w:r w:rsidR="00235A2A">
              <w:rPr>
                <w:rFonts w:ascii="Times New Roman" w:hAnsi="Times New Roman" w:cs="Times New Roman"/>
                <w:color w:val="000000" w:themeColor="text1"/>
                <w:kern w:val="0"/>
                <w:sz w:val="20"/>
                <w:szCs w:val="20"/>
              </w:rPr>
              <w:t>terminating</w:t>
            </w:r>
            <w:r w:rsidRPr="004D4D3A">
              <w:rPr>
                <w:rFonts w:ascii="Times New Roman" w:hAnsi="Times New Roman" w:cs="Times New Roman"/>
                <w:color w:val="000000" w:themeColor="text1"/>
                <w:kern w:val="0"/>
                <w:sz w:val="20"/>
                <w:szCs w:val="20"/>
              </w:rPr>
              <w:t xml:space="preserve"> audit service</w:t>
            </w:r>
          </w:p>
        </w:tc>
        <w:tc>
          <w:tcPr>
            <w:tcW w:w="2642" w:type="dxa"/>
          </w:tcPr>
          <w:p w14:paraId="13ABD812"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47</w:t>
            </w:r>
          </w:p>
        </w:tc>
      </w:tr>
      <w:tr w:rsidR="004D4D3A" w:rsidRPr="004D4D3A" w14:paraId="7680AA56" w14:textId="77777777" w:rsidTr="00047F8D">
        <w:tc>
          <w:tcPr>
            <w:tcW w:w="656" w:type="dxa"/>
          </w:tcPr>
          <w:p w14:paraId="325903AD"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Less:</w:t>
            </w:r>
          </w:p>
        </w:tc>
        <w:tc>
          <w:tcPr>
            <w:tcW w:w="5718" w:type="dxa"/>
          </w:tcPr>
          <w:p w14:paraId="1BEED6A5"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hAnsi="Times New Roman" w:cs="Times New Roman"/>
                <w:color w:val="000000" w:themeColor="text1"/>
                <w:kern w:val="0"/>
                <w:sz w:val="20"/>
                <w:szCs w:val="20"/>
              </w:rPr>
              <w:t>Firm-years involving temporary partner switches</w:t>
            </w:r>
          </w:p>
        </w:tc>
        <w:tc>
          <w:tcPr>
            <w:tcW w:w="2642" w:type="dxa"/>
          </w:tcPr>
          <w:p w14:paraId="34AD46C4"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1,159</w:t>
            </w:r>
          </w:p>
        </w:tc>
      </w:tr>
      <w:tr w:rsidR="00081DF7" w:rsidRPr="004D4D3A" w14:paraId="6C659F7A" w14:textId="77777777" w:rsidTr="00047F8D">
        <w:tc>
          <w:tcPr>
            <w:tcW w:w="6374" w:type="dxa"/>
            <w:gridSpan w:val="2"/>
            <w:tcBorders>
              <w:bottom w:val="single" w:sz="4" w:space="0" w:color="auto"/>
            </w:tcBorders>
          </w:tcPr>
          <w:p w14:paraId="41139CFA" w14:textId="77777777" w:rsidR="00081DF7" w:rsidRPr="004D4D3A" w:rsidRDefault="00081DF7" w:rsidP="00047F8D">
            <w:pPr>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Final sample</w:t>
            </w:r>
          </w:p>
        </w:tc>
        <w:tc>
          <w:tcPr>
            <w:tcW w:w="2642" w:type="dxa"/>
            <w:tcBorders>
              <w:bottom w:val="single" w:sz="4" w:space="0" w:color="auto"/>
            </w:tcBorders>
          </w:tcPr>
          <w:p w14:paraId="287A06DA" w14:textId="77777777" w:rsidR="00081DF7" w:rsidRPr="004D4D3A" w:rsidRDefault="00081DF7" w:rsidP="00047F8D">
            <w:pPr>
              <w:tabs>
                <w:tab w:val="decimal" w:pos="1593"/>
              </w:tabs>
              <w:spacing w:line="280" w:lineRule="exact"/>
              <w:rPr>
                <w:rFonts w:ascii="Times New Roman" w:eastAsia="標楷體"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t>12,827</w:t>
            </w:r>
          </w:p>
        </w:tc>
      </w:tr>
    </w:tbl>
    <w:p w14:paraId="11A3F3B3" w14:textId="77777777" w:rsidR="00081DF7" w:rsidRPr="004D4D3A" w:rsidRDefault="00081DF7" w:rsidP="00081DF7">
      <w:pPr>
        <w:rPr>
          <w:rFonts w:ascii="Times New Roman" w:hAnsi="Times New Roman" w:cs="Times New Roman"/>
          <w:color w:val="000000" w:themeColor="text1"/>
        </w:rPr>
      </w:pPr>
    </w:p>
    <w:p w14:paraId="59C8CE8D" w14:textId="77777777" w:rsidR="00081DF7" w:rsidRPr="004D4D3A" w:rsidRDefault="00081DF7" w:rsidP="00081DF7">
      <w:pPr>
        <w:rPr>
          <w:rFonts w:ascii="Times New Roman" w:hAnsi="Times New Roman" w:cs="Times New Roman"/>
          <w:color w:val="000000" w:themeColor="text1"/>
        </w:rPr>
      </w:pPr>
    </w:p>
    <w:p w14:paraId="07A8DDBA" w14:textId="77777777" w:rsidR="00081DF7" w:rsidRPr="004D4D3A" w:rsidRDefault="00081DF7" w:rsidP="00081DF7">
      <w:pPr>
        <w:rPr>
          <w:rFonts w:ascii="Times New Roman" w:hAnsi="Times New Roman" w:cs="Times New Roman"/>
          <w:color w:val="000000" w:themeColor="text1"/>
        </w:rPr>
      </w:pPr>
    </w:p>
    <w:p w14:paraId="744EEEA0" w14:textId="77777777"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br w:type="page"/>
      </w:r>
    </w:p>
    <w:p w14:paraId="132569F6" w14:textId="77777777" w:rsidR="00081DF7" w:rsidRPr="004D4D3A" w:rsidRDefault="00081DF7" w:rsidP="00081DF7">
      <w:pPr>
        <w:rPr>
          <w:rFonts w:ascii="Times New Roman" w:hAnsi="Times New Roman" w:cs="Times New Roman"/>
          <w:color w:val="000000" w:themeColor="text1"/>
        </w:rPr>
      </w:pPr>
    </w:p>
    <w:p w14:paraId="1D5EC355" w14:textId="75C2173A"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2 Descriptive statistics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455"/>
        <w:gridCol w:w="1456"/>
        <w:gridCol w:w="1456"/>
        <w:gridCol w:w="1456"/>
        <w:gridCol w:w="1456"/>
      </w:tblGrid>
      <w:tr w:rsidR="004D4D3A" w:rsidRPr="004D4D3A" w14:paraId="47D8565C" w14:textId="77777777" w:rsidTr="00047F8D">
        <w:tc>
          <w:tcPr>
            <w:tcW w:w="1737" w:type="dxa"/>
            <w:tcBorders>
              <w:top w:val="single" w:sz="4" w:space="0" w:color="auto"/>
              <w:bottom w:val="single" w:sz="4" w:space="0" w:color="auto"/>
            </w:tcBorders>
            <w:vAlign w:val="bottom"/>
          </w:tcPr>
          <w:p w14:paraId="577859DC"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1455" w:type="dxa"/>
            <w:tcBorders>
              <w:top w:val="single" w:sz="4" w:space="0" w:color="auto"/>
              <w:bottom w:val="single" w:sz="4" w:space="0" w:color="auto"/>
            </w:tcBorders>
            <w:vAlign w:val="bottom"/>
          </w:tcPr>
          <w:p w14:paraId="3F1C3FC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Mean</w:t>
            </w:r>
          </w:p>
        </w:tc>
        <w:tc>
          <w:tcPr>
            <w:tcW w:w="1456" w:type="dxa"/>
            <w:tcBorders>
              <w:top w:val="single" w:sz="4" w:space="0" w:color="auto"/>
              <w:bottom w:val="single" w:sz="4" w:space="0" w:color="auto"/>
            </w:tcBorders>
            <w:vAlign w:val="bottom"/>
          </w:tcPr>
          <w:p w14:paraId="39C7ED5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Standard deviation</w:t>
            </w:r>
          </w:p>
        </w:tc>
        <w:tc>
          <w:tcPr>
            <w:tcW w:w="1456" w:type="dxa"/>
            <w:tcBorders>
              <w:top w:val="single" w:sz="4" w:space="0" w:color="auto"/>
              <w:bottom w:val="single" w:sz="4" w:space="0" w:color="auto"/>
            </w:tcBorders>
            <w:vAlign w:val="bottom"/>
          </w:tcPr>
          <w:p w14:paraId="45E81A76"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25th percentile</w:t>
            </w:r>
          </w:p>
        </w:tc>
        <w:tc>
          <w:tcPr>
            <w:tcW w:w="1456" w:type="dxa"/>
            <w:tcBorders>
              <w:top w:val="single" w:sz="4" w:space="0" w:color="auto"/>
              <w:bottom w:val="single" w:sz="4" w:space="0" w:color="auto"/>
            </w:tcBorders>
            <w:vAlign w:val="bottom"/>
          </w:tcPr>
          <w:p w14:paraId="744BF92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Median</w:t>
            </w:r>
          </w:p>
        </w:tc>
        <w:tc>
          <w:tcPr>
            <w:tcW w:w="1456" w:type="dxa"/>
            <w:tcBorders>
              <w:top w:val="single" w:sz="4" w:space="0" w:color="auto"/>
              <w:bottom w:val="single" w:sz="4" w:space="0" w:color="auto"/>
            </w:tcBorders>
            <w:vAlign w:val="bottom"/>
          </w:tcPr>
          <w:p w14:paraId="21A1662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75th percentile</w:t>
            </w:r>
          </w:p>
        </w:tc>
      </w:tr>
      <w:tr w:rsidR="004D4D3A" w:rsidRPr="004D4D3A" w14:paraId="08A21DFF" w14:textId="77777777" w:rsidTr="00047F8D">
        <w:tc>
          <w:tcPr>
            <w:tcW w:w="1737" w:type="dxa"/>
            <w:tcBorders>
              <w:top w:val="single" w:sz="4" w:space="0" w:color="auto"/>
            </w:tcBorders>
          </w:tcPr>
          <w:p w14:paraId="5175D4B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PSWITCH</w:t>
            </w:r>
          </w:p>
        </w:tc>
        <w:tc>
          <w:tcPr>
            <w:tcW w:w="1455" w:type="dxa"/>
            <w:tcBorders>
              <w:top w:val="single" w:sz="4" w:space="0" w:color="auto"/>
            </w:tcBorders>
          </w:tcPr>
          <w:p w14:paraId="306F8E9C"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0.430 </w:t>
            </w:r>
          </w:p>
        </w:tc>
        <w:tc>
          <w:tcPr>
            <w:tcW w:w="1456" w:type="dxa"/>
            <w:tcBorders>
              <w:top w:val="single" w:sz="4" w:space="0" w:color="auto"/>
            </w:tcBorders>
          </w:tcPr>
          <w:p w14:paraId="42BECDBD"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0.495 </w:t>
            </w:r>
          </w:p>
        </w:tc>
        <w:tc>
          <w:tcPr>
            <w:tcW w:w="1456" w:type="dxa"/>
            <w:tcBorders>
              <w:top w:val="single" w:sz="4" w:space="0" w:color="auto"/>
            </w:tcBorders>
          </w:tcPr>
          <w:p w14:paraId="2CE7A80C"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Borders>
              <w:top w:val="single" w:sz="4" w:space="0" w:color="auto"/>
            </w:tcBorders>
          </w:tcPr>
          <w:p w14:paraId="4E26ACC6"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Borders>
              <w:top w:val="single" w:sz="4" w:space="0" w:color="auto"/>
            </w:tcBorders>
          </w:tcPr>
          <w:p w14:paraId="3CBF0EA8"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1.000 </w:t>
            </w:r>
          </w:p>
        </w:tc>
      </w:tr>
      <w:tr w:rsidR="004D4D3A" w:rsidRPr="004D4D3A" w14:paraId="22907E8C" w14:textId="77777777" w:rsidTr="00047F8D">
        <w:tc>
          <w:tcPr>
            <w:tcW w:w="1737" w:type="dxa"/>
          </w:tcPr>
          <w:p w14:paraId="4E6586B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p>
        </w:tc>
        <w:tc>
          <w:tcPr>
            <w:tcW w:w="1455" w:type="dxa"/>
          </w:tcPr>
          <w:p w14:paraId="27EF0F53"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-0.002 </w:t>
            </w:r>
          </w:p>
        </w:tc>
        <w:tc>
          <w:tcPr>
            <w:tcW w:w="1456" w:type="dxa"/>
          </w:tcPr>
          <w:p w14:paraId="192BB700"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0.013 </w:t>
            </w:r>
          </w:p>
        </w:tc>
        <w:tc>
          <w:tcPr>
            <w:tcW w:w="1456" w:type="dxa"/>
          </w:tcPr>
          <w:p w14:paraId="3D18384B"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65345F0C"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252F4C57"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0.0004</w:t>
            </w:r>
          </w:p>
        </w:tc>
      </w:tr>
      <w:tr w:rsidR="004D4D3A" w:rsidRPr="004D4D3A" w14:paraId="3D62CBAF" w14:textId="77777777" w:rsidTr="00047F8D">
        <w:tc>
          <w:tcPr>
            <w:tcW w:w="1737" w:type="dxa"/>
          </w:tcPr>
          <w:p w14:paraId="1C538BA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RPT</w:t>
            </w:r>
          </w:p>
        </w:tc>
        <w:tc>
          <w:tcPr>
            <w:tcW w:w="1455" w:type="dxa"/>
          </w:tcPr>
          <w:p w14:paraId="4C20D0B1"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0.368 </w:t>
            </w:r>
          </w:p>
        </w:tc>
        <w:tc>
          <w:tcPr>
            <w:tcW w:w="1456" w:type="dxa"/>
          </w:tcPr>
          <w:p w14:paraId="21F30665"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0.530 </w:t>
            </w:r>
          </w:p>
        </w:tc>
        <w:tc>
          <w:tcPr>
            <w:tcW w:w="1456" w:type="dxa"/>
          </w:tcPr>
          <w:p w14:paraId="03492058"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0.065 </w:t>
            </w:r>
          </w:p>
        </w:tc>
        <w:tc>
          <w:tcPr>
            <w:tcW w:w="1456" w:type="dxa"/>
          </w:tcPr>
          <w:p w14:paraId="276A86AB"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0.208 </w:t>
            </w:r>
          </w:p>
        </w:tc>
        <w:tc>
          <w:tcPr>
            <w:tcW w:w="1456" w:type="dxa"/>
          </w:tcPr>
          <w:p w14:paraId="3CBD1887"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0.455 </w:t>
            </w:r>
          </w:p>
        </w:tc>
      </w:tr>
      <w:tr w:rsidR="004D4D3A" w:rsidRPr="004D4D3A" w14:paraId="40905511" w14:textId="77777777" w:rsidTr="00047F8D">
        <w:tc>
          <w:tcPr>
            <w:tcW w:w="1737" w:type="dxa"/>
          </w:tcPr>
          <w:p w14:paraId="122CCDD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TENURE</w:t>
            </w:r>
          </w:p>
        </w:tc>
        <w:tc>
          <w:tcPr>
            <w:tcW w:w="1455" w:type="dxa"/>
          </w:tcPr>
          <w:p w14:paraId="5BE1A611"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7.192 </w:t>
            </w:r>
          </w:p>
        </w:tc>
        <w:tc>
          <w:tcPr>
            <w:tcW w:w="1456" w:type="dxa"/>
          </w:tcPr>
          <w:p w14:paraId="7AACC8C4"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4.531 </w:t>
            </w:r>
          </w:p>
        </w:tc>
        <w:tc>
          <w:tcPr>
            <w:tcW w:w="1456" w:type="dxa"/>
          </w:tcPr>
          <w:p w14:paraId="519F0B4D"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4.000 </w:t>
            </w:r>
          </w:p>
        </w:tc>
        <w:tc>
          <w:tcPr>
            <w:tcW w:w="1456" w:type="dxa"/>
          </w:tcPr>
          <w:p w14:paraId="5D816BCD"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6.000 </w:t>
            </w:r>
          </w:p>
        </w:tc>
        <w:tc>
          <w:tcPr>
            <w:tcW w:w="1456" w:type="dxa"/>
          </w:tcPr>
          <w:p w14:paraId="491187B7"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10.000 </w:t>
            </w:r>
          </w:p>
        </w:tc>
      </w:tr>
      <w:tr w:rsidR="004D4D3A" w:rsidRPr="004D4D3A" w14:paraId="298FC4A9" w14:textId="77777777" w:rsidTr="00047F8D">
        <w:tc>
          <w:tcPr>
            <w:tcW w:w="1737" w:type="dxa"/>
          </w:tcPr>
          <w:p w14:paraId="7C1C41F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L1PTENURE</w:t>
            </w:r>
          </w:p>
        </w:tc>
        <w:tc>
          <w:tcPr>
            <w:tcW w:w="1455" w:type="dxa"/>
          </w:tcPr>
          <w:p w14:paraId="631C9ECA"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1.531 </w:t>
            </w:r>
          </w:p>
        </w:tc>
        <w:tc>
          <w:tcPr>
            <w:tcW w:w="1456" w:type="dxa"/>
          </w:tcPr>
          <w:p w14:paraId="5C048C6A"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0.749 </w:t>
            </w:r>
          </w:p>
        </w:tc>
        <w:tc>
          <w:tcPr>
            <w:tcW w:w="1456" w:type="dxa"/>
          </w:tcPr>
          <w:p w14:paraId="358BA0F7"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1.000 </w:t>
            </w:r>
          </w:p>
        </w:tc>
        <w:tc>
          <w:tcPr>
            <w:tcW w:w="1456" w:type="dxa"/>
          </w:tcPr>
          <w:p w14:paraId="48AAF122"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1.333 </w:t>
            </w:r>
          </w:p>
        </w:tc>
        <w:tc>
          <w:tcPr>
            <w:tcW w:w="1456" w:type="dxa"/>
          </w:tcPr>
          <w:p w14:paraId="60F1712D"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2.000 </w:t>
            </w:r>
          </w:p>
        </w:tc>
      </w:tr>
      <w:tr w:rsidR="004D4D3A" w:rsidRPr="004D4D3A" w14:paraId="046FFDCB" w14:textId="77777777" w:rsidTr="00047F8D">
        <w:tc>
          <w:tcPr>
            <w:tcW w:w="1737" w:type="dxa"/>
          </w:tcPr>
          <w:p w14:paraId="0B783DCC"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PSPEC</w:t>
            </w:r>
          </w:p>
        </w:tc>
        <w:tc>
          <w:tcPr>
            <w:tcW w:w="1455" w:type="dxa"/>
          </w:tcPr>
          <w:p w14:paraId="1EE769A4"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0.044 </w:t>
            </w:r>
          </w:p>
        </w:tc>
        <w:tc>
          <w:tcPr>
            <w:tcW w:w="1456" w:type="dxa"/>
          </w:tcPr>
          <w:p w14:paraId="2ECC8AB3"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0.206 </w:t>
            </w:r>
          </w:p>
        </w:tc>
        <w:tc>
          <w:tcPr>
            <w:tcW w:w="1456" w:type="dxa"/>
          </w:tcPr>
          <w:p w14:paraId="77F1D1DC"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130CE726"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710C6AF4"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r>
      <w:tr w:rsidR="004D4D3A" w:rsidRPr="004D4D3A" w14:paraId="62E7120B" w14:textId="77777777" w:rsidTr="00047F8D">
        <w:tc>
          <w:tcPr>
            <w:tcW w:w="1737" w:type="dxa"/>
          </w:tcPr>
          <w:p w14:paraId="5767FEA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CI</w:t>
            </w:r>
          </w:p>
        </w:tc>
        <w:tc>
          <w:tcPr>
            <w:tcW w:w="1455" w:type="dxa"/>
          </w:tcPr>
          <w:p w14:paraId="4BA054EF"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0.029 </w:t>
            </w:r>
          </w:p>
        </w:tc>
        <w:tc>
          <w:tcPr>
            <w:tcW w:w="1456" w:type="dxa"/>
          </w:tcPr>
          <w:p w14:paraId="60E7249F"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0.029 </w:t>
            </w:r>
          </w:p>
        </w:tc>
        <w:tc>
          <w:tcPr>
            <w:tcW w:w="1456" w:type="dxa"/>
          </w:tcPr>
          <w:p w14:paraId="1E74D2C3"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0.007 </w:t>
            </w:r>
          </w:p>
        </w:tc>
        <w:tc>
          <w:tcPr>
            <w:tcW w:w="1456" w:type="dxa"/>
          </w:tcPr>
          <w:p w14:paraId="02C64501"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0.021 </w:t>
            </w:r>
          </w:p>
        </w:tc>
        <w:tc>
          <w:tcPr>
            <w:tcW w:w="1456" w:type="dxa"/>
          </w:tcPr>
          <w:p w14:paraId="0B51F9C1"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0.039 </w:t>
            </w:r>
          </w:p>
        </w:tc>
      </w:tr>
      <w:tr w:rsidR="004D4D3A" w:rsidRPr="004D4D3A" w14:paraId="1806DDAA" w14:textId="77777777" w:rsidTr="00047F8D">
        <w:tc>
          <w:tcPr>
            <w:tcW w:w="1737" w:type="dxa"/>
          </w:tcPr>
          <w:p w14:paraId="55AC11EB"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ROA</w:t>
            </w:r>
          </w:p>
        </w:tc>
        <w:tc>
          <w:tcPr>
            <w:tcW w:w="1455" w:type="dxa"/>
          </w:tcPr>
          <w:p w14:paraId="45383E6F"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0.030 </w:t>
            </w:r>
          </w:p>
        </w:tc>
        <w:tc>
          <w:tcPr>
            <w:tcW w:w="1456" w:type="dxa"/>
          </w:tcPr>
          <w:p w14:paraId="19C00EE7"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0.065 </w:t>
            </w:r>
          </w:p>
        </w:tc>
        <w:tc>
          <w:tcPr>
            <w:tcW w:w="1456" w:type="dxa"/>
          </w:tcPr>
          <w:p w14:paraId="780880F1"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0.010 </w:t>
            </w:r>
          </w:p>
        </w:tc>
        <w:tc>
          <w:tcPr>
            <w:tcW w:w="1456" w:type="dxa"/>
          </w:tcPr>
          <w:p w14:paraId="79479343"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0.030 </w:t>
            </w:r>
          </w:p>
        </w:tc>
        <w:tc>
          <w:tcPr>
            <w:tcW w:w="1456" w:type="dxa"/>
          </w:tcPr>
          <w:p w14:paraId="49E958F7"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0.058 </w:t>
            </w:r>
          </w:p>
        </w:tc>
      </w:tr>
      <w:tr w:rsidR="004D4D3A" w:rsidRPr="004D4D3A" w14:paraId="440A73D2" w14:textId="77777777" w:rsidTr="00047F8D">
        <w:tc>
          <w:tcPr>
            <w:tcW w:w="1737" w:type="dxa"/>
          </w:tcPr>
          <w:p w14:paraId="5A7285B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LOSS</w:t>
            </w:r>
          </w:p>
        </w:tc>
        <w:tc>
          <w:tcPr>
            <w:tcW w:w="1455" w:type="dxa"/>
          </w:tcPr>
          <w:p w14:paraId="7681B2B2"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0.119 </w:t>
            </w:r>
          </w:p>
        </w:tc>
        <w:tc>
          <w:tcPr>
            <w:tcW w:w="1456" w:type="dxa"/>
          </w:tcPr>
          <w:p w14:paraId="68B14D59"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0.324 </w:t>
            </w:r>
          </w:p>
        </w:tc>
        <w:tc>
          <w:tcPr>
            <w:tcW w:w="1456" w:type="dxa"/>
          </w:tcPr>
          <w:p w14:paraId="74F144BE"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66E71F10"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4B9F9456"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r>
      <w:tr w:rsidR="004D4D3A" w:rsidRPr="004D4D3A" w14:paraId="1FE149B5" w14:textId="77777777" w:rsidTr="00047F8D">
        <w:tc>
          <w:tcPr>
            <w:tcW w:w="1737" w:type="dxa"/>
          </w:tcPr>
          <w:p w14:paraId="600A0B3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MAR</w:t>
            </w:r>
          </w:p>
        </w:tc>
        <w:tc>
          <w:tcPr>
            <w:tcW w:w="1455" w:type="dxa"/>
          </w:tcPr>
          <w:p w14:paraId="7C5C30B6"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0.003 </w:t>
            </w:r>
          </w:p>
        </w:tc>
        <w:tc>
          <w:tcPr>
            <w:tcW w:w="1456" w:type="dxa"/>
          </w:tcPr>
          <w:p w14:paraId="77C5B51E"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0.502 </w:t>
            </w:r>
          </w:p>
        </w:tc>
        <w:tc>
          <w:tcPr>
            <w:tcW w:w="1456" w:type="dxa"/>
          </w:tcPr>
          <w:p w14:paraId="76C23B9A"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-0.250 </w:t>
            </w:r>
          </w:p>
        </w:tc>
        <w:tc>
          <w:tcPr>
            <w:tcW w:w="1456" w:type="dxa"/>
          </w:tcPr>
          <w:p w14:paraId="14757EF4"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-0.072 </w:t>
            </w:r>
          </w:p>
        </w:tc>
        <w:tc>
          <w:tcPr>
            <w:tcW w:w="1456" w:type="dxa"/>
          </w:tcPr>
          <w:p w14:paraId="7A9421CA"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0.158 </w:t>
            </w:r>
          </w:p>
        </w:tc>
      </w:tr>
      <w:tr w:rsidR="004D4D3A" w:rsidRPr="004D4D3A" w14:paraId="1CF47996" w14:textId="77777777" w:rsidTr="00047F8D">
        <w:tc>
          <w:tcPr>
            <w:tcW w:w="1737" w:type="dxa"/>
          </w:tcPr>
          <w:p w14:paraId="20D55A08"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GROWTH</w:t>
            </w:r>
          </w:p>
        </w:tc>
        <w:tc>
          <w:tcPr>
            <w:tcW w:w="1455" w:type="dxa"/>
          </w:tcPr>
          <w:p w14:paraId="33EB9E01"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0.189 </w:t>
            </w:r>
          </w:p>
        </w:tc>
        <w:tc>
          <w:tcPr>
            <w:tcW w:w="1456" w:type="dxa"/>
          </w:tcPr>
          <w:p w14:paraId="71194F92"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0.499 </w:t>
            </w:r>
          </w:p>
        </w:tc>
        <w:tc>
          <w:tcPr>
            <w:tcW w:w="1456" w:type="dxa"/>
          </w:tcPr>
          <w:p w14:paraId="730E919E"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-0.034 </w:t>
            </w:r>
          </w:p>
        </w:tc>
        <w:tc>
          <w:tcPr>
            <w:tcW w:w="1456" w:type="dxa"/>
          </w:tcPr>
          <w:p w14:paraId="10F544BA"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0.114 </w:t>
            </w:r>
          </w:p>
        </w:tc>
        <w:tc>
          <w:tcPr>
            <w:tcW w:w="1456" w:type="dxa"/>
          </w:tcPr>
          <w:p w14:paraId="2C5A3D75"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0.287 </w:t>
            </w:r>
          </w:p>
        </w:tc>
      </w:tr>
      <w:tr w:rsidR="004D4D3A" w:rsidRPr="004D4D3A" w14:paraId="777CACD9" w14:textId="77777777" w:rsidTr="00047F8D">
        <w:tc>
          <w:tcPr>
            <w:tcW w:w="1737" w:type="dxa"/>
          </w:tcPr>
          <w:p w14:paraId="69E93F4A"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LEV</w:t>
            </w:r>
          </w:p>
        </w:tc>
        <w:tc>
          <w:tcPr>
            <w:tcW w:w="1455" w:type="dxa"/>
          </w:tcPr>
          <w:p w14:paraId="342DE4E2"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0.497 </w:t>
            </w:r>
          </w:p>
        </w:tc>
        <w:tc>
          <w:tcPr>
            <w:tcW w:w="1456" w:type="dxa"/>
          </w:tcPr>
          <w:p w14:paraId="5FB27443"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0.211 </w:t>
            </w:r>
          </w:p>
        </w:tc>
        <w:tc>
          <w:tcPr>
            <w:tcW w:w="1456" w:type="dxa"/>
          </w:tcPr>
          <w:p w14:paraId="5C231717"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0.343 </w:t>
            </w:r>
          </w:p>
        </w:tc>
        <w:tc>
          <w:tcPr>
            <w:tcW w:w="1456" w:type="dxa"/>
          </w:tcPr>
          <w:p w14:paraId="4939A4A6"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0.498 </w:t>
            </w:r>
          </w:p>
        </w:tc>
        <w:tc>
          <w:tcPr>
            <w:tcW w:w="1456" w:type="dxa"/>
          </w:tcPr>
          <w:p w14:paraId="436E3F3C"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0.642 </w:t>
            </w:r>
          </w:p>
        </w:tc>
      </w:tr>
      <w:tr w:rsidR="004D4D3A" w:rsidRPr="004D4D3A" w14:paraId="2ECC05BD" w14:textId="77777777" w:rsidTr="00047F8D">
        <w:tc>
          <w:tcPr>
            <w:tcW w:w="1737" w:type="dxa"/>
          </w:tcPr>
          <w:p w14:paraId="04FFE8B0"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CFO</w:t>
            </w:r>
          </w:p>
        </w:tc>
        <w:tc>
          <w:tcPr>
            <w:tcW w:w="1455" w:type="dxa"/>
          </w:tcPr>
          <w:p w14:paraId="688E521F"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0.046 </w:t>
            </w:r>
          </w:p>
        </w:tc>
        <w:tc>
          <w:tcPr>
            <w:tcW w:w="1456" w:type="dxa"/>
          </w:tcPr>
          <w:p w14:paraId="36F15338"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0.078 </w:t>
            </w:r>
          </w:p>
        </w:tc>
        <w:tc>
          <w:tcPr>
            <w:tcW w:w="1456" w:type="dxa"/>
          </w:tcPr>
          <w:p w14:paraId="63124AA8"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0.004 </w:t>
            </w:r>
          </w:p>
        </w:tc>
        <w:tc>
          <w:tcPr>
            <w:tcW w:w="1456" w:type="dxa"/>
          </w:tcPr>
          <w:p w14:paraId="4FC6FB87"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0.045 </w:t>
            </w:r>
          </w:p>
        </w:tc>
        <w:tc>
          <w:tcPr>
            <w:tcW w:w="1456" w:type="dxa"/>
          </w:tcPr>
          <w:p w14:paraId="1FAC447C"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0.091 </w:t>
            </w:r>
          </w:p>
        </w:tc>
      </w:tr>
      <w:tr w:rsidR="004D4D3A" w:rsidRPr="004D4D3A" w14:paraId="6D2433E2" w14:textId="77777777" w:rsidTr="00047F8D">
        <w:tc>
          <w:tcPr>
            <w:tcW w:w="1737" w:type="dxa"/>
          </w:tcPr>
          <w:p w14:paraId="6405027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ARINV</w:t>
            </w:r>
          </w:p>
        </w:tc>
        <w:tc>
          <w:tcPr>
            <w:tcW w:w="1455" w:type="dxa"/>
          </w:tcPr>
          <w:p w14:paraId="2F3BA0A3"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0.275 </w:t>
            </w:r>
          </w:p>
        </w:tc>
        <w:tc>
          <w:tcPr>
            <w:tcW w:w="1456" w:type="dxa"/>
          </w:tcPr>
          <w:p w14:paraId="1D8E6329"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0.179 </w:t>
            </w:r>
          </w:p>
        </w:tc>
        <w:tc>
          <w:tcPr>
            <w:tcW w:w="1456" w:type="dxa"/>
          </w:tcPr>
          <w:p w14:paraId="7A7EDC7B"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0.138 </w:t>
            </w:r>
          </w:p>
        </w:tc>
        <w:tc>
          <w:tcPr>
            <w:tcW w:w="1456" w:type="dxa"/>
          </w:tcPr>
          <w:p w14:paraId="6FDD4A8D"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0.249 </w:t>
            </w:r>
          </w:p>
        </w:tc>
        <w:tc>
          <w:tcPr>
            <w:tcW w:w="1456" w:type="dxa"/>
          </w:tcPr>
          <w:p w14:paraId="1781E468"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0.381 </w:t>
            </w:r>
          </w:p>
        </w:tc>
      </w:tr>
      <w:tr w:rsidR="004D4D3A" w:rsidRPr="004D4D3A" w14:paraId="326BF0AC" w14:textId="77777777" w:rsidTr="00047F8D">
        <w:tc>
          <w:tcPr>
            <w:tcW w:w="1737" w:type="dxa"/>
          </w:tcPr>
          <w:p w14:paraId="20E75798"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SEO</w:t>
            </w:r>
          </w:p>
        </w:tc>
        <w:tc>
          <w:tcPr>
            <w:tcW w:w="1455" w:type="dxa"/>
          </w:tcPr>
          <w:p w14:paraId="66182AAC"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0.012 </w:t>
            </w:r>
          </w:p>
        </w:tc>
        <w:tc>
          <w:tcPr>
            <w:tcW w:w="1456" w:type="dxa"/>
          </w:tcPr>
          <w:p w14:paraId="4829FB20"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0.109 </w:t>
            </w:r>
          </w:p>
        </w:tc>
        <w:tc>
          <w:tcPr>
            <w:tcW w:w="1456" w:type="dxa"/>
          </w:tcPr>
          <w:p w14:paraId="0D93D105"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7AC670D9"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c>
          <w:tcPr>
            <w:tcW w:w="1456" w:type="dxa"/>
          </w:tcPr>
          <w:p w14:paraId="29E43257"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0.000 </w:t>
            </w:r>
          </w:p>
        </w:tc>
      </w:tr>
      <w:tr w:rsidR="004D4D3A" w:rsidRPr="004D4D3A" w14:paraId="3F10EAA8" w14:textId="77777777" w:rsidTr="00047F8D">
        <w:tc>
          <w:tcPr>
            <w:tcW w:w="1737" w:type="dxa"/>
          </w:tcPr>
          <w:p w14:paraId="71FCD1B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SIZE</w:t>
            </w:r>
          </w:p>
        </w:tc>
        <w:tc>
          <w:tcPr>
            <w:tcW w:w="1455" w:type="dxa"/>
          </w:tcPr>
          <w:p w14:paraId="0B076F5F"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21.825 </w:t>
            </w:r>
          </w:p>
        </w:tc>
        <w:tc>
          <w:tcPr>
            <w:tcW w:w="1456" w:type="dxa"/>
          </w:tcPr>
          <w:p w14:paraId="3748410A"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1.267 </w:t>
            </w:r>
          </w:p>
        </w:tc>
        <w:tc>
          <w:tcPr>
            <w:tcW w:w="1456" w:type="dxa"/>
          </w:tcPr>
          <w:p w14:paraId="69F3F8F1"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20.942 </w:t>
            </w:r>
          </w:p>
        </w:tc>
        <w:tc>
          <w:tcPr>
            <w:tcW w:w="1456" w:type="dxa"/>
          </w:tcPr>
          <w:p w14:paraId="4FA22D5C"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21.692 </w:t>
            </w:r>
          </w:p>
        </w:tc>
        <w:tc>
          <w:tcPr>
            <w:tcW w:w="1456" w:type="dxa"/>
          </w:tcPr>
          <w:p w14:paraId="1BB30D46"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22.551 </w:t>
            </w:r>
          </w:p>
        </w:tc>
      </w:tr>
      <w:tr w:rsidR="004D4D3A" w:rsidRPr="004D4D3A" w14:paraId="491EB6AB" w14:textId="77777777" w:rsidTr="00047F8D">
        <w:tc>
          <w:tcPr>
            <w:tcW w:w="1737" w:type="dxa"/>
            <w:tcBorders>
              <w:bottom w:val="single" w:sz="4" w:space="0" w:color="auto"/>
            </w:tcBorders>
          </w:tcPr>
          <w:p w14:paraId="0706F9AA"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AGE</w:t>
            </w:r>
          </w:p>
        </w:tc>
        <w:tc>
          <w:tcPr>
            <w:tcW w:w="1455" w:type="dxa"/>
            <w:tcBorders>
              <w:bottom w:val="single" w:sz="4" w:space="0" w:color="auto"/>
            </w:tcBorders>
          </w:tcPr>
          <w:p w14:paraId="31A49EF0" w14:textId="77777777" w:rsidR="00081DF7" w:rsidRPr="004D4D3A" w:rsidRDefault="00081DF7" w:rsidP="00047F8D">
            <w:pPr>
              <w:tabs>
                <w:tab w:val="decimal" w:pos="54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9.966 </w:t>
            </w:r>
          </w:p>
        </w:tc>
        <w:tc>
          <w:tcPr>
            <w:tcW w:w="1456" w:type="dxa"/>
            <w:tcBorders>
              <w:bottom w:val="single" w:sz="4" w:space="0" w:color="auto"/>
            </w:tcBorders>
          </w:tcPr>
          <w:p w14:paraId="13722F29" w14:textId="77777777" w:rsidR="00081DF7" w:rsidRPr="004D4D3A" w:rsidRDefault="00081DF7" w:rsidP="00047F8D">
            <w:pPr>
              <w:tabs>
                <w:tab w:val="decimal" w:pos="515"/>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5.832 </w:t>
            </w:r>
          </w:p>
        </w:tc>
        <w:tc>
          <w:tcPr>
            <w:tcW w:w="1456" w:type="dxa"/>
            <w:tcBorders>
              <w:bottom w:val="single" w:sz="4" w:space="0" w:color="auto"/>
            </w:tcBorders>
          </w:tcPr>
          <w:p w14:paraId="1E8806CC" w14:textId="77777777" w:rsidR="00081DF7" w:rsidRPr="004D4D3A" w:rsidRDefault="00081DF7" w:rsidP="00047F8D">
            <w:pPr>
              <w:tabs>
                <w:tab w:val="decimal" w:pos="509"/>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5.000 </w:t>
            </w:r>
          </w:p>
        </w:tc>
        <w:tc>
          <w:tcPr>
            <w:tcW w:w="1456" w:type="dxa"/>
            <w:tcBorders>
              <w:bottom w:val="single" w:sz="4" w:space="0" w:color="auto"/>
            </w:tcBorders>
          </w:tcPr>
          <w:p w14:paraId="63797DD9" w14:textId="77777777" w:rsidR="00081DF7" w:rsidRPr="004D4D3A" w:rsidRDefault="00081DF7" w:rsidP="00047F8D">
            <w:pPr>
              <w:tabs>
                <w:tab w:val="decimal" w:pos="473"/>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9.000 </w:t>
            </w:r>
          </w:p>
        </w:tc>
        <w:tc>
          <w:tcPr>
            <w:tcW w:w="1456" w:type="dxa"/>
            <w:tcBorders>
              <w:bottom w:val="single" w:sz="4" w:space="0" w:color="auto"/>
            </w:tcBorders>
          </w:tcPr>
          <w:p w14:paraId="46DDE172" w14:textId="77777777" w:rsidR="00081DF7" w:rsidRPr="004D4D3A" w:rsidRDefault="00081DF7" w:rsidP="00047F8D">
            <w:pPr>
              <w:tabs>
                <w:tab w:val="decimal" w:pos="437"/>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 xml:space="preserve">14.000 </w:t>
            </w:r>
          </w:p>
        </w:tc>
      </w:tr>
    </w:tbl>
    <w:p w14:paraId="3A52994F" w14:textId="77777777" w:rsidR="00081DF7" w:rsidRPr="004D4D3A" w:rsidRDefault="00081DF7" w:rsidP="00081DF7">
      <w:pPr>
        <w:spacing w:line="24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t xml:space="preserve">Variable definitions: </w:t>
      </w:r>
      <w:r w:rsidRPr="004D4D3A">
        <w:rPr>
          <w:rFonts w:ascii="Times New Roman" w:hAnsi="Times New Roman" w:cs="Times New Roman"/>
          <w:i/>
          <w:color w:val="000000" w:themeColor="text1"/>
          <w:sz w:val="20"/>
          <w:szCs w:val="20"/>
        </w:rPr>
        <w:t>PSWITCH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is audited by a new partner, and 0 otherwise. </w:t>
      </w:r>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difference in the predicted probability between receiving a MAO conditioned to a firm switch its partner and receiving a MAO conditioned to not switching the partner. </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amount of RPTs scaled by total assets. </w:t>
      </w:r>
      <w:r w:rsidRPr="004D4D3A">
        <w:rPr>
          <w:rFonts w:ascii="Times New Roman" w:hAnsi="Times New Roman" w:cs="Times New Roman"/>
          <w:i/>
          <w:color w:val="000000" w:themeColor="text1"/>
          <w:sz w:val="20"/>
          <w:szCs w:val="20"/>
        </w:rPr>
        <w:t>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number of consecutive years that the firm has retained the incumbent audit firm. </w:t>
      </w:r>
      <w:r w:rsidRPr="004D4D3A">
        <w:rPr>
          <w:rFonts w:ascii="Times New Roman" w:hAnsi="Times New Roman" w:cs="Times New Roman"/>
          <w:i/>
          <w:color w:val="000000" w:themeColor="text1"/>
          <w:sz w:val="20"/>
          <w:szCs w:val="20"/>
        </w:rPr>
        <w:t>L1PTENURE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last year’s average number of consecutive years that the engagement partners have signed the annual audit report of the client. </w:t>
      </w:r>
      <w:r w:rsidRPr="004D4D3A">
        <w:rPr>
          <w:rFonts w:ascii="Times New Roman" w:hAnsi="Times New Roman" w:cs="Times New Roman"/>
          <w:i/>
          <w:color w:val="000000" w:themeColor="text1"/>
          <w:kern w:val="0"/>
          <w:sz w:val="20"/>
          <w:szCs w:val="20"/>
        </w:rPr>
        <w:t>PSPEC</w:t>
      </w:r>
      <w:r w:rsidRPr="004D4D3A">
        <w:rPr>
          <w:rFonts w:ascii="Times New Roman" w:hAnsi="Times New Roman" w:cs="Times New Roman"/>
          <w:color w:val="000000" w:themeColor="text1"/>
          <w:kern w:val="0"/>
          <w:sz w:val="20"/>
          <w:szCs w:val="20"/>
        </w:rPr>
        <w:t xml:space="preserve"> = indicator variable set to 1 if any of the engagement partners is the industry leader or has a market share of greater than 10 percent in terms of total assets audited in the industry, and 0 otherwise. </w:t>
      </w:r>
      <w:r w:rsidRPr="004D4D3A">
        <w:rPr>
          <w:rFonts w:ascii="Times New Roman" w:hAnsi="Times New Roman" w:cs="Times New Roman"/>
          <w:i/>
          <w:color w:val="000000" w:themeColor="text1"/>
          <w:sz w:val="20"/>
          <w:szCs w:val="20"/>
        </w:rPr>
        <w:t>CI</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natural log of the client’s total assets scaled by the sum of the natural log of total assets of all clients audited by the same audit firm. </w:t>
      </w:r>
      <w:r w:rsidRPr="004D4D3A">
        <w:rPr>
          <w:rFonts w:ascii="Times New Roman" w:hAnsi="Times New Roman" w:cs="Times New Roman"/>
          <w:i/>
          <w:color w:val="000000" w:themeColor="text1"/>
          <w:sz w:val="20"/>
          <w:szCs w:val="20"/>
        </w:rPr>
        <w:t>ROA</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net income scaled by total assets. </w:t>
      </w:r>
      <w:r w:rsidRPr="004D4D3A">
        <w:rPr>
          <w:rFonts w:ascii="Times New Roman" w:hAnsi="Times New Roman" w:cs="Times New Roman"/>
          <w:i/>
          <w:color w:val="000000" w:themeColor="text1"/>
          <w:sz w:val="20"/>
          <w:szCs w:val="20"/>
        </w:rPr>
        <w:t>LOSS</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reports a loss for the year, and 0 otherwise. </w:t>
      </w:r>
      <w:r w:rsidRPr="004D4D3A">
        <w:rPr>
          <w:rFonts w:ascii="Times New Roman" w:hAnsi="Times New Roman" w:cs="Times New Roman"/>
          <w:i/>
          <w:color w:val="000000" w:themeColor="text1"/>
          <w:sz w:val="20"/>
          <w:szCs w:val="20"/>
        </w:rPr>
        <w:t>MAR</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annual return minus annual market return. </w:t>
      </w:r>
      <w:r w:rsidRPr="004D4D3A">
        <w:rPr>
          <w:rFonts w:ascii="Times New Roman" w:hAnsi="Times New Roman" w:cs="Times New Roman"/>
          <w:i/>
          <w:color w:val="000000" w:themeColor="text1"/>
          <w:sz w:val="20"/>
          <w:szCs w:val="20"/>
        </w:rPr>
        <w:t>GROWTH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change in sales scaled by lagged sales. </w:t>
      </w:r>
      <w:r w:rsidRPr="004D4D3A">
        <w:rPr>
          <w:rFonts w:ascii="Times New Roman" w:hAnsi="Times New Roman" w:cs="Times New Roman"/>
          <w:i/>
          <w:color w:val="000000" w:themeColor="text1"/>
          <w:sz w:val="20"/>
          <w:szCs w:val="20"/>
        </w:rPr>
        <w:t>LEV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total debt deflated by total assets. </w:t>
      </w:r>
      <w:r w:rsidRPr="004D4D3A">
        <w:rPr>
          <w:rFonts w:ascii="Times New Roman" w:hAnsi="Times New Roman" w:cs="Times New Roman"/>
          <w:i/>
          <w:color w:val="000000" w:themeColor="text1"/>
          <w:sz w:val="20"/>
          <w:szCs w:val="20"/>
        </w:rPr>
        <w:t>CFO</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cash flow from operations scaled by total assets. </w:t>
      </w:r>
      <w:r w:rsidRPr="004D4D3A">
        <w:rPr>
          <w:rFonts w:ascii="Times New Roman" w:hAnsi="Times New Roman" w:cs="Times New Roman"/>
          <w:i/>
          <w:color w:val="000000" w:themeColor="text1"/>
          <w:sz w:val="20"/>
          <w:szCs w:val="20"/>
        </w:rPr>
        <w:t>ARINV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accounts receivable plus inventory scaled by total assets. </w:t>
      </w:r>
      <w:r w:rsidRPr="004D4D3A">
        <w:rPr>
          <w:rFonts w:ascii="Times New Roman" w:hAnsi="Times New Roman" w:cs="Times New Roman"/>
          <w:i/>
          <w:color w:val="000000" w:themeColor="text1"/>
          <w:sz w:val="20"/>
          <w:szCs w:val="20"/>
        </w:rPr>
        <w:t>SEO</w:t>
      </w:r>
      <w:r w:rsidRPr="004D4D3A">
        <w:rPr>
          <w:rFonts w:ascii="Times New Roman" w:hAnsi="Times New Roman" w:cs="Times New Roman"/>
          <w:color w:val="000000" w:themeColor="text1"/>
          <w:sz w:val="20"/>
          <w:szCs w:val="20"/>
        </w:rPr>
        <w:t xml:space="preserve"> = indicator variable set to 1 </w:t>
      </w:r>
      <w:r w:rsidRPr="004D4D3A">
        <w:rPr>
          <w:rFonts w:ascii="Times New Roman" w:hAnsi="Times New Roman" w:cs="Times New Roman"/>
          <w:color w:val="000000" w:themeColor="text1"/>
          <w:kern w:val="0"/>
          <w:sz w:val="20"/>
          <w:szCs w:val="20"/>
        </w:rPr>
        <w:t xml:space="preserve">if the firm has seasoned equity offering in the next year, and 0 otherwise. </w:t>
      </w:r>
      <w:r w:rsidRPr="004D4D3A">
        <w:rPr>
          <w:rFonts w:ascii="Times New Roman" w:hAnsi="Times New Roman" w:cs="Times New Roman"/>
          <w:i/>
          <w:color w:val="000000" w:themeColor="text1"/>
          <w:sz w:val="20"/>
          <w:szCs w:val="20"/>
        </w:rPr>
        <w:t>SIZE</w:t>
      </w:r>
      <w:r w:rsidRPr="004D4D3A">
        <w:rPr>
          <w:rFonts w:ascii="Times New Roman" w:hAnsi="Times New Roman" w:cs="Times New Roman"/>
          <w:color w:val="000000" w:themeColor="text1"/>
          <w:sz w:val="20"/>
          <w:szCs w:val="20"/>
        </w:rPr>
        <w:t xml:space="preserve"> = n</w:t>
      </w:r>
      <w:r w:rsidRPr="004D4D3A">
        <w:rPr>
          <w:rFonts w:ascii="Times New Roman" w:hAnsi="Times New Roman" w:cs="Times New Roman"/>
          <w:color w:val="000000" w:themeColor="text1"/>
          <w:kern w:val="0"/>
          <w:sz w:val="20"/>
          <w:szCs w:val="20"/>
        </w:rPr>
        <w:t xml:space="preserve">atural log of total assets. </w:t>
      </w:r>
      <w:r w:rsidRPr="004D4D3A">
        <w:rPr>
          <w:rFonts w:ascii="Times New Roman" w:hAnsi="Times New Roman" w:cs="Times New Roman"/>
          <w:i/>
          <w:color w:val="000000" w:themeColor="text1"/>
          <w:sz w:val="20"/>
          <w:szCs w:val="20"/>
        </w:rPr>
        <w:t>AGE</w:t>
      </w:r>
      <w:r w:rsidRPr="004D4D3A">
        <w:rPr>
          <w:rFonts w:ascii="Times New Roman" w:hAnsi="Times New Roman" w:cs="Times New Roman"/>
          <w:color w:val="000000" w:themeColor="text1"/>
          <w:sz w:val="20"/>
          <w:szCs w:val="20"/>
        </w:rPr>
        <w:t xml:space="preserve"> = </w:t>
      </w:r>
      <w:r w:rsidRPr="004D4D3A">
        <w:rPr>
          <w:rFonts w:ascii="Times New Roman" w:hAnsi="Times New Roman" w:cs="Times New Roman"/>
          <w:color w:val="000000" w:themeColor="text1"/>
          <w:kern w:val="0"/>
          <w:sz w:val="20"/>
          <w:szCs w:val="20"/>
        </w:rPr>
        <w:t>number of years since the firm’s initial public offering.</w:t>
      </w:r>
    </w:p>
    <w:p w14:paraId="0DD047B7" w14:textId="77777777" w:rsidR="00081DF7" w:rsidRPr="004D4D3A" w:rsidRDefault="00081DF7" w:rsidP="00081DF7">
      <w:pPr>
        <w:rPr>
          <w:rFonts w:ascii="Times New Roman" w:hAnsi="Times New Roman" w:cs="Times New Roman"/>
          <w:color w:val="000000" w:themeColor="text1"/>
        </w:rPr>
      </w:pPr>
    </w:p>
    <w:p w14:paraId="0A5BED0F" w14:textId="77777777"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br w:type="page"/>
      </w:r>
    </w:p>
    <w:p w14:paraId="03A2070F" w14:textId="77777777" w:rsidR="00081DF7" w:rsidRPr="004D4D3A" w:rsidRDefault="00081DF7" w:rsidP="00081DF7">
      <w:pPr>
        <w:rPr>
          <w:rFonts w:ascii="Times New Roman" w:hAnsi="Times New Roman" w:cs="Times New Roman"/>
          <w:color w:val="000000" w:themeColor="text1"/>
        </w:rPr>
      </w:pPr>
    </w:p>
    <w:p w14:paraId="79F57D2C" w14:textId="649E2265"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3 Related party transactions and audit opinion shopping</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1408"/>
        <w:gridCol w:w="2723"/>
        <w:gridCol w:w="2717"/>
      </w:tblGrid>
      <w:tr w:rsidR="004D4D3A" w:rsidRPr="004D4D3A" w14:paraId="21420E80" w14:textId="77777777" w:rsidTr="00047F8D">
        <w:tc>
          <w:tcPr>
            <w:tcW w:w="2173" w:type="dxa"/>
            <w:tcBorders>
              <w:top w:val="single" w:sz="4" w:space="0" w:color="auto"/>
            </w:tcBorders>
          </w:tcPr>
          <w:p w14:paraId="59D00010"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1408" w:type="dxa"/>
            <w:tcBorders>
              <w:top w:val="single" w:sz="4" w:space="0" w:color="auto"/>
            </w:tcBorders>
          </w:tcPr>
          <w:p w14:paraId="1B9F420D"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5440" w:type="dxa"/>
            <w:gridSpan w:val="2"/>
            <w:tcBorders>
              <w:top w:val="single" w:sz="4" w:space="0" w:color="auto"/>
              <w:bottom w:val="single" w:sz="4" w:space="0" w:color="auto"/>
            </w:tcBorders>
          </w:tcPr>
          <w:p w14:paraId="47B5B734"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i/>
                <w:color w:val="000000" w:themeColor="text1"/>
                <w:sz w:val="20"/>
                <w:szCs w:val="20"/>
              </w:rPr>
              <w:t>PSWITCH</w:t>
            </w:r>
          </w:p>
        </w:tc>
      </w:tr>
      <w:tr w:rsidR="004D4D3A" w:rsidRPr="004D4D3A" w14:paraId="2560F689" w14:textId="77777777" w:rsidTr="00047F8D">
        <w:tc>
          <w:tcPr>
            <w:tcW w:w="2173" w:type="dxa"/>
            <w:tcBorders>
              <w:bottom w:val="single" w:sz="4" w:space="0" w:color="auto"/>
            </w:tcBorders>
          </w:tcPr>
          <w:p w14:paraId="7E32F85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1408" w:type="dxa"/>
            <w:tcBorders>
              <w:bottom w:val="single" w:sz="4" w:space="0" w:color="auto"/>
            </w:tcBorders>
          </w:tcPr>
          <w:p w14:paraId="046E62D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Expected sign</w:t>
            </w:r>
          </w:p>
        </w:tc>
        <w:tc>
          <w:tcPr>
            <w:tcW w:w="2723" w:type="dxa"/>
            <w:tcBorders>
              <w:top w:val="single" w:sz="4" w:space="0" w:color="auto"/>
              <w:bottom w:val="single" w:sz="4" w:space="0" w:color="auto"/>
            </w:tcBorders>
          </w:tcPr>
          <w:p w14:paraId="19D2E3B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Coefficient</w:t>
            </w:r>
          </w:p>
        </w:tc>
        <w:tc>
          <w:tcPr>
            <w:tcW w:w="2717" w:type="dxa"/>
            <w:tcBorders>
              <w:top w:val="single" w:sz="4" w:space="0" w:color="auto"/>
              <w:bottom w:val="single" w:sz="4" w:space="0" w:color="auto"/>
            </w:tcBorders>
          </w:tcPr>
          <w:p w14:paraId="4A75D45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z-statistic</w:t>
            </w:r>
          </w:p>
        </w:tc>
      </w:tr>
      <w:tr w:rsidR="004D4D3A" w:rsidRPr="004D4D3A" w14:paraId="5BD6850B" w14:textId="77777777" w:rsidTr="00047F8D">
        <w:tc>
          <w:tcPr>
            <w:tcW w:w="2173" w:type="dxa"/>
            <w:tcBorders>
              <w:top w:val="single" w:sz="4" w:space="0" w:color="auto"/>
            </w:tcBorders>
          </w:tcPr>
          <w:p w14:paraId="13DEBE30"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Intercept</w:t>
            </w:r>
          </w:p>
        </w:tc>
        <w:tc>
          <w:tcPr>
            <w:tcW w:w="1408" w:type="dxa"/>
            <w:tcBorders>
              <w:top w:val="single" w:sz="4" w:space="0" w:color="auto"/>
            </w:tcBorders>
          </w:tcPr>
          <w:p w14:paraId="6332F7C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2723" w:type="dxa"/>
            <w:tcBorders>
              <w:top w:val="single" w:sz="4" w:space="0" w:color="auto"/>
            </w:tcBorders>
          </w:tcPr>
          <w:p w14:paraId="35594E7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-0.509**</w:t>
            </w:r>
          </w:p>
        </w:tc>
        <w:tc>
          <w:tcPr>
            <w:tcW w:w="2717" w:type="dxa"/>
            <w:tcBorders>
              <w:top w:val="single" w:sz="4" w:space="0" w:color="auto"/>
            </w:tcBorders>
          </w:tcPr>
          <w:p w14:paraId="3E22E5CB"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-1.98</w:t>
            </w:r>
          </w:p>
        </w:tc>
      </w:tr>
      <w:tr w:rsidR="004D4D3A" w:rsidRPr="004D4D3A" w14:paraId="270A56D1" w14:textId="77777777" w:rsidTr="00047F8D">
        <w:tc>
          <w:tcPr>
            <w:tcW w:w="2173" w:type="dxa"/>
          </w:tcPr>
          <w:p w14:paraId="4FBAF13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p>
        </w:tc>
        <w:tc>
          <w:tcPr>
            <w:tcW w:w="1408" w:type="dxa"/>
          </w:tcPr>
          <w:p w14:paraId="51C43B8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702D33A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-37.961***</w:t>
            </w:r>
          </w:p>
        </w:tc>
        <w:tc>
          <w:tcPr>
            <w:tcW w:w="2717" w:type="dxa"/>
          </w:tcPr>
          <w:p w14:paraId="1123D76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-17.14</w:t>
            </w:r>
          </w:p>
        </w:tc>
      </w:tr>
      <w:tr w:rsidR="004D4D3A" w:rsidRPr="004D4D3A" w14:paraId="4AF06A8C" w14:textId="77777777" w:rsidTr="00047F8D">
        <w:tc>
          <w:tcPr>
            <w:tcW w:w="2173" w:type="dxa"/>
          </w:tcPr>
          <w:p w14:paraId="52B15AB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RPT</w:t>
            </w:r>
          </w:p>
        </w:tc>
        <w:tc>
          <w:tcPr>
            <w:tcW w:w="1408" w:type="dxa"/>
          </w:tcPr>
          <w:p w14:paraId="78F18FD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662927B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0.010</w:t>
            </w:r>
          </w:p>
        </w:tc>
        <w:tc>
          <w:tcPr>
            <w:tcW w:w="2717" w:type="dxa"/>
          </w:tcPr>
          <w:p w14:paraId="53E673A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0.42</w:t>
            </w:r>
          </w:p>
        </w:tc>
      </w:tr>
      <w:tr w:rsidR="004D4D3A" w:rsidRPr="004D4D3A" w14:paraId="4063CDD2" w14:textId="77777777" w:rsidTr="00047F8D">
        <w:tc>
          <w:tcPr>
            <w:tcW w:w="2173" w:type="dxa"/>
          </w:tcPr>
          <w:p w14:paraId="0434474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r w:rsidRPr="004D4D3A">
              <w:rPr>
                <w:rFonts w:ascii="Times New Roman" w:eastAsia="標楷體" w:hAnsi="Times New Roman" w:cs="Times New Roman"/>
                <w:color w:val="000000" w:themeColor="text1"/>
                <w:sz w:val="20"/>
                <w:szCs w:val="20"/>
              </w:rPr>
              <w:t>×</w:t>
            </w:r>
            <w:r w:rsidRPr="004D4D3A">
              <w:rPr>
                <w:rFonts w:ascii="Times New Roman" w:hAnsi="Times New Roman" w:cs="Times New Roman"/>
                <w:i/>
                <w:color w:val="000000" w:themeColor="text1"/>
                <w:sz w:val="20"/>
                <w:szCs w:val="20"/>
              </w:rPr>
              <w:t>RPT</w:t>
            </w:r>
          </w:p>
        </w:tc>
        <w:tc>
          <w:tcPr>
            <w:tcW w:w="1408" w:type="dxa"/>
          </w:tcPr>
          <w:p w14:paraId="649EBD5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38D290F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-9.254**</w:t>
            </w:r>
          </w:p>
        </w:tc>
        <w:tc>
          <w:tcPr>
            <w:tcW w:w="2717" w:type="dxa"/>
          </w:tcPr>
          <w:p w14:paraId="010F3B5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-2.48</w:t>
            </w:r>
          </w:p>
        </w:tc>
      </w:tr>
      <w:tr w:rsidR="004D4D3A" w:rsidRPr="004D4D3A" w14:paraId="07D55752" w14:textId="77777777" w:rsidTr="00047F8D">
        <w:tc>
          <w:tcPr>
            <w:tcW w:w="2173" w:type="dxa"/>
          </w:tcPr>
          <w:p w14:paraId="4FDBD5F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TENURE</w:t>
            </w:r>
          </w:p>
        </w:tc>
        <w:tc>
          <w:tcPr>
            <w:tcW w:w="1408" w:type="dxa"/>
          </w:tcPr>
          <w:p w14:paraId="3FAD5B5F"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78972D2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0.016***</w:t>
            </w:r>
          </w:p>
        </w:tc>
        <w:tc>
          <w:tcPr>
            <w:tcW w:w="2717" w:type="dxa"/>
          </w:tcPr>
          <w:p w14:paraId="5AABB1E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5.58</w:t>
            </w:r>
          </w:p>
        </w:tc>
      </w:tr>
      <w:tr w:rsidR="004D4D3A" w:rsidRPr="004D4D3A" w14:paraId="0907C99C" w14:textId="77777777" w:rsidTr="00047F8D">
        <w:tc>
          <w:tcPr>
            <w:tcW w:w="2173" w:type="dxa"/>
          </w:tcPr>
          <w:p w14:paraId="1E839B30"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L1PTENURE</w:t>
            </w:r>
          </w:p>
        </w:tc>
        <w:tc>
          <w:tcPr>
            <w:tcW w:w="1408" w:type="dxa"/>
          </w:tcPr>
          <w:p w14:paraId="39E5555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2E07700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0.137***</w:t>
            </w:r>
          </w:p>
        </w:tc>
        <w:tc>
          <w:tcPr>
            <w:tcW w:w="2717" w:type="dxa"/>
          </w:tcPr>
          <w:p w14:paraId="6E608CD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8.57</w:t>
            </w:r>
          </w:p>
        </w:tc>
      </w:tr>
      <w:tr w:rsidR="004D4D3A" w:rsidRPr="004D4D3A" w14:paraId="1C71E329" w14:textId="77777777" w:rsidTr="00047F8D">
        <w:tc>
          <w:tcPr>
            <w:tcW w:w="2173" w:type="dxa"/>
          </w:tcPr>
          <w:p w14:paraId="0ACE0D7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PSPEC</w:t>
            </w:r>
          </w:p>
        </w:tc>
        <w:tc>
          <w:tcPr>
            <w:tcW w:w="1408" w:type="dxa"/>
          </w:tcPr>
          <w:p w14:paraId="1DE72CA7" w14:textId="33A4C669"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48A8D2C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0.112**</w:t>
            </w:r>
          </w:p>
        </w:tc>
        <w:tc>
          <w:tcPr>
            <w:tcW w:w="2717" w:type="dxa"/>
          </w:tcPr>
          <w:p w14:paraId="0FAA89B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2.03</w:t>
            </w:r>
          </w:p>
        </w:tc>
      </w:tr>
      <w:tr w:rsidR="004D4D3A" w:rsidRPr="004D4D3A" w14:paraId="60E09211" w14:textId="77777777" w:rsidTr="00047F8D">
        <w:tc>
          <w:tcPr>
            <w:tcW w:w="2173" w:type="dxa"/>
          </w:tcPr>
          <w:p w14:paraId="58245FC7"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CI</w:t>
            </w:r>
          </w:p>
        </w:tc>
        <w:tc>
          <w:tcPr>
            <w:tcW w:w="1408" w:type="dxa"/>
          </w:tcPr>
          <w:p w14:paraId="067B44D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420D978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-0.665</w:t>
            </w:r>
          </w:p>
        </w:tc>
        <w:tc>
          <w:tcPr>
            <w:tcW w:w="2717" w:type="dxa"/>
          </w:tcPr>
          <w:p w14:paraId="1E7A9CD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-1.41</w:t>
            </w:r>
          </w:p>
        </w:tc>
      </w:tr>
      <w:tr w:rsidR="004D4D3A" w:rsidRPr="004D4D3A" w14:paraId="0B56812F" w14:textId="77777777" w:rsidTr="00047F8D">
        <w:tc>
          <w:tcPr>
            <w:tcW w:w="2173" w:type="dxa"/>
          </w:tcPr>
          <w:p w14:paraId="22507077"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ROA</w:t>
            </w:r>
          </w:p>
        </w:tc>
        <w:tc>
          <w:tcPr>
            <w:tcW w:w="1408" w:type="dxa"/>
          </w:tcPr>
          <w:p w14:paraId="02F75A5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6651EF5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0.694**</w:t>
            </w:r>
          </w:p>
        </w:tc>
        <w:tc>
          <w:tcPr>
            <w:tcW w:w="2717" w:type="dxa"/>
          </w:tcPr>
          <w:p w14:paraId="70586CE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2.57</w:t>
            </w:r>
          </w:p>
        </w:tc>
      </w:tr>
      <w:tr w:rsidR="004D4D3A" w:rsidRPr="004D4D3A" w14:paraId="12DC6DC3" w14:textId="77777777" w:rsidTr="00047F8D">
        <w:tc>
          <w:tcPr>
            <w:tcW w:w="2173" w:type="dxa"/>
          </w:tcPr>
          <w:p w14:paraId="10A6A272"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LOSS</w:t>
            </w:r>
          </w:p>
        </w:tc>
        <w:tc>
          <w:tcPr>
            <w:tcW w:w="1408" w:type="dxa"/>
          </w:tcPr>
          <w:p w14:paraId="63B2B5FF"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59FCD58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-0.424***</w:t>
            </w:r>
          </w:p>
        </w:tc>
        <w:tc>
          <w:tcPr>
            <w:tcW w:w="2717" w:type="dxa"/>
          </w:tcPr>
          <w:p w14:paraId="53984002"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-9.24</w:t>
            </w:r>
          </w:p>
        </w:tc>
      </w:tr>
      <w:tr w:rsidR="004D4D3A" w:rsidRPr="004D4D3A" w14:paraId="5CA07C56" w14:textId="77777777" w:rsidTr="00047F8D">
        <w:tc>
          <w:tcPr>
            <w:tcW w:w="2173" w:type="dxa"/>
          </w:tcPr>
          <w:p w14:paraId="2D6B8DE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MAR</w:t>
            </w:r>
          </w:p>
        </w:tc>
        <w:tc>
          <w:tcPr>
            <w:tcW w:w="1408" w:type="dxa"/>
          </w:tcPr>
          <w:p w14:paraId="1230D73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76BD97E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-0.010</w:t>
            </w:r>
          </w:p>
        </w:tc>
        <w:tc>
          <w:tcPr>
            <w:tcW w:w="2717" w:type="dxa"/>
          </w:tcPr>
          <w:p w14:paraId="6279258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-0.43</w:t>
            </w:r>
          </w:p>
        </w:tc>
      </w:tr>
      <w:tr w:rsidR="004D4D3A" w:rsidRPr="004D4D3A" w14:paraId="5724A2CE" w14:textId="77777777" w:rsidTr="00047F8D">
        <w:tc>
          <w:tcPr>
            <w:tcW w:w="2173" w:type="dxa"/>
          </w:tcPr>
          <w:p w14:paraId="13CECB1B"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GROWTH</w:t>
            </w:r>
          </w:p>
        </w:tc>
        <w:tc>
          <w:tcPr>
            <w:tcW w:w="1408" w:type="dxa"/>
          </w:tcPr>
          <w:p w14:paraId="7F5298CE" w14:textId="72C25A82"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1EBD1A6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0.002</w:t>
            </w:r>
          </w:p>
        </w:tc>
        <w:tc>
          <w:tcPr>
            <w:tcW w:w="2717" w:type="dxa"/>
          </w:tcPr>
          <w:p w14:paraId="57AB067C"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0.07</w:t>
            </w:r>
          </w:p>
        </w:tc>
      </w:tr>
      <w:tr w:rsidR="004D4D3A" w:rsidRPr="004D4D3A" w14:paraId="0A508CC5" w14:textId="77777777" w:rsidTr="00047F8D">
        <w:tc>
          <w:tcPr>
            <w:tcW w:w="2173" w:type="dxa"/>
          </w:tcPr>
          <w:p w14:paraId="338697EC"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LEV</w:t>
            </w:r>
          </w:p>
        </w:tc>
        <w:tc>
          <w:tcPr>
            <w:tcW w:w="1408" w:type="dxa"/>
          </w:tcPr>
          <w:p w14:paraId="4D7EFF7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1C1B640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0.024</w:t>
            </w:r>
          </w:p>
        </w:tc>
        <w:tc>
          <w:tcPr>
            <w:tcW w:w="2717" w:type="dxa"/>
          </w:tcPr>
          <w:p w14:paraId="61DA2F2C"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0.32</w:t>
            </w:r>
          </w:p>
        </w:tc>
      </w:tr>
      <w:tr w:rsidR="004D4D3A" w:rsidRPr="004D4D3A" w14:paraId="6033946D" w14:textId="77777777" w:rsidTr="00047F8D">
        <w:tc>
          <w:tcPr>
            <w:tcW w:w="2173" w:type="dxa"/>
          </w:tcPr>
          <w:p w14:paraId="4F35169D"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CFO</w:t>
            </w:r>
          </w:p>
        </w:tc>
        <w:tc>
          <w:tcPr>
            <w:tcW w:w="1408" w:type="dxa"/>
          </w:tcPr>
          <w:p w14:paraId="42B175F4" w14:textId="2F1E85CF"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2D06E13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-0.027</w:t>
            </w:r>
          </w:p>
        </w:tc>
        <w:tc>
          <w:tcPr>
            <w:tcW w:w="2717" w:type="dxa"/>
          </w:tcPr>
          <w:p w14:paraId="7BFAD112"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-0.17</w:t>
            </w:r>
          </w:p>
        </w:tc>
      </w:tr>
      <w:tr w:rsidR="004D4D3A" w:rsidRPr="004D4D3A" w14:paraId="7348E907" w14:textId="77777777" w:rsidTr="00047F8D">
        <w:tc>
          <w:tcPr>
            <w:tcW w:w="2173" w:type="dxa"/>
          </w:tcPr>
          <w:p w14:paraId="35D2013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ARINV</w:t>
            </w:r>
          </w:p>
        </w:tc>
        <w:tc>
          <w:tcPr>
            <w:tcW w:w="1408" w:type="dxa"/>
          </w:tcPr>
          <w:p w14:paraId="5485C990"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2B927BB2"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0.093</w:t>
            </w:r>
          </w:p>
        </w:tc>
        <w:tc>
          <w:tcPr>
            <w:tcW w:w="2717" w:type="dxa"/>
          </w:tcPr>
          <w:p w14:paraId="2DA02219"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1.14</w:t>
            </w:r>
          </w:p>
        </w:tc>
      </w:tr>
      <w:tr w:rsidR="004D4D3A" w:rsidRPr="004D4D3A" w14:paraId="64904A3E" w14:textId="77777777" w:rsidTr="00047F8D">
        <w:tc>
          <w:tcPr>
            <w:tcW w:w="2173" w:type="dxa"/>
          </w:tcPr>
          <w:p w14:paraId="4F20AA7A"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SEO</w:t>
            </w:r>
          </w:p>
        </w:tc>
        <w:tc>
          <w:tcPr>
            <w:tcW w:w="1408" w:type="dxa"/>
          </w:tcPr>
          <w:p w14:paraId="3338EAC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2992BF3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0.0002</w:t>
            </w:r>
          </w:p>
        </w:tc>
        <w:tc>
          <w:tcPr>
            <w:tcW w:w="2717" w:type="dxa"/>
          </w:tcPr>
          <w:p w14:paraId="7DBD5C71"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w:t>
            </w:r>
          </w:p>
        </w:tc>
      </w:tr>
      <w:tr w:rsidR="004D4D3A" w:rsidRPr="004D4D3A" w14:paraId="4E87B84A" w14:textId="77777777" w:rsidTr="00047F8D">
        <w:tc>
          <w:tcPr>
            <w:tcW w:w="2173" w:type="dxa"/>
          </w:tcPr>
          <w:p w14:paraId="0E7D1BA5"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SIZE</w:t>
            </w:r>
          </w:p>
        </w:tc>
        <w:tc>
          <w:tcPr>
            <w:tcW w:w="1408" w:type="dxa"/>
          </w:tcPr>
          <w:p w14:paraId="709A4AB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6A31ADD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-0.011</w:t>
            </w:r>
          </w:p>
        </w:tc>
        <w:tc>
          <w:tcPr>
            <w:tcW w:w="2717" w:type="dxa"/>
          </w:tcPr>
          <w:p w14:paraId="0EE6FD15"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-0.97</w:t>
            </w:r>
          </w:p>
        </w:tc>
      </w:tr>
      <w:tr w:rsidR="004D4D3A" w:rsidRPr="004D4D3A" w14:paraId="009C3F43" w14:textId="77777777" w:rsidTr="00047F8D">
        <w:tc>
          <w:tcPr>
            <w:tcW w:w="2173" w:type="dxa"/>
          </w:tcPr>
          <w:p w14:paraId="47B5C86C"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AGE</w:t>
            </w:r>
          </w:p>
        </w:tc>
        <w:tc>
          <w:tcPr>
            <w:tcW w:w="1408" w:type="dxa"/>
          </w:tcPr>
          <w:p w14:paraId="23D6B366"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7EAD139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-0.013***</w:t>
            </w:r>
          </w:p>
        </w:tc>
        <w:tc>
          <w:tcPr>
            <w:tcW w:w="2717" w:type="dxa"/>
          </w:tcPr>
          <w:p w14:paraId="50D46E67" w14:textId="77777777" w:rsidR="00081DF7" w:rsidRPr="004D4D3A" w:rsidRDefault="00081DF7" w:rsidP="00047F8D">
            <w:pPr>
              <w:tabs>
                <w:tab w:val="decimal" w:pos="1160"/>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-5.09</w:t>
            </w:r>
          </w:p>
        </w:tc>
      </w:tr>
      <w:tr w:rsidR="004D4D3A" w:rsidRPr="004D4D3A" w14:paraId="05A68ABC" w14:textId="77777777" w:rsidTr="00047F8D">
        <w:tc>
          <w:tcPr>
            <w:tcW w:w="2173" w:type="dxa"/>
          </w:tcPr>
          <w:p w14:paraId="053398A7"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Year fixed effects</w:t>
            </w:r>
          </w:p>
        </w:tc>
        <w:tc>
          <w:tcPr>
            <w:tcW w:w="1408" w:type="dxa"/>
          </w:tcPr>
          <w:p w14:paraId="2773F1B2"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3" w:type="dxa"/>
          </w:tcPr>
          <w:p w14:paraId="260C136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17" w:type="dxa"/>
          </w:tcPr>
          <w:p w14:paraId="38508FB9"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34C5C828" w14:textId="77777777" w:rsidTr="00047F8D">
        <w:tc>
          <w:tcPr>
            <w:tcW w:w="2173" w:type="dxa"/>
          </w:tcPr>
          <w:p w14:paraId="6124F3E9"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Industry fixed effects</w:t>
            </w:r>
          </w:p>
        </w:tc>
        <w:tc>
          <w:tcPr>
            <w:tcW w:w="1408" w:type="dxa"/>
          </w:tcPr>
          <w:p w14:paraId="61AE1286"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3" w:type="dxa"/>
          </w:tcPr>
          <w:p w14:paraId="6E09998F"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17" w:type="dxa"/>
          </w:tcPr>
          <w:p w14:paraId="0154FEF6"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2D0FE880" w14:textId="77777777" w:rsidTr="00047F8D">
        <w:tc>
          <w:tcPr>
            <w:tcW w:w="2173" w:type="dxa"/>
          </w:tcPr>
          <w:p w14:paraId="229C877E"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Pseudo R</w:t>
            </w:r>
            <w:r w:rsidRPr="004D4D3A">
              <w:rPr>
                <w:rFonts w:ascii="Times New Roman" w:hAnsi="Times New Roman" w:cs="Times New Roman"/>
                <w:color w:val="000000" w:themeColor="text1"/>
                <w:sz w:val="20"/>
                <w:szCs w:val="20"/>
                <w:vertAlign w:val="superscript"/>
              </w:rPr>
              <w:t>2</w:t>
            </w:r>
          </w:p>
        </w:tc>
        <w:tc>
          <w:tcPr>
            <w:tcW w:w="1408" w:type="dxa"/>
          </w:tcPr>
          <w:p w14:paraId="6A06AD66"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3" w:type="dxa"/>
          </w:tcPr>
          <w:p w14:paraId="1D37023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0.051</w:t>
            </w:r>
          </w:p>
        </w:tc>
        <w:tc>
          <w:tcPr>
            <w:tcW w:w="2717" w:type="dxa"/>
          </w:tcPr>
          <w:p w14:paraId="625D36E5"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1FD0B61E" w14:textId="77777777" w:rsidTr="00047F8D">
        <w:tc>
          <w:tcPr>
            <w:tcW w:w="2173" w:type="dxa"/>
            <w:tcBorders>
              <w:bottom w:val="single" w:sz="4" w:space="0" w:color="auto"/>
            </w:tcBorders>
          </w:tcPr>
          <w:p w14:paraId="56575343"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n</w:t>
            </w:r>
          </w:p>
        </w:tc>
        <w:tc>
          <w:tcPr>
            <w:tcW w:w="1408" w:type="dxa"/>
            <w:tcBorders>
              <w:bottom w:val="single" w:sz="4" w:space="0" w:color="auto"/>
            </w:tcBorders>
          </w:tcPr>
          <w:p w14:paraId="6F22063B"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3" w:type="dxa"/>
            <w:tcBorders>
              <w:bottom w:val="single" w:sz="4" w:space="0" w:color="auto"/>
            </w:tcBorders>
          </w:tcPr>
          <w:p w14:paraId="0755FDEC"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12,827</w:t>
            </w:r>
          </w:p>
        </w:tc>
        <w:tc>
          <w:tcPr>
            <w:tcW w:w="2717" w:type="dxa"/>
            <w:tcBorders>
              <w:bottom w:val="single" w:sz="4" w:space="0" w:color="auto"/>
            </w:tcBorders>
          </w:tcPr>
          <w:p w14:paraId="08FAFD36"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bl>
    <w:p w14:paraId="24E76AE7" w14:textId="5678C911" w:rsidR="00081DF7" w:rsidRPr="004D4D3A" w:rsidRDefault="00081DF7" w:rsidP="00081DF7">
      <w:pPr>
        <w:spacing w:line="24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t xml:space="preserve">Variable definitions: </w:t>
      </w:r>
      <w:r w:rsidRPr="004D4D3A">
        <w:rPr>
          <w:rFonts w:ascii="Times New Roman" w:hAnsi="Times New Roman" w:cs="Times New Roman"/>
          <w:i/>
          <w:color w:val="000000" w:themeColor="text1"/>
          <w:sz w:val="20"/>
          <w:szCs w:val="20"/>
        </w:rPr>
        <w:t>PSWITCH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is audited by a new partner, and 0 otherwise. </w:t>
      </w:r>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difference in the predicted probability between receiving a MAO conditioned to a firm switch its partner and receiving a MAO conditioned to not switching the partner. </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amount of RPTs scaled by total assets. </w:t>
      </w:r>
      <w:r w:rsidRPr="004D4D3A">
        <w:rPr>
          <w:rFonts w:ascii="Times New Roman" w:hAnsi="Times New Roman" w:cs="Times New Roman"/>
          <w:i/>
          <w:color w:val="000000" w:themeColor="text1"/>
          <w:sz w:val="20"/>
          <w:szCs w:val="20"/>
        </w:rPr>
        <w:t>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number of consecutive years that the firm has retained the incumbent audit firm. </w:t>
      </w:r>
      <w:r w:rsidRPr="004D4D3A">
        <w:rPr>
          <w:rFonts w:ascii="Times New Roman" w:hAnsi="Times New Roman" w:cs="Times New Roman"/>
          <w:i/>
          <w:color w:val="000000" w:themeColor="text1"/>
          <w:sz w:val="20"/>
          <w:szCs w:val="20"/>
        </w:rPr>
        <w:t>L1PTENURE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last year’s average number of consecutive years that the engagement partners have signed the annual audit report of the client. </w:t>
      </w:r>
      <w:r w:rsidRPr="004D4D3A">
        <w:rPr>
          <w:rFonts w:ascii="Times New Roman" w:hAnsi="Times New Roman" w:cs="Times New Roman"/>
          <w:i/>
          <w:color w:val="000000" w:themeColor="text1"/>
          <w:kern w:val="0"/>
          <w:sz w:val="20"/>
          <w:szCs w:val="20"/>
        </w:rPr>
        <w:t>PSPEC</w:t>
      </w:r>
      <w:r w:rsidRPr="004D4D3A">
        <w:rPr>
          <w:rFonts w:ascii="Times New Roman" w:hAnsi="Times New Roman" w:cs="Times New Roman"/>
          <w:color w:val="000000" w:themeColor="text1"/>
          <w:kern w:val="0"/>
          <w:sz w:val="20"/>
          <w:szCs w:val="20"/>
        </w:rPr>
        <w:t xml:space="preserve"> = indicator variable set to 1 if any of the engagement partners is the industry leader or has a market share of greater than 10 percent in terms of total assets audited in the industry, and 0 otherwise. </w:t>
      </w:r>
      <w:r w:rsidRPr="004D4D3A">
        <w:rPr>
          <w:rFonts w:ascii="Times New Roman" w:hAnsi="Times New Roman" w:cs="Times New Roman"/>
          <w:i/>
          <w:color w:val="000000" w:themeColor="text1"/>
          <w:sz w:val="20"/>
          <w:szCs w:val="20"/>
        </w:rPr>
        <w:t>CI</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natural log of the client’s total assets scaled by the sum of the natural log of total assets of all clients audited by the same audit firm. </w:t>
      </w:r>
      <w:r w:rsidRPr="004D4D3A">
        <w:rPr>
          <w:rFonts w:ascii="Times New Roman" w:hAnsi="Times New Roman" w:cs="Times New Roman"/>
          <w:i/>
          <w:color w:val="000000" w:themeColor="text1"/>
          <w:sz w:val="20"/>
          <w:szCs w:val="20"/>
        </w:rPr>
        <w:t>ROA</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net income scaled by total assets. </w:t>
      </w:r>
      <w:r w:rsidRPr="004D4D3A">
        <w:rPr>
          <w:rFonts w:ascii="Times New Roman" w:hAnsi="Times New Roman" w:cs="Times New Roman"/>
          <w:i/>
          <w:color w:val="000000" w:themeColor="text1"/>
          <w:sz w:val="20"/>
          <w:szCs w:val="20"/>
        </w:rPr>
        <w:t>LOSS</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reports a loss for the year, and 0 otherwise. </w:t>
      </w:r>
      <w:r w:rsidRPr="004D4D3A">
        <w:rPr>
          <w:rFonts w:ascii="Times New Roman" w:hAnsi="Times New Roman" w:cs="Times New Roman"/>
          <w:i/>
          <w:color w:val="000000" w:themeColor="text1"/>
          <w:sz w:val="20"/>
          <w:szCs w:val="20"/>
        </w:rPr>
        <w:t>MAR</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annual return minus annual market return. </w:t>
      </w:r>
      <w:r w:rsidRPr="004D4D3A">
        <w:rPr>
          <w:rFonts w:ascii="Times New Roman" w:hAnsi="Times New Roman" w:cs="Times New Roman"/>
          <w:i/>
          <w:color w:val="000000" w:themeColor="text1"/>
          <w:sz w:val="20"/>
          <w:szCs w:val="20"/>
        </w:rPr>
        <w:t>GROWTH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change in sales scaled by lagged sales. </w:t>
      </w:r>
      <w:r w:rsidRPr="004D4D3A">
        <w:rPr>
          <w:rFonts w:ascii="Times New Roman" w:hAnsi="Times New Roman" w:cs="Times New Roman"/>
          <w:i/>
          <w:color w:val="000000" w:themeColor="text1"/>
          <w:sz w:val="20"/>
          <w:szCs w:val="20"/>
        </w:rPr>
        <w:t>LEV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total debt deflated by total assets. </w:t>
      </w:r>
      <w:r w:rsidRPr="004D4D3A">
        <w:rPr>
          <w:rFonts w:ascii="Times New Roman" w:hAnsi="Times New Roman" w:cs="Times New Roman"/>
          <w:i/>
          <w:color w:val="000000" w:themeColor="text1"/>
          <w:sz w:val="20"/>
          <w:szCs w:val="20"/>
        </w:rPr>
        <w:t>CFO</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cash flow from operations scaled by total assets. </w:t>
      </w:r>
      <w:r w:rsidRPr="004D4D3A">
        <w:rPr>
          <w:rFonts w:ascii="Times New Roman" w:hAnsi="Times New Roman" w:cs="Times New Roman"/>
          <w:i/>
          <w:color w:val="000000" w:themeColor="text1"/>
          <w:sz w:val="20"/>
          <w:szCs w:val="20"/>
        </w:rPr>
        <w:t>ARINV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accounts receivable plus inventory scaled by total assets. </w:t>
      </w:r>
      <w:r w:rsidRPr="004D4D3A">
        <w:rPr>
          <w:rFonts w:ascii="Times New Roman" w:hAnsi="Times New Roman" w:cs="Times New Roman"/>
          <w:i/>
          <w:color w:val="000000" w:themeColor="text1"/>
          <w:sz w:val="20"/>
          <w:szCs w:val="20"/>
        </w:rPr>
        <w:t>SEO</w:t>
      </w:r>
      <w:r w:rsidRPr="004D4D3A">
        <w:rPr>
          <w:rFonts w:ascii="Times New Roman" w:hAnsi="Times New Roman" w:cs="Times New Roman"/>
          <w:color w:val="000000" w:themeColor="text1"/>
          <w:sz w:val="20"/>
          <w:szCs w:val="20"/>
        </w:rPr>
        <w:t xml:space="preserve"> = indicator variable set to 1 </w:t>
      </w:r>
      <w:r w:rsidRPr="004D4D3A">
        <w:rPr>
          <w:rFonts w:ascii="Times New Roman" w:hAnsi="Times New Roman" w:cs="Times New Roman"/>
          <w:color w:val="000000" w:themeColor="text1"/>
          <w:kern w:val="0"/>
          <w:sz w:val="20"/>
          <w:szCs w:val="20"/>
        </w:rPr>
        <w:t xml:space="preserve">if the firm has seasoned equity offering in the next year, and 0 otherwise. </w:t>
      </w:r>
      <w:r w:rsidRPr="004D4D3A">
        <w:rPr>
          <w:rFonts w:ascii="Times New Roman" w:hAnsi="Times New Roman" w:cs="Times New Roman"/>
          <w:i/>
          <w:color w:val="000000" w:themeColor="text1"/>
          <w:sz w:val="20"/>
          <w:szCs w:val="20"/>
        </w:rPr>
        <w:t>SIZE</w:t>
      </w:r>
      <w:r w:rsidRPr="004D4D3A">
        <w:rPr>
          <w:rFonts w:ascii="Times New Roman" w:hAnsi="Times New Roman" w:cs="Times New Roman"/>
          <w:color w:val="000000" w:themeColor="text1"/>
          <w:sz w:val="20"/>
          <w:szCs w:val="20"/>
        </w:rPr>
        <w:t xml:space="preserve"> = n</w:t>
      </w:r>
      <w:r w:rsidRPr="004D4D3A">
        <w:rPr>
          <w:rFonts w:ascii="Times New Roman" w:hAnsi="Times New Roman" w:cs="Times New Roman"/>
          <w:color w:val="000000" w:themeColor="text1"/>
          <w:kern w:val="0"/>
          <w:sz w:val="20"/>
          <w:szCs w:val="20"/>
        </w:rPr>
        <w:t xml:space="preserve">atural log of total assets. </w:t>
      </w:r>
      <w:r w:rsidRPr="004D4D3A">
        <w:rPr>
          <w:rFonts w:ascii="Times New Roman" w:hAnsi="Times New Roman" w:cs="Times New Roman"/>
          <w:i/>
          <w:color w:val="000000" w:themeColor="text1"/>
          <w:sz w:val="20"/>
          <w:szCs w:val="20"/>
        </w:rPr>
        <w:t>AGE</w:t>
      </w:r>
      <w:r w:rsidRPr="004D4D3A">
        <w:rPr>
          <w:rFonts w:ascii="Times New Roman" w:hAnsi="Times New Roman" w:cs="Times New Roman"/>
          <w:color w:val="000000" w:themeColor="text1"/>
          <w:sz w:val="20"/>
          <w:szCs w:val="20"/>
        </w:rPr>
        <w:t xml:space="preserve"> = </w:t>
      </w:r>
      <w:r w:rsidRPr="004D4D3A">
        <w:rPr>
          <w:rFonts w:ascii="Times New Roman" w:hAnsi="Times New Roman" w:cs="Times New Roman"/>
          <w:color w:val="000000" w:themeColor="text1"/>
          <w:kern w:val="0"/>
          <w:sz w:val="20"/>
          <w:szCs w:val="20"/>
        </w:rPr>
        <w:t xml:space="preserve">number of years since the firm’s initial public offering. </w:t>
      </w:r>
      <w:proofErr w:type="gramStart"/>
      <w:r w:rsidRPr="004D4D3A">
        <w:rPr>
          <w:rFonts w:ascii="Times New Roman" w:hAnsi="Times New Roman" w:cs="Times New Roman"/>
          <w:color w:val="000000" w:themeColor="text1"/>
          <w:kern w:val="0"/>
          <w:sz w:val="20"/>
          <w:szCs w:val="20"/>
        </w:rPr>
        <w:t>z-statistics</w:t>
      </w:r>
      <w:proofErr w:type="gramEnd"/>
      <w:r w:rsidRPr="004D4D3A">
        <w:rPr>
          <w:rFonts w:ascii="Times New Roman" w:hAnsi="Times New Roman" w:cs="Times New Roman"/>
          <w:color w:val="000000" w:themeColor="text1"/>
          <w:kern w:val="0"/>
          <w:sz w:val="20"/>
          <w:szCs w:val="20"/>
        </w:rPr>
        <w:t xml:space="preserve"> are based on standard errors clustered by firm. *, ** and *** indicate two-tailed significance at the 0.10, 0.05 and 0.01 levels, respectively.</w:t>
      </w:r>
    </w:p>
    <w:p w14:paraId="5CFCD6C4" w14:textId="77777777" w:rsidR="00081DF7" w:rsidRPr="004D4D3A" w:rsidRDefault="00081DF7" w:rsidP="00081DF7">
      <w:pPr>
        <w:spacing w:line="24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br w:type="page"/>
      </w:r>
    </w:p>
    <w:p w14:paraId="6AC7F58B" w14:textId="77777777" w:rsidR="00081DF7" w:rsidRPr="004D4D3A" w:rsidRDefault="00081DF7" w:rsidP="00081DF7">
      <w:pPr>
        <w:rPr>
          <w:rFonts w:ascii="Times New Roman" w:hAnsi="Times New Roman" w:cs="Times New Roman"/>
          <w:color w:val="000000" w:themeColor="text1"/>
          <w:kern w:val="0"/>
          <w:sz w:val="20"/>
          <w:szCs w:val="20"/>
        </w:rPr>
      </w:pPr>
    </w:p>
    <w:p w14:paraId="1423B542" w14:textId="3B9F9755"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4 Operating versus non-operating RPTs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7"/>
        <w:gridCol w:w="2738"/>
        <w:gridCol w:w="2739"/>
      </w:tblGrid>
      <w:tr w:rsidR="004D4D3A" w:rsidRPr="004D4D3A" w14:paraId="24FD2478" w14:textId="77777777" w:rsidTr="00047F8D">
        <w:tc>
          <w:tcPr>
            <w:tcW w:w="2122" w:type="dxa"/>
            <w:tcBorders>
              <w:top w:val="single" w:sz="4" w:space="0" w:color="auto"/>
            </w:tcBorders>
          </w:tcPr>
          <w:p w14:paraId="38ED5DD9"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1417" w:type="dxa"/>
            <w:tcBorders>
              <w:top w:val="single" w:sz="4" w:space="0" w:color="auto"/>
            </w:tcBorders>
          </w:tcPr>
          <w:p w14:paraId="0536228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5477" w:type="dxa"/>
            <w:gridSpan w:val="2"/>
            <w:tcBorders>
              <w:top w:val="single" w:sz="4" w:space="0" w:color="auto"/>
              <w:bottom w:val="single" w:sz="4" w:space="0" w:color="auto"/>
            </w:tcBorders>
          </w:tcPr>
          <w:p w14:paraId="08D66C1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i/>
                <w:color w:val="000000" w:themeColor="text1"/>
                <w:sz w:val="20"/>
                <w:szCs w:val="20"/>
              </w:rPr>
              <w:t>PSWITCH</w:t>
            </w:r>
          </w:p>
        </w:tc>
      </w:tr>
      <w:tr w:rsidR="004D4D3A" w:rsidRPr="004D4D3A" w14:paraId="2465E6D3" w14:textId="77777777" w:rsidTr="00047F8D">
        <w:tc>
          <w:tcPr>
            <w:tcW w:w="2122" w:type="dxa"/>
            <w:tcBorders>
              <w:bottom w:val="single" w:sz="4" w:space="0" w:color="auto"/>
            </w:tcBorders>
          </w:tcPr>
          <w:p w14:paraId="1E6CC3F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1417" w:type="dxa"/>
            <w:tcBorders>
              <w:bottom w:val="single" w:sz="4" w:space="0" w:color="auto"/>
            </w:tcBorders>
          </w:tcPr>
          <w:p w14:paraId="4DA6D9A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Expected sign</w:t>
            </w:r>
          </w:p>
        </w:tc>
        <w:tc>
          <w:tcPr>
            <w:tcW w:w="2738" w:type="dxa"/>
            <w:tcBorders>
              <w:top w:val="single" w:sz="4" w:space="0" w:color="auto"/>
              <w:bottom w:val="single" w:sz="4" w:space="0" w:color="auto"/>
            </w:tcBorders>
          </w:tcPr>
          <w:p w14:paraId="14F8F6B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Coefficient</w:t>
            </w:r>
          </w:p>
        </w:tc>
        <w:tc>
          <w:tcPr>
            <w:tcW w:w="2739" w:type="dxa"/>
            <w:tcBorders>
              <w:top w:val="single" w:sz="4" w:space="0" w:color="auto"/>
              <w:bottom w:val="single" w:sz="4" w:space="0" w:color="auto"/>
            </w:tcBorders>
          </w:tcPr>
          <w:p w14:paraId="2E1CDD6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z-statistic</w:t>
            </w:r>
          </w:p>
        </w:tc>
      </w:tr>
      <w:tr w:rsidR="004D4D3A" w:rsidRPr="004D4D3A" w14:paraId="6AE923EE" w14:textId="77777777" w:rsidTr="00047F8D">
        <w:tc>
          <w:tcPr>
            <w:tcW w:w="2122" w:type="dxa"/>
            <w:tcBorders>
              <w:top w:val="single" w:sz="4" w:space="0" w:color="auto"/>
            </w:tcBorders>
          </w:tcPr>
          <w:p w14:paraId="7454E78B"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Intercept</w:t>
            </w:r>
          </w:p>
        </w:tc>
        <w:tc>
          <w:tcPr>
            <w:tcW w:w="1417" w:type="dxa"/>
            <w:tcBorders>
              <w:top w:val="single" w:sz="4" w:space="0" w:color="auto"/>
            </w:tcBorders>
          </w:tcPr>
          <w:p w14:paraId="7843B6D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2738" w:type="dxa"/>
            <w:tcBorders>
              <w:top w:val="single" w:sz="4" w:space="0" w:color="auto"/>
            </w:tcBorders>
          </w:tcPr>
          <w:p w14:paraId="58CAD70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-0.488*</w:t>
            </w:r>
          </w:p>
        </w:tc>
        <w:tc>
          <w:tcPr>
            <w:tcW w:w="2739" w:type="dxa"/>
            <w:tcBorders>
              <w:top w:val="single" w:sz="4" w:space="0" w:color="auto"/>
            </w:tcBorders>
          </w:tcPr>
          <w:p w14:paraId="78A8484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-1.88</w:t>
            </w:r>
          </w:p>
        </w:tc>
      </w:tr>
      <w:tr w:rsidR="004D4D3A" w:rsidRPr="004D4D3A" w14:paraId="1B3F2D23" w14:textId="77777777" w:rsidTr="00047F8D">
        <w:tc>
          <w:tcPr>
            <w:tcW w:w="2122" w:type="dxa"/>
          </w:tcPr>
          <w:p w14:paraId="0D14496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p>
        </w:tc>
        <w:tc>
          <w:tcPr>
            <w:tcW w:w="1417" w:type="dxa"/>
          </w:tcPr>
          <w:p w14:paraId="5E50326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45AA98A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-37.561***</w:t>
            </w:r>
          </w:p>
        </w:tc>
        <w:tc>
          <w:tcPr>
            <w:tcW w:w="2739" w:type="dxa"/>
          </w:tcPr>
          <w:p w14:paraId="3CAEDC1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-17.37</w:t>
            </w:r>
          </w:p>
        </w:tc>
      </w:tr>
      <w:tr w:rsidR="004D4D3A" w:rsidRPr="004D4D3A" w14:paraId="2D0B1073" w14:textId="77777777" w:rsidTr="00047F8D">
        <w:tc>
          <w:tcPr>
            <w:tcW w:w="2122" w:type="dxa"/>
          </w:tcPr>
          <w:p w14:paraId="61B3611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OP</w:t>
            </w:r>
            <w:r w:rsidRPr="004D4D3A">
              <w:rPr>
                <w:rFonts w:ascii="Times New Roman"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RPT</w:t>
            </w:r>
          </w:p>
        </w:tc>
        <w:tc>
          <w:tcPr>
            <w:tcW w:w="1417" w:type="dxa"/>
          </w:tcPr>
          <w:p w14:paraId="399FC2B6"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40FD8B6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0.011</w:t>
            </w:r>
          </w:p>
        </w:tc>
        <w:tc>
          <w:tcPr>
            <w:tcW w:w="2739" w:type="dxa"/>
          </w:tcPr>
          <w:p w14:paraId="59DA76C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0.20</w:t>
            </w:r>
          </w:p>
        </w:tc>
      </w:tr>
      <w:tr w:rsidR="004D4D3A" w:rsidRPr="004D4D3A" w14:paraId="46DF5E6C" w14:textId="77777777" w:rsidTr="00047F8D">
        <w:tc>
          <w:tcPr>
            <w:tcW w:w="2122" w:type="dxa"/>
          </w:tcPr>
          <w:p w14:paraId="1C82DE0D"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NOP</w:t>
            </w:r>
            <w:r w:rsidRPr="004D4D3A">
              <w:rPr>
                <w:rFonts w:ascii="Times New Roman"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RPT</w:t>
            </w:r>
          </w:p>
        </w:tc>
        <w:tc>
          <w:tcPr>
            <w:tcW w:w="1417" w:type="dxa"/>
          </w:tcPr>
          <w:p w14:paraId="638D5D2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413AB4F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-0.013</w:t>
            </w:r>
          </w:p>
        </w:tc>
        <w:tc>
          <w:tcPr>
            <w:tcW w:w="2739" w:type="dxa"/>
          </w:tcPr>
          <w:p w14:paraId="043D833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-0.28</w:t>
            </w:r>
          </w:p>
        </w:tc>
      </w:tr>
      <w:tr w:rsidR="004D4D3A" w:rsidRPr="004D4D3A" w14:paraId="72630F1A" w14:textId="77777777" w:rsidTr="00047F8D">
        <w:tc>
          <w:tcPr>
            <w:tcW w:w="2122" w:type="dxa"/>
          </w:tcPr>
          <w:p w14:paraId="02362ABB"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r w:rsidRPr="004D4D3A">
              <w:rPr>
                <w:rFonts w:ascii="Times New Roman" w:eastAsia="標楷體" w:hAnsi="Times New Roman" w:cs="Times New Roman"/>
                <w:color w:val="000000" w:themeColor="text1"/>
                <w:sz w:val="20"/>
                <w:szCs w:val="20"/>
              </w:rPr>
              <w:t>×</w:t>
            </w:r>
            <w:r w:rsidRPr="004D4D3A">
              <w:rPr>
                <w:rFonts w:ascii="Times New Roman" w:eastAsia="標楷體" w:hAnsi="Times New Roman" w:cs="Times New Roman"/>
                <w:i/>
                <w:color w:val="000000" w:themeColor="text1"/>
                <w:sz w:val="20"/>
                <w:szCs w:val="20"/>
              </w:rPr>
              <w:t>OP</w:t>
            </w:r>
            <w:r w:rsidRPr="004D4D3A">
              <w:rPr>
                <w:rFonts w:ascii="Times New Roman" w:eastAsia="標楷體"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RPT</w:t>
            </w:r>
          </w:p>
        </w:tc>
        <w:tc>
          <w:tcPr>
            <w:tcW w:w="1417" w:type="dxa"/>
          </w:tcPr>
          <w:p w14:paraId="7312051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15598C2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-0.469</w:t>
            </w:r>
          </w:p>
        </w:tc>
        <w:tc>
          <w:tcPr>
            <w:tcW w:w="2739" w:type="dxa"/>
          </w:tcPr>
          <w:p w14:paraId="2761EA3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-0.06</w:t>
            </w:r>
          </w:p>
        </w:tc>
      </w:tr>
      <w:tr w:rsidR="004D4D3A" w:rsidRPr="004D4D3A" w14:paraId="7AFA04FF" w14:textId="77777777" w:rsidTr="00047F8D">
        <w:tc>
          <w:tcPr>
            <w:tcW w:w="2122" w:type="dxa"/>
          </w:tcPr>
          <w:p w14:paraId="5D47517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r w:rsidRPr="004D4D3A">
              <w:rPr>
                <w:rFonts w:ascii="Times New Roman" w:eastAsia="標楷體" w:hAnsi="Times New Roman" w:cs="Times New Roman"/>
                <w:color w:val="000000" w:themeColor="text1"/>
                <w:sz w:val="20"/>
                <w:szCs w:val="20"/>
              </w:rPr>
              <w:t>×</w:t>
            </w:r>
            <w:r w:rsidRPr="004D4D3A">
              <w:rPr>
                <w:rFonts w:ascii="Times New Roman" w:eastAsia="標楷體" w:hAnsi="Times New Roman" w:cs="Times New Roman"/>
                <w:i/>
                <w:color w:val="000000" w:themeColor="text1"/>
                <w:sz w:val="20"/>
                <w:szCs w:val="20"/>
              </w:rPr>
              <w:t>NOP</w:t>
            </w:r>
            <w:r w:rsidRPr="004D4D3A">
              <w:rPr>
                <w:rFonts w:ascii="Times New Roman" w:eastAsia="標楷體"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RPT</w:t>
            </w:r>
          </w:p>
        </w:tc>
        <w:tc>
          <w:tcPr>
            <w:tcW w:w="1417" w:type="dxa"/>
          </w:tcPr>
          <w:p w14:paraId="140CB67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46C0DF9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-18.299**</w:t>
            </w:r>
          </w:p>
        </w:tc>
        <w:tc>
          <w:tcPr>
            <w:tcW w:w="2739" w:type="dxa"/>
          </w:tcPr>
          <w:p w14:paraId="704DFD4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-2.17</w:t>
            </w:r>
          </w:p>
        </w:tc>
      </w:tr>
      <w:tr w:rsidR="004D4D3A" w:rsidRPr="004D4D3A" w14:paraId="0175B619" w14:textId="77777777" w:rsidTr="00047F8D">
        <w:tc>
          <w:tcPr>
            <w:tcW w:w="2122" w:type="dxa"/>
          </w:tcPr>
          <w:p w14:paraId="649EAF08"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TENURE</w:t>
            </w:r>
          </w:p>
        </w:tc>
        <w:tc>
          <w:tcPr>
            <w:tcW w:w="1417" w:type="dxa"/>
          </w:tcPr>
          <w:p w14:paraId="36ADC49C"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435C746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0.016***</w:t>
            </w:r>
          </w:p>
        </w:tc>
        <w:tc>
          <w:tcPr>
            <w:tcW w:w="2739" w:type="dxa"/>
          </w:tcPr>
          <w:p w14:paraId="4CEB7F0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5.55</w:t>
            </w:r>
          </w:p>
        </w:tc>
      </w:tr>
      <w:tr w:rsidR="004D4D3A" w:rsidRPr="004D4D3A" w14:paraId="6C2E8641" w14:textId="77777777" w:rsidTr="00047F8D">
        <w:tc>
          <w:tcPr>
            <w:tcW w:w="2122" w:type="dxa"/>
          </w:tcPr>
          <w:p w14:paraId="1BD77C2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L1PENURE</w:t>
            </w:r>
          </w:p>
        </w:tc>
        <w:tc>
          <w:tcPr>
            <w:tcW w:w="1417" w:type="dxa"/>
          </w:tcPr>
          <w:p w14:paraId="34C3B2C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52AF296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0.137***</w:t>
            </w:r>
          </w:p>
        </w:tc>
        <w:tc>
          <w:tcPr>
            <w:tcW w:w="2739" w:type="dxa"/>
          </w:tcPr>
          <w:p w14:paraId="24D3CB6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8.55</w:t>
            </w:r>
          </w:p>
        </w:tc>
      </w:tr>
      <w:tr w:rsidR="004D4D3A" w:rsidRPr="004D4D3A" w14:paraId="440FEFA2" w14:textId="77777777" w:rsidTr="00047F8D">
        <w:tc>
          <w:tcPr>
            <w:tcW w:w="2122" w:type="dxa"/>
          </w:tcPr>
          <w:p w14:paraId="4FE15E07"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PSPEC</w:t>
            </w:r>
          </w:p>
        </w:tc>
        <w:tc>
          <w:tcPr>
            <w:tcW w:w="1417" w:type="dxa"/>
          </w:tcPr>
          <w:p w14:paraId="13E11A79" w14:textId="3F2D84FD"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3DC144F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0.114**</w:t>
            </w:r>
          </w:p>
        </w:tc>
        <w:tc>
          <w:tcPr>
            <w:tcW w:w="2739" w:type="dxa"/>
          </w:tcPr>
          <w:p w14:paraId="3A7F634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2.07</w:t>
            </w:r>
          </w:p>
        </w:tc>
      </w:tr>
      <w:tr w:rsidR="004D4D3A" w:rsidRPr="004D4D3A" w14:paraId="61510B83" w14:textId="77777777" w:rsidTr="00047F8D">
        <w:tc>
          <w:tcPr>
            <w:tcW w:w="2122" w:type="dxa"/>
          </w:tcPr>
          <w:p w14:paraId="3269021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CI</w:t>
            </w:r>
          </w:p>
        </w:tc>
        <w:tc>
          <w:tcPr>
            <w:tcW w:w="1417" w:type="dxa"/>
          </w:tcPr>
          <w:p w14:paraId="0181862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6103FAD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-0.677</w:t>
            </w:r>
          </w:p>
        </w:tc>
        <w:tc>
          <w:tcPr>
            <w:tcW w:w="2739" w:type="dxa"/>
          </w:tcPr>
          <w:p w14:paraId="70BB6CF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-1.42</w:t>
            </w:r>
          </w:p>
        </w:tc>
      </w:tr>
      <w:tr w:rsidR="004D4D3A" w:rsidRPr="004D4D3A" w14:paraId="48ED95D9" w14:textId="77777777" w:rsidTr="00047F8D">
        <w:tc>
          <w:tcPr>
            <w:tcW w:w="2122" w:type="dxa"/>
          </w:tcPr>
          <w:p w14:paraId="7D33861D"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ROA</w:t>
            </w:r>
          </w:p>
        </w:tc>
        <w:tc>
          <w:tcPr>
            <w:tcW w:w="1417" w:type="dxa"/>
          </w:tcPr>
          <w:p w14:paraId="3CAD0B7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559D6A5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0.675**</w:t>
            </w:r>
          </w:p>
        </w:tc>
        <w:tc>
          <w:tcPr>
            <w:tcW w:w="2739" w:type="dxa"/>
          </w:tcPr>
          <w:p w14:paraId="13052F2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2.51</w:t>
            </w:r>
          </w:p>
        </w:tc>
      </w:tr>
      <w:tr w:rsidR="004D4D3A" w:rsidRPr="004D4D3A" w14:paraId="643C6065" w14:textId="77777777" w:rsidTr="00047F8D">
        <w:tc>
          <w:tcPr>
            <w:tcW w:w="2122" w:type="dxa"/>
          </w:tcPr>
          <w:p w14:paraId="5D9A7AA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LOSS</w:t>
            </w:r>
          </w:p>
        </w:tc>
        <w:tc>
          <w:tcPr>
            <w:tcW w:w="1417" w:type="dxa"/>
          </w:tcPr>
          <w:p w14:paraId="0A6023D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254B104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-0.428***</w:t>
            </w:r>
          </w:p>
        </w:tc>
        <w:tc>
          <w:tcPr>
            <w:tcW w:w="2739" w:type="dxa"/>
          </w:tcPr>
          <w:p w14:paraId="4BBB1C6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-9.25</w:t>
            </w:r>
          </w:p>
        </w:tc>
      </w:tr>
      <w:tr w:rsidR="004D4D3A" w:rsidRPr="004D4D3A" w14:paraId="21C71BBE" w14:textId="77777777" w:rsidTr="00047F8D">
        <w:tc>
          <w:tcPr>
            <w:tcW w:w="2122" w:type="dxa"/>
          </w:tcPr>
          <w:p w14:paraId="7B4AF48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MAR</w:t>
            </w:r>
          </w:p>
        </w:tc>
        <w:tc>
          <w:tcPr>
            <w:tcW w:w="1417" w:type="dxa"/>
          </w:tcPr>
          <w:p w14:paraId="0592F5B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71E878D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-0.010</w:t>
            </w:r>
          </w:p>
        </w:tc>
        <w:tc>
          <w:tcPr>
            <w:tcW w:w="2739" w:type="dxa"/>
          </w:tcPr>
          <w:p w14:paraId="7E6FCAE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-0.42</w:t>
            </w:r>
          </w:p>
        </w:tc>
      </w:tr>
      <w:tr w:rsidR="004D4D3A" w:rsidRPr="004D4D3A" w14:paraId="594DE62C" w14:textId="77777777" w:rsidTr="00047F8D">
        <w:tc>
          <w:tcPr>
            <w:tcW w:w="2122" w:type="dxa"/>
          </w:tcPr>
          <w:p w14:paraId="6E80013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GROWTH</w:t>
            </w:r>
          </w:p>
        </w:tc>
        <w:tc>
          <w:tcPr>
            <w:tcW w:w="1417" w:type="dxa"/>
          </w:tcPr>
          <w:p w14:paraId="3FBAA558" w14:textId="58E89332"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7665F43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0.002</w:t>
            </w:r>
          </w:p>
        </w:tc>
        <w:tc>
          <w:tcPr>
            <w:tcW w:w="2739" w:type="dxa"/>
          </w:tcPr>
          <w:p w14:paraId="4056B44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0.07</w:t>
            </w:r>
          </w:p>
        </w:tc>
      </w:tr>
      <w:tr w:rsidR="004D4D3A" w:rsidRPr="004D4D3A" w14:paraId="5A9CB5F7" w14:textId="77777777" w:rsidTr="00047F8D">
        <w:tc>
          <w:tcPr>
            <w:tcW w:w="2122" w:type="dxa"/>
          </w:tcPr>
          <w:p w14:paraId="1C84078B"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LEV</w:t>
            </w:r>
          </w:p>
        </w:tc>
        <w:tc>
          <w:tcPr>
            <w:tcW w:w="1417" w:type="dxa"/>
          </w:tcPr>
          <w:p w14:paraId="1022260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0918CB4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0.042</w:t>
            </w:r>
          </w:p>
        </w:tc>
        <w:tc>
          <w:tcPr>
            <w:tcW w:w="2739" w:type="dxa"/>
          </w:tcPr>
          <w:p w14:paraId="173B579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0.55</w:t>
            </w:r>
          </w:p>
        </w:tc>
      </w:tr>
      <w:tr w:rsidR="004D4D3A" w:rsidRPr="004D4D3A" w14:paraId="3F37CBAC" w14:textId="77777777" w:rsidTr="00047F8D">
        <w:tc>
          <w:tcPr>
            <w:tcW w:w="2122" w:type="dxa"/>
          </w:tcPr>
          <w:p w14:paraId="48FDAAB5"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CFO</w:t>
            </w:r>
          </w:p>
        </w:tc>
        <w:tc>
          <w:tcPr>
            <w:tcW w:w="1417" w:type="dxa"/>
          </w:tcPr>
          <w:p w14:paraId="468AC3C3" w14:textId="2B04689A"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5484D9C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-0.039</w:t>
            </w:r>
          </w:p>
        </w:tc>
        <w:tc>
          <w:tcPr>
            <w:tcW w:w="2739" w:type="dxa"/>
          </w:tcPr>
          <w:p w14:paraId="07A4254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-0.24</w:t>
            </w:r>
          </w:p>
        </w:tc>
      </w:tr>
      <w:tr w:rsidR="004D4D3A" w:rsidRPr="004D4D3A" w14:paraId="58FE96B9" w14:textId="77777777" w:rsidTr="00047F8D">
        <w:tc>
          <w:tcPr>
            <w:tcW w:w="2122" w:type="dxa"/>
          </w:tcPr>
          <w:p w14:paraId="5A8D5103"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ARINV</w:t>
            </w:r>
          </w:p>
        </w:tc>
        <w:tc>
          <w:tcPr>
            <w:tcW w:w="1417" w:type="dxa"/>
          </w:tcPr>
          <w:p w14:paraId="7A69BD86"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4598AAE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0.090</w:t>
            </w:r>
          </w:p>
        </w:tc>
        <w:tc>
          <w:tcPr>
            <w:tcW w:w="2739" w:type="dxa"/>
          </w:tcPr>
          <w:p w14:paraId="0CE219A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1.11</w:t>
            </w:r>
          </w:p>
        </w:tc>
      </w:tr>
      <w:tr w:rsidR="004D4D3A" w:rsidRPr="004D4D3A" w14:paraId="1CBC19B6" w14:textId="77777777" w:rsidTr="00047F8D">
        <w:tc>
          <w:tcPr>
            <w:tcW w:w="2122" w:type="dxa"/>
          </w:tcPr>
          <w:p w14:paraId="39E9117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SEO</w:t>
            </w:r>
          </w:p>
        </w:tc>
        <w:tc>
          <w:tcPr>
            <w:tcW w:w="1417" w:type="dxa"/>
          </w:tcPr>
          <w:p w14:paraId="3D510A4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690346A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0.002</w:t>
            </w:r>
          </w:p>
        </w:tc>
        <w:tc>
          <w:tcPr>
            <w:tcW w:w="2739" w:type="dxa"/>
          </w:tcPr>
          <w:p w14:paraId="3DB9D20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w:t>
            </w:r>
          </w:p>
        </w:tc>
      </w:tr>
      <w:tr w:rsidR="004D4D3A" w:rsidRPr="004D4D3A" w14:paraId="4CFEDC26" w14:textId="77777777" w:rsidTr="00047F8D">
        <w:tc>
          <w:tcPr>
            <w:tcW w:w="2122" w:type="dxa"/>
          </w:tcPr>
          <w:p w14:paraId="77331E8D"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SIZE</w:t>
            </w:r>
          </w:p>
        </w:tc>
        <w:tc>
          <w:tcPr>
            <w:tcW w:w="1417" w:type="dxa"/>
          </w:tcPr>
          <w:p w14:paraId="7F27F35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3AAF550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-0.012</w:t>
            </w:r>
          </w:p>
        </w:tc>
        <w:tc>
          <w:tcPr>
            <w:tcW w:w="2739" w:type="dxa"/>
          </w:tcPr>
          <w:p w14:paraId="735CDFB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-1.06</w:t>
            </w:r>
          </w:p>
        </w:tc>
      </w:tr>
      <w:tr w:rsidR="004D4D3A" w:rsidRPr="004D4D3A" w14:paraId="4688D1D8" w14:textId="77777777" w:rsidTr="00047F8D">
        <w:tc>
          <w:tcPr>
            <w:tcW w:w="2122" w:type="dxa"/>
          </w:tcPr>
          <w:p w14:paraId="68507D0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AGE</w:t>
            </w:r>
          </w:p>
        </w:tc>
        <w:tc>
          <w:tcPr>
            <w:tcW w:w="1417" w:type="dxa"/>
          </w:tcPr>
          <w:p w14:paraId="72D9BD4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38" w:type="dxa"/>
          </w:tcPr>
          <w:p w14:paraId="2640168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-0.013***</w:t>
            </w:r>
          </w:p>
        </w:tc>
        <w:tc>
          <w:tcPr>
            <w:tcW w:w="2739" w:type="dxa"/>
          </w:tcPr>
          <w:p w14:paraId="03AE088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-5.10</w:t>
            </w:r>
          </w:p>
        </w:tc>
      </w:tr>
      <w:tr w:rsidR="004D4D3A" w:rsidRPr="004D4D3A" w14:paraId="123011A2" w14:textId="77777777" w:rsidTr="00047F8D">
        <w:tc>
          <w:tcPr>
            <w:tcW w:w="2122" w:type="dxa"/>
          </w:tcPr>
          <w:p w14:paraId="09E71FEB"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Year fixed effects</w:t>
            </w:r>
          </w:p>
        </w:tc>
        <w:tc>
          <w:tcPr>
            <w:tcW w:w="1417" w:type="dxa"/>
          </w:tcPr>
          <w:p w14:paraId="02C022B0"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38" w:type="dxa"/>
          </w:tcPr>
          <w:p w14:paraId="1FFF62C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39" w:type="dxa"/>
          </w:tcPr>
          <w:p w14:paraId="237D1F8C"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2B982E4D" w14:textId="77777777" w:rsidTr="00047F8D">
        <w:tc>
          <w:tcPr>
            <w:tcW w:w="2122" w:type="dxa"/>
          </w:tcPr>
          <w:p w14:paraId="59212A2C"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Industry fixed effects</w:t>
            </w:r>
          </w:p>
        </w:tc>
        <w:tc>
          <w:tcPr>
            <w:tcW w:w="1417" w:type="dxa"/>
          </w:tcPr>
          <w:p w14:paraId="685BCE45"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38" w:type="dxa"/>
          </w:tcPr>
          <w:p w14:paraId="250529A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39" w:type="dxa"/>
          </w:tcPr>
          <w:p w14:paraId="521C87F2"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18EA8280" w14:textId="77777777" w:rsidTr="00047F8D">
        <w:tc>
          <w:tcPr>
            <w:tcW w:w="2122" w:type="dxa"/>
          </w:tcPr>
          <w:p w14:paraId="0834FC38"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Pseudo R</w:t>
            </w:r>
            <w:r w:rsidRPr="004D4D3A">
              <w:rPr>
                <w:rFonts w:ascii="Times New Roman" w:hAnsi="Times New Roman" w:cs="Times New Roman"/>
                <w:color w:val="000000" w:themeColor="text1"/>
                <w:sz w:val="20"/>
                <w:szCs w:val="20"/>
                <w:vertAlign w:val="superscript"/>
              </w:rPr>
              <w:t>2</w:t>
            </w:r>
          </w:p>
        </w:tc>
        <w:tc>
          <w:tcPr>
            <w:tcW w:w="1417" w:type="dxa"/>
          </w:tcPr>
          <w:p w14:paraId="73BCA55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38" w:type="dxa"/>
          </w:tcPr>
          <w:p w14:paraId="271EFE6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0.051</w:t>
            </w:r>
          </w:p>
        </w:tc>
        <w:tc>
          <w:tcPr>
            <w:tcW w:w="2739" w:type="dxa"/>
          </w:tcPr>
          <w:p w14:paraId="6B117CB8"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0B22F248" w14:textId="77777777" w:rsidTr="00047F8D">
        <w:tc>
          <w:tcPr>
            <w:tcW w:w="2122" w:type="dxa"/>
            <w:tcBorders>
              <w:bottom w:val="single" w:sz="4" w:space="0" w:color="auto"/>
            </w:tcBorders>
          </w:tcPr>
          <w:p w14:paraId="779D3273"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n</w:t>
            </w:r>
          </w:p>
        </w:tc>
        <w:tc>
          <w:tcPr>
            <w:tcW w:w="1417" w:type="dxa"/>
            <w:tcBorders>
              <w:bottom w:val="single" w:sz="4" w:space="0" w:color="auto"/>
            </w:tcBorders>
          </w:tcPr>
          <w:p w14:paraId="64A570B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38" w:type="dxa"/>
            <w:tcBorders>
              <w:bottom w:val="single" w:sz="4" w:space="0" w:color="auto"/>
            </w:tcBorders>
          </w:tcPr>
          <w:p w14:paraId="39E12D8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12,827</w:t>
            </w:r>
          </w:p>
        </w:tc>
        <w:tc>
          <w:tcPr>
            <w:tcW w:w="2739" w:type="dxa"/>
            <w:tcBorders>
              <w:bottom w:val="single" w:sz="4" w:space="0" w:color="auto"/>
            </w:tcBorders>
          </w:tcPr>
          <w:p w14:paraId="0E9BD40F"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bl>
    <w:p w14:paraId="56B57BC9" w14:textId="48E69D53" w:rsidR="00081DF7" w:rsidRPr="004D4D3A" w:rsidRDefault="00081DF7" w:rsidP="00081DF7">
      <w:pPr>
        <w:spacing w:line="24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t xml:space="preserve">Variable definitions: </w:t>
      </w:r>
      <w:r w:rsidRPr="004D4D3A">
        <w:rPr>
          <w:rFonts w:ascii="Times New Roman" w:hAnsi="Times New Roman" w:cs="Times New Roman"/>
          <w:i/>
          <w:color w:val="000000" w:themeColor="text1"/>
          <w:sz w:val="20"/>
          <w:szCs w:val="20"/>
        </w:rPr>
        <w:t>PSWITCH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is audited by a new partner, and 0 otherwise. </w:t>
      </w:r>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difference in the predicted probability between receiving a MAO conditioned to a firm switch its partner and receiving a MAO conditioned to not switching the partner. </w:t>
      </w:r>
      <w:r w:rsidRPr="004D4D3A">
        <w:rPr>
          <w:rFonts w:ascii="Times New Roman" w:hAnsi="Times New Roman" w:cs="Times New Roman"/>
          <w:i/>
          <w:color w:val="000000" w:themeColor="text1"/>
          <w:kern w:val="0"/>
          <w:sz w:val="20"/>
          <w:szCs w:val="20"/>
        </w:rPr>
        <w:t>OP</w:t>
      </w:r>
      <w:r w:rsidRPr="004D4D3A">
        <w:rPr>
          <w:rFonts w:ascii="Times New Roman" w:hAnsi="Times New Roman" w:cs="Times New Roman"/>
          <w:color w:val="000000" w:themeColor="text1"/>
          <w:kern w:val="0"/>
          <w:sz w:val="20"/>
          <w:szCs w:val="20"/>
        </w:rPr>
        <w:t>_</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amount of operating RPTs scaled by total assets. </w:t>
      </w:r>
      <w:r w:rsidRPr="004D4D3A">
        <w:rPr>
          <w:rFonts w:ascii="Times New Roman" w:hAnsi="Times New Roman" w:cs="Times New Roman"/>
          <w:i/>
          <w:color w:val="000000" w:themeColor="text1"/>
          <w:kern w:val="0"/>
          <w:sz w:val="20"/>
          <w:szCs w:val="20"/>
        </w:rPr>
        <w:t>NOP</w:t>
      </w:r>
      <w:r w:rsidRPr="004D4D3A">
        <w:rPr>
          <w:rFonts w:ascii="Times New Roman" w:hAnsi="Times New Roman" w:cs="Times New Roman"/>
          <w:color w:val="000000" w:themeColor="text1"/>
          <w:kern w:val="0"/>
          <w:sz w:val="20"/>
          <w:szCs w:val="20"/>
        </w:rPr>
        <w:t>_</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amount of non-operating RPTs scaled by total assets. </w:t>
      </w:r>
      <w:r w:rsidRPr="004D4D3A">
        <w:rPr>
          <w:rFonts w:ascii="Times New Roman" w:hAnsi="Times New Roman" w:cs="Times New Roman"/>
          <w:i/>
          <w:color w:val="000000" w:themeColor="text1"/>
          <w:sz w:val="20"/>
          <w:szCs w:val="20"/>
        </w:rPr>
        <w:t>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number of consecutive years that the firm has retained the incumbent audit firm. </w:t>
      </w:r>
      <w:r w:rsidRPr="004D4D3A">
        <w:rPr>
          <w:rFonts w:ascii="Times New Roman" w:hAnsi="Times New Roman" w:cs="Times New Roman"/>
          <w:i/>
          <w:color w:val="000000" w:themeColor="text1"/>
          <w:sz w:val="20"/>
          <w:szCs w:val="20"/>
        </w:rPr>
        <w:t>L1PTENURE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last year’s average number of consecutive years that the engagement partners have signed the annual audit report of the client. </w:t>
      </w:r>
      <w:r w:rsidRPr="004D4D3A">
        <w:rPr>
          <w:rFonts w:ascii="Times New Roman" w:hAnsi="Times New Roman" w:cs="Times New Roman"/>
          <w:i/>
          <w:color w:val="000000" w:themeColor="text1"/>
          <w:kern w:val="0"/>
          <w:sz w:val="20"/>
          <w:szCs w:val="20"/>
        </w:rPr>
        <w:t>PSPEC</w:t>
      </w:r>
      <w:r w:rsidRPr="004D4D3A">
        <w:rPr>
          <w:rFonts w:ascii="Times New Roman" w:hAnsi="Times New Roman" w:cs="Times New Roman"/>
          <w:color w:val="000000" w:themeColor="text1"/>
          <w:kern w:val="0"/>
          <w:sz w:val="20"/>
          <w:szCs w:val="20"/>
        </w:rPr>
        <w:t xml:space="preserve"> = indicator variable set to 1 if any of the engagement partners is the industry leader or has a market share of greater than 10 percent in terms of total assets audited in the industry, and 0 otherwise. </w:t>
      </w:r>
      <w:r w:rsidRPr="004D4D3A">
        <w:rPr>
          <w:rFonts w:ascii="Times New Roman" w:hAnsi="Times New Roman" w:cs="Times New Roman"/>
          <w:i/>
          <w:color w:val="000000" w:themeColor="text1"/>
          <w:sz w:val="20"/>
          <w:szCs w:val="20"/>
        </w:rPr>
        <w:t>CI</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natural log of the client’s total assets scaled by the sum of the natural log of total assets of all clients audited by the same audit firm. </w:t>
      </w:r>
      <w:r w:rsidRPr="004D4D3A">
        <w:rPr>
          <w:rFonts w:ascii="Times New Roman" w:hAnsi="Times New Roman" w:cs="Times New Roman"/>
          <w:i/>
          <w:color w:val="000000" w:themeColor="text1"/>
          <w:sz w:val="20"/>
          <w:szCs w:val="20"/>
        </w:rPr>
        <w:t>ROA</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net income scaled by total assets. </w:t>
      </w:r>
      <w:r w:rsidRPr="004D4D3A">
        <w:rPr>
          <w:rFonts w:ascii="Times New Roman" w:hAnsi="Times New Roman" w:cs="Times New Roman"/>
          <w:i/>
          <w:color w:val="000000" w:themeColor="text1"/>
          <w:sz w:val="20"/>
          <w:szCs w:val="20"/>
        </w:rPr>
        <w:t>LOSS</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reports a loss for the year, and 0 otherwise. </w:t>
      </w:r>
      <w:r w:rsidRPr="004D4D3A">
        <w:rPr>
          <w:rFonts w:ascii="Times New Roman" w:hAnsi="Times New Roman" w:cs="Times New Roman"/>
          <w:i/>
          <w:color w:val="000000" w:themeColor="text1"/>
          <w:sz w:val="20"/>
          <w:szCs w:val="20"/>
        </w:rPr>
        <w:t>MAR</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annual return minus annual market return. </w:t>
      </w:r>
      <w:r w:rsidRPr="004D4D3A">
        <w:rPr>
          <w:rFonts w:ascii="Times New Roman" w:hAnsi="Times New Roman" w:cs="Times New Roman"/>
          <w:i/>
          <w:color w:val="000000" w:themeColor="text1"/>
          <w:sz w:val="20"/>
          <w:szCs w:val="20"/>
        </w:rPr>
        <w:t>GROWTH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change in sales scaled by lagged sales. </w:t>
      </w:r>
      <w:r w:rsidRPr="004D4D3A">
        <w:rPr>
          <w:rFonts w:ascii="Times New Roman" w:hAnsi="Times New Roman" w:cs="Times New Roman"/>
          <w:i/>
          <w:color w:val="000000" w:themeColor="text1"/>
          <w:sz w:val="20"/>
          <w:szCs w:val="20"/>
        </w:rPr>
        <w:t>LEV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total debt deflated by total assets. </w:t>
      </w:r>
      <w:r w:rsidRPr="004D4D3A">
        <w:rPr>
          <w:rFonts w:ascii="Times New Roman" w:hAnsi="Times New Roman" w:cs="Times New Roman"/>
          <w:i/>
          <w:color w:val="000000" w:themeColor="text1"/>
          <w:sz w:val="20"/>
          <w:szCs w:val="20"/>
        </w:rPr>
        <w:t>CFO</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cash flow from operations scaled by total assets. </w:t>
      </w:r>
      <w:r w:rsidRPr="004D4D3A">
        <w:rPr>
          <w:rFonts w:ascii="Times New Roman" w:hAnsi="Times New Roman" w:cs="Times New Roman"/>
          <w:i/>
          <w:color w:val="000000" w:themeColor="text1"/>
          <w:sz w:val="20"/>
          <w:szCs w:val="20"/>
        </w:rPr>
        <w:t>ARINV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accounts receivable plus inventory scaled by total assets. </w:t>
      </w:r>
      <w:r w:rsidRPr="004D4D3A">
        <w:rPr>
          <w:rFonts w:ascii="Times New Roman" w:hAnsi="Times New Roman" w:cs="Times New Roman"/>
          <w:i/>
          <w:color w:val="000000" w:themeColor="text1"/>
          <w:sz w:val="20"/>
          <w:szCs w:val="20"/>
        </w:rPr>
        <w:t>SEO</w:t>
      </w:r>
      <w:r w:rsidRPr="004D4D3A">
        <w:rPr>
          <w:rFonts w:ascii="Times New Roman" w:hAnsi="Times New Roman" w:cs="Times New Roman"/>
          <w:color w:val="000000" w:themeColor="text1"/>
          <w:sz w:val="20"/>
          <w:szCs w:val="20"/>
        </w:rPr>
        <w:t xml:space="preserve"> = indicator variable set to 1 </w:t>
      </w:r>
      <w:r w:rsidRPr="004D4D3A">
        <w:rPr>
          <w:rFonts w:ascii="Times New Roman" w:hAnsi="Times New Roman" w:cs="Times New Roman"/>
          <w:color w:val="000000" w:themeColor="text1"/>
          <w:kern w:val="0"/>
          <w:sz w:val="20"/>
          <w:szCs w:val="20"/>
        </w:rPr>
        <w:t xml:space="preserve">if the firm has seasoned equity offering in the next year, and 0 otherwise. </w:t>
      </w:r>
      <w:r w:rsidRPr="004D4D3A">
        <w:rPr>
          <w:rFonts w:ascii="Times New Roman" w:hAnsi="Times New Roman" w:cs="Times New Roman"/>
          <w:i/>
          <w:color w:val="000000" w:themeColor="text1"/>
          <w:sz w:val="20"/>
          <w:szCs w:val="20"/>
        </w:rPr>
        <w:t>SIZE</w:t>
      </w:r>
      <w:r w:rsidRPr="004D4D3A">
        <w:rPr>
          <w:rFonts w:ascii="Times New Roman" w:hAnsi="Times New Roman" w:cs="Times New Roman"/>
          <w:color w:val="000000" w:themeColor="text1"/>
          <w:sz w:val="20"/>
          <w:szCs w:val="20"/>
        </w:rPr>
        <w:t xml:space="preserve"> = n</w:t>
      </w:r>
      <w:r w:rsidRPr="004D4D3A">
        <w:rPr>
          <w:rFonts w:ascii="Times New Roman" w:hAnsi="Times New Roman" w:cs="Times New Roman"/>
          <w:color w:val="000000" w:themeColor="text1"/>
          <w:kern w:val="0"/>
          <w:sz w:val="20"/>
          <w:szCs w:val="20"/>
        </w:rPr>
        <w:t xml:space="preserve">atural log of total assets. </w:t>
      </w:r>
      <w:r w:rsidRPr="004D4D3A">
        <w:rPr>
          <w:rFonts w:ascii="Times New Roman" w:hAnsi="Times New Roman" w:cs="Times New Roman"/>
          <w:i/>
          <w:color w:val="000000" w:themeColor="text1"/>
          <w:sz w:val="20"/>
          <w:szCs w:val="20"/>
        </w:rPr>
        <w:t>AGE</w:t>
      </w:r>
      <w:r w:rsidRPr="004D4D3A">
        <w:rPr>
          <w:rFonts w:ascii="Times New Roman" w:hAnsi="Times New Roman" w:cs="Times New Roman"/>
          <w:color w:val="000000" w:themeColor="text1"/>
          <w:sz w:val="20"/>
          <w:szCs w:val="20"/>
        </w:rPr>
        <w:t xml:space="preserve"> = </w:t>
      </w:r>
      <w:r w:rsidRPr="004D4D3A">
        <w:rPr>
          <w:rFonts w:ascii="Times New Roman" w:hAnsi="Times New Roman" w:cs="Times New Roman"/>
          <w:color w:val="000000" w:themeColor="text1"/>
          <w:kern w:val="0"/>
          <w:sz w:val="20"/>
          <w:szCs w:val="20"/>
        </w:rPr>
        <w:t xml:space="preserve">number of years since the firm’s initial public offering. </w:t>
      </w:r>
      <w:proofErr w:type="gramStart"/>
      <w:r w:rsidRPr="004D4D3A">
        <w:rPr>
          <w:rFonts w:ascii="Times New Roman" w:hAnsi="Times New Roman" w:cs="Times New Roman"/>
          <w:color w:val="000000" w:themeColor="text1"/>
          <w:kern w:val="0"/>
          <w:sz w:val="20"/>
          <w:szCs w:val="20"/>
        </w:rPr>
        <w:t>z-statistics</w:t>
      </w:r>
      <w:proofErr w:type="gramEnd"/>
      <w:r w:rsidRPr="004D4D3A">
        <w:rPr>
          <w:rFonts w:ascii="Times New Roman" w:hAnsi="Times New Roman" w:cs="Times New Roman"/>
          <w:color w:val="000000" w:themeColor="text1"/>
          <w:kern w:val="0"/>
          <w:sz w:val="20"/>
          <w:szCs w:val="20"/>
        </w:rPr>
        <w:t xml:space="preserve"> are based on standard errors clustered by firm. *, ** and *** indicate two-tailed significance at the 0.10, 0.05 and 0.01 levels, respectively.</w:t>
      </w:r>
    </w:p>
    <w:p w14:paraId="0B5AC0BD" w14:textId="77777777" w:rsidR="00081DF7" w:rsidRPr="004D4D3A" w:rsidRDefault="00081DF7" w:rsidP="00081DF7">
      <w:pPr>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br w:type="page"/>
      </w:r>
    </w:p>
    <w:p w14:paraId="33A0C9A9" w14:textId="77777777" w:rsidR="00081DF7" w:rsidRPr="004D4D3A" w:rsidRDefault="00081DF7" w:rsidP="00081DF7">
      <w:pPr>
        <w:rPr>
          <w:rFonts w:ascii="Times New Roman" w:hAnsi="Times New Roman" w:cs="Times New Roman"/>
          <w:color w:val="000000" w:themeColor="text1"/>
        </w:rPr>
      </w:pPr>
    </w:p>
    <w:p w14:paraId="3A65184F" w14:textId="1A1B507D"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5 Severity of audit opinions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1408"/>
        <w:gridCol w:w="2723"/>
        <w:gridCol w:w="2717"/>
      </w:tblGrid>
      <w:tr w:rsidR="004D4D3A" w:rsidRPr="004D4D3A" w14:paraId="14456004" w14:textId="77777777" w:rsidTr="00047F8D">
        <w:tc>
          <w:tcPr>
            <w:tcW w:w="2173" w:type="dxa"/>
            <w:tcBorders>
              <w:top w:val="single" w:sz="4" w:space="0" w:color="auto"/>
            </w:tcBorders>
          </w:tcPr>
          <w:p w14:paraId="53626637"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1407" w:type="dxa"/>
            <w:tcBorders>
              <w:top w:val="single" w:sz="4" w:space="0" w:color="auto"/>
            </w:tcBorders>
          </w:tcPr>
          <w:p w14:paraId="00F82BD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5436" w:type="dxa"/>
            <w:gridSpan w:val="2"/>
            <w:tcBorders>
              <w:top w:val="single" w:sz="4" w:space="0" w:color="auto"/>
              <w:bottom w:val="single" w:sz="4" w:space="0" w:color="auto"/>
            </w:tcBorders>
          </w:tcPr>
          <w:p w14:paraId="4BB5B09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i/>
                <w:color w:val="000000" w:themeColor="text1"/>
                <w:sz w:val="20"/>
                <w:szCs w:val="20"/>
              </w:rPr>
              <w:t>PSWITCH</w:t>
            </w:r>
          </w:p>
        </w:tc>
      </w:tr>
      <w:tr w:rsidR="004D4D3A" w:rsidRPr="004D4D3A" w14:paraId="77FDD6EF" w14:textId="77777777" w:rsidTr="00047F8D">
        <w:tc>
          <w:tcPr>
            <w:tcW w:w="2173" w:type="dxa"/>
            <w:tcBorders>
              <w:bottom w:val="single" w:sz="4" w:space="0" w:color="auto"/>
            </w:tcBorders>
          </w:tcPr>
          <w:p w14:paraId="4481246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1408" w:type="dxa"/>
            <w:tcBorders>
              <w:bottom w:val="single" w:sz="4" w:space="0" w:color="auto"/>
            </w:tcBorders>
          </w:tcPr>
          <w:p w14:paraId="295DC6E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Expected sign</w:t>
            </w:r>
          </w:p>
        </w:tc>
        <w:tc>
          <w:tcPr>
            <w:tcW w:w="2723" w:type="dxa"/>
            <w:tcBorders>
              <w:top w:val="single" w:sz="4" w:space="0" w:color="auto"/>
              <w:bottom w:val="single" w:sz="4" w:space="0" w:color="auto"/>
            </w:tcBorders>
          </w:tcPr>
          <w:p w14:paraId="0DA3623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Coefficient</w:t>
            </w:r>
          </w:p>
        </w:tc>
        <w:tc>
          <w:tcPr>
            <w:tcW w:w="2717" w:type="dxa"/>
            <w:tcBorders>
              <w:top w:val="single" w:sz="4" w:space="0" w:color="auto"/>
              <w:bottom w:val="single" w:sz="4" w:space="0" w:color="auto"/>
            </w:tcBorders>
          </w:tcPr>
          <w:p w14:paraId="4FFB552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z-statistic</w:t>
            </w:r>
          </w:p>
        </w:tc>
      </w:tr>
      <w:tr w:rsidR="004D4D3A" w:rsidRPr="004D4D3A" w14:paraId="7AB7924D" w14:textId="77777777" w:rsidTr="00047F8D">
        <w:tc>
          <w:tcPr>
            <w:tcW w:w="2173" w:type="dxa"/>
            <w:tcBorders>
              <w:top w:val="single" w:sz="4" w:space="0" w:color="auto"/>
            </w:tcBorders>
          </w:tcPr>
          <w:p w14:paraId="602B8A01"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Intercept</w:t>
            </w:r>
          </w:p>
        </w:tc>
        <w:tc>
          <w:tcPr>
            <w:tcW w:w="1408" w:type="dxa"/>
            <w:tcBorders>
              <w:top w:val="single" w:sz="4" w:space="0" w:color="auto"/>
            </w:tcBorders>
          </w:tcPr>
          <w:p w14:paraId="015A39E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2723" w:type="dxa"/>
            <w:tcBorders>
              <w:top w:val="single" w:sz="4" w:space="0" w:color="auto"/>
            </w:tcBorders>
          </w:tcPr>
          <w:p w14:paraId="7D6B4DB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0.244</w:t>
            </w:r>
          </w:p>
        </w:tc>
        <w:tc>
          <w:tcPr>
            <w:tcW w:w="2717" w:type="dxa"/>
            <w:tcBorders>
              <w:top w:val="single" w:sz="4" w:space="0" w:color="auto"/>
            </w:tcBorders>
          </w:tcPr>
          <w:p w14:paraId="1890812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0.95</w:t>
            </w:r>
          </w:p>
        </w:tc>
      </w:tr>
      <w:tr w:rsidR="004D4D3A" w:rsidRPr="004D4D3A" w14:paraId="621F5C09" w14:textId="77777777" w:rsidTr="00047F8D">
        <w:tc>
          <w:tcPr>
            <w:tcW w:w="2173" w:type="dxa"/>
          </w:tcPr>
          <w:p w14:paraId="6F748BB5" w14:textId="77777777" w:rsidR="00081DF7" w:rsidRPr="004D4D3A" w:rsidRDefault="00081DF7" w:rsidP="00047F8D">
            <w:pPr>
              <w:spacing w:line="280" w:lineRule="exact"/>
              <w:rPr>
                <w:rFonts w:ascii="Times New Roman" w:hAnsi="Times New Roman" w:cs="Times New Roman"/>
                <w:i/>
                <w:color w:val="000000" w:themeColor="text1"/>
                <w:sz w:val="20"/>
                <w:szCs w:val="20"/>
              </w:rPr>
            </w:pPr>
            <w:proofErr w:type="spellStart"/>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Sev</w:t>
            </w:r>
            <w:proofErr w:type="spellEnd"/>
          </w:p>
        </w:tc>
        <w:tc>
          <w:tcPr>
            <w:tcW w:w="1408" w:type="dxa"/>
          </w:tcPr>
          <w:p w14:paraId="652082C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3" w:type="dxa"/>
          </w:tcPr>
          <w:p w14:paraId="2B461F6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-26.680***</w:t>
            </w:r>
          </w:p>
        </w:tc>
        <w:tc>
          <w:tcPr>
            <w:tcW w:w="2717" w:type="dxa"/>
          </w:tcPr>
          <w:p w14:paraId="3C2E953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-8.30</w:t>
            </w:r>
          </w:p>
        </w:tc>
      </w:tr>
      <w:tr w:rsidR="004D4D3A" w:rsidRPr="004D4D3A" w14:paraId="7E789D71" w14:textId="77777777" w:rsidTr="00047F8D">
        <w:tc>
          <w:tcPr>
            <w:tcW w:w="2173" w:type="dxa"/>
          </w:tcPr>
          <w:p w14:paraId="681AA52D"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RPT</w:t>
            </w:r>
          </w:p>
        </w:tc>
        <w:tc>
          <w:tcPr>
            <w:tcW w:w="1407" w:type="dxa"/>
          </w:tcPr>
          <w:p w14:paraId="613F9C5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05EA70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-0.003</w:t>
            </w:r>
          </w:p>
        </w:tc>
        <w:tc>
          <w:tcPr>
            <w:tcW w:w="2714" w:type="dxa"/>
          </w:tcPr>
          <w:p w14:paraId="2A39979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-0.12</w:t>
            </w:r>
          </w:p>
        </w:tc>
      </w:tr>
      <w:tr w:rsidR="004D4D3A" w:rsidRPr="004D4D3A" w14:paraId="02E911F4" w14:textId="77777777" w:rsidTr="00047F8D">
        <w:tc>
          <w:tcPr>
            <w:tcW w:w="2173" w:type="dxa"/>
          </w:tcPr>
          <w:p w14:paraId="743CFD58" w14:textId="77777777" w:rsidR="00081DF7" w:rsidRPr="004D4D3A" w:rsidRDefault="00081DF7" w:rsidP="00047F8D">
            <w:pPr>
              <w:spacing w:line="280" w:lineRule="exact"/>
              <w:rPr>
                <w:rFonts w:ascii="Times New Roman" w:hAnsi="Times New Roman" w:cs="Times New Roman"/>
                <w:i/>
                <w:color w:val="000000" w:themeColor="text1"/>
                <w:sz w:val="20"/>
                <w:szCs w:val="20"/>
              </w:rPr>
            </w:pPr>
            <w:proofErr w:type="spellStart"/>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Sev</w:t>
            </w:r>
            <w:r w:rsidRPr="004D4D3A">
              <w:rPr>
                <w:rFonts w:ascii="Times New Roman" w:eastAsia="標楷體" w:hAnsi="Times New Roman" w:cs="Times New Roman"/>
                <w:color w:val="000000" w:themeColor="text1"/>
                <w:sz w:val="20"/>
                <w:szCs w:val="20"/>
              </w:rPr>
              <w:t>×</w:t>
            </w:r>
            <w:r w:rsidRPr="004D4D3A">
              <w:rPr>
                <w:rFonts w:ascii="Times New Roman" w:hAnsi="Times New Roman" w:cs="Times New Roman"/>
                <w:i/>
                <w:color w:val="000000" w:themeColor="text1"/>
                <w:sz w:val="20"/>
                <w:szCs w:val="20"/>
              </w:rPr>
              <w:t>RPT</w:t>
            </w:r>
            <w:proofErr w:type="spellEnd"/>
          </w:p>
        </w:tc>
        <w:tc>
          <w:tcPr>
            <w:tcW w:w="1407" w:type="dxa"/>
          </w:tcPr>
          <w:p w14:paraId="62D01E90"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531756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-11.536**</w:t>
            </w:r>
          </w:p>
        </w:tc>
        <w:tc>
          <w:tcPr>
            <w:tcW w:w="2714" w:type="dxa"/>
          </w:tcPr>
          <w:p w14:paraId="3572746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-2.26</w:t>
            </w:r>
          </w:p>
        </w:tc>
      </w:tr>
      <w:tr w:rsidR="004D4D3A" w:rsidRPr="004D4D3A" w14:paraId="201503E6" w14:textId="77777777" w:rsidTr="00047F8D">
        <w:tc>
          <w:tcPr>
            <w:tcW w:w="2173" w:type="dxa"/>
          </w:tcPr>
          <w:p w14:paraId="4262726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TENURE</w:t>
            </w:r>
          </w:p>
        </w:tc>
        <w:tc>
          <w:tcPr>
            <w:tcW w:w="1407" w:type="dxa"/>
          </w:tcPr>
          <w:p w14:paraId="55CB3B60"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70B1A292"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0.015***</w:t>
            </w:r>
          </w:p>
        </w:tc>
        <w:tc>
          <w:tcPr>
            <w:tcW w:w="2714" w:type="dxa"/>
          </w:tcPr>
          <w:p w14:paraId="69B6ACE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5.03</w:t>
            </w:r>
          </w:p>
        </w:tc>
      </w:tr>
      <w:tr w:rsidR="004D4D3A" w:rsidRPr="004D4D3A" w14:paraId="518853CC" w14:textId="77777777" w:rsidTr="00047F8D">
        <w:tc>
          <w:tcPr>
            <w:tcW w:w="2173" w:type="dxa"/>
          </w:tcPr>
          <w:p w14:paraId="6143556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L1PTENURE</w:t>
            </w:r>
          </w:p>
        </w:tc>
        <w:tc>
          <w:tcPr>
            <w:tcW w:w="1407" w:type="dxa"/>
          </w:tcPr>
          <w:p w14:paraId="6F317D1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58986ED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0.142***</w:t>
            </w:r>
          </w:p>
        </w:tc>
        <w:tc>
          <w:tcPr>
            <w:tcW w:w="2714" w:type="dxa"/>
          </w:tcPr>
          <w:p w14:paraId="6AE0EA4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8.89</w:t>
            </w:r>
          </w:p>
        </w:tc>
      </w:tr>
      <w:tr w:rsidR="004D4D3A" w:rsidRPr="004D4D3A" w14:paraId="70B0B43B" w14:textId="77777777" w:rsidTr="00047F8D">
        <w:tc>
          <w:tcPr>
            <w:tcW w:w="2173" w:type="dxa"/>
          </w:tcPr>
          <w:p w14:paraId="7603A753"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PSPEC</w:t>
            </w:r>
          </w:p>
        </w:tc>
        <w:tc>
          <w:tcPr>
            <w:tcW w:w="1407" w:type="dxa"/>
          </w:tcPr>
          <w:p w14:paraId="053722C7" w14:textId="2244BF6D"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2F3DD71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0.144***</w:t>
            </w:r>
          </w:p>
        </w:tc>
        <w:tc>
          <w:tcPr>
            <w:tcW w:w="2714" w:type="dxa"/>
          </w:tcPr>
          <w:p w14:paraId="7270E93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2.60</w:t>
            </w:r>
          </w:p>
        </w:tc>
      </w:tr>
      <w:tr w:rsidR="004D4D3A" w:rsidRPr="004D4D3A" w14:paraId="4864200F" w14:textId="77777777" w:rsidTr="00047F8D">
        <w:tc>
          <w:tcPr>
            <w:tcW w:w="2173" w:type="dxa"/>
          </w:tcPr>
          <w:p w14:paraId="45FF2B00"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CI</w:t>
            </w:r>
          </w:p>
        </w:tc>
        <w:tc>
          <w:tcPr>
            <w:tcW w:w="1407" w:type="dxa"/>
          </w:tcPr>
          <w:p w14:paraId="69218AA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6D1C2FF"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-0.683</w:t>
            </w:r>
          </w:p>
        </w:tc>
        <w:tc>
          <w:tcPr>
            <w:tcW w:w="2714" w:type="dxa"/>
          </w:tcPr>
          <w:p w14:paraId="78329AA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-1.45</w:t>
            </w:r>
          </w:p>
        </w:tc>
      </w:tr>
      <w:tr w:rsidR="004D4D3A" w:rsidRPr="004D4D3A" w14:paraId="096B7E44" w14:textId="77777777" w:rsidTr="00047F8D">
        <w:tc>
          <w:tcPr>
            <w:tcW w:w="2173" w:type="dxa"/>
          </w:tcPr>
          <w:p w14:paraId="442EB132"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ROA</w:t>
            </w:r>
          </w:p>
        </w:tc>
        <w:tc>
          <w:tcPr>
            <w:tcW w:w="1407" w:type="dxa"/>
          </w:tcPr>
          <w:p w14:paraId="4E50AB8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07D0FDC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1.204***</w:t>
            </w:r>
          </w:p>
        </w:tc>
        <w:tc>
          <w:tcPr>
            <w:tcW w:w="2714" w:type="dxa"/>
          </w:tcPr>
          <w:p w14:paraId="77A4D42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4.23</w:t>
            </w:r>
          </w:p>
        </w:tc>
      </w:tr>
      <w:tr w:rsidR="004D4D3A" w:rsidRPr="004D4D3A" w14:paraId="6114259D" w14:textId="77777777" w:rsidTr="00047F8D">
        <w:tc>
          <w:tcPr>
            <w:tcW w:w="2173" w:type="dxa"/>
          </w:tcPr>
          <w:p w14:paraId="7BD79CB0"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LOSS</w:t>
            </w:r>
          </w:p>
        </w:tc>
        <w:tc>
          <w:tcPr>
            <w:tcW w:w="1407" w:type="dxa"/>
          </w:tcPr>
          <w:p w14:paraId="19A30FA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1F9CACD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-0.384***</w:t>
            </w:r>
          </w:p>
        </w:tc>
        <w:tc>
          <w:tcPr>
            <w:tcW w:w="2714" w:type="dxa"/>
          </w:tcPr>
          <w:p w14:paraId="589ED9B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-6.88</w:t>
            </w:r>
          </w:p>
        </w:tc>
      </w:tr>
      <w:tr w:rsidR="004D4D3A" w:rsidRPr="004D4D3A" w14:paraId="43855169" w14:textId="77777777" w:rsidTr="00047F8D">
        <w:tc>
          <w:tcPr>
            <w:tcW w:w="2173" w:type="dxa"/>
          </w:tcPr>
          <w:p w14:paraId="5CF3DED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MAR</w:t>
            </w:r>
          </w:p>
        </w:tc>
        <w:tc>
          <w:tcPr>
            <w:tcW w:w="1407" w:type="dxa"/>
          </w:tcPr>
          <w:p w14:paraId="12B899A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EEC44D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-0.028</w:t>
            </w:r>
          </w:p>
        </w:tc>
        <w:tc>
          <w:tcPr>
            <w:tcW w:w="2714" w:type="dxa"/>
          </w:tcPr>
          <w:p w14:paraId="5919880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-1.21</w:t>
            </w:r>
          </w:p>
        </w:tc>
      </w:tr>
      <w:tr w:rsidR="004D4D3A" w:rsidRPr="004D4D3A" w14:paraId="3A7ED114" w14:textId="77777777" w:rsidTr="00047F8D">
        <w:tc>
          <w:tcPr>
            <w:tcW w:w="2173" w:type="dxa"/>
          </w:tcPr>
          <w:p w14:paraId="6C90F83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GROWTH</w:t>
            </w:r>
          </w:p>
        </w:tc>
        <w:tc>
          <w:tcPr>
            <w:tcW w:w="1407" w:type="dxa"/>
          </w:tcPr>
          <w:p w14:paraId="108E61D8" w14:textId="6EE33B94"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14C60A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-0.005</w:t>
            </w:r>
          </w:p>
        </w:tc>
        <w:tc>
          <w:tcPr>
            <w:tcW w:w="2714" w:type="dxa"/>
          </w:tcPr>
          <w:p w14:paraId="2A23CD1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-0.21</w:t>
            </w:r>
          </w:p>
        </w:tc>
      </w:tr>
      <w:tr w:rsidR="004D4D3A" w:rsidRPr="004D4D3A" w14:paraId="2F02BF1C" w14:textId="77777777" w:rsidTr="00047F8D">
        <w:tc>
          <w:tcPr>
            <w:tcW w:w="2173" w:type="dxa"/>
          </w:tcPr>
          <w:p w14:paraId="2E27C62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LEV</w:t>
            </w:r>
          </w:p>
        </w:tc>
        <w:tc>
          <w:tcPr>
            <w:tcW w:w="1407" w:type="dxa"/>
          </w:tcPr>
          <w:p w14:paraId="46EAAB5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3BC70F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0.399***</w:t>
            </w:r>
          </w:p>
        </w:tc>
        <w:tc>
          <w:tcPr>
            <w:tcW w:w="2714" w:type="dxa"/>
          </w:tcPr>
          <w:p w14:paraId="5F46825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5.36</w:t>
            </w:r>
          </w:p>
        </w:tc>
      </w:tr>
      <w:tr w:rsidR="004D4D3A" w:rsidRPr="004D4D3A" w14:paraId="136EE456" w14:textId="77777777" w:rsidTr="00047F8D">
        <w:tc>
          <w:tcPr>
            <w:tcW w:w="2173" w:type="dxa"/>
          </w:tcPr>
          <w:p w14:paraId="176A72E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CFO</w:t>
            </w:r>
          </w:p>
        </w:tc>
        <w:tc>
          <w:tcPr>
            <w:tcW w:w="1407" w:type="dxa"/>
          </w:tcPr>
          <w:p w14:paraId="69C71109" w14:textId="06CDD15C"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14E56F8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0.086</w:t>
            </w:r>
          </w:p>
        </w:tc>
        <w:tc>
          <w:tcPr>
            <w:tcW w:w="2714" w:type="dxa"/>
          </w:tcPr>
          <w:p w14:paraId="40F5093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0.53</w:t>
            </w:r>
          </w:p>
        </w:tc>
      </w:tr>
      <w:tr w:rsidR="004D4D3A" w:rsidRPr="004D4D3A" w14:paraId="4A06E83F" w14:textId="77777777" w:rsidTr="00047F8D">
        <w:tc>
          <w:tcPr>
            <w:tcW w:w="2173" w:type="dxa"/>
          </w:tcPr>
          <w:p w14:paraId="203A85EB"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ARINV</w:t>
            </w:r>
          </w:p>
        </w:tc>
        <w:tc>
          <w:tcPr>
            <w:tcW w:w="1407" w:type="dxa"/>
          </w:tcPr>
          <w:p w14:paraId="0030579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599C55A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-0.024</w:t>
            </w:r>
          </w:p>
        </w:tc>
        <w:tc>
          <w:tcPr>
            <w:tcW w:w="2714" w:type="dxa"/>
          </w:tcPr>
          <w:p w14:paraId="5D8ECAC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-0.29</w:t>
            </w:r>
          </w:p>
        </w:tc>
      </w:tr>
      <w:tr w:rsidR="004D4D3A" w:rsidRPr="004D4D3A" w14:paraId="5746CF21" w14:textId="77777777" w:rsidTr="00047F8D">
        <w:tc>
          <w:tcPr>
            <w:tcW w:w="2173" w:type="dxa"/>
          </w:tcPr>
          <w:p w14:paraId="0608A78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SEO</w:t>
            </w:r>
          </w:p>
        </w:tc>
        <w:tc>
          <w:tcPr>
            <w:tcW w:w="1407" w:type="dxa"/>
          </w:tcPr>
          <w:p w14:paraId="1510D74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220108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0.001</w:t>
            </w:r>
          </w:p>
        </w:tc>
        <w:tc>
          <w:tcPr>
            <w:tcW w:w="2714" w:type="dxa"/>
          </w:tcPr>
          <w:p w14:paraId="6326819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w:t>
            </w:r>
          </w:p>
        </w:tc>
      </w:tr>
      <w:tr w:rsidR="004D4D3A" w:rsidRPr="004D4D3A" w14:paraId="6B9A75A8" w14:textId="77777777" w:rsidTr="00047F8D">
        <w:tc>
          <w:tcPr>
            <w:tcW w:w="2173" w:type="dxa"/>
          </w:tcPr>
          <w:p w14:paraId="52850B3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SIZE</w:t>
            </w:r>
          </w:p>
        </w:tc>
        <w:tc>
          <w:tcPr>
            <w:tcW w:w="1407" w:type="dxa"/>
          </w:tcPr>
          <w:p w14:paraId="550B275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27F1654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-0.056***</w:t>
            </w:r>
          </w:p>
        </w:tc>
        <w:tc>
          <w:tcPr>
            <w:tcW w:w="2714" w:type="dxa"/>
          </w:tcPr>
          <w:p w14:paraId="72C78732"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-4.76</w:t>
            </w:r>
          </w:p>
        </w:tc>
      </w:tr>
      <w:tr w:rsidR="004D4D3A" w:rsidRPr="004D4D3A" w14:paraId="56757C94" w14:textId="77777777" w:rsidTr="00047F8D">
        <w:tc>
          <w:tcPr>
            <w:tcW w:w="2173" w:type="dxa"/>
          </w:tcPr>
          <w:p w14:paraId="1FA0AED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AGE</w:t>
            </w:r>
          </w:p>
        </w:tc>
        <w:tc>
          <w:tcPr>
            <w:tcW w:w="1407" w:type="dxa"/>
          </w:tcPr>
          <w:p w14:paraId="7260048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899D4FA"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-0.010***</w:t>
            </w:r>
          </w:p>
        </w:tc>
        <w:tc>
          <w:tcPr>
            <w:tcW w:w="2714" w:type="dxa"/>
          </w:tcPr>
          <w:p w14:paraId="708C6E6F"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-3.86</w:t>
            </w:r>
          </w:p>
        </w:tc>
      </w:tr>
      <w:tr w:rsidR="004D4D3A" w:rsidRPr="004D4D3A" w14:paraId="23CE548E" w14:textId="77777777" w:rsidTr="00047F8D">
        <w:tc>
          <w:tcPr>
            <w:tcW w:w="2173" w:type="dxa"/>
          </w:tcPr>
          <w:p w14:paraId="7439151A"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Year fixed effects</w:t>
            </w:r>
          </w:p>
        </w:tc>
        <w:tc>
          <w:tcPr>
            <w:tcW w:w="1407" w:type="dxa"/>
          </w:tcPr>
          <w:p w14:paraId="4CEB7065"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7F43A68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14" w:type="dxa"/>
          </w:tcPr>
          <w:p w14:paraId="6158B96C"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54A1C887" w14:textId="77777777" w:rsidTr="00047F8D">
        <w:tc>
          <w:tcPr>
            <w:tcW w:w="2173" w:type="dxa"/>
          </w:tcPr>
          <w:p w14:paraId="3D8E89C7"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Industry fixed effects</w:t>
            </w:r>
          </w:p>
        </w:tc>
        <w:tc>
          <w:tcPr>
            <w:tcW w:w="1407" w:type="dxa"/>
          </w:tcPr>
          <w:p w14:paraId="204867FE"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14CA46C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14" w:type="dxa"/>
          </w:tcPr>
          <w:p w14:paraId="2F0B03E9"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319DF758" w14:textId="77777777" w:rsidTr="00047F8D">
        <w:tc>
          <w:tcPr>
            <w:tcW w:w="2173" w:type="dxa"/>
          </w:tcPr>
          <w:p w14:paraId="5D96B670"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Pseudo R</w:t>
            </w:r>
            <w:r w:rsidRPr="004D4D3A">
              <w:rPr>
                <w:rFonts w:ascii="Times New Roman" w:hAnsi="Times New Roman" w:cs="Times New Roman"/>
                <w:color w:val="000000" w:themeColor="text1"/>
                <w:sz w:val="20"/>
                <w:szCs w:val="20"/>
                <w:vertAlign w:val="superscript"/>
              </w:rPr>
              <w:t>2</w:t>
            </w:r>
          </w:p>
        </w:tc>
        <w:tc>
          <w:tcPr>
            <w:tcW w:w="1407" w:type="dxa"/>
          </w:tcPr>
          <w:p w14:paraId="79E1C6E4"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659821B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0.044</w:t>
            </w:r>
          </w:p>
        </w:tc>
        <w:tc>
          <w:tcPr>
            <w:tcW w:w="2714" w:type="dxa"/>
          </w:tcPr>
          <w:p w14:paraId="18528AA7"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6952CE72" w14:textId="77777777" w:rsidTr="00047F8D">
        <w:tc>
          <w:tcPr>
            <w:tcW w:w="2173" w:type="dxa"/>
            <w:tcBorders>
              <w:bottom w:val="single" w:sz="4" w:space="0" w:color="auto"/>
            </w:tcBorders>
          </w:tcPr>
          <w:p w14:paraId="1426BA2C"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n</w:t>
            </w:r>
          </w:p>
        </w:tc>
        <w:tc>
          <w:tcPr>
            <w:tcW w:w="1407" w:type="dxa"/>
            <w:tcBorders>
              <w:bottom w:val="single" w:sz="4" w:space="0" w:color="auto"/>
            </w:tcBorders>
          </w:tcPr>
          <w:p w14:paraId="2CC0DD3D"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Borders>
              <w:bottom w:val="single" w:sz="4" w:space="0" w:color="auto"/>
            </w:tcBorders>
          </w:tcPr>
          <w:p w14:paraId="7DF429EC"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12,827</w:t>
            </w:r>
          </w:p>
        </w:tc>
        <w:tc>
          <w:tcPr>
            <w:tcW w:w="2714" w:type="dxa"/>
            <w:tcBorders>
              <w:bottom w:val="single" w:sz="4" w:space="0" w:color="auto"/>
            </w:tcBorders>
          </w:tcPr>
          <w:p w14:paraId="1AF94EDA"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bl>
    <w:p w14:paraId="28C6CFAB" w14:textId="7F03EDEF" w:rsidR="00081DF7" w:rsidRPr="004D4D3A" w:rsidRDefault="00081DF7" w:rsidP="00081DF7">
      <w:pPr>
        <w:spacing w:line="240" w:lineRule="exact"/>
        <w:rPr>
          <w:rFonts w:ascii="Times New Roman" w:hAnsi="Times New Roman" w:cs="Times New Roman"/>
          <w:color w:val="000000" w:themeColor="text1"/>
        </w:rPr>
      </w:pPr>
      <w:r w:rsidRPr="004D4D3A">
        <w:rPr>
          <w:rFonts w:ascii="Times New Roman" w:hAnsi="Times New Roman" w:cs="Times New Roman"/>
          <w:color w:val="000000" w:themeColor="text1"/>
          <w:kern w:val="0"/>
          <w:sz w:val="20"/>
          <w:szCs w:val="20"/>
        </w:rPr>
        <w:t xml:space="preserve">Variable definitions: </w:t>
      </w:r>
      <w:r w:rsidRPr="004D4D3A">
        <w:rPr>
          <w:rFonts w:ascii="Times New Roman" w:hAnsi="Times New Roman" w:cs="Times New Roman"/>
          <w:i/>
          <w:color w:val="000000" w:themeColor="text1"/>
          <w:sz w:val="20"/>
          <w:szCs w:val="20"/>
        </w:rPr>
        <w:t>PSWITCH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is audited by a new partner, and 0 otherwise. </w:t>
      </w:r>
      <w:proofErr w:type="spellStart"/>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_</w:t>
      </w:r>
      <w:r w:rsidRPr="004D4D3A">
        <w:rPr>
          <w:rFonts w:ascii="Times New Roman" w:hAnsi="Times New Roman" w:cs="Times New Roman"/>
          <w:i/>
          <w:color w:val="000000" w:themeColor="text1"/>
          <w:sz w:val="20"/>
          <w:szCs w:val="20"/>
        </w:rPr>
        <w:t>Sev</w:t>
      </w:r>
      <w:proofErr w:type="spellEnd"/>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difference in the predicted probability between receiving a non-clean opinion conditioned on a firm switch its audit partner and receiving a non-clean opinion conditioned on not switching the partner. </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amount of RPTs scaled by total assets. </w:t>
      </w:r>
      <w:r w:rsidRPr="004D4D3A">
        <w:rPr>
          <w:rFonts w:ascii="Times New Roman" w:hAnsi="Times New Roman" w:cs="Times New Roman"/>
          <w:i/>
          <w:color w:val="000000" w:themeColor="text1"/>
          <w:sz w:val="20"/>
          <w:szCs w:val="20"/>
        </w:rPr>
        <w:t>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number of consecutive years that the firm has retained the incumbent audit firm. </w:t>
      </w:r>
      <w:r w:rsidRPr="004D4D3A">
        <w:rPr>
          <w:rFonts w:ascii="Times New Roman" w:hAnsi="Times New Roman" w:cs="Times New Roman"/>
          <w:i/>
          <w:color w:val="000000" w:themeColor="text1"/>
          <w:sz w:val="20"/>
          <w:szCs w:val="20"/>
        </w:rPr>
        <w:t>L1PTENURE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last year’s average number of consecutive years that the engagement partners have signed the annual audit report of the client. </w:t>
      </w:r>
      <w:r w:rsidRPr="004D4D3A">
        <w:rPr>
          <w:rFonts w:ascii="Times New Roman" w:hAnsi="Times New Roman" w:cs="Times New Roman"/>
          <w:i/>
          <w:color w:val="000000" w:themeColor="text1"/>
          <w:kern w:val="0"/>
          <w:sz w:val="20"/>
          <w:szCs w:val="20"/>
        </w:rPr>
        <w:t>PSPEC</w:t>
      </w:r>
      <w:r w:rsidRPr="004D4D3A">
        <w:rPr>
          <w:rFonts w:ascii="Times New Roman" w:hAnsi="Times New Roman" w:cs="Times New Roman"/>
          <w:color w:val="000000" w:themeColor="text1"/>
          <w:kern w:val="0"/>
          <w:sz w:val="20"/>
          <w:szCs w:val="20"/>
        </w:rPr>
        <w:t xml:space="preserve"> = indicator variable set to 1 if any of the engagement partners is the industry leader or has a market share of greater than 10 percent in terms of total assets audited in the industry, and 0 otherwise. </w:t>
      </w:r>
      <w:r w:rsidRPr="004D4D3A">
        <w:rPr>
          <w:rFonts w:ascii="Times New Roman" w:hAnsi="Times New Roman" w:cs="Times New Roman"/>
          <w:i/>
          <w:color w:val="000000" w:themeColor="text1"/>
          <w:sz w:val="20"/>
          <w:szCs w:val="20"/>
        </w:rPr>
        <w:t>CI</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natural log of the client’s total assets scaled by the sum of the natural log of total assets of all clients audited by the same audit firm. </w:t>
      </w:r>
      <w:r w:rsidRPr="004D4D3A">
        <w:rPr>
          <w:rFonts w:ascii="Times New Roman" w:hAnsi="Times New Roman" w:cs="Times New Roman"/>
          <w:i/>
          <w:color w:val="000000" w:themeColor="text1"/>
          <w:sz w:val="20"/>
          <w:szCs w:val="20"/>
        </w:rPr>
        <w:t>ROA</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net income scaled by total assets. </w:t>
      </w:r>
      <w:r w:rsidRPr="004D4D3A">
        <w:rPr>
          <w:rFonts w:ascii="Times New Roman" w:hAnsi="Times New Roman" w:cs="Times New Roman"/>
          <w:i/>
          <w:color w:val="000000" w:themeColor="text1"/>
          <w:sz w:val="20"/>
          <w:szCs w:val="20"/>
        </w:rPr>
        <w:t>LOSS</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reports a loss for the year, and 0 otherwise. </w:t>
      </w:r>
      <w:r w:rsidRPr="004D4D3A">
        <w:rPr>
          <w:rFonts w:ascii="Times New Roman" w:hAnsi="Times New Roman" w:cs="Times New Roman"/>
          <w:i/>
          <w:color w:val="000000" w:themeColor="text1"/>
          <w:sz w:val="20"/>
          <w:szCs w:val="20"/>
        </w:rPr>
        <w:t>MAR</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annual return minus annual market return. </w:t>
      </w:r>
      <w:r w:rsidRPr="004D4D3A">
        <w:rPr>
          <w:rFonts w:ascii="Times New Roman" w:hAnsi="Times New Roman" w:cs="Times New Roman"/>
          <w:i/>
          <w:color w:val="000000" w:themeColor="text1"/>
          <w:sz w:val="20"/>
          <w:szCs w:val="20"/>
        </w:rPr>
        <w:t>GROWTH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change in sales scaled by lagged sales. </w:t>
      </w:r>
      <w:r w:rsidRPr="004D4D3A">
        <w:rPr>
          <w:rFonts w:ascii="Times New Roman" w:hAnsi="Times New Roman" w:cs="Times New Roman"/>
          <w:i/>
          <w:color w:val="000000" w:themeColor="text1"/>
          <w:sz w:val="20"/>
          <w:szCs w:val="20"/>
        </w:rPr>
        <w:t>LEV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total debt deflated by total assets. </w:t>
      </w:r>
      <w:r w:rsidRPr="004D4D3A">
        <w:rPr>
          <w:rFonts w:ascii="Times New Roman" w:hAnsi="Times New Roman" w:cs="Times New Roman"/>
          <w:i/>
          <w:color w:val="000000" w:themeColor="text1"/>
          <w:sz w:val="20"/>
          <w:szCs w:val="20"/>
        </w:rPr>
        <w:t>CFO</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cash flow from operations scaled by total assets. </w:t>
      </w:r>
      <w:r w:rsidRPr="004D4D3A">
        <w:rPr>
          <w:rFonts w:ascii="Times New Roman" w:hAnsi="Times New Roman" w:cs="Times New Roman"/>
          <w:i/>
          <w:color w:val="000000" w:themeColor="text1"/>
          <w:sz w:val="20"/>
          <w:szCs w:val="20"/>
        </w:rPr>
        <w:t>ARINV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accounts receivable plus inventory scaled by total assets. </w:t>
      </w:r>
      <w:r w:rsidRPr="004D4D3A">
        <w:rPr>
          <w:rFonts w:ascii="Times New Roman" w:hAnsi="Times New Roman" w:cs="Times New Roman"/>
          <w:i/>
          <w:color w:val="000000" w:themeColor="text1"/>
          <w:sz w:val="20"/>
          <w:szCs w:val="20"/>
        </w:rPr>
        <w:t>SEO</w:t>
      </w:r>
      <w:r w:rsidRPr="004D4D3A">
        <w:rPr>
          <w:rFonts w:ascii="Times New Roman" w:hAnsi="Times New Roman" w:cs="Times New Roman"/>
          <w:color w:val="000000" w:themeColor="text1"/>
          <w:sz w:val="20"/>
          <w:szCs w:val="20"/>
        </w:rPr>
        <w:t xml:space="preserve"> = indicator variable set to 1 </w:t>
      </w:r>
      <w:r w:rsidRPr="004D4D3A">
        <w:rPr>
          <w:rFonts w:ascii="Times New Roman" w:hAnsi="Times New Roman" w:cs="Times New Roman"/>
          <w:color w:val="000000" w:themeColor="text1"/>
          <w:kern w:val="0"/>
          <w:sz w:val="20"/>
          <w:szCs w:val="20"/>
        </w:rPr>
        <w:t xml:space="preserve">if the firm has seasoned equity offering in the next year, and 0 otherwise. </w:t>
      </w:r>
      <w:r w:rsidRPr="004D4D3A">
        <w:rPr>
          <w:rFonts w:ascii="Times New Roman" w:hAnsi="Times New Roman" w:cs="Times New Roman"/>
          <w:i/>
          <w:color w:val="000000" w:themeColor="text1"/>
          <w:sz w:val="20"/>
          <w:szCs w:val="20"/>
        </w:rPr>
        <w:t>SIZE</w:t>
      </w:r>
      <w:r w:rsidRPr="004D4D3A">
        <w:rPr>
          <w:rFonts w:ascii="Times New Roman" w:hAnsi="Times New Roman" w:cs="Times New Roman"/>
          <w:color w:val="000000" w:themeColor="text1"/>
          <w:sz w:val="20"/>
          <w:szCs w:val="20"/>
        </w:rPr>
        <w:t xml:space="preserve"> = n</w:t>
      </w:r>
      <w:r w:rsidRPr="004D4D3A">
        <w:rPr>
          <w:rFonts w:ascii="Times New Roman" w:hAnsi="Times New Roman" w:cs="Times New Roman"/>
          <w:color w:val="000000" w:themeColor="text1"/>
          <w:kern w:val="0"/>
          <w:sz w:val="20"/>
          <w:szCs w:val="20"/>
        </w:rPr>
        <w:t xml:space="preserve">atural log of total assets. </w:t>
      </w:r>
      <w:r w:rsidRPr="004D4D3A">
        <w:rPr>
          <w:rFonts w:ascii="Times New Roman" w:hAnsi="Times New Roman" w:cs="Times New Roman"/>
          <w:i/>
          <w:color w:val="000000" w:themeColor="text1"/>
          <w:sz w:val="20"/>
          <w:szCs w:val="20"/>
        </w:rPr>
        <w:t>AGE</w:t>
      </w:r>
      <w:r w:rsidRPr="004D4D3A">
        <w:rPr>
          <w:rFonts w:ascii="Times New Roman" w:hAnsi="Times New Roman" w:cs="Times New Roman"/>
          <w:color w:val="000000" w:themeColor="text1"/>
          <w:sz w:val="20"/>
          <w:szCs w:val="20"/>
        </w:rPr>
        <w:t xml:space="preserve"> = </w:t>
      </w:r>
      <w:r w:rsidRPr="004D4D3A">
        <w:rPr>
          <w:rFonts w:ascii="Times New Roman" w:hAnsi="Times New Roman" w:cs="Times New Roman"/>
          <w:color w:val="000000" w:themeColor="text1"/>
          <w:kern w:val="0"/>
          <w:sz w:val="20"/>
          <w:szCs w:val="20"/>
        </w:rPr>
        <w:t xml:space="preserve">number of years since the firm’s initial public offering. </w:t>
      </w:r>
      <w:proofErr w:type="gramStart"/>
      <w:r w:rsidRPr="004D4D3A">
        <w:rPr>
          <w:rFonts w:ascii="Times New Roman" w:hAnsi="Times New Roman" w:cs="Times New Roman"/>
          <w:color w:val="000000" w:themeColor="text1"/>
          <w:kern w:val="0"/>
          <w:sz w:val="20"/>
          <w:szCs w:val="20"/>
        </w:rPr>
        <w:t>z-statistics</w:t>
      </w:r>
      <w:proofErr w:type="gramEnd"/>
      <w:r w:rsidRPr="004D4D3A">
        <w:rPr>
          <w:rFonts w:ascii="Times New Roman" w:hAnsi="Times New Roman" w:cs="Times New Roman"/>
          <w:color w:val="000000" w:themeColor="text1"/>
          <w:kern w:val="0"/>
          <w:sz w:val="20"/>
          <w:szCs w:val="20"/>
        </w:rPr>
        <w:t xml:space="preserve"> are based on standard errors clustered by firm. *, ** and *** indicate two-tailed significance at the 0.10, 0.05 and 0.01 levels, respectively.</w:t>
      </w:r>
    </w:p>
    <w:p w14:paraId="6E19AE4E" w14:textId="77777777" w:rsidR="00081DF7" w:rsidRPr="004D4D3A" w:rsidRDefault="00081DF7" w:rsidP="00081DF7">
      <w:pPr>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br w:type="page"/>
      </w:r>
    </w:p>
    <w:p w14:paraId="6A40E8B5" w14:textId="77777777" w:rsidR="00081DF7" w:rsidRPr="004D4D3A" w:rsidRDefault="00081DF7" w:rsidP="00081DF7">
      <w:pPr>
        <w:rPr>
          <w:rFonts w:ascii="Times New Roman" w:hAnsi="Times New Roman" w:cs="Times New Roman"/>
          <w:color w:val="000000" w:themeColor="text1"/>
        </w:rPr>
      </w:pPr>
    </w:p>
    <w:p w14:paraId="572C6A0E" w14:textId="18F55ED0"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6 Change analysis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1407"/>
        <w:gridCol w:w="2722"/>
        <w:gridCol w:w="2715"/>
      </w:tblGrid>
      <w:tr w:rsidR="004D4D3A" w:rsidRPr="004D4D3A" w14:paraId="54204F0C" w14:textId="77777777" w:rsidTr="00047F8D">
        <w:tc>
          <w:tcPr>
            <w:tcW w:w="2172" w:type="dxa"/>
            <w:tcBorders>
              <w:top w:val="single" w:sz="4" w:space="0" w:color="auto"/>
            </w:tcBorders>
          </w:tcPr>
          <w:p w14:paraId="5DED700E"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1407" w:type="dxa"/>
            <w:tcBorders>
              <w:top w:val="single" w:sz="4" w:space="0" w:color="auto"/>
            </w:tcBorders>
          </w:tcPr>
          <w:p w14:paraId="78F0A22C"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5437" w:type="dxa"/>
            <w:gridSpan w:val="2"/>
            <w:tcBorders>
              <w:top w:val="single" w:sz="4" w:space="0" w:color="auto"/>
              <w:bottom w:val="single" w:sz="4" w:space="0" w:color="auto"/>
            </w:tcBorders>
          </w:tcPr>
          <w:p w14:paraId="428A7110"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PSWITCH</w:t>
            </w:r>
          </w:p>
        </w:tc>
      </w:tr>
      <w:tr w:rsidR="004D4D3A" w:rsidRPr="004D4D3A" w14:paraId="73213660" w14:textId="77777777" w:rsidTr="00047F8D">
        <w:tc>
          <w:tcPr>
            <w:tcW w:w="2172" w:type="dxa"/>
            <w:tcBorders>
              <w:bottom w:val="single" w:sz="4" w:space="0" w:color="auto"/>
            </w:tcBorders>
          </w:tcPr>
          <w:p w14:paraId="7685703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1407" w:type="dxa"/>
            <w:tcBorders>
              <w:bottom w:val="single" w:sz="4" w:space="0" w:color="auto"/>
            </w:tcBorders>
          </w:tcPr>
          <w:p w14:paraId="782E437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Expected sign</w:t>
            </w:r>
          </w:p>
        </w:tc>
        <w:tc>
          <w:tcPr>
            <w:tcW w:w="2722" w:type="dxa"/>
            <w:tcBorders>
              <w:top w:val="single" w:sz="4" w:space="0" w:color="auto"/>
              <w:bottom w:val="single" w:sz="4" w:space="0" w:color="auto"/>
            </w:tcBorders>
          </w:tcPr>
          <w:p w14:paraId="21E0396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Coefficient</w:t>
            </w:r>
          </w:p>
        </w:tc>
        <w:tc>
          <w:tcPr>
            <w:tcW w:w="2715" w:type="dxa"/>
            <w:tcBorders>
              <w:top w:val="single" w:sz="4" w:space="0" w:color="auto"/>
              <w:bottom w:val="single" w:sz="4" w:space="0" w:color="auto"/>
            </w:tcBorders>
          </w:tcPr>
          <w:p w14:paraId="3207DFC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z-statistic</w:t>
            </w:r>
          </w:p>
        </w:tc>
      </w:tr>
      <w:tr w:rsidR="004D4D3A" w:rsidRPr="004D4D3A" w14:paraId="1AA91DD0" w14:textId="77777777" w:rsidTr="00047F8D">
        <w:tc>
          <w:tcPr>
            <w:tcW w:w="2172" w:type="dxa"/>
            <w:tcBorders>
              <w:top w:val="single" w:sz="4" w:space="0" w:color="auto"/>
            </w:tcBorders>
          </w:tcPr>
          <w:p w14:paraId="5C2FF397"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POPSHOP</w:t>
            </w:r>
          </w:p>
        </w:tc>
        <w:tc>
          <w:tcPr>
            <w:tcW w:w="1407" w:type="dxa"/>
            <w:tcBorders>
              <w:top w:val="single" w:sz="4" w:space="0" w:color="auto"/>
            </w:tcBorders>
          </w:tcPr>
          <w:p w14:paraId="36A0C54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Borders>
              <w:top w:val="single" w:sz="4" w:space="0" w:color="auto"/>
            </w:tcBorders>
          </w:tcPr>
          <w:p w14:paraId="50BD952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-13.991***</w:t>
            </w:r>
          </w:p>
        </w:tc>
        <w:tc>
          <w:tcPr>
            <w:tcW w:w="2715" w:type="dxa"/>
            <w:tcBorders>
              <w:top w:val="single" w:sz="4" w:space="0" w:color="auto"/>
            </w:tcBorders>
          </w:tcPr>
          <w:p w14:paraId="140EE66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-11.38</w:t>
            </w:r>
          </w:p>
        </w:tc>
      </w:tr>
      <w:tr w:rsidR="004D4D3A" w:rsidRPr="004D4D3A" w14:paraId="62DFDBAA" w14:textId="77777777" w:rsidTr="00047F8D">
        <w:tc>
          <w:tcPr>
            <w:tcW w:w="2172" w:type="dxa"/>
          </w:tcPr>
          <w:p w14:paraId="64E970BA"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RPT</w:t>
            </w:r>
          </w:p>
        </w:tc>
        <w:tc>
          <w:tcPr>
            <w:tcW w:w="1407" w:type="dxa"/>
          </w:tcPr>
          <w:p w14:paraId="6A968A4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2C449A0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0.044</w:t>
            </w:r>
          </w:p>
        </w:tc>
        <w:tc>
          <w:tcPr>
            <w:tcW w:w="2715" w:type="dxa"/>
          </w:tcPr>
          <w:p w14:paraId="5ED66B5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1.47</w:t>
            </w:r>
          </w:p>
        </w:tc>
      </w:tr>
      <w:tr w:rsidR="004D4D3A" w:rsidRPr="004D4D3A" w14:paraId="0362B8B6" w14:textId="77777777" w:rsidTr="00047F8D">
        <w:tc>
          <w:tcPr>
            <w:tcW w:w="2172" w:type="dxa"/>
          </w:tcPr>
          <w:p w14:paraId="40FAEF6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POPSHOP</w:t>
            </w:r>
            <w:r w:rsidRPr="004D4D3A">
              <w:rPr>
                <w:rFonts w:ascii="Times New Roman" w:eastAsia="標楷體" w:hAnsi="Times New Roman" w:cs="Times New Roman"/>
                <w:color w:val="000000" w:themeColor="text1"/>
                <w:sz w:val="20"/>
                <w:szCs w:val="20"/>
              </w:rPr>
              <w:t>×</w:t>
            </w: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RPT</w:t>
            </w:r>
          </w:p>
        </w:tc>
        <w:tc>
          <w:tcPr>
            <w:tcW w:w="1407" w:type="dxa"/>
          </w:tcPr>
          <w:p w14:paraId="75BF632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A4B274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-27.466**</w:t>
            </w:r>
          </w:p>
        </w:tc>
        <w:tc>
          <w:tcPr>
            <w:tcW w:w="2715" w:type="dxa"/>
          </w:tcPr>
          <w:p w14:paraId="402FC343"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-1.98</w:t>
            </w:r>
          </w:p>
        </w:tc>
      </w:tr>
      <w:tr w:rsidR="004D4D3A" w:rsidRPr="004D4D3A" w14:paraId="134E66AE" w14:textId="77777777" w:rsidTr="00047F8D">
        <w:tc>
          <w:tcPr>
            <w:tcW w:w="2172" w:type="dxa"/>
          </w:tcPr>
          <w:p w14:paraId="7D54C9A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TENURE</w:t>
            </w:r>
          </w:p>
        </w:tc>
        <w:tc>
          <w:tcPr>
            <w:tcW w:w="1407" w:type="dxa"/>
          </w:tcPr>
          <w:p w14:paraId="38C8D39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0B6A7CD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0.099***</w:t>
            </w:r>
          </w:p>
        </w:tc>
        <w:tc>
          <w:tcPr>
            <w:tcW w:w="2715" w:type="dxa"/>
          </w:tcPr>
          <w:p w14:paraId="0F42DE1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3.75</w:t>
            </w:r>
          </w:p>
        </w:tc>
      </w:tr>
      <w:tr w:rsidR="004D4D3A" w:rsidRPr="004D4D3A" w14:paraId="6F804180" w14:textId="77777777" w:rsidTr="00047F8D">
        <w:tc>
          <w:tcPr>
            <w:tcW w:w="2172" w:type="dxa"/>
          </w:tcPr>
          <w:p w14:paraId="41C5EAA4"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L1PTENURE</w:t>
            </w:r>
          </w:p>
        </w:tc>
        <w:tc>
          <w:tcPr>
            <w:tcW w:w="1407" w:type="dxa"/>
          </w:tcPr>
          <w:p w14:paraId="60C76FB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5E15AD0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0.999***</w:t>
            </w:r>
          </w:p>
        </w:tc>
        <w:tc>
          <w:tcPr>
            <w:tcW w:w="2715" w:type="dxa"/>
          </w:tcPr>
          <w:p w14:paraId="009BAE7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30.37</w:t>
            </w:r>
          </w:p>
        </w:tc>
      </w:tr>
      <w:tr w:rsidR="004D4D3A" w:rsidRPr="004D4D3A" w14:paraId="23554557" w14:textId="77777777" w:rsidTr="00047F8D">
        <w:tc>
          <w:tcPr>
            <w:tcW w:w="2172" w:type="dxa"/>
          </w:tcPr>
          <w:p w14:paraId="265DAF88"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PSPEC</w:t>
            </w:r>
          </w:p>
        </w:tc>
        <w:tc>
          <w:tcPr>
            <w:tcW w:w="1407" w:type="dxa"/>
          </w:tcPr>
          <w:p w14:paraId="7323C64D" w14:textId="2EF873A3"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E7B664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0.061</w:t>
            </w:r>
          </w:p>
        </w:tc>
        <w:tc>
          <w:tcPr>
            <w:tcW w:w="2715" w:type="dxa"/>
          </w:tcPr>
          <w:p w14:paraId="1F0F26E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0.56</w:t>
            </w:r>
          </w:p>
        </w:tc>
      </w:tr>
      <w:tr w:rsidR="004D4D3A" w:rsidRPr="004D4D3A" w14:paraId="4C075B59" w14:textId="77777777" w:rsidTr="00047F8D">
        <w:tc>
          <w:tcPr>
            <w:tcW w:w="2172" w:type="dxa"/>
          </w:tcPr>
          <w:p w14:paraId="1951DC05"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CI</w:t>
            </w:r>
          </w:p>
        </w:tc>
        <w:tc>
          <w:tcPr>
            <w:tcW w:w="1407" w:type="dxa"/>
          </w:tcPr>
          <w:p w14:paraId="7472753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608CC0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3.549**</w:t>
            </w:r>
          </w:p>
        </w:tc>
        <w:tc>
          <w:tcPr>
            <w:tcW w:w="2715" w:type="dxa"/>
          </w:tcPr>
          <w:p w14:paraId="7A87EFC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2.38</w:t>
            </w:r>
          </w:p>
        </w:tc>
      </w:tr>
      <w:tr w:rsidR="004D4D3A" w:rsidRPr="004D4D3A" w14:paraId="4B1C6C40" w14:textId="77777777" w:rsidTr="00047F8D">
        <w:tc>
          <w:tcPr>
            <w:tcW w:w="2172" w:type="dxa"/>
          </w:tcPr>
          <w:p w14:paraId="51483115"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ROA</w:t>
            </w:r>
          </w:p>
        </w:tc>
        <w:tc>
          <w:tcPr>
            <w:tcW w:w="1407" w:type="dxa"/>
          </w:tcPr>
          <w:p w14:paraId="598FE4F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004FDEF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0.292</w:t>
            </w:r>
          </w:p>
        </w:tc>
        <w:tc>
          <w:tcPr>
            <w:tcW w:w="2715" w:type="dxa"/>
          </w:tcPr>
          <w:p w14:paraId="1329F15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0.95</w:t>
            </w:r>
          </w:p>
        </w:tc>
      </w:tr>
      <w:tr w:rsidR="004D4D3A" w:rsidRPr="004D4D3A" w14:paraId="2A2D88D7" w14:textId="77777777" w:rsidTr="00047F8D">
        <w:tc>
          <w:tcPr>
            <w:tcW w:w="2172" w:type="dxa"/>
          </w:tcPr>
          <w:p w14:paraId="1C71ACB3"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LOSS</w:t>
            </w:r>
          </w:p>
        </w:tc>
        <w:tc>
          <w:tcPr>
            <w:tcW w:w="1407" w:type="dxa"/>
          </w:tcPr>
          <w:p w14:paraId="4FFB05B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C177AF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-0.142***</w:t>
            </w:r>
          </w:p>
        </w:tc>
        <w:tc>
          <w:tcPr>
            <w:tcW w:w="2715" w:type="dxa"/>
          </w:tcPr>
          <w:p w14:paraId="5BD58A7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-3.12</w:t>
            </w:r>
          </w:p>
        </w:tc>
      </w:tr>
      <w:tr w:rsidR="004D4D3A" w:rsidRPr="004D4D3A" w14:paraId="1A77C8DD" w14:textId="77777777" w:rsidTr="00047F8D">
        <w:tc>
          <w:tcPr>
            <w:tcW w:w="2172" w:type="dxa"/>
          </w:tcPr>
          <w:p w14:paraId="2FE76DE2"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MAR</w:t>
            </w:r>
          </w:p>
        </w:tc>
        <w:tc>
          <w:tcPr>
            <w:tcW w:w="1407" w:type="dxa"/>
          </w:tcPr>
          <w:p w14:paraId="5C6F3F6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2E05D7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-0.014</w:t>
            </w:r>
          </w:p>
        </w:tc>
        <w:tc>
          <w:tcPr>
            <w:tcW w:w="2715" w:type="dxa"/>
          </w:tcPr>
          <w:p w14:paraId="646F3CA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-0.70</w:t>
            </w:r>
          </w:p>
        </w:tc>
      </w:tr>
      <w:tr w:rsidR="004D4D3A" w:rsidRPr="004D4D3A" w14:paraId="0C5EDE79" w14:textId="77777777" w:rsidTr="00047F8D">
        <w:tc>
          <w:tcPr>
            <w:tcW w:w="2172" w:type="dxa"/>
          </w:tcPr>
          <w:p w14:paraId="00617E1C"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GROWTH</w:t>
            </w:r>
          </w:p>
        </w:tc>
        <w:tc>
          <w:tcPr>
            <w:tcW w:w="1407" w:type="dxa"/>
          </w:tcPr>
          <w:p w14:paraId="372FB803" w14:textId="192E9701"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CB31BA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-0.034</w:t>
            </w:r>
          </w:p>
        </w:tc>
        <w:tc>
          <w:tcPr>
            <w:tcW w:w="2715" w:type="dxa"/>
          </w:tcPr>
          <w:p w14:paraId="3E382E8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-1.51</w:t>
            </w:r>
          </w:p>
        </w:tc>
      </w:tr>
      <w:tr w:rsidR="004D4D3A" w:rsidRPr="004D4D3A" w14:paraId="2600021F" w14:textId="77777777" w:rsidTr="00047F8D">
        <w:tc>
          <w:tcPr>
            <w:tcW w:w="2172" w:type="dxa"/>
          </w:tcPr>
          <w:p w14:paraId="2E89761D"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LEV</w:t>
            </w:r>
          </w:p>
        </w:tc>
        <w:tc>
          <w:tcPr>
            <w:tcW w:w="1407" w:type="dxa"/>
          </w:tcPr>
          <w:p w14:paraId="6A850C2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0D310BC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0.236</w:t>
            </w:r>
          </w:p>
        </w:tc>
        <w:tc>
          <w:tcPr>
            <w:tcW w:w="2715" w:type="dxa"/>
          </w:tcPr>
          <w:p w14:paraId="2D9E1E6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1.43</w:t>
            </w:r>
          </w:p>
        </w:tc>
      </w:tr>
      <w:tr w:rsidR="004D4D3A" w:rsidRPr="004D4D3A" w14:paraId="2E98CC1F" w14:textId="77777777" w:rsidTr="00047F8D">
        <w:tc>
          <w:tcPr>
            <w:tcW w:w="2172" w:type="dxa"/>
          </w:tcPr>
          <w:p w14:paraId="695E3068"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CFO</w:t>
            </w:r>
          </w:p>
        </w:tc>
        <w:tc>
          <w:tcPr>
            <w:tcW w:w="1407" w:type="dxa"/>
          </w:tcPr>
          <w:p w14:paraId="5D73FB1E" w14:textId="2DC98F00"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57598F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-0.020</w:t>
            </w:r>
          </w:p>
        </w:tc>
        <w:tc>
          <w:tcPr>
            <w:tcW w:w="2715" w:type="dxa"/>
          </w:tcPr>
          <w:p w14:paraId="4B7A5196"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-0.13</w:t>
            </w:r>
          </w:p>
        </w:tc>
      </w:tr>
      <w:tr w:rsidR="004D4D3A" w:rsidRPr="004D4D3A" w14:paraId="650CFF39" w14:textId="77777777" w:rsidTr="00047F8D">
        <w:tc>
          <w:tcPr>
            <w:tcW w:w="2172" w:type="dxa"/>
          </w:tcPr>
          <w:p w14:paraId="36DB98E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ARINV</w:t>
            </w:r>
          </w:p>
        </w:tc>
        <w:tc>
          <w:tcPr>
            <w:tcW w:w="1407" w:type="dxa"/>
          </w:tcPr>
          <w:p w14:paraId="2186A9DF"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62F877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-0.004</w:t>
            </w:r>
          </w:p>
        </w:tc>
        <w:tc>
          <w:tcPr>
            <w:tcW w:w="2715" w:type="dxa"/>
          </w:tcPr>
          <w:p w14:paraId="286C7D3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w:t>
            </w:r>
          </w:p>
        </w:tc>
      </w:tr>
      <w:tr w:rsidR="004D4D3A" w:rsidRPr="004D4D3A" w14:paraId="13285696" w14:textId="77777777" w:rsidTr="00047F8D">
        <w:tc>
          <w:tcPr>
            <w:tcW w:w="2172" w:type="dxa"/>
          </w:tcPr>
          <w:p w14:paraId="3EA80FCA"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SEO</w:t>
            </w:r>
          </w:p>
        </w:tc>
        <w:tc>
          <w:tcPr>
            <w:tcW w:w="1407" w:type="dxa"/>
          </w:tcPr>
          <w:p w14:paraId="5072894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550A55C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-0.130</w:t>
            </w:r>
          </w:p>
        </w:tc>
        <w:tc>
          <w:tcPr>
            <w:tcW w:w="2715" w:type="dxa"/>
          </w:tcPr>
          <w:p w14:paraId="088937A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-1.23</w:t>
            </w:r>
          </w:p>
        </w:tc>
      </w:tr>
      <w:tr w:rsidR="004D4D3A" w:rsidRPr="004D4D3A" w14:paraId="1B1B0055" w14:textId="77777777" w:rsidTr="00047F8D">
        <w:tc>
          <w:tcPr>
            <w:tcW w:w="2172" w:type="dxa"/>
          </w:tcPr>
          <w:p w14:paraId="0D8E8153"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SIZE</w:t>
            </w:r>
          </w:p>
        </w:tc>
        <w:tc>
          <w:tcPr>
            <w:tcW w:w="1407" w:type="dxa"/>
          </w:tcPr>
          <w:p w14:paraId="2F0415E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AC94D6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0.100*</w:t>
            </w:r>
          </w:p>
        </w:tc>
        <w:tc>
          <w:tcPr>
            <w:tcW w:w="2715" w:type="dxa"/>
          </w:tcPr>
          <w:p w14:paraId="27AC613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1.87</w:t>
            </w:r>
          </w:p>
        </w:tc>
      </w:tr>
      <w:tr w:rsidR="004D4D3A" w:rsidRPr="004D4D3A" w14:paraId="7AAEA3E9" w14:textId="77777777" w:rsidTr="00047F8D">
        <w:tc>
          <w:tcPr>
            <w:tcW w:w="2172" w:type="dxa"/>
          </w:tcPr>
          <w:p w14:paraId="75E885E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eastAsia="標楷體" w:hAnsi="Times New Roman" w:cs="Times New Roman"/>
                <w:color w:val="000000" w:themeColor="text1"/>
                <w:sz w:val="20"/>
                <w:szCs w:val="20"/>
              </w:rPr>
              <w:sym w:font="Symbol" w:char="F044"/>
            </w:r>
            <w:r w:rsidRPr="004D4D3A">
              <w:rPr>
                <w:rFonts w:ascii="Times New Roman" w:hAnsi="Times New Roman" w:cs="Times New Roman"/>
                <w:i/>
                <w:color w:val="000000" w:themeColor="text1"/>
                <w:sz w:val="20"/>
                <w:szCs w:val="20"/>
              </w:rPr>
              <w:t>AGE</w:t>
            </w:r>
          </w:p>
        </w:tc>
        <w:tc>
          <w:tcPr>
            <w:tcW w:w="1407" w:type="dxa"/>
          </w:tcPr>
          <w:p w14:paraId="7466FF7B"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2E6413F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-0.098</w:t>
            </w:r>
          </w:p>
        </w:tc>
        <w:tc>
          <w:tcPr>
            <w:tcW w:w="2715" w:type="dxa"/>
          </w:tcPr>
          <w:p w14:paraId="505F7F9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-0.74</w:t>
            </w:r>
          </w:p>
        </w:tc>
      </w:tr>
      <w:tr w:rsidR="004D4D3A" w:rsidRPr="004D4D3A" w14:paraId="0A42AC3C" w14:textId="77777777" w:rsidTr="00047F8D">
        <w:tc>
          <w:tcPr>
            <w:tcW w:w="2172" w:type="dxa"/>
          </w:tcPr>
          <w:p w14:paraId="18D31C9B"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Pseudo R</w:t>
            </w:r>
            <w:r w:rsidRPr="004D4D3A">
              <w:rPr>
                <w:rFonts w:ascii="Times New Roman" w:hAnsi="Times New Roman" w:cs="Times New Roman"/>
                <w:color w:val="000000" w:themeColor="text1"/>
                <w:sz w:val="20"/>
                <w:szCs w:val="20"/>
                <w:vertAlign w:val="superscript"/>
              </w:rPr>
              <w:t>2</w:t>
            </w:r>
          </w:p>
        </w:tc>
        <w:tc>
          <w:tcPr>
            <w:tcW w:w="1407" w:type="dxa"/>
          </w:tcPr>
          <w:p w14:paraId="75FD1CA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0A4040C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0.158</w:t>
            </w:r>
          </w:p>
        </w:tc>
        <w:tc>
          <w:tcPr>
            <w:tcW w:w="2715" w:type="dxa"/>
          </w:tcPr>
          <w:p w14:paraId="5E01E889"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1BA4B028" w14:textId="77777777" w:rsidTr="00047F8D">
        <w:tc>
          <w:tcPr>
            <w:tcW w:w="2172" w:type="dxa"/>
            <w:tcBorders>
              <w:bottom w:val="single" w:sz="4" w:space="0" w:color="auto"/>
            </w:tcBorders>
          </w:tcPr>
          <w:p w14:paraId="3AD632D1"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n</w:t>
            </w:r>
          </w:p>
        </w:tc>
        <w:tc>
          <w:tcPr>
            <w:tcW w:w="1407" w:type="dxa"/>
            <w:tcBorders>
              <w:bottom w:val="single" w:sz="4" w:space="0" w:color="auto"/>
            </w:tcBorders>
          </w:tcPr>
          <w:p w14:paraId="46685E88"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Borders>
              <w:bottom w:val="single" w:sz="4" w:space="0" w:color="auto"/>
            </w:tcBorders>
          </w:tcPr>
          <w:p w14:paraId="2CFF62BF"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7,531</w:t>
            </w:r>
          </w:p>
        </w:tc>
        <w:tc>
          <w:tcPr>
            <w:tcW w:w="2715" w:type="dxa"/>
            <w:tcBorders>
              <w:bottom w:val="single" w:sz="4" w:space="0" w:color="auto"/>
            </w:tcBorders>
          </w:tcPr>
          <w:p w14:paraId="5C7BFCF8"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bl>
    <w:p w14:paraId="18069DE4" w14:textId="1F1AEB74" w:rsidR="00081DF7" w:rsidRPr="004D4D3A" w:rsidRDefault="00081DF7" w:rsidP="00081DF7">
      <w:pPr>
        <w:autoSpaceDE w:val="0"/>
        <w:autoSpaceDN w:val="0"/>
        <w:adjustRightInd w:val="0"/>
        <w:spacing w:line="24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t xml:space="preserve">Variable definitions: </w:t>
      </w:r>
      <w:r w:rsidRPr="004D4D3A">
        <w:rPr>
          <w:rFonts w:ascii="Times New Roman" w:hAnsi="Times New Roman" w:cs="Times New Roman"/>
          <w:i/>
          <w:color w:val="000000" w:themeColor="text1"/>
          <w:sz w:val="20"/>
          <w:szCs w:val="20"/>
        </w:rPr>
        <w:t>PSWITCH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is audited by a new partner, and 0 otherwise. </w:t>
      </w:r>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difference in the predicted probability between receiving a MAO conditioned to a firm switch its partner and receiving a MAO conditioned to not switching the partner. </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amount of RPTs scaled by total assets. </w:t>
      </w:r>
      <w:r w:rsidRPr="004D4D3A">
        <w:rPr>
          <w:rFonts w:ascii="Times New Roman" w:hAnsi="Times New Roman" w:cs="Times New Roman"/>
          <w:i/>
          <w:color w:val="000000" w:themeColor="text1"/>
          <w:sz w:val="20"/>
          <w:szCs w:val="20"/>
        </w:rPr>
        <w:t>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number of consecutive years that the firm has retained the incumbent audit firm. </w:t>
      </w:r>
      <w:r w:rsidRPr="004D4D3A">
        <w:rPr>
          <w:rFonts w:ascii="Times New Roman" w:hAnsi="Times New Roman" w:cs="Times New Roman"/>
          <w:i/>
          <w:color w:val="000000" w:themeColor="text1"/>
          <w:sz w:val="20"/>
          <w:szCs w:val="20"/>
        </w:rPr>
        <w:t>L1PTENURE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last year’s average number of consecutive years that the engagement partners have signed the annual audit report of the client. </w:t>
      </w:r>
      <w:r w:rsidRPr="004D4D3A">
        <w:rPr>
          <w:rFonts w:ascii="Times New Roman" w:hAnsi="Times New Roman" w:cs="Times New Roman"/>
          <w:i/>
          <w:color w:val="000000" w:themeColor="text1"/>
          <w:kern w:val="0"/>
          <w:sz w:val="20"/>
          <w:szCs w:val="20"/>
        </w:rPr>
        <w:t>PSPEC</w:t>
      </w:r>
      <w:r w:rsidRPr="004D4D3A">
        <w:rPr>
          <w:rFonts w:ascii="Times New Roman" w:hAnsi="Times New Roman" w:cs="Times New Roman"/>
          <w:color w:val="000000" w:themeColor="text1"/>
          <w:kern w:val="0"/>
          <w:sz w:val="20"/>
          <w:szCs w:val="20"/>
        </w:rPr>
        <w:t xml:space="preserve"> = indicator variable set to 1 if any of the engagement partners is the industry leader or has a market share of greater than 10 percent in terms of total assets audited in the industry, and 0 otherwise. </w:t>
      </w:r>
      <w:r w:rsidRPr="004D4D3A">
        <w:rPr>
          <w:rFonts w:ascii="Times New Roman" w:hAnsi="Times New Roman" w:cs="Times New Roman"/>
          <w:i/>
          <w:color w:val="000000" w:themeColor="text1"/>
          <w:sz w:val="20"/>
          <w:szCs w:val="20"/>
        </w:rPr>
        <w:t>CI</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natural log of the client’s total assets scaled by the sum of the natural log of total assets of all clients audited by the same audit firm. </w:t>
      </w:r>
      <w:r w:rsidRPr="004D4D3A">
        <w:rPr>
          <w:rFonts w:ascii="Times New Roman" w:hAnsi="Times New Roman" w:cs="Times New Roman"/>
          <w:i/>
          <w:color w:val="000000" w:themeColor="text1"/>
          <w:sz w:val="20"/>
          <w:szCs w:val="20"/>
        </w:rPr>
        <w:t>ROA</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net income scaled by total assets. </w:t>
      </w:r>
      <w:r w:rsidRPr="004D4D3A">
        <w:rPr>
          <w:rFonts w:ascii="Times New Roman" w:hAnsi="Times New Roman" w:cs="Times New Roman"/>
          <w:i/>
          <w:color w:val="000000" w:themeColor="text1"/>
          <w:sz w:val="20"/>
          <w:szCs w:val="20"/>
        </w:rPr>
        <w:t>LOSS</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reports a loss for the year, and 0 otherwise. </w:t>
      </w:r>
      <w:r w:rsidRPr="004D4D3A">
        <w:rPr>
          <w:rFonts w:ascii="Times New Roman" w:hAnsi="Times New Roman" w:cs="Times New Roman"/>
          <w:i/>
          <w:color w:val="000000" w:themeColor="text1"/>
          <w:sz w:val="20"/>
          <w:szCs w:val="20"/>
        </w:rPr>
        <w:t>MAR</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annual return minus annual market return. </w:t>
      </w:r>
      <w:r w:rsidRPr="004D4D3A">
        <w:rPr>
          <w:rFonts w:ascii="Times New Roman" w:hAnsi="Times New Roman" w:cs="Times New Roman"/>
          <w:i/>
          <w:color w:val="000000" w:themeColor="text1"/>
          <w:sz w:val="20"/>
          <w:szCs w:val="20"/>
        </w:rPr>
        <w:t>GROWTH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change in sales scaled by lagged sales. </w:t>
      </w:r>
      <w:r w:rsidRPr="004D4D3A">
        <w:rPr>
          <w:rFonts w:ascii="Times New Roman" w:hAnsi="Times New Roman" w:cs="Times New Roman"/>
          <w:i/>
          <w:color w:val="000000" w:themeColor="text1"/>
          <w:sz w:val="20"/>
          <w:szCs w:val="20"/>
        </w:rPr>
        <w:t>LEV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total debt deflated by total assets. </w:t>
      </w:r>
      <w:r w:rsidRPr="004D4D3A">
        <w:rPr>
          <w:rFonts w:ascii="Times New Roman" w:hAnsi="Times New Roman" w:cs="Times New Roman"/>
          <w:i/>
          <w:color w:val="000000" w:themeColor="text1"/>
          <w:sz w:val="20"/>
          <w:szCs w:val="20"/>
        </w:rPr>
        <w:t>CFO</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cash flow from operations scaled by total assets. </w:t>
      </w:r>
      <w:r w:rsidRPr="004D4D3A">
        <w:rPr>
          <w:rFonts w:ascii="Times New Roman" w:hAnsi="Times New Roman" w:cs="Times New Roman"/>
          <w:i/>
          <w:color w:val="000000" w:themeColor="text1"/>
          <w:sz w:val="20"/>
          <w:szCs w:val="20"/>
        </w:rPr>
        <w:t>ARINV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accounts receivable plus inventory scaled by total assets. </w:t>
      </w:r>
      <w:r w:rsidRPr="004D4D3A">
        <w:rPr>
          <w:rFonts w:ascii="Times New Roman" w:hAnsi="Times New Roman" w:cs="Times New Roman"/>
          <w:i/>
          <w:color w:val="000000" w:themeColor="text1"/>
          <w:sz w:val="20"/>
          <w:szCs w:val="20"/>
        </w:rPr>
        <w:t>SEO</w:t>
      </w:r>
      <w:r w:rsidRPr="004D4D3A">
        <w:rPr>
          <w:rFonts w:ascii="Times New Roman" w:hAnsi="Times New Roman" w:cs="Times New Roman"/>
          <w:color w:val="000000" w:themeColor="text1"/>
          <w:sz w:val="20"/>
          <w:szCs w:val="20"/>
        </w:rPr>
        <w:t xml:space="preserve"> = indicator variable set to 1 </w:t>
      </w:r>
      <w:r w:rsidRPr="004D4D3A">
        <w:rPr>
          <w:rFonts w:ascii="Times New Roman" w:hAnsi="Times New Roman" w:cs="Times New Roman"/>
          <w:color w:val="000000" w:themeColor="text1"/>
          <w:kern w:val="0"/>
          <w:sz w:val="20"/>
          <w:szCs w:val="20"/>
        </w:rPr>
        <w:t xml:space="preserve">if the firm has seasoned equity offering in the next year, and 0 otherwise. </w:t>
      </w:r>
      <w:r w:rsidRPr="004D4D3A">
        <w:rPr>
          <w:rFonts w:ascii="Times New Roman" w:hAnsi="Times New Roman" w:cs="Times New Roman"/>
          <w:i/>
          <w:color w:val="000000" w:themeColor="text1"/>
          <w:sz w:val="20"/>
          <w:szCs w:val="20"/>
        </w:rPr>
        <w:t>SIZE</w:t>
      </w:r>
      <w:r w:rsidRPr="004D4D3A">
        <w:rPr>
          <w:rFonts w:ascii="Times New Roman" w:hAnsi="Times New Roman" w:cs="Times New Roman"/>
          <w:color w:val="000000" w:themeColor="text1"/>
          <w:sz w:val="20"/>
          <w:szCs w:val="20"/>
        </w:rPr>
        <w:t xml:space="preserve"> = n</w:t>
      </w:r>
      <w:r w:rsidRPr="004D4D3A">
        <w:rPr>
          <w:rFonts w:ascii="Times New Roman" w:hAnsi="Times New Roman" w:cs="Times New Roman"/>
          <w:color w:val="000000" w:themeColor="text1"/>
          <w:kern w:val="0"/>
          <w:sz w:val="20"/>
          <w:szCs w:val="20"/>
        </w:rPr>
        <w:t xml:space="preserve">atural log of total assets. </w:t>
      </w:r>
      <w:r w:rsidRPr="004D4D3A">
        <w:rPr>
          <w:rFonts w:ascii="Times New Roman" w:hAnsi="Times New Roman" w:cs="Times New Roman"/>
          <w:i/>
          <w:color w:val="000000" w:themeColor="text1"/>
          <w:sz w:val="20"/>
          <w:szCs w:val="20"/>
        </w:rPr>
        <w:t>AGE</w:t>
      </w:r>
      <w:r w:rsidRPr="004D4D3A">
        <w:rPr>
          <w:rFonts w:ascii="Times New Roman" w:hAnsi="Times New Roman" w:cs="Times New Roman"/>
          <w:color w:val="000000" w:themeColor="text1"/>
          <w:sz w:val="20"/>
          <w:szCs w:val="20"/>
        </w:rPr>
        <w:t xml:space="preserve"> = </w:t>
      </w:r>
      <w:r w:rsidRPr="004D4D3A">
        <w:rPr>
          <w:rFonts w:ascii="Times New Roman" w:hAnsi="Times New Roman" w:cs="Times New Roman"/>
          <w:color w:val="000000" w:themeColor="text1"/>
          <w:kern w:val="0"/>
          <w:sz w:val="20"/>
          <w:szCs w:val="20"/>
        </w:rPr>
        <w:t xml:space="preserve">number of years since the firm’s initial public offering. The symbol </w:t>
      </w:r>
      <w:r w:rsidRPr="004D4D3A">
        <w:rPr>
          <w:rFonts w:ascii="Times New Roman" w:eastAsia="標楷體" w:hAnsi="Times New Roman" w:cs="Times New Roman"/>
          <w:color w:val="000000" w:themeColor="text1"/>
          <w:sz w:val="20"/>
          <w:szCs w:val="20"/>
        </w:rPr>
        <w:sym w:font="Symbol" w:char="F044"/>
      </w:r>
      <w:r w:rsidRPr="004D4D3A">
        <w:rPr>
          <w:rFonts w:ascii="Times New Roman" w:eastAsia="SymbolMT" w:hAnsi="Times New Roman" w:cs="Times New Roman"/>
          <w:color w:val="000000" w:themeColor="text1"/>
          <w:kern w:val="0"/>
          <w:sz w:val="20"/>
          <w:szCs w:val="20"/>
        </w:rPr>
        <w:t xml:space="preserve"> </w:t>
      </w:r>
      <w:r w:rsidRPr="004D4D3A">
        <w:rPr>
          <w:rFonts w:ascii="Times New Roman" w:hAnsi="Times New Roman" w:cs="Times New Roman"/>
          <w:color w:val="000000" w:themeColor="text1"/>
          <w:kern w:val="0"/>
          <w:sz w:val="20"/>
          <w:szCs w:val="20"/>
        </w:rPr>
        <w:t xml:space="preserve">represents the change in the variable between the current and the preceding year. </w:t>
      </w:r>
      <w:proofErr w:type="gramStart"/>
      <w:r w:rsidRPr="004D4D3A">
        <w:rPr>
          <w:rFonts w:ascii="Times New Roman" w:hAnsi="Times New Roman" w:cs="Times New Roman"/>
          <w:color w:val="000000" w:themeColor="text1"/>
          <w:kern w:val="0"/>
          <w:sz w:val="20"/>
          <w:szCs w:val="20"/>
        </w:rPr>
        <w:t>z-statistics</w:t>
      </w:r>
      <w:proofErr w:type="gramEnd"/>
      <w:r w:rsidRPr="004D4D3A">
        <w:rPr>
          <w:rFonts w:ascii="Times New Roman" w:hAnsi="Times New Roman" w:cs="Times New Roman"/>
          <w:color w:val="000000" w:themeColor="text1"/>
          <w:kern w:val="0"/>
          <w:sz w:val="20"/>
          <w:szCs w:val="20"/>
        </w:rPr>
        <w:t xml:space="preserve"> are based on standard errors clustered by firm. *, ** and *** indicate two-tailed significance at the 0.10, 0.05 and 0.01 levels, respectively.</w:t>
      </w:r>
    </w:p>
    <w:p w14:paraId="50E3DF83" w14:textId="77777777" w:rsidR="00081DF7" w:rsidRPr="004D4D3A" w:rsidRDefault="00081DF7" w:rsidP="00081DF7">
      <w:pPr>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br w:type="page"/>
      </w:r>
    </w:p>
    <w:p w14:paraId="51027A75" w14:textId="77777777" w:rsidR="00081DF7" w:rsidRPr="004D4D3A" w:rsidRDefault="00081DF7" w:rsidP="00081DF7">
      <w:pPr>
        <w:rPr>
          <w:rFonts w:ascii="Times New Roman" w:hAnsi="Times New Roman" w:cs="Times New Roman"/>
          <w:color w:val="000000" w:themeColor="text1"/>
        </w:rPr>
      </w:pPr>
    </w:p>
    <w:p w14:paraId="6720BA7C" w14:textId="5FC66375" w:rsidR="00081DF7" w:rsidRPr="004D4D3A" w:rsidRDefault="00081DF7" w:rsidP="00081DF7">
      <w:pPr>
        <w:rPr>
          <w:rFonts w:ascii="Times New Roman" w:hAnsi="Times New Roman" w:cs="Times New Roman"/>
          <w:color w:val="000000" w:themeColor="text1"/>
        </w:rPr>
      </w:pPr>
      <w:r w:rsidRPr="004D4D3A">
        <w:rPr>
          <w:rFonts w:ascii="Times New Roman" w:hAnsi="Times New Roman" w:cs="Times New Roman"/>
          <w:color w:val="000000" w:themeColor="text1"/>
        </w:rPr>
        <w:t>Table 7 Abnormal RPTs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1407"/>
        <w:gridCol w:w="2722"/>
        <w:gridCol w:w="2714"/>
      </w:tblGrid>
      <w:tr w:rsidR="004D4D3A" w:rsidRPr="004D4D3A" w14:paraId="111ECEAC" w14:textId="77777777" w:rsidTr="00047F8D">
        <w:tc>
          <w:tcPr>
            <w:tcW w:w="2173" w:type="dxa"/>
            <w:tcBorders>
              <w:top w:val="single" w:sz="4" w:space="0" w:color="auto"/>
            </w:tcBorders>
          </w:tcPr>
          <w:p w14:paraId="6D9F1B09"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1407" w:type="dxa"/>
            <w:tcBorders>
              <w:top w:val="single" w:sz="4" w:space="0" w:color="auto"/>
            </w:tcBorders>
          </w:tcPr>
          <w:p w14:paraId="0BDD090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5436" w:type="dxa"/>
            <w:gridSpan w:val="2"/>
            <w:tcBorders>
              <w:top w:val="single" w:sz="4" w:space="0" w:color="auto"/>
              <w:bottom w:val="single" w:sz="4" w:space="0" w:color="auto"/>
            </w:tcBorders>
          </w:tcPr>
          <w:p w14:paraId="39AF3205"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i/>
                <w:color w:val="000000" w:themeColor="text1"/>
                <w:sz w:val="20"/>
                <w:szCs w:val="20"/>
              </w:rPr>
              <w:t>PSWITCH</w:t>
            </w:r>
          </w:p>
        </w:tc>
      </w:tr>
      <w:tr w:rsidR="004D4D3A" w:rsidRPr="004D4D3A" w14:paraId="056EE2C9" w14:textId="77777777" w:rsidTr="00047F8D">
        <w:tc>
          <w:tcPr>
            <w:tcW w:w="2173" w:type="dxa"/>
            <w:tcBorders>
              <w:bottom w:val="single" w:sz="4" w:space="0" w:color="auto"/>
            </w:tcBorders>
          </w:tcPr>
          <w:p w14:paraId="65EB62B1"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1407" w:type="dxa"/>
            <w:tcBorders>
              <w:bottom w:val="single" w:sz="4" w:space="0" w:color="auto"/>
            </w:tcBorders>
          </w:tcPr>
          <w:p w14:paraId="123601B6"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Expected sign</w:t>
            </w:r>
          </w:p>
        </w:tc>
        <w:tc>
          <w:tcPr>
            <w:tcW w:w="2722" w:type="dxa"/>
            <w:tcBorders>
              <w:top w:val="single" w:sz="4" w:space="0" w:color="auto"/>
              <w:bottom w:val="single" w:sz="4" w:space="0" w:color="auto"/>
            </w:tcBorders>
          </w:tcPr>
          <w:p w14:paraId="3CEC5BB0"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Coefficient</w:t>
            </w:r>
          </w:p>
        </w:tc>
        <w:tc>
          <w:tcPr>
            <w:tcW w:w="2714" w:type="dxa"/>
            <w:tcBorders>
              <w:top w:val="single" w:sz="4" w:space="0" w:color="auto"/>
              <w:bottom w:val="single" w:sz="4" w:space="0" w:color="auto"/>
            </w:tcBorders>
          </w:tcPr>
          <w:p w14:paraId="52864E18"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z-statistic</w:t>
            </w:r>
          </w:p>
        </w:tc>
      </w:tr>
      <w:tr w:rsidR="004D4D3A" w:rsidRPr="004D4D3A" w14:paraId="5C361EA6" w14:textId="77777777" w:rsidTr="00047F8D">
        <w:tc>
          <w:tcPr>
            <w:tcW w:w="2173" w:type="dxa"/>
            <w:tcBorders>
              <w:top w:val="single" w:sz="4" w:space="0" w:color="auto"/>
            </w:tcBorders>
          </w:tcPr>
          <w:p w14:paraId="09FEFA5C"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Intercept</w:t>
            </w:r>
          </w:p>
        </w:tc>
        <w:tc>
          <w:tcPr>
            <w:tcW w:w="1407" w:type="dxa"/>
            <w:tcBorders>
              <w:top w:val="single" w:sz="4" w:space="0" w:color="auto"/>
            </w:tcBorders>
          </w:tcPr>
          <w:p w14:paraId="15D75DE3"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p>
        </w:tc>
        <w:tc>
          <w:tcPr>
            <w:tcW w:w="2722" w:type="dxa"/>
            <w:tcBorders>
              <w:top w:val="single" w:sz="4" w:space="0" w:color="auto"/>
            </w:tcBorders>
          </w:tcPr>
          <w:p w14:paraId="0239855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-0.453*</w:t>
            </w:r>
          </w:p>
        </w:tc>
        <w:tc>
          <w:tcPr>
            <w:tcW w:w="2714" w:type="dxa"/>
            <w:tcBorders>
              <w:top w:val="single" w:sz="4" w:space="0" w:color="auto"/>
            </w:tcBorders>
          </w:tcPr>
          <w:p w14:paraId="73BE079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-1.75</w:t>
            </w:r>
          </w:p>
        </w:tc>
      </w:tr>
      <w:tr w:rsidR="004D4D3A" w:rsidRPr="004D4D3A" w14:paraId="1F12184B" w14:textId="77777777" w:rsidTr="00047F8D">
        <w:tc>
          <w:tcPr>
            <w:tcW w:w="2173" w:type="dxa"/>
          </w:tcPr>
          <w:p w14:paraId="23429B5A"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p>
        </w:tc>
        <w:tc>
          <w:tcPr>
            <w:tcW w:w="1407" w:type="dxa"/>
          </w:tcPr>
          <w:p w14:paraId="4D4E8564"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586021E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-38.449***</w:t>
            </w:r>
          </w:p>
        </w:tc>
        <w:tc>
          <w:tcPr>
            <w:tcW w:w="2714" w:type="dxa"/>
          </w:tcPr>
          <w:p w14:paraId="7B023758"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-17.59</w:t>
            </w:r>
          </w:p>
        </w:tc>
      </w:tr>
      <w:tr w:rsidR="004D4D3A" w:rsidRPr="004D4D3A" w14:paraId="3EC137AF" w14:textId="77777777" w:rsidTr="00047F8D">
        <w:tc>
          <w:tcPr>
            <w:tcW w:w="2173" w:type="dxa"/>
          </w:tcPr>
          <w:p w14:paraId="143AA953"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ABRPT</w:t>
            </w:r>
          </w:p>
        </w:tc>
        <w:tc>
          <w:tcPr>
            <w:tcW w:w="1407" w:type="dxa"/>
          </w:tcPr>
          <w:p w14:paraId="297E91D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77ADEA4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0.012</w:t>
            </w:r>
          </w:p>
        </w:tc>
        <w:tc>
          <w:tcPr>
            <w:tcW w:w="2714" w:type="dxa"/>
          </w:tcPr>
          <w:p w14:paraId="660090D5"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0.44</w:t>
            </w:r>
          </w:p>
        </w:tc>
      </w:tr>
      <w:tr w:rsidR="004D4D3A" w:rsidRPr="004D4D3A" w14:paraId="7D81F2E2" w14:textId="77777777" w:rsidTr="00047F8D">
        <w:tc>
          <w:tcPr>
            <w:tcW w:w="2173" w:type="dxa"/>
          </w:tcPr>
          <w:p w14:paraId="15821B87"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POPSHOP</w:t>
            </w:r>
            <w:r w:rsidRPr="004D4D3A">
              <w:rPr>
                <w:rFonts w:ascii="Times New Roman" w:eastAsia="標楷體" w:hAnsi="Times New Roman" w:cs="Times New Roman"/>
                <w:color w:val="000000" w:themeColor="text1"/>
                <w:sz w:val="20"/>
                <w:szCs w:val="20"/>
              </w:rPr>
              <w:t>×</w:t>
            </w:r>
            <w:r w:rsidRPr="004D4D3A">
              <w:rPr>
                <w:rFonts w:ascii="Times New Roman" w:eastAsia="標楷體" w:hAnsi="Times New Roman" w:cs="Times New Roman"/>
                <w:i/>
                <w:color w:val="000000" w:themeColor="text1"/>
                <w:sz w:val="20"/>
                <w:szCs w:val="20"/>
              </w:rPr>
              <w:t>AB</w:t>
            </w:r>
            <w:r w:rsidRPr="004D4D3A">
              <w:rPr>
                <w:rFonts w:ascii="Times New Roman" w:hAnsi="Times New Roman" w:cs="Times New Roman"/>
                <w:i/>
                <w:color w:val="000000" w:themeColor="text1"/>
                <w:sz w:val="20"/>
                <w:szCs w:val="20"/>
              </w:rPr>
              <w:t>RPT</w:t>
            </w:r>
          </w:p>
        </w:tc>
        <w:tc>
          <w:tcPr>
            <w:tcW w:w="1407" w:type="dxa"/>
          </w:tcPr>
          <w:p w14:paraId="3B66D38C"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72CE82F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-6.805*</w:t>
            </w:r>
          </w:p>
        </w:tc>
        <w:tc>
          <w:tcPr>
            <w:tcW w:w="2714" w:type="dxa"/>
          </w:tcPr>
          <w:p w14:paraId="7783272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-1.95</w:t>
            </w:r>
          </w:p>
        </w:tc>
      </w:tr>
      <w:tr w:rsidR="004D4D3A" w:rsidRPr="004D4D3A" w14:paraId="3319C9DF" w14:textId="77777777" w:rsidTr="00047F8D">
        <w:tc>
          <w:tcPr>
            <w:tcW w:w="2173" w:type="dxa"/>
          </w:tcPr>
          <w:p w14:paraId="7D4FC1B5"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TENURE</w:t>
            </w:r>
          </w:p>
        </w:tc>
        <w:tc>
          <w:tcPr>
            <w:tcW w:w="1407" w:type="dxa"/>
          </w:tcPr>
          <w:p w14:paraId="77C73576"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05AE1AF"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0.016***</w:t>
            </w:r>
          </w:p>
        </w:tc>
        <w:tc>
          <w:tcPr>
            <w:tcW w:w="2714" w:type="dxa"/>
          </w:tcPr>
          <w:p w14:paraId="2990CD1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5.26</w:t>
            </w:r>
          </w:p>
        </w:tc>
      </w:tr>
      <w:tr w:rsidR="004D4D3A" w:rsidRPr="004D4D3A" w14:paraId="7BD15BAB" w14:textId="77777777" w:rsidTr="00047F8D">
        <w:tc>
          <w:tcPr>
            <w:tcW w:w="2173" w:type="dxa"/>
          </w:tcPr>
          <w:p w14:paraId="7F623EE8"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L1PTENURE</w:t>
            </w:r>
          </w:p>
        </w:tc>
        <w:tc>
          <w:tcPr>
            <w:tcW w:w="1407" w:type="dxa"/>
          </w:tcPr>
          <w:p w14:paraId="771454BF"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204170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0.138***</w:t>
            </w:r>
          </w:p>
        </w:tc>
        <w:tc>
          <w:tcPr>
            <w:tcW w:w="2714" w:type="dxa"/>
          </w:tcPr>
          <w:p w14:paraId="51F33F5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8.47</w:t>
            </w:r>
          </w:p>
        </w:tc>
      </w:tr>
      <w:tr w:rsidR="004D4D3A" w:rsidRPr="004D4D3A" w14:paraId="61DA4711" w14:textId="77777777" w:rsidTr="00047F8D">
        <w:tc>
          <w:tcPr>
            <w:tcW w:w="2173" w:type="dxa"/>
          </w:tcPr>
          <w:p w14:paraId="29B6AD6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PSPEC</w:t>
            </w:r>
          </w:p>
        </w:tc>
        <w:tc>
          <w:tcPr>
            <w:tcW w:w="1407" w:type="dxa"/>
          </w:tcPr>
          <w:p w14:paraId="60261843" w14:textId="0265AD0D"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07D9AC2"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0.107*</w:t>
            </w:r>
          </w:p>
        </w:tc>
        <w:tc>
          <w:tcPr>
            <w:tcW w:w="2714" w:type="dxa"/>
          </w:tcPr>
          <w:p w14:paraId="5DA6C4D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1.94</w:t>
            </w:r>
          </w:p>
        </w:tc>
      </w:tr>
      <w:tr w:rsidR="004D4D3A" w:rsidRPr="004D4D3A" w14:paraId="7A4659C9" w14:textId="77777777" w:rsidTr="00047F8D">
        <w:tc>
          <w:tcPr>
            <w:tcW w:w="2173" w:type="dxa"/>
          </w:tcPr>
          <w:p w14:paraId="0DE544A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CI</w:t>
            </w:r>
          </w:p>
        </w:tc>
        <w:tc>
          <w:tcPr>
            <w:tcW w:w="1407" w:type="dxa"/>
          </w:tcPr>
          <w:p w14:paraId="2F87563E"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76045C5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-0.711</w:t>
            </w:r>
          </w:p>
        </w:tc>
        <w:tc>
          <w:tcPr>
            <w:tcW w:w="2714" w:type="dxa"/>
          </w:tcPr>
          <w:p w14:paraId="205865C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-1.44</w:t>
            </w:r>
          </w:p>
        </w:tc>
      </w:tr>
      <w:tr w:rsidR="004D4D3A" w:rsidRPr="004D4D3A" w14:paraId="06EC784D" w14:textId="77777777" w:rsidTr="00047F8D">
        <w:tc>
          <w:tcPr>
            <w:tcW w:w="2173" w:type="dxa"/>
          </w:tcPr>
          <w:p w14:paraId="77EF7EE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ROA</w:t>
            </w:r>
          </w:p>
        </w:tc>
        <w:tc>
          <w:tcPr>
            <w:tcW w:w="1407" w:type="dxa"/>
          </w:tcPr>
          <w:p w14:paraId="39E58E09"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3686C8CF"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0.769***</w:t>
            </w:r>
          </w:p>
        </w:tc>
        <w:tc>
          <w:tcPr>
            <w:tcW w:w="2714" w:type="dxa"/>
          </w:tcPr>
          <w:p w14:paraId="6BD2895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2.74</w:t>
            </w:r>
          </w:p>
        </w:tc>
      </w:tr>
      <w:tr w:rsidR="004D4D3A" w:rsidRPr="004D4D3A" w14:paraId="4F707487" w14:textId="77777777" w:rsidTr="00047F8D">
        <w:tc>
          <w:tcPr>
            <w:tcW w:w="2173" w:type="dxa"/>
          </w:tcPr>
          <w:p w14:paraId="38CFC86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LOSS</w:t>
            </w:r>
          </w:p>
        </w:tc>
        <w:tc>
          <w:tcPr>
            <w:tcW w:w="1407" w:type="dxa"/>
          </w:tcPr>
          <w:p w14:paraId="164844F4"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D8A123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-0.425***</w:t>
            </w:r>
          </w:p>
        </w:tc>
        <w:tc>
          <w:tcPr>
            <w:tcW w:w="2714" w:type="dxa"/>
          </w:tcPr>
          <w:p w14:paraId="64E8BB9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-9.16</w:t>
            </w:r>
          </w:p>
        </w:tc>
      </w:tr>
      <w:tr w:rsidR="004D4D3A" w:rsidRPr="004D4D3A" w14:paraId="60EE60EB" w14:textId="77777777" w:rsidTr="00047F8D">
        <w:tc>
          <w:tcPr>
            <w:tcW w:w="2173" w:type="dxa"/>
          </w:tcPr>
          <w:p w14:paraId="28334A7E"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MAR</w:t>
            </w:r>
          </w:p>
        </w:tc>
        <w:tc>
          <w:tcPr>
            <w:tcW w:w="1407" w:type="dxa"/>
          </w:tcPr>
          <w:p w14:paraId="52BD896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4C4C44A0"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-0.012</w:t>
            </w:r>
          </w:p>
        </w:tc>
        <w:tc>
          <w:tcPr>
            <w:tcW w:w="2714" w:type="dxa"/>
          </w:tcPr>
          <w:p w14:paraId="24F187A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-0.48</w:t>
            </w:r>
          </w:p>
        </w:tc>
      </w:tr>
      <w:tr w:rsidR="004D4D3A" w:rsidRPr="004D4D3A" w14:paraId="10E1FEE7" w14:textId="77777777" w:rsidTr="00047F8D">
        <w:tc>
          <w:tcPr>
            <w:tcW w:w="2173" w:type="dxa"/>
          </w:tcPr>
          <w:p w14:paraId="3409013F"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GROWTH</w:t>
            </w:r>
          </w:p>
        </w:tc>
        <w:tc>
          <w:tcPr>
            <w:tcW w:w="1407" w:type="dxa"/>
          </w:tcPr>
          <w:p w14:paraId="58819A9D" w14:textId="207C0602"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7F1552DF"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-0.001</w:t>
            </w:r>
          </w:p>
        </w:tc>
        <w:tc>
          <w:tcPr>
            <w:tcW w:w="2714" w:type="dxa"/>
          </w:tcPr>
          <w:p w14:paraId="70192D0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-0.03</w:t>
            </w:r>
          </w:p>
        </w:tc>
      </w:tr>
      <w:tr w:rsidR="004D4D3A" w:rsidRPr="004D4D3A" w14:paraId="42B076F6" w14:textId="77777777" w:rsidTr="00047F8D">
        <w:tc>
          <w:tcPr>
            <w:tcW w:w="2173" w:type="dxa"/>
          </w:tcPr>
          <w:p w14:paraId="48FC99CB"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LEV</w:t>
            </w:r>
          </w:p>
        </w:tc>
        <w:tc>
          <w:tcPr>
            <w:tcW w:w="1407" w:type="dxa"/>
          </w:tcPr>
          <w:p w14:paraId="1DA4CB3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561538A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0.049</w:t>
            </w:r>
          </w:p>
        </w:tc>
        <w:tc>
          <w:tcPr>
            <w:tcW w:w="2714" w:type="dxa"/>
          </w:tcPr>
          <w:p w14:paraId="072C1F1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0.65</w:t>
            </w:r>
          </w:p>
        </w:tc>
      </w:tr>
      <w:tr w:rsidR="004D4D3A" w:rsidRPr="004D4D3A" w14:paraId="50E8C834" w14:textId="77777777" w:rsidTr="00047F8D">
        <w:tc>
          <w:tcPr>
            <w:tcW w:w="2173" w:type="dxa"/>
          </w:tcPr>
          <w:p w14:paraId="06D0A685"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CFO</w:t>
            </w:r>
          </w:p>
        </w:tc>
        <w:tc>
          <w:tcPr>
            <w:tcW w:w="1407" w:type="dxa"/>
          </w:tcPr>
          <w:p w14:paraId="0D90E60E" w14:textId="69E403D1"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0AD6613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-0.035</w:t>
            </w:r>
          </w:p>
        </w:tc>
        <w:tc>
          <w:tcPr>
            <w:tcW w:w="2714" w:type="dxa"/>
          </w:tcPr>
          <w:p w14:paraId="5D5CEC79"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-0.21</w:t>
            </w:r>
          </w:p>
        </w:tc>
      </w:tr>
      <w:tr w:rsidR="004D4D3A" w:rsidRPr="004D4D3A" w14:paraId="53EB2960" w14:textId="77777777" w:rsidTr="00047F8D">
        <w:tc>
          <w:tcPr>
            <w:tcW w:w="2173" w:type="dxa"/>
          </w:tcPr>
          <w:p w14:paraId="0D556276"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ARINV</w:t>
            </w:r>
          </w:p>
        </w:tc>
        <w:tc>
          <w:tcPr>
            <w:tcW w:w="1407" w:type="dxa"/>
          </w:tcPr>
          <w:p w14:paraId="1FAF0E1A" w14:textId="186F7639" w:rsidR="00081DF7" w:rsidRPr="004D4D3A" w:rsidRDefault="00BB1580"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19BCCEFE"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0.053</w:t>
            </w:r>
          </w:p>
        </w:tc>
        <w:tc>
          <w:tcPr>
            <w:tcW w:w="2714" w:type="dxa"/>
          </w:tcPr>
          <w:p w14:paraId="7B5DAE0D"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0.64</w:t>
            </w:r>
          </w:p>
        </w:tc>
      </w:tr>
      <w:tr w:rsidR="004D4D3A" w:rsidRPr="004D4D3A" w14:paraId="773B4D38" w14:textId="77777777" w:rsidTr="00047F8D">
        <w:tc>
          <w:tcPr>
            <w:tcW w:w="2173" w:type="dxa"/>
          </w:tcPr>
          <w:p w14:paraId="7F9F1D1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SEO</w:t>
            </w:r>
          </w:p>
        </w:tc>
        <w:tc>
          <w:tcPr>
            <w:tcW w:w="1407" w:type="dxa"/>
          </w:tcPr>
          <w:p w14:paraId="162B032C"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0B257B57"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0.022</w:t>
            </w:r>
          </w:p>
        </w:tc>
        <w:tc>
          <w:tcPr>
            <w:tcW w:w="2714" w:type="dxa"/>
          </w:tcPr>
          <w:p w14:paraId="37F96F9B"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0.20</w:t>
            </w:r>
          </w:p>
        </w:tc>
      </w:tr>
      <w:tr w:rsidR="004D4D3A" w:rsidRPr="004D4D3A" w14:paraId="46BDAD4C" w14:textId="77777777" w:rsidTr="00047F8D">
        <w:tc>
          <w:tcPr>
            <w:tcW w:w="2173" w:type="dxa"/>
          </w:tcPr>
          <w:p w14:paraId="390E5B39"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SIZE</w:t>
            </w:r>
          </w:p>
        </w:tc>
        <w:tc>
          <w:tcPr>
            <w:tcW w:w="1407" w:type="dxa"/>
          </w:tcPr>
          <w:p w14:paraId="76CE798A"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6A19892F"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-0.013</w:t>
            </w:r>
          </w:p>
        </w:tc>
        <w:tc>
          <w:tcPr>
            <w:tcW w:w="2714" w:type="dxa"/>
          </w:tcPr>
          <w:p w14:paraId="70B0B932"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-1.13</w:t>
            </w:r>
          </w:p>
        </w:tc>
      </w:tr>
      <w:tr w:rsidR="004D4D3A" w:rsidRPr="004D4D3A" w14:paraId="740B6246" w14:textId="77777777" w:rsidTr="00047F8D">
        <w:tc>
          <w:tcPr>
            <w:tcW w:w="2173" w:type="dxa"/>
          </w:tcPr>
          <w:p w14:paraId="75AE1971" w14:textId="77777777" w:rsidR="00081DF7" w:rsidRPr="004D4D3A" w:rsidRDefault="00081DF7" w:rsidP="00047F8D">
            <w:pPr>
              <w:spacing w:line="280" w:lineRule="exact"/>
              <w:rPr>
                <w:rFonts w:ascii="Times New Roman" w:hAnsi="Times New Roman" w:cs="Times New Roman"/>
                <w:i/>
                <w:color w:val="000000" w:themeColor="text1"/>
                <w:sz w:val="20"/>
                <w:szCs w:val="20"/>
              </w:rPr>
            </w:pPr>
            <w:r w:rsidRPr="004D4D3A">
              <w:rPr>
                <w:rFonts w:ascii="Times New Roman" w:hAnsi="Times New Roman" w:cs="Times New Roman"/>
                <w:i/>
                <w:color w:val="000000" w:themeColor="text1"/>
                <w:sz w:val="20"/>
                <w:szCs w:val="20"/>
              </w:rPr>
              <w:t>AGE</w:t>
            </w:r>
          </w:p>
        </w:tc>
        <w:tc>
          <w:tcPr>
            <w:tcW w:w="1407" w:type="dxa"/>
          </w:tcPr>
          <w:p w14:paraId="3313064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w:t>
            </w:r>
          </w:p>
        </w:tc>
        <w:tc>
          <w:tcPr>
            <w:tcW w:w="2722" w:type="dxa"/>
          </w:tcPr>
          <w:p w14:paraId="7BE49FF1"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-0.013***</w:t>
            </w:r>
          </w:p>
        </w:tc>
        <w:tc>
          <w:tcPr>
            <w:tcW w:w="2714" w:type="dxa"/>
          </w:tcPr>
          <w:p w14:paraId="0CD8CBB4"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-5.05</w:t>
            </w:r>
          </w:p>
        </w:tc>
      </w:tr>
      <w:tr w:rsidR="004D4D3A" w:rsidRPr="004D4D3A" w14:paraId="1FC76FCD" w14:textId="77777777" w:rsidTr="00047F8D">
        <w:tc>
          <w:tcPr>
            <w:tcW w:w="2173" w:type="dxa"/>
          </w:tcPr>
          <w:p w14:paraId="73C605DF"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Year fixed effects</w:t>
            </w:r>
          </w:p>
        </w:tc>
        <w:tc>
          <w:tcPr>
            <w:tcW w:w="1407" w:type="dxa"/>
          </w:tcPr>
          <w:p w14:paraId="0EDC3254"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30836CCD"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14" w:type="dxa"/>
          </w:tcPr>
          <w:p w14:paraId="3CF1B55C"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6CA8FA70" w14:textId="77777777" w:rsidTr="00047F8D">
        <w:tc>
          <w:tcPr>
            <w:tcW w:w="2173" w:type="dxa"/>
          </w:tcPr>
          <w:p w14:paraId="4118DC19"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Industry fixed effects</w:t>
            </w:r>
          </w:p>
        </w:tc>
        <w:tc>
          <w:tcPr>
            <w:tcW w:w="1407" w:type="dxa"/>
          </w:tcPr>
          <w:p w14:paraId="71C06FA4"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7E87C822"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Yes</w:t>
            </w:r>
          </w:p>
        </w:tc>
        <w:tc>
          <w:tcPr>
            <w:tcW w:w="2714" w:type="dxa"/>
          </w:tcPr>
          <w:p w14:paraId="3A15AD5F"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7070B19F" w14:textId="77777777" w:rsidTr="00047F8D">
        <w:tc>
          <w:tcPr>
            <w:tcW w:w="2173" w:type="dxa"/>
          </w:tcPr>
          <w:p w14:paraId="299C8E3B"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Pseudo R</w:t>
            </w:r>
            <w:r w:rsidRPr="004D4D3A">
              <w:rPr>
                <w:rFonts w:ascii="Times New Roman" w:hAnsi="Times New Roman" w:cs="Times New Roman"/>
                <w:color w:val="000000" w:themeColor="text1"/>
                <w:sz w:val="20"/>
                <w:szCs w:val="20"/>
                <w:vertAlign w:val="superscript"/>
              </w:rPr>
              <w:t>2</w:t>
            </w:r>
          </w:p>
        </w:tc>
        <w:tc>
          <w:tcPr>
            <w:tcW w:w="1407" w:type="dxa"/>
          </w:tcPr>
          <w:p w14:paraId="76092481"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Pr>
          <w:p w14:paraId="57CA561C" w14:textId="77777777" w:rsidR="00081DF7" w:rsidRPr="004D4D3A" w:rsidRDefault="00081DF7" w:rsidP="00047F8D">
            <w:pPr>
              <w:tabs>
                <w:tab w:val="decimal" w:pos="1108"/>
              </w:tabs>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0.049</w:t>
            </w:r>
          </w:p>
        </w:tc>
        <w:tc>
          <w:tcPr>
            <w:tcW w:w="2714" w:type="dxa"/>
          </w:tcPr>
          <w:p w14:paraId="085643B8"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r w:rsidR="004D4D3A" w:rsidRPr="004D4D3A" w14:paraId="106EF5C5" w14:textId="77777777" w:rsidTr="00047F8D">
        <w:tc>
          <w:tcPr>
            <w:tcW w:w="2173" w:type="dxa"/>
            <w:tcBorders>
              <w:bottom w:val="single" w:sz="4" w:space="0" w:color="auto"/>
            </w:tcBorders>
          </w:tcPr>
          <w:p w14:paraId="2E5B216A" w14:textId="77777777" w:rsidR="00081DF7" w:rsidRPr="004D4D3A" w:rsidRDefault="00081DF7" w:rsidP="00047F8D">
            <w:pPr>
              <w:spacing w:line="280" w:lineRule="exact"/>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n</w:t>
            </w:r>
          </w:p>
        </w:tc>
        <w:tc>
          <w:tcPr>
            <w:tcW w:w="1407" w:type="dxa"/>
            <w:tcBorders>
              <w:bottom w:val="single" w:sz="4" w:space="0" w:color="auto"/>
            </w:tcBorders>
          </w:tcPr>
          <w:p w14:paraId="791DB4B3"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c>
          <w:tcPr>
            <w:tcW w:w="2722" w:type="dxa"/>
            <w:tcBorders>
              <w:bottom w:val="single" w:sz="4" w:space="0" w:color="auto"/>
            </w:tcBorders>
          </w:tcPr>
          <w:p w14:paraId="03AA2507" w14:textId="77777777" w:rsidR="00081DF7" w:rsidRPr="004D4D3A" w:rsidRDefault="00081DF7" w:rsidP="00047F8D">
            <w:pPr>
              <w:spacing w:line="280" w:lineRule="exact"/>
              <w:jc w:val="center"/>
              <w:rPr>
                <w:rFonts w:ascii="Times New Roman" w:hAnsi="Times New Roman" w:cs="Times New Roman"/>
                <w:color w:val="000000" w:themeColor="text1"/>
                <w:sz w:val="20"/>
                <w:szCs w:val="20"/>
              </w:rPr>
            </w:pPr>
            <w:r w:rsidRPr="004D4D3A">
              <w:rPr>
                <w:rFonts w:ascii="Times New Roman" w:hAnsi="Times New Roman" w:cs="Times New Roman"/>
                <w:color w:val="000000" w:themeColor="text1"/>
                <w:sz w:val="20"/>
                <w:szCs w:val="20"/>
              </w:rPr>
              <w:t>12,528</w:t>
            </w:r>
          </w:p>
        </w:tc>
        <w:tc>
          <w:tcPr>
            <w:tcW w:w="2714" w:type="dxa"/>
            <w:tcBorders>
              <w:bottom w:val="single" w:sz="4" w:space="0" w:color="auto"/>
            </w:tcBorders>
          </w:tcPr>
          <w:p w14:paraId="315B2388" w14:textId="77777777" w:rsidR="00081DF7" w:rsidRPr="004D4D3A" w:rsidRDefault="00081DF7" w:rsidP="00047F8D">
            <w:pPr>
              <w:spacing w:line="280" w:lineRule="exact"/>
              <w:rPr>
                <w:rFonts w:ascii="Times New Roman" w:hAnsi="Times New Roman" w:cs="Times New Roman"/>
                <w:color w:val="000000" w:themeColor="text1"/>
                <w:sz w:val="20"/>
                <w:szCs w:val="20"/>
              </w:rPr>
            </w:pPr>
          </w:p>
        </w:tc>
      </w:tr>
    </w:tbl>
    <w:p w14:paraId="451D2F4C" w14:textId="6E946F61" w:rsidR="00AD7452" w:rsidRPr="004D4D3A" w:rsidRDefault="00081DF7" w:rsidP="00081DF7">
      <w:pPr>
        <w:spacing w:line="240" w:lineRule="exact"/>
        <w:rPr>
          <w:rFonts w:ascii="Times New Roman" w:hAnsi="Times New Roman" w:cs="Times New Roman"/>
          <w:color w:val="000000" w:themeColor="text1"/>
          <w:kern w:val="0"/>
          <w:sz w:val="20"/>
          <w:szCs w:val="20"/>
        </w:rPr>
      </w:pPr>
      <w:r w:rsidRPr="004D4D3A">
        <w:rPr>
          <w:rFonts w:ascii="Times New Roman" w:hAnsi="Times New Roman" w:cs="Times New Roman"/>
          <w:color w:val="000000" w:themeColor="text1"/>
          <w:kern w:val="0"/>
          <w:sz w:val="20"/>
          <w:szCs w:val="20"/>
        </w:rPr>
        <w:t xml:space="preserve">Variable definitions: </w:t>
      </w:r>
      <w:r w:rsidRPr="004D4D3A">
        <w:rPr>
          <w:rFonts w:ascii="Times New Roman" w:hAnsi="Times New Roman" w:cs="Times New Roman"/>
          <w:i/>
          <w:color w:val="000000" w:themeColor="text1"/>
          <w:sz w:val="20"/>
          <w:szCs w:val="20"/>
        </w:rPr>
        <w:t>PSWITCH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is audited by a new partner, and 0 otherwise. </w:t>
      </w:r>
      <w:r w:rsidRPr="004D4D3A">
        <w:rPr>
          <w:rFonts w:ascii="Times New Roman" w:hAnsi="Times New Roman" w:cs="Times New Roman"/>
          <w:i/>
          <w:color w:val="000000" w:themeColor="text1"/>
          <w:sz w:val="20"/>
          <w:szCs w:val="20"/>
        </w:rPr>
        <w:t>POPSHOP</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difference in the predicted probability between receiving a MAO conditioned to a firm switch its partner and receiving a MAO conditioned to not switching the partner. </w:t>
      </w:r>
      <w:r w:rsidRPr="004D4D3A">
        <w:rPr>
          <w:rFonts w:ascii="Times New Roman" w:hAnsi="Times New Roman" w:cs="Times New Roman"/>
          <w:i/>
          <w:color w:val="000000" w:themeColor="text1"/>
          <w:kern w:val="0"/>
          <w:sz w:val="20"/>
          <w:szCs w:val="20"/>
        </w:rPr>
        <w:t>AB</w:t>
      </w:r>
      <w:r w:rsidRPr="004D4D3A">
        <w:rPr>
          <w:rFonts w:ascii="Times New Roman" w:hAnsi="Times New Roman" w:cs="Times New Roman"/>
          <w:i/>
          <w:color w:val="000000" w:themeColor="text1"/>
          <w:sz w:val="20"/>
          <w:szCs w:val="20"/>
        </w:rPr>
        <w:t>RPT</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residual value of RPTs from yearly regressions. </w:t>
      </w:r>
      <w:r w:rsidRPr="004D4D3A">
        <w:rPr>
          <w:rFonts w:ascii="Times New Roman" w:hAnsi="Times New Roman" w:cs="Times New Roman"/>
          <w:i/>
          <w:color w:val="000000" w:themeColor="text1"/>
          <w:sz w:val="20"/>
          <w:szCs w:val="20"/>
        </w:rPr>
        <w:t>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number of consecutive years that the firm has retained the incumbent audit firm. </w:t>
      </w:r>
      <w:r w:rsidRPr="004D4D3A">
        <w:rPr>
          <w:rFonts w:ascii="Times New Roman" w:hAnsi="Times New Roman" w:cs="Times New Roman"/>
          <w:i/>
          <w:color w:val="000000" w:themeColor="text1"/>
          <w:sz w:val="20"/>
          <w:szCs w:val="20"/>
        </w:rPr>
        <w:t>L1PTENURE</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last year’s average number of consecutive years that the engagement partners have signed the annual audit report of the client. </w:t>
      </w:r>
      <w:r w:rsidRPr="004D4D3A">
        <w:rPr>
          <w:rFonts w:ascii="Times New Roman" w:hAnsi="Times New Roman" w:cs="Times New Roman"/>
          <w:i/>
          <w:color w:val="000000" w:themeColor="text1"/>
          <w:kern w:val="0"/>
          <w:sz w:val="20"/>
          <w:szCs w:val="20"/>
        </w:rPr>
        <w:t>PSPEC</w:t>
      </w:r>
      <w:r w:rsidRPr="004D4D3A">
        <w:rPr>
          <w:rFonts w:ascii="Times New Roman" w:hAnsi="Times New Roman" w:cs="Times New Roman"/>
          <w:color w:val="000000" w:themeColor="text1"/>
          <w:kern w:val="0"/>
          <w:sz w:val="20"/>
          <w:szCs w:val="20"/>
        </w:rPr>
        <w:t xml:space="preserve"> = indicator variable set to 1 if any of the engagement partners is the industry leader or has a market share of greater than 10 percent in terms of total assets audited in the industry, and 0 otherwise. </w:t>
      </w:r>
      <w:r w:rsidRPr="004D4D3A">
        <w:rPr>
          <w:rFonts w:ascii="Times New Roman" w:hAnsi="Times New Roman" w:cs="Times New Roman"/>
          <w:i/>
          <w:color w:val="000000" w:themeColor="text1"/>
          <w:sz w:val="20"/>
          <w:szCs w:val="20"/>
        </w:rPr>
        <w:t>CI</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natural log of the client’s total assets scaled by the sum of the natural log of total assets of all clients audited by the same audit firm. </w:t>
      </w:r>
      <w:r w:rsidRPr="004D4D3A">
        <w:rPr>
          <w:rFonts w:ascii="Times New Roman" w:hAnsi="Times New Roman" w:cs="Times New Roman"/>
          <w:i/>
          <w:color w:val="000000" w:themeColor="text1"/>
          <w:sz w:val="20"/>
          <w:szCs w:val="20"/>
        </w:rPr>
        <w:t>ROA</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net income scaled by total assets. </w:t>
      </w:r>
      <w:r w:rsidRPr="004D4D3A">
        <w:rPr>
          <w:rFonts w:ascii="Times New Roman" w:hAnsi="Times New Roman" w:cs="Times New Roman"/>
          <w:i/>
          <w:color w:val="000000" w:themeColor="text1"/>
          <w:sz w:val="20"/>
          <w:szCs w:val="20"/>
        </w:rPr>
        <w:t>LOSS</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indicator variable set to 1 if the firm reports a loss for the year, and 0 otherwise. </w:t>
      </w:r>
      <w:r w:rsidRPr="004D4D3A">
        <w:rPr>
          <w:rFonts w:ascii="Times New Roman" w:hAnsi="Times New Roman" w:cs="Times New Roman"/>
          <w:i/>
          <w:color w:val="000000" w:themeColor="text1"/>
          <w:sz w:val="20"/>
          <w:szCs w:val="20"/>
        </w:rPr>
        <w:t>MAR</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annual return minus annual market return. </w:t>
      </w:r>
      <w:r w:rsidRPr="004D4D3A">
        <w:rPr>
          <w:rFonts w:ascii="Times New Roman" w:hAnsi="Times New Roman" w:cs="Times New Roman"/>
          <w:i/>
          <w:color w:val="000000" w:themeColor="text1"/>
          <w:sz w:val="20"/>
          <w:szCs w:val="20"/>
        </w:rPr>
        <w:t>GROWTH</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change in sales scaled by lagged sales. </w:t>
      </w:r>
      <w:r w:rsidRPr="004D4D3A">
        <w:rPr>
          <w:rFonts w:ascii="Times New Roman" w:hAnsi="Times New Roman" w:cs="Times New Roman"/>
          <w:i/>
          <w:color w:val="000000" w:themeColor="text1"/>
          <w:sz w:val="20"/>
          <w:szCs w:val="20"/>
        </w:rPr>
        <w:t>LEV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total debt deflated by total assets. </w:t>
      </w:r>
      <w:r w:rsidRPr="004D4D3A">
        <w:rPr>
          <w:rFonts w:ascii="Times New Roman" w:hAnsi="Times New Roman" w:cs="Times New Roman"/>
          <w:i/>
          <w:color w:val="000000" w:themeColor="text1"/>
          <w:sz w:val="20"/>
          <w:szCs w:val="20"/>
        </w:rPr>
        <w:t>CFO</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cash flow from operations scaled by total assets. </w:t>
      </w:r>
      <w:r w:rsidRPr="004D4D3A">
        <w:rPr>
          <w:rFonts w:ascii="Times New Roman" w:hAnsi="Times New Roman" w:cs="Times New Roman"/>
          <w:i/>
          <w:color w:val="000000" w:themeColor="text1"/>
          <w:sz w:val="20"/>
          <w:szCs w:val="20"/>
        </w:rPr>
        <w:t>ARINV</w:t>
      </w:r>
      <w:r w:rsidRPr="004D4D3A">
        <w:rPr>
          <w:rFonts w:ascii="Times New Roman" w:hAnsi="Times New Roman" w:cs="Times New Roman"/>
          <w:color w:val="000000" w:themeColor="text1"/>
          <w:sz w:val="20"/>
          <w:szCs w:val="20"/>
        </w:rPr>
        <w:t xml:space="preserve"> </w:t>
      </w:r>
      <w:r w:rsidRPr="004D4D3A">
        <w:rPr>
          <w:rFonts w:ascii="Times New Roman" w:hAnsi="Times New Roman" w:cs="Times New Roman"/>
          <w:color w:val="000000" w:themeColor="text1"/>
          <w:kern w:val="0"/>
          <w:sz w:val="20"/>
          <w:szCs w:val="20"/>
        </w:rPr>
        <w:t xml:space="preserve">= accounts receivable plus inventory scaled by total assets. </w:t>
      </w:r>
      <w:r w:rsidRPr="004D4D3A">
        <w:rPr>
          <w:rFonts w:ascii="Times New Roman" w:hAnsi="Times New Roman" w:cs="Times New Roman"/>
          <w:i/>
          <w:color w:val="000000" w:themeColor="text1"/>
          <w:sz w:val="20"/>
          <w:szCs w:val="20"/>
        </w:rPr>
        <w:t>SEO</w:t>
      </w:r>
      <w:r w:rsidRPr="004D4D3A">
        <w:rPr>
          <w:rFonts w:ascii="Times New Roman" w:hAnsi="Times New Roman" w:cs="Times New Roman"/>
          <w:color w:val="000000" w:themeColor="text1"/>
          <w:sz w:val="20"/>
          <w:szCs w:val="20"/>
        </w:rPr>
        <w:t xml:space="preserve"> = indicator variable set to 1 </w:t>
      </w:r>
      <w:r w:rsidRPr="004D4D3A">
        <w:rPr>
          <w:rFonts w:ascii="Times New Roman" w:hAnsi="Times New Roman" w:cs="Times New Roman"/>
          <w:color w:val="000000" w:themeColor="text1"/>
          <w:kern w:val="0"/>
          <w:sz w:val="20"/>
          <w:szCs w:val="20"/>
        </w:rPr>
        <w:t xml:space="preserve">if the firm has seasoned equity offering in the next year, and 0 otherwise. </w:t>
      </w:r>
      <w:r w:rsidRPr="004D4D3A">
        <w:rPr>
          <w:rFonts w:ascii="Times New Roman" w:hAnsi="Times New Roman" w:cs="Times New Roman"/>
          <w:i/>
          <w:color w:val="000000" w:themeColor="text1"/>
          <w:sz w:val="20"/>
          <w:szCs w:val="20"/>
        </w:rPr>
        <w:t>SIZE</w:t>
      </w:r>
      <w:r w:rsidRPr="004D4D3A">
        <w:rPr>
          <w:rFonts w:ascii="Times New Roman" w:hAnsi="Times New Roman" w:cs="Times New Roman"/>
          <w:color w:val="000000" w:themeColor="text1"/>
          <w:sz w:val="20"/>
          <w:szCs w:val="20"/>
        </w:rPr>
        <w:t xml:space="preserve"> = n</w:t>
      </w:r>
      <w:r w:rsidRPr="004D4D3A">
        <w:rPr>
          <w:rFonts w:ascii="Times New Roman" w:hAnsi="Times New Roman" w:cs="Times New Roman"/>
          <w:color w:val="000000" w:themeColor="text1"/>
          <w:kern w:val="0"/>
          <w:sz w:val="20"/>
          <w:szCs w:val="20"/>
        </w:rPr>
        <w:t xml:space="preserve">atural log of total assets. </w:t>
      </w:r>
      <w:r w:rsidRPr="004D4D3A">
        <w:rPr>
          <w:rFonts w:ascii="Times New Roman" w:hAnsi="Times New Roman" w:cs="Times New Roman"/>
          <w:i/>
          <w:color w:val="000000" w:themeColor="text1"/>
          <w:sz w:val="20"/>
          <w:szCs w:val="20"/>
        </w:rPr>
        <w:t>AGE</w:t>
      </w:r>
      <w:r w:rsidRPr="004D4D3A">
        <w:rPr>
          <w:rFonts w:ascii="Times New Roman" w:hAnsi="Times New Roman" w:cs="Times New Roman"/>
          <w:color w:val="000000" w:themeColor="text1"/>
          <w:sz w:val="20"/>
          <w:szCs w:val="20"/>
        </w:rPr>
        <w:t xml:space="preserve"> = </w:t>
      </w:r>
      <w:r w:rsidRPr="004D4D3A">
        <w:rPr>
          <w:rFonts w:ascii="Times New Roman" w:hAnsi="Times New Roman" w:cs="Times New Roman"/>
          <w:color w:val="000000" w:themeColor="text1"/>
          <w:kern w:val="0"/>
          <w:sz w:val="20"/>
          <w:szCs w:val="20"/>
        </w:rPr>
        <w:t xml:space="preserve">number of years since the firm’s initial public offering. </w:t>
      </w:r>
      <w:proofErr w:type="gramStart"/>
      <w:r w:rsidRPr="004D4D3A">
        <w:rPr>
          <w:rFonts w:ascii="Times New Roman" w:hAnsi="Times New Roman" w:cs="Times New Roman"/>
          <w:color w:val="000000" w:themeColor="text1"/>
          <w:kern w:val="0"/>
          <w:sz w:val="20"/>
          <w:szCs w:val="20"/>
        </w:rPr>
        <w:t>z-statistics</w:t>
      </w:r>
      <w:proofErr w:type="gramEnd"/>
      <w:r w:rsidRPr="004D4D3A">
        <w:rPr>
          <w:rFonts w:ascii="Times New Roman" w:hAnsi="Times New Roman" w:cs="Times New Roman"/>
          <w:color w:val="000000" w:themeColor="text1"/>
          <w:kern w:val="0"/>
          <w:sz w:val="20"/>
          <w:szCs w:val="20"/>
        </w:rPr>
        <w:t xml:space="preserve"> are based on standard errors clustered by firm. *, ** and *** indicate two-tailed significance at the 0.10, 0.05 and 0.01 levels, respectively.</w:t>
      </w:r>
    </w:p>
    <w:sectPr w:rsidR="00AD7452" w:rsidRPr="004D4D3A" w:rsidSect="00DD3E92">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C985E" w14:textId="77777777" w:rsidR="007E3444" w:rsidRDefault="007E3444" w:rsidP="00DD3E92">
      <w:r>
        <w:separator/>
      </w:r>
    </w:p>
  </w:endnote>
  <w:endnote w:type="continuationSeparator" w:id="0">
    <w:p w14:paraId="1BEE63E3" w14:textId="77777777" w:rsidR="007E3444" w:rsidRDefault="007E3444" w:rsidP="00D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SymbolMT">
    <w:altName w:val="新細明體"/>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52250"/>
      <w:docPartObj>
        <w:docPartGallery w:val="Page Numbers (Bottom of Page)"/>
        <w:docPartUnique/>
      </w:docPartObj>
    </w:sdtPr>
    <w:sdtEndPr/>
    <w:sdtContent>
      <w:p w14:paraId="00784E29" w14:textId="482AF8AE" w:rsidR="00F2580B" w:rsidRDefault="00F2580B">
        <w:pPr>
          <w:pStyle w:val="a5"/>
          <w:jc w:val="center"/>
        </w:pPr>
        <w:r>
          <w:fldChar w:fldCharType="begin"/>
        </w:r>
        <w:r>
          <w:instrText>PAGE   \* MERGEFORMAT</w:instrText>
        </w:r>
        <w:r>
          <w:fldChar w:fldCharType="separate"/>
        </w:r>
        <w:r w:rsidR="00486CD6" w:rsidRPr="00486CD6">
          <w:rPr>
            <w:noProof/>
            <w:lang w:val="zh-TW"/>
          </w:rPr>
          <w:t>1</w:t>
        </w:r>
        <w:r>
          <w:rPr>
            <w:noProof/>
            <w:lang w:val="zh-TW"/>
          </w:rPr>
          <w:fldChar w:fldCharType="end"/>
        </w:r>
      </w:p>
    </w:sdtContent>
  </w:sdt>
  <w:p w14:paraId="225B35DE" w14:textId="77777777" w:rsidR="00F2580B" w:rsidRDefault="00F25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D566" w14:textId="77777777" w:rsidR="007E3444" w:rsidRDefault="007E3444" w:rsidP="00DD3E92">
      <w:r>
        <w:separator/>
      </w:r>
    </w:p>
  </w:footnote>
  <w:footnote w:type="continuationSeparator" w:id="0">
    <w:p w14:paraId="68845038" w14:textId="77777777" w:rsidR="007E3444" w:rsidRDefault="007E3444" w:rsidP="00DD3E92">
      <w:r>
        <w:continuationSeparator/>
      </w:r>
    </w:p>
  </w:footnote>
  <w:footnote w:id="1">
    <w:p w14:paraId="3604EBE2" w14:textId="77777777" w:rsidR="00F2580B" w:rsidRPr="004D4D3A" w:rsidRDefault="00F2580B" w:rsidP="00E5083D">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See for instance, Cheung et al. (2006), Jiang et al. (2010), Jian and Wong (2010), </w:t>
      </w:r>
      <w:proofErr w:type="spellStart"/>
      <w:r w:rsidRPr="004D4D3A">
        <w:rPr>
          <w:rFonts w:ascii="Times New Roman" w:hAnsi="Times New Roman" w:cs="Times New Roman"/>
          <w:color w:val="000000" w:themeColor="text1"/>
        </w:rPr>
        <w:t>Bennouri</w:t>
      </w:r>
      <w:proofErr w:type="spellEnd"/>
      <w:r w:rsidRPr="004D4D3A">
        <w:rPr>
          <w:rFonts w:ascii="Times New Roman" w:hAnsi="Times New Roman" w:cs="Times New Roman"/>
          <w:color w:val="000000" w:themeColor="text1"/>
        </w:rPr>
        <w:t xml:space="preserve"> et al. (2015), Habib et al. (2015), Lee et al. (2016).</w:t>
      </w:r>
    </w:p>
  </w:footnote>
  <w:footnote w:id="2">
    <w:p w14:paraId="7200051B" w14:textId="21E08525" w:rsidR="00F2580B" w:rsidRDefault="00F2580B" w:rsidP="00E5083D">
      <w:pPr>
        <w:pStyle w:val="a8"/>
        <w:spacing w:line="240" w:lineRule="exact"/>
        <w:ind w:left="200" w:hangingChars="100" w:hanging="200"/>
      </w:pPr>
      <w:r>
        <w:rPr>
          <w:rStyle w:val="aa"/>
        </w:rPr>
        <w:footnoteRef/>
      </w:r>
      <w:r>
        <w:t xml:space="preserve"> </w:t>
      </w:r>
      <w:r w:rsidRPr="004D4D3A">
        <w:rPr>
          <w:rFonts w:ascii="Times New Roman" w:hAnsi="Times New Roman" w:cs="Times New Roman"/>
          <w:color w:val="000000" w:themeColor="text1"/>
        </w:rPr>
        <w:t xml:space="preserve">Such </w:t>
      </w:r>
      <w:r>
        <w:rPr>
          <w:rFonts w:ascii="Times New Roman" w:hAnsi="Times New Roman" w:cs="Times New Roman"/>
          <w:color w:val="000000" w:themeColor="text1"/>
        </w:rPr>
        <w:t xml:space="preserve">an </w:t>
      </w:r>
      <w:r w:rsidRPr="004D4D3A">
        <w:rPr>
          <w:rFonts w:ascii="Times New Roman" w:hAnsi="Times New Roman" w:cs="Times New Roman"/>
          <w:color w:val="000000" w:themeColor="text1"/>
        </w:rPr>
        <w:t>association exi</w:t>
      </w:r>
      <w:r>
        <w:rPr>
          <w:rFonts w:ascii="Times New Roman" w:hAnsi="Times New Roman" w:cs="Times New Roman"/>
          <w:color w:val="000000" w:themeColor="text1"/>
        </w:rPr>
        <w:t>s</w:t>
      </w:r>
      <w:r w:rsidRPr="004D4D3A">
        <w:rPr>
          <w:rFonts w:ascii="Times New Roman" w:hAnsi="Times New Roman" w:cs="Times New Roman"/>
          <w:color w:val="000000" w:themeColor="text1"/>
        </w:rPr>
        <w:t>ts in, for instance, Hong Kong (Cheung et al., 2006), China (Berkman et al., 2009), the U.S. (</w:t>
      </w:r>
      <w:proofErr w:type="spellStart"/>
      <w:r w:rsidRPr="004D4D3A">
        <w:rPr>
          <w:rFonts w:ascii="Times New Roman" w:hAnsi="Times New Roman" w:cs="Times New Roman"/>
          <w:color w:val="000000" w:themeColor="text1"/>
        </w:rPr>
        <w:t>Kohlbeck</w:t>
      </w:r>
      <w:proofErr w:type="spellEnd"/>
      <w:r w:rsidRPr="004D4D3A">
        <w:rPr>
          <w:rFonts w:ascii="Times New Roman" w:hAnsi="Times New Roman" w:cs="Times New Roman"/>
          <w:color w:val="000000" w:themeColor="text1"/>
        </w:rPr>
        <w:t xml:space="preserve"> and Mayhew, 2010), and France (</w:t>
      </w:r>
      <w:proofErr w:type="spellStart"/>
      <w:r w:rsidRPr="004D4D3A">
        <w:rPr>
          <w:rFonts w:ascii="Times New Roman" w:hAnsi="Times New Roman" w:cs="Times New Roman"/>
          <w:color w:val="000000" w:themeColor="text1"/>
        </w:rPr>
        <w:t>Nekhili</w:t>
      </w:r>
      <w:proofErr w:type="spellEnd"/>
      <w:r w:rsidRPr="004D4D3A">
        <w:rPr>
          <w:rFonts w:ascii="Times New Roman" w:hAnsi="Times New Roman" w:cs="Times New Roman"/>
          <w:color w:val="000000" w:themeColor="text1"/>
        </w:rPr>
        <w:t xml:space="preserve"> and </w:t>
      </w:r>
      <w:proofErr w:type="spellStart"/>
      <w:r w:rsidRPr="004D4D3A">
        <w:rPr>
          <w:rFonts w:ascii="Times New Roman" w:hAnsi="Times New Roman" w:cs="Times New Roman"/>
          <w:color w:val="000000" w:themeColor="text1"/>
        </w:rPr>
        <w:t>Cherif</w:t>
      </w:r>
      <w:proofErr w:type="spellEnd"/>
      <w:r w:rsidRPr="004D4D3A">
        <w:rPr>
          <w:rFonts w:ascii="Times New Roman" w:hAnsi="Times New Roman" w:cs="Times New Roman"/>
          <w:color w:val="000000" w:themeColor="text1"/>
        </w:rPr>
        <w:t>, 2011).</w:t>
      </w:r>
    </w:p>
  </w:footnote>
  <w:footnote w:id="3">
    <w:p w14:paraId="7C60EBAE" w14:textId="7263152D" w:rsidR="00F2580B" w:rsidRPr="004D4D3A" w:rsidRDefault="00F2580B" w:rsidP="001A427F">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Other studies also </w:t>
      </w:r>
      <w:r>
        <w:rPr>
          <w:rFonts w:ascii="Times New Roman" w:hAnsi="Times New Roman" w:cs="Times New Roman"/>
          <w:color w:val="000000" w:themeColor="text1"/>
        </w:rPr>
        <w:t>demonstrate t</w:t>
      </w:r>
      <w:r w:rsidRPr="004D4D3A">
        <w:rPr>
          <w:rFonts w:ascii="Times New Roman" w:hAnsi="Times New Roman" w:cs="Times New Roman"/>
          <w:color w:val="000000" w:themeColor="text1"/>
        </w:rPr>
        <w:t>hat the magnitude of RPTs is positively associated with audit fees (Habib et al., 2015) and negatively associated with financial reporting co</w:t>
      </w:r>
      <w:r w:rsidR="001A427F">
        <w:rPr>
          <w:rFonts w:ascii="Times New Roman" w:hAnsi="Times New Roman" w:cs="Times New Roman"/>
          <w:color w:val="000000" w:themeColor="text1"/>
        </w:rPr>
        <w:t>mparability (Lee et al., 2016).</w:t>
      </w:r>
    </w:p>
  </w:footnote>
  <w:footnote w:id="4">
    <w:p w14:paraId="75506231" w14:textId="60913E5E" w:rsidR="00F2580B" w:rsidRPr="004D4D3A" w:rsidRDefault="00F2580B" w:rsidP="006D1D4F">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Habib et al. (2015) </w:t>
      </w:r>
      <w:r w:rsidRPr="004D4D3A">
        <w:rPr>
          <w:rFonts w:ascii="Times New Roman" w:hAnsi="Times New Roman" w:cs="Times New Roman" w:hint="eastAsia"/>
          <w:color w:val="000000" w:themeColor="text1"/>
        </w:rPr>
        <w:t xml:space="preserve">sampled </w:t>
      </w:r>
      <w:r w:rsidRPr="004D4D3A">
        <w:rPr>
          <w:rFonts w:ascii="Times New Roman" w:hAnsi="Times New Roman" w:cs="Times New Roman"/>
          <w:color w:val="000000" w:themeColor="text1"/>
        </w:rPr>
        <w:t xml:space="preserve">Chinese listed firms. </w:t>
      </w:r>
      <w:proofErr w:type="spellStart"/>
      <w:r w:rsidRPr="004D4D3A">
        <w:rPr>
          <w:rFonts w:ascii="Times New Roman" w:hAnsi="Times New Roman" w:cs="Times New Roman"/>
          <w:color w:val="000000" w:themeColor="text1"/>
        </w:rPr>
        <w:t>Kohlbeck</w:t>
      </w:r>
      <w:proofErr w:type="spellEnd"/>
      <w:r w:rsidRPr="004D4D3A">
        <w:rPr>
          <w:rFonts w:ascii="Times New Roman" w:hAnsi="Times New Roman" w:cs="Times New Roman"/>
          <w:color w:val="000000" w:themeColor="text1"/>
        </w:rPr>
        <w:t xml:space="preserve"> and Mayhew (201</w:t>
      </w:r>
      <w:r>
        <w:rPr>
          <w:rFonts w:ascii="Times New Roman" w:hAnsi="Times New Roman" w:cs="Times New Roman"/>
          <w:color w:val="000000" w:themeColor="text1"/>
        </w:rPr>
        <w:t>7</w:t>
      </w:r>
      <w:r w:rsidRPr="004D4D3A">
        <w:rPr>
          <w:rFonts w:ascii="Times New Roman" w:hAnsi="Times New Roman" w:cs="Times New Roman"/>
          <w:color w:val="000000" w:themeColor="text1"/>
        </w:rPr>
        <w:t xml:space="preserve">) do not find this association in the U.S. </w:t>
      </w:r>
      <w:r w:rsidRPr="004D4D3A">
        <w:rPr>
          <w:rFonts w:ascii="Times New Roman" w:hAnsi="Times New Roman" w:cs="Times New Roman" w:hint="eastAsia"/>
          <w:color w:val="000000" w:themeColor="text1"/>
        </w:rPr>
        <w:t>setting</w:t>
      </w:r>
      <w:r w:rsidRPr="004D4D3A">
        <w:rPr>
          <w:rFonts w:ascii="Times New Roman" w:hAnsi="Times New Roman" w:cs="Times New Roman"/>
          <w:color w:val="000000" w:themeColor="text1"/>
        </w:rPr>
        <w:t>. They attribute this finding to limited U.S. auditing stand</w:t>
      </w:r>
      <w:r w:rsidRPr="004D4D3A">
        <w:rPr>
          <w:rFonts w:ascii="Times New Roman" w:hAnsi="Times New Roman" w:cs="Times New Roman" w:hint="eastAsia"/>
          <w:color w:val="000000" w:themeColor="text1"/>
        </w:rPr>
        <w:t>ard</w:t>
      </w:r>
      <w:r w:rsidRPr="004D4D3A">
        <w:rPr>
          <w:rFonts w:ascii="Times New Roman" w:hAnsi="Times New Roman" w:cs="Times New Roman"/>
          <w:color w:val="000000" w:themeColor="text1"/>
        </w:rPr>
        <w:t>s concerning auditors’ responsibilities toward RPTs.</w:t>
      </w:r>
    </w:p>
  </w:footnote>
  <w:footnote w:id="5">
    <w:p w14:paraId="27D3EB56" w14:textId="77777777" w:rsidR="00F2580B" w:rsidRPr="004D4D3A" w:rsidRDefault="00F2580B" w:rsidP="006D1D4F">
      <w:pPr>
        <w:spacing w:line="240" w:lineRule="exact"/>
        <w:ind w:left="200" w:hangingChars="100" w:hanging="200"/>
        <w:rPr>
          <w:rFonts w:ascii="Times New Roman" w:hAnsi="Times New Roman" w:cs="Times New Roman"/>
          <w:color w:val="000000" w:themeColor="text1"/>
          <w:sz w:val="20"/>
          <w:szCs w:val="20"/>
        </w:rPr>
      </w:pPr>
      <w:r w:rsidRPr="004D4D3A">
        <w:rPr>
          <w:rStyle w:val="aa"/>
          <w:rFonts w:ascii="Times New Roman" w:hAnsi="Times New Roman" w:cs="Times New Roman"/>
          <w:color w:val="000000" w:themeColor="text1"/>
          <w:sz w:val="20"/>
          <w:szCs w:val="20"/>
        </w:rPr>
        <w:footnoteRef/>
      </w:r>
      <w:r w:rsidRPr="004D4D3A">
        <w:rPr>
          <w:rFonts w:ascii="Times New Roman" w:hAnsi="Times New Roman" w:cs="Times New Roman"/>
          <w:color w:val="000000" w:themeColor="text1"/>
          <w:sz w:val="20"/>
          <w:szCs w:val="20"/>
        </w:rPr>
        <w:t xml:space="preserve"> The market reaction to the information contained in the audit reports is well documented in, for instance, the U.S. (</w:t>
      </w:r>
      <w:proofErr w:type="spellStart"/>
      <w:r w:rsidRPr="004D4D3A">
        <w:rPr>
          <w:rFonts w:ascii="Times New Roman" w:hAnsi="Times New Roman" w:cs="Times New Roman"/>
          <w:color w:val="000000" w:themeColor="text1"/>
          <w:sz w:val="20"/>
          <w:szCs w:val="20"/>
        </w:rPr>
        <w:t>Dopuch</w:t>
      </w:r>
      <w:proofErr w:type="spellEnd"/>
      <w:r w:rsidRPr="004D4D3A">
        <w:rPr>
          <w:rFonts w:ascii="Times New Roman" w:hAnsi="Times New Roman" w:cs="Times New Roman"/>
          <w:color w:val="000000" w:themeColor="text1"/>
          <w:sz w:val="20"/>
          <w:szCs w:val="20"/>
        </w:rPr>
        <w:t xml:space="preserve"> et al., 1987), the U.K. (Lennox, 1999), Australia (Monroe and </w:t>
      </w:r>
      <w:proofErr w:type="spellStart"/>
      <w:r w:rsidRPr="004D4D3A">
        <w:rPr>
          <w:rFonts w:ascii="Times New Roman" w:hAnsi="Times New Roman" w:cs="Times New Roman"/>
          <w:color w:val="000000" w:themeColor="text1"/>
          <w:sz w:val="20"/>
          <w:szCs w:val="20"/>
        </w:rPr>
        <w:t>Teh</w:t>
      </w:r>
      <w:proofErr w:type="spellEnd"/>
      <w:r w:rsidRPr="004D4D3A">
        <w:rPr>
          <w:rFonts w:ascii="Times New Roman" w:hAnsi="Times New Roman" w:cs="Times New Roman"/>
          <w:color w:val="000000" w:themeColor="text1"/>
          <w:sz w:val="20"/>
          <w:szCs w:val="20"/>
        </w:rPr>
        <w:t>, 1993), and China (Chen et al., 2001).</w:t>
      </w:r>
    </w:p>
  </w:footnote>
  <w:footnote w:id="6">
    <w:p w14:paraId="07F80DB3" w14:textId="54E24169" w:rsidR="00F2580B" w:rsidRPr="004D4D3A" w:rsidRDefault="00F2580B" w:rsidP="004113CA">
      <w:pPr>
        <w:spacing w:line="240" w:lineRule="exact"/>
        <w:ind w:left="200" w:hangingChars="100" w:hanging="200"/>
        <w:rPr>
          <w:rFonts w:ascii="Times New Roman" w:hAnsi="Times New Roman" w:cs="Times New Roman"/>
          <w:color w:val="000000" w:themeColor="text1"/>
          <w:sz w:val="20"/>
          <w:szCs w:val="20"/>
        </w:rPr>
      </w:pPr>
      <w:r w:rsidRPr="004D4D3A">
        <w:rPr>
          <w:rStyle w:val="aa"/>
          <w:rFonts w:ascii="Times New Roman" w:hAnsi="Times New Roman" w:cs="Times New Roman"/>
          <w:color w:val="000000" w:themeColor="text1"/>
          <w:sz w:val="20"/>
          <w:szCs w:val="20"/>
        </w:rPr>
        <w:footnoteRef/>
      </w:r>
      <w:r w:rsidRPr="004D4D3A">
        <w:rPr>
          <w:rFonts w:ascii="Times New Roman" w:hAnsi="Times New Roman" w:cs="Times New Roman"/>
          <w:color w:val="000000" w:themeColor="text1"/>
          <w:sz w:val="20"/>
          <w:szCs w:val="20"/>
        </w:rPr>
        <w:t xml:space="preserve"> In China, the receipt of an MAO can be quite costly to client management. The stock market reacts negatively to firms’ receipt of MAOs (Chen et al., 2000). A</w:t>
      </w:r>
      <w:r w:rsidRPr="004D4D3A">
        <w:rPr>
          <w:rFonts w:ascii="Times New Roman" w:hAnsi="Times New Roman" w:cs="Times New Roman" w:hint="eastAsia"/>
          <w:color w:val="000000" w:themeColor="text1"/>
          <w:sz w:val="20"/>
          <w:szCs w:val="20"/>
        </w:rPr>
        <w:t xml:space="preserve">ccording to </w:t>
      </w:r>
      <w:r>
        <w:rPr>
          <w:rFonts w:ascii="Times New Roman" w:hAnsi="Times New Roman" w:cs="Times New Roman"/>
          <w:color w:val="000000" w:themeColor="text1"/>
          <w:sz w:val="20"/>
          <w:szCs w:val="20"/>
        </w:rPr>
        <w:t xml:space="preserve">the regulation of </w:t>
      </w:r>
      <w:r w:rsidRPr="004D4D3A">
        <w:rPr>
          <w:rFonts w:ascii="Times New Roman" w:hAnsi="Times New Roman" w:cs="Times New Roman" w:hint="eastAsia"/>
          <w:color w:val="000000" w:themeColor="text1"/>
          <w:sz w:val="20"/>
          <w:szCs w:val="20"/>
        </w:rPr>
        <w:t xml:space="preserve">China Securities Regulatory Commission (CSRC), </w:t>
      </w:r>
      <w:r w:rsidRPr="004D4D3A">
        <w:rPr>
          <w:rFonts w:ascii="Times New Roman" w:hAnsi="Times New Roman" w:cs="Times New Roman"/>
          <w:color w:val="000000" w:themeColor="text1"/>
          <w:sz w:val="20"/>
          <w:szCs w:val="20"/>
        </w:rPr>
        <w:t xml:space="preserve">firm managers must interpret the underlying reasons for an MAO in the annual report. </w:t>
      </w:r>
      <w:r w:rsidRPr="004D4D3A">
        <w:rPr>
          <w:rFonts w:ascii="Times New Roman" w:hAnsi="Times New Roman" w:cs="Times New Roman" w:hint="eastAsia"/>
          <w:color w:val="000000" w:themeColor="text1"/>
          <w:sz w:val="20"/>
          <w:szCs w:val="20"/>
        </w:rPr>
        <w:t xml:space="preserve">They also </w:t>
      </w:r>
      <w:r w:rsidRPr="004D4D3A">
        <w:rPr>
          <w:rFonts w:ascii="Times New Roman" w:hAnsi="Times New Roman" w:cs="Times New Roman"/>
          <w:color w:val="000000" w:themeColor="text1"/>
          <w:sz w:val="20"/>
          <w:szCs w:val="20"/>
        </w:rPr>
        <w:t>forbid</w:t>
      </w:r>
      <w:r w:rsidRPr="004D4D3A">
        <w:rPr>
          <w:rFonts w:ascii="Times New Roman" w:hAnsi="Times New Roman" w:cs="Times New Roman" w:hint="eastAsia"/>
          <w:color w:val="000000" w:themeColor="text1"/>
          <w:sz w:val="20"/>
          <w:szCs w:val="20"/>
        </w:rPr>
        <w:t xml:space="preserve"> conducting seasoned equity offering</w:t>
      </w:r>
      <w:r w:rsidRPr="004D4D3A">
        <w:rPr>
          <w:rFonts w:ascii="Times New Roman" w:hAnsi="Times New Roman" w:cs="Times New Roman"/>
          <w:color w:val="000000" w:themeColor="text1"/>
          <w:sz w:val="20"/>
          <w:szCs w:val="20"/>
        </w:rPr>
        <w:t>s</w:t>
      </w:r>
      <w:r w:rsidRPr="004D4D3A">
        <w:rPr>
          <w:rFonts w:ascii="Times New Roman" w:hAnsi="Times New Roman" w:cs="Times New Roman" w:hint="eastAsia"/>
          <w:color w:val="000000" w:themeColor="text1"/>
          <w:sz w:val="20"/>
          <w:szCs w:val="20"/>
        </w:rPr>
        <w:t xml:space="preserve"> until the underlying </w:t>
      </w:r>
      <w:r w:rsidRPr="004D4D3A">
        <w:rPr>
          <w:rFonts w:ascii="Times New Roman" w:hAnsi="Times New Roman" w:cs="Times New Roman"/>
          <w:color w:val="000000" w:themeColor="text1"/>
          <w:sz w:val="20"/>
          <w:szCs w:val="20"/>
        </w:rPr>
        <w:t xml:space="preserve">matters </w:t>
      </w:r>
      <w:r w:rsidRPr="004D4D3A">
        <w:rPr>
          <w:rFonts w:ascii="Times New Roman" w:hAnsi="Times New Roman" w:cs="Times New Roman" w:hint="eastAsia"/>
          <w:color w:val="000000" w:themeColor="text1"/>
          <w:sz w:val="20"/>
          <w:szCs w:val="20"/>
        </w:rPr>
        <w:t>that led to the issuance of MAOs are resolved. In addition</w:t>
      </w:r>
      <w:r w:rsidRPr="004D4D3A">
        <w:rPr>
          <w:rFonts w:ascii="Times New Roman" w:hAnsi="Times New Roman" w:cs="Times New Roman"/>
          <w:color w:val="000000" w:themeColor="text1"/>
          <w:sz w:val="20"/>
          <w:szCs w:val="20"/>
        </w:rPr>
        <w:t xml:space="preserve">, the stock exchanges also </w:t>
      </w:r>
      <w:r w:rsidRPr="004D4D3A">
        <w:rPr>
          <w:rFonts w:ascii="Times New Roman" w:hAnsi="Times New Roman" w:cs="Times New Roman" w:hint="eastAsia"/>
          <w:color w:val="000000" w:themeColor="text1"/>
          <w:sz w:val="20"/>
          <w:szCs w:val="20"/>
        </w:rPr>
        <w:t xml:space="preserve">take into account </w:t>
      </w:r>
      <w:r w:rsidRPr="004D4D3A">
        <w:rPr>
          <w:rFonts w:ascii="Times New Roman" w:hAnsi="Times New Roman" w:cs="Times New Roman"/>
          <w:color w:val="000000" w:themeColor="text1"/>
          <w:sz w:val="20"/>
          <w:szCs w:val="20"/>
        </w:rPr>
        <w:t>the nature of audit opinions in their delisting decisions.</w:t>
      </w:r>
      <w:r w:rsidRPr="004D4D3A">
        <w:rPr>
          <w:rFonts w:ascii="Times New Roman" w:hAnsi="Times New Roman" w:cs="Times New Roman" w:hint="eastAsia"/>
          <w:color w:val="000000" w:themeColor="text1"/>
          <w:sz w:val="20"/>
          <w:szCs w:val="20"/>
        </w:rPr>
        <w:t xml:space="preserve"> Specifically, </w:t>
      </w:r>
      <w:r w:rsidRPr="004D4D3A">
        <w:rPr>
          <w:rFonts w:ascii="Times New Roman" w:hAnsi="Times New Roman" w:cs="Times New Roman"/>
          <w:color w:val="000000" w:themeColor="text1"/>
          <w:sz w:val="20"/>
          <w:szCs w:val="20"/>
        </w:rPr>
        <w:t xml:space="preserve">a listed firm that has </w:t>
      </w:r>
      <w:r w:rsidRPr="004D4D3A">
        <w:rPr>
          <w:rFonts w:ascii="Times New Roman" w:hAnsi="Times New Roman" w:cs="Times New Roman" w:hint="eastAsia"/>
          <w:color w:val="000000" w:themeColor="text1"/>
          <w:sz w:val="20"/>
          <w:szCs w:val="20"/>
        </w:rPr>
        <w:t xml:space="preserve">suffered </w:t>
      </w:r>
      <w:r w:rsidRPr="004D4D3A">
        <w:rPr>
          <w:rFonts w:ascii="Times New Roman" w:hAnsi="Times New Roman" w:cs="Times New Roman"/>
          <w:color w:val="000000" w:themeColor="text1"/>
          <w:sz w:val="20"/>
          <w:szCs w:val="20"/>
        </w:rPr>
        <w:t xml:space="preserve">losses in the previous </w:t>
      </w:r>
      <w:r w:rsidRPr="004D4D3A">
        <w:rPr>
          <w:rFonts w:ascii="Times New Roman" w:hAnsi="Times New Roman" w:cs="Times New Roman" w:hint="eastAsia"/>
          <w:color w:val="000000" w:themeColor="text1"/>
          <w:sz w:val="20"/>
          <w:szCs w:val="20"/>
        </w:rPr>
        <w:t>two years m</w:t>
      </w:r>
      <w:r w:rsidRPr="004D4D3A">
        <w:rPr>
          <w:rFonts w:ascii="Times New Roman" w:hAnsi="Times New Roman" w:cs="Times New Roman"/>
          <w:color w:val="000000" w:themeColor="text1"/>
          <w:sz w:val="20"/>
          <w:szCs w:val="20"/>
        </w:rPr>
        <w:t>ust report a profit with a clean audit opinion in the current year to</w:t>
      </w:r>
      <w:r>
        <w:rPr>
          <w:rFonts w:ascii="Times New Roman" w:hAnsi="Times New Roman" w:cs="Times New Roman"/>
          <w:color w:val="000000" w:themeColor="text1"/>
          <w:sz w:val="20"/>
          <w:szCs w:val="20"/>
        </w:rPr>
        <w:t xml:space="preserve"> avoid</w:t>
      </w:r>
      <w:r w:rsidRPr="004D4D3A">
        <w:rPr>
          <w:rFonts w:ascii="Times New Roman" w:hAnsi="Times New Roman" w:cs="Times New Roman" w:hint="eastAsia"/>
          <w:color w:val="000000" w:themeColor="text1"/>
          <w:sz w:val="20"/>
          <w:szCs w:val="20"/>
        </w:rPr>
        <w:t xml:space="preserve"> </w:t>
      </w:r>
      <w:r w:rsidRPr="004D4D3A">
        <w:rPr>
          <w:rFonts w:ascii="Times New Roman" w:hAnsi="Times New Roman" w:cs="Times New Roman"/>
          <w:color w:val="000000" w:themeColor="text1"/>
          <w:sz w:val="20"/>
          <w:szCs w:val="20"/>
        </w:rPr>
        <w:t>being delisted by the stock exchange.</w:t>
      </w:r>
    </w:p>
  </w:footnote>
  <w:footnote w:id="7">
    <w:p w14:paraId="7C090913" w14:textId="4E8C6109" w:rsidR="00F2580B" w:rsidRPr="004D4D3A" w:rsidRDefault="00F2580B" w:rsidP="00855CE2">
      <w:pPr>
        <w:spacing w:line="240" w:lineRule="exact"/>
        <w:ind w:left="240" w:hangingChars="100" w:hanging="240"/>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w:t>
      </w:r>
      <w:r w:rsidRPr="004D4D3A">
        <w:rPr>
          <w:rFonts w:ascii="Times New Roman" w:hAnsi="Times New Roman" w:cs="Times New Roman"/>
          <w:color w:val="000000" w:themeColor="text1"/>
          <w:sz w:val="20"/>
          <w:szCs w:val="20"/>
        </w:rPr>
        <w:t xml:space="preserve">For instance, Gordon and Henry (2005) </w:t>
      </w:r>
      <w:r>
        <w:rPr>
          <w:rFonts w:ascii="Times New Roman" w:hAnsi="Times New Roman" w:cs="Times New Roman"/>
          <w:color w:val="000000" w:themeColor="text1"/>
          <w:sz w:val="20"/>
          <w:szCs w:val="20"/>
        </w:rPr>
        <w:t>observe</w:t>
      </w:r>
      <w:r w:rsidRPr="004D4D3A">
        <w:rPr>
          <w:rFonts w:ascii="Times New Roman" w:hAnsi="Times New Roman" w:cs="Times New Roman"/>
          <w:color w:val="000000" w:themeColor="text1"/>
          <w:sz w:val="20"/>
          <w:szCs w:val="20"/>
        </w:rPr>
        <w:t xml:space="preserve"> that when a related party has in-depth knowledge of firm-specific activities as well as an expertise (e.g., legal expertise) that the company demands, it can give services to the company more effectively than outsiders. </w:t>
      </w:r>
      <w:proofErr w:type="spellStart"/>
      <w:r w:rsidRPr="004D4D3A">
        <w:rPr>
          <w:rFonts w:ascii="Times New Roman" w:hAnsi="Times New Roman" w:cs="Times New Roman"/>
          <w:color w:val="000000" w:themeColor="text1"/>
          <w:sz w:val="20"/>
          <w:szCs w:val="20"/>
        </w:rPr>
        <w:t>Kohlbeck</w:t>
      </w:r>
      <w:proofErr w:type="spellEnd"/>
      <w:r w:rsidRPr="004D4D3A">
        <w:rPr>
          <w:rFonts w:ascii="Times New Roman" w:hAnsi="Times New Roman" w:cs="Times New Roman"/>
          <w:color w:val="000000" w:themeColor="text1"/>
          <w:sz w:val="20"/>
          <w:szCs w:val="20"/>
        </w:rPr>
        <w:t xml:space="preserve"> and Mayhew (2010) also indicate that companies can benefit from RPTs </w:t>
      </w:r>
      <w:r>
        <w:rPr>
          <w:rFonts w:ascii="Times New Roman" w:hAnsi="Times New Roman" w:cs="Times New Roman"/>
          <w:color w:val="000000" w:themeColor="text1"/>
          <w:sz w:val="20"/>
          <w:szCs w:val="20"/>
        </w:rPr>
        <w:t>by</w:t>
      </w:r>
      <w:r w:rsidRPr="004D4D3A">
        <w:rPr>
          <w:rFonts w:ascii="Times New Roman" w:hAnsi="Times New Roman" w:cs="Times New Roman"/>
          <w:color w:val="000000" w:themeColor="text1"/>
          <w:sz w:val="20"/>
          <w:szCs w:val="20"/>
        </w:rPr>
        <w:t xml:space="preserve"> making strategic investments in joint ventures so that they can acquire and secure access to supplies or markets (e.g., vertical integration) and lower their business risk.</w:t>
      </w:r>
    </w:p>
  </w:footnote>
  <w:footnote w:id="8">
    <w:p w14:paraId="01AE2800" w14:textId="218D5C73" w:rsidR="00F2580B" w:rsidRPr="004D4D3A" w:rsidRDefault="00F2580B" w:rsidP="00F5046F">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Audit opinions in China include </w:t>
      </w:r>
      <w:r w:rsidRPr="004D4D3A">
        <w:rPr>
          <w:rFonts w:ascii="Times New Roman" w:hAnsi="Times New Roman" w:cs="Times New Roman"/>
          <w:bCs/>
          <w:color w:val="000000" w:themeColor="text1"/>
        </w:rPr>
        <w:t>unqualified</w:t>
      </w:r>
      <w:r w:rsidRPr="004D4D3A">
        <w:rPr>
          <w:rFonts w:ascii="Times New Roman" w:hAnsi="Times New Roman" w:cs="Times New Roman"/>
          <w:color w:val="000000" w:themeColor="text1"/>
        </w:rPr>
        <w:t xml:space="preserve"> </w:t>
      </w:r>
      <w:r w:rsidRPr="004D4D3A">
        <w:rPr>
          <w:rFonts w:ascii="Times New Roman" w:hAnsi="Times New Roman" w:cs="Times New Roman"/>
          <w:bCs/>
          <w:color w:val="000000" w:themeColor="text1"/>
        </w:rPr>
        <w:t>opinions</w:t>
      </w:r>
      <w:r w:rsidRPr="004D4D3A">
        <w:rPr>
          <w:rFonts w:ascii="Times New Roman" w:hAnsi="Times New Roman" w:cs="Times New Roman" w:hint="eastAsia"/>
          <w:bCs/>
          <w:color w:val="000000" w:themeColor="text1"/>
        </w:rPr>
        <w:t xml:space="preserve"> (i.e., clean opinion)</w:t>
      </w:r>
      <w:r w:rsidRPr="004D4D3A">
        <w:rPr>
          <w:rFonts w:ascii="Times New Roman" w:hAnsi="Times New Roman" w:cs="Times New Roman"/>
          <w:color w:val="000000" w:themeColor="text1"/>
        </w:rPr>
        <w:t xml:space="preserve">, </w:t>
      </w:r>
      <w:r w:rsidRPr="004D4D3A">
        <w:rPr>
          <w:rFonts w:ascii="Times New Roman" w:hAnsi="Times New Roman" w:cs="Times New Roman"/>
          <w:bCs/>
          <w:color w:val="000000" w:themeColor="text1"/>
        </w:rPr>
        <w:t>unqualified / qualified</w:t>
      </w:r>
      <w:r w:rsidRPr="004D4D3A">
        <w:rPr>
          <w:rFonts w:ascii="Times New Roman" w:hAnsi="Times New Roman" w:cs="Times New Roman" w:hint="eastAsia"/>
          <w:bCs/>
          <w:color w:val="000000" w:themeColor="text1"/>
        </w:rPr>
        <w:t xml:space="preserve"> </w:t>
      </w:r>
      <w:r w:rsidRPr="004D4D3A">
        <w:rPr>
          <w:rFonts w:ascii="Times New Roman" w:hAnsi="Times New Roman" w:cs="Times New Roman"/>
          <w:bCs/>
          <w:color w:val="000000" w:themeColor="text1"/>
        </w:rPr>
        <w:t>opinions</w:t>
      </w:r>
      <w:r w:rsidRPr="004D4D3A">
        <w:rPr>
          <w:rFonts w:ascii="Times New Roman" w:hAnsi="Times New Roman" w:cs="Times New Roman"/>
          <w:color w:val="000000" w:themeColor="text1"/>
        </w:rPr>
        <w:t xml:space="preserve"> with explanatory notes, </w:t>
      </w:r>
      <w:r w:rsidRPr="004D4D3A">
        <w:rPr>
          <w:rFonts w:ascii="Times New Roman" w:hAnsi="Times New Roman" w:cs="Times New Roman" w:hint="eastAsia"/>
          <w:color w:val="000000" w:themeColor="text1"/>
        </w:rPr>
        <w:t xml:space="preserve">and </w:t>
      </w:r>
      <w:r w:rsidRPr="004D4D3A">
        <w:rPr>
          <w:rFonts w:ascii="Times New Roman" w:hAnsi="Times New Roman" w:cs="Times New Roman"/>
          <w:color w:val="000000" w:themeColor="text1"/>
        </w:rPr>
        <w:t>qualified</w:t>
      </w:r>
      <w:r w:rsidRPr="004D4D3A">
        <w:rPr>
          <w:rFonts w:ascii="Times New Roman" w:hAnsi="Times New Roman" w:cs="Times New Roman" w:hint="eastAsia"/>
          <w:color w:val="000000" w:themeColor="text1"/>
        </w:rPr>
        <w:t xml:space="preserve">, </w:t>
      </w:r>
      <w:r w:rsidRPr="004D4D3A">
        <w:rPr>
          <w:rFonts w:ascii="Times New Roman" w:hAnsi="Times New Roman" w:cs="Times New Roman"/>
          <w:color w:val="000000" w:themeColor="text1"/>
        </w:rPr>
        <w:t>disclaimed</w:t>
      </w:r>
      <w:r w:rsidRPr="004D4D3A">
        <w:rPr>
          <w:rFonts w:ascii="Times New Roman" w:hAnsi="Times New Roman" w:cs="Times New Roman" w:hint="eastAsia"/>
          <w:color w:val="000000" w:themeColor="text1"/>
        </w:rPr>
        <w:t>,</w:t>
      </w:r>
      <w:r w:rsidRPr="004D4D3A">
        <w:rPr>
          <w:rFonts w:ascii="Times New Roman" w:hAnsi="Times New Roman" w:cs="Times New Roman"/>
          <w:color w:val="000000" w:themeColor="text1"/>
        </w:rPr>
        <w:t xml:space="preserve"> </w:t>
      </w:r>
      <w:r w:rsidRPr="004D4D3A">
        <w:rPr>
          <w:rFonts w:ascii="Times New Roman" w:hAnsi="Times New Roman" w:cs="Times New Roman" w:hint="eastAsia"/>
          <w:color w:val="000000" w:themeColor="text1"/>
        </w:rPr>
        <w:t>and</w:t>
      </w:r>
      <w:r w:rsidRPr="004D4D3A">
        <w:rPr>
          <w:rFonts w:ascii="Times New Roman" w:hAnsi="Times New Roman" w:cs="Times New Roman"/>
          <w:color w:val="000000" w:themeColor="text1"/>
        </w:rPr>
        <w:t xml:space="preserve"> adverse opinions.</w:t>
      </w:r>
      <w:r w:rsidRPr="004D4D3A">
        <w:rPr>
          <w:rFonts w:ascii="Times New Roman" w:hAnsi="Times New Roman" w:cs="Times New Roman" w:hint="eastAsia"/>
          <w:color w:val="000000" w:themeColor="text1"/>
        </w:rPr>
        <w:t xml:space="preserve"> Following Wang et al. (2008) and Chen et al. (2010), except for unqualified opinions, I classify all the re</w:t>
      </w:r>
      <w:r>
        <w:rPr>
          <w:rFonts w:ascii="Times New Roman" w:hAnsi="Times New Roman" w:cs="Times New Roman"/>
          <w:color w:val="000000" w:themeColor="text1"/>
        </w:rPr>
        <w:t>maining</w:t>
      </w:r>
      <w:r w:rsidRPr="004D4D3A">
        <w:rPr>
          <w:rFonts w:ascii="Times New Roman" w:hAnsi="Times New Roman" w:cs="Times New Roman" w:hint="eastAsia"/>
          <w:color w:val="000000" w:themeColor="text1"/>
        </w:rPr>
        <w:t xml:space="preserve"> audit opinions as modified audit </w:t>
      </w:r>
      <w:r w:rsidRPr="004D4D3A">
        <w:rPr>
          <w:rFonts w:ascii="Times New Roman" w:hAnsi="Times New Roman" w:cs="Times New Roman"/>
          <w:color w:val="000000" w:themeColor="text1"/>
        </w:rPr>
        <w:t>opinions</w:t>
      </w:r>
      <w:r w:rsidRPr="004D4D3A">
        <w:rPr>
          <w:rFonts w:ascii="Times New Roman" w:hAnsi="Times New Roman" w:cs="Times New Roman" w:hint="eastAsia"/>
          <w:color w:val="000000" w:themeColor="text1"/>
        </w:rPr>
        <w:t xml:space="preserve"> (MAOs).</w:t>
      </w:r>
    </w:p>
  </w:footnote>
  <w:footnote w:id="9">
    <w:p w14:paraId="278A2A3D" w14:textId="77777777" w:rsidR="00F2580B" w:rsidRPr="004D4D3A" w:rsidRDefault="00F2580B" w:rsidP="00483214">
      <w:pPr>
        <w:pStyle w:val="a8"/>
        <w:spacing w:line="240" w:lineRule="exact"/>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These A-share firms are all domestic Chinese firms (i.e., they do not belong to foreign investment firms).</w:t>
      </w:r>
    </w:p>
  </w:footnote>
  <w:footnote w:id="10">
    <w:p w14:paraId="6266FD74" w14:textId="1A6D1099" w:rsidR="00F2580B" w:rsidRPr="004D4D3A" w:rsidRDefault="00F2580B" w:rsidP="00BF0C7B">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D4D3A">
        <w:rPr>
          <w:rFonts w:ascii="Times New Roman" w:hAnsi="Times New Roman" w:cs="Times New Roman"/>
          <w:color w:val="000000" w:themeColor="text1"/>
        </w:rPr>
        <w:t>n China</w:t>
      </w:r>
      <w:r>
        <w:rPr>
          <w:rFonts w:ascii="Times New Roman" w:hAnsi="Times New Roman" w:cs="Times New Roman"/>
          <w:color w:val="000000" w:themeColor="text1"/>
        </w:rPr>
        <w:t>,</w:t>
      </w:r>
      <w:r w:rsidRPr="004D4D3A">
        <w:rPr>
          <w:rFonts w:ascii="Times New Roman" w:hAnsi="Times New Roman" w:cs="Times New Roman"/>
          <w:color w:val="000000" w:themeColor="text1"/>
        </w:rPr>
        <w:t xml:space="preserve"> a sig</w:t>
      </w:r>
      <w:r>
        <w:rPr>
          <w:rFonts w:ascii="Times New Roman" w:hAnsi="Times New Roman" w:cs="Times New Roman"/>
          <w:color w:val="000000" w:themeColor="text1"/>
        </w:rPr>
        <w:t>n</w:t>
      </w:r>
      <w:r w:rsidRPr="004D4D3A">
        <w:rPr>
          <w:rFonts w:ascii="Times New Roman" w:hAnsi="Times New Roman" w:cs="Times New Roman"/>
          <w:color w:val="000000" w:themeColor="text1"/>
        </w:rPr>
        <w:t>ing auditor c</w:t>
      </w:r>
      <w:r>
        <w:rPr>
          <w:rFonts w:ascii="Times New Roman" w:hAnsi="Times New Roman" w:cs="Times New Roman"/>
          <w:color w:val="000000" w:themeColor="text1"/>
        </w:rPr>
        <w:t>an</w:t>
      </w:r>
      <w:r w:rsidRPr="004D4D3A">
        <w:rPr>
          <w:rFonts w:ascii="Times New Roman" w:hAnsi="Times New Roman" w:cs="Times New Roman"/>
          <w:color w:val="000000" w:themeColor="text1"/>
        </w:rPr>
        <w:t xml:space="preserve"> be a partner, but </w:t>
      </w:r>
      <w:r>
        <w:rPr>
          <w:rFonts w:ascii="Times New Roman" w:hAnsi="Times New Roman" w:cs="Times New Roman"/>
          <w:color w:val="000000" w:themeColor="text1"/>
        </w:rPr>
        <w:t xml:space="preserve">may </w:t>
      </w:r>
      <w:r w:rsidRPr="004D4D3A">
        <w:rPr>
          <w:rFonts w:ascii="Times New Roman" w:hAnsi="Times New Roman" w:cs="Times New Roman"/>
          <w:color w:val="000000" w:themeColor="text1"/>
        </w:rPr>
        <w:t xml:space="preserve">also be </w:t>
      </w:r>
      <w:r>
        <w:rPr>
          <w:rFonts w:ascii="Times New Roman" w:hAnsi="Times New Roman" w:cs="Times New Roman"/>
          <w:color w:val="000000" w:themeColor="text1"/>
        </w:rPr>
        <w:t xml:space="preserve">from the </w:t>
      </w:r>
      <w:r w:rsidRPr="004D4D3A">
        <w:rPr>
          <w:rFonts w:ascii="Times New Roman" w:hAnsi="Times New Roman" w:cs="Times New Roman"/>
          <w:color w:val="000000" w:themeColor="text1"/>
        </w:rPr>
        <w:t>lower level</w:t>
      </w:r>
      <w:r>
        <w:rPr>
          <w:rFonts w:ascii="Times New Roman" w:hAnsi="Times New Roman" w:cs="Times New Roman"/>
          <w:color w:val="000000" w:themeColor="text1"/>
        </w:rPr>
        <w:t>s of the firm;</w:t>
      </w:r>
      <w:r w:rsidRPr="004D4D3A">
        <w:rPr>
          <w:rFonts w:ascii="Times New Roman" w:hAnsi="Times New Roman" w:cs="Times New Roman"/>
          <w:color w:val="000000" w:themeColor="text1"/>
        </w:rPr>
        <w:t xml:space="preserve"> such as</w:t>
      </w:r>
      <w:r>
        <w:rPr>
          <w:rFonts w:ascii="Times New Roman" w:hAnsi="Times New Roman" w:cs="Times New Roman"/>
          <w:color w:val="000000" w:themeColor="text1"/>
        </w:rPr>
        <w:t>, a</w:t>
      </w:r>
      <w:r w:rsidRPr="004D4D3A">
        <w:rPr>
          <w:rFonts w:ascii="Times New Roman" w:hAnsi="Times New Roman" w:cs="Times New Roman"/>
          <w:color w:val="000000" w:themeColor="text1"/>
        </w:rPr>
        <w:t xml:space="preserve"> senior manager.</w:t>
      </w:r>
    </w:p>
  </w:footnote>
  <w:footnote w:id="11">
    <w:p w14:paraId="77B435A8" w14:textId="311A7509" w:rsidR="00F2580B" w:rsidRPr="004D4D3A" w:rsidRDefault="00F2580B" w:rsidP="00A00E2C">
      <w:pPr>
        <w:pStyle w:val="a8"/>
        <w:spacing w:line="240" w:lineRule="exact"/>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I treat firms as no</w:t>
      </w:r>
      <w:r>
        <w:rPr>
          <w:rFonts w:ascii="Times New Roman" w:hAnsi="Times New Roman" w:cs="Times New Roman"/>
          <w:color w:val="000000" w:themeColor="text1"/>
        </w:rPr>
        <w:t>t</w:t>
      </w:r>
      <w:r w:rsidRPr="004D4D3A">
        <w:rPr>
          <w:rFonts w:ascii="Times New Roman" w:hAnsi="Times New Roman" w:cs="Times New Roman"/>
          <w:color w:val="000000" w:themeColor="text1"/>
        </w:rPr>
        <w:t xml:space="preserve"> switching audit firms if they hire the post-merger audit firm.</w:t>
      </w:r>
    </w:p>
  </w:footnote>
  <w:footnote w:id="12">
    <w:p w14:paraId="7A833A3A" w14:textId="77777777" w:rsidR="00F2580B" w:rsidRPr="004D4D3A" w:rsidRDefault="00F2580B" w:rsidP="00250A7F">
      <w:pPr>
        <w:pStyle w:val="a8"/>
        <w:spacing w:line="240" w:lineRule="exact"/>
        <w:ind w:left="200" w:hangingChars="100" w:hanging="200"/>
        <w:rPr>
          <w:rFonts w:ascii="Times New Roman" w:eastAsia="標楷體"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w:t>
      </w:r>
      <w:r w:rsidRPr="004D4D3A">
        <w:rPr>
          <w:rFonts w:ascii="Times New Roman" w:eastAsia="標楷體" w:hAnsi="Times New Roman" w:cs="Times New Roman"/>
          <w:color w:val="000000" w:themeColor="text1"/>
        </w:rPr>
        <w:t>According to the mandatory audit partner rotation policy in China, firms are required to rotate out their signatory auditors who have signed the firm’s audit reports for five consecutive years or who provide audit services during the IPO time and continue to provide services for two consecutive years after the IPO.</w:t>
      </w:r>
    </w:p>
  </w:footnote>
  <w:footnote w:id="13">
    <w:p w14:paraId="175DBBA2" w14:textId="560DA499" w:rsidR="00F2580B" w:rsidRPr="004D4D3A" w:rsidRDefault="00F2580B" w:rsidP="00250A7F">
      <w:pPr>
        <w:autoSpaceDE w:val="0"/>
        <w:autoSpaceDN w:val="0"/>
        <w:adjustRightInd w:val="0"/>
        <w:spacing w:line="240" w:lineRule="exact"/>
        <w:ind w:left="200" w:hangingChars="100" w:hanging="200"/>
        <w:rPr>
          <w:rFonts w:ascii="Times New Roman" w:eastAsia="標楷體" w:hAnsi="Times New Roman" w:cs="Times New Roman"/>
          <w:b/>
          <w:color w:val="000000" w:themeColor="text1"/>
          <w:sz w:val="20"/>
          <w:szCs w:val="20"/>
        </w:rPr>
      </w:pPr>
      <w:r w:rsidRPr="004D4D3A">
        <w:rPr>
          <w:rStyle w:val="aa"/>
          <w:rFonts w:ascii="Times New Roman" w:hAnsi="Times New Roman" w:cs="Times New Roman"/>
          <w:color w:val="000000" w:themeColor="text1"/>
          <w:sz w:val="20"/>
          <w:szCs w:val="20"/>
        </w:rPr>
        <w:footnoteRef/>
      </w:r>
      <w:r w:rsidRPr="004D4D3A">
        <w:rPr>
          <w:rFonts w:ascii="Times New Roman" w:hAnsi="Times New Roman" w:cs="Times New Roman"/>
          <w:color w:val="000000" w:themeColor="text1"/>
          <w:sz w:val="20"/>
          <w:szCs w:val="20"/>
        </w:rPr>
        <w:t xml:space="preserve"> </w:t>
      </w:r>
      <w:r w:rsidRPr="004D4D3A">
        <w:rPr>
          <w:rFonts w:ascii="Times New Roman" w:eastAsia="標楷體" w:hAnsi="Times New Roman" w:cs="Times New Roman"/>
          <w:color w:val="000000" w:themeColor="text1"/>
          <w:sz w:val="20"/>
          <w:szCs w:val="20"/>
        </w:rPr>
        <w:t>As both companies and audit firms do not publicly explain the reasons for auditor switching, I thus presume that an audit partner retires if his/her age approaches 65 (retirement age). In addition, I presume an audit partner suspends or permanently stops the audit practice if the audit partner (1) provided audit services for at least three companies in the previous year but provides no audit services in the current year, or (2) provided audit services in the previous year but provides no audit services in the following two years.</w:t>
      </w:r>
    </w:p>
  </w:footnote>
  <w:footnote w:id="14">
    <w:p w14:paraId="48590AA8" w14:textId="49781A82" w:rsidR="00F2580B" w:rsidRPr="004D4D3A" w:rsidRDefault="00F2580B" w:rsidP="00837272">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One possible explanation is that the board’s decisions regarding partner switching are less likely influenced by the switching cost stemm</w:t>
      </w:r>
      <w:r>
        <w:rPr>
          <w:rFonts w:ascii="Times New Roman" w:hAnsi="Times New Roman" w:cs="Times New Roman"/>
          <w:color w:val="000000" w:themeColor="text1"/>
        </w:rPr>
        <w:t>ing</w:t>
      </w:r>
      <w:r w:rsidRPr="004D4D3A">
        <w:rPr>
          <w:rFonts w:ascii="Times New Roman" w:hAnsi="Times New Roman" w:cs="Times New Roman"/>
          <w:color w:val="000000" w:themeColor="text1"/>
        </w:rPr>
        <w:t xml:space="preserve"> from partner industry expertise.</w:t>
      </w:r>
    </w:p>
  </w:footnote>
  <w:footnote w:id="15">
    <w:p w14:paraId="13D487AE" w14:textId="7FD6673D" w:rsidR="00F2580B" w:rsidRPr="004D4D3A" w:rsidRDefault="00F2580B" w:rsidP="00C37504">
      <w:pPr>
        <w:pStyle w:val="a8"/>
        <w:spacing w:line="240" w:lineRule="exact"/>
        <w:ind w:left="200" w:hangingChars="100" w:hanging="200"/>
        <w:rPr>
          <w:rFonts w:ascii="Times New Roman" w:hAnsi="Times New Roman" w:cs="Times New Roman"/>
          <w:color w:val="000000" w:themeColor="text1"/>
        </w:rPr>
      </w:pPr>
      <w:r w:rsidRPr="004D4D3A">
        <w:rPr>
          <w:rStyle w:val="aa"/>
          <w:rFonts w:ascii="Times New Roman" w:hAnsi="Times New Roman" w:cs="Times New Roman"/>
          <w:color w:val="000000" w:themeColor="text1"/>
        </w:rPr>
        <w:footnoteRef/>
      </w:r>
      <w:r w:rsidRPr="004D4D3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 combine </w:t>
      </w:r>
      <w:r w:rsidRPr="004D4D3A">
        <w:rPr>
          <w:rFonts w:ascii="Times New Roman" w:hAnsi="Times New Roman" w:cs="Times New Roman"/>
          <w:color w:val="000000" w:themeColor="text1"/>
        </w:rPr>
        <w:t xml:space="preserve">firms with qualified opinions with explanatory notes (23 observations), disclaimers opinions (70 observations), and adverse opinions (1 observations) </w:t>
      </w:r>
      <w:r>
        <w:rPr>
          <w:rFonts w:ascii="Times New Roman" w:hAnsi="Times New Roman" w:cs="Times New Roman"/>
          <w:color w:val="000000" w:themeColor="text1"/>
        </w:rPr>
        <w:t>into one group as the sample sizes are small</w:t>
      </w:r>
      <w:r w:rsidRPr="004D4D3A">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54725"/>
    <w:multiLevelType w:val="hybridMultilevel"/>
    <w:tmpl w:val="F6108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92"/>
    <w:rsid w:val="00005940"/>
    <w:rsid w:val="00011DC7"/>
    <w:rsid w:val="00013994"/>
    <w:rsid w:val="000147A0"/>
    <w:rsid w:val="000148D0"/>
    <w:rsid w:val="000208C6"/>
    <w:rsid w:val="00024CFB"/>
    <w:rsid w:val="00026357"/>
    <w:rsid w:val="00026AFD"/>
    <w:rsid w:val="00031109"/>
    <w:rsid w:val="00035891"/>
    <w:rsid w:val="0003662B"/>
    <w:rsid w:val="00036ED8"/>
    <w:rsid w:val="00037007"/>
    <w:rsid w:val="00042C35"/>
    <w:rsid w:val="00044E1A"/>
    <w:rsid w:val="00045EDB"/>
    <w:rsid w:val="00045F64"/>
    <w:rsid w:val="000469A7"/>
    <w:rsid w:val="00047644"/>
    <w:rsid w:val="00047F8D"/>
    <w:rsid w:val="00051860"/>
    <w:rsid w:val="00060042"/>
    <w:rsid w:val="000602B8"/>
    <w:rsid w:val="000629D1"/>
    <w:rsid w:val="00062B88"/>
    <w:rsid w:val="0006331A"/>
    <w:rsid w:val="000650DF"/>
    <w:rsid w:val="0006709B"/>
    <w:rsid w:val="000772A9"/>
    <w:rsid w:val="00081B64"/>
    <w:rsid w:val="00081DF7"/>
    <w:rsid w:val="00083C53"/>
    <w:rsid w:val="00086C5D"/>
    <w:rsid w:val="000901D3"/>
    <w:rsid w:val="000928DD"/>
    <w:rsid w:val="00092EA1"/>
    <w:rsid w:val="00095A60"/>
    <w:rsid w:val="000A1527"/>
    <w:rsid w:val="000A74EB"/>
    <w:rsid w:val="000B02D6"/>
    <w:rsid w:val="000B2A81"/>
    <w:rsid w:val="000B654B"/>
    <w:rsid w:val="000C2511"/>
    <w:rsid w:val="000C2697"/>
    <w:rsid w:val="000C2F89"/>
    <w:rsid w:val="000C372F"/>
    <w:rsid w:val="000C3E81"/>
    <w:rsid w:val="000C4BFD"/>
    <w:rsid w:val="000C7958"/>
    <w:rsid w:val="000D001D"/>
    <w:rsid w:val="000D4638"/>
    <w:rsid w:val="000D4D5B"/>
    <w:rsid w:val="000D574A"/>
    <w:rsid w:val="000E587A"/>
    <w:rsid w:val="000F027F"/>
    <w:rsid w:val="000F1E63"/>
    <w:rsid w:val="00101779"/>
    <w:rsid w:val="00101E21"/>
    <w:rsid w:val="0010234A"/>
    <w:rsid w:val="00115282"/>
    <w:rsid w:val="0012105A"/>
    <w:rsid w:val="00121549"/>
    <w:rsid w:val="00124858"/>
    <w:rsid w:val="0013078B"/>
    <w:rsid w:val="001334BA"/>
    <w:rsid w:val="00133748"/>
    <w:rsid w:val="00134240"/>
    <w:rsid w:val="00135F43"/>
    <w:rsid w:val="00137DEC"/>
    <w:rsid w:val="001411E5"/>
    <w:rsid w:val="00144480"/>
    <w:rsid w:val="00151D22"/>
    <w:rsid w:val="00154FD6"/>
    <w:rsid w:val="00157D02"/>
    <w:rsid w:val="00160D37"/>
    <w:rsid w:val="00161151"/>
    <w:rsid w:val="00161748"/>
    <w:rsid w:val="0017236C"/>
    <w:rsid w:val="00173B35"/>
    <w:rsid w:val="00175413"/>
    <w:rsid w:val="00176E72"/>
    <w:rsid w:val="001807FA"/>
    <w:rsid w:val="00181C44"/>
    <w:rsid w:val="0018410A"/>
    <w:rsid w:val="0018495C"/>
    <w:rsid w:val="0018717C"/>
    <w:rsid w:val="0019378C"/>
    <w:rsid w:val="001A1811"/>
    <w:rsid w:val="001A3A5D"/>
    <w:rsid w:val="001A427F"/>
    <w:rsid w:val="001B1F8E"/>
    <w:rsid w:val="001B3FB9"/>
    <w:rsid w:val="001C2C83"/>
    <w:rsid w:val="001C3728"/>
    <w:rsid w:val="001C3F11"/>
    <w:rsid w:val="001D4991"/>
    <w:rsid w:val="001D4CB4"/>
    <w:rsid w:val="001D5519"/>
    <w:rsid w:val="001E207C"/>
    <w:rsid w:val="001E6918"/>
    <w:rsid w:val="001F18C8"/>
    <w:rsid w:val="001F59EA"/>
    <w:rsid w:val="00202881"/>
    <w:rsid w:val="002120AD"/>
    <w:rsid w:val="002136AC"/>
    <w:rsid w:val="00214666"/>
    <w:rsid w:val="002147DD"/>
    <w:rsid w:val="00214C9B"/>
    <w:rsid w:val="00224AFD"/>
    <w:rsid w:val="00225C31"/>
    <w:rsid w:val="00226EBC"/>
    <w:rsid w:val="002275B4"/>
    <w:rsid w:val="00231564"/>
    <w:rsid w:val="00235A2A"/>
    <w:rsid w:val="002373E7"/>
    <w:rsid w:val="002425A1"/>
    <w:rsid w:val="00250A7F"/>
    <w:rsid w:val="0025523B"/>
    <w:rsid w:val="0025568C"/>
    <w:rsid w:val="00256F3E"/>
    <w:rsid w:val="0025735A"/>
    <w:rsid w:val="00260F1C"/>
    <w:rsid w:val="00265CB1"/>
    <w:rsid w:val="002663DD"/>
    <w:rsid w:val="002675E0"/>
    <w:rsid w:val="00274B51"/>
    <w:rsid w:val="00274EE9"/>
    <w:rsid w:val="002842D0"/>
    <w:rsid w:val="00284B10"/>
    <w:rsid w:val="00284D6A"/>
    <w:rsid w:val="00287C9B"/>
    <w:rsid w:val="00293D78"/>
    <w:rsid w:val="002A1D8A"/>
    <w:rsid w:val="002A5D03"/>
    <w:rsid w:val="002C388A"/>
    <w:rsid w:val="002C58B1"/>
    <w:rsid w:val="002D25E1"/>
    <w:rsid w:val="002D5E0B"/>
    <w:rsid w:val="002E0DBB"/>
    <w:rsid w:val="002E0E46"/>
    <w:rsid w:val="002E43DA"/>
    <w:rsid w:val="002E7B9E"/>
    <w:rsid w:val="002F2181"/>
    <w:rsid w:val="002F5601"/>
    <w:rsid w:val="002F74F5"/>
    <w:rsid w:val="00311E76"/>
    <w:rsid w:val="00312284"/>
    <w:rsid w:val="003127D6"/>
    <w:rsid w:val="00315DDB"/>
    <w:rsid w:val="003227BC"/>
    <w:rsid w:val="00327F8A"/>
    <w:rsid w:val="0033424A"/>
    <w:rsid w:val="003359FD"/>
    <w:rsid w:val="00335A51"/>
    <w:rsid w:val="00341551"/>
    <w:rsid w:val="00341DD1"/>
    <w:rsid w:val="00342275"/>
    <w:rsid w:val="00342970"/>
    <w:rsid w:val="0034518B"/>
    <w:rsid w:val="003464E2"/>
    <w:rsid w:val="003468F7"/>
    <w:rsid w:val="00352A05"/>
    <w:rsid w:val="0035332E"/>
    <w:rsid w:val="00353DA5"/>
    <w:rsid w:val="00360E3C"/>
    <w:rsid w:val="00362B35"/>
    <w:rsid w:val="0036320B"/>
    <w:rsid w:val="0036347F"/>
    <w:rsid w:val="00366028"/>
    <w:rsid w:val="003660A4"/>
    <w:rsid w:val="00366B28"/>
    <w:rsid w:val="00374821"/>
    <w:rsid w:val="00380968"/>
    <w:rsid w:val="00382F26"/>
    <w:rsid w:val="00383F6A"/>
    <w:rsid w:val="0038440F"/>
    <w:rsid w:val="003965DD"/>
    <w:rsid w:val="00397C6A"/>
    <w:rsid w:val="00397F0D"/>
    <w:rsid w:val="003A21AE"/>
    <w:rsid w:val="003A3A0B"/>
    <w:rsid w:val="003B32C3"/>
    <w:rsid w:val="003B3798"/>
    <w:rsid w:val="003B7DE1"/>
    <w:rsid w:val="003B7F33"/>
    <w:rsid w:val="003C3737"/>
    <w:rsid w:val="003C7BA1"/>
    <w:rsid w:val="003D04BC"/>
    <w:rsid w:val="003D1C2D"/>
    <w:rsid w:val="003D269F"/>
    <w:rsid w:val="003E03D5"/>
    <w:rsid w:val="003E076B"/>
    <w:rsid w:val="003E7C2C"/>
    <w:rsid w:val="003F07A8"/>
    <w:rsid w:val="00404834"/>
    <w:rsid w:val="00405571"/>
    <w:rsid w:val="00405C49"/>
    <w:rsid w:val="004069C6"/>
    <w:rsid w:val="00410C4A"/>
    <w:rsid w:val="004113CA"/>
    <w:rsid w:val="00411C70"/>
    <w:rsid w:val="00416F6F"/>
    <w:rsid w:val="004174E4"/>
    <w:rsid w:val="004257A3"/>
    <w:rsid w:val="00425A06"/>
    <w:rsid w:val="00426089"/>
    <w:rsid w:val="00435C2A"/>
    <w:rsid w:val="004412CA"/>
    <w:rsid w:val="0044428C"/>
    <w:rsid w:val="00444A98"/>
    <w:rsid w:val="00445FCD"/>
    <w:rsid w:val="00447DB3"/>
    <w:rsid w:val="00450854"/>
    <w:rsid w:val="00452941"/>
    <w:rsid w:val="00454E72"/>
    <w:rsid w:val="0045538C"/>
    <w:rsid w:val="00455469"/>
    <w:rsid w:val="00456AB6"/>
    <w:rsid w:val="00457EF5"/>
    <w:rsid w:val="00460599"/>
    <w:rsid w:val="00465A0B"/>
    <w:rsid w:val="00466037"/>
    <w:rsid w:val="00470844"/>
    <w:rsid w:val="004734D8"/>
    <w:rsid w:val="00473FD6"/>
    <w:rsid w:val="00480D45"/>
    <w:rsid w:val="00481FC6"/>
    <w:rsid w:val="00483214"/>
    <w:rsid w:val="0048467C"/>
    <w:rsid w:val="00486175"/>
    <w:rsid w:val="00486CD6"/>
    <w:rsid w:val="004901B7"/>
    <w:rsid w:val="00492254"/>
    <w:rsid w:val="00493A1D"/>
    <w:rsid w:val="004959B2"/>
    <w:rsid w:val="00496B5D"/>
    <w:rsid w:val="0049706D"/>
    <w:rsid w:val="004A0E03"/>
    <w:rsid w:val="004A6373"/>
    <w:rsid w:val="004A7295"/>
    <w:rsid w:val="004B0DE5"/>
    <w:rsid w:val="004B1657"/>
    <w:rsid w:val="004B47B5"/>
    <w:rsid w:val="004B6396"/>
    <w:rsid w:val="004C074F"/>
    <w:rsid w:val="004C479F"/>
    <w:rsid w:val="004C550C"/>
    <w:rsid w:val="004D06CA"/>
    <w:rsid w:val="004D0A40"/>
    <w:rsid w:val="004D12F7"/>
    <w:rsid w:val="004D4D3A"/>
    <w:rsid w:val="004E72A1"/>
    <w:rsid w:val="004E73CA"/>
    <w:rsid w:val="004F094C"/>
    <w:rsid w:val="004F0C78"/>
    <w:rsid w:val="004F1E75"/>
    <w:rsid w:val="004F4C21"/>
    <w:rsid w:val="005024FF"/>
    <w:rsid w:val="00505063"/>
    <w:rsid w:val="00511464"/>
    <w:rsid w:val="005116B5"/>
    <w:rsid w:val="005145EC"/>
    <w:rsid w:val="00515895"/>
    <w:rsid w:val="0052065F"/>
    <w:rsid w:val="00522111"/>
    <w:rsid w:val="00522FA0"/>
    <w:rsid w:val="00536DFE"/>
    <w:rsid w:val="00537DD2"/>
    <w:rsid w:val="00540426"/>
    <w:rsid w:val="005443AC"/>
    <w:rsid w:val="00544908"/>
    <w:rsid w:val="00550DE8"/>
    <w:rsid w:val="0055116D"/>
    <w:rsid w:val="00561CBB"/>
    <w:rsid w:val="00563CD4"/>
    <w:rsid w:val="005642B0"/>
    <w:rsid w:val="00565192"/>
    <w:rsid w:val="00565857"/>
    <w:rsid w:val="00565E5E"/>
    <w:rsid w:val="00567801"/>
    <w:rsid w:val="00571C67"/>
    <w:rsid w:val="00575492"/>
    <w:rsid w:val="00580D3C"/>
    <w:rsid w:val="00582B42"/>
    <w:rsid w:val="005870D8"/>
    <w:rsid w:val="00590426"/>
    <w:rsid w:val="00592149"/>
    <w:rsid w:val="00592B0F"/>
    <w:rsid w:val="00594B41"/>
    <w:rsid w:val="005A09E2"/>
    <w:rsid w:val="005A1B1A"/>
    <w:rsid w:val="005A2291"/>
    <w:rsid w:val="005A3F88"/>
    <w:rsid w:val="005A655C"/>
    <w:rsid w:val="005B1921"/>
    <w:rsid w:val="005B74A4"/>
    <w:rsid w:val="005C0E61"/>
    <w:rsid w:val="005C31D4"/>
    <w:rsid w:val="005C49A8"/>
    <w:rsid w:val="005D0414"/>
    <w:rsid w:val="005D2A8A"/>
    <w:rsid w:val="005E4AE4"/>
    <w:rsid w:val="005E4B97"/>
    <w:rsid w:val="005E68D3"/>
    <w:rsid w:val="005F0DCF"/>
    <w:rsid w:val="005F3463"/>
    <w:rsid w:val="005F4D93"/>
    <w:rsid w:val="005F6C23"/>
    <w:rsid w:val="0060074F"/>
    <w:rsid w:val="0060142A"/>
    <w:rsid w:val="006030FD"/>
    <w:rsid w:val="00613D58"/>
    <w:rsid w:val="006165E9"/>
    <w:rsid w:val="006214D8"/>
    <w:rsid w:val="0062652E"/>
    <w:rsid w:val="00627A80"/>
    <w:rsid w:val="00627E3F"/>
    <w:rsid w:val="00630160"/>
    <w:rsid w:val="00631E95"/>
    <w:rsid w:val="00632F52"/>
    <w:rsid w:val="006352EE"/>
    <w:rsid w:val="00635E68"/>
    <w:rsid w:val="00636BF1"/>
    <w:rsid w:val="00637F19"/>
    <w:rsid w:val="00641932"/>
    <w:rsid w:val="0064271B"/>
    <w:rsid w:val="00646648"/>
    <w:rsid w:val="0064672B"/>
    <w:rsid w:val="0065233B"/>
    <w:rsid w:val="00653638"/>
    <w:rsid w:val="00656596"/>
    <w:rsid w:val="00661967"/>
    <w:rsid w:val="00661C17"/>
    <w:rsid w:val="0066268C"/>
    <w:rsid w:val="006637C4"/>
    <w:rsid w:val="006677E9"/>
    <w:rsid w:val="00667A90"/>
    <w:rsid w:val="00670126"/>
    <w:rsid w:val="00674356"/>
    <w:rsid w:val="00674CF2"/>
    <w:rsid w:val="0067587D"/>
    <w:rsid w:val="00676A74"/>
    <w:rsid w:val="00677486"/>
    <w:rsid w:val="00680AB7"/>
    <w:rsid w:val="00686179"/>
    <w:rsid w:val="00687D92"/>
    <w:rsid w:val="00691088"/>
    <w:rsid w:val="00695486"/>
    <w:rsid w:val="00695751"/>
    <w:rsid w:val="00695862"/>
    <w:rsid w:val="006977E6"/>
    <w:rsid w:val="006A6D12"/>
    <w:rsid w:val="006B254A"/>
    <w:rsid w:val="006B3C96"/>
    <w:rsid w:val="006B6A98"/>
    <w:rsid w:val="006B7F5C"/>
    <w:rsid w:val="006C3C36"/>
    <w:rsid w:val="006C4D2C"/>
    <w:rsid w:val="006D1ACE"/>
    <w:rsid w:val="006D1D4F"/>
    <w:rsid w:val="006D23A5"/>
    <w:rsid w:val="006D4939"/>
    <w:rsid w:val="006D55BA"/>
    <w:rsid w:val="006D6FA0"/>
    <w:rsid w:val="006E6BF5"/>
    <w:rsid w:val="006F06C6"/>
    <w:rsid w:val="006F2885"/>
    <w:rsid w:val="006F34E9"/>
    <w:rsid w:val="006F3DD9"/>
    <w:rsid w:val="006F7645"/>
    <w:rsid w:val="006F7E34"/>
    <w:rsid w:val="00700271"/>
    <w:rsid w:val="00702D82"/>
    <w:rsid w:val="007103FF"/>
    <w:rsid w:val="00714799"/>
    <w:rsid w:val="007172FE"/>
    <w:rsid w:val="00717703"/>
    <w:rsid w:val="0072159A"/>
    <w:rsid w:val="0072399E"/>
    <w:rsid w:val="00724F8D"/>
    <w:rsid w:val="007260C7"/>
    <w:rsid w:val="0073015F"/>
    <w:rsid w:val="00735A16"/>
    <w:rsid w:val="0074039E"/>
    <w:rsid w:val="00742485"/>
    <w:rsid w:val="00743304"/>
    <w:rsid w:val="00743B7F"/>
    <w:rsid w:val="00745130"/>
    <w:rsid w:val="007456BA"/>
    <w:rsid w:val="00745773"/>
    <w:rsid w:val="00746177"/>
    <w:rsid w:val="00750EB2"/>
    <w:rsid w:val="00753C9A"/>
    <w:rsid w:val="00753D27"/>
    <w:rsid w:val="00761A4E"/>
    <w:rsid w:val="00762FF0"/>
    <w:rsid w:val="00764899"/>
    <w:rsid w:val="00765877"/>
    <w:rsid w:val="00771EAF"/>
    <w:rsid w:val="00773A64"/>
    <w:rsid w:val="00773F57"/>
    <w:rsid w:val="00775DCA"/>
    <w:rsid w:val="00781E95"/>
    <w:rsid w:val="00792007"/>
    <w:rsid w:val="007923C8"/>
    <w:rsid w:val="00793528"/>
    <w:rsid w:val="007960D7"/>
    <w:rsid w:val="00797E83"/>
    <w:rsid w:val="007A08F7"/>
    <w:rsid w:val="007A156F"/>
    <w:rsid w:val="007A2540"/>
    <w:rsid w:val="007A2B9C"/>
    <w:rsid w:val="007A3344"/>
    <w:rsid w:val="007A7AE0"/>
    <w:rsid w:val="007B05B8"/>
    <w:rsid w:val="007B13BB"/>
    <w:rsid w:val="007B20DF"/>
    <w:rsid w:val="007B5772"/>
    <w:rsid w:val="007C1715"/>
    <w:rsid w:val="007C1D05"/>
    <w:rsid w:val="007C3D26"/>
    <w:rsid w:val="007D06FE"/>
    <w:rsid w:val="007D3916"/>
    <w:rsid w:val="007E070D"/>
    <w:rsid w:val="007E300C"/>
    <w:rsid w:val="007E3444"/>
    <w:rsid w:val="007E4BFB"/>
    <w:rsid w:val="007E4E65"/>
    <w:rsid w:val="007E6425"/>
    <w:rsid w:val="007F006E"/>
    <w:rsid w:val="007F1214"/>
    <w:rsid w:val="007F1CBF"/>
    <w:rsid w:val="007F2BE8"/>
    <w:rsid w:val="007F4C45"/>
    <w:rsid w:val="008010BB"/>
    <w:rsid w:val="0081227A"/>
    <w:rsid w:val="00816A32"/>
    <w:rsid w:val="00821528"/>
    <w:rsid w:val="008246A1"/>
    <w:rsid w:val="00825C53"/>
    <w:rsid w:val="00826B6F"/>
    <w:rsid w:val="008310AD"/>
    <w:rsid w:val="0083362C"/>
    <w:rsid w:val="008343B8"/>
    <w:rsid w:val="00834E77"/>
    <w:rsid w:val="00836385"/>
    <w:rsid w:val="00837272"/>
    <w:rsid w:val="00841AD2"/>
    <w:rsid w:val="0085151B"/>
    <w:rsid w:val="008519E1"/>
    <w:rsid w:val="00855CE2"/>
    <w:rsid w:val="008577FE"/>
    <w:rsid w:val="00857FA0"/>
    <w:rsid w:val="00862857"/>
    <w:rsid w:val="00866595"/>
    <w:rsid w:val="00866A93"/>
    <w:rsid w:val="00870AF4"/>
    <w:rsid w:val="00874BDC"/>
    <w:rsid w:val="00874DB2"/>
    <w:rsid w:val="0087547B"/>
    <w:rsid w:val="008756F3"/>
    <w:rsid w:val="00882E80"/>
    <w:rsid w:val="00883128"/>
    <w:rsid w:val="008905FE"/>
    <w:rsid w:val="00894365"/>
    <w:rsid w:val="00894B1A"/>
    <w:rsid w:val="008A385E"/>
    <w:rsid w:val="008A4AD1"/>
    <w:rsid w:val="008A7DE4"/>
    <w:rsid w:val="008B2B7B"/>
    <w:rsid w:val="008B4584"/>
    <w:rsid w:val="008B5861"/>
    <w:rsid w:val="008B5D40"/>
    <w:rsid w:val="008C21FC"/>
    <w:rsid w:val="008C5400"/>
    <w:rsid w:val="008C6A22"/>
    <w:rsid w:val="008D1C2F"/>
    <w:rsid w:val="008E142B"/>
    <w:rsid w:val="008E1711"/>
    <w:rsid w:val="008E1C97"/>
    <w:rsid w:val="008E2920"/>
    <w:rsid w:val="008E51C3"/>
    <w:rsid w:val="008F0E45"/>
    <w:rsid w:val="008F30BD"/>
    <w:rsid w:val="008F3416"/>
    <w:rsid w:val="008F4A98"/>
    <w:rsid w:val="00903D09"/>
    <w:rsid w:val="00903FE9"/>
    <w:rsid w:val="00904F98"/>
    <w:rsid w:val="009075FE"/>
    <w:rsid w:val="0091002F"/>
    <w:rsid w:val="00910B11"/>
    <w:rsid w:val="00910BFF"/>
    <w:rsid w:val="00910F00"/>
    <w:rsid w:val="00916AB1"/>
    <w:rsid w:val="009256D6"/>
    <w:rsid w:val="009276B3"/>
    <w:rsid w:val="009307E3"/>
    <w:rsid w:val="009338B7"/>
    <w:rsid w:val="009361CF"/>
    <w:rsid w:val="009378A7"/>
    <w:rsid w:val="00943D17"/>
    <w:rsid w:val="00954359"/>
    <w:rsid w:val="009544E9"/>
    <w:rsid w:val="009553F3"/>
    <w:rsid w:val="0095686D"/>
    <w:rsid w:val="0095790E"/>
    <w:rsid w:val="00963155"/>
    <w:rsid w:val="009649BF"/>
    <w:rsid w:val="00964C98"/>
    <w:rsid w:val="0096607F"/>
    <w:rsid w:val="0097357E"/>
    <w:rsid w:val="009739AD"/>
    <w:rsid w:val="00982D4E"/>
    <w:rsid w:val="00983778"/>
    <w:rsid w:val="00983A9D"/>
    <w:rsid w:val="00984C08"/>
    <w:rsid w:val="00990826"/>
    <w:rsid w:val="00990973"/>
    <w:rsid w:val="009922E7"/>
    <w:rsid w:val="009947AA"/>
    <w:rsid w:val="009960C8"/>
    <w:rsid w:val="00997C00"/>
    <w:rsid w:val="009A009C"/>
    <w:rsid w:val="009A1CE5"/>
    <w:rsid w:val="009A2C45"/>
    <w:rsid w:val="009B24A1"/>
    <w:rsid w:val="009B2768"/>
    <w:rsid w:val="009B372B"/>
    <w:rsid w:val="009B7F41"/>
    <w:rsid w:val="009C283B"/>
    <w:rsid w:val="009C2BFE"/>
    <w:rsid w:val="009C65DC"/>
    <w:rsid w:val="009C675F"/>
    <w:rsid w:val="009C6B56"/>
    <w:rsid w:val="009D37CF"/>
    <w:rsid w:val="009D3FA4"/>
    <w:rsid w:val="009E36DB"/>
    <w:rsid w:val="009E63D8"/>
    <w:rsid w:val="009E6EAC"/>
    <w:rsid w:val="009E79A0"/>
    <w:rsid w:val="009F1914"/>
    <w:rsid w:val="009F1B32"/>
    <w:rsid w:val="009F1F7B"/>
    <w:rsid w:val="009F4CBC"/>
    <w:rsid w:val="009F4DD2"/>
    <w:rsid w:val="009F56DB"/>
    <w:rsid w:val="00A0058D"/>
    <w:rsid w:val="00A00E2C"/>
    <w:rsid w:val="00A02DAC"/>
    <w:rsid w:val="00A04729"/>
    <w:rsid w:val="00A04B82"/>
    <w:rsid w:val="00A1116F"/>
    <w:rsid w:val="00A11C43"/>
    <w:rsid w:val="00A13A4E"/>
    <w:rsid w:val="00A15562"/>
    <w:rsid w:val="00A16416"/>
    <w:rsid w:val="00A16CAD"/>
    <w:rsid w:val="00A213F0"/>
    <w:rsid w:val="00A220BC"/>
    <w:rsid w:val="00A24FFC"/>
    <w:rsid w:val="00A26943"/>
    <w:rsid w:val="00A279AE"/>
    <w:rsid w:val="00A32D8C"/>
    <w:rsid w:val="00A35CE5"/>
    <w:rsid w:val="00A36497"/>
    <w:rsid w:val="00A36A01"/>
    <w:rsid w:val="00A36DDC"/>
    <w:rsid w:val="00A42055"/>
    <w:rsid w:val="00A426DB"/>
    <w:rsid w:val="00A45597"/>
    <w:rsid w:val="00A46D08"/>
    <w:rsid w:val="00A46D0F"/>
    <w:rsid w:val="00A548CA"/>
    <w:rsid w:val="00A570A2"/>
    <w:rsid w:val="00A6040B"/>
    <w:rsid w:val="00A61A59"/>
    <w:rsid w:val="00A70E69"/>
    <w:rsid w:val="00A70FA8"/>
    <w:rsid w:val="00A71E2B"/>
    <w:rsid w:val="00A72FC0"/>
    <w:rsid w:val="00A74794"/>
    <w:rsid w:val="00A76BE9"/>
    <w:rsid w:val="00A76EE3"/>
    <w:rsid w:val="00A816EA"/>
    <w:rsid w:val="00A8393B"/>
    <w:rsid w:val="00A84F9F"/>
    <w:rsid w:val="00A916BD"/>
    <w:rsid w:val="00A9170F"/>
    <w:rsid w:val="00A93B3C"/>
    <w:rsid w:val="00A9521B"/>
    <w:rsid w:val="00A955CC"/>
    <w:rsid w:val="00A96976"/>
    <w:rsid w:val="00AA3A00"/>
    <w:rsid w:val="00AA3CFD"/>
    <w:rsid w:val="00AA535B"/>
    <w:rsid w:val="00AA5B28"/>
    <w:rsid w:val="00AB0BBB"/>
    <w:rsid w:val="00AB1142"/>
    <w:rsid w:val="00AB3A1C"/>
    <w:rsid w:val="00AB6FF5"/>
    <w:rsid w:val="00AC0831"/>
    <w:rsid w:val="00AC11D5"/>
    <w:rsid w:val="00AC5EFC"/>
    <w:rsid w:val="00AD1B04"/>
    <w:rsid w:val="00AD3AE9"/>
    <w:rsid w:val="00AD55D8"/>
    <w:rsid w:val="00AD7452"/>
    <w:rsid w:val="00AD7D17"/>
    <w:rsid w:val="00AE1068"/>
    <w:rsid w:val="00AE160E"/>
    <w:rsid w:val="00AE401B"/>
    <w:rsid w:val="00AE4178"/>
    <w:rsid w:val="00AE4A72"/>
    <w:rsid w:val="00AE5DF8"/>
    <w:rsid w:val="00AF40B3"/>
    <w:rsid w:val="00AF6923"/>
    <w:rsid w:val="00AF7031"/>
    <w:rsid w:val="00B0053C"/>
    <w:rsid w:val="00B00CC6"/>
    <w:rsid w:val="00B0199A"/>
    <w:rsid w:val="00B06CDA"/>
    <w:rsid w:val="00B07755"/>
    <w:rsid w:val="00B11410"/>
    <w:rsid w:val="00B12722"/>
    <w:rsid w:val="00B21EE6"/>
    <w:rsid w:val="00B226E1"/>
    <w:rsid w:val="00B23535"/>
    <w:rsid w:val="00B237A9"/>
    <w:rsid w:val="00B248DC"/>
    <w:rsid w:val="00B314D1"/>
    <w:rsid w:val="00B35922"/>
    <w:rsid w:val="00B3691A"/>
    <w:rsid w:val="00B442BB"/>
    <w:rsid w:val="00B5487A"/>
    <w:rsid w:val="00B564FE"/>
    <w:rsid w:val="00B614DA"/>
    <w:rsid w:val="00B63CC4"/>
    <w:rsid w:val="00B7153B"/>
    <w:rsid w:val="00B77228"/>
    <w:rsid w:val="00B82A82"/>
    <w:rsid w:val="00B91F6D"/>
    <w:rsid w:val="00B933AE"/>
    <w:rsid w:val="00BA3F97"/>
    <w:rsid w:val="00BA6CC3"/>
    <w:rsid w:val="00BB0A84"/>
    <w:rsid w:val="00BB0DA2"/>
    <w:rsid w:val="00BB1580"/>
    <w:rsid w:val="00BB2AD4"/>
    <w:rsid w:val="00BB5184"/>
    <w:rsid w:val="00BB53D0"/>
    <w:rsid w:val="00BC7686"/>
    <w:rsid w:val="00BC7B9A"/>
    <w:rsid w:val="00BD0BCC"/>
    <w:rsid w:val="00BD1F68"/>
    <w:rsid w:val="00BD38F0"/>
    <w:rsid w:val="00BD5A5D"/>
    <w:rsid w:val="00BE018C"/>
    <w:rsid w:val="00BE0473"/>
    <w:rsid w:val="00BE187A"/>
    <w:rsid w:val="00BE6B4E"/>
    <w:rsid w:val="00BF0C7B"/>
    <w:rsid w:val="00BF1B8C"/>
    <w:rsid w:val="00BF319E"/>
    <w:rsid w:val="00BF3DD1"/>
    <w:rsid w:val="00BF7818"/>
    <w:rsid w:val="00C02F13"/>
    <w:rsid w:val="00C10324"/>
    <w:rsid w:val="00C14F65"/>
    <w:rsid w:val="00C15E1C"/>
    <w:rsid w:val="00C16495"/>
    <w:rsid w:val="00C16DCB"/>
    <w:rsid w:val="00C17037"/>
    <w:rsid w:val="00C20DD4"/>
    <w:rsid w:val="00C21BFC"/>
    <w:rsid w:val="00C22D15"/>
    <w:rsid w:val="00C23E18"/>
    <w:rsid w:val="00C257FA"/>
    <w:rsid w:val="00C259ED"/>
    <w:rsid w:val="00C30111"/>
    <w:rsid w:val="00C30F7A"/>
    <w:rsid w:val="00C318AC"/>
    <w:rsid w:val="00C37504"/>
    <w:rsid w:val="00C37620"/>
    <w:rsid w:val="00C37975"/>
    <w:rsid w:val="00C421FF"/>
    <w:rsid w:val="00C45C61"/>
    <w:rsid w:val="00C463FD"/>
    <w:rsid w:val="00C4717C"/>
    <w:rsid w:val="00C50BCA"/>
    <w:rsid w:val="00C516DB"/>
    <w:rsid w:val="00C52D3C"/>
    <w:rsid w:val="00C52D4C"/>
    <w:rsid w:val="00C550E7"/>
    <w:rsid w:val="00C6044A"/>
    <w:rsid w:val="00C611FA"/>
    <w:rsid w:val="00C6361E"/>
    <w:rsid w:val="00C641D7"/>
    <w:rsid w:val="00C67E5B"/>
    <w:rsid w:val="00C70DE3"/>
    <w:rsid w:val="00C7516A"/>
    <w:rsid w:val="00C82145"/>
    <w:rsid w:val="00C823DD"/>
    <w:rsid w:val="00C83BCF"/>
    <w:rsid w:val="00C866D2"/>
    <w:rsid w:val="00C86B93"/>
    <w:rsid w:val="00C86F37"/>
    <w:rsid w:val="00C9634B"/>
    <w:rsid w:val="00CA2553"/>
    <w:rsid w:val="00CA399E"/>
    <w:rsid w:val="00CB07CF"/>
    <w:rsid w:val="00CB436B"/>
    <w:rsid w:val="00CB54A0"/>
    <w:rsid w:val="00CB6797"/>
    <w:rsid w:val="00CC1885"/>
    <w:rsid w:val="00CC50E1"/>
    <w:rsid w:val="00CD04D5"/>
    <w:rsid w:val="00CD4834"/>
    <w:rsid w:val="00CE3457"/>
    <w:rsid w:val="00CE708F"/>
    <w:rsid w:val="00CE726E"/>
    <w:rsid w:val="00CF2A6F"/>
    <w:rsid w:val="00CF75BF"/>
    <w:rsid w:val="00D06D9F"/>
    <w:rsid w:val="00D110E1"/>
    <w:rsid w:val="00D143E6"/>
    <w:rsid w:val="00D1594B"/>
    <w:rsid w:val="00D16B75"/>
    <w:rsid w:val="00D22719"/>
    <w:rsid w:val="00D25769"/>
    <w:rsid w:val="00D264F8"/>
    <w:rsid w:val="00D2739D"/>
    <w:rsid w:val="00D31482"/>
    <w:rsid w:val="00D325D4"/>
    <w:rsid w:val="00D32917"/>
    <w:rsid w:val="00D33285"/>
    <w:rsid w:val="00D33FEB"/>
    <w:rsid w:val="00D3574B"/>
    <w:rsid w:val="00D40C3F"/>
    <w:rsid w:val="00D45DB9"/>
    <w:rsid w:val="00D4616F"/>
    <w:rsid w:val="00D50329"/>
    <w:rsid w:val="00D513DA"/>
    <w:rsid w:val="00D55DBB"/>
    <w:rsid w:val="00D577FB"/>
    <w:rsid w:val="00D71C19"/>
    <w:rsid w:val="00D72772"/>
    <w:rsid w:val="00D72797"/>
    <w:rsid w:val="00D81863"/>
    <w:rsid w:val="00D82DDC"/>
    <w:rsid w:val="00D832AD"/>
    <w:rsid w:val="00D83865"/>
    <w:rsid w:val="00D85179"/>
    <w:rsid w:val="00D907AF"/>
    <w:rsid w:val="00D95349"/>
    <w:rsid w:val="00DA5311"/>
    <w:rsid w:val="00DA6BA5"/>
    <w:rsid w:val="00DA7B6E"/>
    <w:rsid w:val="00DB485B"/>
    <w:rsid w:val="00DB5C09"/>
    <w:rsid w:val="00DB5CF1"/>
    <w:rsid w:val="00DB5EAA"/>
    <w:rsid w:val="00DC645D"/>
    <w:rsid w:val="00DC67D9"/>
    <w:rsid w:val="00DD02FB"/>
    <w:rsid w:val="00DD032D"/>
    <w:rsid w:val="00DD09FF"/>
    <w:rsid w:val="00DD34ED"/>
    <w:rsid w:val="00DD3E92"/>
    <w:rsid w:val="00DD7EB4"/>
    <w:rsid w:val="00DE0E2E"/>
    <w:rsid w:val="00DE3E5F"/>
    <w:rsid w:val="00DE56A4"/>
    <w:rsid w:val="00DE7FE8"/>
    <w:rsid w:val="00DF1166"/>
    <w:rsid w:val="00DF17BA"/>
    <w:rsid w:val="00DF303B"/>
    <w:rsid w:val="00DF3A1C"/>
    <w:rsid w:val="00DF57A9"/>
    <w:rsid w:val="00E02C83"/>
    <w:rsid w:val="00E065C5"/>
    <w:rsid w:val="00E11661"/>
    <w:rsid w:val="00E1254C"/>
    <w:rsid w:val="00E12D35"/>
    <w:rsid w:val="00E162A7"/>
    <w:rsid w:val="00E1659A"/>
    <w:rsid w:val="00E17000"/>
    <w:rsid w:val="00E21E14"/>
    <w:rsid w:val="00E21FC8"/>
    <w:rsid w:val="00E262EC"/>
    <w:rsid w:val="00E33044"/>
    <w:rsid w:val="00E34F70"/>
    <w:rsid w:val="00E3799D"/>
    <w:rsid w:val="00E40064"/>
    <w:rsid w:val="00E44874"/>
    <w:rsid w:val="00E45EF7"/>
    <w:rsid w:val="00E46D3B"/>
    <w:rsid w:val="00E5083D"/>
    <w:rsid w:val="00E50CD1"/>
    <w:rsid w:val="00E515E3"/>
    <w:rsid w:val="00E63D47"/>
    <w:rsid w:val="00E717F0"/>
    <w:rsid w:val="00E818DE"/>
    <w:rsid w:val="00E8485A"/>
    <w:rsid w:val="00E86202"/>
    <w:rsid w:val="00E8640B"/>
    <w:rsid w:val="00E86843"/>
    <w:rsid w:val="00E91F69"/>
    <w:rsid w:val="00E966CB"/>
    <w:rsid w:val="00EA0AE0"/>
    <w:rsid w:val="00EA264F"/>
    <w:rsid w:val="00EA3C8E"/>
    <w:rsid w:val="00EA728F"/>
    <w:rsid w:val="00EB1832"/>
    <w:rsid w:val="00EB2496"/>
    <w:rsid w:val="00EB7254"/>
    <w:rsid w:val="00ED7E55"/>
    <w:rsid w:val="00EE02D3"/>
    <w:rsid w:val="00EE2882"/>
    <w:rsid w:val="00EE291E"/>
    <w:rsid w:val="00EE2B7A"/>
    <w:rsid w:val="00EF1F9E"/>
    <w:rsid w:val="00EF240F"/>
    <w:rsid w:val="00EF2B9F"/>
    <w:rsid w:val="00EF2DDF"/>
    <w:rsid w:val="00EF5B10"/>
    <w:rsid w:val="00EF6EA2"/>
    <w:rsid w:val="00EF7976"/>
    <w:rsid w:val="00F05CF1"/>
    <w:rsid w:val="00F05FEE"/>
    <w:rsid w:val="00F06719"/>
    <w:rsid w:val="00F071B7"/>
    <w:rsid w:val="00F11610"/>
    <w:rsid w:val="00F12B65"/>
    <w:rsid w:val="00F1452B"/>
    <w:rsid w:val="00F14B13"/>
    <w:rsid w:val="00F248A1"/>
    <w:rsid w:val="00F2580B"/>
    <w:rsid w:val="00F25AB8"/>
    <w:rsid w:val="00F26C8C"/>
    <w:rsid w:val="00F30BAB"/>
    <w:rsid w:val="00F3265A"/>
    <w:rsid w:val="00F349F8"/>
    <w:rsid w:val="00F35CA7"/>
    <w:rsid w:val="00F43E25"/>
    <w:rsid w:val="00F4463F"/>
    <w:rsid w:val="00F4788F"/>
    <w:rsid w:val="00F5046F"/>
    <w:rsid w:val="00F51F64"/>
    <w:rsid w:val="00F529B7"/>
    <w:rsid w:val="00F552FB"/>
    <w:rsid w:val="00F67ED7"/>
    <w:rsid w:val="00F73915"/>
    <w:rsid w:val="00F867D1"/>
    <w:rsid w:val="00F92364"/>
    <w:rsid w:val="00F93D20"/>
    <w:rsid w:val="00FA1B91"/>
    <w:rsid w:val="00FA7288"/>
    <w:rsid w:val="00FB4BC2"/>
    <w:rsid w:val="00FB5B35"/>
    <w:rsid w:val="00FB63A2"/>
    <w:rsid w:val="00FC0054"/>
    <w:rsid w:val="00FC22D9"/>
    <w:rsid w:val="00FC3299"/>
    <w:rsid w:val="00FC5B77"/>
    <w:rsid w:val="00FC7C39"/>
    <w:rsid w:val="00FD0800"/>
    <w:rsid w:val="00FD60DF"/>
    <w:rsid w:val="00FE38AD"/>
    <w:rsid w:val="00FE5134"/>
    <w:rsid w:val="00FE521B"/>
    <w:rsid w:val="00FE5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E92"/>
    <w:pPr>
      <w:tabs>
        <w:tab w:val="center" w:pos="4153"/>
        <w:tab w:val="right" w:pos="8306"/>
      </w:tabs>
      <w:snapToGrid w:val="0"/>
    </w:pPr>
    <w:rPr>
      <w:sz w:val="20"/>
      <w:szCs w:val="20"/>
    </w:rPr>
  </w:style>
  <w:style w:type="character" w:customStyle="1" w:styleId="a4">
    <w:name w:val="頁首 字元"/>
    <w:basedOn w:val="a0"/>
    <w:link w:val="a3"/>
    <w:uiPriority w:val="99"/>
    <w:rsid w:val="00DD3E92"/>
    <w:rPr>
      <w:sz w:val="20"/>
      <w:szCs w:val="20"/>
    </w:rPr>
  </w:style>
  <w:style w:type="paragraph" w:styleId="a5">
    <w:name w:val="footer"/>
    <w:basedOn w:val="a"/>
    <w:link w:val="a6"/>
    <w:uiPriority w:val="99"/>
    <w:unhideWhenUsed/>
    <w:rsid w:val="00DD3E92"/>
    <w:pPr>
      <w:tabs>
        <w:tab w:val="center" w:pos="4153"/>
        <w:tab w:val="right" w:pos="8306"/>
      </w:tabs>
      <w:snapToGrid w:val="0"/>
    </w:pPr>
    <w:rPr>
      <w:sz w:val="20"/>
      <w:szCs w:val="20"/>
    </w:rPr>
  </w:style>
  <w:style w:type="character" w:customStyle="1" w:styleId="a6">
    <w:name w:val="頁尾 字元"/>
    <w:basedOn w:val="a0"/>
    <w:link w:val="a5"/>
    <w:uiPriority w:val="99"/>
    <w:rsid w:val="00DD3E92"/>
    <w:rPr>
      <w:sz w:val="20"/>
      <w:szCs w:val="20"/>
    </w:rPr>
  </w:style>
  <w:style w:type="character" w:customStyle="1" w:styleId="apple-converted-space">
    <w:name w:val="apple-converted-space"/>
    <w:rsid w:val="00C86F37"/>
  </w:style>
  <w:style w:type="paragraph" w:customStyle="1" w:styleId="MTDisplayEquation">
    <w:name w:val="MTDisplayEquation"/>
    <w:basedOn w:val="a"/>
    <w:next w:val="a"/>
    <w:link w:val="MTDisplayEquation0"/>
    <w:rsid w:val="009307E3"/>
    <w:pPr>
      <w:tabs>
        <w:tab w:val="center" w:pos="4520"/>
        <w:tab w:val="right" w:pos="9020"/>
      </w:tabs>
      <w:autoSpaceDE w:val="0"/>
      <w:autoSpaceDN w:val="0"/>
      <w:adjustRightInd w:val="0"/>
    </w:pPr>
    <w:rPr>
      <w:rFonts w:ascii="Times New Roman" w:hAnsi="Times New Roman" w:cs="Times New Roman"/>
    </w:rPr>
  </w:style>
  <w:style w:type="character" w:customStyle="1" w:styleId="MTDisplayEquation0">
    <w:name w:val="MTDisplayEquation 字元"/>
    <w:basedOn w:val="a0"/>
    <w:link w:val="MTDisplayEquation"/>
    <w:rsid w:val="009307E3"/>
    <w:rPr>
      <w:rFonts w:ascii="Times New Roman" w:hAnsi="Times New Roman" w:cs="Times New Roman"/>
    </w:rPr>
  </w:style>
  <w:style w:type="table" w:styleId="a7">
    <w:name w:val="Table Grid"/>
    <w:basedOn w:val="a1"/>
    <w:uiPriority w:val="59"/>
    <w:rsid w:val="0093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rsid w:val="00F05FEE"/>
    <w:pPr>
      <w:snapToGrid w:val="0"/>
    </w:pPr>
    <w:rPr>
      <w:sz w:val="20"/>
      <w:szCs w:val="20"/>
    </w:rPr>
  </w:style>
  <w:style w:type="character" w:customStyle="1" w:styleId="a9">
    <w:name w:val="註腳文字 字元"/>
    <w:basedOn w:val="a0"/>
    <w:link w:val="a8"/>
    <w:uiPriority w:val="99"/>
    <w:rsid w:val="00F05FEE"/>
    <w:rPr>
      <w:sz w:val="20"/>
      <w:szCs w:val="20"/>
    </w:rPr>
  </w:style>
  <w:style w:type="character" w:styleId="aa">
    <w:name w:val="footnote reference"/>
    <w:basedOn w:val="a0"/>
    <w:uiPriority w:val="99"/>
    <w:semiHidden/>
    <w:unhideWhenUsed/>
    <w:rsid w:val="00F05FEE"/>
    <w:rPr>
      <w:vertAlign w:val="superscript"/>
    </w:rPr>
  </w:style>
  <w:style w:type="character" w:styleId="ab">
    <w:name w:val="annotation reference"/>
    <w:basedOn w:val="a0"/>
    <w:uiPriority w:val="99"/>
    <w:semiHidden/>
    <w:unhideWhenUsed/>
    <w:rsid w:val="003464E2"/>
    <w:rPr>
      <w:sz w:val="18"/>
      <w:szCs w:val="18"/>
    </w:rPr>
  </w:style>
  <w:style w:type="paragraph" w:styleId="ac">
    <w:name w:val="annotation text"/>
    <w:basedOn w:val="a"/>
    <w:link w:val="ad"/>
    <w:uiPriority w:val="99"/>
    <w:unhideWhenUsed/>
    <w:rsid w:val="003464E2"/>
  </w:style>
  <w:style w:type="character" w:customStyle="1" w:styleId="ad">
    <w:name w:val="註解文字 字元"/>
    <w:basedOn w:val="a0"/>
    <w:link w:val="ac"/>
    <w:uiPriority w:val="99"/>
    <w:rsid w:val="003464E2"/>
  </w:style>
  <w:style w:type="paragraph" w:styleId="ae">
    <w:name w:val="annotation subject"/>
    <w:basedOn w:val="ac"/>
    <w:next w:val="ac"/>
    <w:link w:val="af"/>
    <w:uiPriority w:val="99"/>
    <w:semiHidden/>
    <w:unhideWhenUsed/>
    <w:rsid w:val="003464E2"/>
    <w:rPr>
      <w:b/>
      <w:bCs/>
    </w:rPr>
  </w:style>
  <w:style w:type="character" w:customStyle="1" w:styleId="af">
    <w:name w:val="註解主旨 字元"/>
    <w:basedOn w:val="ad"/>
    <w:link w:val="ae"/>
    <w:uiPriority w:val="99"/>
    <w:semiHidden/>
    <w:rsid w:val="003464E2"/>
    <w:rPr>
      <w:b/>
      <w:bCs/>
    </w:rPr>
  </w:style>
  <w:style w:type="paragraph" w:styleId="af0">
    <w:name w:val="Balloon Text"/>
    <w:basedOn w:val="a"/>
    <w:link w:val="af1"/>
    <w:uiPriority w:val="99"/>
    <w:semiHidden/>
    <w:unhideWhenUsed/>
    <w:rsid w:val="003464E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464E2"/>
    <w:rPr>
      <w:rFonts w:asciiTheme="majorHAnsi" w:eastAsiaTheme="majorEastAsia" w:hAnsiTheme="majorHAnsi" w:cstheme="majorBidi"/>
      <w:sz w:val="18"/>
      <w:szCs w:val="18"/>
    </w:rPr>
  </w:style>
  <w:style w:type="character" w:styleId="af2">
    <w:name w:val="Emphasis"/>
    <w:basedOn w:val="a0"/>
    <w:uiPriority w:val="20"/>
    <w:qFormat/>
    <w:rsid w:val="00B07755"/>
    <w:rPr>
      <w:i/>
      <w:iCs/>
    </w:rPr>
  </w:style>
  <w:style w:type="paragraph" w:styleId="af3">
    <w:name w:val="List Paragraph"/>
    <w:basedOn w:val="a"/>
    <w:uiPriority w:val="34"/>
    <w:qFormat/>
    <w:rsid w:val="004B47B5"/>
    <w:pPr>
      <w:ind w:leftChars="200" w:left="480"/>
    </w:pPr>
  </w:style>
  <w:style w:type="paragraph" w:customStyle="1" w:styleId="Default">
    <w:name w:val="Default"/>
    <w:rsid w:val="00904F98"/>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09177">
      <w:bodyDiv w:val="1"/>
      <w:marLeft w:val="0"/>
      <w:marRight w:val="0"/>
      <w:marTop w:val="0"/>
      <w:marBottom w:val="0"/>
      <w:divBdr>
        <w:top w:val="none" w:sz="0" w:space="0" w:color="auto"/>
        <w:left w:val="none" w:sz="0" w:space="0" w:color="auto"/>
        <w:bottom w:val="none" w:sz="0" w:space="0" w:color="auto"/>
        <w:right w:val="none" w:sz="0" w:space="0" w:color="auto"/>
      </w:divBdr>
    </w:div>
    <w:div w:id="10721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9496-3948-455D-B1E5-9D49124E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10378</Words>
  <Characters>59156</Characters>
  <Application>Microsoft Office Word</Application>
  <DocSecurity>0</DocSecurity>
  <Lines>492</Lines>
  <Paragraphs>138</Paragraphs>
  <ScaleCrop>false</ScaleCrop>
  <LinksUpToDate>false</LinksUpToDate>
  <CharactersWithSpaces>69396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2019-09-13T17:31:00Z</dcterms:created>
  <dcterms:modified xsi:type="dcterms:W3CDTF">2019-09-13T17:46:00Z</dcterms:modified>
</cp:coreProperties>
</file>