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DF" w:rsidRPr="004634FC" w:rsidRDefault="00067F4B" w:rsidP="004F1B70">
      <w:pPr>
        <w:spacing w:before="0" w:beforeAutospacing="0" w:after="0" w:afterAutospacing="0" w:line="360" w:lineRule="auto"/>
        <w:jc w:val="center"/>
        <w:rPr>
          <w:rStyle w:val="yiv2989944009size"/>
          <w:b/>
          <w:bCs/>
          <w:color w:val="000000"/>
          <w:szCs w:val="24"/>
        </w:rPr>
      </w:pPr>
      <w:r w:rsidRPr="004634FC">
        <w:rPr>
          <w:rStyle w:val="yiv2989944009size"/>
          <w:b/>
          <w:bCs/>
          <w:color w:val="000000"/>
          <w:szCs w:val="24"/>
        </w:rPr>
        <w:t xml:space="preserve">STRESS TESTING </w:t>
      </w:r>
      <w:r w:rsidR="00C1568E" w:rsidRPr="004634FC">
        <w:rPr>
          <w:rStyle w:val="yiv2989944009size"/>
          <w:b/>
          <w:bCs/>
          <w:color w:val="000000"/>
          <w:szCs w:val="24"/>
        </w:rPr>
        <w:t xml:space="preserve">CREDIT RISK </w:t>
      </w:r>
      <w:r w:rsidRPr="004634FC">
        <w:rPr>
          <w:rStyle w:val="yiv2989944009size"/>
          <w:b/>
          <w:bCs/>
          <w:color w:val="000000"/>
          <w:szCs w:val="24"/>
        </w:rPr>
        <w:t xml:space="preserve">OF MADAGASCAR BANKING SECTOR UNDER GLOBAL MACROECONOMIC </w:t>
      </w:r>
      <w:r w:rsidR="00A927A3" w:rsidRPr="004634FC">
        <w:rPr>
          <w:rStyle w:val="yiv2989944009size"/>
          <w:b/>
          <w:bCs/>
          <w:color w:val="000000"/>
          <w:szCs w:val="24"/>
        </w:rPr>
        <w:t>FACTORS</w:t>
      </w:r>
    </w:p>
    <w:p w:rsidR="00D62379" w:rsidRPr="009D4065" w:rsidRDefault="005862CC" w:rsidP="00EF4F4C">
      <w:pPr>
        <w:spacing w:before="240" w:beforeAutospacing="0" w:after="240" w:afterAutospacing="0" w:line="360" w:lineRule="auto"/>
        <w:ind w:firstLine="0"/>
        <w:rPr>
          <w:b/>
          <w:szCs w:val="24"/>
        </w:rPr>
      </w:pPr>
      <w:r w:rsidRPr="009D4065">
        <w:rPr>
          <w:b/>
          <w:szCs w:val="24"/>
        </w:rPr>
        <w:t>A</w:t>
      </w:r>
      <w:r w:rsidR="00693C70" w:rsidRPr="009D4065">
        <w:rPr>
          <w:b/>
          <w:szCs w:val="24"/>
        </w:rPr>
        <w:t>bstract</w:t>
      </w:r>
    </w:p>
    <w:p w:rsidR="00600881" w:rsidRPr="004634FC" w:rsidRDefault="00600881" w:rsidP="004634FC">
      <w:pPr>
        <w:spacing w:before="0" w:beforeAutospacing="0" w:after="240" w:afterAutospacing="0" w:line="276" w:lineRule="auto"/>
        <w:ind w:firstLine="0"/>
        <w:rPr>
          <w:szCs w:val="24"/>
        </w:rPr>
      </w:pPr>
      <w:r w:rsidRPr="004634FC">
        <w:rPr>
          <w:szCs w:val="24"/>
        </w:rPr>
        <w:t xml:space="preserve">This study aims to </w:t>
      </w:r>
      <w:r w:rsidR="003232BF" w:rsidRPr="004634FC">
        <w:rPr>
          <w:szCs w:val="24"/>
        </w:rPr>
        <w:t xml:space="preserve">assess the vulnerability of banking sector’s credit portfolio </w:t>
      </w:r>
      <w:r w:rsidRPr="004634FC">
        <w:rPr>
          <w:szCs w:val="24"/>
        </w:rPr>
        <w:t>under macroeco</w:t>
      </w:r>
      <w:r w:rsidR="00252F92" w:rsidRPr="004634FC">
        <w:rPr>
          <w:szCs w:val="24"/>
        </w:rPr>
        <w:t>nomic shocks. It uses Global Vector Autoregressive</w:t>
      </w:r>
      <w:r w:rsidRPr="004634FC">
        <w:rPr>
          <w:szCs w:val="24"/>
        </w:rPr>
        <w:t xml:space="preserve"> Model (GVAR) to investigate the transmission of global, external and domestic macroeconomic shocks on banks non-performing loan</w:t>
      </w:r>
      <w:r w:rsidR="00305552" w:rsidRPr="004634FC">
        <w:rPr>
          <w:szCs w:val="24"/>
        </w:rPr>
        <w:t>s</w:t>
      </w:r>
      <w:r w:rsidRPr="004634FC">
        <w:rPr>
          <w:szCs w:val="24"/>
        </w:rPr>
        <w:t xml:space="preserve">. </w:t>
      </w:r>
      <w:r w:rsidR="005E10FD" w:rsidRPr="004634FC">
        <w:rPr>
          <w:szCs w:val="24"/>
        </w:rPr>
        <w:t>T</w:t>
      </w:r>
      <w:r w:rsidRPr="004634FC">
        <w:rPr>
          <w:szCs w:val="24"/>
        </w:rPr>
        <w:t>he macroeconomic factors which influence the loan portfolio</w:t>
      </w:r>
      <w:r w:rsidR="000A0881" w:rsidRPr="004634FC">
        <w:rPr>
          <w:szCs w:val="24"/>
        </w:rPr>
        <w:t xml:space="preserve"> quality</w:t>
      </w:r>
      <w:r w:rsidRPr="004634FC">
        <w:rPr>
          <w:szCs w:val="24"/>
        </w:rPr>
        <w:t xml:space="preserve"> </w:t>
      </w:r>
      <w:r w:rsidR="000A0881" w:rsidRPr="004634FC">
        <w:rPr>
          <w:szCs w:val="24"/>
        </w:rPr>
        <w:t xml:space="preserve">will be </w:t>
      </w:r>
      <w:r w:rsidR="00DE2CF8" w:rsidRPr="004634FC">
        <w:rPr>
          <w:szCs w:val="24"/>
        </w:rPr>
        <w:t>found</w:t>
      </w:r>
      <w:r w:rsidRPr="004634FC">
        <w:rPr>
          <w:szCs w:val="24"/>
        </w:rPr>
        <w:t xml:space="preserve"> by using general</w:t>
      </w:r>
      <w:r w:rsidR="000A0881" w:rsidRPr="004634FC">
        <w:rPr>
          <w:szCs w:val="24"/>
        </w:rPr>
        <w:t xml:space="preserve"> impulse response analysis. T</w:t>
      </w:r>
      <w:r w:rsidRPr="004634FC">
        <w:rPr>
          <w:szCs w:val="24"/>
        </w:rPr>
        <w:t>he</w:t>
      </w:r>
      <w:r w:rsidR="000A0881" w:rsidRPr="004634FC">
        <w:rPr>
          <w:szCs w:val="24"/>
        </w:rPr>
        <w:t>n, the</w:t>
      </w:r>
      <w:r w:rsidR="00197131" w:rsidRPr="004634FC">
        <w:rPr>
          <w:szCs w:val="24"/>
        </w:rPr>
        <w:t xml:space="preserve"> stress test analysis will be</w:t>
      </w:r>
      <w:r w:rsidRPr="004634FC">
        <w:rPr>
          <w:szCs w:val="24"/>
        </w:rPr>
        <w:t xml:space="preserve"> performed to assess banks vulnerability on credit risk indic</w:t>
      </w:r>
      <w:r w:rsidR="000A0881" w:rsidRPr="004634FC">
        <w:rPr>
          <w:szCs w:val="24"/>
        </w:rPr>
        <w:t>ator which is</w:t>
      </w:r>
      <w:r w:rsidR="00197131" w:rsidRPr="004634FC">
        <w:rPr>
          <w:szCs w:val="24"/>
        </w:rPr>
        <w:t xml:space="preserve"> measured by</w:t>
      </w:r>
      <w:r w:rsidR="000A0881" w:rsidRPr="004634FC">
        <w:rPr>
          <w:szCs w:val="24"/>
        </w:rPr>
        <w:t xml:space="preserve"> the non-performing loan</w:t>
      </w:r>
      <w:r w:rsidRPr="004634FC">
        <w:rPr>
          <w:szCs w:val="24"/>
        </w:rPr>
        <w:t>. The study</w:t>
      </w:r>
      <w:r w:rsidR="00197131" w:rsidRPr="004634FC">
        <w:rPr>
          <w:szCs w:val="24"/>
        </w:rPr>
        <w:t xml:space="preserve"> contribution is</w:t>
      </w:r>
      <w:r w:rsidR="000A0881" w:rsidRPr="004634FC">
        <w:rPr>
          <w:szCs w:val="24"/>
        </w:rPr>
        <w:t xml:space="preserve"> double: on </w:t>
      </w:r>
      <w:r w:rsidR="005E10FD" w:rsidRPr="004634FC">
        <w:rPr>
          <w:szCs w:val="24"/>
        </w:rPr>
        <w:t xml:space="preserve">the </w:t>
      </w:r>
      <w:r w:rsidR="000A0881" w:rsidRPr="004634FC">
        <w:rPr>
          <w:szCs w:val="24"/>
        </w:rPr>
        <w:t>one hand,</w:t>
      </w:r>
      <w:r w:rsidR="005E10FD" w:rsidRPr="004634FC">
        <w:rPr>
          <w:szCs w:val="24"/>
        </w:rPr>
        <w:t xml:space="preserve"> compared with</w:t>
      </w:r>
      <w:r w:rsidR="000A0881" w:rsidRPr="004634FC">
        <w:rPr>
          <w:szCs w:val="24"/>
        </w:rPr>
        <w:t xml:space="preserve"> macro stress test literature framework, the</w:t>
      </w:r>
      <w:r w:rsidRPr="004634FC">
        <w:rPr>
          <w:szCs w:val="24"/>
        </w:rPr>
        <w:t xml:space="preserve"> study </w:t>
      </w:r>
      <w:r w:rsidR="000A0881" w:rsidRPr="004634FC">
        <w:rPr>
          <w:szCs w:val="24"/>
        </w:rPr>
        <w:t>attempts to</w:t>
      </w:r>
      <w:r w:rsidR="005E10FD" w:rsidRPr="004634FC">
        <w:rPr>
          <w:szCs w:val="24"/>
        </w:rPr>
        <w:t xml:space="preserve"> provide</w:t>
      </w:r>
      <w:r w:rsidRPr="004634FC">
        <w:rPr>
          <w:szCs w:val="24"/>
        </w:rPr>
        <w:t xml:space="preserve"> a specific </w:t>
      </w:r>
      <w:r w:rsidR="00BB01C6" w:rsidRPr="004634FC">
        <w:rPr>
          <w:szCs w:val="24"/>
        </w:rPr>
        <w:t xml:space="preserve">GVAR model with </w:t>
      </w:r>
      <w:r w:rsidRPr="004634FC">
        <w:rPr>
          <w:szCs w:val="24"/>
        </w:rPr>
        <w:t xml:space="preserve">Madagascar </w:t>
      </w:r>
      <w:r w:rsidR="00BB01C6" w:rsidRPr="004634FC">
        <w:rPr>
          <w:szCs w:val="24"/>
        </w:rPr>
        <w:t>component and it will be used</w:t>
      </w:r>
      <w:r w:rsidRPr="004634FC">
        <w:rPr>
          <w:szCs w:val="24"/>
        </w:rPr>
        <w:t xml:space="preserve"> </w:t>
      </w:r>
      <w:r w:rsidR="005E10FD" w:rsidRPr="004634FC">
        <w:rPr>
          <w:szCs w:val="24"/>
        </w:rPr>
        <w:t xml:space="preserve">as a tool to link global economic dynamic </w:t>
      </w:r>
      <w:r w:rsidR="00BB01C6" w:rsidRPr="004634FC">
        <w:rPr>
          <w:szCs w:val="24"/>
        </w:rPr>
        <w:t>to</w:t>
      </w:r>
      <w:r w:rsidR="00DE2CF8" w:rsidRPr="004634FC">
        <w:rPr>
          <w:szCs w:val="24"/>
        </w:rPr>
        <w:t xml:space="preserve"> credit risk indicator</w:t>
      </w:r>
      <w:r w:rsidR="00BB01C6" w:rsidRPr="004634FC">
        <w:rPr>
          <w:szCs w:val="24"/>
        </w:rPr>
        <w:t xml:space="preserve"> </w:t>
      </w:r>
      <w:r w:rsidR="00DE2CF8" w:rsidRPr="004634FC">
        <w:rPr>
          <w:szCs w:val="24"/>
        </w:rPr>
        <w:t xml:space="preserve">for </w:t>
      </w:r>
      <w:r w:rsidR="00BB01C6" w:rsidRPr="004634FC">
        <w:rPr>
          <w:szCs w:val="24"/>
        </w:rPr>
        <w:t>assessing banks vulnerabilities</w:t>
      </w:r>
      <w:r w:rsidR="005E10FD" w:rsidRPr="004634FC">
        <w:rPr>
          <w:szCs w:val="24"/>
        </w:rPr>
        <w:t>.</w:t>
      </w:r>
      <w:r w:rsidRPr="004634FC">
        <w:rPr>
          <w:szCs w:val="24"/>
        </w:rPr>
        <w:t xml:space="preserve"> On the other hand, </w:t>
      </w:r>
      <w:r w:rsidR="00BB01C6" w:rsidRPr="004634FC">
        <w:rPr>
          <w:szCs w:val="24"/>
        </w:rPr>
        <w:t xml:space="preserve">this </w:t>
      </w:r>
      <w:r w:rsidR="00735826" w:rsidRPr="004634FC">
        <w:rPr>
          <w:szCs w:val="24"/>
        </w:rPr>
        <w:t>article attempts to fill the lacks concerning</w:t>
      </w:r>
      <w:r w:rsidRPr="004634FC">
        <w:rPr>
          <w:szCs w:val="24"/>
        </w:rPr>
        <w:t xml:space="preserve"> the stress testing works </w:t>
      </w:r>
      <w:r w:rsidR="00735826" w:rsidRPr="004634FC">
        <w:rPr>
          <w:szCs w:val="24"/>
        </w:rPr>
        <w:t>about</w:t>
      </w:r>
      <w:r w:rsidRPr="004634FC">
        <w:rPr>
          <w:szCs w:val="24"/>
        </w:rPr>
        <w:t xml:space="preserve"> Madaga</w:t>
      </w:r>
      <w:r w:rsidR="00BB01C6" w:rsidRPr="004634FC">
        <w:rPr>
          <w:szCs w:val="24"/>
        </w:rPr>
        <w:t>scar</w:t>
      </w:r>
      <w:r w:rsidRPr="004634FC">
        <w:rPr>
          <w:szCs w:val="24"/>
        </w:rPr>
        <w:t xml:space="preserve"> </w:t>
      </w:r>
      <w:r w:rsidR="00735826" w:rsidRPr="004634FC">
        <w:rPr>
          <w:szCs w:val="24"/>
        </w:rPr>
        <w:t>which study is a recent framework</w:t>
      </w:r>
      <w:r w:rsidR="00823FC4" w:rsidRPr="004634FC">
        <w:rPr>
          <w:szCs w:val="24"/>
        </w:rPr>
        <w:t>. Thus</w:t>
      </w:r>
      <w:r w:rsidRPr="004634FC">
        <w:rPr>
          <w:szCs w:val="24"/>
        </w:rPr>
        <w:t xml:space="preserve">, this investigation is the first </w:t>
      </w:r>
      <w:r w:rsidR="00F175DC" w:rsidRPr="004634FC">
        <w:rPr>
          <w:szCs w:val="24"/>
        </w:rPr>
        <w:t xml:space="preserve">study of </w:t>
      </w:r>
      <w:r w:rsidRPr="004634FC">
        <w:rPr>
          <w:szCs w:val="24"/>
        </w:rPr>
        <w:t xml:space="preserve">which </w:t>
      </w:r>
      <w:r w:rsidR="00F175DC" w:rsidRPr="004634FC">
        <w:rPr>
          <w:szCs w:val="24"/>
        </w:rPr>
        <w:t>treats</w:t>
      </w:r>
      <w:r w:rsidRPr="004634FC">
        <w:rPr>
          <w:szCs w:val="24"/>
        </w:rPr>
        <w:t xml:space="preserve"> macro stress testing credit risk in</w:t>
      </w:r>
      <w:r w:rsidR="00BB01C6" w:rsidRPr="004634FC">
        <w:rPr>
          <w:szCs w:val="24"/>
        </w:rPr>
        <w:t xml:space="preserve"> the</w:t>
      </w:r>
      <w:r w:rsidRPr="004634FC">
        <w:rPr>
          <w:szCs w:val="24"/>
        </w:rPr>
        <w:t xml:space="preserve"> </w:t>
      </w:r>
      <w:r w:rsidR="002F00B9" w:rsidRPr="004634FC">
        <w:rPr>
          <w:szCs w:val="24"/>
        </w:rPr>
        <w:t xml:space="preserve">case of </w:t>
      </w:r>
      <w:r w:rsidRPr="004634FC">
        <w:rPr>
          <w:szCs w:val="24"/>
        </w:rPr>
        <w:t>Madagascar.</w:t>
      </w:r>
      <w:r w:rsidR="0072193A" w:rsidRPr="004634FC">
        <w:rPr>
          <w:szCs w:val="24"/>
        </w:rPr>
        <w:t xml:space="preserve"> The</w:t>
      </w:r>
      <w:r w:rsidRPr="004634FC">
        <w:rPr>
          <w:szCs w:val="24"/>
        </w:rPr>
        <w:t xml:space="preserve"> Results outline that the aggregate</w:t>
      </w:r>
      <w:r w:rsidR="0072193A" w:rsidRPr="004634FC">
        <w:rPr>
          <w:szCs w:val="24"/>
        </w:rPr>
        <w:t xml:space="preserve"> non-performing loan react</w:t>
      </w:r>
      <w:r w:rsidR="00AA1349" w:rsidRPr="004634FC">
        <w:rPr>
          <w:szCs w:val="24"/>
        </w:rPr>
        <w:t>s</w:t>
      </w:r>
      <w:r w:rsidR="00BB01C6" w:rsidRPr="004634FC">
        <w:rPr>
          <w:szCs w:val="24"/>
        </w:rPr>
        <w:t xml:space="preserve"> most</w:t>
      </w:r>
      <w:r w:rsidRPr="004634FC">
        <w:rPr>
          <w:szCs w:val="24"/>
        </w:rPr>
        <w:t xml:space="preserve"> to domestic GDP shock, </w:t>
      </w:r>
      <w:r w:rsidR="00E856BC" w:rsidRPr="004634FC">
        <w:rPr>
          <w:szCs w:val="24"/>
        </w:rPr>
        <w:t xml:space="preserve">the </w:t>
      </w:r>
      <w:r w:rsidRPr="004634FC">
        <w:rPr>
          <w:szCs w:val="24"/>
        </w:rPr>
        <w:t>exchange rate shock and</w:t>
      </w:r>
      <w:r w:rsidR="00E856BC" w:rsidRPr="004634FC">
        <w:rPr>
          <w:szCs w:val="24"/>
        </w:rPr>
        <w:t xml:space="preserve"> to the</w:t>
      </w:r>
      <w:r w:rsidR="00642093" w:rsidRPr="004634FC">
        <w:rPr>
          <w:szCs w:val="24"/>
        </w:rPr>
        <w:t xml:space="preserve"> global shock</w:t>
      </w:r>
      <w:r w:rsidRPr="004634FC">
        <w:rPr>
          <w:szCs w:val="24"/>
        </w:rPr>
        <w:t xml:space="preserve"> of oil</w:t>
      </w:r>
      <w:r w:rsidR="00F63797" w:rsidRPr="004634FC">
        <w:rPr>
          <w:szCs w:val="24"/>
        </w:rPr>
        <w:t xml:space="preserve"> price</w:t>
      </w:r>
      <w:r w:rsidRPr="004634FC">
        <w:rPr>
          <w:szCs w:val="24"/>
        </w:rPr>
        <w:t>.</w:t>
      </w:r>
    </w:p>
    <w:p w:rsidR="000E17D8" w:rsidRPr="004634FC" w:rsidRDefault="00364C0C" w:rsidP="004634FC">
      <w:pPr>
        <w:spacing w:before="0" w:beforeAutospacing="0" w:after="0" w:afterAutospacing="0" w:line="276" w:lineRule="auto"/>
        <w:ind w:firstLine="0"/>
        <w:rPr>
          <w:szCs w:val="24"/>
        </w:rPr>
      </w:pPr>
      <w:r w:rsidRPr="004634FC">
        <w:rPr>
          <w:b/>
          <w:szCs w:val="24"/>
        </w:rPr>
        <w:t>Key words</w:t>
      </w:r>
      <w:r w:rsidRPr="004634FC">
        <w:rPr>
          <w:szCs w:val="24"/>
        </w:rPr>
        <w:t xml:space="preserve">: </w:t>
      </w:r>
      <w:r w:rsidR="00FF2F36" w:rsidRPr="004634FC">
        <w:rPr>
          <w:i/>
          <w:szCs w:val="24"/>
        </w:rPr>
        <w:t>Madagascar,</w:t>
      </w:r>
      <w:r w:rsidR="00A20BF7" w:rsidRPr="004634FC">
        <w:rPr>
          <w:i/>
          <w:szCs w:val="24"/>
        </w:rPr>
        <w:t xml:space="preserve"> macroeconomic stress test</w:t>
      </w:r>
      <w:r w:rsidRPr="004634FC">
        <w:rPr>
          <w:i/>
          <w:szCs w:val="24"/>
        </w:rPr>
        <w:t>, credit risk, banking sector</w:t>
      </w:r>
      <w:r w:rsidR="005D57A3" w:rsidRPr="004634FC">
        <w:rPr>
          <w:i/>
          <w:szCs w:val="24"/>
        </w:rPr>
        <w:t>, Madagascar</w:t>
      </w:r>
    </w:p>
    <w:p w:rsidR="005D57A3" w:rsidRPr="004634FC" w:rsidRDefault="005862CC" w:rsidP="004634FC">
      <w:pPr>
        <w:spacing w:before="0" w:beforeAutospacing="0" w:line="360" w:lineRule="auto"/>
        <w:ind w:firstLine="0"/>
        <w:rPr>
          <w:szCs w:val="24"/>
        </w:rPr>
      </w:pPr>
      <w:r w:rsidRPr="004634FC">
        <w:rPr>
          <w:b/>
          <w:szCs w:val="24"/>
        </w:rPr>
        <w:t>JEL classification</w:t>
      </w:r>
      <w:r w:rsidR="000E17D8" w:rsidRPr="004634FC">
        <w:rPr>
          <w:szCs w:val="24"/>
        </w:rPr>
        <w:t>:</w:t>
      </w:r>
      <w:r w:rsidR="00E15F59" w:rsidRPr="004634FC">
        <w:rPr>
          <w:szCs w:val="24"/>
        </w:rPr>
        <w:t xml:space="preserve"> </w:t>
      </w:r>
      <w:r w:rsidR="006B32E2" w:rsidRPr="004634FC">
        <w:rPr>
          <w:szCs w:val="24"/>
        </w:rPr>
        <w:t>C33, G32, E44</w:t>
      </w:r>
    </w:p>
    <w:p w:rsidR="00A016DF" w:rsidRPr="004634FC" w:rsidRDefault="004B13CE" w:rsidP="00EF4F4C">
      <w:pPr>
        <w:pStyle w:val="ListParagraph"/>
        <w:numPr>
          <w:ilvl w:val="0"/>
          <w:numId w:val="1"/>
        </w:numPr>
        <w:spacing w:line="360" w:lineRule="auto"/>
        <w:rPr>
          <w:b/>
          <w:szCs w:val="24"/>
        </w:rPr>
      </w:pPr>
      <w:r w:rsidRPr="004634FC">
        <w:rPr>
          <w:b/>
          <w:szCs w:val="24"/>
        </w:rPr>
        <w:t>Introduction</w:t>
      </w:r>
    </w:p>
    <w:p w:rsidR="00CA0148" w:rsidRPr="004634FC" w:rsidRDefault="00CA0148" w:rsidP="004634FC">
      <w:pPr>
        <w:spacing w:line="276" w:lineRule="auto"/>
        <w:ind w:firstLine="0"/>
        <w:rPr>
          <w:szCs w:val="24"/>
        </w:rPr>
      </w:pPr>
      <w:r w:rsidRPr="004634FC">
        <w:rPr>
          <w:szCs w:val="24"/>
        </w:rPr>
        <w:t xml:space="preserve">The recent </w:t>
      </w:r>
      <w:r w:rsidR="009C2665" w:rsidRPr="004634FC">
        <w:rPr>
          <w:szCs w:val="24"/>
        </w:rPr>
        <w:t xml:space="preserve">financial </w:t>
      </w:r>
      <w:r w:rsidRPr="004634FC">
        <w:rPr>
          <w:szCs w:val="24"/>
        </w:rPr>
        <w:t>crisis has highlighted the importance of assessing financial stability as a whole and the implementation of mac</w:t>
      </w:r>
      <w:r w:rsidR="00DA0EED" w:rsidRPr="004634FC">
        <w:rPr>
          <w:szCs w:val="24"/>
        </w:rPr>
        <w:t>roprudential policy</w:t>
      </w:r>
      <w:r w:rsidR="00E77764" w:rsidRPr="004634FC">
        <w:rPr>
          <w:szCs w:val="24"/>
        </w:rPr>
        <w:t xml:space="preserve"> into the general line of political policy</w:t>
      </w:r>
      <w:r w:rsidR="00DA0EED" w:rsidRPr="004634FC">
        <w:rPr>
          <w:szCs w:val="24"/>
        </w:rPr>
        <w:t>. This is why</w:t>
      </w:r>
      <w:r w:rsidRPr="004634FC">
        <w:rPr>
          <w:szCs w:val="24"/>
        </w:rPr>
        <w:t xml:space="preserve"> the F</w:t>
      </w:r>
      <w:r w:rsidR="00E77764" w:rsidRPr="004634FC">
        <w:rPr>
          <w:szCs w:val="24"/>
        </w:rPr>
        <w:t>inancial Stability Commission has been</w:t>
      </w:r>
      <w:r w:rsidRPr="004634FC">
        <w:rPr>
          <w:szCs w:val="24"/>
        </w:rPr>
        <w:t xml:space="preserve"> constituted to ensure financial stability, improve the openness and transparency of the financial sector, and apply international financial regulation. In addition, </w:t>
      </w:r>
      <w:r w:rsidR="00DA0EED" w:rsidRPr="004634FC">
        <w:rPr>
          <w:szCs w:val="24"/>
        </w:rPr>
        <w:t>to support the macroprudential policy assessment, the International Monetary Fund (IMF) and the Wor</w:t>
      </w:r>
      <w:r w:rsidR="006B11B7" w:rsidRPr="004634FC">
        <w:rPr>
          <w:szCs w:val="24"/>
        </w:rPr>
        <w:t>l</w:t>
      </w:r>
      <w:r w:rsidR="00DA0EED" w:rsidRPr="004634FC">
        <w:rPr>
          <w:szCs w:val="24"/>
        </w:rPr>
        <w:t>d Bank</w:t>
      </w:r>
      <w:r w:rsidRPr="004634FC">
        <w:rPr>
          <w:szCs w:val="24"/>
        </w:rPr>
        <w:t xml:space="preserve"> </w:t>
      </w:r>
      <w:r w:rsidR="00DA0EED" w:rsidRPr="004634FC">
        <w:rPr>
          <w:szCs w:val="24"/>
        </w:rPr>
        <w:t>in the Financial Sector Assessment Program</w:t>
      </w:r>
      <w:r w:rsidR="006B11B7" w:rsidRPr="004634FC">
        <w:rPr>
          <w:szCs w:val="24"/>
        </w:rPr>
        <w:t xml:space="preserve"> has</w:t>
      </w:r>
      <w:r w:rsidR="00DA0EED" w:rsidRPr="004634FC">
        <w:rPr>
          <w:szCs w:val="24"/>
        </w:rPr>
        <w:t xml:space="preserve"> conducted periodically a stress test and evaluation of financial sector in their country members</w:t>
      </w:r>
      <w:r w:rsidRPr="004634FC">
        <w:rPr>
          <w:szCs w:val="24"/>
        </w:rPr>
        <w:t xml:space="preserve">.  Since then, stress </w:t>
      </w:r>
      <w:r w:rsidR="005E2A12" w:rsidRPr="004634FC">
        <w:rPr>
          <w:szCs w:val="24"/>
        </w:rPr>
        <w:t>test has been developed much more by regulatory authorities and central banks</w:t>
      </w:r>
      <w:r w:rsidR="00D17845" w:rsidRPr="004634FC">
        <w:rPr>
          <w:szCs w:val="24"/>
        </w:rPr>
        <w:t xml:space="preserve"> as a tool of macro-prudential policy</w:t>
      </w:r>
      <w:r w:rsidR="005E2A12" w:rsidRPr="004634FC">
        <w:rPr>
          <w:szCs w:val="24"/>
        </w:rPr>
        <w:t xml:space="preserve"> which </w:t>
      </w:r>
      <w:r w:rsidR="00D17845" w:rsidRPr="004634FC">
        <w:rPr>
          <w:szCs w:val="24"/>
        </w:rPr>
        <w:t>continues</w:t>
      </w:r>
      <w:r w:rsidR="005E2A12" w:rsidRPr="004634FC">
        <w:rPr>
          <w:szCs w:val="24"/>
        </w:rPr>
        <w:t xml:space="preserve"> to evolve so far.</w:t>
      </w:r>
      <w:r w:rsidR="00265D2F">
        <w:rPr>
          <w:szCs w:val="24"/>
        </w:rPr>
        <w:t xml:space="preserve"> Foglia [1]</w:t>
      </w:r>
      <w:r w:rsidR="00872BBB" w:rsidRPr="004634FC">
        <w:rPr>
          <w:szCs w:val="24"/>
        </w:rPr>
        <w:t xml:space="preserve"> for example</w:t>
      </w:r>
      <w:r w:rsidRPr="004634FC">
        <w:rPr>
          <w:szCs w:val="24"/>
        </w:rPr>
        <w:t xml:space="preserve"> provides an overview of the</w:t>
      </w:r>
      <w:r w:rsidR="00DA0EED" w:rsidRPr="004634FC">
        <w:rPr>
          <w:szCs w:val="24"/>
        </w:rPr>
        <w:t xml:space="preserve"> stress testing</w:t>
      </w:r>
      <w:r w:rsidRPr="004634FC">
        <w:rPr>
          <w:szCs w:val="24"/>
        </w:rPr>
        <w:t xml:space="preserve"> pr</w:t>
      </w:r>
      <w:r w:rsidR="005E2A12" w:rsidRPr="004634FC">
        <w:rPr>
          <w:szCs w:val="24"/>
        </w:rPr>
        <w:t>actice of different authorities</w:t>
      </w:r>
      <w:r w:rsidRPr="004634FC">
        <w:rPr>
          <w:szCs w:val="24"/>
        </w:rPr>
        <w:t>. We outline the</w:t>
      </w:r>
      <w:r w:rsidR="005E2A12" w:rsidRPr="004634FC">
        <w:rPr>
          <w:szCs w:val="24"/>
        </w:rPr>
        <w:t xml:space="preserve"> recent</w:t>
      </w:r>
      <w:r w:rsidRPr="004634FC">
        <w:rPr>
          <w:szCs w:val="24"/>
        </w:rPr>
        <w:t xml:space="preserve"> study dev</w:t>
      </w:r>
      <w:r w:rsidR="00265D2F">
        <w:rPr>
          <w:szCs w:val="24"/>
        </w:rPr>
        <w:t>eloped by ECB (Dees et al., [2]</w:t>
      </w:r>
      <w:r w:rsidRPr="004634FC">
        <w:rPr>
          <w:szCs w:val="24"/>
        </w:rPr>
        <w:t>) which provides</w:t>
      </w:r>
      <w:r w:rsidR="006B11B7" w:rsidRPr="004634FC">
        <w:rPr>
          <w:szCs w:val="24"/>
        </w:rPr>
        <w:t xml:space="preserve"> with</w:t>
      </w:r>
      <w:r w:rsidRPr="004634FC">
        <w:rPr>
          <w:szCs w:val="24"/>
        </w:rPr>
        <w:t xml:space="preserve"> an analytics approach of stress testing in</w:t>
      </w:r>
      <w:r w:rsidR="00C3015E" w:rsidRPr="004634FC">
        <w:rPr>
          <w:szCs w:val="24"/>
        </w:rPr>
        <w:t xml:space="preserve"> the Euro Zone</w:t>
      </w:r>
      <w:r w:rsidR="006B11B7" w:rsidRPr="004634FC">
        <w:rPr>
          <w:szCs w:val="24"/>
        </w:rPr>
        <w:t xml:space="preserve"> and </w:t>
      </w:r>
      <w:r w:rsidR="00777461" w:rsidRPr="004634FC">
        <w:rPr>
          <w:szCs w:val="24"/>
        </w:rPr>
        <w:t>conducts</w:t>
      </w:r>
      <w:r w:rsidRPr="004634FC">
        <w:rPr>
          <w:szCs w:val="24"/>
        </w:rPr>
        <w:t xml:space="preserve"> </w:t>
      </w:r>
      <w:r w:rsidR="00C3015E" w:rsidRPr="004634FC">
        <w:rPr>
          <w:szCs w:val="24"/>
        </w:rPr>
        <w:t>a</w:t>
      </w:r>
      <w:r w:rsidR="00DA65BF" w:rsidRPr="004634FC">
        <w:rPr>
          <w:szCs w:val="24"/>
        </w:rPr>
        <w:t>n analysis of</w:t>
      </w:r>
      <w:r w:rsidR="00C3015E" w:rsidRPr="004634FC">
        <w:rPr>
          <w:szCs w:val="24"/>
        </w:rPr>
        <w:t xml:space="preserve"> </w:t>
      </w:r>
      <w:r w:rsidR="00DA65BF" w:rsidRPr="004634FC">
        <w:rPr>
          <w:szCs w:val="24"/>
        </w:rPr>
        <w:t xml:space="preserve">capital adjustment </w:t>
      </w:r>
      <w:r w:rsidRPr="004634FC">
        <w:rPr>
          <w:szCs w:val="24"/>
        </w:rPr>
        <w:t>feedback effect in the macroeconomy.</w:t>
      </w:r>
    </w:p>
    <w:p w:rsidR="00CA0148" w:rsidRPr="004634FC" w:rsidRDefault="00CA0148" w:rsidP="004634FC">
      <w:pPr>
        <w:spacing w:line="276" w:lineRule="auto"/>
        <w:ind w:firstLine="0"/>
        <w:rPr>
          <w:szCs w:val="24"/>
        </w:rPr>
      </w:pPr>
      <w:r w:rsidRPr="004634FC">
        <w:rPr>
          <w:szCs w:val="24"/>
        </w:rPr>
        <w:t>At the African countries</w:t>
      </w:r>
      <w:r w:rsidR="00C3015E" w:rsidRPr="004634FC">
        <w:rPr>
          <w:szCs w:val="24"/>
        </w:rPr>
        <w:t xml:space="preserve"> level</w:t>
      </w:r>
      <w:r w:rsidRPr="004634FC">
        <w:rPr>
          <w:szCs w:val="24"/>
        </w:rPr>
        <w:t xml:space="preserve">, the consultative group for Sub-Saharan Africa is part of the regional advisory groups of the Financial Stability Commission. Subsequently, </w:t>
      </w:r>
      <w:r w:rsidR="00C3015E" w:rsidRPr="004634FC">
        <w:rPr>
          <w:szCs w:val="24"/>
        </w:rPr>
        <w:t xml:space="preserve">African </w:t>
      </w:r>
      <w:r w:rsidRPr="004634FC">
        <w:rPr>
          <w:szCs w:val="24"/>
        </w:rPr>
        <w:lastRenderedPageBreak/>
        <w:t xml:space="preserve">Central Banks have given increasing importance to the assessment of financial stability and macroprudential supervision at the regional level </w:t>
      </w:r>
      <w:r w:rsidR="006B11B7" w:rsidRPr="004634FC">
        <w:rPr>
          <w:szCs w:val="24"/>
        </w:rPr>
        <w:t>by</w:t>
      </w:r>
      <w:r w:rsidRPr="004634FC">
        <w:rPr>
          <w:szCs w:val="24"/>
        </w:rPr>
        <w:t xml:space="preserve"> the end of 2011. As well, the FSAP program conducted by th</w:t>
      </w:r>
      <w:r w:rsidR="005E2A12" w:rsidRPr="004634FC">
        <w:rPr>
          <w:szCs w:val="24"/>
        </w:rPr>
        <w:t>e IMF and the World Bank continues to cover</w:t>
      </w:r>
      <w:r w:rsidRPr="004634FC">
        <w:rPr>
          <w:szCs w:val="24"/>
        </w:rPr>
        <w:t xml:space="preserve"> </w:t>
      </w:r>
      <w:r w:rsidR="005E2A12" w:rsidRPr="004634FC">
        <w:rPr>
          <w:szCs w:val="24"/>
        </w:rPr>
        <w:t>most</w:t>
      </w:r>
      <w:r w:rsidRPr="004634FC">
        <w:rPr>
          <w:szCs w:val="24"/>
        </w:rPr>
        <w:t xml:space="preserve"> of African countries</w:t>
      </w:r>
      <w:r w:rsidRPr="004634FC">
        <w:rPr>
          <w:rStyle w:val="FootnoteReference"/>
          <w:szCs w:val="24"/>
        </w:rPr>
        <w:footnoteReference w:id="1"/>
      </w:r>
      <w:r w:rsidRPr="004634FC">
        <w:rPr>
          <w:szCs w:val="24"/>
        </w:rPr>
        <w:t xml:space="preserve"> </w:t>
      </w:r>
      <w:r w:rsidR="00265D2F">
        <w:rPr>
          <w:szCs w:val="24"/>
        </w:rPr>
        <w:t>including Madagascar</w:t>
      </w:r>
      <w:r w:rsidRPr="004634FC">
        <w:rPr>
          <w:szCs w:val="24"/>
        </w:rPr>
        <w:t>. Concerning</w:t>
      </w:r>
      <w:r w:rsidR="00AA462E" w:rsidRPr="004634FC">
        <w:rPr>
          <w:szCs w:val="24"/>
        </w:rPr>
        <w:t xml:space="preserve"> growing</w:t>
      </w:r>
      <w:r w:rsidRPr="004634FC">
        <w:rPr>
          <w:szCs w:val="24"/>
        </w:rPr>
        <w:t xml:space="preserve"> stress testing</w:t>
      </w:r>
      <w:r w:rsidR="00CB1DD0" w:rsidRPr="004634FC">
        <w:rPr>
          <w:szCs w:val="24"/>
        </w:rPr>
        <w:t xml:space="preserve"> </w:t>
      </w:r>
      <w:r w:rsidR="00AA462E" w:rsidRPr="004634FC">
        <w:rPr>
          <w:szCs w:val="24"/>
        </w:rPr>
        <w:t>literature</w:t>
      </w:r>
      <w:r w:rsidR="006B11B7" w:rsidRPr="004634FC">
        <w:rPr>
          <w:szCs w:val="24"/>
        </w:rPr>
        <w:t>,</w:t>
      </w:r>
      <w:r w:rsidR="00B31916" w:rsidRPr="004634FC">
        <w:rPr>
          <w:szCs w:val="24"/>
        </w:rPr>
        <w:t xml:space="preserve"> apart from authorities report</w:t>
      </w:r>
      <w:r w:rsidRPr="004634FC">
        <w:rPr>
          <w:szCs w:val="24"/>
        </w:rPr>
        <w:t xml:space="preserve"> fo</w:t>
      </w:r>
      <w:r w:rsidR="00CB1DD0" w:rsidRPr="004634FC">
        <w:rPr>
          <w:szCs w:val="24"/>
        </w:rPr>
        <w:t xml:space="preserve">r assessing financial stability, </w:t>
      </w:r>
      <w:r w:rsidRPr="004634FC">
        <w:rPr>
          <w:szCs w:val="24"/>
        </w:rPr>
        <w:t>w</w:t>
      </w:r>
      <w:r w:rsidR="00C3015E" w:rsidRPr="004634FC">
        <w:rPr>
          <w:szCs w:val="24"/>
        </w:rPr>
        <w:t>e identify for example the studies</w:t>
      </w:r>
      <w:r w:rsidRPr="004634FC">
        <w:rPr>
          <w:szCs w:val="24"/>
        </w:rPr>
        <w:t xml:space="preserve"> of </w:t>
      </w:r>
      <w:r w:rsidR="00774D9C" w:rsidRPr="004634FC">
        <w:rPr>
          <w:szCs w:val="24"/>
        </w:rPr>
        <w:t>H.de Wet</w:t>
      </w:r>
      <w:r w:rsidR="00E51CE5" w:rsidRPr="004634FC">
        <w:rPr>
          <w:szCs w:val="24"/>
        </w:rPr>
        <w:t xml:space="preserve"> et al.</w:t>
      </w:r>
      <w:r w:rsidR="00A8454B">
        <w:rPr>
          <w:szCs w:val="24"/>
        </w:rPr>
        <w:t xml:space="preserve"> [3] and Havrylchyk [4]</w:t>
      </w:r>
      <w:r w:rsidRPr="004634FC">
        <w:rPr>
          <w:szCs w:val="24"/>
        </w:rPr>
        <w:t xml:space="preserve"> </w:t>
      </w:r>
      <w:r w:rsidR="00A8454B">
        <w:rPr>
          <w:szCs w:val="24"/>
        </w:rPr>
        <w:t>for South Africa, Aboagye [5] for Ghana and Farayibi [6]</w:t>
      </w:r>
      <w:r w:rsidRPr="004634FC">
        <w:rPr>
          <w:szCs w:val="24"/>
        </w:rPr>
        <w:t xml:space="preserve"> for Nigeria.</w:t>
      </w:r>
    </w:p>
    <w:p w:rsidR="00310626" w:rsidRPr="004634FC" w:rsidRDefault="00CA0148" w:rsidP="004634FC">
      <w:pPr>
        <w:spacing w:line="276" w:lineRule="auto"/>
        <w:ind w:firstLine="0"/>
        <w:rPr>
          <w:szCs w:val="24"/>
        </w:rPr>
      </w:pPr>
      <w:r w:rsidRPr="004634FC">
        <w:rPr>
          <w:szCs w:val="24"/>
        </w:rPr>
        <w:t>For</w:t>
      </w:r>
      <w:r w:rsidR="003402DE" w:rsidRPr="004634FC">
        <w:rPr>
          <w:szCs w:val="24"/>
        </w:rPr>
        <w:t xml:space="preserve"> Madagascar</w:t>
      </w:r>
      <w:r w:rsidR="009B2E94" w:rsidRPr="004634FC">
        <w:rPr>
          <w:szCs w:val="24"/>
        </w:rPr>
        <w:t>’s case</w:t>
      </w:r>
      <w:r w:rsidRPr="004634FC">
        <w:rPr>
          <w:szCs w:val="24"/>
        </w:rPr>
        <w:t>, the first traces of the macro-prudential policies</w:t>
      </w:r>
      <w:r w:rsidR="00AA462E" w:rsidRPr="004634FC">
        <w:rPr>
          <w:szCs w:val="24"/>
        </w:rPr>
        <w:t xml:space="preserve"> application</w:t>
      </w:r>
      <w:r w:rsidRPr="004634FC">
        <w:rPr>
          <w:szCs w:val="24"/>
        </w:rPr>
        <w:t xml:space="preserve"> lies in the establishment of the Financial Stability Unit in 2013 and the Financial Stability Committee internal to the institution in 2014 by the </w:t>
      </w:r>
      <w:r w:rsidR="009B2E94" w:rsidRPr="004634FC">
        <w:rPr>
          <w:szCs w:val="24"/>
        </w:rPr>
        <w:t xml:space="preserve">Madagascar </w:t>
      </w:r>
      <w:r w:rsidR="00A8454B">
        <w:rPr>
          <w:szCs w:val="24"/>
        </w:rPr>
        <w:t>Central Bank in 2013 (BCM, [7]</w:t>
      </w:r>
      <w:r w:rsidRPr="004634FC">
        <w:rPr>
          <w:szCs w:val="24"/>
        </w:rPr>
        <w:t>).</w:t>
      </w:r>
      <w:r w:rsidR="003402DE" w:rsidRPr="004634FC">
        <w:rPr>
          <w:szCs w:val="24"/>
        </w:rPr>
        <w:t xml:space="preserve"> </w:t>
      </w:r>
      <w:r w:rsidRPr="004634FC">
        <w:rPr>
          <w:szCs w:val="24"/>
        </w:rPr>
        <w:t>Thereafter, the Central Bank of Madagascar publishes annually a financial</w:t>
      </w:r>
      <w:r w:rsidR="003402DE" w:rsidRPr="004634FC">
        <w:rPr>
          <w:szCs w:val="24"/>
        </w:rPr>
        <w:t xml:space="preserve"> </w:t>
      </w:r>
      <w:r w:rsidRPr="004634FC">
        <w:rPr>
          <w:szCs w:val="24"/>
        </w:rPr>
        <w:t xml:space="preserve">stability report.  </w:t>
      </w:r>
      <w:r w:rsidR="003402DE" w:rsidRPr="004634FC">
        <w:rPr>
          <w:szCs w:val="24"/>
        </w:rPr>
        <w:t>Thus</w:t>
      </w:r>
      <w:r w:rsidRPr="004634FC">
        <w:rPr>
          <w:szCs w:val="24"/>
        </w:rPr>
        <w:t xml:space="preserve">, </w:t>
      </w:r>
      <w:r w:rsidR="009B2E94" w:rsidRPr="004634FC">
        <w:rPr>
          <w:szCs w:val="24"/>
        </w:rPr>
        <w:t xml:space="preserve">Madagascar financial sector </w:t>
      </w:r>
      <w:r w:rsidRPr="004634FC">
        <w:rPr>
          <w:szCs w:val="24"/>
        </w:rPr>
        <w:t xml:space="preserve">stress testing </w:t>
      </w:r>
      <w:r w:rsidR="003402DE" w:rsidRPr="004634FC">
        <w:rPr>
          <w:szCs w:val="24"/>
        </w:rPr>
        <w:t xml:space="preserve">is still </w:t>
      </w:r>
      <w:r w:rsidR="009B2E94" w:rsidRPr="004634FC">
        <w:rPr>
          <w:szCs w:val="24"/>
        </w:rPr>
        <w:t xml:space="preserve">a </w:t>
      </w:r>
      <w:r w:rsidR="003402DE" w:rsidRPr="004634FC">
        <w:rPr>
          <w:szCs w:val="24"/>
        </w:rPr>
        <w:t>recent</w:t>
      </w:r>
      <w:r w:rsidR="009B2E94" w:rsidRPr="004634FC">
        <w:rPr>
          <w:szCs w:val="24"/>
        </w:rPr>
        <w:t xml:space="preserve"> study</w:t>
      </w:r>
      <w:r w:rsidR="003402DE" w:rsidRPr="004634FC">
        <w:rPr>
          <w:szCs w:val="24"/>
        </w:rPr>
        <w:t xml:space="preserve">. </w:t>
      </w:r>
      <w:r w:rsidRPr="004634FC">
        <w:rPr>
          <w:szCs w:val="24"/>
        </w:rPr>
        <w:t>Besides, the recommendation</w:t>
      </w:r>
      <w:r w:rsidR="004F1A01" w:rsidRPr="004634FC">
        <w:rPr>
          <w:szCs w:val="24"/>
        </w:rPr>
        <w:t>s</w:t>
      </w:r>
      <w:r w:rsidRPr="004634FC">
        <w:rPr>
          <w:szCs w:val="24"/>
        </w:rPr>
        <w:t xml:space="preserve"> of Bank for International S</w:t>
      </w:r>
      <w:r w:rsidR="00A8454B">
        <w:rPr>
          <w:szCs w:val="24"/>
        </w:rPr>
        <w:t>ettlements [8]</w:t>
      </w:r>
      <w:r w:rsidR="009B2E94" w:rsidRPr="004634FC">
        <w:rPr>
          <w:szCs w:val="24"/>
        </w:rPr>
        <w:t xml:space="preserve"> </w:t>
      </w:r>
      <w:r w:rsidR="004F1A01" w:rsidRPr="004634FC">
        <w:rPr>
          <w:szCs w:val="24"/>
        </w:rPr>
        <w:t>want those</w:t>
      </w:r>
      <w:r w:rsidR="00794EE8" w:rsidRPr="004634FC">
        <w:rPr>
          <w:szCs w:val="24"/>
        </w:rPr>
        <w:t xml:space="preserve"> bank</w:t>
      </w:r>
      <w:r w:rsidR="004F1A01" w:rsidRPr="004634FC">
        <w:rPr>
          <w:szCs w:val="24"/>
        </w:rPr>
        <w:t>s</w:t>
      </w:r>
      <w:r w:rsidRPr="004634FC">
        <w:rPr>
          <w:szCs w:val="24"/>
        </w:rPr>
        <w:t xml:space="preserve"> </w:t>
      </w:r>
      <w:r w:rsidR="004F1A01" w:rsidRPr="004634FC">
        <w:rPr>
          <w:szCs w:val="24"/>
        </w:rPr>
        <w:t xml:space="preserve">to </w:t>
      </w:r>
      <w:r w:rsidRPr="004634FC">
        <w:rPr>
          <w:szCs w:val="24"/>
        </w:rPr>
        <w:t>regularly apply and update their stress testing environment. Also, the Basel</w:t>
      </w:r>
      <w:r w:rsidR="003402DE" w:rsidRPr="004634FC">
        <w:rPr>
          <w:szCs w:val="24"/>
        </w:rPr>
        <w:t xml:space="preserve"> II objective requires the </w:t>
      </w:r>
      <w:r w:rsidR="006B11B7" w:rsidRPr="004634FC">
        <w:rPr>
          <w:szCs w:val="24"/>
        </w:rPr>
        <w:t xml:space="preserve">banks to </w:t>
      </w:r>
      <w:r w:rsidRPr="004634FC">
        <w:rPr>
          <w:szCs w:val="24"/>
        </w:rPr>
        <w:t>conduct</w:t>
      </w:r>
      <w:r w:rsidR="003402DE" w:rsidRPr="004634FC">
        <w:rPr>
          <w:szCs w:val="24"/>
        </w:rPr>
        <w:t xml:space="preserve"> </w:t>
      </w:r>
      <w:r w:rsidRPr="004634FC">
        <w:rPr>
          <w:szCs w:val="24"/>
        </w:rPr>
        <w:t xml:space="preserve">stress tests </w:t>
      </w:r>
      <w:r w:rsidR="006B11B7" w:rsidRPr="004634FC">
        <w:rPr>
          <w:szCs w:val="24"/>
        </w:rPr>
        <w:t>to find</w:t>
      </w:r>
      <w:r w:rsidR="003402DE" w:rsidRPr="004634FC">
        <w:rPr>
          <w:szCs w:val="24"/>
        </w:rPr>
        <w:t xml:space="preserve"> out</w:t>
      </w:r>
      <w:r w:rsidRPr="004634FC">
        <w:rPr>
          <w:szCs w:val="24"/>
        </w:rPr>
        <w:t xml:space="preserve"> their minimum capital requirements</w:t>
      </w:r>
      <w:r w:rsidR="006B11B7" w:rsidRPr="004634FC">
        <w:rPr>
          <w:szCs w:val="24"/>
        </w:rPr>
        <w:t xml:space="preserve"> as future potential</w:t>
      </w:r>
      <w:r w:rsidRPr="004634FC">
        <w:rPr>
          <w:szCs w:val="24"/>
        </w:rPr>
        <w:t xml:space="preserve"> and </w:t>
      </w:r>
      <w:r w:rsidR="003402DE" w:rsidRPr="004634FC">
        <w:rPr>
          <w:szCs w:val="24"/>
        </w:rPr>
        <w:t xml:space="preserve">to </w:t>
      </w:r>
      <w:r w:rsidRPr="004634FC">
        <w:rPr>
          <w:szCs w:val="24"/>
        </w:rPr>
        <w:t xml:space="preserve">consider at least the effect of mild recession scenarios. </w:t>
      </w:r>
    </w:p>
    <w:p w:rsidR="00710F6F" w:rsidRPr="004634FC" w:rsidRDefault="003E7303" w:rsidP="004634FC">
      <w:pPr>
        <w:spacing w:line="276" w:lineRule="auto"/>
        <w:ind w:firstLine="0"/>
        <w:rPr>
          <w:szCs w:val="24"/>
        </w:rPr>
      </w:pPr>
      <w:r w:rsidRPr="004634FC">
        <w:rPr>
          <w:szCs w:val="24"/>
        </w:rPr>
        <w:t>This paper aim</w:t>
      </w:r>
      <w:r w:rsidR="006B11B7" w:rsidRPr="004634FC">
        <w:rPr>
          <w:szCs w:val="24"/>
        </w:rPr>
        <w:t>s</w:t>
      </w:r>
      <w:r w:rsidR="00CA0148" w:rsidRPr="004634FC">
        <w:rPr>
          <w:szCs w:val="24"/>
        </w:rPr>
        <w:t xml:space="preserve"> to carry out macro stress testing that links real macroeconomic shock</w:t>
      </w:r>
      <w:r w:rsidR="00E92124" w:rsidRPr="004634FC">
        <w:rPr>
          <w:szCs w:val="24"/>
        </w:rPr>
        <w:t>s and a credit risk portfolios of</w:t>
      </w:r>
      <w:r w:rsidR="00CA0148" w:rsidRPr="004634FC">
        <w:rPr>
          <w:szCs w:val="24"/>
        </w:rPr>
        <w:t xml:space="preserve"> th</w:t>
      </w:r>
      <w:r w:rsidR="00A03E46" w:rsidRPr="004634FC">
        <w:rPr>
          <w:szCs w:val="24"/>
        </w:rPr>
        <w:t>e banking sector</w:t>
      </w:r>
      <w:r w:rsidR="00310626" w:rsidRPr="004634FC">
        <w:rPr>
          <w:szCs w:val="24"/>
        </w:rPr>
        <w:t>.</w:t>
      </w:r>
      <w:r w:rsidR="00CA0148" w:rsidRPr="004634FC">
        <w:rPr>
          <w:szCs w:val="24"/>
        </w:rPr>
        <w:t xml:space="preserve"> This macro stress testing credit risk is a top-down stress testing </w:t>
      </w:r>
      <w:r w:rsidR="00C3015E" w:rsidRPr="004634FC">
        <w:rPr>
          <w:szCs w:val="24"/>
        </w:rPr>
        <w:t>approach and aims to support</w:t>
      </w:r>
      <w:r w:rsidR="00CA0148" w:rsidRPr="004634FC">
        <w:rPr>
          <w:szCs w:val="24"/>
        </w:rPr>
        <w:t xml:space="preserve"> existing stress testin</w:t>
      </w:r>
      <w:r w:rsidR="00FD144A" w:rsidRPr="004634FC">
        <w:rPr>
          <w:szCs w:val="24"/>
        </w:rPr>
        <w:t>g exercises conducted by the IMF</w:t>
      </w:r>
      <w:r w:rsidR="00CA0148" w:rsidRPr="004634FC">
        <w:rPr>
          <w:szCs w:val="24"/>
        </w:rPr>
        <w:t xml:space="preserve"> and the Central Bank in the financial stability report</w:t>
      </w:r>
      <w:r w:rsidR="00C3015E" w:rsidRPr="004634FC">
        <w:rPr>
          <w:szCs w:val="24"/>
        </w:rPr>
        <w:t xml:space="preserve"> in Madagascar case</w:t>
      </w:r>
      <w:r w:rsidR="006438CD" w:rsidRPr="004634FC">
        <w:rPr>
          <w:szCs w:val="24"/>
        </w:rPr>
        <w:t xml:space="preserve">. </w:t>
      </w:r>
    </w:p>
    <w:p w:rsidR="00CA0148" w:rsidRPr="004634FC" w:rsidRDefault="009A1BA5" w:rsidP="004634FC">
      <w:pPr>
        <w:spacing w:line="276" w:lineRule="auto"/>
        <w:ind w:firstLine="0"/>
        <w:rPr>
          <w:szCs w:val="24"/>
        </w:rPr>
      </w:pPr>
      <w:r w:rsidRPr="004634FC">
        <w:rPr>
          <w:szCs w:val="24"/>
        </w:rPr>
        <w:t>T</w:t>
      </w:r>
      <w:r w:rsidR="00CA0148" w:rsidRPr="004634FC">
        <w:rPr>
          <w:szCs w:val="24"/>
        </w:rPr>
        <w:t>he non-performing loan</w:t>
      </w:r>
      <w:r w:rsidR="001A56A8" w:rsidRPr="004634FC">
        <w:rPr>
          <w:szCs w:val="24"/>
        </w:rPr>
        <w:t xml:space="preserve"> (NPL)</w:t>
      </w:r>
      <w:r w:rsidR="00CA0148" w:rsidRPr="004634FC">
        <w:rPr>
          <w:szCs w:val="24"/>
        </w:rPr>
        <w:t xml:space="preserve"> </w:t>
      </w:r>
      <w:r w:rsidRPr="004634FC">
        <w:rPr>
          <w:szCs w:val="24"/>
        </w:rPr>
        <w:t>is the indicator used</w:t>
      </w:r>
      <w:r w:rsidR="00CA0148" w:rsidRPr="004634FC">
        <w:rPr>
          <w:szCs w:val="24"/>
        </w:rPr>
        <w:t xml:space="preserve"> to capture bank credit risk. A</w:t>
      </w:r>
      <w:r w:rsidR="00B9625D" w:rsidRPr="004634FC">
        <w:rPr>
          <w:szCs w:val="24"/>
        </w:rPr>
        <w:t xml:space="preserve"> Satellite GVAR approach will be</w:t>
      </w:r>
      <w:r w:rsidRPr="004634FC">
        <w:rPr>
          <w:szCs w:val="24"/>
        </w:rPr>
        <w:t xml:space="preserve"> applied</w:t>
      </w:r>
      <w:r w:rsidR="00CA0148" w:rsidRPr="004634FC">
        <w:rPr>
          <w:szCs w:val="24"/>
        </w:rPr>
        <w:t xml:space="preserve"> as an econometric model to generate macroeconomic scenario and to </w:t>
      </w:r>
      <w:r w:rsidR="00744671" w:rsidRPr="004634FC">
        <w:rPr>
          <w:szCs w:val="24"/>
        </w:rPr>
        <w:t>assess</w:t>
      </w:r>
      <w:r w:rsidR="00CA0148" w:rsidRPr="004634FC">
        <w:rPr>
          <w:szCs w:val="24"/>
        </w:rPr>
        <w:t xml:space="preserve"> the impact of shocks on banks portfolios. The</w:t>
      </w:r>
      <w:r w:rsidR="00744671" w:rsidRPr="004634FC">
        <w:rPr>
          <w:szCs w:val="24"/>
        </w:rPr>
        <w:t xml:space="preserve"> GVAR</w:t>
      </w:r>
      <w:r w:rsidR="00CA0148" w:rsidRPr="004634FC">
        <w:rPr>
          <w:szCs w:val="24"/>
        </w:rPr>
        <w:t xml:space="preserve"> model has been adopted in this study because it carries out the international interaction between economic variable</w:t>
      </w:r>
      <w:r w:rsidR="00744671" w:rsidRPr="004634FC">
        <w:rPr>
          <w:szCs w:val="24"/>
        </w:rPr>
        <w:t xml:space="preserve">s. As a small open economy, Madagascar </w:t>
      </w:r>
      <w:r w:rsidR="00CA0148" w:rsidRPr="004634FC">
        <w:rPr>
          <w:szCs w:val="24"/>
        </w:rPr>
        <w:t xml:space="preserve">is supposed to be influenced by international macroeconomic evolution. Hence, the research intends to evaluate the </w:t>
      </w:r>
      <w:r w:rsidR="00744671" w:rsidRPr="004634FC">
        <w:rPr>
          <w:szCs w:val="24"/>
        </w:rPr>
        <w:t>relationship between NPL and domestic, foreign and global macroeconomic variables.</w:t>
      </w:r>
    </w:p>
    <w:p w:rsidR="00886519" w:rsidRPr="004634FC" w:rsidRDefault="00281157" w:rsidP="004634FC">
      <w:pPr>
        <w:spacing w:line="276" w:lineRule="auto"/>
        <w:ind w:firstLine="0"/>
        <w:rPr>
          <w:szCs w:val="24"/>
        </w:rPr>
      </w:pPr>
      <w:r w:rsidRPr="004634FC">
        <w:rPr>
          <w:szCs w:val="24"/>
        </w:rPr>
        <w:t>The</w:t>
      </w:r>
      <w:r w:rsidR="00CA0148" w:rsidRPr="004634FC">
        <w:rPr>
          <w:szCs w:val="24"/>
        </w:rPr>
        <w:t xml:space="preserve"> paper contribution on th</w:t>
      </w:r>
      <w:r w:rsidR="006438CD" w:rsidRPr="004634FC">
        <w:rPr>
          <w:szCs w:val="24"/>
        </w:rPr>
        <w:t>e existing literature is double. Firstly compared with</w:t>
      </w:r>
      <w:r w:rsidR="00CA0148" w:rsidRPr="004634FC">
        <w:rPr>
          <w:szCs w:val="24"/>
        </w:rPr>
        <w:t xml:space="preserve"> </w:t>
      </w:r>
      <w:r w:rsidR="00B9625D" w:rsidRPr="004634FC">
        <w:rPr>
          <w:szCs w:val="24"/>
        </w:rPr>
        <w:t>stress test literature in Madagascar banking system case</w:t>
      </w:r>
      <w:r w:rsidR="006438CD" w:rsidRPr="004634FC">
        <w:rPr>
          <w:szCs w:val="24"/>
        </w:rPr>
        <w:t>, t</w:t>
      </w:r>
      <w:r w:rsidR="00CA0148" w:rsidRPr="004634FC">
        <w:rPr>
          <w:szCs w:val="24"/>
        </w:rPr>
        <w:t xml:space="preserve">he </w:t>
      </w:r>
      <w:r w:rsidR="006438CD" w:rsidRPr="004634FC">
        <w:rPr>
          <w:szCs w:val="24"/>
        </w:rPr>
        <w:t>practice</w:t>
      </w:r>
      <w:r w:rsidR="00CA0148" w:rsidRPr="004634FC">
        <w:rPr>
          <w:szCs w:val="24"/>
        </w:rPr>
        <w:t xml:space="preserve"> of the stress test approach is still a recent evaluation method. </w:t>
      </w:r>
      <w:r w:rsidR="006438CD" w:rsidRPr="004634FC">
        <w:rPr>
          <w:szCs w:val="24"/>
        </w:rPr>
        <w:t>Thus, this survey</w:t>
      </w:r>
      <w:r w:rsidR="00CA0148" w:rsidRPr="004634FC">
        <w:rPr>
          <w:szCs w:val="24"/>
        </w:rPr>
        <w:t xml:space="preserve"> attempts to fill the gap and to </w:t>
      </w:r>
      <w:r w:rsidR="006438CD" w:rsidRPr="004634FC">
        <w:rPr>
          <w:szCs w:val="24"/>
        </w:rPr>
        <w:t xml:space="preserve">extend </w:t>
      </w:r>
      <w:r w:rsidR="00CA0148" w:rsidRPr="004634FC">
        <w:rPr>
          <w:szCs w:val="24"/>
        </w:rPr>
        <w:t>the literature</w:t>
      </w:r>
      <w:r w:rsidR="006438CD" w:rsidRPr="004634FC">
        <w:rPr>
          <w:szCs w:val="24"/>
        </w:rPr>
        <w:t xml:space="preserve"> on</w:t>
      </w:r>
      <w:r w:rsidR="00CA0148" w:rsidRPr="004634FC">
        <w:rPr>
          <w:szCs w:val="24"/>
        </w:rPr>
        <w:t xml:space="preserve"> financial evaluation stability already conducted</w:t>
      </w:r>
      <w:r w:rsidR="00221F46" w:rsidRPr="004634FC">
        <w:rPr>
          <w:szCs w:val="24"/>
        </w:rPr>
        <w:t>. There</w:t>
      </w:r>
      <w:r w:rsidR="00CA0148" w:rsidRPr="004634FC">
        <w:rPr>
          <w:szCs w:val="24"/>
        </w:rPr>
        <w:t xml:space="preserve"> are the IMF assessments under the </w:t>
      </w:r>
      <w:r w:rsidR="00A8454B" w:rsidRPr="00A8454B">
        <w:rPr>
          <w:szCs w:val="24"/>
        </w:rPr>
        <w:t xml:space="preserve">Financial Sector Assessment Program (FSAP) </w:t>
      </w:r>
      <w:r w:rsidR="00A8454B">
        <w:rPr>
          <w:szCs w:val="24"/>
        </w:rPr>
        <w:t>(IMF, [9]</w:t>
      </w:r>
      <w:r w:rsidR="00CA0148" w:rsidRPr="004634FC">
        <w:rPr>
          <w:szCs w:val="24"/>
        </w:rPr>
        <w:t>) and those conducted by the Central Bank of Madagascar in the Financ</w:t>
      </w:r>
      <w:r w:rsidR="00A8454B">
        <w:rPr>
          <w:szCs w:val="24"/>
        </w:rPr>
        <w:t>ial Stability Reports (BCM, [7]</w:t>
      </w:r>
      <w:r w:rsidR="00525185">
        <w:rPr>
          <w:szCs w:val="24"/>
        </w:rPr>
        <w:t>,</w:t>
      </w:r>
      <w:r w:rsidR="00886519" w:rsidRPr="004634FC">
        <w:rPr>
          <w:szCs w:val="24"/>
        </w:rPr>
        <w:t xml:space="preserve"> </w:t>
      </w:r>
      <w:r w:rsidR="00A8454B">
        <w:rPr>
          <w:szCs w:val="24"/>
        </w:rPr>
        <w:t>[10],</w:t>
      </w:r>
      <w:r w:rsidR="00525185">
        <w:rPr>
          <w:szCs w:val="24"/>
        </w:rPr>
        <w:t xml:space="preserve"> </w:t>
      </w:r>
      <w:r w:rsidR="00A8454B">
        <w:rPr>
          <w:szCs w:val="24"/>
        </w:rPr>
        <w:t>[11]</w:t>
      </w:r>
      <w:r w:rsidR="00525185">
        <w:rPr>
          <w:szCs w:val="24"/>
        </w:rPr>
        <w:t>, [12]</w:t>
      </w:r>
      <w:r w:rsidR="00CA0148" w:rsidRPr="004634FC">
        <w:rPr>
          <w:szCs w:val="24"/>
        </w:rPr>
        <w:t xml:space="preserve">). </w:t>
      </w:r>
      <w:r w:rsidR="00A8454B">
        <w:rPr>
          <w:szCs w:val="24"/>
        </w:rPr>
        <w:t xml:space="preserve"> </w:t>
      </w:r>
    </w:p>
    <w:p w:rsidR="00CA0148" w:rsidRPr="004634FC" w:rsidRDefault="00CA0148" w:rsidP="004634FC">
      <w:pPr>
        <w:spacing w:line="276" w:lineRule="auto"/>
        <w:ind w:firstLine="0"/>
        <w:rPr>
          <w:szCs w:val="24"/>
        </w:rPr>
      </w:pPr>
      <w:r w:rsidRPr="004634FC">
        <w:rPr>
          <w:szCs w:val="24"/>
        </w:rPr>
        <w:lastRenderedPageBreak/>
        <w:t xml:space="preserve">Secondly, compared to the macro stress testing literature, this study tries to </w:t>
      </w:r>
      <w:r w:rsidR="0040660B" w:rsidRPr="004634FC">
        <w:rPr>
          <w:szCs w:val="24"/>
        </w:rPr>
        <w:t>extend</w:t>
      </w:r>
      <w:r w:rsidRPr="004634FC">
        <w:rPr>
          <w:szCs w:val="24"/>
        </w:rPr>
        <w:t xml:space="preserve"> a</w:t>
      </w:r>
      <w:r w:rsidR="0040660B" w:rsidRPr="004634FC">
        <w:rPr>
          <w:szCs w:val="24"/>
        </w:rPr>
        <w:t xml:space="preserve"> specific</w:t>
      </w:r>
      <w:r w:rsidRPr="004634FC">
        <w:rPr>
          <w:szCs w:val="24"/>
        </w:rPr>
        <w:t xml:space="preserve"> GVAR model as a tool for assessing credit risk management for Madagascar. </w:t>
      </w:r>
      <w:r w:rsidR="002655E7" w:rsidRPr="004634FC">
        <w:rPr>
          <w:szCs w:val="24"/>
        </w:rPr>
        <w:t>For that, the survey</w:t>
      </w:r>
      <w:r w:rsidR="0040660B" w:rsidRPr="004634FC">
        <w:rPr>
          <w:szCs w:val="24"/>
        </w:rPr>
        <w:t xml:space="preserve"> follows Pesaran et al. </w:t>
      </w:r>
      <w:r w:rsidR="00F813DB">
        <w:rPr>
          <w:szCs w:val="24"/>
        </w:rPr>
        <w:t>[13] and Dées et al. [14]</w:t>
      </w:r>
      <w:r w:rsidR="0040660B" w:rsidRPr="004634FC">
        <w:rPr>
          <w:szCs w:val="24"/>
        </w:rPr>
        <w:t xml:space="preserve"> methodology to construct the country and region to form the </w:t>
      </w:r>
      <w:r w:rsidR="003B78C9" w:rsidRPr="004634FC">
        <w:rPr>
          <w:szCs w:val="24"/>
        </w:rPr>
        <w:t xml:space="preserve">specific </w:t>
      </w:r>
      <w:r w:rsidR="0040660B" w:rsidRPr="004634FC">
        <w:rPr>
          <w:szCs w:val="24"/>
        </w:rPr>
        <w:t xml:space="preserve">GVAR model to the economic situation. </w:t>
      </w:r>
      <w:r w:rsidR="006B11B7" w:rsidRPr="004634FC">
        <w:rPr>
          <w:szCs w:val="24"/>
        </w:rPr>
        <w:t>The model constructed is</w:t>
      </w:r>
      <w:r w:rsidRPr="004634FC">
        <w:rPr>
          <w:szCs w:val="24"/>
        </w:rPr>
        <w:t xml:space="preserve"> used for generating the macroeconomic scenario. </w:t>
      </w:r>
      <w:r w:rsidR="0040660B" w:rsidRPr="004634FC">
        <w:rPr>
          <w:szCs w:val="24"/>
        </w:rPr>
        <w:t>A</w:t>
      </w:r>
      <w:r w:rsidR="009D049C" w:rsidRPr="004634FC">
        <w:rPr>
          <w:szCs w:val="24"/>
        </w:rPr>
        <w:t>lso, a</w:t>
      </w:r>
      <w:r w:rsidR="0040660B" w:rsidRPr="004634FC">
        <w:rPr>
          <w:szCs w:val="24"/>
        </w:rPr>
        <w:t xml:space="preserve"> study on macroeconomic stress test</w:t>
      </w:r>
      <w:r w:rsidRPr="004634FC">
        <w:rPr>
          <w:szCs w:val="24"/>
        </w:rPr>
        <w:t xml:space="preserve"> using a compact econometric model for the linkages between various econometric risk factors and quality of credit portfolio has not yet been done for the case of Madagascar.</w:t>
      </w:r>
    </w:p>
    <w:p w:rsidR="004808C5" w:rsidRPr="004634FC" w:rsidRDefault="004808C5" w:rsidP="004634FC">
      <w:pPr>
        <w:spacing w:line="276" w:lineRule="auto"/>
        <w:ind w:firstLine="0"/>
        <w:rPr>
          <w:szCs w:val="24"/>
        </w:rPr>
      </w:pPr>
      <w:r w:rsidRPr="004634FC">
        <w:rPr>
          <w:szCs w:val="24"/>
        </w:rPr>
        <w:t>Results suggest that the evolution of the non-performing loan and the GDP follow the cyclical pattern. The banking sector capital position is also sensitive and reacts most to global shocks of oil price and to domestic GDP shock.</w:t>
      </w:r>
    </w:p>
    <w:p w:rsidR="00CA0148" w:rsidRPr="004634FC" w:rsidRDefault="00CA0148" w:rsidP="004634FC">
      <w:pPr>
        <w:spacing w:line="276" w:lineRule="auto"/>
        <w:ind w:firstLine="0"/>
        <w:rPr>
          <w:szCs w:val="24"/>
        </w:rPr>
      </w:pPr>
      <w:r w:rsidRPr="004634FC">
        <w:rPr>
          <w:szCs w:val="24"/>
        </w:rPr>
        <w:t xml:space="preserve">This paper is organized as follows. The second section reviews the related literature in macro stress testing which includes related researches </w:t>
      </w:r>
      <w:r w:rsidR="006B11B7" w:rsidRPr="004634FC">
        <w:rPr>
          <w:szCs w:val="24"/>
        </w:rPr>
        <w:t xml:space="preserve">as well </w:t>
      </w:r>
      <w:r w:rsidRPr="004634FC">
        <w:rPr>
          <w:szCs w:val="24"/>
        </w:rPr>
        <w:t>for Madagascar’s case. The third section describes the empirical framework, the data and outlines the estimation process. Section 4 provides the estimation results from econometric models and discusses the issue of the stress testing credit risk under the scenario design</w:t>
      </w:r>
      <w:r w:rsidR="00C27D9D" w:rsidRPr="004634FC">
        <w:rPr>
          <w:szCs w:val="24"/>
        </w:rPr>
        <w:t>ed</w:t>
      </w:r>
      <w:r w:rsidRPr="004634FC">
        <w:rPr>
          <w:szCs w:val="24"/>
        </w:rPr>
        <w:t xml:space="preserve"> in the model. </w:t>
      </w:r>
      <w:r w:rsidR="006B11B7" w:rsidRPr="004634FC">
        <w:rPr>
          <w:szCs w:val="24"/>
        </w:rPr>
        <w:t>The last section concludes the whole study.</w:t>
      </w:r>
      <w:r w:rsidR="004808C5" w:rsidRPr="004634FC">
        <w:rPr>
          <w:szCs w:val="24"/>
        </w:rPr>
        <w:t xml:space="preserve"> </w:t>
      </w:r>
    </w:p>
    <w:p w:rsidR="00992BAB" w:rsidRPr="004634FC" w:rsidRDefault="003A5AD7" w:rsidP="00EF4F4C">
      <w:pPr>
        <w:pStyle w:val="ListParagraph"/>
        <w:numPr>
          <w:ilvl w:val="0"/>
          <w:numId w:val="1"/>
        </w:numPr>
        <w:spacing w:line="360" w:lineRule="auto"/>
        <w:rPr>
          <w:b/>
          <w:szCs w:val="24"/>
        </w:rPr>
      </w:pPr>
      <w:r w:rsidRPr="004634FC">
        <w:rPr>
          <w:b/>
          <w:szCs w:val="24"/>
        </w:rPr>
        <w:t>Related literature</w:t>
      </w:r>
    </w:p>
    <w:p w:rsidR="004808C5" w:rsidRPr="004634FC" w:rsidRDefault="004808C5" w:rsidP="004634FC">
      <w:pPr>
        <w:spacing w:before="0" w:beforeAutospacing="0" w:line="276" w:lineRule="auto"/>
        <w:ind w:firstLine="0"/>
        <w:rPr>
          <w:szCs w:val="24"/>
        </w:rPr>
      </w:pPr>
      <w:r w:rsidRPr="004634FC">
        <w:rPr>
          <w:szCs w:val="24"/>
        </w:rPr>
        <w:t xml:space="preserve">The literature describes several approaches for conducting stress testing in order to assess banking sector vulnerabilities to macroeconomic shocks. Several studies distinguish various modeling of credit risks with macroeconomic variables as a risk factor. </w:t>
      </w:r>
      <w:hyperlink w:anchor="_ENREF_22" w:tooltip="Sorge, 2004 #101" w:history="1">
        <w:r w:rsidRPr="004634FC">
          <w:rPr>
            <w:szCs w:val="24"/>
          </w:rPr>
          <w:fldChar w:fldCharType="begin"/>
        </w:r>
        <w:r w:rsidRPr="004634FC">
          <w:rPr>
            <w:szCs w:val="24"/>
          </w:rPr>
          <w:instrText xml:space="preserve"> ADDIN EN.CITE &lt;EndNote&gt;&lt;Cite AuthorYear="1"&gt;&lt;Author&gt;Sorge&lt;/Author&gt;&lt;Year&gt;2004&lt;/Year&gt;&lt;RecNum&gt;101&lt;/RecNum&gt;&lt;DisplayText&gt;Sorge (2004)&lt;/DisplayText&gt;&lt;record&gt;&lt;rec-number&gt;101&lt;/rec-number&gt;&lt;foreign-keys&gt;&lt;key app="EN" db-id="0v92rzwaaxd5zpex996p2w2ud05e92fsfswr"&gt;101&lt;/key&gt;&lt;/foreign-keys&gt;&lt;ref-type name="Journal Article"&gt;17&lt;/ref-type&gt;&lt;contributors&gt;&lt;authors&gt;&lt;author&gt;Sorge, Marco&lt;/author&gt;&lt;/authors&gt;&lt;/contributors&gt;&lt;titles&gt;&lt;title&gt;Stress-testing financial systems: an overview of current methodologies&lt;/title&gt;&lt;/titles&gt;&lt;dates&gt;&lt;year&gt;2004&lt;/year&gt;&lt;/dates&gt;&lt;urls&gt;&lt;/urls&gt;&lt;/record&gt;&lt;/Cite&gt;&lt;/EndNote&gt;</w:instrText>
        </w:r>
        <w:r w:rsidRPr="004634FC">
          <w:rPr>
            <w:szCs w:val="24"/>
          </w:rPr>
          <w:fldChar w:fldCharType="separate"/>
        </w:r>
        <w:r w:rsidRPr="004634FC">
          <w:rPr>
            <w:noProof/>
            <w:szCs w:val="24"/>
          </w:rPr>
          <w:t xml:space="preserve">Sorge </w:t>
        </w:r>
        <w:r w:rsidR="00F813DB">
          <w:rPr>
            <w:noProof/>
            <w:szCs w:val="24"/>
          </w:rPr>
          <w:t>[15]</w:t>
        </w:r>
        <w:r w:rsidRPr="004634FC">
          <w:rPr>
            <w:szCs w:val="24"/>
          </w:rPr>
          <w:fldChar w:fldCharType="end"/>
        </w:r>
      </w:hyperlink>
      <w:r w:rsidRPr="004634FC">
        <w:rPr>
          <w:szCs w:val="24"/>
        </w:rPr>
        <w:t xml:space="preserve"> provides an overview of the several methodologies on stress testing in the financial system.</w:t>
      </w:r>
    </w:p>
    <w:p w:rsidR="004808C5" w:rsidRPr="004634FC" w:rsidRDefault="004808C5" w:rsidP="004634FC">
      <w:pPr>
        <w:spacing w:line="276" w:lineRule="auto"/>
        <w:ind w:firstLine="0"/>
        <w:rPr>
          <w:szCs w:val="24"/>
        </w:rPr>
      </w:pPr>
      <w:r w:rsidRPr="004634FC">
        <w:rPr>
          <w:szCs w:val="24"/>
        </w:rPr>
        <w:t xml:space="preserve">Most of previous studies analyzed the relation between macroeconomic factors and credit risk indicators such as Non-Performing loan ratio (NPL) and Loan Loss Provision ratio (LLP). The choice of these indicators depends on each study and particularly on the data availability. Studies using the non-performing loans are for example those performed by </w:t>
      </w:r>
      <w:hyperlink w:anchor="_ENREF_17" w:tooltip="Kalirai, 2002 #12" w:history="1">
        <w:r w:rsidRPr="004634FC">
          <w:rPr>
            <w:szCs w:val="24"/>
          </w:rPr>
          <w:fldChar w:fldCharType="begin"/>
        </w:r>
        <w:r w:rsidRPr="004634FC">
          <w:rPr>
            <w:szCs w:val="24"/>
          </w:rPr>
          <w:instrText xml:space="preserve"> ADDIN EN.CITE &lt;EndNote&gt;&lt;Cite AuthorYear="1"&gt;&lt;Author&gt;Kalirai&lt;/Author&gt;&lt;Year&gt;2002&lt;/Year&gt;&lt;RecNum&gt;12&lt;/RecNum&gt;&lt;DisplayText&gt;Kalirai and Scheicher (2002)&lt;/DisplayText&gt;&lt;record&gt;&lt;rec-number&gt;12&lt;/rec-number&gt;&lt;foreign-keys&gt;&lt;key app="EN" db-id="0v92rzwaaxd5zpex996p2w2ud05e92fsfswr"&gt;12&lt;/key&gt;&lt;/foreign-keys&gt;&lt;ref-type name="Journal Article"&gt;17&lt;/ref-type&gt;&lt;contributors&gt;&lt;authors&gt;&lt;author&gt;Kalirai, Harvir&lt;/author&gt;&lt;author&gt;Scheicher, Martin&lt;/author&gt;&lt;/authors&gt;&lt;/contributors&gt;&lt;titles&gt;&lt;title&gt;Macroeconomic stress testing: preliminary evidence for Austria&lt;/title&gt;&lt;secondary-title&gt;Financial Stability Report&lt;/secondary-title&gt;&lt;/titles&gt;&lt;periodical&gt;&lt;full-title&gt;Financial Stability Report&lt;/full-title&gt;&lt;/periodical&gt;&lt;pages&gt;58-74&lt;/pages&gt;&lt;number&gt;3&lt;/number&gt;&lt;dates&gt;&lt;year&gt;2002&lt;/year&gt;&lt;/dates&gt;&lt;urls&gt;&lt;/urls&gt;&lt;/record&gt;&lt;/Cite&gt;&lt;/EndNote&gt;</w:instrText>
        </w:r>
        <w:r w:rsidRPr="004634FC">
          <w:rPr>
            <w:szCs w:val="24"/>
          </w:rPr>
          <w:fldChar w:fldCharType="separate"/>
        </w:r>
        <w:r w:rsidRPr="004634FC">
          <w:rPr>
            <w:noProof/>
            <w:szCs w:val="24"/>
          </w:rPr>
          <w:t>Kalirai and Scheicher</w:t>
        </w:r>
        <w:r w:rsidR="00F813DB">
          <w:rPr>
            <w:noProof/>
            <w:szCs w:val="24"/>
          </w:rPr>
          <w:t xml:space="preserve"> [16]</w:t>
        </w:r>
        <w:r w:rsidRPr="004634FC">
          <w:rPr>
            <w:szCs w:val="24"/>
          </w:rPr>
          <w:fldChar w:fldCharType="end"/>
        </w:r>
      </w:hyperlink>
      <w:r w:rsidRPr="004634FC">
        <w:rPr>
          <w:szCs w:val="24"/>
        </w:rPr>
        <w:t xml:space="preserve"> for an Australian bank, </w:t>
      </w:r>
      <w:hyperlink w:anchor="_ENREF_4" w:tooltip="Babouček, 2005 #20" w:history="1">
        <w:r w:rsidRPr="004634FC">
          <w:rPr>
            <w:szCs w:val="24"/>
          </w:rPr>
          <w:fldChar w:fldCharType="begin"/>
        </w:r>
        <w:r w:rsidRPr="004634FC">
          <w:rPr>
            <w:szCs w:val="24"/>
          </w:rPr>
          <w:instrText xml:space="preserve"> ADDIN EN.CITE &lt;EndNote&gt;&lt;Cite AuthorYear="1"&gt;&lt;Author&gt;Babouček&lt;/Author&gt;&lt;Year&gt;2005&lt;/Year&gt;&lt;RecNum&gt;20&lt;/RecNum&gt;&lt;DisplayText&gt;Babouček and Jančar (2005)&lt;/DisplayText&gt;&lt;record&gt;&lt;rec-number&gt;20&lt;/rec-number&gt;&lt;foreign-keys&gt;&lt;key app="EN" db-id="0v92rzwaaxd5zpex996p2w2ud05e92fsfswr"&gt;20&lt;/key&gt;&lt;/foreign-keys&gt;&lt;ref-type name="Book"&gt;6&lt;/ref-type&gt;&lt;contributors&gt;&lt;authors&gt;&lt;author&gt;Babouček, Ivan&lt;/author&gt;&lt;author&gt;Jančar, Martin&lt;/author&gt;&lt;/authors&gt;&lt;/contributors&gt;&lt;titles&gt;&lt;title&gt;Effects of macroeconomic shocks to the quality of the aggregate loan portfolio&lt;/title&gt;&lt;/titles&gt;&lt;dates&gt;&lt;year&gt;2005&lt;/year&gt;&lt;/dates&gt;&lt;publisher&gt;Czech National Bank&lt;/publisher&gt;&lt;isbn&gt;8023963597&lt;/isbn&gt;&lt;urls&gt;&lt;/urls&gt;&lt;/record&gt;&lt;/Cite&gt;&lt;/EndNote&gt;</w:instrText>
        </w:r>
        <w:r w:rsidRPr="004634FC">
          <w:rPr>
            <w:szCs w:val="24"/>
          </w:rPr>
          <w:fldChar w:fldCharType="separate"/>
        </w:r>
        <w:r w:rsidRPr="004634FC">
          <w:rPr>
            <w:noProof/>
            <w:szCs w:val="24"/>
          </w:rPr>
          <w:t>Babouček and Jančar</w:t>
        </w:r>
        <w:r w:rsidR="00F813DB">
          <w:rPr>
            <w:noProof/>
            <w:szCs w:val="24"/>
          </w:rPr>
          <w:t xml:space="preserve"> [17]</w:t>
        </w:r>
        <w:r w:rsidRPr="004634FC">
          <w:rPr>
            <w:szCs w:val="24"/>
          </w:rPr>
          <w:fldChar w:fldCharType="end"/>
        </w:r>
      </w:hyperlink>
      <w:r w:rsidRPr="004634FC">
        <w:rPr>
          <w:szCs w:val="24"/>
        </w:rPr>
        <w:t xml:space="preserve"> for the Tcheque Bank, </w:t>
      </w:r>
      <w:hyperlink w:anchor="_ENREF_26" w:tooltip="Zeman, 2008 #4" w:history="1">
        <w:r w:rsidRPr="004634FC">
          <w:rPr>
            <w:szCs w:val="24"/>
          </w:rPr>
          <w:fldChar w:fldCharType="begin"/>
        </w:r>
        <w:r w:rsidRPr="004634FC">
          <w:rPr>
            <w:szCs w:val="24"/>
          </w:rPr>
          <w:instrText xml:space="preserve"> ADDIN EN.CITE &lt;EndNote&gt;&lt;Cite AuthorYear="1"&gt;&lt;Author&gt;Zeman&lt;/Author&gt;&lt;Year&gt;2008&lt;/Year&gt;&lt;RecNum&gt;4&lt;/RecNum&gt;&lt;DisplayText&gt;Zeman and Jurca. (2008)&lt;/DisplayText&gt;&lt;record&gt;&lt;rec-number&gt;4&lt;/rec-number&gt;&lt;foreign-keys&gt;&lt;key app="EN" db-id="0v92rzwaaxd5zpex996p2w2ud05e92fsfswr"&gt;4&lt;/key&gt;&lt;/foreign-keys&gt;&lt;ref-type name="Journal Article"&gt;17&lt;/ref-type&gt;&lt;contributors&gt;&lt;authors&gt;&lt;author&gt;Zeman, Juraj &lt;/author&gt;&lt;author&gt;Pavol Jurca.&lt;/author&gt;&lt;/authors&gt;&lt;/contributors&gt;&lt;titles&gt;&lt;title&gt;Macro stress testing of the Slovak banking sector&lt;/title&gt;&lt;secondary-title&gt;National bank of Slovakia working paper vol. 1&lt;/secondary-title&gt;&lt;/titles&gt;&lt;periodical&gt;&lt;full-title&gt;National bank of Slovakia working paper vol. 1&lt;/full-title&gt;&lt;/periodical&gt;&lt;dates&gt;&lt;year&gt;2008&lt;/year&gt;&lt;/dates&gt;&lt;urls&gt;&lt;/urls&gt;&lt;/record&gt;&lt;/Cite&gt;&lt;/EndNote&gt;</w:instrText>
        </w:r>
        <w:r w:rsidRPr="004634FC">
          <w:rPr>
            <w:szCs w:val="24"/>
          </w:rPr>
          <w:fldChar w:fldCharType="separate"/>
        </w:r>
        <w:r w:rsidRPr="004634FC">
          <w:rPr>
            <w:noProof/>
            <w:szCs w:val="24"/>
          </w:rPr>
          <w:t>Zeman and Jurca</w:t>
        </w:r>
        <w:r w:rsidR="00F813DB">
          <w:rPr>
            <w:noProof/>
            <w:szCs w:val="24"/>
          </w:rPr>
          <w:t xml:space="preserve"> [18]</w:t>
        </w:r>
        <w:r w:rsidRPr="004634FC">
          <w:rPr>
            <w:szCs w:val="24"/>
          </w:rPr>
          <w:fldChar w:fldCharType="end"/>
        </w:r>
      </w:hyperlink>
      <w:r w:rsidRPr="004634FC">
        <w:rPr>
          <w:szCs w:val="24"/>
        </w:rPr>
        <w:t xml:space="preserve"> for Slovak Banking sector. For those using of the LLP as credit risk indicator, we can distinguish the study of </w:t>
      </w:r>
      <w:hyperlink w:anchor="_ENREF_24" w:tooltip="Virolainen, 2004 #17" w:history="1">
        <w:r w:rsidRPr="004634FC">
          <w:rPr>
            <w:szCs w:val="24"/>
          </w:rPr>
          <w:fldChar w:fldCharType="begin"/>
        </w:r>
        <w:r w:rsidRPr="004634FC">
          <w:rPr>
            <w:szCs w:val="24"/>
          </w:rPr>
          <w:instrText xml:space="preserve"> ADDIN EN.CITE &lt;EndNote&gt;&lt;Cite AuthorYear="1"&gt;&lt;Author&gt;Virolainen&lt;/Author&gt;&lt;Year&gt;2004&lt;/Year&gt;&lt;RecNum&gt;17&lt;/RecNum&gt;&lt;DisplayText&gt;Virolainen (2004)&lt;/DisplayText&gt;&lt;record&gt;&lt;rec-number&gt;17&lt;/rec-number&gt;&lt;foreign-keys&gt;&lt;key app="EN" db-id="0v92rzwaaxd5zpex996p2w2ud05e92fsfswr"&gt;17&lt;/key&gt;&lt;/foreign-keys&gt;&lt;ref-type name="Journal Article"&gt;17&lt;/ref-type&gt;&lt;contributors&gt;&lt;authors&gt;&lt;author&gt;Virolainen, Kimmo&lt;/author&gt;&lt;/authors&gt;&lt;/contributors&gt;&lt;titles&gt;&lt;title&gt;Macro stress testing with a macroeconomic credit risk model for Finland&lt;/title&gt;&lt;/titles&gt;&lt;dates&gt;&lt;year&gt;2004&lt;/year&gt;&lt;/dates&gt;&lt;urls&gt;&lt;/urls&gt;&lt;/record&gt;&lt;/Cite&gt;&lt;/EndNote&gt;</w:instrText>
        </w:r>
        <w:r w:rsidRPr="004634FC">
          <w:rPr>
            <w:szCs w:val="24"/>
          </w:rPr>
          <w:fldChar w:fldCharType="separate"/>
        </w:r>
        <w:r w:rsidRPr="004634FC">
          <w:rPr>
            <w:noProof/>
            <w:szCs w:val="24"/>
          </w:rPr>
          <w:t xml:space="preserve">Virolainen </w:t>
        </w:r>
        <w:r w:rsidR="00F813DB">
          <w:rPr>
            <w:noProof/>
            <w:szCs w:val="24"/>
          </w:rPr>
          <w:t>[19]</w:t>
        </w:r>
        <w:r w:rsidRPr="004634FC">
          <w:rPr>
            <w:szCs w:val="24"/>
          </w:rPr>
          <w:fldChar w:fldCharType="end"/>
        </w:r>
      </w:hyperlink>
      <w:r w:rsidRPr="004634FC">
        <w:rPr>
          <w:szCs w:val="24"/>
        </w:rPr>
        <w:t xml:space="preserve"> for the bank of Filand, </w:t>
      </w:r>
      <w:hyperlink w:anchor="_ENREF_19" w:tooltip="Kosmidou, 2015 #38" w:history="1">
        <w:r w:rsidRPr="004634FC">
          <w:rPr>
            <w:szCs w:val="24"/>
          </w:rPr>
          <w:fldChar w:fldCharType="begin"/>
        </w:r>
        <w:r w:rsidRPr="004634FC">
          <w:rPr>
            <w:szCs w:val="24"/>
          </w:rPr>
          <w:instrText xml:space="preserve"> ADDIN EN.CITE &lt;EndNote&gt;&lt;Cite AuthorYear="1"&gt;&lt;Author&gt;Kosmidou&lt;/Author&gt;&lt;Year&gt;2015&lt;/Year&gt;&lt;RecNum&gt;38&lt;/RecNum&gt;&lt;DisplayText&gt;Kosmidou and Moutsianas (2015)&lt;/DisplayText&gt;&lt;record&gt;&lt;rec-number&gt;38&lt;/rec-number&gt;&lt;foreign-keys&gt;&lt;key app="EN" db-id="0v92rzwaaxd5zpex996p2w2ud05e92fsfswr"&gt;38&lt;/key&gt;&lt;/foreign-keys&gt;&lt;ref-type name="Journal Article"&gt;17&lt;/ref-type&gt;&lt;contributors&gt;&lt;authors&gt;&lt;author&gt;Kosmidou, K. V.&lt;/author&gt;&lt;author&gt;Moutsianas, K. A.&lt;/author&gt;&lt;/authors&gt;&lt;/contributors&gt;&lt;titles&gt;&lt;title&gt;Stress testing the Greek banking system&lt;/title&gt;&lt;secondary-title&gt;Journal of Finance and Economics&lt;/secondary-title&gt;&lt;/titles&gt;&lt;periodical&gt;&lt;full-title&gt;Journal of Finance and Economics&lt;/full-title&gt;&lt;/periodical&gt;&lt;volume&gt;3(3), 89-102&lt;/volume&gt;&lt;dates&gt;&lt;year&gt;2015&lt;/year&gt;&lt;/dates&gt;&lt;urls&gt;&lt;related-urls&gt;&lt;url&gt; http://dx.doi.org/10.12735/jfe.v3i3p89&lt;/url&gt;&lt;/related-urls&gt;&lt;/urls&gt;&lt;/record&gt;&lt;/Cite&gt;&lt;/EndNote&gt;</w:instrText>
        </w:r>
        <w:r w:rsidRPr="004634FC">
          <w:rPr>
            <w:szCs w:val="24"/>
          </w:rPr>
          <w:fldChar w:fldCharType="separate"/>
        </w:r>
        <w:r w:rsidRPr="004634FC">
          <w:rPr>
            <w:noProof/>
            <w:szCs w:val="24"/>
          </w:rPr>
          <w:t>Kosmidou and Moutsianas</w:t>
        </w:r>
        <w:r w:rsidR="00F813DB">
          <w:rPr>
            <w:noProof/>
            <w:szCs w:val="24"/>
          </w:rPr>
          <w:t xml:space="preserve"> [20]</w:t>
        </w:r>
        <w:r w:rsidRPr="004634FC">
          <w:rPr>
            <w:szCs w:val="24"/>
          </w:rPr>
          <w:fldChar w:fldCharType="end"/>
        </w:r>
      </w:hyperlink>
      <w:r w:rsidRPr="004634FC">
        <w:rPr>
          <w:szCs w:val="24"/>
        </w:rPr>
        <w:t xml:space="preserve"> for Greek banking sector. Likewise, some authors use both of these indicators, as an example we can cite </w:t>
      </w:r>
      <w:hyperlink w:anchor="_ENREF_18" w:tooltip="Kattai, 2010 #14" w:history="1">
        <w:r w:rsidRPr="004634FC">
          <w:rPr>
            <w:szCs w:val="24"/>
          </w:rPr>
          <w:fldChar w:fldCharType="begin"/>
        </w:r>
        <w:r w:rsidRPr="004634FC">
          <w:rPr>
            <w:szCs w:val="24"/>
          </w:rPr>
          <w:instrText xml:space="preserve"> ADDIN EN.CITE &lt;EndNote&gt;&lt;Cite AuthorYear="1"&gt;&lt;Author&gt;Kattai&lt;/Author&gt;&lt;Year&gt;2010&lt;/Year&gt;&lt;RecNum&gt;14&lt;/RecNum&gt;&lt;DisplayText&gt;Kattai (2010)&lt;/DisplayText&gt;&lt;record&gt;&lt;rec-number&gt;14&lt;/rec-number&gt;&lt;foreign-keys&gt;&lt;key app="EN" db-id="0v92rzwaaxd5zpex996p2w2ud05e92fsfswr"&gt;14&lt;/key&gt;&lt;/foreign-keys&gt;&lt;ref-type name="Book"&gt;6&lt;/ref-type&gt;&lt;contributors&gt;&lt;authors&gt;&lt;author&gt;Kattai, Rasmus&lt;/author&gt;&lt;/authors&gt;&lt;/contributors&gt;&lt;titles&gt;&lt;title&gt;Credit risk model for the Estonian banking sector&lt;/title&gt;&lt;/titles&gt;&lt;dates&gt;&lt;year&gt;2010&lt;/year&gt;&lt;/dates&gt;&lt;publisher&gt;Eesti Pank&lt;/publisher&gt;&lt;isbn&gt;9949404819&lt;/isbn&gt;&lt;urls&gt;&lt;/urls&gt;&lt;/record&gt;&lt;/Cite&gt;&lt;/EndNote&gt;</w:instrText>
        </w:r>
        <w:r w:rsidRPr="004634FC">
          <w:rPr>
            <w:szCs w:val="24"/>
          </w:rPr>
          <w:fldChar w:fldCharType="separate"/>
        </w:r>
        <w:r w:rsidRPr="004634FC">
          <w:rPr>
            <w:noProof/>
            <w:szCs w:val="24"/>
          </w:rPr>
          <w:t>Kattai</w:t>
        </w:r>
        <w:r w:rsidR="00F813DB">
          <w:rPr>
            <w:noProof/>
            <w:szCs w:val="24"/>
          </w:rPr>
          <w:t xml:space="preserve"> [21]</w:t>
        </w:r>
        <w:r w:rsidRPr="004634FC">
          <w:rPr>
            <w:szCs w:val="24"/>
          </w:rPr>
          <w:fldChar w:fldCharType="end"/>
        </w:r>
      </w:hyperlink>
      <w:r w:rsidRPr="004634FC">
        <w:rPr>
          <w:szCs w:val="24"/>
        </w:rPr>
        <w:t xml:space="preserve"> works about the Estonian Bank credit risk model. </w:t>
      </w:r>
    </w:p>
    <w:p w:rsidR="004808C5" w:rsidRPr="004634FC" w:rsidRDefault="004808C5" w:rsidP="004634FC">
      <w:pPr>
        <w:spacing w:line="276" w:lineRule="auto"/>
        <w:ind w:firstLine="0"/>
        <w:rPr>
          <w:szCs w:val="24"/>
        </w:rPr>
      </w:pPr>
      <w:r w:rsidRPr="004634FC">
        <w:rPr>
          <w:szCs w:val="24"/>
        </w:rPr>
        <w:t xml:space="preserve">The credit risk model based on NPL ratio gives an advantage in the sense that the model is able to run both at the aggregate, sectoral or individual levels. So, using NPL ratio as a credit risk indicator is appropriate to perform aggregate, sectoral and individual portfolios analysis. Besides, as noted by </w:t>
      </w:r>
      <w:hyperlink w:anchor="_ENREF_3" w:tooltip="Åsberg, 2008 #65" w:history="1">
        <w:r w:rsidRPr="004634FC">
          <w:rPr>
            <w:szCs w:val="24"/>
          </w:rPr>
          <w:fldChar w:fldCharType="begin"/>
        </w:r>
        <w:r w:rsidRPr="004634FC">
          <w:rPr>
            <w:szCs w:val="24"/>
          </w:rPr>
          <w:instrText xml:space="preserve"> ADDIN EN.CITE &lt;EndNote&gt;&lt;Cite AuthorYear="1"&gt;&lt;Author&gt;Åsberg&lt;/Author&gt;&lt;Year&gt;2008&lt;/Year&gt;&lt;RecNum&gt;65&lt;/RecNum&gt;&lt;DisplayText&gt;Åsberg and Shahnazarian (2008)&lt;/DisplayText&gt;&lt;record&gt;&lt;rec-number&gt;65&lt;/rec-number&gt;&lt;foreign-keys&gt;&lt;key app="EN" db-id="0v92rzwaaxd5zpex996p2w2ud05e92fsfswr"&gt;65&lt;/key&gt;&lt;/foreign-keys&gt;&lt;ref-type name="Report"&gt;27&lt;/ref-type&gt;&lt;contributors&gt;&lt;authors&gt;&lt;author&gt;Åsberg, Per&lt;/author&gt;&lt;author&gt;Shahnazarian, Hovick&lt;/author&gt;&lt;/authors&gt;&lt;/contributors&gt;&lt;titles&gt;&lt;title&gt;Macroeconomic impact on expected default frequency&lt;/title&gt;&lt;/titles&gt;&lt;dates&gt;&lt;year&gt;2008&lt;/year&gt;&lt;/dates&gt;&lt;publisher&gt;Sveriges Riksbank Working Paper Series&lt;/publisher&gt;&lt;urls&gt;&lt;/urls&gt;&lt;/record&gt;&lt;/Cite&gt;&lt;/EndNote&gt;</w:instrText>
        </w:r>
        <w:r w:rsidRPr="004634FC">
          <w:rPr>
            <w:szCs w:val="24"/>
          </w:rPr>
          <w:fldChar w:fldCharType="separate"/>
        </w:r>
        <w:r w:rsidRPr="004634FC">
          <w:rPr>
            <w:noProof/>
            <w:szCs w:val="24"/>
          </w:rPr>
          <w:t>Åsberg and Shahnazarian</w:t>
        </w:r>
        <w:r w:rsidR="00F813DB">
          <w:rPr>
            <w:noProof/>
            <w:szCs w:val="24"/>
          </w:rPr>
          <w:t xml:space="preserve"> [22]</w:t>
        </w:r>
        <w:r w:rsidRPr="004634FC">
          <w:rPr>
            <w:szCs w:val="24"/>
          </w:rPr>
          <w:fldChar w:fldCharType="end"/>
        </w:r>
      </w:hyperlink>
      <w:r w:rsidRPr="004634FC">
        <w:rPr>
          <w:szCs w:val="24"/>
        </w:rPr>
        <w:t>, model based on individual portfolios is needed to be conducted if we want to obtain a specific result.</w:t>
      </w:r>
    </w:p>
    <w:p w:rsidR="004808C5" w:rsidRPr="004634FC" w:rsidRDefault="004808C5" w:rsidP="004634FC">
      <w:pPr>
        <w:spacing w:line="276" w:lineRule="auto"/>
        <w:ind w:firstLine="0"/>
        <w:rPr>
          <w:szCs w:val="24"/>
        </w:rPr>
      </w:pPr>
      <w:r w:rsidRPr="004634FC">
        <w:rPr>
          <w:szCs w:val="24"/>
        </w:rPr>
        <w:lastRenderedPageBreak/>
        <w:t>Drawing macroeconomic scenario constitutes the steps in scenario stress testing as performed in this study. Literature in macroeconomic scenario stress testing distinguishes econometric model to generate scenario analysis. The literature shows many kinds of econometric model but we note the predominance of vector autoregressive (VAR) approach. Anyway, either VAR or vector error correction model (VECM) is used if there is no available proper macroeconomic model to generate</w:t>
      </w:r>
      <w:r w:rsidR="00F813DB">
        <w:rPr>
          <w:szCs w:val="24"/>
        </w:rPr>
        <w:t xml:space="preserve"> desired scenarios (Foglia, [1]</w:t>
      </w:r>
      <w:r w:rsidRPr="004634FC">
        <w:rPr>
          <w:szCs w:val="24"/>
        </w:rPr>
        <w:t xml:space="preserve">). Among the Stress testing Studies that use either VAR or VECM model to generate macroeconomic figure the study of </w:t>
      </w:r>
      <w:hyperlink w:anchor="_ENREF_6" w:tooltip="Blaschke, 2001 #68" w:history="1">
        <w:r w:rsidRPr="004634FC">
          <w:rPr>
            <w:szCs w:val="24"/>
          </w:rPr>
          <w:fldChar w:fldCharType="begin"/>
        </w:r>
        <w:r w:rsidRPr="004634FC">
          <w:rPr>
            <w:szCs w:val="24"/>
          </w:rPr>
          <w:instrText xml:space="preserve"> ADDIN EN.CITE &lt;EndNote&gt;&lt;Cite AuthorYear="1"&gt;&lt;Author&gt;Blaschke&lt;/Author&gt;&lt;Year&gt;2001&lt;/Year&gt;&lt;RecNum&gt;68&lt;/RecNum&gt;&lt;DisplayText&gt;Blaschke&lt;style face="italic"&gt; et al.&lt;/style&gt; (2001)&lt;/DisplayText&gt;&lt;record&gt;&lt;rec-number&gt;68&lt;/rec-number&gt;&lt;foreign-keys&gt;&lt;key app="EN" db-id="0v92rzwaaxd5zpex996p2w2ud05e92fsfswr"&gt;68&lt;/key&gt;&lt;/foreign-keys&gt;&lt;ref-type name="Book"&gt;6&lt;/ref-type&gt;&lt;contributors&gt;&lt;authors&gt;&lt;author&gt;Blaschke, Winfrid&lt;/author&gt;&lt;author&gt;Peria, Maria Soledad Martinez&lt;/author&gt;&lt;author&gt;Majnoni, Giovanni&lt;/author&gt;&lt;author&gt;Jones, Matthew T&lt;/author&gt;&lt;/authors&gt;&lt;/contributors&gt;&lt;titles&gt;&lt;title&gt;Stress testing of financial systems: an overview of issues, methodologies, and FSAP experiences&lt;/title&gt;&lt;/titles&gt;&lt;volume&gt;1&lt;/volume&gt;&lt;dates&gt;&lt;year&gt;2001&lt;/year&gt;&lt;/dates&gt;&lt;publisher&gt;International Monetary Fund&lt;/publisher&gt;&lt;isbn&gt;1451851162&lt;/isbn&gt;&lt;urls&gt;&lt;/urls&gt;&lt;/record&gt;&lt;/Cite&gt;&lt;/EndNote&gt;</w:instrText>
        </w:r>
        <w:r w:rsidRPr="004634FC">
          <w:rPr>
            <w:szCs w:val="24"/>
          </w:rPr>
          <w:fldChar w:fldCharType="separate"/>
        </w:r>
        <w:r w:rsidRPr="004634FC">
          <w:rPr>
            <w:noProof/>
            <w:szCs w:val="24"/>
          </w:rPr>
          <w:t>Blaschke</w:t>
        </w:r>
        <w:r w:rsidRPr="004634FC">
          <w:rPr>
            <w:i/>
            <w:noProof/>
            <w:szCs w:val="24"/>
          </w:rPr>
          <w:t xml:space="preserve"> et al.</w:t>
        </w:r>
        <w:r w:rsidR="00F813DB">
          <w:rPr>
            <w:noProof/>
            <w:szCs w:val="24"/>
          </w:rPr>
          <w:t xml:space="preserve"> [23]</w:t>
        </w:r>
        <w:r w:rsidRPr="004634FC">
          <w:rPr>
            <w:szCs w:val="24"/>
          </w:rPr>
          <w:fldChar w:fldCharType="end"/>
        </w:r>
      </w:hyperlink>
      <w:r w:rsidRPr="004634FC">
        <w:rPr>
          <w:szCs w:val="24"/>
        </w:rPr>
        <w:t xml:space="preserve"> which suggested VAR model is by to assessing the transmission of macroeconomic indicators impact on financial indicators, such as NPL ratio or banking assets; Hoggarth et al. </w:t>
      </w:r>
      <w:r w:rsidR="00F813DB">
        <w:rPr>
          <w:szCs w:val="24"/>
        </w:rPr>
        <w:t>[24]</w:t>
      </w:r>
      <w:r w:rsidRPr="004634FC">
        <w:rPr>
          <w:szCs w:val="24"/>
        </w:rPr>
        <w:t xml:space="preserve"> in the stress test analysis of UK banking sector tries and measures the link between economic cycle and bank fragility; and  Zeman </w:t>
      </w:r>
      <w:r w:rsidR="00F813DB">
        <w:rPr>
          <w:szCs w:val="24"/>
        </w:rPr>
        <w:t xml:space="preserve">[18] </w:t>
      </w:r>
      <w:r w:rsidRPr="004634FC">
        <w:rPr>
          <w:szCs w:val="24"/>
        </w:rPr>
        <w:t xml:space="preserve">in the stress test of the Slovak bank and use the VECM model to identify long-term relationships between macroeconomic variable and financial indicator. </w:t>
      </w:r>
    </w:p>
    <w:p w:rsidR="004808C5" w:rsidRPr="004634FC" w:rsidRDefault="004808C5" w:rsidP="004634FC">
      <w:pPr>
        <w:spacing w:line="276" w:lineRule="auto"/>
        <w:ind w:firstLine="0"/>
        <w:rPr>
          <w:szCs w:val="24"/>
        </w:rPr>
      </w:pPr>
      <w:r w:rsidRPr="004634FC">
        <w:rPr>
          <w:szCs w:val="24"/>
        </w:rPr>
        <w:t xml:space="preserve">However, the VAR model has some limitations for the generation of extreme scenarios. The studies conducted by some authors </w:t>
      </w:r>
      <w:hyperlink w:anchor="_ENREF_23" w:tooltip="van den End, 2006 #67" w:history="1">
        <w:r w:rsidRPr="004634FC">
          <w:rPr>
            <w:szCs w:val="24"/>
          </w:rPr>
          <w:fldChar w:fldCharType="begin"/>
        </w:r>
        <w:r w:rsidRPr="004634FC">
          <w:rPr>
            <w:szCs w:val="24"/>
          </w:rPr>
          <w:instrText xml:space="preserve"> ADDIN EN.CITE &lt;EndNote&gt;&lt;Cite AuthorYear="1"&gt;&lt;Author&gt;van den End&lt;/Author&gt;&lt;Year&gt;2006&lt;/Year&gt;&lt;RecNum&gt;67&lt;/RecNum&gt;&lt;DisplayText&gt;van den End&lt;style face="italic"&gt; et al.&lt;/style&gt; (2006)&lt;/DisplayText&gt;&lt;record&gt;&lt;rec-number&gt;67&lt;/rec-number&gt;&lt;foreign-keys&gt;&lt;key app="EN" db-id="0v92rzwaaxd5zpex996p2w2ud05e92fsfswr"&gt;67&lt;/key&gt;&lt;/foreign-keys&gt;&lt;ref-type name="Book"&gt;6&lt;/ref-type&gt;&lt;contributors&gt;&lt;authors&gt;&lt;author&gt;van den End, Jan Willem&lt;/author&gt;&lt;author&gt;Hoeberichts, Marco&lt;/author&gt;&lt;author&gt;Tabbae, Mostafa&lt;/author&gt;&lt;/authors&gt;&lt;/contributors&gt;&lt;titles&gt;&lt;title&gt;Modelling scenario analysis and macro stress-testing&lt;/title&gt;&lt;/titles&gt;&lt;dates&gt;&lt;year&gt;2006&lt;/year&gt;&lt;/dates&gt;&lt;publisher&gt;De Nederlandsche Bank&lt;/publisher&gt;&lt;urls&gt;&lt;/urls&gt;&lt;/record&gt;&lt;/Cite&gt;&lt;/EndNote&gt;</w:instrText>
        </w:r>
        <w:r w:rsidRPr="004634FC">
          <w:rPr>
            <w:szCs w:val="24"/>
          </w:rPr>
          <w:fldChar w:fldCharType="separate"/>
        </w:r>
        <w:r w:rsidR="00DE6BBE">
          <w:rPr>
            <w:noProof/>
            <w:szCs w:val="24"/>
          </w:rPr>
          <w:t>V</w:t>
        </w:r>
        <w:r w:rsidRPr="004634FC">
          <w:rPr>
            <w:noProof/>
            <w:szCs w:val="24"/>
          </w:rPr>
          <w:t>an den End</w:t>
        </w:r>
        <w:r w:rsidRPr="004634FC">
          <w:rPr>
            <w:i/>
            <w:noProof/>
            <w:szCs w:val="24"/>
          </w:rPr>
          <w:t xml:space="preserve"> et al.</w:t>
        </w:r>
        <w:r w:rsidRPr="004634FC">
          <w:rPr>
            <w:noProof/>
            <w:szCs w:val="24"/>
          </w:rPr>
          <w:t xml:space="preserve"> </w:t>
        </w:r>
        <w:r w:rsidR="00DE6BBE">
          <w:rPr>
            <w:noProof/>
            <w:szCs w:val="24"/>
          </w:rPr>
          <w:t>[25]</w:t>
        </w:r>
        <w:r w:rsidRPr="004634FC">
          <w:rPr>
            <w:szCs w:val="24"/>
          </w:rPr>
          <w:fldChar w:fldCharType="end"/>
        </w:r>
      </w:hyperlink>
      <w:r w:rsidRPr="004634FC">
        <w:rPr>
          <w:szCs w:val="24"/>
        </w:rPr>
        <w:t xml:space="preserve"> and </w:t>
      </w:r>
      <w:hyperlink w:anchor="_ENREF_11" w:tooltip="Drehmann, 2006 #104" w:history="1">
        <w:r w:rsidRPr="004634FC">
          <w:rPr>
            <w:szCs w:val="24"/>
          </w:rPr>
          <w:fldChar w:fldCharType="begin"/>
        </w:r>
        <w:r w:rsidRPr="004634FC">
          <w:rPr>
            <w:szCs w:val="24"/>
          </w:rPr>
          <w:instrText xml:space="preserve"> ADDIN EN.CITE &lt;EndNote&gt;&lt;Cite AuthorYear="1"&gt;&lt;Author&gt;Drehmann&lt;/Author&gt;&lt;Year&gt;2006&lt;/Year&gt;&lt;RecNum&gt;104&lt;/RecNum&gt;&lt;DisplayText&gt;Drehmann&lt;style face="italic"&gt; et al.&lt;/style&gt; (2006)&lt;/DisplayText&gt;&lt;record&gt;&lt;rec-number&gt;104&lt;/rec-number&gt;&lt;foreign-keys&gt;&lt;key app="EN" db-id="0v92rzwaaxd5zpex996p2w2ud05e92fsfswr"&gt;104&lt;/key&gt;&lt;/foreign-keys&gt;&lt;ref-type name="Conference Proceedings"&gt;10&lt;/ref-type&gt;&lt;contributors&gt;&lt;authors&gt;&lt;author&gt;Drehmann, Mathias&lt;/author&gt;&lt;author&gt;Sorensen, Steffen&lt;/author&gt;&lt;author&gt;Stringa, Marco&lt;/author&gt;&lt;/authors&gt;&lt;/contributors&gt;&lt;titles&gt;&lt;title&gt;Integrating credit and interest rate risk: A theoretical framework and an application to banks&amp;apos; balance sheets&lt;/title&gt;&lt;secondary-title&gt;Bank for International Settlements Conference on “Risk management and regulation in banking”. Switzerland: Basel&lt;/secondary-title&gt;&lt;/titles&gt;&lt;pages&gt;29-30&lt;/pages&gt;&lt;dates&gt;&lt;year&gt;2006&lt;/year&gt;&lt;/dates&gt;&lt;publisher&gt;Citeseer&lt;/publisher&gt;&lt;urls&gt;&lt;/urls&gt;&lt;/record&gt;&lt;/Cite&gt;&lt;/EndNote&gt;</w:instrText>
        </w:r>
        <w:r w:rsidRPr="004634FC">
          <w:rPr>
            <w:szCs w:val="24"/>
          </w:rPr>
          <w:fldChar w:fldCharType="separate"/>
        </w:r>
        <w:r w:rsidRPr="004634FC">
          <w:rPr>
            <w:noProof/>
            <w:szCs w:val="24"/>
          </w:rPr>
          <w:t>Drehmann</w:t>
        </w:r>
        <w:r w:rsidRPr="004634FC">
          <w:rPr>
            <w:i/>
            <w:noProof/>
            <w:szCs w:val="24"/>
          </w:rPr>
          <w:t xml:space="preserve"> et al.</w:t>
        </w:r>
        <w:r w:rsidRPr="004634FC">
          <w:rPr>
            <w:noProof/>
            <w:szCs w:val="24"/>
          </w:rPr>
          <w:t xml:space="preserve"> </w:t>
        </w:r>
        <w:r w:rsidR="00DE6BBE">
          <w:rPr>
            <w:noProof/>
            <w:szCs w:val="24"/>
          </w:rPr>
          <w:t>[26]</w:t>
        </w:r>
        <w:r w:rsidRPr="004634FC">
          <w:rPr>
            <w:szCs w:val="24"/>
          </w:rPr>
          <w:fldChar w:fldCharType="end"/>
        </w:r>
      </w:hyperlink>
      <w:r w:rsidRPr="004634FC">
        <w:rPr>
          <w:szCs w:val="24"/>
        </w:rPr>
        <w:t xml:space="preserve"> demonstrate the non-linear distribution of the default probability under macroeconomic shocks conditions. Authors argue that the non-linearity of the default rate distribution increases with the magnitude of the macroeconomic shock. </w:t>
      </w:r>
      <w:hyperlink w:anchor="_ENREF_14" w:tooltip="Fong, 2008 #53" w:history="1">
        <w:r w:rsidRPr="004634FC">
          <w:rPr>
            <w:szCs w:val="24"/>
          </w:rPr>
          <w:fldChar w:fldCharType="begin"/>
        </w:r>
        <w:r w:rsidRPr="004634FC">
          <w:rPr>
            <w:szCs w:val="24"/>
          </w:rPr>
          <w:instrText xml:space="preserve"> ADDIN EN.CITE &lt;EndNote&gt;&lt;Cite AuthorYear="1"&gt;&lt;Author&gt;Fong&lt;/Author&gt;&lt;Year&gt;2008&lt;/Year&gt;&lt;RecNum&gt;53&lt;/RecNum&gt;&lt;DisplayText&gt;Fong and Wong (2008)&lt;/DisplayText&gt;&lt;record&gt;&lt;rec-number&gt;53&lt;/rec-number&gt;&lt;foreign-keys&gt;&lt;key app="EN" db-id="0v92rzwaaxd5zpex996p2w2ud05e92fsfswr"&gt;53&lt;/key&gt;&lt;/foreign-keys&gt;&lt;ref-type name="Report"&gt;27&lt;/ref-type&gt;&lt;contributors&gt;&lt;authors&gt;&lt;author&gt;Fong, Tom Pak-wing&lt;/author&gt;&lt;author&gt;Wong, Chun-shan&lt;/author&gt;&lt;/authors&gt;&lt;/contributors&gt;&lt;titles&gt;&lt;title&gt;Stress Testing Banks&amp;apos; Credit Risk Using Mixture Vector Autoregressive Models&lt;/title&gt;&lt;/titles&gt;&lt;keywords&gt;&lt;keyword&gt;Stress test&lt;/keyword&gt;&lt;keyword&gt;Hong Kong Banking&lt;/keyword&gt;&lt;keyword&gt;Credit risk&lt;/keyword&gt;&lt;keyword&gt;Mixture autoregressive models&lt;/keyword&gt;&lt;keyword&gt;Macroeconomic shocks&lt;/keyword&gt;&lt;keyword&gt;Value-at-risk.&lt;/keyword&gt;&lt;/keywords&gt;&lt;dates&gt;&lt;year&gt;2008&lt;/year&gt;&lt;/dates&gt;&lt;publisher&gt;Hong Kong Monetary Authority&lt;/publisher&gt;&lt;urls&gt;&lt;related-urls&gt;&lt;url&gt;http://EconPapers.repec.org/RePEc:hkg:wpaper:0813&lt;/url&gt;&lt;/related-urls&gt;&lt;/urls&gt;&lt;/record&gt;&lt;/Cite&gt;&lt;/EndNote&gt;</w:instrText>
        </w:r>
        <w:r w:rsidRPr="004634FC">
          <w:rPr>
            <w:szCs w:val="24"/>
          </w:rPr>
          <w:fldChar w:fldCharType="separate"/>
        </w:r>
        <w:r w:rsidRPr="004634FC">
          <w:rPr>
            <w:noProof/>
            <w:szCs w:val="24"/>
          </w:rPr>
          <w:t xml:space="preserve">Fong and Wong </w:t>
        </w:r>
        <w:r w:rsidR="00DE6BBE">
          <w:rPr>
            <w:noProof/>
            <w:szCs w:val="24"/>
          </w:rPr>
          <w:t>[27]</w:t>
        </w:r>
        <w:r w:rsidRPr="004634FC">
          <w:rPr>
            <w:szCs w:val="24"/>
          </w:rPr>
          <w:fldChar w:fldCharType="end"/>
        </w:r>
      </w:hyperlink>
      <w:r w:rsidRPr="004634FC">
        <w:rPr>
          <w:szCs w:val="24"/>
        </w:rPr>
        <w:t xml:space="preserve"> note that stress tests using standard linear model underestimates the probability of conditional default under macroeconomic shock. </w:t>
      </w:r>
    </w:p>
    <w:p w:rsidR="004808C5" w:rsidRPr="004634FC" w:rsidRDefault="004808C5" w:rsidP="004634FC">
      <w:pPr>
        <w:spacing w:line="276" w:lineRule="auto"/>
        <w:ind w:firstLine="0"/>
        <w:rPr>
          <w:szCs w:val="24"/>
        </w:rPr>
      </w:pPr>
      <w:r w:rsidRPr="004634FC">
        <w:rPr>
          <w:szCs w:val="24"/>
        </w:rPr>
        <w:t xml:space="preserve">To deal with nonlinear relationships between corporate credit risk and macroeconomic factors, there are some studies to be highlighted. We can distinguish for example the Global VAR model introduced by </w:t>
      </w:r>
      <w:hyperlink w:anchor="_ENREF_20" w:tooltip="Pesaran, 2006 #77" w:history="1">
        <w:r w:rsidRPr="004634FC">
          <w:rPr>
            <w:szCs w:val="24"/>
          </w:rPr>
          <w:fldChar w:fldCharType="begin"/>
        </w:r>
        <w:r w:rsidRPr="004634FC">
          <w:rPr>
            <w:szCs w:val="24"/>
          </w:rPr>
          <w:instrText xml:space="preserve"> ADDIN EN.CITE &lt;EndNote&gt;&lt;Cite AuthorYear="1"&gt;&lt;Author&gt;Pesaran&lt;/Author&gt;&lt;Year&gt;2006&lt;/Year&gt;&lt;RecNum&gt;77&lt;/RecNum&gt;&lt;DisplayText&gt;Pesaran&lt;style face="italic"&gt; et al.&lt;/style&gt; (2006)&lt;/DisplayText&gt;&lt;record&gt;&lt;rec-number&gt;77&lt;/rec-number&gt;&lt;foreign-keys&gt;&lt;key app="EN" db-id="0v92rzwaaxd5zpex996p2w2ud05e92fsfswr"&gt;77&lt;/key&gt;&lt;/foreign-keys&gt;&lt;ref-type name="Journal Article"&gt;17&lt;/ref-type&gt;&lt;contributors&gt;&lt;authors&gt;&lt;author&gt;Pesaran, M Hashem&lt;/author&gt;&lt;author&gt;Schuermann, Til&lt;/author&gt;&lt;author&gt;Treutler, Bjorn-Jakob&lt;/author&gt;&lt;author&gt;Weiner, Scott M&lt;/author&gt;&lt;/authors&gt;&lt;/contributors&gt;&lt;titles&gt;&lt;title&gt;Macroeconomic dynamics and credit risk: a global perspective&lt;/title&gt;&lt;secondary-title&gt;Journal of Money, Credit, and Banking&lt;/secondary-title&gt;&lt;/titles&gt;&lt;periodical&gt;&lt;full-title&gt;Journal of Money, Credit, and Banking&lt;/full-title&gt;&lt;/periodical&gt;&lt;pages&gt;1211-1261&lt;/pages&gt;&lt;volume&gt;38&lt;/volume&gt;&lt;number&gt;5&lt;/number&gt;&lt;dates&gt;&lt;year&gt;2006&lt;/year&gt;&lt;/dates&gt;&lt;isbn&gt;1538-4616&lt;/isbn&gt;&lt;urls&gt;&lt;/urls&gt;&lt;/record&gt;&lt;/Cite&gt;&lt;/EndNote&gt;</w:instrText>
        </w:r>
        <w:r w:rsidRPr="004634FC">
          <w:rPr>
            <w:szCs w:val="24"/>
          </w:rPr>
          <w:fldChar w:fldCharType="separate"/>
        </w:r>
        <w:r w:rsidRPr="004634FC">
          <w:rPr>
            <w:noProof/>
            <w:szCs w:val="24"/>
          </w:rPr>
          <w:t>Pesaran</w:t>
        </w:r>
        <w:r w:rsidRPr="004634FC">
          <w:rPr>
            <w:i/>
            <w:noProof/>
            <w:szCs w:val="24"/>
          </w:rPr>
          <w:t xml:space="preserve"> et al.</w:t>
        </w:r>
        <w:r w:rsidRPr="004634FC">
          <w:rPr>
            <w:noProof/>
            <w:szCs w:val="24"/>
          </w:rPr>
          <w:t xml:space="preserve"> </w:t>
        </w:r>
        <w:r w:rsidR="00DE6BBE">
          <w:rPr>
            <w:noProof/>
            <w:szCs w:val="24"/>
          </w:rPr>
          <w:t>[28]</w:t>
        </w:r>
        <w:r w:rsidRPr="004634FC">
          <w:rPr>
            <w:szCs w:val="24"/>
          </w:rPr>
          <w:fldChar w:fldCharType="end"/>
        </w:r>
      </w:hyperlink>
      <w:r w:rsidRPr="004634FC">
        <w:rPr>
          <w:szCs w:val="24"/>
        </w:rPr>
        <w:t xml:space="preserve"> and MVAR model </w:t>
      </w:r>
      <w:r w:rsidR="00DE6BBE" w:rsidRPr="004634FC">
        <w:rPr>
          <w:szCs w:val="24"/>
        </w:rPr>
        <w:t>developed</w:t>
      </w:r>
      <w:r w:rsidRPr="004634FC">
        <w:rPr>
          <w:szCs w:val="24"/>
        </w:rPr>
        <w:t xml:space="preserve"> by </w:t>
      </w:r>
      <w:hyperlink w:anchor="_ENREF_13" w:tooltip="Fong, 2007 #34" w:history="1">
        <w:r w:rsidRPr="004634FC">
          <w:rPr>
            <w:szCs w:val="24"/>
          </w:rPr>
          <w:fldChar w:fldCharType="begin"/>
        </w:r>
        <w:r w:rsidRPr="004634FC">
          <w:rPr>
            <w:szCs w:val="24"/>
          </w:rPr>
          <w:instrText xml:space="preserve"> ADDIN EN.CITE &lt;EndNote&gt;&lt;Cite AuthorYear="1"&gt;&lt;Author&gt;Fong&lt;/Author&gt;&lt;Year&gt;2007&lt;/Year&gt;&lt;RecNum&gt;34&lt;/RecNum&gt;&lt;DisplayText&gt;Fong&lt;style face="italic"&gt; et al.&lt;/style&gt; (2007)&lt;/DisplayText&gt;&lt;record&gt;&lt;rec-number&gt;34&lt;/rec-number&gt;&lt;foreign-keys&gt;&lt;key app="EN" db-id="0v92rzwaaxd5zpex996p2w2ud05e92fsfswr"&gt;34&lt;/key&gt;&lt;/foreign-keys&gt;&lt;ref-type name="Journal Article"&gt;17&lt;/ref-type&gt;&lt;contributors&gt;&lt;authors&gt;&lt;author&gt;Fong, PW&lt;/author&gt;&lt;author&gt;Li, WK&lt;/author&gt;&lt;author&gt;Yau, CW&lt;/author&gt;&lt;author&gt;Wong, CS&lt;/author&gt;&lt;/authors&gt;&lt;/contributors&gt;&lt;titles&gt;&lt;title&gt;On a mixture vector autoregressive model&lt;/title&gt;&lt;secondary-title&gt;Canadian Journal of Statistics&lt;/secondary-title&gt;&lt;/titles&gt;&lt;periodical&gt;&lt;full-title&gt;Canadian Journal of Statistics&lt;/full-title&gt;&lt;/periodical&gt;&lt;pages&gt;135-150&lt;/pages&gt;&lt;volume&gt;35&lt;/volume&gt;&lt;number&gt;1&lt;/number&gt;&lt;dates&gt;&lt;year&gt;2007&lt;/year&gt;&lt;/dates&gt;&lt;isbn&gt;1708-945X&lt;/isbn&gt;&lt;urls&gt;&lt;/urls&gt;&lt;/record&gt;&lt;/Cite&gt;&lt;/EndNote&gt;</w:instrText>
        </w:r>
        <w:r w:rsidRPr="004634FC">
          <w:rPr>
            <w:szCs w:val="24"/>
          </w:rPr>
          <w:fldChar w:fldCharType="separate"/>
        </w:r>
        <w:r w:rsidRPr="004634FC">
          <w:rPr>
            <w:noProof/>
            <w:szCs w:val="24"/>
          </w:rPr>
          <w:t>Fong</w:t>
        </w:r>
        <w:r w:rsidRPr="004634FC">
          <w:rPr>
            <w:i/>
            <w:noProof/>
            <w:szCs w:val="24"/>
          </w:rPr>
          <w:t xml:space="preserve"> et al.</w:t>
        </w:r>
        <w:r w:rsidRPr="004634FC">
          <w:rPr>
            <w:noProof/>
            <w:szCs w:val="24"/>
          </w:rPr>
          <w:t xml:space="preserve"> </w:t>
        </w:r>
        <w:r w:rsidR="00DE6BBE">
          <w:rPr>
            <w:noProof/>
            <w:szCs w:val="24"/>
          </w:rPr>
          <w:t>[29]</w:t>
        </w:r>
        <w:r w:rsidRPr="004634FC">
          <w:rPr>
            <w:szCs w:val="24"/>
          </w:rPr>
          <w:fldChar w:fldCharType="end"/>
        </w:r>
      </w:hyperlink>
      <w:r w:rsidRPr="004634FC">
        <w:rPr>
          <w:szCs w:val="24"/>
        </w:rPr>
        <w:t xml:space="preserve">. However, following the literature overview, the most model recently used is the GVAR model. </w:t>
      </w:r>
      <w:hyperlink w:anchor="_ENREF_8" w:tooltip="Chudik, 2014 #76" w:history="1">
        <w:r w:rsidRPr="004634FC">
          <w:rPr>
            <w:szCs w:val="24"/>
          </w:rPr>
          <w:fldChar w:fldCharType="begin"/>
        </w:r>
        <w:r w:rsidRPr="004634FC">
          <w:rPr>
            <w:szCs w:val="24"/>
          </w:rPr>
          <w:instrText xml:space="preserve"> ADDIN EN.CITE &lt;EndNote&gt;&lt;Cite AuthorYear="1"&gt;&lt;Author&gt;Chudik&lt;/Author&gt;&lt;Year&gt;2014&lt;/Year&gt;&lt;RecNum&gt;76&lt;/RecNum&gt;&lt;DisplayText&gt;Chudik and Pesaran (2014)&lt;/DisplayText&gt;&lt;record&gt;&lt;rec-number&gt;76&lt;/rec-number&gt;&lt;foreign-keys&gt;&lt;key app="EN" db-id="0v92rzwaaxd5zpex996p2w2ud05e92fsfswr"&gt;76&lt;/key&gt;&lt;/foreign-keys&gt;&lt;ref-type name="Journal Article"&gt;17&lt;/ref-type&gt;&lt;contributors&gt;&lt;authors&gt;&lt;author&gt;Chudik, Alexander&lt;/author&gt;&lt;author&gt;Pesaran, M Hashem&lt;/author&gt;&lt;/authors&gt;&lt;/contributors&gt;&lt;titles&gt;&lt;title&gt;Theory and practice of GVAR modelling&lt;/title&gt;&lt;secondary-title&gt;Journal of Economic Surveys&lt;/secondary-title&gt;&lt;/titles&gt;&lt;periodical&gt;&lt;full-title&gt;Journal of Economic Surveys&lt;/full-title&gt;&lt;/periodical&gt;&lt;pages&gt;165-197&lt;/pages&gt;&lt;volume&gt;30&lt;/volume&gt;&lt;number&gt;1&lt;/number&gt;&lt;dates&gt;&lt;year&gt;2014&lt;/year&gt;&lt;/dates&gt;&lt;isbn&gt;1467-6419&lt;/isbn&gt;&lt;urls&gt;&lt;/urls&gt;&lt;/record&gt;&lt;/Cite&gt;&lt;/EndNote&gt;</w:instrText>
        </w:r>
        <w:r w:rsidRPr="004634FC">
          <w:rPr>
            <w:szCs w:val="24"/>
          </w:rPr>
          <w:fldChar w:fldCharType="separate"/>
        </w:r>
        <w:r w:rsidRPr="004634FC">
          <w:rPr>
            <w:noProof/>
            <w:szCs w:val="24"/>
          </w:rPr>
          <w:t>Chudik and Pesaran (2014)</w:t>
        </w:r>
        <w:r w:rsidRPr="004634FC">
          <w:rPr>
            <w:szCs w:val="24"/>
          </w:rPr>
          <w:fldChar w:fldCharType="end"/>
        </w:r>
      </w:hyperlink>
      <w:r w:rsidRPr="004634FC">
        <w:rPr>
          <w:szCs w:val="24"/>
        </w:rPr>
        <w:t xml:space="preserve"> provide surveys of the latest developments in the GVAR modeling which outlines the theoretical foundations of the approach and its empirical applications such as financial and credit risk applications. The advantage of the GVAR model is that it takes into account the non-linear relationships between macroeconomic variables and financial variables without modifying the model structure </w:t>
      </w:r>
      <w:r w:rsidRPr="004634FC">
        <w:rPr>
          <w:szCs w:val="24"/>
        </w:rPr>
        <w:fldChar w:fldCharType="begin"/>
      </w:r>
      <w:r w:rsidRPr="004634FC">
        <w:rPr>
          <w:szCs w:val="24"/>
        </w:rPr>
        <w:instrText xml:space="preserve"> ADDIN EN.CITE &lt;EndNote&gt;&lt;Cite&gt;&lt;Author&gt;Castrén&lt;/Author&gt;&lt;Year&gt;2010&lt;/Year&gt;&lt;RecNum&gt;100&lt;/RecNum&gt;&lt;DisplayText&gt;(Castrén&lt;style face="italic"&gt; et al.&lt;/style&gt;, 2010)&lt;/DisplayText&gt;&lt;record&gt;&lt;rec-number&gt;100&lt;/rec-number&gt;&lt;foreign-keys&gt;&lt;key app="EN" db-id="0v92rzwaaxd5zpex996p2w2ud05e92fsfswr"&gt;100&lt;/key&gt;&lt;/foreign-keys&gt;&lt;ref-type name="Journal Article"&gt;17&lt;/ref-type&gt;&lt;contributors&gt;&lt;authors&gt;&lt;author&gt;Castrén, Olli&lt;/author&gt;&lt;author&gt;Dées, Stéphane&lt;/author&gt;&lt;author&gt;Zaher, Fadi&lt;/author&gt;&lt;/authors&gt;&lt;/contributors&gt;&lt;titles&gt;&lt;title&gt;Stress-testing euro area corporate default probabilities using a global macroeconomic model&lt;/title&gt;&lt;secondary-title&gt;Journal of Financial Stability&lt;/secondary-title&gt;&lt;/titles&gt;&lt;periodical&gt;&lt;full-title&gt;Journal of financial stability&lt;/full-title&gt;&lt;/periodical&gt;&lt;pages&gt;64-78&lt;/pages&gt;&lt;volume&gt;6&lt;/volume&gt;&lt;number&gt;2&lt;/number&gt;&lt;dates&gt;&lt;year&gt;2010&lt;/year&gt;&lt;/dates&gt;&lt;isbn&gt;1572-3089&lt;/isbn&gt;&lt;urls&gt;&lt;/urls&gt;&lt;/record&gt;&lt;/Cite&gt;&lt;/EndNote&gt;</w:instrText>
      </w:r>
      <w:r w:rsidRPr="004634FC">
        <w:rPr>
          <w:szCs w:val="24"/>
        </w:rPr>
        <w:fldChar w:fldCharType="separate"/>
      </w:r>
      <w:r w:rsidRPr="004634FC">
        <w:rPr>
          <w:noProof/>
          <w:szCs w:val="24"/>
        </w:rPr>
        <w:t>(</w:t>
      </w:r>
      <w:hyperlink w:anchor="_ENREF_7" w:tooltip="Castrén, 2010 #100" w:history="1">
        <w:r w:rsidRPr="004634FC">
          <w:rPr>
            <w:noProof/>
            <w:szCs w:val="24"/>
          </w:rPr>
          <w:t>Castrén</w:t>
        </w:r>
        <w:r w:rsidRPr="004634FC">
          <w:rPr>
            <w:i/>
            <w:noProof/>
            <w:szCs w:val="24"/>
          </w:rPr>
          <w:t xml:space="preserve"> et al.</w:t>
        </w:r>
        <w:r w:rsidRPr="004634FC">
          <w:rPr>
            <w:noProof/>
            <w:szCs w:val="24"/>
          </w:rPr>
          <w:t xml:space="preserve">, </w:t>
        </w:r>
        <w:r w:rsidR="00DE6BBE">
          <w:rPr>
            <w:noProof/>
            <w:szCs w:val="24"/>
          </w:rPr>
          <w:t>[30]</w:t>
        </w:r>
      </w:hyperlink>
      <w:r w:rsidRPr="004634FC">
        <w:rPr>
          <w:szCs w:val="24"/>
        </w:rPr>
        <w:fldChar w:fldCharType="end"/>
      </w:r>
      <w:r w:rsidR="00DE6BBE">
        <w:rPr>
          <w:szCs w:val="24"/>
        </w:rPr>
        <w:t>)</w:t>
      </w:r>
      <w:r w:rsidRPr="004634FC">
        <w:rPr>
          <w:szCs w:val="24"/>
        </w:rPr>
        <w:t xml:space="preserve">. In addition, </w:t>
      </w:r>
      <w:hyperlink w:anchor="_ENREF_20" w:tooltip="Pesaran, 2006 #77" w:history="1">
        <w:r w:rsidRPr="004634FC">
          <w:rPr>
            <w:szCs w:val="24"/>
          </w:rPr>
          <w:fldChar w:fldCharType="begin"/>
        </w:r>
        <w:r w:rsidRPr="004634FC">
          <w:rPr>
            <w:szCs w:val="24"/>
          </w:rPr>
          <w:instrText xml:space="preserve"> ADDIN EN.CITE &lt;EndNote&gt;&lt;Cite AuthorYear="1"&gt;&lt;Author&gt;Pesaran&lt;/Author&gt;&lt;Year&gt;2006&lt;/Year&gt;&lt;RecNum&gt;77&lt;/RecNum&gt;&lt;DisplayText&gt;Pesaran&lt;style face="italic"&gt; et al.&lt;/style&gt; (2006)&lt;/DisplayText&gt;&lt;record&gt;&lt;rec-number&gt;77&lt;/rec-number&gt;&lt;foreign-keys&gt;&lt;key app="EN" db-id="0v92rzwaaxd5zpex996p2w2ud05e92fsfswr"&gt;77&lt;/key&gt;&lt;/foreign-keys&gt;&lt;ref-type name="Journal Article"&gt;17&lt;/ref-type&gt;&lt;contributors&gt;&lt;authors&gt;&lt;author&gt;Pesaran, M Hashem&lt;/author&gt;&lt;author&gt;Schuermann, Til&lt;/author&gt;&lt;author&gt;Treutler, Bjorn-Jakob&lt;/author&gt;&lt;author&gt;Weiner, Scott M&lt;/author&gt;&lt;/authors&gt;&lt;/contributors&gt;&lt;titles&gt;&lt;title&gt;Macroeconomic dynamics and credit risk: a global perspective&lt;/title&gt;&lt;secondary-title&gt;Journal of Money, Credit, and Banking&lt;/secondary-title&gt;&lt;/titles&gt;&lt;periodical&gt;&lt;full-title&gt;Journal of Money, Credit, and Banking&lt;/full-title&gt;&lt;/periodical&gt;&lt;pages&gt;1211-1261&lt;/pages&gt;&lt;volume&gt;38&lt;/volume&gt;&lt;number&gt;5&lt;/number&gt;&lt;dates&gt;&lt;year&gt;2006&lt;/year&gt;&lt;/dates&gt;&lt;isbn&gt;1538-4616&lt;/isbn&gt;&lt;urls&gt;&lt;/urls&gt;&lt;/record&gt;&lt;/Cite&gt;&lt;/EndNote&gt;</w:instrText>
        </w:r>
        <w:r w:rsidRPr="004634FC">
          <w:rPr>
            <w:szCs w:val="24"/>
          </w:rPr>
          <w:fldChar w:fldCharType="separate"/>
        </w:r>
        <w:r w:rsidRPr="004634FC">
          <w:rPr>
            <w:noProof/>
            <w:szCs w:val="24"/>
          </w:rPr>
          <w:t>Pesaran</w:t>
        </w:r>
        <w:r w:rsidRPr="004634FC">
          <w:rPr>
            <w:i/>
            <w:noProof/>
            <w:szCs w:val="24"/>
          </w:rPr>
          <w:t xml:space="preserve"> et al.</w:t>
        </w:r>
        <w:r w:rsidRPr="004634FC">
          <w:rPr>
            <w:noProof/>
            <w:szCs w:val="24"/>
          </w:rPr>
          <w:t xml:space="preserve"> </w:t>
        </w:r>
        <w:r w:rsidR="00DE6BBE">
          <w:rPr>
            <w:noProof/>
            <w:szCs w:val="24"/>
          </w:rPr>
          <w:t>[28]</w:t>
        </w:r>
        <w:r w:rsidRPr="004634FC">
          <w:rPr>
            <w:szCs w:val="24"/>
          </w:rPr>
          <w:fldChar w:fldCharType="end"/>
        </w:r>
      </w:hyperlink>
      <w:r w:rsidRPr="004634FC">
        <w:rPr>
          <w:szCs w:val="24"/>
        </w:rPr>
        <w:t xml:space="preserve"> in their study about the conditional credit loss distribution based on GVAR model, found that the effects of these shocks on losses are asymmetrical and non-proportional, reflecting the highly non-linear nature of the credit risk model. Another advantage of GVAR approach is that it links the credit risk of diversified international loan portfolios in a detailed macroeconomic model that allows for country-region differences</w:t>
      </w:r>
      <w:r w:rsidRPr="004634FC">
        <w:rPr>
          <w:szCs w:val="24"/>
        </w:rPr>
        <w:fldChar w:fldCharType="begin"/>
      </w:r>
      <w:r w:rsidRPr="004634FC">
        <w:rPr>
          <w:szCs w:val="24"/>
        </w:rPr>
        <w:instrText xml:space="preserve"> ADDIN EN.CITE &lt;EndNote&gt;&lt;Cite&gt;&lt;Author&gt;Castrén&lt;/Author&gt;&lt;Year&gt;2010&lt;/Year&gt;&lt;RecNum&gt;100&lt;/RecNum&gt;&lt;DisplayText&gt;(Castrén&lt;style face="italic"&gt; et al.&lt;/style&gt;, 2010)&lt;/DisplayText&gt;&lt;record&gt;&lt;rec-number&gt;100&lt;/rec-number&gt;&lt;foreign-keys&gt;&lt;key app="EN" db-id="0v92rzwaaxd5zpex996p2w2ud05e92fsfswr"&gt;100&lt;/key&gt;&lt;/foreign-keys&gt;&lt;ref-type name="Journal Article"&gt;17&lt;/ref-type&gt;&lt;contributors&gt;&lt;authors&gt;&lt;author&gt;Castrén, Olli&lt;/author&gt;&lt;author&gt;Dées, Stéphane&lt;/author&gt;&lt;author&gt;Zaher, Fadi&lt;/author&gt;&lt;/authors&gt;&lt;/contributors&gt;&lt;titles&gt;&lt;title&gt;Stress-testing euro area corporate default probabilities using a global macroeconomic model&lt;/title&gt;&lt;secondary-title&gt;Journal of Financial Stability&lt;/secondary-title&gt;&lt;/titles&gt;&lt;periodical&gt;&lt;full-title&gt;Journal of financial stability&lt;/full-title&gt;&lt;/periodical&gt;&lt;pages&gt;64-78&lt;/pages&gt;&lt;volume&gt;6&lt;/volume&gt;&lt;number&gt;2&lt;/number&gt;&lt;dates&gt;&lt;year&gt;2010&lt;/year&gt;&lt;/dates&gt;&lt;isbn&gt;1572-3089&lt;/isbn&gt;&lt;urls&gt;&lt;/urls&gt;&lt;/record&gt;&lt;/Cite&gt;&lt;/EndNote&gt;</w:instrText>
      </w:r>
      <w:r w:rsidRPr="004634FC">
        <w:rPr>
          <w:szCs w:val="24"/>
        </w:rPr>
        <w:fldChar w:fldCharType="separate"/>
      </w:r>
      <w:r w:rsidRPr="004634FC">
        <w:rPr>
          <w:noProof/>
          <w:szCs w:val="24"/>
        </w:rPr>
        <w:t>(</w:t>
      </w:r>
      <w:hyperlink w:anchor="_ENREF_7" w:tooltip="Castrén, 2010 #100" w:history="1">
        <w:r w:rsidRPr="004634FC">
          <w:rPr>
            <w:noProof/>
            <w:szCs w:val="24"/>
          </w:rPr>
          <w:t>Castrén</w:t>
        </w:r>
        <w:r w:rsidRPr="004634FC">
          <w:rPr>
            <w:i/>
            <w:noProof/>
            <w:szCs w:val="24"/>
          </w:rPr>
          <w:t xml:space="preserve"> et al.</w:t>
        </w:r>
        <w:r w:rsidRPr="004634FC">
          <w:rPr>
            <w:noProof/>
            <w:szCs w:val="24"/>
          </w:rPr>
          <w:t xml:space="preserve">, </w:t>
        </w:r>
        <w:r w:rsidR="00DE6BBE">
          <w:rPr>
            <w:noProof/>
            <w:szCs w:val="24"/>
          </w:rPr>
          <w:t>[30]</w:t>
        </w:r>
      </w:hyperlink>
      <w:r w:rsidRPr="004634FC">
        <w:rPr>
          <w:noProof/>
          <w:szCs w:val="24"/>
        </w:rPr>
        <w:t>)</w:t>
      </w:r>
      <w:r w:rsidRPr="004634FC">
        <w:rPr>
          <w:szCs w:val="24"/>
        </w:rPr>
        <w:fldChar w:fldCharType="end"/>
      </w:r>
      <w:r w:rsidRPr="004634FC">
        <w:rPr>
          <w:szCs w:val="24"/>
        </w:rPr>
        <w:t>. So, the GVAR approach carries out the international and global interaction of macroeconomic risk factors and not only the domestic dynamics.</w:t>
      </w:r>
    </w:p>
    <w:p w:rsidR="004808C5" w:rsidRPr="004634FC" w:rsidRDefault="004808C5" w:rsidP="004634FC">
      <w:pPr>
        <w:spacing w:line="276" w:lineRule="auto"/>
        <w:ind w:firstLine="0"/>
        <w:rPr>
          <w:szCs w:val="24"/>
        </w:rPr>
      </w:pPr>
      <w:r w:rsidRPr="004634FC">
        <w:rPr>
          <w:szCs w:val="24"/>
        </w:rPr>
        <w:t xml:space="preserve">The Global VAR Approach (GVAR) is originally introduced by </w:t>
      </w:r>
      <w:hyperlink w:anchor="_ENREF_21" w:tooltip="Pesaran, 2004 #78" w:history="1">
        <w:r w:rsidRPr="004634FC">
          <w:rPr>
            <w:szCs w:val="24"/>
          </w:rPr>
          <w:fldChar w:fldCharType="begin"/>
        </w:r>
        <w:r w:rsidRPr="004634FC">
          <w:rPr>
            <w:szCs w:val="24"/>
          </w:rPr>
          <w:instrText xml:space="preserve"> ADDIN EN.CITE &lt;EndNote&gt;&lt;Cite AuthorYear="1"&gt;&lt;Author&gt;Pesaran&lt;/Author&gt;&lt;Year&gt;2004&lt;/Year&gt;&lt;RecNum&gt;78&lt;/RecNum&gt;&lt;DisplayText&gt;Pesaran&lt;style face="italic"&gt; et al.&lt;/style&gt; (2004)&lt;/DisplayText&gt;&lt;record&gt;&lt;rec-number&gt;78&lt;/rec-number&gt;&lt;foreign-keys&gt;&lt;key app="EN" db-id="0v92rzwaaxd5zpex996p2w2ud05e92fsfswr"&gt;78&lt;/key&gt;&lt;/foreign-keys&gt;&lt;ref-type name="Journal Article"&gt;17&lt;/ref-type&gt;&lt;contributors&gt;&lt;authors&gt;&lt;author&gt;Pesaran, M Hashem&lt;/author&gt;&lt;author&gt;Schuermann, Til&lt;/author&gt;&lt;author&gt;Weiner, Scott M&lt;/author&gt;&lt;/authors&gt;&lt;/contributors&gt;&lt;titles&gt;&lt;title&gt;Modeling regional interdependencies using a global error-correcting macroeconometric model&lt;/title&gt;&lt;secondary-title&gt;Journal of Business &amp;amp; Economic Statistics&lt;/secondary-title&gt;&lt;/titles&gt;&lt;periodical&gt;&lt;full-title&gt;Journal of Business &amp;amp; Economic Statistics&lt;/full-title&gt;&lt;/periodical&gt;&lt;pages&gt;129-162&lt;/pages&gt;&lt;volume&gt;22&lt;/volume&gt;&lt;number&gt;2&lt;/number&gt;&lt;dates&gt;&lt;year&gt;2004&lt;/year&gt;&lt;/dates&gt;&lt;isbn&gt;0735-0015&lt;/isbn&gt;&lt;urls&gt;&lt;/urls&gt;&lt;/record&gt;&lt;/Cite&gt;&lt;/EndNote&gt;</w:instrText>
        </w:r>
        <w:r w:rsidRPr="004634FC">
          <w:rPr>
            <w:szCs w:val="24"/>
          </w:rPr>
          <w:fldChar w:fldCharType="separate"/>
        </w:r>
        <w:r w:rsidRPr="004634FC">
          <w:rPr>
            <w:noProof/>
            <w:szCs w:val="24"/>
          </w:rPr>
          <w:t>Pesaran</w:t>
        </w:r>
        <w:r w:rsidRPr="004634FC">
          <w:rPr>
            <w:i/>
            <w:noProof/>
            <w:szCs w:val="24"/>
          </w:rPr>
          <w:t xml:space="preserve"> et al.</w:t>
        </w:r>
        <w:r w:rsidRPr="004634FC">
          <w:rPr>
            <w:noProof/>
            <w:szCs w:val="24"/>
          </w:rPr>
          <w:t xml:space="preserve"> </w:t>
        </w:r>
        <w:r w:rsidR="00DE6BBE">
          <w:rPr>
            <w:noProof/>
            <w:szCs w:val="24"/>
          </w:rPr>
          <w:t>[13]</w:t>
        </w:r>
        <w:r w:rsidRPr="004634FC">
          <w:rPr>
            <w:szCs w:val="24"/>
          </w:rPr>
          <w:fldChar w:fldCharType="end"/>
        </w:r>
      </w:hyperlink>
      <w:r w:rsidRPr="004634FC">
        <w:rPr>
          <w:szCs w:val="24"/>
        </w:rPr>
        <w:t xml:space="preserve">, and provides a relatively simple but effective way of modeling complex, high-dimensional systems such as global economies. The model is designed initially to analyze the effects of real and financial shocks, at the national and international level, on credit or model risk. </w:t>
      </w:r>
      <w:r w:rsidRPr="004634FC">
        <w:rPr>
          <w:szCs w:val="24"/>
        </w:rPr>
        <w:lastRenderedPageBreak/>
        <w:t xml:space="preserve">Thereafter, the GVAR model has undergone several developments according to the composition of the regions and countries composing the model. </w:t>
      </w:r>
    </w:p>
    <w:p w:rsidR="004808C5" w:rsidRPr="004634FC" w:rsidRDefault="004808C5" w:rsidP="004634FC">
      <w:pPr>
        <w:spacing w:line="276" w:lineRule="auto"/>
        <w:ind w:firstLine="0"/>
        <w:rPr>
          <w:szCs w:val="24"/>
        </w:rPr>
      </w:pPr>
      <w:r w:rsidRPr="004634FC">
        <w:rPr>
          <w:szCs w:val="24"/>
        </w:rPr>
        <w:t xml:space="preserve">The GVAR model by </w:t>
      </w:r>
      <w:hyperlink w:anchor="_ENREF_21" w:tooltip="Pesaran, 2004 #78" w:history="1">
        <w:r w:rsidRPr="004634FC">
          <w:rPr>
            <w:szCs w:val="24"/>
          </w:rPr>
          <w:fldChar w:fldCharType="begin"/>
        </w:r>
        <w:r w:rsidRPr="004634FC">
          <w:rPr>
            <w:szCs w:val="24"/>
          </w:rPr>
          <w:instrText xml:space="preserve"> ADDIN EN.CITE &lt;EndNote&gt;&lt;Cite AuthorYear="1"&gt;&lt;Author&gt;Pesaran&lt;/Author&gt;&lt;Year&gt;2004&lt;/Year&gt;&lt;RecNum&gt;78&lt;/RecNum&gt;&lt;DisplayText&gt;Pesaran&lt;style face="italic"&gt; et al.&lt;/style&gt; (2004)&lt;/DisplayText&gt;&lt;record&gt;&lt;rec-number&gt;78&lt;/rec-number&gt;&lt;foreign-keys&gt;&lt;key app="EN" db-id="0v92rzwaaxd5zpex996p2w2ud05e92fsfswr"&gt;78&lt;/key&gt;&lt;/foreign-keys&gt;&lt;ref-type name="Journal Article"&gt;17&lt;/ref-type&gt;&lt;contributors&gt;&lt;authors&gt;&lt;author&gt;Pesaran, M Hashem&lt;/author&gt;&lt;author&gt;Schuermann, Til&lt;/author&gt;&lt;author&gt;Weiner, Scott M&lt;/author&gt;&lt;/authors&gt;&lt;/contributors&gt;&lt;titles&gt;&lt;title&gt;Modeling regional interdependencies using a global error-correcting macroeconometric model&lt;/title&gt;&lt;secondary-title&gt;Journal of Business &amp;amp; Economic Statistics&lt;/secondary-title&gt;&lt;/titles&gt;&lt;periodical&gt;&lt;full-title&gt;Journal of Business &amp;amp; Economic Statistics&lt;/full-title&gt;&lt;/periodical&gt;&lt;pages&gt;129-162&lt;/pages&gt;&lt;volume&gt;22&lt;/volume&gt;&lt;number&gt;2&lt;/number&gt;&lt;dates&gt;&lt;year&gt;2004&lt;/year&gt;&lt;/dates&gt;&lt;isbn&gt;0735-0015&lt;/isbn&gt;&lt;urls&gt;&lt;/urls&gt;&lt;/record&gt;&lt;/Cite&gt;&lt;/EndNote&gt;</w:instrText>
        </w:r>
        <w:r w:rsidRPr="004634FC">
          <w:rPr>
            <w:szCs w:val="24"/>
          </w:rPr>
          <w:fldChar w:fldCharType="separate"/>
        </w:r>
        <w:r w:rsidRPr="004634FC">
          <w:rPr>
            <w:noProof/>
            <w:szCs w:val="24"/>
          </w:rPr>
          <w:t>Pesaran</w:t>
        </w:r>
        <w:r w:rsidRPr="004634FC">
          <w:rPr>
            <w:i/>
            <w:noProof/>
            <w:szCs w:val="24"/>
          </w:rPr>
          <w:t xml:space="preserve"> et al.</w:t>
        </w:r>
        <w:r w:rsidRPr="004634FC">
          <w:rPr>
            <w:noProof/>
            <w:szCs w:val="24"/>
          </w:rPr>
          <w:t xml:space="preserve"> </w:t>
        </w:r>
        <w:r w:rsidR="00DE6BBE">
          <w:rPr>
            <w:noProof/>
            <w:szCs w:val="24"/>
          </w:rPr>
          <w:t>[13]</w:t>
        </w:r>
        <w:r w:rsidRPr="004634FC">
          <w:rPr>
            <w:szCs w:val="24"/>
          </w:rPr>
          <w:fldChar w:fldCharType="end"/>
        </w:r>
      </w:hyperlink>
      <w:r w:rsidRPr="004634FC">
        <w:rPr>
          <w:szCs w:val="24"/>
        </w:rPr>
        <w:t xml:space="preserve"> is known as PSW version. The model is made of 25 countries in the world classified in 11 regions. Later, </w:t>
      </w:r>
      <w:hyperlink w:anchor="_ENREF_10" w:tooltip="Dees, 2007 #84" w:history="1">
        <w:r w:rsidRPr="004634FC">
          <w:rPr>
            <w:szCs w:val="24"/>
          </w:rPr>
          <w:fldChar w:fldCharType="begin"/>
        </w:r>
        <w:r w:rsidRPr="004634FC">
          <w:rPr>
            <w:szCs w:val="24"/>
          </w:rPr>
          <w:instrText xml:space="preserve"> ADDIN EN.CITE &lt;EndNote&gt;&lt;Cite AuthorYear="1"&gt;&lt;Author&gt;Dees&lt;/Author&gt;&lt;Year&gt;2007&lt;/Year&gt;&lt;RecNum&gt;84&lt;/RecNum&gt;&lt;DisplayText&gt;Dees&lt;style face="italic"&gt; et al.&lt;/style&gt; (2007)&lt;/DisplayText&gt;&lt;record&gt;&lt;rec-number&gt;84&lt;/rec-number&gt;&lt;foreign-keys&gt;&lt;key app="EN" db-id="0v92rzwaaxd5zpex996p2w2ud05e92fsfswr"&gt;84&lt;/key&gt;&lt;/foreign-keys&gt;&lt;ref-type name="Journal Article"&gt;17&lt;/ref-type&gt;&lt;contributors&gt;&lt;authors&gt;&lt;author&gt;Dees, Stephane&lt;/author&gt;&lt;author&gt;Mauro, Filippo di&lt;/author&gt;&lt;author&gt;Pesaran, M Hashem&lt;/author&gt;&lt;author&gt;Smith, L Vanessa&lt;/author&gt;&lt;/authors&gt;&lt;/contributors&gt;&lt;titles&gt;&lt;title&gt;Exploring the international linkages of the euro area: a global VAR analysis&lt;/title&gt;&lt;secondary-title&gt;Journal of applied econometrics&lt;/secondary-title&gt;&lt;/titles&gt;&lt;periodical&gt;&lt;full-title&gt;Journal of applied econometrics&lt;/full-title&gt;&lt;/periodical&gt;&lt;pages&gt;1-38&lt;/pages&gt;&lt;volume&gt;22&lt;/volume&gt;&lt;number&gt;1&lt;/number&gt;&lt;dates&gt;&lt;year&gt;2007&lt;/year&gt;&lt;/dates&gt;&lt;isbn&gt;1099-1255&lt;/isbn&gt;&lt;urls&gt;&lt;/urls&gt;&lt;/record&gt;&lt;/Cite&gt;&lt;/EndNote&gt;</w:instrText>
        </w:r>
        <w:r w:rsidRPr="004634FC">
          <w:rPr>
            <w:szCs w:val="24"/>
          </w:rPr>
          <w:fldChar w:fldCharType="separate"/>
        </w:r>
        <w:r w:rsidRPr="004634FC">
          <w:rPr>
            <w:noProof/>
            <w:szCs w:val="24"/>
          </w:rPr>
          <w:t>Dees</w:t>
        </w:r>
        <w:r w:rsidRPr="004634FC">
          <w:rPr>
            <w:i/>
            <w:noProof/>
            <w:szCs w:val="24"/>
          </w:rPr>
          <w:t xml:space="preserve"> et al.</w:t>
        </w:r>
        <w:r w:rsidRPr="004634FC">
          <w:rPr>
            <w:noProof/>
            <w:szCs w:val="24"/>
          </w:rPr>
          <w:t xml:space="preserve"> </w:t>
        </w:r>
        <w:r w:rsidR="00DE6BBE">
          <w:rPr>
            <w:noProof/>
            <w:szCs w:val="24"/>
          </w:rPr>
          <w:t>[14]</w:t>
        </w:r>
        <w:r w:rsidRPr="004634FC">
          <w:rPr>
            <w:szCs w:val="24"/>
          </w:rPr>
          <w:fldChar w:fldCharType="end"/>
        </w:r>
      </w:hyperlink>
      <w:r w:rsidRPr="004634FC">
        <w:rPr>
          <w:szCs w:val="24"/>
        </w:rPr>
        <w:t xml:space="preserve"> update the countries included in the model as version. This version covers 33 countries from the different region of the world so far. Hence, the DPdS model is the best endowed to carry out an analysis that takes into account the international dynamic. Therefore, the countries selected in the model do not cover African components. So, </w:t>
      </w:r>
      <w:hyperlink w:anchor="_ENREF_15" w:tooltip="H.de Wet, 2009 #80" w:history="1">
        <w:r w:rsidRPr="004634FC">
          <w:rPr>
            <w:szCs w:val="24"/>
          </w:rPr>
          <w:fldChar w:fldCharType="begin"/>
        </w:r>
        <w:r w:rsidRPr="004634FC">
          <w:rPr>
            <w:szCs w:val="24"/>
          </w:rPr>
          <w:instrText xml:space="preserve"> ADDIN EN.CITE &lt;EndNote&gt;&lt;Cite AuthorYear="1"&gt;&lt;Author&gt;H.de Wet&lt;/Author&gt;&lt;Year&gt;2009&lt;/Year&gt;&lt;RecNum&gt;80&lt;/RecNum&gt;&lt;DisplayText&gt;H.de Wet&lt;style face="italic"&gt; et al.&lt;/style&gt; (2009)&lt;/DisplayText&gt;&lt;record&gt;&lt;rec-number&gt;80&lt;/rec-number&gt;&lt;foreign-keys&gt;&lt;key app="EN" db-id="0v92rzwaaxd5zpex996p2w2ud05e92fsfswr"&gt;80&lt;/key&gt;&lt;/foreign-keys&gt;&lt;ref-type name="Journal Article"&gt;17&lt;/ref-type&gt;&lt;contributors&gt;&lt;authors&gt;&lt;author&gt;H.de Wet, Albertus&lt;/author&gt;&lt;author&gt;Van Eyden, Renee&lt;/author&gt;&lt;author&gt;Gupta, Rangan&lt;/author&gt;&lt;/authors&gt;&lt;/contributors&gt;&lt;titles&gt;&lt;title&gt;Linking global economic dynamics to a South African-specific credit risk correlation model&lt;/title&gt;&lt;secondary-title&gt;Economic Modelling&lt;/secondary-title&gt;&lt;/titles&gt;&lt;periodical&gt;&lt;full-title&gt;Economic Modelling&lt;/full-title&gt;&lt;/periodical&gt;&lt;pages&gt;1000-1011&lt;/pages&gt;&lt;volume&gt;26&lt;/volume&gt;&lt;number&gt;5&lt;/number&gt;&lt;dates&gt;&lt;year&gt;2009&lt;/year&gt;&lt;/dates&gt;&lt;isbn&gt;0264-9993&lt;/isbn&gt;&lt;urls&gt;&lt;/urls&gt;&lt;/record&gt;&lt;/Cite&gt;&lt;/EndNote&gt;</w:instrText>
        </w:r>
        <w:r w:rsidRPr="004634FC">
          <w:rPr>
            <w:szCs w:val="24"/>
          </w:rPr>
          <w:fldChar w:fldCharType="separate"/>
        </w:r>
        <w:r w:rsidRPr="004634FC">
          <w:rPr>
            <w:noProof/>
            <w:szCs w:val="24"/>
          </w:rPr>
          <w:t>H.de Wet</w:t>
        </w:r>
        <w:r w:rsidRPr="004634FC">
          <w:rPr>
            <w:i/>
            <w:noProof/>
            <w:szCs w:val="24"/>
          </w:rPr>
          <w:t xml:space="preserve"> et al.</w:t>
        </w:r>
        <w:r w:rsidRPr="004634FC">
          <w:rPr>
            <w:noProof/>
            <w:szCs w:val="24"/>
          </w:rPr>
          <w:t xml:space="preserve"> </w:t>
        </w:r>
        <w:r w:rsidR="00DE6BBE">
          <w:rPr>
            <w:noProof/>
            <w:szCs w:val="24"/>
          </w:rPr>
          <w:t>[3]</w:t>
        </w:r>
        <w:r w:rsidRPr="004634FC">
          <w:rPr>
            <w:szCs w:val="24"/>
          </w:rPr>
          <w:fldChar w:fldCharType="end"/>
        </w:r>
      </w:hyperlink>
      <w:r w:rsidRPr="004634FC">
        <w:rPr>
          <w:szCs w:val="24"/>
        </w:rPr>
        <w:t xml:space="preserve"> propose to add an Afr</w:t>
      </w:r>
      <w:r w:rsidR="00DE6BBE">
        <w:rPr>
          <w:szCs w:val="24"/>
        </w:rPr>
        <w:t>ican component to the PSW</w:t>
      </w:r>
      <w:r w:rsidRPr="004634FC">
        <w:rPr>
          <w:szCs w:val="24"/>
        </w:rPr>
        <w:t xml:space="preserve"> GVAR model. The model includes main countries of South Africa trade partners and develops to be a credit risk management tool. </w:t>
      </w:r>
    </w:p>
    <w:p w:rsidR="004808C5" w:rsidRPr="004634FC" w:rsidRDefault="004808C5" w:rsidP="004634FC">
      <w:pPr>
        <w:spacing w:line="276" w:lineRule="auto"/>
        <w:ind w:firstLine="0"/>
        <w:rPr>
          <w:szCs w:val="24"/>
        </w:rPr>
      </w:pPr>
      <w:r w:rsidRPr="004634FC">
        <w:rPr>
          <w:szCs w:val="24"/>
        </w:rPr>
        <w:t xml:space="preserve">There are some studies which apply GVAR model as a tool for assessing the credit risk of corporate sectors. </w:t>
      </w:r>
      <w:hyperlink w:anchor="_ENREF_21" w:tooltip="Pesaran, 2004 #78" w:history="1">
        <w:r w:rsidRPr="004634FC">
          <w:rPr>
            <w:szCs w:val="24"/>
          </w:rPr>
          <w:fldChar w:fldCharType="begin"/>
        </w:r>
        <w:r w:rsidRPr="004634FC">
          <w:rPr>
            <w:szCs w:val="24"/>
          </w:rPr>
          <w:instrText xml:space="preserve"> ADDIN EN.CITE &lt;EndNote&gt;&lt;Cite AuthorYear="1"&gt;&lt;Author&gt;Pesaran&lt;/Author&gt;&lt;Year&gt;2004&lt;/Year&gt;&lt;RecNum&gt;78&lt;/RecNum&gt;&lt;DisplayText&gt;Pesaran&lt;style face="italic"&gt; et al.&lt;/style&gt; (2004)&lt;/DisplayText&gt;&lt;record&gt;&lt;rec-number&gt;78&lt;/rec-number&gt;&lt;foreign-keys&gt;&lt;key app="EN" db-id="0v92rzwaaxd5zpex996p2w2ud05e92fsfswr"&gt;78&lt;/key&gt;&lt;/foreign-keys&gt;&lt;ref-type name="Journal Article"&gt;17&lt;/ref-type&gt;&lt;contributors&gt;&lt;authors&gt;&lt;author&gt;Pesaran, M Hashem&lt;/author&gt;&lt;author&gt;Schuermann, Til&lt;/author&gt;&lt;author&gt;Weiner, Scott M&lt;/author&gt;&lt;/authors&gt;&lt;/contributors&gt;&lt;titles&gt;&lt;title&gt;Modeling regional interdependencies using a global error-correcting macroeconometric model&lt;/title&gt;&lt;secondary-title&gt;Journal of Business &amp;amp; Economic Statistics&lt;/secondary-title&gt;&lt;/titles&gt;&lt;periodical&gt;&lt;full-title&gt;Journal of Business &amp;amp; Economic Statistics&lt;/full-title&gt;&lt;/periodical&gt;&lt;pages&gt;129-162&lt;/pages&gt;&lt;volume&gt;22&lt;/volume&gt;&lt;number&gt;2&lt;/number&gt;&lt;dates&gt;&lt;year&gt;2004&lt;/year&gt;&lt;/dates&gt;&lt;isbn&gt;0735-0015&lt;/isbn&gt;&lt;urls&gt;&lt;/urls&gt;&lt;/record&gt;&lt;/Cite&gt;&lt;/EndNote&gt;</w:instrText>
        </w:r>
        <w:r w:rsidRPr="004634FC">
          <w:rPr>
            <w:szCs w:val="24"/>
          </w:rPr>
          <w:fldChar w:fldCharType="separate"/>
        </w:r>
        <w:r w:rsidRPr="004634FC">
          <w:rPr>
            <w:noProof/>
            <w:szCs w:val="24"/>
          </w:rPr>
          <w:t>Pesaran</w:t>
        </w:r>
        <w:r w:rsidRPr="004634FC">
          <w:rPr>
            <w:i/>
            <w:noProof/>
            <w:szCs w:val="24"/>
          </w:rPr>
          <w:t xml:space="preserve"> et al.</w:t>
        </w:r>
        <w:r w:rsidRPr="004634FC">
          <w:rPr>
            <w:noProof/>
            <w:szCs w:val="24"/>
          </w:rPr>
          <w:t xml:space="preserve"> </w:t>
        </w:r>
        <w:r w:rsidR="002C5011">
          <w:rPr>
            <w:noProof/>
            <w:szCs w:val="24"/>
          </w:rPr>
          <w:t>[13]</w:t>
        </w:r>
        <w:r w:rsidRPr="004634FC">
          <w:rPr>
            <w:szCs w:val="24"/>
          </w:rPr>
          <w:fldChar w:fldCharType="end"/>
        </w:r>
      </w:hyperlink>
      <w:r w:rsidRPr="004634FC">
        <w:rPr>
          <w:szCs w:val="24"/>
        </w:rPr>
        <w:t xml:space="preserve"> conducted a study on stress testing credit risk and the business cycle. The authors use the GVAR model to generate the scenarios to assess the impact of macroeconomic variables on business default probabilities. The model includes 25 countries grouped into 11 regions for a quarterly period from 1979 to 1999. The Global VAR model is used as an input for simulations of corporate returns, which are then linked to the distribution of losses of a corporate portfolio loan. </w:t>
      </w:r>
      <w:hyperlink w:anchor="_ENREF_2" w:tooltip="Alessandri, 2009 #79" w:history="1">
        <w:r w:rsidRPr="004634FC">
          <w:rPr>
            <w:szCs w:val="24"/>
          </w:rPr>
          <w:fldChar w:fldCharType="begin"/>
        </w:r>
        <w:r w:rsidRPr="004634FC">
          <w:rPr>
            <w:szCs w:val="24"/>
          </w:rPr>
          <w:instrText xml:space="preserve"> ADDIN EN.CITE &lt;EndNote&gt;&lt;Cite AuthorYear="1"&gt;&lt;Author&gt;Alessandri&lt;/Author&gt;&lt;Year&gt;2009&lt;/Year&gt;&lt;RecNum&gt;79&lt;/RecNum&gt;&lt;DisplayText&gt;Alessandri&lt;style face="italic"&gt; et al.&lt;/style&gt; (2009)&lt;/DisplayText&gt;&lt;record&gt;&lt;rec-number&gt;79&lt;/rec-number&gt;&lt;foreign-keys&gt;&lt;key app="EN" db-id="0v92rzwaaxd5zpex996p2w2ud05e92fsfswr"&gt;79&lt;/key&gt;&lt;/foreign-keys&gt;&lt;ref-type name="Journal Article"&gt;17&lt;/ref-type&gt;&lt;contributors&gt;&lt;authors&gt;&lt;author&gt;Alessandri, Piergiorgio&lt;/author&gt;&lt;author&gt;Gai, Prasanna&lt;/author&gt;&lt;author&gt;Kapadia, Sujit&lt;/author&gt;&lt;author&gt;Mora, Nada&lt;/author&gt;&lt;author&gt;Puhr, Claus&lt;/author&gt;&lt;/authors&gt;&lt;/contributors&gt;&lt;titles&gt;&lt;title&gt;Towards a framework for quantifying systemic stability&lt;/title&gt;&lt;secondary-title&gt;International Journal of Central Banking&lt;/secondary-title&gt;&lt;/titles&gt;&lt;periodical&gt;&lt;full-title&gt;International Journal of Central Banking&lt;/full-title&gt;&lt;/periodical&gt;&lt;pages&gt;47-81&lt;/pages&gt;&lt;volume&gt;5&lt;/volume&gt;&lt;number&gt;3&lt;/number&gt;&lt;dates&gt;&lt;year&gt;2009&lt;/year&gt;&lt;/dates&gt;&lt;urls&gt;&lt;/urls&gt;&lt;/record&gt;&lt;/Cite&gt;&lt;/EndNote&gt;</w:instrText>
        </w:r>
        <w:r w:rsidRPr="004634FC">
          <w:rPr>
            <w:szCs w:val="24"/>
          </w:rPr>
          <w:fldChar w:fldCharType="separate"/>
        </w:r>
        <w:r w:rsidRPr="004634FC">
          <w:rPr>
            <w:noProof/>
            <w:szCs w:val="24"/>
          </w:rPr>
          <w:t>Alessandri</w:t>
        </w:r>
        <w:r w:rsidRPr="004634FC">
          <w:rPr>
            <w:i/>
            <w:noProof/>
            <w:szCs w:val="24"/>
          </w:rPr>
          <w:t xml:space="preserve"> et al.</w:t>
        </w:r>
        <w:r w:rsidRPr="004634FC">
          <w:rPr>
            <w:noProof/>
            <w:szCs w:val="24"/>
          </w:rPr>
          <w:t xml:space="preserve"> </w:t>
        </w:r>
        <w:r w:rsidR="002C5011">
          <w:rPr>
            <w:noProof/>
            <w:szCs w:val="24"/>
          </w:rPr>
          <w:t>[31]</w:t>
        </w:r>
        <w:r w:rsidRPr="004634FC">
          <w:rPr>
            <w:szCs w:val="24"/>
          </w:rPr>
          <w:fldChar w:fldCharType="end"/>
        </w:r>
      </w:hyperlink>
      <w:r w:rsidRPr="004634FC">
        <w:rPr>
          <w:szCs w:val="24"/>
        </w:rPr>
        <w:t xml:space="preserve"> developed a quantitative framework for assessing the systemic risk that explicitly characterizes bank balance sheets and allows for macro-credit risk, interest income risk, market risk, network interactions, and returns effects on the assets. The basic macroeconomic model is a GVAR version of two countries: the United Kingdom as a small open economy and the United States taken as the representative of the rest of the world. The study focuses on projections on the system-wide bank assets in the UK. The investigation shows how a combination of commercial losses and extreme business losses can precipitate widespread claims and trigger a contagious defect associated with network effects and the sale of distressed assets.</w:t>
      </w:r>
    </w:p>
    <w:p w:rsidR="004808C5" w:rsidRPr="004634FC" w:rsidRDefault="004808C5" w:rsidP="004634FC">
      <w:pPr>
        <w:spacing w:line="276" w:lineRule="auto"/>
        <w:ind w:firstLine="0"/>
        <w:rPr>
          <w:szCs w:val="24"/>
        </w:rPr>
      </w:pPr>
      <w:hyperlink w:anchor="_ENREF_15" w:tooltip="H.de Wet, 2009 #80" w:history="1">
        <w:r w:rsidRPr="004634FC">
          <w:rPr>
            <w:szCs w:val="24"/>
          </w:rPr>
          <w:fldChar w:fldCharType="begin"/>
        </w:r>
        <w:r w:rsidRPr="004634FC">
          <w:rPr>
            <w:szCs w:val="24"/>
          </w:rPr>
          <w:instrText xml:space="preserve"> ADDIN EN.CITE &lt;EndNote&gt;&lt;Cite AuthorYear="1"&gt;&lt;Author&gt;H.de Wet&lt;/Author&gt;&lt;Year&gt;2009&lt;/Year&gt;&lt;RecNum&gt;80&lt;/RecNum&gt;&lt;DisplayText&gt;H.de Wet&lt;style face="italic"&gt; et al.&lt;/style&gt; (2009)&lt;/DisplayText&gt;&lt;record&gt;&lt;rec-number&gt;80&lt;/rec-number&gt;&lt;foreign-keys&gt;&lt;key app="EN" db-id="0v92rzwaaxd5zpex996p2w2ud05e92fsfswr"&gt;80&lt;/key&gt;&lt;/foreign-keys&gt;&lt;ref-type name="Journal Article"&gt;17&lt;/ref-type&gt;&lt;contributors&gt;&lt;authors&gt;&lt;author&gt;H.de Wet, Albertus&lt;/author&gt;&lt;author&gt;Van Eyden, Renee&lt;/author&gt;&lt;author&gt;Gupta, Rangan&lt;/author&gt;&lt;/authors&gt;&lt;/contributors&gt;&lt;titles&gt;&lt;title&gt;Linking global economic dynamics to a South African-specific credit risk correlation model&lt;/title&gt;&lt;secondary-title&gt;Economic Modelling&lt;/secondary-title&gt;&lt;/titles&gt;&lt;periodical&gt;&lt;full-title&gt;Economic Modelling&lt;/full-title&gt;&lt;/periodical&gt;&lt;pages&gt;1000-1011&lt;/pages&gt;&lt;volume&gt;26&lt;/volume&gt;&lt;number&gt;5&lt;/number&gt;&lt;dates&gt;&lt;year&gt;2009&lt;/year&gt;&lt;/dates&gt;&lt;isbn&gt;0264-9993&lt;/isbn&gt;&lt;urls&gt;&lt;/urls&gt;&lt;/record&gt;&lt;/Cite&gt;&lt;/EndNote&gt;</w:instrText>
        </w:r>
        <w:r w:rsidRPr="004634FC">
          <w:rPr>
            <w:szCs w:val="24"/>
          </w:rPr>
          <w:fldChar w:fldCharType="separate"/>
        </w:r>
        <w:r w:rsidRPr="004634FC">
          <w:rPr>
            <w:noProof/>
            <w:szCs w:val="24"/>
          </w:rPr>
          <w:t>H.de Wet</w:t>
        </w:r>
        <w:r w:rsidRPr="004634FC">
          <w:rPr>
            <w:i/>
            <w:noProof/>
            <w:szCs w:val="24"/>
          </w:rPr>
          <w:t xml:space="preserve"> et al.</w:t>
        </w:r>
        <w:r w:rsidRPr="004634FC">
          <w:rPr>
            <w:noProof/>
            <w:szCs w:val="24"/>
          </w:rPr>
          <w:t xml:space="preserve"> </w:t>
        </w:r>
        <w:r w:rsidR="002C5011">
          <w:rPr>
            <w:noProof/>
            <w:szCs w:val="24"/>
          </w:rPr>
          <w:t>[3]</w:t>
        </w:r>
        <w:r w:rsidRPr="004634FC">
          <w:rPr>
            <w:szCs w:val="24"/>
          </w:rPr>
          <w:fldChar w:fldCharType="end"/>
        </w:r>
      </w:hyperlink>
      <w:r w:rsidRPr="004634FC">
        <w:rPr>
          <w:szCs w:val="24"/>
        </w:rPr>
        <w:t xml:space="preserve"> develop</w:t>
      </w:r>
      <w:r w:rsidR="002C5011">
        <w:rPr>
          <w:szCs w:val="24"/>
        </w:rPr>
        <w:t>ed</w:t>
      </w:r>
      <w:r w:rsidRPr="004634FC">
        <w:rPr>
          <w:szCs w:val="24"/>
        </w:rPr>
        <w:t xml:space="preserve"> a South African component of the GVAR model for the purpose of credit portfolio management in South Africa. All domestic factors for South Africa taken into account are both at global and individual level. The GVAR model includes 14 countries trading partners of South Africa and South Africa itself. The global macroeconomic variables such as GDP, the general price index, the exchange rate, the interest rate and the money supply. Concerning the South African correlation VECM model, all these variables are retaken and added with housing price, household debt, and oil price. The main objective of their investigation is to provide specific elements of South Africa to the GVAR model. The results of their survey show that the correlation model could be used as a specific credit risk portfolio management tool for South Africa.</w:t>
      </w:r>
    </w:p>
    <w:p w:rsidR="004808C5" w:rsidRPr="004634FC" w:rsidRDefault="004808C5" w:rsidP="004634FC">
      <w:pPr>
        <w:spacing w:line="276" w:lineRule="auto"/>
        <w:ind w:firstLine="0"/>
        <w:rPr>
          <w:szCs w:val="24"/>
        </w:rPr>
      </w:pPr>
      <w:hyperlink w:anchor="_ENREF_7" w:tooltip="Castrén, 2010 #100" w:history="1">
        <w:r w:rsidRPr="004634FC">
          <w:rPr>
            <w:szCs w:val="24"/>
          </w:rPr>
          <w:fldChar w:fldCharType="begin"/>
        </w:r>
        <w:r w:rsidRPr="004634FC">
          <w:rPr>
            <w:szCs w:val="24"/>
          </w:rPr>
          <w:instrText xml:space="preserve"> ADDIN EN.CITE &lt;EndNote&gt;&lt;Cite AuthorYear="1"&gt;&lt;Author&gt;Castrén&lt;/Author&gt;&lt;Year&gt;2010&lt;/Year&gt;&lt;RecNum&gt;100&lt;/RecNum&gt;&lt;DisplayText&gt;Castrén&lt;style face="italic"&gt; et al.&lt;/style&gt; (2010)&lt;/DisplayText&gt;&lt;record&gt;&lt;rec-number&gt;100&lt;/rec-number&gt;&lt;foreign-keys&gt;&lt;key app="EN" db-id="0v92rzwaaxd5zpex996p2w2ud05e92fsfswr"&gt;100&lt;/key&gt;&lt;/foreign-keys&gt;&lt;ref-type name="Journal Article"&gt;17&lt;/ref-type&gt;&lt;contributors&gt;&lt;authors&gt;&lt;author&gt;Castrén, Olli&lt;/author&gt;&lt;author&gt;Dées, Stéphane&lt;/author&gt;&lt;author&gt;Zaher, Fadi&lt;/author&gt;&lt;/authors&gt;&lt;/contributors&gt;&lt;titles&gt;&lt;title&gt;Stress-testing euro area corporate default probabilities using a global macroeconomic model&lt;/title&gt;&lt;secondary-title&gt;Journal of Financial Stability&lt;/secondary-title&gt;&lt;/titles&gt;&lt;periodical&gt;&lt;full-title&gt;Journal of financial stability&lt;/full-title&gt;&lt;/periodical&gt;&lt;pages&gt;64-78&lt;/pages&gt;&lt;volume&gt;6&lt;/volume&gt;&lt;number&gt;2&lt;/number&gt;&lt;dates&gt;&lt;year&gt;2010&lt;/year&gt;&lt;/dates&gt;&lt;isbn&gt;1572-3089&lt;/isbn&gt;&lt;urls&gt;&lt;/urls&gt;&lt;/record&gt;&lt;/Cite&gt;&lt;/EndNote&gt;</w:instrText>
        </w:r>
        <w:r w:rsidRPr="004634FC">
          <w:rPr>
            <w:szCs w:val="24"/>
          </w:rPr>
          <w:fldChar w:fldCharType="separate"/>
        </w:r>
        <w:r w:rsidRPr="004634FC">
          <w:rPr>
            <w:noProof/>
            <w:szCs w:val="24"/>
          </w:rPr>
          <w:t>Castrén</w:t>
        </w:r>
        <w:r w:rsidRPr="004634FC">
          <w:rPr>
            <w:i/>
            <w:noProof/>
            <w:szCs w:val="24"/>
          </w:rPr>
          <w:t xml:space="preserve"> et al.</w:t>
        </w:r>
        <w:r w:rsidRPr="004634FC">
          <w:rPr>
            <w:noProof/>
            <w:szCs w:val="24"/>
          </w:rPr>
          <w:t xml:space="preserve"> </w:t>
        </w:r>
        <w:r w:rsidR="00634198">
          <w:rPr>
            <w:noProof/>
            <w:szCs w:val="24"/>
          </w:rPr>
          <w:t>[30]</w:t>
        </w:r>
        <w:r w:rsidRPr="004634FC">
          <w:rPr>
            <w:szCs w:val="24"/>
          </w:rPr>
          <w:fldChar w:fldCharType="end"/>
        </w:r>
      </w:hyperlink>
      <w:r w:rsidRPr="004634FC">
        <w:rPr>
          <w:szCs w:val="24"/>
        </w:rPr>
        <w:t xml:space="preserve"> conducted a study about euro area case with corporate default probability under a range of domestic and global macroeconomic scenarios for the period 1992-2005. They use GVAR model in order to generate the macroeconomic scenario. In addition, they use a satellite approach to link firms default probabilities to domestic euro area </w:t>
      </w:r>
      <w:r w:rsidRPr="004634FC">
        <w:rPr>
          <w:szCs w:val="24"/>
        </w:rPr>
        <w:lastRenderedPageBreak/>
        <w:t xml:space="preserve">macroeconomic factors. Once estimated, the satellite model is integrated into a GVAR model to form a satellite GVAR model. Expected default frequencies are used as credit risk indicator to capture the default probabilities of firms. Their study includes both aggregate and sectorial expected default frequencies. The authors indicate the usefulness of the Satellite GVAR model as a useful tool for analyzing macro-financial shock scenarios designed for stress testing exercises and to link this to a micro level of expected default information. </w:t>
      </w:r>
    </w:p>
    <w:p w:rsidR="004808C5" w:rsidRPr="004634FC" w:rsidRDefault="004808C5" w:rsidP="004634FC">
      <w:pPr>
        <w:spacing w:line="276" w:lineRule="auto"/>
        <w:ind w:firstLine="0"/>
        <w:rPr>
          <w:szCs w:val="24"/>
        </w:rPr>
      </w:pPr>
      <w:r w:rsidRPr="004634FC">
        <w:rPr>
          <w:szCs w:val="24"/>
        </w:rPr>
        <w:t>For stress test study that has been done in the case of Madagascar, we can distinguish IMF stress testing exercises in the FSAP program and the stress test performed by the Central bank of Madagascar in the Financial Stability Report. The methodology used by the IMF (Hardy,</w:t>
      </w:r>
      <w:r w:rsidR="00634198">
        <w:rPr>
          <w:szCs w:val="24"/>
        </w:rPr>
        <w:t xml:space="preserve"> Daniel C. and Guerra Ivan, [32]</w:t>
      </w:r>
      <w:r w:rsidRPr="004634FC">
        <w:rPr>
          <w:szCs w:val="24"/>
        </w:rPr>
        <w:t>) is the ascending stress test or bottom up approach using the financial soundness indicators. The study covers solvency, liquidity and risk stress test. The results of the study demonstrate the robustness of the banking system as a whole in the face of normal economic fluctuations, and credit risk remains predominant and other risk factors remain as important. The scenarios were based both on historical events and future forecasts, and tests focus on one-year effects.</w:t>
      </w:r>
    </w:p>
    <w:p w:rsidR="004808C5" w:rsidRPr="004634FC" w:rsidRDefault="004808C5" w:rsidP="004634FC">
      <w:pPr>
        <w:spacing w:line="276" w:lineRule="auto"/>
        <w:ind w:firstLine="0"/>
        <w:rPr>
          <w:szCs w:val="24"/>
        </w:rPr>
      </w:pPr>
      <w:r w:rsidRPr="004634FC">
        <w:rPr>
          <w:szCs w:val="24"/>
        </w:rPr>
        <w:t>In the Financial Stability Reports, the Ma</w:t>
      </w:r>
      <w:r w:rsidR="00634198">
        <w:rPr>
          <w:szCs w:val="24"/>
        </w:rPr>
        <w:t>dagascar Central Bank (BCM, [7]</w:t>
      </w:r>
      <w:r w:rsidRPr="004634FC">
        <w:rPr>
          <w:szCs w:val="24"/>
        </w:rPr>
        <w:t>,</w:t>
      </w:r>
      <w:r w:rsidR="00634198">
        <w:rPr>
          <w:szCs w:val="24"/>
        </w:rPr>
        <w:t xml:space="preserve"> [10], [11],[12]</w:t>
      </w:r>
      <w:r w:rsidRPr="004634FC">
        <w:rPr>
          <w:szCs w:val="24"/>
        </w:rPr>
        <w:t xml:space="preserve">) conducted a stress testing of the banking sector. Stress testing exercise includes solvency, liquidity and risk stress test. The methodology used focuses on the indicators of soundness and financial stability such as the adequacy of capital or solvency ratio, the quality of assets, liquidity, the coefficient of use of deposits and return on equity. The financial soundness analysis uses the Herfindahl-Hirschmann Concentration Index (HH), applied to banks' assets. The results of the analysis show the soundness and profitability of the banking sector in general, despite some signs of the small banks fragility. </w:t>
      </w:r>
    </w:p>
    <w:p w:rsidR="002A463D" w:rsidRPr="004634FC" w:rsidRDefault="003A5AD7" w:rsidP="00EF4F4C">
      <w:pPr>
        <w:pStyle w:val="ListParagraph"/>
        <w:numPr>
          <w:ilvl w:val="0"/>
          <w:numId w:val="1"/>
        </w:numPr>
        <w:spacing w:line="360" w:lineRule="auto"/>
        <w:rPr>
          <w:b/>
          <w:szCs w:val="24"/>
        </w:rPr>
      </w:pPr>
      <w:r w:rsidRPr="004634FC">
        <w:rPr>
          <w:b/>
          <w:szCs w:val="24"/>
        </w:rPr>
        <w:t>Methodology</w:t>
      </w:r>
    </w:p>
    <w:p w:rsidR="00A8548B" w:rsidRPr="004634FC" w:rsidRDefault="001E669C" w:rsidP="004634FC">
      <w:pPr>
        <w:spacing w:line="276" w:lineRule="auto"/>
        <w:ind w:firstLine="0"/>
        <w:rPr>
          <w:szCs w:val="24"/>
        </w:rPr>
      </w:pPr>
      <w:r w:rsidRPr="004634FC">
        <w:rPr>
          <w:szCs w:val="24"/>
        </w:rPr>
        <w:t>In order to assess the impact of macroeconomic shocks on credit risk, the methodology is divided into three steps</w:t>
      </w:r>
      <w:r w:rsidR="00A8548B" w:rsidRPr="004634FC">
        <w:rPr>
          <w:szCs w:val="24"/>
        </w:rPr>
        <w:t xml:space="preserve">. First of all, we construct and estimate the GVAR model </w:t>
      </w:r>
      <w:r w:rsidRPr="004634FC">
        <w:rPr>
          <w:szCs w:val="24"/>
        </w:rPr>
        <w:t>to capture</w:t>
      </w:r>
      <w:r w:rsidR="00A8548B" w:rsidRPr="004634FC">
        <w:rPr>
          <w:szCs w:val="24"/>
        </w:rPr>
        <w:t xml:space="preserve"> the global and foreign chocks effect on Madagascar macroeconomic variables. </w:t>
      </w:r>
      <w:r w:rsidR="002E2E55" w:rsidRPr="004634FC">
        <w:rPr>
          <w:szCs w:val="24"/>
        </w:rPr>
        <w:t>Then, in the satellite model, we estimate separately the relation between domestic macroeconomic factors in the GVAR model and the credit risk indicator. Finally, the result of satellite model will be integrated into the GVAR model in order to capture the effect of global and foreign shocks on the credit risk indicator</w:t>
      </w:r>
      <w:r w:rsidR="00A8548B" w:rsidRPr="004634FC">
        <w:rPr>
          <w:szCs w:val="24"/>
        </w:rPr>
        <w:t>. The satellite approach combines to the GVAR model forms the Satellite GVAR model.</w:t>
      </w:r>
    </w:p>
    <w:p w:rsidR="001C220F" w:rsidRPr="004634FC" w:rsidRDefault="00335F38" w:rsidP="00EF4F4C">
      <w:pPr>
        <w:pStyle w:val="ListParagraph"/>
        <w:numPr>
          <w:ilvl w:val="0"/>
          <w:numId w:val="10"/>
        </w:numPr>
        <w:spacing w:line="360" w:lineRule="auto"/>
        <w:rPr>
          <w:b/>
          <w:i/>
          <w:szCs w:val="24"/>
        </w:rPr>
      </w:pPr>
      <w:r w:rsidRPr="004634FC">
        <w:rPr>
          <w:b/>
          <w:i/>
          <w:szCs w:val="24"/>
        </w:rPr>
        <w:t>The model</w:t>
      </w:r>
    </w:p>
    <w:p w:rsidR="00A8548B" w:rsidRPr="004634FC" w:rsidRDefault="00A8548B" w:rsidP="004634FC">
      <w:pPr>
        <w:spacing w:line="276" w:lineRule="auto"/>
        <w:ind w:firstLine="0"/>
        <w:rPr>
          <w:szCs w:val="24"/>
        </w:rPr>
      </w:pPr>
      <w:r w:rsidRPr="004634FC">
        <w:rPr>
          <w:szCs w:val="24"/>
        </w:rPr>
        <w:t xml:space="preserve">The construction of the GVAR model which carries out Madagascar components is based on the Pesaran et al. </w:t>
      </w:r>
      <w:r w:rsidR="00634198">
        <w:rPr>
          <w:szCs w:val="24"/>
        </w:rPr>
        <w:t>[13]</w:t>
      </w:r>
      <w:r w:rsidRPr="004634FC">
        <w:rPr>
          <w:szCs w:val="24"/>
        </w:rPr>
        <w:t xml:space="preserve"> and Dées et al </w:t>
      </w:r>
      <w:r w:rsidR="00634198">
        <w:rPr>
          <w:szCs w:val="24"/>
        </w:rPr>
        <w:t>[14]</w:t>
      </w:r>
      <w:r w:rsidRPr="004634FC">
        <w:rPr>
          <w:szCs w:val="24"/>
        </w:rPr>
        <w:t xml:space="preserve"> methodology</w:t>
      </w:r>
      <w:r w:rsidR="000167D2" w:rsidRPr="004634FC">
        <w:rPr>
          <w:szCs w:val="24"/>
        </w:rPr>
        <w:t>. C</w:t>
      </w:r>
      <w:r w:rsidRPr="004634FC">
        <w:rPr>
          <w:szCs w:val="24"/>
        </w:rPr>
        <w:t xml:space="preserve">ountries and regions to </w:t>
      </w:r>
      <w:r w:rsidR="00EA7460" w:rsidRPr="004634FC">
        <w:rPr>
          <w:szCs w:val="24"/>
        </w:rPr>
        <w:t>make up</w:t>
      </w:r>
      <w:r w:rsidRPr="004634FC">
        <w:rPr>
          <w:szCs w:val="24"/>
        </w:rPr>
        <w:t xml:space="preserve"> the GVAR model </w:t>
      </w:r>
      <w:r w:rsidR="000167D2" w:rsidRPr="004634FC">
        <w:rPr>
          <w:szCs w:val="24"/>
        </w:rPr>
        <w:t xml:space="preserve">are </w:t>
      </w:r>
      <w:r w:rsidRPr="004634FC">
        <w:rPr>
          <w:szCs w:val="24"/>
        </w:rPr>
        <w:t>considered as best suited for the economic situation of Madagascar.</w:t>
      </w:r>
    </w:p>
    <w:p w:rsidR="00706A2C" w:rsidRPr="004634FC" w:rsidRDefault="00A8548B" w:rsidP="004634FC">
      <w:pPr>
        <w:spacing w:line="276" w:lineRule="auto"/>
        <w:ind w:firstLine="0"/>
        <w:rPr>
          <w:szCs w:val="24"/>
        </w:rPr>
      </w:pPr>
      <w:r w:rsidRPr="004634FC">
        <w:rPr>
          <w:szCs w:val="24"/>
        </w:rPr>
        <w:lastRenderedPageBreak/>
        <w:t>GVAR model is a global model that combines individual country VECMX* or VECM with exogenous variables models, in which domestic variables are related to country-spe</w:t>
      </w:r>
      <w:r w:rsidR="006B3EE8" w:rsidRPr="004634FC">
        <w:rPr>
          <w:szCs w:val="24"/>
        </w:rPr>
        <w:t>cific foreign variables</w:t>
      </w:r>
      <w:r w:rsidRPr="004634FC">
        <w:rPr>
          <w:szCs w:val="24"/>
        </w:rPr>
        <w:t xml:space="preserve">. The model assumes that </w:t>
      </w:r>
      <w:r w:rsidR="00543257" w:rsidRPr="004634FC">
        <w:rPr>
          <w:szCs w:val="24"/>
        </w:rPr>
        <w:t>there</w:t>
      </w:r>
      <w:r w:rsidR="00532E80" w:rsidRPr="004634FC">
        <w:rPr>
          <w:szCs w:val="24"/>
        </w:rPr>
        <w:t xml:space="preserve"> is</w:t>
      </w:r>
      <w:r w:rsidR="00543257" w:rsidRPr="004634FC">
        <w:rPr>
          <w:szCs w:val="24"/>
        </w:rPr>
        <w:t xml:space="preserve"> an</w:t>
      </w:r>
      <w:r w:rsidR="006F4043" w:rsidRPr="004634FC">
        <w:rPr>
          <w:szCs w:val="24"/>
        </w:rPr>
        <w:t xml:space="preserve"> N+1 countries</w:t>
      </w:r>
      <w:r w:rsidRPr="004634FC">
        <w:rPr>
          <w:szCs w:val="24"/>
        </w:rPr>
        <w:t xml:space="preserve"> in the global economy, where i=0,1,2…N, </w:t>
      </w:r>
      <w:r w:rsidR="006B3EE8" w:rsidRPr="004634FC">
        <w:rPr>
          <w:szCs w:val="24"/>
        </w:rPr>
        <w:t>where</w:t>
      </w:r>
      <w:r w:rsidRPr="004634FC">
        <w:rPr>
          <w:szCs w:val="24"/>
        </w:rPr>
        <w:t xml:space="preserve"> 0</w:t>
      </w:r>
      <w:r w:rsidR="006B3EE8" w:rsidRPr="004634FC">
        <w:rPr>
          <w:szCs w:val="24"/>
        </w:rPr>
        <w:t xml:space="preserve"> is</w:t>
      </w:r>
      <w:r w:rsidRPr="004634FC">
        <w:rPr>
          <w:szCs w:val="24"/>
        </w:rPr>
        <w:t xml:space="preserve"> the cross-reference country. In the most case, reference country is the United States.</w:t>
      </w:r>
      <w:r w:rsidR="00205623" w:rsidRPr="004634FC">
        <w:rPr>
          <w:szCs w:val="24"/>
        </w:rPr>
        <w:t xml:space="preserve"> </w:t>
      </w:r>
      <w:r w:rsidRPr="004634FC">
        <w:rPr>
          <w:szCs w:val="24"/>
        </w:rPr>
        <w:t xml:space="preserve">GVAR model </w:t>
      </w:r>
      <w:r w:rsidR="00823FC4" w:rsidRPr="004634FC">
        <w:rPr>
          <w:szCs w:val="24"/>
        </w:rPr>
        <w:t>has the following reduced form:</w:t>
      </w:r>
    </w:p>
    <w:p w:rsidR="00706A2C" w:rsidRPr="004634FC" w:rsidRDefault="009D4065" w:rsidP="00EF4F4C">
      <w:pPr>
        <w:pStyle w:val="ListParagraph"/>
        <w:spacing w:line="360" w:lineRule="auto"/>
        <w:ind w:left="0" w:firstLine="0"/>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i0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i1</m:t>
            </m:r>
          </m:sub>
        </m:sSub>
        <m:sSub>
          <m:sSubPr>
            <m:ctrlPr>
              <w:rPr>
                <w:rFonts w:ascii="Cambria Math" w:hAnsi="Cambria Math"/>
                <w:i/>
                <w:szCs w:val="24"/>
              </w:rPr>
            </m:ctrlPr>
          </m:sSubPr>
          <m:e>
            <m:r>
              <w:rPr>
                <w:rFonts w:ascii="Cambria Math" w:hAnsi="Cambria Math"/>
                <w:szCs w:val="24"/>
              </w:rPr>
              <m:t>+Ѱ</m:t>
            </m:r>
          </m:e>
          <m:sub>
            <m:r>
              <w:rPr>
                <w:rFonts w:ascii="Cambria Math" w:hAnsi="Cambria Math"/>
                <w:szCs w:val="24"/>
              </w:rPr>
              <m:t>i0</m:t>
            </m:r>
          </m:sub>
        </m:sSub>
        <m:sSub>
          <m:sSubPr>
            <m:ctrlPr>
              <w:rPr>
                <w:rFonts w:ascii="Cambria Math" w:hAnsi="Cambria Math"/>
                <w:i/>
                <w:szCs w:val="24"/>
              </w:rPr>
            </m:ctrlPr>
          </m:sSubPr>
          <m:e>
            <m:r>
              <w:rPr>
                <w:rFonts w:ascii="Cambria Math" w:hAnsi="Cambria Math"/>
                <w:szCs w:val="24"/>
              </w:rPr>
              <m:t>d</m:t>
            </m:r>
          </m:e>
          <m:sub>
            <m:r>
              <w:rPr>
                <w:rFonts w:ascii="Cambria Math" w:hAnsi="Cambria Math"/>
                <w:szCs w:val="24"/>
              </w:rPr>
              <m:t>t</m:t>
            </m:r>
          </m:sub>
        </m:sSub>
        <m:sSub>
          <m:sSubPr>
            <m:ctrlPr>
              <w:rPr>
                <w:rFonts w:ascii="Cambria Math" w:hAnsi="Cambria Math"/>
                <w:i/>
                <w:szCs w:val="24"/>
              </w:rPr>
            </m:ctrlPr>
          </m:sSubPr>
          <m:e>
            <m:r>
              <w:rPr>
                <w:rFonts w:ascii="Cambria Math" w:hAnsi="Cambria Math"/>
                <w:szCs w:val="24"/>
              </w:rPr>
              <m:t>+Ѱ</m:t>
            </m:r>
          </m:e>
          <m:sub>
            <m:r>
              <w:rPr>
                <w:rFonts w:ascii="Cambria Math" w:hAnsi="Cambria Math"/>
                <w:szCs w:val="24"/>
              </w:rPr>
              <m:t>i1</m:t>
            </m:r>
          </m:sub>
        </m:sSub>
        <m:sSub>
          <m:sSubPr>
            <m:ctrlPr>
              <w:rPr>
                <w:rFonts w:ascii="Cambria Math" w:hAnsi="Cambria Math"/>
                <w:i/>
                <w:szCs w:val="24"/>
              </w:rPr>
            </m:ctrlPr>
          </m:sSubPr>
          <m:e>
            <m:r>
              <w:rPr>
                <w:rFonts w:ascii="Cambria Math" w:hAnsi="Cambria Math"/>
                <w:szCs w:val="24"/>
              </w:rPr>
              <m:t>d</m:t>
            </m:r>
          </m:e>
          <m:sub>
            <m:r>
              <w:rPr>
                <w:rFonts w:ascii="Cambria Math" w:hAnsi="Cambria Math"/>
                <w:szCs w:val="24"/>
              </w:rPr>
              <m:t>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ф</m:t>
            </m:r>
          </m:e>
          <m:sub>
            <m:r>
              <w:rPr>
                <w:rFonts w:ascii="Cambria Math" w:hAnsi="Cambria Math"/>
                <w:szCs w:val="24"/>
              </w:rPr>
              <m:t>i1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ф</m:t>
            </m:r>
          </m:e>
          <m:sub>
            <m:r>
              <w:rPr>
                <w:rFonts w:ascii="Cambria Math" w:hAnsi="Cambria Math"/>
                <w:szCs w:val="24"/>
              </w:rPr>
              <m:t>i2</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Ʌ</m:t>
            </m:r>
          </m:e>
          <m:sub>
            <m:r>
              <w:rPr>
                <w:rFonts w:ascii="Cambria Math" w:hAnsi="Cambria Math"/>
                <w:szCs w:val="24"/>
              </w:rPr>
              <m:t>i0</m:t>
            </m:r>
          </m:sub>
        </m:sSub>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i,t</m:t>
            </m:r>
          </m:sub>
          <m:sup>
            <m:r>
              <w:rPr>
                <w:rFonts w:ascii="Cambria Math" w:hAnsi="Cambria Math"/>
                <w:szCs w:val="24"/>
              </w:rPr>
              <m:t>*</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Ʌ</m:t>
            </m:r>
          </m:e>
          <m:sub>
            <m:r>
              <w:rPr>
                <w:rFonts w:ascii="Cambria Math" w:hAnsi="Cambria Math"/>
                <w:szCs w:val="24"/>
              </w:rPr>
              <m:t>i1</m:t>
            </m:r>
          </m:sub>
        </m:sSub>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i,t-1</m:t>
            </m:r>
          </m:sub>
          <m:sup>
            <m:r>
              <w:rPr>
                <w:rFonts w:ascii="Cambria Math" w:hAnsi="Cambria Math"/>
                <w:szCs w:val="24"/>
              </w:rPr>
              <m:t>*</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it</m:t>
            </m:r>
          </m:sub>
        </m:sSub>
      </m:oMath>
      <w:r w:rsidR="00F64DEE" w:rsidRPr="00EA38D2">
        <w:rPr>
          <w:rFonts w:eastAsia="Times New Roman"/>
          <w:szCs w:val="24"/>
        </w:rPr>
        <w:t xml:space="preserve"> (1)</w:t>
      </w:r>
    </w:p>
    <w:p w:rsidR="00706A2C" w:rsidRPr="004634FC" w:rsidRDefault="00706A2C" w:rsidP="00EF4F4C">
      <w:pPr>
        <w:spacing w:line="360" w:lineRule="auto"/>
        <w:rPr>
          <w:szCs w:val="24"/>
        </w:rPr>
      </w:pPr>
      <w:r w:rsidRPr="004634FC">
        <w:rPr>
          <w:szCs w:val="24"/>
        </w:rPr>
        <w:tab/>
      </w:r>
      <w:r w:rsidRPr="004634FC">
        <w:rPr>
          <w:szCs w:val="24"/>
        </w:rPr>
        <w:tab/>
      </w:r>
      <w:r w:rsidRPr="004634FC">
        <w:rPr>
          <w:szCs w:val="24"/>
        </w:rPr>
        <w:tab/>
        <w:t xml:space="preserve">For  </w:t>
      </w:r>
      <m:oMath>
        <m:r>
          <w:rPr>
            <w:rFonts w:ascii="Cambria Math" w:hAnsi="Cambria Math"/>
            <w:szCs w:val="24"/>
          </w:rPr>
          <m:t>t=1,2,…,T</m:t>
        </m:r>
      </m:oMath>
      <w:r w:rsidRPr="004634FC">
        <w:rPr>
          <w:szCs w:val="24"/>
        </w:rPr>
        <w:t xml:space="preserve"> et </w:t>
      </w:r>
      <m:oMath>
        <m:r>
          <w:rPr>
            <w:rFonts w:ascii="Cambria Math" w:hAnsi="Cambria Math"/>
            <w:szCs w:val="24"/>
          </w:rPr>
          <m:t>i=0,1,2,…,N</m:t>
        </m:r>
      </m:oMath>
    </w:p>
    <w:p w:rsidR="00706A2C" w:rsidRPr="004634FC" w:rsidRDefault="00706A2C" w:rsidP="004808C5">
      <w:pPr>
        <w:spacing w:before="0" w:beforeAutospacing="0" w:after="0" w:afterAutospacing="0" w:line="276" w:lineRule="auto"/>
        <w:ind w:firstLine="0"/>
        <w:rPr>
          <w:szCs w:val="24"/>
        </w:rPr>
      </w:pPr>
      <w:r w:rsidRPr="004634FC">
        <w:rPr>
          <w:szCs w:val="24"/>
        </w:rPr>
        <w:t xml:space="preserve">Where,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it</m:t>
            </m:r>
          </m:sub>
        </m:sSub>
      </m:oMath>
      <w:r w:rsidRPr="004634FC">
        <w:rPr>
          <w:szCs w:val="24"/>
        </w:rPr>
        <w:t xml:space="preserve"> is a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i</m:t>
            </m:r>
          </m:sub>
        </m:sSub>
        <m:r>
          <w:rPr>
            <w:rFonts w:ascii="Cambria Math" w:hAnsi="Cambria Math"/>
            <w:szCs w:val="24"/>
          </w:rPr>
          <m:t>×T</m:t>
        </m:r>
      </m:oMath>
      <w:r w:rsidRPr="004634FC">
        <w:rPr>
          <w:szCs w:val="24"/>
        </w:rPr>
        <w:t xml:space="preserve"> </w:t>
      </w:r>
      <w:r w:rsidR="004B4B83" w:rsidRPr="004634FC">
        <w:rPr>
          <w:szCs w:val="24"/>
        </w:rPr>
        <w:t>vect</w:t>
      </w:r>
      <w:r w:rsidR="002F2501" w:rsidRPr="004634FC">
        <w:rPr>
          <w:szCs w:val="24"/>
        </w:rPr>
        <w:t>or of country specific variables</w:t>
      </w:r>
    </w:p>
    <w:p w:rsidR="00706A2C" w:rsidRPr="004634FC" w:rsidRDefault="009D4065" w:rsidP="004808C5">
      <w:pPr>
        <w:spacing w:before="0" w:beforeAutospacing="0" w:after="0" w:afterAutospacing="0" w:line="276" w:lineRule="auto"/>
        <w:ind w:firstLine="0"/>
        <w:rPr>
          <w:szCs w:val="24"/>
        </w:rPr>
      </w:pP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i1</m:t>
            </m:r>
          </m:sub>
        </m:sSub>
      </m:oMath>
      <w:r w:rsidR="004B4B83" w:rsidRPr="004634FC">
        <w:rPr>
          <w:szCs w:val="24"/>
        </w:rPr>
        <w:t xml:space="preserve"> is a</w:t>
      </w:r>
      <w:r w:rsidR="00706A2C" w:rsidRPr="004634FC">
        <w:rPr>
          <w:szCs w:val="24"/>
        </w:rPr>
        <w:t xml:space="preserve">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i</m:t>
            </m:r>
          </m:sub>
        </m:sSub>
        <m:r>
          <w:rPr>
            <w:rFonts w:ascii="Cambria Math" w:hAnsi="Cambria Math"/>
            <w:szCs w:val="24"/>
          </w:rPr>
          <m:t>×1</m:t>
        </m:r>
      </m:oMath>
      <w:r w:rsidR="00706A2C" w:rsidRPr="004634FC">
        <w:rPr>
          <w:szCs w:val="24"/>
        </w:rPr>
        <w:t xml:space="preserve"> </w:t>
      </w:r>
      <w:r w:rsidR="004B4B83" w:rsidRPr="004634FC">
        <w:rPr>
          <w:szCs w:val="24"/>
        </w:rPr>
        <w:t>vector of linear coefficient</w:t>
      </w:r>
    </w:p>
    <w:p w:rsidR="004B4B83" w:rsidRPr="004634FC" w:rsidRDefault="00706A2C" w:rsidP="004808C5">
      <w:pPr>
        <w:spacing w:before="0" w:beforeAutospacing="0" w:after="0" w:afterAutospacing="0" w:line="276" w:lineRule="auto"/>
        <w:ind w:firstLine="0"/>
        <w:rPr>
          <w:szCs w:val="24"/>
        </w:rPr>
      </w:pPr>
      <w:r w:rsidRPr="004634FC">
        <w:rPr>
          <w:szCs w:val="24"/>
        </w:rPr>
        <w:t xml:space="preserve"> </w:t>
      </w:r>
      <m:oMath>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it</m:t>
            </m:r>
          </m:sub>
          <m:sup>
            <m:r>
              <w:rPr>
                <w:rFonts w:ascii="Cambria Math" w:hAnsi="Cambria Math"/>
                <w:szCs w:val="24"/>
              </w:rPr>
              <m:t>*</m:t>
            </m:r>
          </m:sup>
        </m:sSubSup>
      </m:oMath>
      <w:r w:rsidR="004B4B83" w:rsidRPr="004634FC">
        <w:rPr>
          <w:szCs w:val="24"/>
        </w:rPr>
        <w:t xml:space="preserve"> is a</w:t>
      </w:r>
      <w:r w:rsidRPr="004634FC">
        <w:rPr>
          <w:szCs w:val="24"/>
        </w:rPr>
        <w:t xml:space="preserve"> </w:t>
      </w:r>
      <m:oMath>
        <m:sSubSup>
          <m:sSubSupPr>
            <m:ctrlPr>
              <w:rPr>
                <w:rFonts w:ascii="Cambria Math" w:hAnsi="Cambria Math"/>
                <w:i/>
                <w:szCs w:val="24"/>
              </w:rPr>
            </m:ctrlPr>
          </m:sSubSupPr>
          <m:e>
            <m:r>
              <w:rPr>
                <w:rFonts w:ascii="Cambria Math" w:hAnsi="Cambria Math"/>
                <w:szCs w:val="24"/>
              </w:rPr>
              <m:t>k</m:t>
            </m:r>
          </m:e>
          <m:sub>
            <m:r>
              <w:rPr>
                <w:rFonts w:ascii="Cambria Math" w:hAnsi="Cambria Math"/>
                <w:szCs w:val="24"/>
              </w:rPr>
              <m:t>i</m:t>
            </m:r>
          </m:sub>
          <m:sup>
            <m:r>
              <w:rPr>
                <w:rFonts w:ascii="Cambria Math" w:hAnsi="Cambria Math"/>
                <w:szCs w:val="24"/>
              </w:rPr>
              <m:t>*</m:t>
            </m:r>
          </m:sup>
        </m:sSubSup>
        <m:r>
          <w:rPr>
            <w:rFonts w:ascii="Cambria Math" w:hAnsi="Cambria Math"/>
            <w:szCs w:val="24"/>
          </w:rPr>
          <m:t>×T</m:t>
        </m:r>
      </m:oMath>
      <w:r w:rsidRPr="004634FC">
        <w:rPr>
          <w:szCs w:val="24"/>
        </w:rPr>
        <w:t xml:space="preserve"> </w:t>
      </w:r>
      <w:r w:rsidR="004B4B83" w:rsidRPr="004634FC">
        <w:rPr>
          <w:szCs w:val="24"/>
        </w:rPr>
        <w:t>vector of specific foreign variables of country</w:t>
      </w:r>
      <w:r w:rsidRPr="004634FC">
        <w:rPr>
          <w:szCs w:val="24"/>
        </w:rPr>
        <w:t xml:space="preserve"> </w:t>
      </w:r>
      <m:oMath>
        <m:r>
          <w:rPr>
            <w:rFonts w:ascii="Cambria Math" w:hAnsi="Cambria Math"/>
            <w:szCs w:val="24"/>
          </w:rPr>
          <m:t>i</m:t>
        </m:r>
      </m:oMath>
      <w:r w:rsidRPr="004634FC">
        <w:rPr>
          <w:szCs w:val="24"/>
        </w:rPr>
        <w:t> ;</w:t>
      </w:r>
      <w:r w:rsidR="004B4B83" w:rsidRPr="004634FC">
        <w:rPr>
          <w:szCs w:val="24"/>
        </w:rPr>
        <w:t xml:space="preserve"> with </w:t>
      </w:r>
      <w:r w:rsidRPr="004634FC">
        <w:rPr>
          <w:szCs w:val="24"/>
        </w:rPr>
        <w:t xml:space="preserve"> </w:t>
      </w:r>
      <m:oMath>
        <m:sSub>
          <m:sSubPr>
            <m:ctrlPr>
              <w:rPr>
                <w:rFonts w:ascii="Cambria Math" w:hAnsi="Cambria Math"/>
                <w:i/>
                <w:szCs w:val="24"/>
              </w:rPr>
            </m:ctrlPr>
          </m:sSubPr>
          <m:e>
            <m:r>
              <w:rPr>
                <w:rFonts w:ascii="Cambria Math" w:hAnsi="Cambria Math"/>
                <w:szCs w:val="24"/>
              </w:rPr>
              <m:t>Ʌ</m:t>
            </m:r>
          </m:e>
          <m:sub>
            <m:r>
              <w:rPr>
                <w:rFonts w:ascii="Cambria Math" w:hAnsi="Cambria Math"/>
                <w:szCs w:val="24"/>
              </w:rPr>
              <m:t>i0</m:t>
            </m:r>
          </m:sub>
        </m:sSub>
      </m:oMath>
      <w:r w:rsidRPr="004634FC">
        <w:rPr>
          <w:szCs w:val="24"/>
        </w:rPr>
        <w:t xml:space="preserve"> </w:t>
      </w:r>
      <w:r w:rsidR="004B4B83" w:rsidRPr="004634FC">
        <w:rPr>
          <w:szCs w:val="24"/>
        </w:rPr>
        <w:t>and</w:t>
      </w:r>
      <w:r w:rsidRPr="004634FC">
        <w:rPr>
          <w:szCs w:val="24"/>
        </w:rPr>
        <w:t xml:space="preserve">  </w:t>
      </w:r>
      <m:oMath>
        <m:sSub>
          <m:sSubPr>
            <m:ctrlPr>
              <w:rPr>
                <w:rFonts w:ascii="Cambria Math" w:hAnsi="Cambria Math"/>
                <w:i/>
                <w:szCs w:val="24"/>
              </w:rPr>
            </m:ctrlPr>
          </m:sSubPr>
          <m:e>
            <m:r>
              <w:rPr>
                <w:rFonts w:ascii="Cambria Math" w:hAnsi="Cambria Math"/>
                <w:szCs w:val="24"/>
              </w:rPr>
              <m:t>Ʌ</m:t>
            </m:r>
          </m:e>
          <m:sub>
            <m:r>
              <w:rPr>
                <w:rFonts w:ascii="Cambria Math" w:hAnsi="Cambria Math"/>
                <w:szCs w:val="24"/>
              </w:rPr>
              <m:t>i1</m:t>
            </m:r>
          </m:sub>
        </m:sSub>
      </m:oMath>
      <w:r w:rsidR="004B4B83" w:rsidRPr="004634FC">
        <w:rPr>
          <w:szCs w:val="24"/>
        </w:rPr>
        <w:t xml:space="preserve"> </w:t>
      </w:r>
      <w:r w:rsidR="002F2501" w:rsidRPr="004634FC">
        <w:rPr>
          <w:szCs w:val="24"/>
        </w:rPr>
        <w:t>matrix</w:t>
      </w:r>
      <w:r w:rsidRPr="004634FC">
        <w:rPr>
          <w:szCs w:val="24"/>
        </w:rPr>
        <w:t xml:space="preserve">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i</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k</m:t>
            </m:r>
          </m:e>
          <m:sub>
            <m:r>
              <w:rPr>
                <w:rFonts w:ascii="Cambria Math" w:hAnsi="Cambria Math"/>
                <w:szCs w:val="24"/>
              </w:rPr>
              <m:t>i</m:t>
            </m:r>
          </m:sub>
          <m:sup>
            <m:r>
              <w:rPr>
                <w:rFonts w:ascii="Cambria Math" w:hAnsi="Cambria Math"/>
                <w:szCs w:val="24"/>
              </w:rPr>
              <m:t>*</m:t>
            </m:r>
          </m:sup>
        </m:sSubSup>
      </m:oMath>
      <w:r w:rsidR="002F2501" w:rsidRPr="004634FC">
        <w:rPr>
          <w:szCs w:val="24"/>
        </w:rPr>
        <w:t xml:space="preserve"> matrix</w:t>
      </w:r>
      <w:r w:rsidRPr="004634FC">
        <w:rPr>
          <w:szCs w:val="24"/>
        </w:rPr>
        <w:t xml:space="preserve"> </w:t>
      </w:r>
      <w:r w:rsidR="004B4B83" w:rsidRPr="004634FC">
        <w:rPr>
          <w:szCs w:val="24"/>
        </w:rPr>
        <w:t>of fixed coefficient</w:t>
      </w:r>
    </w:p>
    <w:p w:rsidR="004B4B83" w:rsidRPr="004634FC" w:rsidRDefault="009D4065" w:rsidP="004808C5">
      <w:pPr>
        <w:spacing w:before="0" w:beforeAutospacing="0" w:after="0" w:afterAutospacing="0" w:line="276" w:lineRule="auto"/>
        <w:ind w:firstLine="0"/>
        <w:rPr>
          <w:szCs w:val="24"/>
        </w:rPr>
      </w:pPr>
      <m:oMath>
        <m:sSub>
          <m:sSubPr>
            <m:ctrlPr>
              <w:rPr>
                <w:rFonts w:ascii="Cambria Math" w:hAnsi="Cambria Math"/>
                <w:i/>
                <w:szCs w:val="24"/>
              </w:rPr>
            </m:ctrlPr>
          </m:sSubPr>
          <m:e>
            <m:r>
              <w:rPr>
                <w:rFonts w:ascii="Cambria Math" w:hAnsi="Cambria Math"/>
                <w:szCs w:val="24"/>
              </w:rPr>
              <m:t>d</m:t>
            </m:r>
          </m:e>
          <m:sub>
            <m:r>
              <w:rPr>
                <w:rFonts w:ascii="Cambria Math" w:hAnsi="Cambria Math"/>
                <w:szCs w:val="24"/>
              </w:rPr>
              <m:t>t</m:t>
            </m:r>
          </m:sub>
        </m:sSub>
      </m:oMath>
      <w:r w:rsidR="004B4B83" w:rsidRPr="004634FC">
        <w:rPr>
          <w:szCs w:val="24"/>
        </w:rPr>
        <w:t xml:space="preserve"> is a</w:t>
      </w:r>
      <w:r w:rsidR="00706A2C" w:rsidRPr="004634FC">
        <w:rPr>
          <w:szCs w:val="24"/>
        </w:rPr>
        <w:t xml:space="preserve"> </w:t>
      </w:r>
      <m:oMath>
        <m:r>
          <w:rPr>
            <w:rFonts w:ascii="Cambria Math" w:hAnsi="Cambria Math"/>
            <w:szCs w:val="24"/>
          </w:rPr>
          <m:t>s×T</m:t>
        </m:r>
      </m:oMath>
      <w:r w:rsidR="00706A2C" w:rsidRPr="004634FC">
        <w:rPr>
          <w:szCs w:val="24"/>
        </w:rPr>
        <w:t xml:space="preserve"> </w:t>
      </w:r>
      <w:r w:rsidR="004B4B83" w:rsidRPr="004634FC">
        <w:rPr>
          <w:szCs w:val="24"/>
        </w:rPr>
        <w:t>vector of global variables such as oil price, raw material price and metal price</w:t>
      </w:r>
      <w:r w:rsidR="00706A2C" w:rsidRPr="004634FC">
        <w:rPr>
          <w:szCs w:val="24"/>
        </w:rPr>
        <w:t xml:space="preserve">, </w:t>
      </w:r>
      <w:r w:rsidR="006B3EE8" w:rsidRPr="004634FC">
        <w:rPr>
          <w:szCs w:val="24"/>
        </w:rPr>
        <w:t>and they</w:t>
      </w:r>
      <w:r w:rsidR="004B4B83" w:rsidRPr="004634FC">
        <w:rPr>
          <w:szCs w:val="24"/>
        </w:rPr>
        <w:t xml:space="preserve"> are exogenous for all country </w:t>
      </w:r>
      <w:r w:rsidR="00706A2C" w:rsidRPr="004634FC">
        <w:rPr>
          <w:szCs w:val="24"/>
        </w:rPr>
        <w:t xml:space="preserve">; </w:t>
      </w:r>
      <w:r w:rsidR="004B4B83" w:rsidRPr="004634FC">
        <w:rPr>
          <w:szCs w:val="24"/>
        </w:rPr>
        <w:t>with</w:t>
      </w:r>
      <w:r w:rsidR="00706A2C" w:rsidRPr="004634FC">
        <w:rPr>
          <w:szCs w:val="24"/>
        </w:rPr>
        <w:t xml:space="preserve">  </w:t>
      </w:r>
      <m:oMath>
        <m:sSub>
          <m:sSubPr>
            <m:ctrlPr>
              <w:rPr>
                <w:rFonts w:ascii="Cambria Math" w:hAnsi="Cambria Math"/>
                <w:i/>
                <w:szCs w:val="24"/>
              </w:rPr>
            </m:ctrlPr>
          </m:sSubPr>
          <m:e>
            <m:r>
              <w:rPr>
                <w:rFonts w:ascii="Cambria Math" w:hAnsi="Cambria Math"/>
                <w:szCs w:val="24"/>
              </w:rPr>
              <m:t>Ѱ</m:t>
            </m:r>
          </m:e>
          <m:sub>
            <m:r>
              <w:rPr>
                <w:rFonts w:ascii="Cambria Math" w:hAnsi="Cambria Math"/>
                <w:szCs w:val="24"/>
              </w:rPr>
              <m:t>i0</m:t>
            </m:r>
          </m:sub>
        </m:sSub>
      </m:oMath>
      <w:r w:rsidR="004B4B83" w:rsidRPr="004634FC">
        <w:rPr>
          <w:szCs w:val="24"/>
        </w:rPr>
        <w:t xml:space="preserve"> and</w:t>
      </w:r>
      <w:r w:rsidR="00706A2C" w:rsidRPr="004634FC">
        <w:rPr>
          <w:szCs w:val="24"/>
        </w:rPr>
        <w:t xml:space="preserve">  </w:t>
      </w:r>
      <m:oMath>
        <m:sSub>
          <m:sSubPr>
            <m:ctrlPr>
              <w:rPr>
                <w:rFonts w:ascii="Cambria Math" w:hAnsi="Cambria Math"/>
                <w:i/>
                <w:szCs w:val="24"/>
              </w:rPr>
            </m:ctrlPr>
          </m:sSubPr>
          <m:e>
            <m:r>
              <w:rPr>
                <w:rFonts w:ascii="Cambria Math" w:hAnsi="Cambria Math"/>
                <w:szCs w:val="24"/>
              </w:rPr>
              <m:t>Ѱ</m:t>
            </m:r>
          </m:e>
          <m:sub>
            <m:r>
              <w:rPr>
                <w:rFonts w:ascii="Cambria Math" w:hAnsi="Cambria Math"/>
                <w:szCs w:val="24"/>
              </w:rPr>
              <m:t>i1</m:t>
            </m:r>
          </m:sub>
        </m:sSub>
      </m:oMath>
      <w:r w:rsidR="004B4B83" w:rsidRPr="004634FC">
        <w:rPr>
          <w:szCs w:val="24"/>
        </w:rPr>
        <w:t xml:space="preserve"> as a</w:t>
      </w:r>
      <w:r w:rsidR="00706A2C" w:rsidRPr="004634FC">
        <w:rPr>
          <w:szCs w:val="24"/>
        </w:rPr>
        <w:t xml:space="preserve"> </w:t>
      </w:r>
      <m:oMath>
        <m:sSub>
          <m:sSubPr>
            <m:ctrlPr>
              <w:rPr>
                <w:rFonts w:ascii="Cambria Math" w:hAnsi="Cambria Math"/>
                <w:i/>
                <w:szCs w:val="24"/>
              </w:rPr>
            </m:ctrlPr>
          </m:sSubPr>
          <m:e>
            <m:r>
              <w:rPr>
                <w:rFonts w:ascii="Cambria Math" w:hAnsi="Cambria Math"/>
                <w:szCs w:val="24"/>
              </w:rPr>
              <m:t xml:space="preserve"> k</m:t>
            </m:r>
          </m:e>
          <m:sub>
            <m:r>
              <w:rPr>
                <w:rFonts w:ascii="Cambria Math" w:hAnsi="Cambria Math"/>
                <w:szCs w:val="24"/>
              </w:rPr>
              <m:t>i</m:t>
            </m:r>
          </m:sub>
        </m:sSub>
        <m:r>
          <w:rPr>
            <w:rFonts w:ascii="Cambria Math" w:hAnsi="Cambria Math"/>
            <w:szCs w:val="24"/>
          </w:rPr>
          <m:t>×s</m:t>
        </m:r>
      </m:oMath>
      <w:r w:rsidR="004B4B83" w:rsidRPr="004634FC">
        <w:rPr>
          <w:szCs w:val="24"/>
        </w:rPr>
        <w:t xml:space="preserve"> matrix of fixed coefficient</w:t>
      </w:r>
    </w:p>
    <w:p w:rsidR="004B4B83" w:rsidRPr="004634FC" w:rsidRDefault="009D4065" w:rsidP="004808C5">
      <w:pPr>
        <w:spacing w:before="0" w:beforeAutospacing="0" w:after="0" w:afterAutospacing="0" w:line="276" w:lineRule="auto"/>
        <w:ind w:firstLine="0"/>
        <w:rPr>
          <w:szCs w:val="24"/>
        </w:rPr>
      </w:pPr>
      <m:oMath>
        <m:sSub>
          <m:sSubPr>
            <m:ctrlPr>
              <w:rPr>
                <w:rFonts w:ascii="Cambria Math" w:hAnsi="Cambria Math"/>
                <w:i/>
                <w:szCs w:val="24"/>
              </w:rPr>
            </m:ctrlPr>
          </m:sSubPr>
          <m:e>
            <m:r>
              <w:rPr>
                <w:rFonts w:ascii="Cambria Math" w:hAnsi="Cambria Math"/>
                <w:szCs w:val="24"/>
              </w:rPr>
              <m:t>ф</m:t>
            </m:r>
          </m:e>
          <m:sub>
            <m:r>
              <w:rPr>
                <w:rFonts w:ascii="Cambria Math" w:hAnsi="Cambria Math"/>
                <w:szCs w:val="24"/>
              </w:rPr>
              <m:t>i1</m:t>
            </m:r>
          </m:sub>
        </m:sSub>
      </m:oMath>
      <w:r w:rsidR="00706A2C" w:rsidRPr="004634FC">
        <w:rPr>
          <w:szCs w:val="24"/>
        </w:rPr>
        <w:t xml:space="preserve"> et </w:t>
      </w:r>
      <m:oMath>
        <m:sSub>
          <m:sSubPr>
            <m:ctrlPr>
              <w:rPr>
                <w:rFonts w:ascii="Cambria Math" w:hAnsi="Cambria Math"/>
                <w:i/>
                <w:szCs w:val="24"/>
              </w:rPr>
            </m:ctrlPr>
          </m:sSubPr>
          <m:e>
            <m:r>
              <w:rPr>
                <w:rFonts w:ascii="Cambria Math" w:hAnsi="Cambria Math"/>
                <w:szCs w:val="24"/>
              </w:rPr>
              <m:t>ф</m:t>
            </m:r>
          </m:e>
          <m:sub>
            <m:r>
              <w:rPr>
                <w:rFonts w:ascii="Cambria Math" w:hAnsi="Cambria Math"/>
                <w:szCs w:val="24"/>
              </w:rPr>
              <m:t>i2</m:t>
            </m:r>
          </m:sub>
        </m:sSub>
      </m:oMath>
      <w:r w:rsidR="00706A2C" w:rsidRPr="004634FC">
        <w:rPr>
          <w:szCs w:val="24"/>
        </w:rPr>
        <w:t xml:space="preserve"> </w:t>
      </w:r>
      <w:r w:rsidR="004B4B83" w:rsidRPr="004634FC">
        <w:rPr>
          <w:szCs w:val="24"/>
        </w:rPr>
        <w:t>are the lagged coefficient matrix of domestic variables</w:t>
      </w:r>
      <w:r w:rsidR="002F20B4" w:rsidRPr="004634FC">
        <w:rPr>
          <w:szCs w:val="24"/>
        </w:rPr>
        <w:t> </w:t>
      </w:r>
    </w:p>
    <w:p w:rsidR="004B4B83" w:rsidRPr="004634FC" w:rsidRDefault="004B4B83" w:rsidP="004808C5">
      <w:pPr>
        <w:spacing w:before="0" w:beforeAutospacing="0" w:after="0" w:afterAutospacing="0" w:line="276" w:lineRule="auto"/>
        <w:ind w:firstLine="0"/>
        <w:rPr>
          <w:szCs w:val="24"/>
        </w:rPr>
      </w:pPr>
      <w:r w:rsidRPr="004634FC">
        <w:rPr>
          <w:szCs w:val="24"/>
        </w:rPr>
        <w:t xml:space="preserve">and </w:t>
      </w:r>
      <w:r w:rsidR="00706A2C" w:rsidRPr="004634FC">
        <w:rPr>
          <w:szCs w:val="24"/>
        </w:rPr>
        <w:t xml:space="preserve"> </w:t>
      </w:r>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it</m:t>
            </m:r>
          </m:sub>
        </m:sSub>
      </m:oMath>
      <w:r w:rsidRPr="004634FC">
        <w:rPr>
          <w:szCs w:val="24"/>
        </w:rPr>
        <w:t xml:space="preserve"> is a</w:t>
      </w:r>
      <w:r w:rsidR="00706A2C" w:rsidRPr="004634FC">
        <w:rPr>
          <w:szCs w:val="24"/>
        </w:rPr>
        <w:t xml:space="preserve">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r>
          <w:rPr>
            <w:rFonts w:ascii="Cambria Math" w:hAnsi="Cambria Math"/>
            <w:szCs w:val="24"/>
          </w:rPr>
          <m:t>×1</m:t>
        </m:r>
      </m:oMath>
      <w:r w:rsidR="00706A2C" w:rsidRPr="004634FC">
        <w:rPr>
          <w:szCs w:val="24"/>
        </w:rPr>
        <w:t xml:space="preserve"> </w:t>
      </w:r>
      <w:r w:rsidR="006567C0" w:rsidRPr="004634FC">
        <w:rPr>
          <w:szCs w:val="24"/>
        </w:rPr>
        <w:t>vector of country specific s</w:t>
      </w:r>
      <w:r w:rsidRPr="004634FC">
        <w:rPr>
          <w:szCs w:val="24"/>
        </w:rPr>
        <w:t>ho</w:t>
      </w:r>
      <w:r w:rsidR="006567C0" w:rsidRPr="004634FC">
        <w:rPr>
          <w:szCs w:val="24"/>
        </w:rPr>
        <w:t>c</w:t>
      </w:r>
      <w:r w:rsidRPr="004634FC">
        <w:rPr>
          <w:szCs w:val="24"/>
        </w:rPr>
        <w:t>ks</w:t>
      </w:r>
    </w:p>
    <w:p w:rsidR="00823FC4" w:rsidRPr="004634FC" w:rsidRDefault="007871AC" w:rsidP="004634FC">
      <w:pPr>
        <w:spacing w:line="276" w:lineRule="auto"/>
        <w:ind w:firstLine="0"/>
        <w:rPr>
          <w:szCs w:val="24"/>
        </w:rPr>
      </w:pPr>
      <w:r w:rsidRPr="004634FC">
        <w:rPr>
          <w:szCs w:val="24"/>
        </w:rPr>
        <w:t>Thus, in this study</w:t>
      </w:r>
      <w:r w:rsidR="00A8548B" w:rsidRPr="004634FC">
        <w:rPr>
          <w:szCs w:val="24"/>
        </w:rPr>
        <w:t>, we use four countries versions</w:t>
      </w:r>
      <w:r w:rsidR="00634198">
        <w:rPr>
          <w:szCs w:val="24"/>
        </w:rPr>
        <w:t xml:space="preserve"> </w:t>
      </w:r>
      <w:r w:rsidR="00634198" w:rsidRPr="004634FC">
        <w:rPr>
          <w:szCs w:val="24"/>
        </w:rPr>
        <w:t xml:space="preserve">Dées et al </w:t>
      </w:r>
      <w:r w:rsidR="00634198">
        <w:rPr>
          <w:szCs w:val="24"/>
        </w:rPr>
        <w:t>[14]</w:t>
      </w:r>
      <w:r w:rsidR="00634198" w:rsidRPr="004634FC">
        <w:rPr>
          <w:szCs w:val="24"/>
        </w:rPr>
        <w:t xml:space="preserve"> </w:t>
      </w:r>
      <w:r w:rsidR="00A8548B" w:rsidRPr="004634FC">
        <w:rPr>
          <w:szCs w:val="24"/>
        </w:rPr>
        <w:t xml:space="preserve">GVAR model and add Madagascar as an individual country in the model. The four countries </w:t>
      </w:r>
      <w:r w:rsidR="00532E80" w:rsidRPr="004634FC">
        <w:rPr>
          <w:szCs w:val="24"/>
        </w:rPr>
        <w:t xml:space="preserve">which </w:t>
      </w:r>
      <w:r w:rsidR="00A8548B" w:rsidRPr="004634FC">
        <w:rPr>
          <w:szCs w:val="24"/>
        </w:rPr>
        <w:t xml:space="preserve">are the main trade partners of Madagascar </w:t>
      </w:r>
      <w:r w:rsidR="00532E80" w:rsidRPr="004634FC">
        <w:rPr>
          <w:szCs w:val="24"/>
        </w:rPr>
        <w:t>are</w:t>
      </w:r>
      <w:r w:rsidR="00A8548B" w:rsidRPr="004634FC">
        <w:rPr>
          <w:szCs w:val="24"/>
        </w:rPr>
        <w:t xml:space="preserve"> countries of Euro zone, United Kingdom, Japan and the United</w:t>
      </w:r>
      <w:r w:rsidR="00532E80" w:rsidRPr="004634FC">
        <w:rPr>
          <w:szCs w:val="24"/>
        </w:rPr>
        <w:t xml:space="preserve"> States. In fact, Madagascar is</w:t>
      </w:r>
      <w:r w:rsidR="00A8548B" w:rsidRPr="004634FC">
        <w:rPr>
          <w:szCs w:val="24"/>
        </w:rPr>
        <w:t xml:space="preserve"> considered in the GVAR model as a small open</w:t>
      </w:r>
      <w:r w:rsidR="00532E80" w:rsidRPr="004634FC">
        <w:rPr>
          <w:szCs w:val="24"/>
        </w:rPr>
        <w:t xml:space="preserve"> country whereas</w:t>
      </w:r>
      <w:r w:rsidR="00FB5B81" w:rsidRPr="004634FC">
        <w:rPr>
          <w:szCs w:val="24"/>
        </w:rPr>
        <w:t xml:space="preserve"> the foreign countries</w:t>
      </w:r>
      <w:r w:rsidR="00A8548B" w:rsidRPr="004634FC">
        <w:rPr>
          <w:szCs w:val="24"/>
        </w:rPr>
        <w:t xml:space="preserve"> </w:t>
      </w:r>
      <w:r w:rsidR="00FB5B81" w:rsidRPr="004634FC">
        <w:rPr>
          <w:szCs w:val="24"/>
        </w:rPr>
        <w:t>represent</w:t>
      </w:r>
      <w:r w:rsidR="00A8548B" w:rsidRPr="004634FC">
        <w:rPr>
          <w:szCs w:val="24"/>
        </w:rPr>
        <w:t xml:space="preserve"> its four major trade partners. Therefore, specific macroeconomic foreign variables in the model (star variables) are constructed by using each associated trade weight (</w:t>
      </w:r>
      <w:r w:rsidR="000128B1" w:rsidRPr="004634FC">
        <w:rPr>
          <w:szCs w:val="24"/>
        </w:rPr>
        <w:t xml:space="preserve">see </w:t>
      </w:r>
      <w:r w:rsidR="00A8548B" w:rsidRPr="004634FC">
        <w:rPr>
          <w:szCs w:val="24"/>
        </w:rPr>
        <w:t>table 1)</w:t>
      </w:r>
      <w:r w:rsidR="00BA351E" w:rsidRPr="004634FC">
        <w:rPr>
          <w:szCs w:val="24"/>
        </w:rPr>
        <w:t>. Trade weight is needed</w:t>
      </w:r>
      <w:r w:rsidR="00E3502C" w:rsidRPr="004634FC">
        <w:rPr>
          <w:szCs w:val="24"/>
        </w:rPr>
        <w:t xml:space="preserve"> to capture the impact of</w:t>
      </w:r>
      <w:r w:rsidR="00A8548B" w:rsidRPr="004634FC">
        <w:rPr>
          <w:szCs w:val="24"/>
        </w:rPr>
        <w:t xml:space="preserve"> the global eco</w:t>
      </w:r>
      <w:r w:rsidR="009B5007" w:rsidRPr="004634FC">
        <w:rPr>
          <w:szCs w:val="24"/>
        </w:rPr>
        <w:t xml:space="preserve">nomy on domestic variables. </w:t>
      </w:r>
      <w:r w:rsidR="008F3471" w:rsidRPr="004634FC">
        <w:rPr>
          <w:szCs w:val="24"/>
        </w:rPr>
        <w:t>These trading partners’</w:t>
      </w:r>
      <w:r w:rsidR="00013D03" w:rsidRPr="004634FC">
        <w:rPr>
          <w:szCs w:val="24"/>
        </w:rPr>
        <w:t xml:space="preserve"> </w:t>
      </w:r>
      <w:r w:rsidR="001D3D6A" w:rsidRPr="004634FC">
        <w:rPr>
          <w:szCs w:val="24"/>
        </w:rPr>
        <w:t xml:space="preserve">in our model </w:t>
      </w:r>
      <w:r w:rsidR="00532E80" w:rsidRPr="004634FC">
        <w:rPr>
          <w:szCs w:val="24"/>
        </w:rPr>
        <w:t>are</w:t>
      </w:r>
      <w:r w:rsidR="00013D03" w:rsidRPr="004634FC">
        <w:rPr>
          <w:szCs w:val="24"/>
        </w:rPr>
        <w:t xml:space="preserve"> the countries</w:t>
      </w:r>
      <w:r w:rsidR="00A8548B" w:rsidRPr="004634FC">
        <w:rPr>
          <w:szCs w:val="24"/>
        </w:rPr>
        <w:t xml:space="preserve"> used by the Central Bank of Madagascar to calculate real effective exchange rate.</w:t>
      </w:r>
    </w:p>
    <w:p w:rsidR="000E6364" w:rsidRPr="004634FC" w:rsidRDefault="00A57BFA" w:rsidP="004808C5">
      <w:pPr>
        <w:pStyle w:val="Caption"/>
        <w:spacing w:after="0" w:afterAutospacing="0" w:line="360" w:lineRule="auto"/>
        <w:jc w:val="center"/>
        <w:rPr>
          <w:b w:val="0"/>
          <w:bCs w:val="0"/>
          <w:color w:val="auto"/>
          <w:sz w:val="24"/>
          <w:szCs w:val="24"/>
        </w:rPr>
      </w:pPr>
      <w:r w:rsidRPr="004634FC">
        <w:rPr>
          <w:b w:val="0"/>
          <w:bCs w:val="0"/>
          <w:color w:val="auto"/>
          <w:sz w:val="24"/>
          <w:szCs w:val="24"/>
        </w:rPr>
        <w:t xml:space="preserve">Table </w:t>
      </w:r>
      <w:r w:rsidRPr="004634FC">
        <w:rPr>
          <w:b w:val="0"/>
          <w:bCs w:val="0"/>
          <w:color w:val="auto"/>
          <w:sz w:val="24"/>
          <w:szCs w:val="24"/>
        </w:rPr>
        <w:fldChar w:fldCharType="begin"/>
      </w:r>
      <w:r w:rsidRPr="004634FC">
        <w:rPr>
          <w:b w:val="0"/>
          <w:bCs w:val="0"/>
          <w:color w:val="auto"/>
          <w:sz w:val="24"/>
          <w:szCs w:val="24"/>
        </w:rPr>
        <w:instrText xml:space="preserve"> SEQ Table \* ARABIC </w:instrText>
      </w:r>
      <w:r w:rsidRPr="004634FC">
        <w:rPr>
          <w:b w:val="0"/>
          <w:bCs w:val="0"/>
          <w:color w:val="auto"/>
          <w:sz w:val="24"/>
          <w:szCs w:val="24"/>
        </w:rPr>
        <w:fldChar w:fldCharType="separate"/>
      </w:r>
      <w:r w:rsidR="00334DD9">
        <w:rPr>
          <w:b w:val="0"/>
          <w:bCs w:val="0"/>
          <w:noProof/>
          <w:color w:val="auto"/>
          <w:sz w:val="24"/>
          <w:szCs w:val="24"/>
        </w:rPr>
        <w:t>1</w:t>
      </w:r>
      <w:r w:rsidRPr="004634FC">
        <w:rPr>
          <w:b w:val="0"/>
          <w:bCs w:val="0"/>
          <w:color w:val="auto"/>
          <w:sz w:val="24"/>
          <w:szCs w:val="24"/>
        </w:rPr>
        <w:fldChar w:fldCharType="end"/>
      </w:r>
      <w:r w:rsidR="000E6364" w:rsidRPr="004634FC">
        <w:rPr>
          <w:b w:val="0"/>
          <w:bCs w:val="0"/>
          <w:color w:val="auto"/>
          <w:sz w:val="24"/>
          <w:szCs w:val="24"/>
        </w:rPr>
        <w:t> :</w:t>
      </w:r>
      <w:r w:rsidR="008304D5" w:rsidRPr="004634FC">
        <w:rPr>
          <w:b w:val="0"/>
          <w:bCs w:val="0"/>
          <w:color w:val="auto"/>
          <w:sz w:val="24"/>
          <w:szCs w:val="24"/>
        </w:rPr>
        <w:t xml:space="preserve"> Madagas</w:t>
      </w:r>
      <w:r w:rsidR="000E6364" w:rsidRPr="004634FC">
        <w:rPr>
          <w:b w:val="0"/>
          <w:bCs w:val="0"/>
          <w:color w:val="auto"/>
          <w:sz w:val="24"/>
          <w:szCs w:val="24"/>
        </w:rPr>
        <w:t xml:space="preserve">car major trade partners and foreign </w:t>
      </w:r>
      <w:r w:rsidR="006567C0" w:rsidRPr="004634FC">
        <w:rPr>
          <w:b w:val="0"/>
          <w:bCs w:val="0"/>
          <w:color w:val="auto"/>
          <w:sz w:val="24"/>
          <w:szCs w:val="24"/>
        </w:rPr>
        <w:t>weight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tblGrid>
      <w:tr w:rsidR="008304D5" w:rsidRPr="00EA38D2" w:rsidTr="00EA38D2">
        <w:trPr>
          <w:trHeight w:val="20"/>
          <w:jc w:val="center"/>
        </w:trPr>
        <w:tc>
          <w:tcPr>
            <w:tcW w:w="2376" w:type="dxa"/>
            <w:shd w:val="clear" w:color="auto" w:fill="auto"/>
          </w:tcPr>
          <w:p w:rsidR="008304D5" w:rsidRPr="00EA38D2" w:rsidRDefault="008304D5" w:rsidP="00EA38D2">
            <w:pPr>
              <w:spacing w:before="0" w:beforeAutospacing="0" w:after="0" w:afterAutospacing="0"/>
              <w:ind w:firstLine="88"/>
              <w:rPr>
                <w:b/>
                <w:szCs w:val="24"/>
              </w:rPr>
            </w:pPr>
            <w:r w:rsidRPr="00EA38D2">
              <w:rPr>
                <w:b/>
                <w:szCs w:val="24"/>
              </w:rPr>
              <w:t>Country</w:t>
            </w:r>
          </w:p>
        </w:tc>
        <w:tc>
          <w:tcPr>
            <w:tcW w:w="2552" w:type="dxa"/>
            <w:shd w:val="clear" w:color="auto" w:fill="auto"/>
          </w:tcPr>
          <w:p w:rsidR="008304D5" w:rsidRPr="00EA38D2" w:rsidRDefault="008304D5" w:rsidP="00EA38D2">
            <w:pPr>
              <w:spacing w:before="0" w:beforeAutospacing="0" w:after="0" w:afterAutospacing="0"/>
              <w:rPr>
                <w:b/>
                <w:szCs w:val="24"/>
              </w:rPr>
            </w:pPr>
            <w:r w:rsidRPr="00EA38D2">
              <w:rPr>
                <w:b/>
                <w:szCs w:val="24"/>
              </w:rPr>
              <w:t>Trade weigth</w:t>
            </w:r>
          </w:p>
        </w:tc>
      </w:tr>
      <w:tr w:rsidR="00425BB0" w:rsidRPr="00EA38D2" w:rsidTr="00EA38D2">
        <w:trPr>
          <w:trHeight w:val="20"/>
          <w:jc w:val="center"/>
        </w:trPr>
        <w:tc>
          <w:tcPr>
            <w:tcW w:w="2376" w:type="dxa"/>
            <w:shd w:val="clear" w:color="auto" w:fill="auto"/>
          </w:tcPr>
          <w:p w:rsidR="00425BB0" w:rsidRPr="00EA38D2" w:rsidRDefault="00425BB0" w:rsidP="00EA38D2">
            <w:pPr>
              <w:spacing w:before="0" w:beforeAutospacing="0" w:after="0" w:afterAutospacing="0"/>
              <w:ind w:firstLine="88"/>
              <w:rPr>
                <w:szCs w:val="24"/>
              </w:rPr>
            </w:pPr>
            <w:r w:rsidRPr="00EA38D2">
              <w:rPr>
                <w:szCs w:val="24"/>
              </w:rPr>
              <w:t>United States</w:t>
            </w:r>
          </w:p>
        </w:tc>
        <w:tc>
          <w:tcPr>
            <w:tcW w:w="2552" w:type="dxa"/>
            <w:shd w:val="clear" w:color="auto" w:fill="auto"/>
          </w:tcPr>
          <w:p w:rsidR="00425BB0" w:rsidRPr="00EA38D2" w:rsidRDefault="00425BB0" w:rsidP="00EA38D2">
            <w:pPr>
              <w:spacing w:before="0" w:beforeAutospacing="0" w:after="0" w:afterAutospacing="0"/>
              <w:jc w:val="center"/>
              <w:rPr>
                <w:szCs w:val="24"/>
              </w:rPr>
            </w:pPr>
            <w:r w:rsidRPr="00EA38D2">
              <w:rPr>
                <w:szCs w:val="24"/>
              </w:rPr>
              <w:t>0,093</w:t>
            </w:r>
          </w:p>
        </w:tc>
      </w:tr>
      <w:tr w:rsidR="00425BB0" w:rsidRPr="00EA38D2" w:rsidTr="00EA38D2">
        <w:trPr>
          <w:trHeight w:val="20"/>
          <w:jc w:val="center"/>
        </w:trPr>
        <w:tc>
          <w:tcPr>
            <w:tcW w:w="2376" w:type="dxa"/>
            <w:shd w:val="clear" w:color="auto" w:fill="auto"/>
          </w:tcPr>
          <w:p w:rsidR="00425BB0" w:rsidRPr="00EA38D2" w:rsidRDefault="00425BB0" w:rsidP="00EA38D2">
            <w:pPr>
              <w:spacing w:before="0" w:beforeAutospacing="0" w:after="0" w:afterAutospacing="0"/>
              <w:ind w:firstLine="88"/>
              <w:rPr>
                <w:szCs w:val="24"/>
              </w:rPr>
            </w:pPr>
            <w:r w:rsidRPr="00EA38D2">
              <w:rPr>
                <w:szCs w:val="24"/>
              </w:rPr>
              <w:lastRenderedPageBreak/>
              <w:t>Euro zone countries</w:t>
            </w:r>
          </w:p>
        </w:tc>
        <w:tc>
          <w:tcPr>
            <w:tcW w:w="2552" w:type="dxa"/>
            <w:shd w:val="clear" w:color="auto" w:fill="auto"/>
          </w:tcPr>
          <w:p w:rsidR="00425BB0" w:rsidRPr="00EA38D2" w:rsidRDefault="00425BB0" w:rsidP="00EA38D2">
            <w:pPr>
              <w:spacing w:before="0" w:beforeAutospacing="0" w:after="0" w:afterAutospacing="0"/>
              <w:jc w:val="center"/>
              <w:rPr>
                <w:szCs w:val="24"/>
              </w:rPr>
            </w:pPr>
            <w:r w:rsidRPr="00EA38D2">
              <w:rPr>
                <w:szCs w:val="24"/>
              </w:rPr>
              <w:t>0,760</w:t>
            </w:r>
          </w:p>
        </w:tc>
      </w:tr>
      <w:tr w:rsidR="00425BB0" w:rsidRPr="00EA38D2" w:rsidTr="00EA38D2">
        <w:trPr>
          <w:trHeight w:val="20"/>
          <w:jc w:val="center"/>
        </w:trPr>
        <w:tc>
          <w:tcPr>
            <w:tcW w:w="2376" w:type="dxa"/>
            <w:shd w:val="clear" w:color="auto" w:fill="auto"/>
          </w:tcPr>
          <w:p w:rsidR="00425BB0" w:rsidRPr="00EA38D2" w:rsidRDefault="00425BB0" w:rsidP="00EA38D2">
            <w:pPr>
              <w:spacing w:before="0" w:beforeAutospacing="0" w:after="0" w:afterAutospacing="0"/>
              <w:ind w:firstLine="88"/>
              <w:rPr>
                <w:szCs w:val="24"/>
              </w:rPr>
            </w:pPr>
            <w:r w:rsidRPr="00EA38D2">
              <w:rPr>
                <w:szCs w:val="24"/>
              </w:rPr>
              <w:t>Japan</w:t>
            </w:r>
          </w:p>
        </w:tc>
        <w:tc>
          <w:tcPr>
            <w:tcW w:w="2552" w:type="dxa"/>
            <w:shd w:val="clear" w:color="auto" w:fill="auto"/>
          </w:tcPr>
          <w:p w:rsidR="00425BB0" w:rsidRPr="00EA38D2" w:rsidRDefault="00425BB0" w:rsidP="00EA38D2">
            <w:pPr>
              <w:spacing w:before="0" w:beforeAutospacing="0" w:after="0" w:afterAutospacing="0"/>
              <w:jc w:val="center"/>
              <w:rPr>
                <w:szCs w:val="24"/>
              </w:rPr>
            </w:pPr>
            <w:r w:rsidRPr="00EA38D2">
              <w:rPr>
                <w:szCs w:val="24"/>
              </w:rPr>
              <w:t>0,110</w:t>
            </w:r>
          </w:p>
        </w:tc>
      </w:tr>
      <w:tr w:rsidR="00425BB0" w:rsidRPr="00EA38D2" w:rsidTr="00EA38D2">
        <w:trPr>
          <w:trHeight w:val="20"/>
          <w:jc w:val="center"/>
        </w:trPr>
        <w:tc>
          <w:tcPr>
            <w:tcW w:w="2376" w:type="dxa"/>
            <w:shd w:val="clear" w:color="auto" w:fill="auto"/>
          </w:tcPr>
          <w:p w:rsidR="00425BB0" w:rsidRPr="00EA38D2" w:rsidRDefault="00425BB0" w:rsidP="00EA38D2">
            <w:pPr>
              <w:spacing w:before="0" w:beforeAutospacing="0" w:after="0" w:afterAutospacing="0"/>
              <w:ind w:firstLine="88"/>
              <w:rPr>
                <w:szCs w:val="24"/>
              </w:rPr>
            </w:pPr>
            <w:r w:rsidRPr="00EA38D2">
              <w:rPr>
                <w:szCs w:val="24"/>
              </w:rPr>
              <w:t>United Kingdom</w:t>
            </w:r>
          </w:p>
        </w:tc>
        <w:tc>
          <w:tcPr>
            <w:tcW w:w="2552" w:type="dxa"/>
            <w:shd w:val="clear" w:color="auto" w:fill="auto"/>
          </w:tcPr>
          <w:p w:rsidR="00425BB0" w:rsidRPr="00EA38D2" w:rsidRDefault="00425BB0" w:rsidP="00EA38D2">
            <w:pPr>
              <w:spacing w:before="0" w:beforeAutospacing="0" w:after="0" w:afterAutospacing="0"/>
              <w:jc w:val="center"/>
              <w:rPr>
                <w:szCs w:val="24"/>
              </w:rPr>
            </w:pPr>
            <w:r w:rsidRPr="00EA38D2">
              <w:rPr>
                <w:szCs w:val="24"/>
              </w:rPr>
              <w:t>0,037</w:t>
            </w:r>
          </w:p>
        </w:tc>
      </w:tr>
      <w:tr w:rsidR="00425BB0" w:rsidRPr="00EA38D2" w:rsidTr="00EA38D2">
        <w:trPr>
          <w:trHeight w:val="20"/>
          <w:jc w:val="center"/>
        </w:trPr>
        <w:tc>
          <w:tcPr>
            <w:tcW w:w="2376" w:type="dxa"/>
            <w:shd w:val="clear" w:color="auto" w:fill="auto"/>
          </w:tcPr>
          <w:p w:rsidR="00425BB0" w:rsidRPr="00EA38D2" w:rsidRDefault="00425BB0" w:rsidP="00EA38D2">
            <w:pPr>
              <w:spacing w:before="0" w:beforeAutospacing="0" w:after="0" w:afterAutospacing="0"/>
              <w:ind w:firstLine="88"/>
              <w:rPr>
                <w:szCs w:val="24"/>
              </w:rPr>
            </w:pPr>
            <w:r w:rsidRPr="00EA38D2">
              <w:rPr>
                <w:szCs w:val="24"/>
              </w:rPr>
              <w:t>Total</w:t>
            </w:r>
          </w:p>
        </w:tc>
        <w:tc>
          <w:tcPr>
            <w:tcW w:w="2552" w:type="dxa"/>
            <w:shd w:val="clear" w:color="auto" w:fill="auto"/>
          </w:tcPr>
          <w:p w:rsidR="00425BB0" w:rsidRPr="00EA38D2" w:rsidRDefault="00425BB0" w:rsidP="00EA38D2">
            <w:pPr>
              <w:spacing w:before="0" w:beforeAutospacing="0" w:after="0" w:afterAutospacing="0"/>
              <w:jc w:val="center"/>
              <w:rPr>
                <w:szCs w:val="24"/>
              </w:rPr>
            </w:pPr>
            <w:r w:rsidRPr="00EA38D2">
              <w:rPr>
                <w:szCs w:val="24"/>
              </w:rPr>
              <w:t>1</w:t>
            </w:r>
          </w:p>
        </w:tc>
      </w:tr>
    </w:tbl>
    <w:p w:rsidR="008212B7" w:rsidRDefault="008304D5" w:rsidP="00EF4F4C">
      <w:pPr>
        <w:spacing w:before="0" w:beforeAutospacing="0" w:line="360" w:lineRule="auto"/>
        <w:jc w:val="center"/>
        <w:rPr>
          <w:szCs w:val="24"/>
        </w:rPr>
      </w:pPr>
      <w:r w:rsidRPr="004634FC">
        <w:rPr>
          <w:szCs w:val="24"/>
        </w:rPr>
        <w:t>Source: Central Bank of Madagascar</w:t>
      </w:r>
      <w:r w:rsidR="003C7AD6" w:rsidRPr="004634FC">
        <w:rPr>
          <w:szCs w:val="24"/>
        </w:rPr>
        <w:t>, 2017</w:t>
      </w:r>
    </w:p>
    <w:p w:rsidR="00446CAB" w:rsidRDefault="00446CAB" w:rsidP="00EF4F4C">
      <w:pPr>
        <w:spacing w:before="0" w:beforeAutospacing="0" w:line="360" w:lineRule="auto"/>
        <w:jc w:val="center"/>
        <w:rPr>
          <w:szCs w:val="24"/>
        </w:rPr>
      </w:pPr>
    </w:p>
    <w:p w:rsidR="00446CAB" w:rsidRDefault="00446CAB" w:rsidP="00EF4F4C">
      <w:pPr>
        <w:spacing w:before="0" w:beforeAutospacing="0" w:line="360" w:lineRule="auto"/>
        <w:jc w:val="center"/>
        <w:rPr>
          <w:szCs w:val="24"/>
        </w:rPr>
      </w:pPr>
    </w:p>
    <w:p w:rsidR="004634FC" w:rsidRDefault="00BF37B6" w:rsidP="004634FC">
      <w:pPr>
        <w:pStyle w:val="ListParagraph"/>
        <w:numPr>
          <w:ilvl w:val="0"/>
          <w:numId w:val="10"/>
        </w:numPr>
        <w:spacing w:line="360" w:lineRule="auto"/>
        <w:rPr>
          <w:b/>
          <w:i/>
          <w:szCs w:val="24"/>
        </w:rPr>
      </w:pPr>
      <w:r w:rsidRPr="004634FC">
        <w:rPr>
          <w:b/>
          <w:i/>
          <w:szCs w:val="24"/>
        </w:rPr>
        <w:t xml:space="preserve">Variables </w:t>
      </w:r>
      <w:r w:rsidR="00A741E5" w:rsidRPr="004634FC">
        <w:rPr>
          <w:b/>
          <w:i/>
          <w:szCs w:val="24"/>
        </w:rPr>
        <w:t>in the GVAR model</w:t>
      </w:r>
    </w:p>
    <w:p w:rsidR="00A8548B" w:rsidRPr="004634FC" w:rsidRDefault="00A8548B" w:rsidP="004634FC">
      <w:pPr>
        <w:pStyle w:val="ListParagraph"/>
        <w:spacing w:line="360" w:lineRule="auto"/>
        <w:ind w:left="0" w:firstLine="0"/>
        <w:rPr>
          <w:b/>
          <w:i/>
          <w:szCs w:val="24"/>
        </w:rPr>
      </w:pPr>
      <w:r w:rsidRPr="004634FC">
        <w:rPr>
          <w:szCs w:val="24"/>
        </w:rPr>
        <w:t>Macroeconomic variables i</w:t>
      </w:r>
      <w:r w:rsidR="00532E80" w:rsidRPr="004634FC">
        <w:rPr>
          <w:szCs w:val="24"/>
        </w:rPr>
        <w:t>n our GVAR model follow Dées et</w:t>
      </w:r>
      <w:r w:rsidR="00634198">
        <w:rPr>
          <w:szCs w:val="24"/>
        </w:rPr>
        <w:t xml:space="preserve"> al. [14]</w:t>
      </w:r>
      <w:r w:rsidRPr="004634FC">
        <w:rPr>
          <w:szCs w:val="24"/>
        </w:rPr>
        <w:t xml:space="preserve"> specification. All variables used for the model and their transformations are listed below. Set</w:t>
      </w:r>
      <w:r w:rsidR="00532E80" w:rsidRPr="004634FC">
        <w:rPr>
          <w:szCs w:val="24"/>
        </w:rPr>
        <w:t>s</w:t>
      </w:r>
      <w:r w:rsidRPr="004634FC">
        <w:rPr>
          <w:szCs w:val="24"/>
        </w:rPr>
        <w:t xml:space="preserve"> of foreign variables are the gross domestic products (GDP), consumer price index (CPI), the exchange rate of the currency to US Dollars (E), short-term interest rate (R) and long-term interest rate (LR). Global variables include oil price (OIL), raw material price (RM) a</w:t>
      </w:r>
      <w:bookmarkStart w:id="0" w:name="_GoBack"/>
      <w:bookmarkEnd w:id="0"/>
      <w:r w:rsidRPr="004634FC">
        <w:rPr>
          <w:szCs w:val="24"/>
        </w:rPr>
        <w:t xml:space="preserve">nd metal price (MT). Their transformations are: </w:t>
      </w:r>
    </w:p>
    <w:p w:rsidR="00D37789" w:rsidRPr="004634FC" w:rsidRDefault="009D4065" w:rsidP="00EF4F4C">
      <w:pPr>
        <w:spacing w:line="360" w:lineRule="auto"/>
        <w:ind w:firstLine="0"/>
        <w:rPr>
          <w:szCs w:val="24"/>
        </w:rPr>
      </w:pP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it</m:t>
            </m:r>
          </m:sub>
        </m:sSub>
        <m:r>
          <w:rPr>
            <w:rFonts w:ascii="Cambria Math" w:hAnsi="Cambria Math"/>
            <w:szCs w:val="24"/>
          </w:rPr>
          <m:t>=</m:t>
        </m:r>
        <m:r>
          <m:rPr>
            <m:sty m:val="p"/>
          </m:rPr>
          <w:rPr>
            <w:rFonts w:ascii="Cambria Math" w:hAnsi="Cambria Math"/>
            <w:szCs w:val="24"/>
          </w:rPr>
          <m:t>ln</m:t>
        </m:r>
        <m:d>
          <m:dPr>
            <m:ctrlPr>
              <w:rPr>
                <w:rFonts w:ascii="Cambria Math" w:hAnsi="Cambria Math"/>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GDP</m:t>
                    </m:r>
                  </m:e>
                  <m:sub>
                    <m:r>
                      <w:rPr>
                        <w:rFonts w:ascii="Cambria Math" w:hAnsi="Cambria Math"/>
                        <w:szCs w:val="24"/>
                      </w:rPr>
                      <m:t>it</m:t>
                    </m:r>
                  </m:sub>
                </m:sSub>
              </m:num>
              <m:den>
                <m:sSub>
                  <m:sSubPr>
                    <m:ctrlPr>
                      <w:rPr>
                        <w:rFonts w:ascii="Cambria Math" w:hAnsi="Cambria Math"/>
                        <w:i/>
                        <w:szCs w:val="24"/>
                      </w:rPr>
                    </m:ctrlPr>
                  </m:sSubPr>
                  <m:e>
                    <m:r>
                      <w:rPr>
                        <w:rFonts w:ascii="Cambria Math" w:hAnsi="Cambria Math"/>
                        <w:szCs w:val="24"/>
                      </w:rPr>
                      <m:t>CPI</m:t>
                    </m:r>
                  </m:e>
                  <m:sub>
                    <m:r>
                      <w:rPr>
                        <w:rFonts w:ascii="Cambria Math" w:hAnsi="Cambria Math"/>
                        <w:szCs w:val="24"/>
                      </w:rPr>
                      <m:t>it</m:t>
                    </m:r>
                  </m:sub>
                </m:sSub>
              </m:den>
            </m:f>
          </m:e>
        </m:d>
        <m:r>
          <w:rPr>
            <w:rFonts w:ascii="Cambria Math" w:hAnsi="Cambria Math"/>
            <w:szCs w:val="24"/>
          </w:rPr>
          <m:t> </m:t>
        </m:r>
      </m:oMath>
      <w:r w:rsidR="00D37789" w:rsidRPr="004634FC">
        <w:rPr>
          <w:szCs w:val="24"/>
        </w:rPr>
        <w:t xml:space="preserve">,  </w:t>
      </w: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it</m:t>
            </m:r>
          </m:sub>
        </m:sSub>
        <m:r>
          <w:rPr>
            <w:rFonts w:ascii="Cambria Math" w:hAnsi="Cambria Math"/>
            <w:szCs w:val="24"/>
          </w:rPr>
          <m:t>=</m:t>
        </m:r>
        <m:r>
          <m:rPr>
            <m:sty m:val="p"/>
          </m:rPr>
          <w:rPr>
            <w:rFonts w:ascii="Cambria Math" w:hAnsi="Cambria Math"/>
            <w:szCs w:val="24"/>
          </w:rPr>
          <m:t>ln</m:t>
        </m:r>
        <m:d>
          <m:dPr>
            <m:ctrlPr>
              <w:rPr>
                <w:rFonts w:ascii="Cambria Math" w:hAnsi="Cambria Math"/>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E</m:t>
                    </m:r>
                  </m:e>
                  <m:sub>
                    <m:r>
                      <w:rPr>
                        <w:rFonts w:ascii="Cambria Math" w:hAnsi="Cambria Math"/>
                        <w:szCs w:val="24"/>
                      </w:rPr>
                      <m:t>it</m:t>
                    </m:r>
                  </m:sub>
                </m:sSub>
              </m:num>
              <m:den>
                <m:sSub>
                  <m:sSubPr>
                    <m:ctrlPr>
                      <w:rPr>
                        <w:rFonts w:ascii="Cambria Math" w:hAnsi="Cambria Math"/>
                        <w:i/>
                        <w:szCs w:val="24"/>
                      </w:rPr>
                    </m:ctrlPr>
                  </m:sSubPr>
                  <m:e>
                    <m:r>
                      <w:rPr>
                        <w:rFonts w:ascii="Cambria Math" w:hAnsi="Cambria Math"/>
                        <w:szCs w:val="24"/>
                      </w:rPr>
                      <m:t>CPI</m:t>
                    </m:r>
                  </m:e>
                  <m:sub>
                    <m:r>
                      <w:rPr>
                        <w:rFonts w:ascii="Cambria Math" w:hAnsi="Cambria Math"/>
                        <w:szCs w:val="24"/>
                      </w:rPr>
                      <m:t>it</m:t>
                    </m:r>
                  </m:sub>
                </m:sSub>
              </m:den>
            </m:f>
          </m:e>
        </m:d>
      </m:oMath>
      <w:r w:rsidR="00D37789" w:rsidRPr="00EA38D2">
        <w:rPr>
          <w:rFonts w:eastAsia="Times New Roman"/>
          <w:szCs w:val="24"/>
        </w:rPr>
        <w:t xml:space="preserv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it</m:t>
            </m:r>
          </m:sub>
        </m:sSub>
        <m:r>
          <w:rPr>
            <w:rFonts w:ascii="Cambria Math" w:hAnsi="Cambria Math"/>
            <w:szCs w:val="24"/>
          </w:rPr>
          <m:t>=</m:t>
        </m:r>
        <m:r>
          <m:rPr>
            <m:sty m:val="p"/>
          </m:rPr>
          <w:rPr>
            <w:rFonts w:ascii="Cambria Math" w:hAnsi="Cambria Math"/>
            <w:szCs w:val="24"/>
          </w:rPr>
          <m:t>ln</m:t>
        </m:r>
        <m:d>
          <m:dPr>
            <m:ctrlPr>
              <w:rPr>
                <w:rFonts w:ascii="Cambria Math" w:hAnsi="Cambria Math"/>
                <w:szCs w:val="24"/>
              </w:rPr>
            </m:ctrlPr>
          </m:dPr>
          <m:e>
            <m:sSub>
              <m:sSubPr>
                <m:ctrlPr>
                  <w:rPr>
                    <w:rFonts w:ascii="Cambria Math" w:hAnsi="Cambria Math"/>
                    <w:i/>
                    <w:szCs w:val="24"/>
                  </w:rPr>
                </m:ctrlPr>
              </m:sSubPr>
              <m:e>
                <m:r>
                  <w:rPr>
                    <w:rFonts w:ascii="Cambria Math" w:hAnsi="Cambria Math"/>
                    <w:szCs w:val="24"/>
                  </w:rPr>
                  <m:t>CPI</m:t>
                </m:r>
              </m:e>
              <m:sub>
                <m:r>
                  <w:rPr>
                    <w:rFonts w:ascii="Cambria Math" w:hAnsi="Cambria Math"/>
                    <w:szCs w:val="24"/>
                  </w:rPr>
                  <m:t>it</m:t>
                </m:r>
              </m:sub>
            </m:sSub>
          </m:e>
        </m:d>
      </m:oMath>
      <w:r w:rsidR="00D37789" w:rsidRPr="004634FC">
        <w:rPr>
          <w:szCs w:val="24"/>
        </w:rPr>
        <w:t xml:space="preserv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it</m:t>
            </m:r>
          </m:sub>
        </m:sSub>
        <m:r>
          <w:rPr>
            <w:rFonts w:ascii="Cambria Math" w:hAnsi="Cambria Math"/>
            <w:szCs w:val="24"/>
          </w:rPr>
          <m:t xml:space="preserve">=0.25 </m:t>
        </m:r>
        <m:r>
          <m:rPr>
            <m:sty m:val="p"/>
          </m:rPr>
          <w:rPr>
            <w:rFonts w:ascii="Cambria Math" w:hAnsi="Cambria Math"/>
            <w:szCs w:val="24"/>
          </w:rPr>
          <m:t>ln</m:t>
        </m:r>
        <m:d>
          <m:dPr>
            <m:ctrlPr>
              <w:rPr>
                <w:rFonts w:ascii="Cambria Math" w:hAnsi="Cambria Math"/>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hAnsi="Cambria Math"/>
                        <w:szCs w:val="24"/>
                      </w:rPr>
                      <m:t>it</m:t>
                    </m:r>
                  </m:sub>
                </m:sSub>
              </m:num>
              <m:den>
                <m:r>
                  <w:rPr>
                    <w:rFonts w:ascii="Cambria Math" w:hAnsi="Cambria Math"/>
                    <w:szCs w:val="24"/>
                  </w:rPr>
                  <m:t>100</m:t>
                </m:r>
              </m:den>
            </m:f>
          </m:e>
        </m:d>
      </m:oMath>
      <w:r w:rsidR="00823FC4" w:rsidRPr="004634FC">
        <w:rPr>
          <w:szCs w:val="24"/>
        </w:rPr>
        <w:tab/>
      </w:r>
      <w:r w:rsidR="00EF4F4C" w:rsidRPr="004634FC">
        <w:rPr>
          <w:szCs w:val="24"/>
        </w:rPr>
        <w:t xml:space="preserve">      </w:t>
      </w:r>
      <w:r w:rsidR="00EF4F4C" w:rsidRPr="004634FC">
        <w:rPr>
          <w:szCs w:val="24"/>
        </w:rPr>
        <w:tab/>
        <w:t xml:space="preserve"> </w:t>
      </w:r>
      <m:oMath>
        <m:sSub>
          <m:sSubPr>
            <m:ctrlPr>
              <w:rPr>
                <w:rFonts w:ascii="Cambria Math" w:hAnsi="Cambria Math"/>
                <w:i/>
                <w:szCs w:val="24"/>
              </w:rPr>
            </m:ctrlPr>
          </m:sSubPr>
          <m:e>
            <m:r>
              <w:rPr>
                <w:rFonts w:ascii="Cambria Math" w:hAnsi="Cambria Math"/>
                <w:szCs w:val="24"/>
              </w:rPr>
              <m:t>lr</m:t>
            </m:r>
          </m:e>
          <m:sub>
            <m:r>
              <w:rPr>
                <w:rFonts w:ascii="Cambria Math" w:hAnsi="Cambria Math"/>
                <w:szCs w:val="24"/>
              </w:rPr>
              <m:t>it</m:t>
            </m:r>
          </m:sub>
        </m:sSub>
        <m:r>
          <w:rPr>
            <w:rFonts w:ascii="Cambria Math" w:hAnsi="Cambria Math"/>
            <w:szCs w:val="24"/>
          </w:rPr>
          <m:t xml:space="preserve">=0.25 </m:t>
        </m:r>
        <m:r>
          <m:rPr>
            <m:sty m:val="p"/>
          </m:rPr>
          <w:rPr>
            <w:rFonts w:ascii="Cambria Math" w:hAnsi="Cambria Math"/>
            <w:szCs w:val="24"/>
          </w:rPr>
          <m:t>ln</m:t>
        </m:r>
        <m:d>
          <m:dPr>
            <m:ctrlPr>
              <w:rPr>
                <w:rFonts w:ascii="Cambria Math" w:hAnsi="Cambria Math"/>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LR</m:t>
                    </m:r>
                  </m:e>
                  <m:sub>
                    <m:r>
                      <w:rPr>
                        <w:rFonts w:ascii="Cambria Math" w:hAnsi="Cambria Math"/>
                        <w:szCs w:val="24"/>
                      </w:rPr>
                      <m:t>it</m:t>
                    </m:r>
                  </m:sub>
                </m:sSub>
              </m:num>
              <m:den>
                <m:r>
                  <w:rPr>
                    <w:rFonts w:ascii="Cambria Math" w:hAnsi="Cambria Math"/>
                    <w:szCs w:val="24"/>
                  </w:rPr>
                  <m:t>100</m:t>
                </m:r>
              </m:den>
            </m:f>
          </m:e>
        </m:d>
      </m:oMath>
      <w:r w:rsidR="00216B7C" w:rsidRPr="00EA38D2">
        <w:rPr>
          <w:rFonts w:eastAsia="Times New Roman"/>
          <w:szCs w:val="24"/>
        </w:rPr>
        <w:t xml:space="preserve">, </w:t>
      </w:r>
      <m:oMath>
        <m:sSub>
          <m:sSubPr>
            <m:ctrlPr>
              <w:rPr>
                <w:rFonts w:ascii="Cambria Math" w:hAnsi="Cambria Math"/>
                <w:i/>
                <w:szCs w:val="24"/>
              </w:rPr>
            </m:ctrlPr>
          </m:sSubPr>
          <m:e>
            <m:r>
              <w:rPr>
                <w:rFonts w:ascii="Cambria Math" w:hAnsi="Cambria Math"/>
                <w:szCs w:val="24"/>
              </w:rPr>
              <m:t>oil</m:t>
            </m:r>
          </m:e>
          <m:sub>
            <m:r>
              <w:rPr>
                <w:rFonts w:ascii="Cambria Math" w:hAnsi="Cambria Math"/>
                <w:szCs w:val="24"/>
              </w:rPr>
              <m:t>t</m:t>
            </m:r>
          </m:sub>
        </m:sSub>
        <m:r>
          <w:rPr>
            <w:rFonts w:ascii="Cambria Math" w:hAnsi="Cambria Math"/>
            <w:szCs w:val="24"/>
          </w:rPr>
          <m:t>=</m:t>
        </m:r>
        <m:r>
          <m:rPr>
            <m:sty m:val="p"/>
          </m:rPr>
          <w:rPr>
            <w:rFonts w:ascii="Cambria Math" w:hAnsi="Cambria Math"/>
            <w:szCs w:val="24"/>
          </w:rPr>
          <m:t>ln</m:t>
        </m:r>
        <m:d>
          <m:dPr>
            <m:ctrlPr>
              <w:rPr>
                <w:rFonts w:ascii="Cambria Math" w:hAnsi="Cambria Math"/>
                <w:szCs w:val="24"/>
              </w:rPr>
            </m:ctrlPr>
          </m:dPr>
          <m:e>
            <m:sSub>
              <m:sSubPr>
                <m:ctrlPr>
                  <w:rPr>
                    <w:rFonts w:ascii="Cambria Math" w:hAnsi="Cambria Math"/>
                    <w:i/>
                    <w:szCs w:val="24"/>
                  </w:rPr>
                </m:ctrlPr>
              </m:sSubPr>
              <m:e>
                <m:r>
                  <w:rPr>
                    <w:rFonts w:ascii="Cambria Math" w:hAnsi="Cambria Math"/>
                    <w:szCs w:val="24"/>
                  </w:rPr>
                  <m:t>OIL</m:t>
                </m:r>
              </m:e>
              <m:sub>
                <m:r>
                  <w:rPr>
                    <w:rFonts w:ascii="Cambria Math" w:hAnsi="Cambria Math"/>
                    <w:szCs w:val="24"/>
                  </w:rPr>
                  <m:t>t</m:t>
                </m:r>
              </m:sub>
            </m:sSub>
          </m:e>
        </m:d>
      </m:oMath>
      <w:r w:rsidR="00216B7C" w:rsidRPr="00EA38D2">
        <w:rPr>
          <w:rFonts w:eastAsia="Times New Roman"/>
          <w:szCs w:val="24"/>
        </w:rPr>
        <w:t xml:space="preserve">, </w:t>
      </w:r>
      <m:oMath>
        <m:sSub>
          <m:sSubPr>
            <m:ctrlPr>
              <w:rPr>
                <w:rFonts w:ascii="Cambria Math" w:hAnsi="Cambria Math"/>
                <w:i/>
                <w:szCs w:val="24"/>
              </w:rPr>
            </m:ctrlPr>
          </m:sSubPr>
          <m:e>
            <m:r>
              <w:rPr>
                <w:rFonts w:ascii="Cambria Math" w:hAnsi="Cambria Math"/>
                <w:szCs w:val="24"/>
              </w:rPr>
              <m:t>rm</m:t>
            </m:r>
          </m:e>
          <m:sub>
            <m:r>
              <w:rPr>
                <w:rFonts w:ascii="Cambria Math" w:hAnsi="Cambria Math"/>
                <w:szCs w:val="24"/>
              </w:rPr>
              <m:t>t</m:t>
            </m:r>
          </m:sub>
        </m:sSub>
        <m:r>
          <w:rPr>
            <w:rFonts w:ascii="Cambria Math" w:hAnsi="Cambria Math"/>
            <w:szCs w:val="24"/>
          </w:rPr>
          <m:t>=</m:t>
        </m:r>
        <m:r>
          <m:rPr>
            <m:sty m:val="p"/>
          </m:rPr>
          <w:rPr>
            <w:rFonts w:ascii="Cambria Math" w:hAnsi="Cambria Math"/>
            <w:szCs w:val="24"/>
          </w:rPr>
          <m:t>ln</m:t>
        </m:r>
        <m:d>
          <m:dPr>
            <m:ctrlPr>
              <w:rPr>
                <w:rFonts w:ascii="Cambria Math" w:hAnsi="Cambria Math"/>
                <w:szCs w:val="24"/>
              </w:rPr>
            </m:ctrlPr>
          </m:dPr>
          <m:e>
            <m:sSub>
              <m:sSubPr>
                <m:ctrlPr>
                  <w:rPr>
                    <w:rFonts w:ascii="Cambria Math" w:hAnsi="Cambria Math"/>
                    <w:i/>
                    <w:szCs w:val="24"/>
                  </w:rPr>
                </m:ctrlPr>
              </m:sSubPr>
              <m:e>
                <m:r>
                  <w:rPr>
                    <w:rFonts w:ascii="Cambria Math" w:hAnsi="Cambria Math"/>
                    <w:szCs w:val="24"/>
                  </w:rPr>
                  <m:t>RM</m:t>
                </m:r>
              </m:e>
              <m:sub>
                <m:r>
                  <w:rPr>
                    <w:rFonts w:ascii="Cambria Math" w:hAnsi="Cambria Math"/>
                    <w:szCs w:val="24"/>
                  </w:rPr>
                  <m:t>t</m:t>
                </m:r>
              </m:sub>
            </m:sSub>
          </m:e>
        </m:d>
        <m:r>
          <w:rPr>
            <w:rFonts w:ascii="Cambria Math" w:hAnsi="Cambria Math"/>
            <w:szCs w:val="24"/>
          </w:rPr>
          <m:t> </m:t>
        </m:r>
      </m:oMath>
      <w:r w:rsidR="00216B7C" w:rsidRPr="00EA38D2">
        <w:rPr>
          <w:rFonts w:eastAsia="Times New Roman"/>
          <w:szCs w:val="24"/>
        </w:rPr>
        <w:t xml:space="preserve">, </w:t>
      </w:r>
      <m:oMath>
        <m:sSub>
          <m:sSubPr>
            <m:ctrlPr>
              <w:rPr>
                <w:rFonts w:ascii="Cambria Math" w:hAnsi="Cambria Math"/>
                <w:i/>
                <w:szCs w:val="24"/>
              </w:rPr>
            </m:ctrlPr>
          </m:sSubPr>
          <m:e>
            <m:r>
              <w:rPr>
                <w:rFonts w:ascii="Cambria Math" w:hAnsi="Cambria Math"/>
                <w:szCs w:val="24"/>
              </w:rPr>
              <m:t>met</m:t>
            </m:r>
          </m:e>
          <m:sub>
            <m:r>
              <w:rPr>
                <w:rFonts w:ascii="Cambria Math" w:hAnsi="Cambria Math"/>
                <w:szCs w:val="24"/>
              </w:rPr>
              <m:t>t</m:t>
            </m:r>
          </m:sub>
        </m:sSub>
        <m:r>
          <w:rPr>
            <w:rFonts w:ascii="Cambria Math" w:hAnsi="Cambria Math"/>
            <w:szCs w:val="24"/>
          </w:rPr>
          <m:t>=</m:t>
        </m:r>
        <m:r>
          <m:rPr>
            <m:sty m:val="p"/>
          </m:rPr>
          <w:rPr>
            <w:rFonts w:ascii="Cambria Math" w:hAnsi="Cambria Math"/>
            <w:szCs w:val="24"/>
          </w:rPr>
          <m:t>ln</m:t>
        </m:r>
        <m:d>
          <m:dPr>
            <m:ctrlPr>
              <w:rPr>
                <w:rFonts w:ascii="Cambria Math" w:hAnsi="Cambria Math"/>
                <w:szCs w:val="24"/>
              </w:rPr>
            </m:ctrlPr>
          </m:dPr>
          <m:e>
            <m:sSub>
              <m:sSubPr>
                <m:ctrlPr>
                  <w:rPr>
                    <w:rFonts w:ascii="Cambria Math" w:hAnsi="Cambria Math"/>
                    <w:i/>
                    <w:szCs w:val="24"/>
                  </w:rPr>
                </m:ctrlPr>
              </m:sSubPr>
              <m:e>
                <m:r>
                  <w:rPr>
                    <w:rFonts w:ascii="Cambria Math" w:hAnsi="Cambria Math"/>
                    <w:szCs w:val="24"/>
                  </w:rPr>
                  <m:t>MT</m:t>
                </m:r>
              </m:e>
              <m:sub>
                <m:r>
                  <w:rPr>
                    <w:rFonts w:ascii="Cambria Math" w:hAnsi="Cambria Math"/>
                    <w:szCs w:val="24"/>
                  </w:rPr>
                  <m:t>t</m:t>
                </m:r>
              </m:sub>
            </m:sSub>
          </m:e>
        </m:d>
        <m:r>
          <w:rPr>
            <w:rFonts w:ascii="Cambria Math" w:hAnsi="Cambria Math"/>
            <w:szCs w:val="24"/>
          </w:rPr>
          <m:t> </m:t>
        </m:r>
      </m:oMath>
      <w:r w:rsidR="006B11B7" w:rsidRPr="00EA38D2">
        <w:rPr>
          <w:rFonts w:ascii="Cambria Math" w:hAnsi="Cambria Math"/>
          <w:szCs w:val="24"/>
        </w:rPr>
        <w:br/>
      </w:r>
      <w:r w:rsidR="00C869ED" w:rsidRPr="004634FC">
        <w:rPr>
          <w:szCs w:val="24"/>
        </w:rPr>
        <w:t xml:space="preserve">Where </w:t>
      </w:r>
      <w:r w:rsidR="00C869ED" w:rsidRPr="004634FC">
        <w:rPr>
          <w:i/>
          <w:szCs w:val="24"/>
        </w:rPr>
        <w:t xml:space="preserve">i </w:t>
      </w:r>
      <w:r w:rsidR="00C869ED" w:rsidRPr="004634FC">
        <w:rPr>
          <w:szCs w:val="24"/>
        </w:rPr>
        <w:t xml:space="preserve"> stands for the index representing Madagascar</w:t>
      </w:r>
      <w:r w:rsidR="00532E80" w:rsidRPr="004634FC">
        <w:rPr>
          <w:szCs w:val="24"/>
        </w:rPr>
        <w:t xml:space="preserve"> trading partner</w:t>
      </w:r>
    </w:p>
    <w:p w:rsidR="00A8548B" w:rsidRPr="004634FC" w:rsidRDefault="00A8548B" w:rsidP="004634FC">
      <w:pPr>
        <w:spacing w:line="276" w:lineRule="auto"/>
        <w:ind w:firstLine="0"/>
        <w:rPr>
          <w:szCs w:val="24"/>
        </w:rPr>
      </w:pPr>
      <w:r w:rsidRPr="004634FC">
        <w:rPr>
          <w:szCs w:val="24"/>
        </w:rPr>
        <w:t>For the case of Madagascar, domestic variables include gross domestic products (GDP), consumer price index (CPI), short-term (R) and long-t</w:t>
      </w:r>
      <w:r w:rsidR="009C3CE2" w:rsidRPr="004634FC">
        <w:rPr>
          <w:szCs w:val="24"/>
        </w:rPr>
        <w:t>erm (LR) interest rates</w:t>
      </w:r>
      <w:r w:rsidRPr="004634FC">
        <w:rPr>
          <w:szCs w:val="24"/>
        </w:rPr>
        <w:t>. For the</w:t>
      </w:r>
      <w:r w:rsidR="00446A3B" w:rsidRPr="004634FC">
        <w:rPr>
          <w:szCs w:val="24"/>
        </w:rPr>
        <w:t xml:space="preserve"> case of</w:t>
      </w:r>
      <w:r w:rsidRPr="004634FC">
        <w:rPr>
          <w:szCs w:val="24"/>
        </w:rPr>
        <w:t xml:space="preserve"> exchange rate variable, real effective exchange rate (E) is used rather than domestic currency to US dollar.</w:t>
      </w:r>
    </w:p>
    <w:p w:rsidR="00F447D2" w:rsidRPr="00EA38D2" w:rsidRDefault="009D4065" w:rsidP="00EF4F4C">
      <w:pPr>
        <w:spacing w:line="360" w:lineRule="auto"/>
        <w:rPr>
          <w:rFonts w:eastAsia="Times New Roman"/>
          <w:szCs w:val="24"/>
        </w:rPr>
      </w:pP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t</m:t>
            </m:r>
          </m:sub>
        </m:sSub>
        <m:r>
          <w:rPr>
            <w:rFonts w:ascii="Cambria Math" w:hAnsi="Cambria Math"/>
            <w:szCs w:val="24"/>
          </w:rPr>
          <m:t>=</m:t>
        </m:r>
        <m:r>
          <m:rPr>
            <m:sty m:val="p"/>
          </m:rPr>
          <w:rPr>
            <w:rFonts w:ascii="Cambria Math" w:hAnsi="Cambria Math"/>
            <w:szCs w:val="24"/>
          </w:rPr>
          <m:t>ln</m:t>
        </m:r>
        <m:d>
          <m:dPr>
            <m:ctrlPr>
              <w:rPr>
                <w:rFonts w:ascii="Cambria Math" w:hAnsi="Cambria Math"/>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GDP</m:t>
                    </m:r>
                  </m:e>
                  <m:sub>
                    <m:r>
                      <w:rPr>
                        <w:rFonts w:ascii="Cambria Math" w:hAnsi="Cambria Math"/>
                        <w:szCs w:val="24"/>
                      </w:rPr>
                      <m:t>t</m:t>
                    </m:r>
                  </m:sub>
                </m:sSub>
              </m:num>
              <m:den>
                <m:sSub>
                  <m:sSubPr>
                    <m:ctrlPr>
                      <w:rPr>
                        <w:rFonts w:ascii="Cambria Math" w:hAnsi="Cambria Math"/>
                        <w:i/>
                        <w:szCs w:val="24"/>
                      </w:rPr>
                    </m:ctrlPr>
                  </m:sSubPr>
                  <m:e>
                    <m:r>
                      <w:rPr>
                        <w:rFonts w:ascii="Cambria Math" w:hAnsi="Cambria Math"/>
                        <w:szCs w:val="24"/>
                      </w:rPr>
                      <m:t>CPI</m:t>
                    </m:r>
                  </m:e>
                  <m:sub>
                    <m:r>
                      <w:rPr>
                        <w:rFonts w:ascii="Cambria Math" w:hAnsi="Cambria Math"/>
                        <w:szCs w:val="24"/>
                      </w:rPr>
                      <m:t>t</m:t>
                    </m:r>
                  </m:sub>
                </m:sSub>
              </m:den>
            </m:f>
          </m:e>
        </m:d>
      </m:oMath>
      <w:r w:rsidR="00216B7C" w:rsidRPr="004634FC">
        <w:rPr>
          <w:szCs w:val="24"/>
        </w:rPr>
        <w:t xml:space="preserve">, </w:t>
      </w:r>
      <w:r w:rsidR="00216B7C" w:rsidRPr="004634FC">
        <w:rPr>
          <w:szCs w:val="24"/>
        </w:rPr>
        <w:tab/>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t</m:t>
            </m:r>
          </m:sub>
        </m:sSub>
        <m:r>
          <w:rPr>
            <w:rFonts w:ascii="Cambria Math" w:hAnsi="Cambria Math"/>
            <w:szCs w:val="24"/>
          </w:rPr>
          <m:t>=</m:t>
        </m:r>
        <m:r>
          <m:rPr>
            <m:sty m:val="p"/>
          </m:rPr>
          <w:rPr>
            <w:rFonts w:ascii="Cambria Math" w:hAnsi="Cambria Math"/>
            <w:szCs w:val="24"/>
          </w:rPr>
          <m:t>ln</m:t>
        </m:r>
        <m:d>
          <m:dPr>
            <m:ctrlPr>
              <w:rPr>
                <w:rFonts w:ascii="Cambria Math" w:hAnsi="Cambria Math"/>
                <w:szCs w:val="24"/>
              </w:rPr>
            </m:ctrlPr>
          </m:dPr>
          <m:e>
            <m:sSub>
              <m:sSubPr>
                <m:ctrlPr>
                  <w:rPr>
                    <w:rFonts w:ascii="Cambria Math" w:hAnsi="Cambria Math"/>
                    <w:i/>
                    <w:szCs w:val="24"/>
                  </w:rPr>
                </m:ctrlPr>
              </m:sSubPr>
              <m:e>
                <m:r>
                  <w:rPr>
                    <w:rFonts w:ascii="Cambria Math" w:hAnsi="Cambria Math"/>
                    <w:szCs w:val="24"/>
                  </w:rPr>
                  <m:t>CPI</m:t>
                </m:r>
              </m:e>
              <m:sub>
                <m:r>
                  <w:rPr>
                    <w:rFonts w:ascii="Cambria Math" w:hAnsi="Cambria Math"/>
                    <w:szCs w:val="24"/>
                  </w:rPr>
                  <m:t>t</m:t>
                </m:r>
              </m:sub>
            </m:sSub>
          </m:e>
        </m:d>
      </m:oMath>
      <w:r w:rsidR="00216B7C" w:rsidRPr="00EA38D2">
        <w:rPr>
          <w:rFonts w:eastAsia="Times New Roman"/>
          <w:szCs w:val="24"/>
        </w:rPr>
        <w:t xml:space="preserve"> ,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t</m:t>
            </m:r>
          </m:sub>
        </m:sSub>
        <m:r>
          <w:rPr>
            <w:rFonts w:ascii="Cambria Math" w:hAnsi="Cambria Math"/>
            <w:szCs w:val="24"/>
          </w:rPr>
          <m:t>=</m:t>
        </m:r>
        <m:r>
          <m:rPr>
            <m:sty m:val="p"/>
          </m:rPr>
          <w:rPr>
            <w:rFonts w:ascii="Cambria Math" w:hAnsi="Cambria Math"/>
            <w:szCs w:val="24"/>
          </w:rPr>
          <m:t>ln</m:t>
        </m:r>
        <m:d>
          <m:dPr>
            <m:ctrlPr>
              <w:rPr>
                <w:rFonts w:ascii="Cambria Math" w:hAnsi="Cambria Math"/>
                <w:szCs w:val="24"/>
              </w:rPr>
            </m:ctrlPr>
          </m:dP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t</m:t>
                </m:r>
              </m:sub>
            </m:sSub>
          </m:e>
        </m:d>
      </m:oMath>
      <w:r w:rsidR="00216B7C" w:rsidRPr="00EA38D2">
        <w:rPr>
          <w:rFonts w:eastAsia="Times New Roman"/>
          <w:szCs w:val="24"/>
        </w:rPr>
        <w:t xml:space="preserve">, </w:t>
      </w:r>
      <m:oMath>
        <m:sSub>
          <m:sSubPr>
            <m:ctrlPr>
              <w:rPr>
                <w:rFonts w:ascii="Cambria Math" w:hAnsi="Cambria Math"/>
                <w:i/>
                <w:szCs w:val="24"/>
              </w:rPr>
            </m:ctrlPr>
          </m:sSubPr>
          <m:e>
            <m:r>
              <w:rPr>
                <w:rFonts w:ascii="Cambria Math" w:hAnsi="Cambria Math"/>
                <w:szCs w:val="24"/>
              </w:rPr>
              <m:t>lr</m:t>
            </m:r>
          </m:e>
          <m:sub>
            <m:r>
              <w:rPr>
                <w:rFonts w:ascii="Cambria Math" w:hAnsi="Cambria Math"/>
                <w:szCs w:val="24"/>
              </w:rPr>
              <m:t>it</m:t>
            </m:r>
          </m:sub>
        </m:sSub>
        <m:r>
          <w:rPr>
            <w:rFonts w:ascii="Cambria Math" w:hAnsi="Cambria Math"/>
            <w:szCs w:val="24"/>
          </w:rPr>
          <m:t xml:space="preserve">=0.25 </m:t>
        </m:r>
        <m:r>
          <m:rPr>
            <m:sty m:val="p"/>
          </m:rPr>
          <w:rPr>
            <w:rFonts w:ascii="Cambria Math" w:hAnsi="Cambria Math"/>
            <w:szCs w:val="24"/>
          </w:rPr>
          <m:t>ln</m:t>
        </m:r>
        <m:d>
          <m:dPr>
            <m:ctrlPr>
              <w:rPr>
                <w:rFonts w:ascii="Cambria Math" w:hAnsi="Cambria Math"/>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LR</m:t>
                    </m:r>
                  </m:e>
                  <m:sub>
                    <m:r>
                      <w:rPr>
                        <w:rFonts w:ascii="Cambria Math" w:hAnsi="Cambria Math"/>
                        <w:szCs w:val="24"/>
                      </w:rPr>
                      <m:t>it</m:t>
                    </m:r>
                  </m:sub>
                </m:sSub>
              </m:num>
              <m:den>
                <m:r>
                  <w:rPr>
                    <w:rFonts w:ascii="Cambria Math" w:hAnsi="Cambria Math"/>
                    <w:szCs w:val="24"/>
                  </w:rPr>
                  <m:t>100</m:t>
                </m:r>
              </m:den>
            </m:f>
          </m:e>
        </m:d>
      </m:oMath>
      <w:r w:rsidR="00216B7C" w:rsidRPr="00EA38D2">
        <w:rPr>
          <w:rFonts w:eastAsia="Times New Roman"/>
          <w:szCs w:val="24"/>
        </w:rPr>
        <w:t xml:space="preserv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r>
          <w:rPr>
            <w:rFonts w:ascii="Cambria Math" w:hAnsi="Cambria Math"/>
            <w:szCs w:val="24"/>
          </w:rPr>
          <m:t>=0.25</m:t>
        </m:r>
        <m:r>
          <m:rPr>
            <m:sty m:val="p"/>
          </m:rPr>
          <w:rPr>
            <w:rFonts w:ascii="Cambria Math" w:hAnsi="Cambria Math"/>
            <w:szCs w:val="24"/>
          </w:rPr>
          <m:t>ln</m:t>
        </m:r>
        <m:d>
          <m:dPr>
            <m:ctrlPr>
              <w:rPr>
                <w:rFonts w:ascii="Cambria Math" w:hAnsi="Cambria Math"/>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num>
              <m:den>
                <m:r>
                  <w:rPr>
                    <w:rFonts w:ascii="Cambria Math" w:hAnsi="Cambria Math"/>
                    <w:szCs w:val="24"/>
                  </w:rPr>
                  <m:t>100</m:t>
                </m:r>
              </m:den>
            </m:f>
          </m:e>
        </m:d>
      </m:oMath>
      <w:r w:rsidR="00C90DED" w:rsidRPr="00EA38D2">
        <w:rPr>
          <w:rFonts w:eastAsia="Times New Roman"/>
          <w:szCs w:val="24"/>
        </w:rPr>
        <w:t>,</w:t>
      </w:r>
    </w:p>
    <w:p w:rsidR="00335F38" w:rsidRPr="004634FC" w:rsidRDefault="00335F38" w:rsidP="00EF4F4C">
      <w:pPr>
        <w:pStyle w:val="ListParagraph"/>
        <w:numPr>
          <w:ilvl w:val="0"/>
          <w:numId w:val="10"/>
        </w:numPr>
        <w:spacing w:line="360" w:lineRule="auto"/>
        <w:rPr>
          <w:b/>
          <w:i/>
          <w:szCs w:val="24"/>
        </w:rPr>
      </w:pPr>
      <w:r w:rsidRPr="004634FC">
        <w:rPr>
          <w:b/>
          <w:i/>
          <w:szCs w:val="24"/>
        </w:rPr>
        <w:t>Data sources</w:t>
      </w:r>
    </w:p>
    <w:p w:rsidR="008F587C" w:rsidRDefault="00A06C20" w:rsidP="004634FC">
      <w:pPr>
        <w:spacing w:line="276" w:lineRule="auto"/>
        <w:ind w:firstLine="0"/>
        <w:rPr>
          <w:b/>
          <w:bCs/>
          <w:szCs w:val="24"/>
        </w:rPr>
      </w:pPr>
      <w:r w:rsidRPr="004634FC">
        <w:rPr>
          <w:szCs w:val="24"/>
        </w:rPr>
        <w:lastRenderedPageBreak/>
        <w:t>The survey</w:t>
      </w:r>
      <w:r w:rsidR="00E340C4" w:rsidRPr="004634FC">
        <w:rPr>
          <w:szCs w:val="24"/>
        </w:rPr>
        <w:t xml:space="preserve"> uses a quarterly data from 2005Q1 to 2015Q4 </w:t>
      </w:r>
      <w:r w:rsidR="00430491" w:rsidRPr="004634FC">
        <w:rPr>
          <w:szCs w:val="24"/>
        </w:rPr>
        <w:t xml:space="preserve">due to </w:t>
      </w:r>
      <w:r w:rsidR="00E340C4" w:rsidRPr="004634FC">
        <w:rPr>
          <w:szCs w:val="24"/>
        </w:rPr>
        <w:t>the</w:t>
      </w:r>
      <w:r w:rsidR="00430491" w:rsidRPr="004634FC">
        <w:rPr>
          <w:szCs w:val="24"/>
        </w:rPr>
        <w:t xml:space="preserve"> </w:t>
      </w:r>
      <w:r w:rsidR="001E0F1F" w:rsidRPr="004634FC">
        <w:rPr>
          <w:szCs w:val="24"/>
        </w:rPr>
        <w:t>unavailability</w:t>
      </w:r>
      <w:r w:rsidR="00430491" w:rsidRPr="004634FC">
        <w:rPr>
          <w:szCs w:val="24"/>
        </w:rPr>
        <w:t xml:space="preserve"> of</w:t>
      </w:r>
      <w:r w:rsidR="00E340C4" w:rsidRPr="004634FC">
        <w:rPr>
          <w:szCs w:val="24"/>
        </w:rPr>
        <w:t xml:space="preserve"> financial data </w:t>
      </w:r>
      <w:r w:rsidR="001E0F1F" w:rsidRPr="004634FC">
        <w:rPr>
          <w:szCs w:val="24"/>
        </w:rPr>
        <w:t>out siding this period</w:t>
      </w:r>
      <w:r w:rsidR="00E340C4" w:rsidRPr="004634FC">
        <w:rPr>
          <w:szCs w:val="24"/>
        </w:rPr>
        <w:t>. The serial of non-performing loan</w:t>
      </w:r>
      <w:r w:rsidR="008A1648" w:rsidRPr="004634FC">
        <w:rPr>
          <w:szCs w:val="24"/>
        </w:rPr>
        <w:t xml:space="preserve"> (NPL)</w:t>
      </w:r>
      <w:r w:rsidR="0033467D" w:rsidRPr="004634FC">
        <w:rPr>
          <w:szCs w:val="24"/>
        </w:rPr>
        <w:t xml:space="preserve"> is</w:t>
      </w:r>
      <w:r w:rsidR="00FF2F35" w:rsidRPr="004634FC">
        <w:rPr>
          <w:szCs w:val="24"/>
        </w:rPr>
        <w:t xml:space="preserve"> available</w:t>
      </w:r>
      <w:r w:rsidR="0033467D" w:rsidRPr="004634FC">
        <w:rPr>
          <w:szCs w:val="24"/>
        </w:rPr>
        <w:t xml:space="preserve"> only</w:t>
      </w:r>
      <w:r w:rsidR="008A1648" w:rsidRPr="004634FC">
        <w:rPr>
          <w:szCs w:val="24"/>
        </w:rPr>
        <w:t xml:space="preserve"> </w:t>
      </w:r>
      <w:r w:rsidR="00FF2F35" w:rsidRPr="004634FC">
        <w:rPr>
          <w:szCs w:val="24"/>
        </w:rPr>
        <w:t xml:space="preserve">for </w:t>
      </w:r>
      <w:r w:rsidR="008A1648" w:rsidRPr="004634FC">
        <w:rPr>
          <w:szCs w:val="24"/>
        </w:rPr>
        <w:t xml:space="preserve">that </w:t>
      </w:r>
      <w:r w:rsidR="0033467D" w:rsidRPr="004634FC">
        <w:rPr>
          <w:szCs w:val="24"/>
        </w:rPr>
        <w:t xml:space="preserve">time </w:t>
      </w:r>
      <w:r w:rsidR="008A1648" w:rsidRPr="004634FC">
        <w:rPr>
          <w:szCs w:val="24"/>
        </w:rPr>
        <w:t>period.</w:t>
      </w:r>
      <w:r w:rsidR="00085FCC" w:rsidRPr="004634FC">
        <w:rPr>
          <w:szCs w:val="24"/>
        </w:rPr>
        <w:t xml:space="preserve"> </w:t>
      </w:r>
      <w:r w:rsidR="00335F38" w:rsidRPr="004634FC">
        <w:rPr>
          <w:szCs w:val="24"/>
        </w:rPr>
        <w:t xml:space="preserve">The data </w:t>
      </w:r>
      <w:r w:rsidR="002A463D" w:rsidRPr="004634FC">
        <w:rPr>
          <w:szCs w:val="24"/>
        </w:rPr>
        <w:t>source of macroeconomic global and foreign variables is</w:t>
      </w:r>
      <w:r w:rsidR="000D101B" w:rsidRPr="004634FC">
        <w:rPr>
          <w:szCs w:val="24"/>
        </w:rPr>
        <w:t xml:space="preserve"> the same as employed in the</w:t>
      </w:r>
      <w:r w:rsidR="00C62A50" w:rsidRPr="004634FC">
        <w:rPr>
          <w:szCs w:val="24"/>
        </w:rPr>
        <w:t xml:space="preserve"> DPdS version and the</w:t>
      </w:r>
      <w:r w:rsidR="009C3CC2" w:rsidRPr="004634FC">
        <w:rPr>
          <w:szCs w:val="24"/>
        </w:rPr>
        <w:t xml:space="preserve"> lasted GVAR toolbox</w:t>
      </w:r>
      <w:r w:rsidR="000D101B" w:rsidRPr="004634FC">
        <w:rPr>
          <w:szCs w:val="24"/>
        </w:rPr>
        <w:t xml:space="preserve"> by </w:t>
      </w:r>
      <w:r w:rsidR="00634198">
        <w:rPr>
          <w:szCs w:val="24"/>
        </w:rPr>
        <w:t>Smith et al. [33]</w:t>
      </w:r>
      <w:r w:rsidR="00591B80" w:rsidRPr="004634FC">
        <w:rPr>
          <w:szCs w:val="24"/>
        </w:rPr>
        <w:t>. However, th</w:t>
      </w:r>
      <w:r w:rsidR="00532F34" w:rsidRPr="004634FC">
        <w:rPr>
          <w:szCs w:val="24"/>
        </w:rPr>
        <w:t xml:space="preserve">e serial data of this </w:t>
      </w:r>
      <w:r w:rsidR="002A463D" w:rsidRPr="004634FC">
        <w:rPr>
          <w:szCs w:val="24"/>
        </w:rPr>
        <w:t xml:space="preserve">package </w:t>
      </w:r>
      <w:r w:rsidR="00B71730" w:rsidRPr="004634FC">
        <w:rPr>
          <w:szCs w:val="24"/>
        </w:rPr>
        <w:t>end</w:t>
      </w:r>
      <w:r w:rsidR="00E340C4" w:rsidRPr="004634FC">
        <w:rPr>
          <w:szCs w:val="24"/>
        </w:rPr>
        <w:t xml:space="preserve"> at the 2013Q1</w:t>
      </w:r>
      <w:r w:rsidR="00B71730" w:rsidRPr="004634FC">
        <w:rPr>
          <w:szCs w:val="24"/>
        </w:rPr>
        <w:t>. But</w:t>
      </w:r>
      <w:r w:rsidR="002A463D" w:rsidRPr="004634FC">
        <w:rPr>
          <w:szCs w:val="24"/>
        </w:rPr>
        <w:t>, t</w:t>
      </w:r>
      <w:r w:rsidR="00E340C4" w:rsidRPr="004634FC">
        <w:rPr>
          <w:szCs w:val="24"/>
        </w:rPr>
        <w:t>his study extends</w:t>
      </w:r>
      <w:r w:rsidR="00B71730" w:rsidRPr="004634FC">
        <w:rPr>
          <w:szCs w:val="24"/>
        </w:rPr>
        <w:t xml:space="preserve"> to the period</w:t>
      </w:r>
      <w:r w:rsidR="00E340C4" w:rsidRPr="004634FC">
        <w:rPr>
          <w:szCs w:val="24"/>
        </w:rPr>
        <w:t xml:space="preserve"> 2015Q4 by using the same data source.</w:t>
      </w:r>
      <w:r w:rsidR="002A463D" w:rsidRPr="004634FC">
        <w:rPr>
          <w:szCs w:val="24"/>
        </w:rPr>
        <w:t xml:space="preserve"> Missing value</w:t>
      </w:r>
      <w:r w:rsidR="00A57BFA" w:rsidRPr="004634FC">
        <w:rPr>
          <w:szCs w:val="24"/>
        </w:rPr>
        <w:t xml:space="preserve"> </w:t>
      </w:r>
      <w:r w:rsidR="002A463D" w:rsidRPr="004634FC">
        <w:rPr>
          <w:szCs w:val="24"/>
        </w:rPr>
        <w:t>was</w:t>
      </w:r>
      <w:r w:rsidR="00A57BFA" w:rsidRPr="004634FC">
        <w:rPr>
          <w:szCs w:val="24"/>
        </w:rPr>
        <w:t xml:space="preserve"> approximated by interpolating annual available data.</w:t>
      </w:r>
      <w:r w:rsidR="00335F38" w:rsidRPr="004634FC">
        <w:rPr>
          <w:szCs w:val="24"/>
        </w:rPr>
        <w:t xml:space="preserve"> Madagascar</w:t>
      </w:r>
      <w:r w:rsidR="00E340C4" w:rsidRPr="004634FC">
        <w:rPr>
          <w:szCs w:val="24"/>
        </w:rPr>
        <w:t xml:space="preserve"> macroeconomic</w:t>
      </w:r>
      <w:r w:rsidR="00335F38" w:rsidRPr="004634FC">
        <w:rPr>
          <w:szCs w:val="24"/>
        </w:rPr>
        <w:t xml:space="preserve"> data comes from </w:t>
      </w:r>
      <w:r w:rsidR="00E340C4" w:rsidRPr="004634FC">
        <w:rPr>
          <w:szCs w:val="24"/>
        </w:rPr>
        <w:t>the</w:t>
      </w:r>
      <w:r w:rsidR="00335F38" w:rsidRPr="004634FC">
        <w:rPr>
          <w:szCs w:val="24"/>
        </w:rPr>
        <w:t xml:space="preserve"> n</w:t>
      </w:r>
      <w:r w:rsidR="00146578" w:rsidRPr="004634FC">
        <w:rPr>
          <w:szCs w:val="24"/>
        </w:rPr>
        <w:t>ational statistical office</w:t>
      </w:r>
      <w:r w:rsidR="002A463D" w:rsidRPr="004634FC">
        <w:rPr>
          <w:szCs w:val="24"/>
        </w:rPr>
        <w:t xml:space="preserve"> (INSTAT)</w:t>
      </w:r>
      <w:r w:rsidR="00E340C4" w:rsidRPr="004634FC">
        <w:rPr>
          <w:szCs w:val="24"/>
        </w:rPr>
        <w:t xml:space="preserve"> and from the Central Bank of Madagascar. </w:t>
      </w:r>
      <w:r w:rsidR="0026262C" w:rsidRPr="004634FC">
        <w:rPr>
          <w:szCs w:val="24"/>
        </w:rPr>
        <w:t>Descriptive statistics of data are given in appendix</w:t>
      </w:r>
      <w:r w:rsidR="00006ACE" w:rsidRPr="004634FC">
        <w:rPr>
          <w:szCs w:val="24"/>
        </w:rPr>
        <w:t xml:space="preserve"> 1</w:t>
      </w:r>
      <w:r w:rsidR="0026262C" w:rsidRPr="004634FC">
        <w:rPr>
          <w:szCs w:val="24"/>
        </w:rPr>
        <w:t>.</w:t>
      </w:r>
      <w:r w:rsidR="008F587C" w:rsidRPr="004634FC">
        <w:rPr>
          <w:szCs w:val="24"/>
        </w:rPr>
        <w:t xml:space="preserve"> </w:t>
      </w:r>
      <w:r w:rsidR="00A57BFA" w:rsidRPr="004634FC">
        <w:rPr>
          <w:szCs w:val="24"/>
        </w:rPr>
        <w:t>All variables data sources are summarized in table 2.</w:t>
      </w:r>
      <w:r w:rsidR="002A463D" w:rsidRPr="004634FC">
        <w:rPr>
          <w:b/>
          <w:bCs/>
          <w:szCs w:val="24"/>
        </w:rPr>
        <w:t xml:space="preserve"> </w:t>
      </w:r>
    </w:p>
    <w:p w:rsidR="00446CAB" w:rsidRDefault="00446CAB" w:rsidP="004634FC">
      <w:pPr>
        <w:spacing w:line="276" w:lineRule="auto"/>
        <w:ind w:firstLine="0"/>
        <w:rPr>
          <w:b/>
          <w:bCs/>
          <w:szCs w:val="24"/>
        </w:rPr>
      </w:pPr>
    </w:p>
    <w:p w:rsidR="00446CAB" w:rsidRDefault="00446CAB" w:rsidP="004634FC">
      <w:pPr>
        <w:spacing w:line="276" w:lineRule="auto"/>
        <w:ind w:firstLine="0"/>
        <w:rPr>
          <w:b/>
          <w:bCs/>
          <w:szCs w:val="24"/>
        </w:rPr>
      </w:pPr>
    </w:p>
    <w:p w:rsidR="00446CAB" w:rsidRPr="004634FC" w:rsidRDefault="00446CAB" w:rsidP="004634FC">
      <w:pPr>
        <w:spacing w:line="276" w:lineRule="auto"/>
        <w:ind w:firstLine="0"/>
        <w:rPr>
          <w:b/>
          <w:bCs/>
          <w:szCs w:val="24"/>
        </w:rPr>
      </w:pPr>
    </w:p>
    <w:p w:rsidR="00A57BFA" w:rsidRPr="004634FC" w:rsidRDefault="00A57BFA" w:rsidP="00EF4F4C">
      <w:pPr>
        <w:pStyle w:val="Caption"/>
        <w:spacing w:line="360" w:lineRule="auto"/>
        <w:rPr>
          <w:b w:val="0"/>
          <w:bCs w:val="0"/>
          <w:color w:val="auto"/>
          <w:sz w:val="24"/>
          <w:szCs w:val="24"/>
        </w:rPr>
      </w:pPr>
      <w:r w:rsidRPr="004634FC">
        <w:rPr>
          <w:b w:val="0"/>
          <w:bCs w:val="0"/>
          <w:color w:val="auto"/>
          <w:sz w:val="24"/>
          <w:szCs w:val="24"/>
        </w:rPr>
        <w:t xml:space="preserve">Table </w:t>
      </w:r>
      <w:r w:rsidRPr="004634FC">
        <w:rPr>
          <w:b w:val="0"/>
          <w:bCs w:val="0"/>
          <w:color w:val="auto"/>
          <w:sz w:val="24"/>
          <w:szCs w:val="24"/>
        </w:rPr>
        <w:fldChar w:fldCharType="begin"/>
      </w:r>
      <w:r w:rsidRPr="004634FC">
        <w:rPr>
          <w:b w:val="0"/>
          <w:bCs w:val="0"/>
          <w:color w:val="auto"/>
          <w:sz w:val="24"/>
          <w:szCs w:val="24"/>
        </w:rPr>
        <w:instrText xml:space="preserve"> SEQ Table \* ARABIC </w:instrText>
      </w:r>
      <w:r w:rsidRPr="004634FC">
        <w:rPr>
          <w:b w:val="0"/>
          <w:bCs w:val="0"/>
          <w:color w:val="auto"/>
          <w:sz w:val="24"/>
          <w:szCs w:val="24"/>
        </w:rPr>
        <w:fldChar w:fldCharType="separate"/>
      </w:r>
      <w:r w:rsidR="00334DD9">
        <w:rPr>
          <w:b w:val="0"/>
          <w:bCs w:val="0"/>
          <w:noProof/>
          <w:color w:val="auto"/>
          <w:sz w:val="24"/>
          <w:szCs w:val="24"/>
        </w:rPr>
        <w:t>2</w:t>
      </w:r>
      <w:r w:rsidRPr="004634FC">
        <w:rPr>
          <w:b w:val="0"/>
          <w:bCs w:val="0"/>
          <w:color w:val="auto"/>
          <w:sz w:val="24"/>
          <w:szCs w:val="24"/>
        </w:rPr>
        <w:fldChar w:fldCharType="end"/>
      </w:r>
      <w:r w:rsidRPr="004634FC">
        <w:rPr>
          <w:b w:val="0"/>
          <w:bCs w:val="0"/>
          <w:color w:val="auto"/>
          <w:sz w:val="24"/>
          <w:szCs w:val="24"/>
        </w:rPr>
        <w:t>: Series of global, foreign and domestic variables and data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tblGrid>
      <w:tr w:rsidR="00A57BFA" w:rsidRPr="00EA38D2" w:rsidTr="00EA38D2">
        <w:tc>
          <w:tcPr>
            <w:tcW w:w="4503" w:type="dxa"/>
            <w:shd w:val="clear" w:color="auto" w:fill="auto"/>
          </w:tcPr>
          <w:p w:rsidR="00A57BFA" w:rsidRPr="00EA38D2" w:rsidRDefault="00A57BFA" w:rsidP="002323A0">
            <w:pPr>
              <w:rPr>
                <w:b/>
                <w:szCs w:val="24"/>
              </w:rPr>
            </w:pPr>
            <w:r w:rsidRPr="00EA38D2">
              <w:rPr>
                <w:b/>
                <w:szCs w:val="24"/>
              </w:rPr>
              <w:t>Variables</w:t>
            </w:r>
          </w:p>
        </w:tc>
        <w:tc>
          <w:tcPr>
            <w:tcW w:w="4536" w:type="dxa"/>
            <w:shd w:val="clear" w:color="auto" w:fill="auto"/>
          </w:tcPr>
          <w:p w:rsidR="00A57BFA" w:rsidRPr="00EA38D2" w:rsidRDefault="00A57BFA" w:rsidP="002323A0">
            <w:pPr>
              <w:rPr>
                <w:b/>
                <w:szCs w:val="24"/>
              </w:rPr>
            </w:pPr>
            <w:r w:rsidRPr="00EA38D2">
              <w:rPr>
                <w:b/>
                <w:szCs w:val="24"/>
              </w:rPr>
              <w:t>Data source</w:t>
            </w:r>
          </w:p>
        </w:tc>
      </w:tr>
      <w:tr w:rsidR="00A57BFA" w:rsidRPr="00EA38D2" w:rsidTr="00EA38D2">
        <w:tc>
          <w:tcPr>
            <w:tcW w:w="9039" w:type="dxa"/>
            <w:gridSpan w:val="2"/>
            <w:shd w:val="clear" w:color="auto" w:fill="auto"/>
          </w:tcPr>
          <w:p w:rsidR="00A57BFA" w:rsidRPr="00EA38D2" w:rsidRDefault="00A57BFA" w:rsidP="002323A0">
            <w:pPr>
              <w:rPr>
                <w:i/>
                <w:szCs w:val="24"/>
              </w:rPr>
            </w:pPr>
            <w:r w:rsidRPr="00EA38D2">
              <w:rPr>
                <w:i/>
                <w:szCs w:val="24"/>
              </w:rPr>
              <w:t>Global and foreign variables</w:t>
            </w:r>
          </w:p>
        </w:tc>
      </w:tr>
      <w:tr w:rsidR="00A57BFA" w:rsidRPr="00EA38D2" w:rsidTr="00EA38D2">
        <w:tc>
          <w:tcPr>
            <w:tcW w:w="4503" w:type="dxa"/>
            <w:shd w:val="clear" w:color="auto" w:fill="auto"/>
          </w:tcPr>
          <w:p w:rsidR="00A57BFA" w:rsidRPr="00EA38D2" w:rsidRDefault="00A57BFA" w:rsidP="00EA38D2">
            <w:pPr>
              <w:pStyle w:val="ListParagraph"/>
              <w:numPr>
                <w:ilvl w:val="0"/>
                <w:numId w:val="11"/>
              </w:numPr>
              <w:rPr>
                <w:szCs w:val="24"/>
              </w:rPr>
            </w:pPr>
            <w:r w:rsidRPr="00EA38D2">
              <w:rPr>
                <w:szCs w:val="24"/>
              </w:rPr>
              <w:t>Gross domestic products (</w:t>
            </w:r>
            <w:r w:rsidRPr="00EA38D2">
              <w:rPr>
                <w:i/>
                <w:szCs w:val="24"/>
              </w:rPr>
              <w:t>GDP</w:t>
            </w:r>
            <w:r w:rsidRPr="00EA38D2">
              <w:rPr>
                <w:szCs w:val="24"/>
              </w:rPr>
              <w:t>)</w:t>
            </w:r>
          </w:p>
          <w:p w:rsidR="00C16165" w:rsidRPr="00EA38D2" w:rsidRDefault="00A57BFA" w:rsidP="00EA38D2">
            <w:pPr>
              <w:pStyle w:val="ListParagraph"/>
              <w:numPr>
                <w:ilvl w:val="0"/>
                <w:numId w:val="11"/>
              </w:numPr>
              <w:rPr>
                <w:i/>
                <w:szCs w:val="24"/>
              </w:rPr>
            </w:pPr>
            <w:r w:rsidRPr="00EA38D2">
              <w:rPr>
                <w:szCs w:val="24"/>
              </w:rPr>
              <w:t>Consumer price index (</w:t>
            </w:r>
            <w:r w:rsidRPr="00EA38D2">
              <w:rPr>
                <w:i/>
                <w:szCs w:val="24"/>
              </w:rPr>
              <w:t>CPI)</w:t>
            </w:r>
          </w:p>
          <w:p w:rsidR="00C16165" w:rsidRPr="00EA38D2" w:rsidRDefault="00A57BFA" w:rsidP="00EA38D2">
            <w:pPr>
              <w:pStyle w:val="ListParagraph"/>
              <w:numPr>
                <w:ilvl w:val="0"/>
                <w:numId w:val="11"/>
              </w:numPr>
              <w:rPr>
                <w:szCs w:val="24"/>
              </w:rPr>
            </w:pPr>
            <w:r w:rsidRPr="00EA38D2">
              <w:rPr>
                <w:szCs w:val="24"/>
              </w:rPr>
              <w:t>Exchange rate (</w:t>
            </w:r>
            <w:r w:rsidRPr="00EA38D2">
              <w:rPr>
                <w:i/>
                <w:szCs w:val="24"/>
              </w:rPr>
              <w:t>E</w:t>
            </w:r>
            <w:r w:rsidRPr="00EA38D2">
              <w:rPr>
                <w:szCs w:val="24"/>
              </w:rPr>
              <w:t>)</w:t>
            </w:r>
          </w:p>
          <w:p w:rsidR="00C16165" w:rsidRPr="00EA38D2" w:rsidRDefault="00A57BFA" w:rsidP="00EA38D2">
            <w:pPr>
              <w:pStyle w:val="ListParagraph"/>
              <w:numPr>
                <w:ilvl w:val="0"/>
                <w:numId w:val="11"/>
              </w:numPr>
              <w:rPr>
                <w:szCs w:val="24"/>
              </w:rPr>
            </w:pPr>
            <w:r w:rsidRPr="00EA38D2">
              <w:rPr>
                <w:szCs w:val="24"/>
              </w:rPr>
              <w:t>Short term (</w:t>
            </w:r>
            <w:r w:rsidRPr="00EA38D2">
              <w:rPr>
                <w:i/>
                <w:szCs w:val="24"/>
              </w:rPr>
              <w:t>R</w:t>
            </w:r>
            <w:r w:rsidRPr="00EA38D2">
              <w:rPr>
                <w:szCs w:val="24"/>
              </w:rPr>
              <w:t>)</w:t>
            </w:r>
            <w:r w:rsidR="00C16165" w:rsidRPr="00EA38D2">
              <w:rPr>
                <w:szCs w:val="24"/>
              </w:rPr>
              <w:t xml:space="preserve"> </w:t>
            </w:r>
          </w:p>
          <w:p w:rsidR="00C16165" w:rsidRPr="00EA38D2" w:rsidRDefault="00A57BFA" w:rsidP="00EA38D2">
            <w:pPr>
              <w:pStyle w:val="ListParagraph"/>
              <w:numPr>
                <w:ilvl w:val="0"/>
                <w:numId w:val="11"/>
              </w:numPr>
              <w:rPr>
                <w:szCs w:val="24"/>
              </w:rPr>
            </w:pPr>
            <w:r w:rsidRPr="00EA38D2">
              <w:rPr>
                <w:szCs w:val="24"/>
              </w:rPr>
              <w:t>Long term (</w:t>
            </w:r>
            <w:r w:rsidRPr="00EA38D2">
              <w:rPr>
                <w:i/>
                <w:szCs w:val="24"/>
              </w:rPr>
              <w:t>LR</w:t>
            </w:r>
            <w:r w:rsidRPr="00EA38D2">
              <w:rPr>
                <w:szCs w:val="24"/>
              </w:rPr>
              <w:t>) interest rate</w:t>
            </w:r>
          </w:p>
          <w:p w:rsidR="00C16165" w:rsidRPr="00EA38D2" w:rsidRDefault="00C16165" w:rsidP="00EA38D2">
            <w:pPr>
              <w:pStyle w:val="ListParagraph"/>
              <w:numPr>
                <w:ilvl w:val="0"/>
                <w:numId w:val="11"/>
              </w:numPr>
              <w:rPr>
                <w:szCs w:val="24"/>
              </w:rPr>
            </w:pPr>
            <w:r w:rsidRPr="00EA38D2">
              <w:rPr>
                <w:szCs w:val="24"/>
              </w:rPr>
              <w:t>Oil price</w:t>
            </w:r>
          </w:p>
          <w:p w:rsidR="00C16165" w:rsidRPr="00EA38D2" w:rsidRDefault="00C16165" w:rsidP="00EA38D2">
            <w:pPr>
              <w:pStyle w:val="ListParagraph"/>
              <w:numPr>
                <w:ilvl w:val="0"/>
                <w:numId w:val="11"/>
              </w:numPr>
              <w:rPr>
                <w:szCs w:val="24"/>
              </w:rPr>
            </w:pPr>
            <w:r w:rsidRPr="00EA38D2">
              <w:rPr>
                <w:szCs w:val="24"/>
              </w:rPr>
              <w:t>Raw material price</w:t>
            </w:r>
          </w:p>
          <w:p w:rsidR="00A57BFA" w:rsidRPr="00EA38D2" w:rsidRDefault="00C16165" w:rsidP="00EA38D2">
            <w:pPr>
              <w:pStyle w:val="ListParagraph"/>
              <w:numPr>
                <w:ilvl w:val="0"/>
                <w:numId w:val="11"/>
              </w:numPr>
              <w:rPr>
                <w:szCs w:val="24"/>
              </w:rPr>
            </w:pPr>
            <w:r w:rsidRPr="00EA38D2">
              <w:rPr>
                <w:szCs w:val="24"/>
              </w:rPr>
              <w:t>Metal price</w:t>
            </w:r>
          </w:p>
        </w:tc>
        <w:tc>
          <w:tcPr>
            <w:tcW w:w="4536" w:type="dxa"/>
            <w:shd w:val="clear" w:color="auto" w:fill="auto"/>
            <w:vAlign w:val="center"/>
          </w:tcPr>
          <w:p w:rsidR="00A57BFA" w:rsidRPr="00EA38D2" w:rsidRDefault="00A57BFA" w:rsidP="00EA38D2">
            <w:pPr>
              <w:jc w:val="center"/>
              <w:rPr>
                <w:szCs w:val="24"/>
              </w:rPr>
            </w:pPr>
            <w:r w:rsidRPr="00EA38D2">
              <w:rPr>
                <w:szCs w:val="24"/>
              </w:rPr>
              <w:t>International Financial Statistics</w:t>
            </w:r>
            <w:r w:rsidR="00C16165" w:rsidRPr="00EA38D2">
              <w:rPr>
                <w:szCs w:val="24"/>
              </w:rPr>
              <w:t xml:space="preserve"> (IFS)</w:t>
            </w:r>
            <w:r w:rsidRPr="00EA38D2">
              <w:rPr>
                <w:szCs w:val="24"/>
              </w:rPr>
              <w:t xml:space="preserve"> of IMF</w:t>
            </w:r>
          </w:p>
          <w:p w:rsidR="00C16165" w:rsidRPr="00EA38D2" w:rsidRDefault="00C16165" w:rsidP="00EA38D2">
            <w:pPr>
              <w:jc w:val="center"/>
              <w:rPr>
                <w:szCs w:val="24"/>
              </w:rPr>
            </w:pPr>
          </w:p>
          <w:p w:rsidR="00C16165" w:rsidRPr="00EA38D2" w:rsidRDefault="00C16165" w:rsidP="00EA38D2">
            <w:pPr>
              <w:jc w:val="center"/>
              <w:rPr>
                <w:szCs w:val="24"/>
              </w:rPr>
            </w:pPr>
          </w:p>
        </w:tc>
      </w:tr>
      <w:tr w:rsidR="00C16165" w:rsidRPr="00EA38D2" w:rsidTr="00EA38D2">
        <w:tc>
          <w:tcPr>
            <w:tcW w:w="9039" w:type="dxa"/>
            <w:gridSpan w:val="2"/>
            <w:shd w:val="clear" w:color="auto" w:fill="auto"/>
          </w:tcPr>
          <w:p w:rsidR="00C16165" w:rsidRPr="00EA38D2" w:rsidRDefault="00C16165" w:rsidP="002323A0">
            <w:pPr>
              <w:rPr>
                <w:i/>
                <w:szCs w:val="24"/>
              </w:rPr>
            </w:pPr>
            <w:r w:rsidRPr="00EA38D2">
              <w:rPr>
                <w:i/>
                <w:szCs w:val="24"/>
              </w:rPr>
              <w:t>Domestic and exogenous variables</w:t>
            </w:r>
          </w:p>
        </w:tc>
      </w:tr>
      <w:tr w:rsidR="00A57BFA" w:rsidRPr="00EA38D2" w:rsidTr="00EA38D2">
        <w:tc>
          <w:tcPr>
            <w:tcW w:w="4503" w:type="dxa"/>
            <w:shd w:val="clear" w:color="auto" w:fill="auto"/>
          </w:tcPr>
          <w:p w:rsidR="00C16165" w:rsidRPr="00EA38D2" w:rsidRDefault="00C16165" w:rsidP="00EA38D2">
            <w:pPr>
              <w:pStyle w:val="ListParagraph"/>
              <w:numPr>
                <w:ilvl w:val="0"/>
                <w:numId w:val="12"/>
              </w:numPr>
              <w:rPr>
                <w:szCs w:val="24"/>
              </w:rPr>
            </w:pPr>
            <w:r w:rsidRPr="00EA38D2">
              <w:rPr>
                <w:szCs w:val="24"/>
              </w:rPr>
              <w:t>Gross domestic products (</w:t>
            </w:r>
            <w:r w:rsidRPr="00EA38D2">
              <w:rPr>
                <w:i/>
                <w:szCs w:val="24"/>
              </w:rPr>
              <w:t>GDP</w:t>
            </w:r>
            <w:r w:rsidRPr="00EA38D2">
              <w:rPr>
                <w:szCs w:val="24"/>
              </w:rPr>
              <w:t>)</w:t>
            </w:r>
          </w:p>
          <w:p w:rsidR="00C16165" w:rsidRPr="00EA38D2" w:rsidRDefault="00C16165" w:rsidP="00EA38D2">
            <w:pPr>
              <w:pStyle w:val="ListParagraph"/>
              <w:numPr>
                <w:ilvl w:val="0"/>
                <w:numId w:val="12"/>
              </w:numPr>
              <w:rPr>
                <w:i/>
                <w:szCs w:val="24"/>
              </w:rPr>
            </w:pPr>
            <w:r w:rsidRPr="00EA38D2">
              <w:rPr>
                <w:szCs w:val="24"/>
              </w:rPr>
              <w:t>Consumer price index (</w:t>
            </w:r>
            <w:r w:rsidRPr="00EA38D2">
              <w:rPr>
                <w:i/>
                <w:szCs w:val="24"/>
              </w:rPr>
              <w:t>CPI)</w:t>
            </w:r>
          </w:p>
          <w:p w:rsidR="00C16165" w:rsidRPr="00EA38D2" w:rsidRDefault="00C16165" w:rsidP="00EA38D2">
            <w:pPr>
              <w:pStyle w:val="ListParagraph"/>
              <w:numPr>
                <w:ilvl w:val="0"/>
                <w:numId w:val="12"/>
              </w:numPr>
              <w:rPr>
                <w:szCs w:val="24"/>
              </w:rPr>
            </w:pPr>
            <w:r w:rsidRPr="00EA38D2">
              <w:rPr>
                <w:szCs w:val="24"/>
              </w:rPr>
              <w:t>Exchange rate (</w:t>
            </w:r>
            <w:r w:rsidRPr="00EA38D2">
              <w:rPr>
                <w:i/>
                <w:szCs w:val="24"/>
              </w:rPr>
              <w:t>E</w:t>
            </w:r>
            <w:r w:rsidRPr="00EA38D2">
              <w:rPr>
                <w:szCs w:val="24"/>
              </w:rPr>
              <w:t>)</w:t>
            </w:r>
          </w:p>
          <w:p w:rsidR="00C16165" w:rsidRPr="00EA38D2" w:rsidRDefault="00C16165" w:rsidP="00EA38D2">
            <w:pPr>
              <w:pStyle w:val="ListParagraph"/>
              <w:numPr>
                <w:ilvl w:val="0"/>
                <w:numId w:val="12"/>
              </w:numPr>
              <w:rPr>
                <w:szCs w:val="24"/>
              </w:rPr>
            </w:pPr>
            <w:r w:rsidRPr="00EA38D2">
              <w:rPr>
                <w:szCs w:val="24"/>
              </w:rPr>
              <w:t>Short term (</w:t>
            </w:r>
            <w:r w:rsidRPr="00EA38D2">
              <w:rPr>
                <w:i/>
                <w:szCs w:val="24"/>
              </w:rPr>
              <w:t>R</w:t>
            </w:r>
            <w:r w:rsidRPr="00EA38D2">
              <w:rPr>
                <w:szCs w:val="24"/>
              </w:rPr>
              <w:t xml:space="preserve">) </w:t>
            </w:r>
          </w:p>
          <w:p w:rsidR="001C1972" w:rsidRPr="00EA38D2" w:rsidRDefault="001C1972" w:rsidP="00EA38D2">
            <w:pPr>
              <w:pStyle w:val="ListParagraph"/>
              <w:ind w:firstLine="0"/>
              <w:rPr>
                <w:szCs w:val="24"/>
              </w:rPr>
            </w:pPr>
          </w:p>
          <w:p w:rsidR="0072193A" w:rsidRPr="00EA38D2" w:rsidRDefault="00C16165" w:rsidP="00EA38D2">
            <w:pPr>
              <w:pStyle w:val="ListParagraph"/>
              <w:numPr>
                <w:ilvl w:val="0"/>
                <w:numId w:val="12"/>
              </w:numPr>
              <w:rPr>
                <w:szCs w:val="24"/>
              </w:rPr>
            </w:pPr>
            <w:r w:rsidRPr="00EA38D2">
              <w:rPr>
                <w:szCs w:val="24"/>
              </w:rPr>
              <w:t>Long term (</w:t>
            </w:r>
            <w:r w:rsidRPr="00EA38D2">
              <w:rPr>
                <w:i/>
                <w:szCs w:val="24"/>
              </w:rPr>
              <w:t>LR</w:t>
            </w:r>
            <w:r w:rsidRPr="00EA38D2">
              <w:rPr>
                <w:szCs w:val="24"/>
              </w:rPr>
              <w:t>) interest rate</w:t>
            </w:r>
          </w:p>
          <w:p w:rsidR="0072193A" w:rsidRPr="00EA38D2" w:rsidRDefault="0072193A" w:rsidP="00EA38D2">
            <w:pPr>
              <w:pStyle w:val="ListParagraph"/>
              <w:ind w:firstLine="0"/>
              <w:rPr>
                <w:szCs w:val="24"/>
              </w:rPr>
            </w:pPr>
          </w:p>
          <w:p w:rsidR="00A57BFA" w:rsidRPr="00EA38D2" w:rsidRDefault="00D33EFB" w:rsidP="00EA38D2">
            <w:pPr>
              <w:pStyle w:val="ListParagraph"/>
              <w:numPr>
                <w:ilvl w:val="0"/>
                <w:numId w:val="12"/>
              </w:numPr>
              <w:rPr>
                <w:szCs w:val="24"/>
              </w:rPr>
            </w:pPr>
            <w:r w:rsidRPr="00EA38D2">
              <w:rPr>
                <w:szCs w:val="24"/>
              </w:rPr>
              <w:t>Non-performing</w:t>
            </w:r>
            <w:r w:rsidR="00FF012D" w:rsidRPr="00EA38D2">
              <w:rPr>
                <w:szCs w:val="24"/>
              </w:rPr>
              <w:t xml:space="preserve"> loan</w:t>
            </w:r>
          </w:p>
        </w:tc>
        <w:tc>
          <w:tcPr>
            <w:tcW w:w="4536" w:type="dxa"/>
            <w:shd w:val="clear" w:color="auto" w:fill="auto"/>
          </w:tcPr>
          <w:p w:rsidR="00A57BFA" w:rsidRPr="00EA38D2" w:rsidRDefault="002F00B9" w:rsidP="00EA38D2">
            <w:pPr>
              <w:pStyle w:val="ListParagraph"/>
              <w:numPr>
                <w:ilvl w:val="0"/>
                <w:numId w:val="13"/>
              </w:numPr>
              <w:rPr>
                <w:szCs w:val="24"/>
              </w:rPr>
            </w:pPr>
            <w:r w:rsidRPr="00EA38D2">
              <w:rPr>
                <w:szCs w:val="24"/>
              </w:rPr>
              <w:t>National Statistic Office</w:t>
            </w:r>
          </w:p>
          <w:p w:rsidR="0072193A" w:rsidRPr="00EA38D2" w:rsidRDefault="0072193A" w:rsidP="00EA38D2">
            <w:pPr>
              <w:pStyle w:val="ListParagraph"/>
              <w:numPr>
                <w:ilvl w:val="0"/>
                <w:numId w:val="13"/>
              </w:numPr>
              <w:rPr>
                <w:szCs w:val="24"/>
              </w:rPr>
            </w:pPr>
            <w:r w:rsidRPr="00EA38D2">
              <w:rPr>
                <w:szCs w:val="24"/>
              </w:rPr>
              <w:t>National Statistic Office</w:t>
            </w:r>
          </w:p>
          <w:p w:rsidR="0072193A" w:rsidRPr="00EA38D2" w:rsidRDefault="0072193A" w:rsidP="00EA38D2">
            <w:pPr>
              <w:pStyle w:val="ListParagraph"/>
              <w:numPr>
                <w:ilvl w:val="0"/>
                <w:numId w:val="13"/>
              </w:numPr>
              <w:rPr>
                <w:szCs w:val="24"/>
              </w:rPr>
            </w:pPr>
            <w:r w:rsidRPr="00EA38D2">
              <w:rPr>
                <w:szCs w:val="24"/>
              </w:rPr>
              <w:t>National Statistic Office</w:t>
            </w:r>
          </w:p>
          <w:p w:rsidR="00C16165" w:rsidRPr="00EA38D2" w:rsidRDefault="007E3C31" w:rsidP="00EA38D2">
            <w:pPr>
              <w:pStyle w:val="ListParagraph"/>
              <w:numPr>
                <w:ilvl w:val="0"/>
                <w:numId w:val="13"/>
              </w:numPr>
              <w:rPr>
                <w:szCs w:val="24"/>
              </w:rPr>
            </w:pPr>
            <w:r w:rsidRPr="00EA38D2">
              <w:rPr>
                <w:szCs w:val="24"/>
              </w:rPr>
              <w:t xml:space="preserve">Statistical information bulletin of </w:t>
            </w:r>
            <w:r w:rsidR="00C16165" w:rsidRPr="00EA38D2">
              <w:rPr>
                <w:szCs w:val="24"/>
              </w:rPr>
              <w:t>Central Bank of Madagascar</w:t>
            </w:r>
          </w:p>
          <w:p w:rsidR="00C16165" w:rsidRPr="00EA38D2" w:rsidRDefault="007E3C31" w:rsidP="00EA38D2">
            <w:pPr>
              <w:pStyle w:val="ListParagraph"/>
              <w:numPr>
                <w:ilvl w:val="0"/>
                <w:numId w:val="13"/>
              </w:numPr>
              <w:rPr>
                <w:szCs w:val="24"/>
              </w:rPr>
            </w:pPr>
            <w:r w:rsidRPr="00EA38D2">
              <w:rPr>
                <w:szCs w:val="24"/>
              </w:rPr>
              <w:t xml:space="preserve">Statistical information bulletin of </w:t>
            </w:r>
            <w:r w:rsidR="00C16165" w:rsidRPr="00EA38D2">
              <w:rPr>
                <w:szCs w:val="24"/>
              </w:rPr>
              <w:t>Central Bank of Madagascar</w:t>
            </w:r>
          </w:p>
          <w:p w:rsidR="00C16165" w:rsidRPr="00EA38D2" w:rsidRDefault="00C16165" w:rsidP="00EA38D2">
            <w:pPr>
              <w:pStyle w:val="ListParagraph"/>
              <w:numPr>
                <w:ilvl w:val="0"/>
                <w:numId w:val="13"/>
              </w:numPr>
              <w:rPr>
                <w:szCs w:val="24"/>
              </w:rPr>
            </w:pPr>
            <w:r w:rsidRPr="00EA38D2">
              <w:rPr>
                <w:szCs w:val="24"/>
              </w:rPr>
              <w:t>Central Bank of Madagascar</w:t>
            </w:r>
          </w:p>
        </w:tc>
      </w:tr>
    </w:tbl>
    <w:p w:rsidR="00486751" w:rsidRPr="004634FC" w:rsidRDefault="009B1F79" w:rsidP="00D4455D">
      <w:pPr>
        <w:pStyle w:val="ListParagraph"/>
        <w:numPr>
          <w:ilvl w:val="0"/>
          <w:numId w:val="15"/>
        </w:numPr>
        <w:spacing w:line="276" w:lineRule="auto"/>
        <w:ind w:left="426"/>
        <w:rPr>
          <w:szCs w:val="24"/>
        </w:rPr>
      </w:pPr>
      <w:r w:rsidRPr="004634FC">
        <w:rPr>
          <w:szCs w:val="24"/>
        </w:rPr>
        <w:lastRenderedPageBreak/>
        <w:t>Gross domestic products in its real term measure</w:t>
      </w:r>
      <w:r w:rsidR="00486751" w:rsidRPr="004634FC">
        <w:rPr>
          <w:szCs w:val="24"/>
        </w:rPr>
        <w:t xml:space="preserve"> the</w:t>
      </w:r>
      <w:r w:rsidR="00C16165" w:rsidRPr="004634FC">
        <w:rPr>
          <w:szCs w:val="24"/>
        </w:rPr>
        <w:t xml:space="preserve"> wealth</w:t>
      </w:r>
      <w:r w:rsidR="00486751" w:rsidRPr="004634FC">
        <w:rPr>
          <w:szCs w:val="24"/>
        </w:rPr>
        <w:t xml:space="preserve"> volume</w:t>
      </w:r>
      <w:r w:rsidR="00C16165" w:rsidRPr="004634FC">
        <w:rPr>
          <w:szCs w:val="24"/>
        </w:rPr>
        <w:t xml:space="preserve"> of</w:t>
      </w:r>
      <w:r w:rsidR="00B71730" w:rsidRPr="004634FC">
        <w:rPr>
          <w:szCs w:val="24"/>
        </w:rPr>
        <w:t xml:space="preserve"> a</w:t>
      </w:r>
      <w:r w:rsidR="00C16165" w:rsidRPr="004634FC">
        <w:rPr>
          <w:szCs w:val="24"/>
        </w:rPr>
        <w:t xml:space="preserve"> nation. </w:t>
      </w:r>
      <w:r w:rsidR="00421FD4" w:rsidRPr="004634FC">
        <w:rPr>
          <w:szCs w:val="24"/>
        </w:rPr>
        <w:t>This indicator characterizes</w:t>
      </w:r>
      <w:r w:rsidR="00486751" w:rsidRPr="004634FC">
        <w:rPr>
          <w:szCs w:val="24"/>
        </w:rPr>
        <w:t xml:space="preserve"> the overall economic activities. Quarterly GDP series in the IFS was used for the four major trading partners. For Madagascar, interpolation </w:t>
      </w:r>
      <w:r w:rsidR="00B71730" w:rsidRPr="004634FC">
        <w:rPr>
          <w:szCs w:val="24"/>
        </w:rPr>
        <w:t>of annual data were</w:t>
      </w:r>
      <w:r w:rsidR="00486751" w:rsidRPr="004634FC">
        <w:rPr>
          <w:szCs w:val="24"/>
        </w:rPr>
        <w:t xml:space="preserve"> carried out and based by the method</w:t>
      </w:r>
      <w:r w:rsidR="007E3C31" w:rsidRPr="004634FC">
        <w:rPr>
          <w:szCs w:val="24"/>
        </w:rPr>
        <w:t xml:space="preserve"> used</w:t>
      </w:r>
      <w:r w:rsidR="00486751" w:rsidRPr="004634FC">
        <w:rPr>
          <w:szCs w:val="24"/>
        </w:rPr>
        <w:t xml:space="preserve"> in the last vers</w:t>
      </w:r>
      <w:r w:rsidR="00634198">
        <w:rPr>
          <w:szCs w:val="24"/>
        </w:rPr>
        <w:t>ion of GVAR (Smith and al., [33]</w:t>
      </w:r>
      <w:r w:rsidR="00486751" w:rsidRPr="004634FC">
        <w:rPr>
          <w:szCs w:val="24"/>
        </w:rPr>
        <w:t>).</w:t>
      </w:r>
      <w:r w:rsidR="007E3C31" w:rsidRPr="004634FC">
        <w:rPr>
          <w:szCs w:val="24"/>
        </w:rPr>
        <w:t xml:space="preserve"> </w:t>
      </w:r>
    </w:p>
    <w:p w:rsidR="00FF012D" w:rsidRPr="004634FC" w:rsidRDefault="00486751" w:rsidP="00D4455D">
      <w:pPr>
        <w:pStyle w:val="ListParagraph"/>
        <w:numPr>
          <w:ilvl w:val="0"/>
          <w:numId w:val="15"/>
        </w:numPr>
        <w:spacing w:line="276" w:lineRule="auto"/>
        <w:ind w:left="426"/>
        <w:rPr>
          <w:szCs w:val="24"/>
        </w:rPr>
      </w:pPr>
      <w:r w:rsidRPr="004634FC">
        <w:rPr>
          <w:szCs w:val="24"/>
        </w:rPr>
        <w:t xml:space="preserve">Consumer price index </w:t>
      </w:r>
      <w:r w:rsidR="001E0F1F" w:rsidRPr="004634FC">
        <w:rPr>
          <w:szCs w:val="24"/>
        </w:rPr>
        <w:t>measures</w:t>
      </w:r>
      <w:r w:rsidR="007E3C31" w:rsidRPr="004634FC">
        <w:rPr>
          <w:szCs w:val="24"/>
        </w:rPr>
        <w:t xml:space="preserve"> the inflation. This indicator</w:t>
      </w:r>
      <w:r w:rsidR="00421FD4" w:rsidRPr="004634FC">
        <w:rPr>
          <w:szCs w:val="24"/>
        </w:rPr>
        <w:t xml:space="preserve"> gives</w:t>
      </w:r>
      <w:r w:rsidR="007E3C31" w:rsidRPr="004634FC">
        <w:rPr>
          <w:szCs w:val="24"/>
        </w:rPr>
        <w:t xml:space="preserve"> between two given period</w:t>
      </w:r>
      <w:r w:rsidR="00B71730" w:rsidRPr="004634FC">
        <w:rPr>
          <w:szCs w:val="24"/>
        </w:rPr>
        <w:t>s</w:t>
      </w:r>
      <w:r w:rsidR="007E3C31" w:rsidRPr="004634FC">
        <w:rPr>
          <w:szCs w:val="24"/>
        </w:rPr>
        <w:t xml:space="preserve"> the average variation of </w:t>
      </w:r>
      <w:r w:rsidR="00421FD4" w:rsidRPr="004634FC">
        <w:rPr>
          <w:szCs w:val="24"/>
        </w:rPr>
        <w:t>goods price</w:t>
      </w:r>
      <w:r w:rsidR="007E3C31" w:rsidRPr="004634FC">
        <w:rPr>
          <w:szCs w:val="24"/>
        </w:rPr>
        <w:t xml:space="preserve"> consumed by household</w:t>
      </w:r>
      <w:r w:rsidR="00B71730" w:rsidRPr="004634FC">
        <w:rPr>
          <w:szCs w:val="24"/>
        </w:rPr>
        <w:t>s</w:t>
      </w:r>
      <w:r w:rsidR="007E3C31" w:rsidRPr="004634FC">
        <w:rPr>
          <w:szCs w:val="24"/>
        </w:rPr>
        <w:t xml:space="preserve">.  </w:t>
      </w:r>
      <w:r w:rsidR="00FF012D" w:rsidRPr="004634FC">
        <w:rPr>
          <w:szCs w:val="24"/>
        </w:rPr>
        <w:t>It is a synthetic measure of products price</w:t>
      </w:r>
      <w:r w:rsidR="009F5788" w:rsidRPr="004634FC">
        <w:rPr>
          <w:szCs w:val="24"/>
        </w:rPr>
        <w:t xml:space="preserve"> evolution</w:t>
      </w:r>
      <w:r w:rsidR="00FF012D" w:rsidRPr="004634FC">
        <w:rPr>
          <w:szCs w:val="24"/>
        </w:rPr>
        <w:t xml:space="preserve"> in constant terms. CPI foreign variables series </w:t>
      </w:r>
      <w:r w:rsidR="00046E5D" w:rsidRPr="004634FC">
        <w:rPr>
          <w:szCs w:val="24"/>
        </w:rPr>
        <w:t>is taken from</w:t>
      </w:r>
      <w:r w:rsidR="00762D5F" w:rsidRPr="004634FC">
        <w:rPr>
          <w:szCs w:val="24"/>
        </w:rPr>
        <w:t xml:space="preserve"> the IFS data. For</w:t>
      </w:r>
      <w:r w:rsidR="00FF012D" w:rsidRPr="004634FC">
        <w:rPr>
          <w:szCs w:val="24"/>
        </w:rPr>
        <w:t xml:space="preserve"> Madagascar</w:t>
      </w:r>
      <w:r w:rsidR="00762D5F" w:rsidRPr="004634FC">
        <w:rPr>
          <w:szCs w:val="24"/>
        </w:rPr>
        <w:t>’s case</w:t>
      </w:r>
      <w:r w:rsidR="00FF012D" w:rsidRPr="004634FC">
        <w:rPr>
          <w:szCs w:val="24"/>
        </w:rPr>
        <w:t>, it is taken from th</w:t>
      </w:r>
      <w:r w:rsidR="00371620" w:rsidRPr="004634FC">
        <w:rPr>
          <w:szCs w:val="24"/>
        </w:rPr>
        <w:t>e national statistical office</w:t>
      </w:r>
      <w:r w:rsidR="00FF012D" w:rsidRPr="004634FC">
        <w:rPr>
          <w:szCs w:val="24"/>
        </w:rPr>
        <w:t xml:space="preserve"> (INSTAT).</w:t>
      </w:r>
    </w:p>
    <w:p w:rsidR="00B42D31" w:rsidRPr="004634FC" w:rsidRDefault="00FF012D" w:rsidP="00D4455D">
      <w:pPr>
        <w:pStyle w:val="ListParagraph"/>
        <w:numPr>
          <w:ilvl w:val="0"/>
          <w:numId w:val="15"/>
        </w:numPr>
        <w:spacing w:line="276" w:lineRule="auto"/>
        <w:ind w:left="426"/>
        <w:rPr>
          <w:szCs w:val="24"/>
        </w:rPr>
      </w:pPr>
      <w:r w:rsidRPr="004634FC">
        <w:rPr>
          <w:szCs w:val="24"/>
        </w:rPr>
        <w:t xml:space="preserve">Exchange rate measures the price of domestic currency against the price of another foreign currency. </w:t>
      </w:r>
      <w:r w:rsidR="00B42D31" w:rsidRPr="004634FC">
        <w:rPr>
          <w:szCs w:val="24"/>
        </w:rPr>
        <w:t>For the foreign variables, the concept of</w:t>
      </w:r>
      <w:r w:rsidRPr="004634FC">
        <w:rPr>
          <w:szCs w:val="24"/>
        </w:rPr>
        <w:t xml:space="preserve"> exchange rate used in this study is </w:t>
      </w:r>
      <w:r w:rsidR="00B42D31" w:rsidRPr="004634FC">
        <w:rPr>
          <w:szCs w:val="24"/>
        </w:rPr>
        <w:t>the f</w:t>
      </w:r>
      <w:r w:rsidR="00B71730" w:rsidRPr="004634FC">
        <w:rPr>
          <w:szCs w:val="24"/>
        </w:rPr>
        <w:t xml:space="preserve">oreign US currency </w:t>
      </w:r>
      <w:r w:rsidR="00B42D31" w:rsidRPr="004634FC">
        <w:rPr>
          <w:szCs w:val="24"/>
        </w:rPr>
        <w:t xml:space="preserve">Dollars, taken from IFS data. For Madagascar, </w:t>
      </w:r>
      <w:r w:rsidR="00B71730" w:rsidRPr="004634FC">
        <w:rPr>
          <w:szCs w:val="24"/>
        </w:rPr>
        <w:t>the concept of real effective exchange rate was used as a domestic variable</w:t>
      </w:r>
      <w:r w:rsidR="00C52CC5" w:rsidRPr="004634FC">
        <w:rPr>
          <w:szCs w:val="24"/>
        </w:rPr>
        <w:t>; data source is</w:t>
      </w:r>
      <w:r w:rsidR="00B42D31" w:rsidRPr="004634FC">
        <w:rPr>
          <w:szCs w:val="24"/>
        </w:rPr>
        <w:t xml:space="preserve"> the Central Bank of Madagascar.</w:t>
      </w:r>
    </w:p>
    <w:p w:rsidR="00075DBB" w:rsidRPr="004634FC" w:rsidRDefault="00B42D31" w:rsidP="00D4455D">
      <w:pPr>
        <w:pStyle w:val="ListParagraph"/>
        <w:numPr>
          <w:ilvl w:val="0"/>
          <w:numId w:val="15"/>
        </w:numPr>
        <w:spacing w:line="276" w:lineRule="auto"/>
        <w:ind w:left="426"/>
        <w:rPr>
          <w:szCs w:val="24"/>
        </w:rPr>
      </w:pPr>
      <w:r w:rsidRPr="004634FC">
        <w:rPr>
          <w:szCs w:val="24"/>
        </w:rPr>
        <w:t xml:space="preserve">Concerning the interest rate, foreign serial data of short term and long term interest rate are </w:t>
      </w:r>
      <w:r w:rsidR="00303E25" w:rsidRPr="004634FC">
        <w:rPr>
          <w:szCs w:val="24"/>
        </w:rPr>
        <w:t xml:space="preserve">also </w:t>
      </w:r>
      <w:r w:rsidRPr="004634FC">
        <w:rPr>
          <w:szCs w:val="24"/>
        </w:rPr>
        <w:t>taken from IFS data. For Madagascar, the data is from the Central Bank of Madagascar.</w:t>
      </w:r>
    </w:p>
    <w:p w:rsidR="00075DBB" w:rsidRPr="004634FC" w:rsidRDefault="00075DBB" w:rsidP="004634FC">
      <w:pPr>
        <w:spacing w:line="276" w:lineRule="auto"/>
        <w:ind w:firstLine="0"/>
        <w:rPr>
          <w:szCs w:val="24"/>
        </w:rPr>
      </w:pPr>
      <w:r w:rsidRPr="004634FC">
        <w:rPr>
          <w:szCs w:val="24"/>
        </w:rPr>
        <w:t>After estimating the GVAR model (1), the satellite approach will be performed separately to estimate relations of macroeconomic factors with the non-perfor</w:t>
      </w:r>
      <w:r w:rsidR="00634198">
        <w:rPr>
          <w:szCs w:val="24"/>
        </w:rPr>
        <w:t>ming loan. Castrén et al. [30]</w:t>
      </w:r>
      <w:r w:rsidRPr="004634FC">
        <w:rPr>
          <w:szCs w:val="24"/>
        </w:rPr>
        <w:t xml:space="preserve"> describes the importance of the satellite approach because it isolates the credit risk indicator from the GVAR system</w:t>
      </w:r>
      <w:r w:rsidR="00B71730" w:rsidRPr="004634FC">
        <w:rPr>
          <w:szCs w:val="24"/>
        </w:rPr>
        <w:t>.</w:t>
      </w:r>
      <w:r w:rsidRPr="004634FC">
        <w:rPr>
          <w:szCs w:val="24"/>
        </w:rPr>
        <w:t xml:space="preserve"> </w:t>
      </w:r>
    </w:p>
    <w:p w:rsidR="0038044C" w:rsidRPr="004634FC" w:rsidRDefault="0038044C" w:rsidP="00EF4F4C">
      <w:pPr>
        <w:pStyle w:val="ListParagraph"/>
        <w:numPr>
          <w:ilvl w:val="0"/>
          <w:numId w:val="10"/>
        </w:numPr>
        <w:spacing w:line="360" w:lineRule="auto"/>
        <w:rPr>
          <w:b/>
          <w:i/>
          <w:szCs w:val="24"/>
        </w:rPr>
      </w:pPr>
      <w:r w:rsidRPr="004634FC">
        <w:rPr>
          <w:b/>
          <w:i/>
          <w:szCs w:val="24"/>
        </w:rPr>
        <w:t>The satellite</w:t>
      </w:r>
      <w:r w:rsidR="006E331B" w:rsidRPr="004634FC">
        <w:rPr>
          <w:b/>
          <w:i/>
          <w:szCs w:val="24"/>
        </w:rPr>
        <w:t xml:space="preserve"> equation</w:t>
      </w:r>
    </w:p>
    <w:p w:rsidR="00E6064A" w:rsidRPr="004634FC" w:rsidRDefault="00F64DEE" w:rsidP="004634FC">
      <w:pPr>
        <w:spacing w:line="276" w:lineRule="auto"/>
        <w:ind w:firstLine="0"/>
        <w:rPr>
          <w:szCs w:val="24"/>
        </w:rPr>
      </w:pPr>
      <w:r w:rsidRPr="004634FC">
        <w:rPr>
          <w:szCs w:val="24"/>
        </w:rPr>
        <w:t xml:space="preserve">The satellite approach is performed to estimate separately the </w:t>
      </w:r>
      <w:r w:rsidR="006E331B" w:rsidRPr="004634FC">
        <w:rPr>
          <w:szCs w:val="24"/>
        </w:rPr>
        <w:t xml:space="preserve">domestic macroeconomic factors in the GVAR model with the non-performing loan. </w:t>
      </w:r>
      <w:r w:rsidR="0097048E" w:rsidRPr="004634FC">
        <w:rPr>
          <w:szCs w:val="24"/>
        </w:rPr>
        <w:t>Domestic macroeconomic factors which are endogenous in the GVAR model become exoge</w:t>
      </w:r>
      <w:r w:rsidR="00802D8D" w:rsidRPr="004634FC">
        <w:rPr>
          <w:szCs w:val="24"/>
        </w:rPr>
        <w:t xml:space="preserve">nous in the satellite equation. </w:t>
      </w:r>
      <w:r w:rsidR="0097048E" w:rsidRPr="004634FC">
        <w:rPr>
          <w:szCs w:val="24"/>
        </w:rPr>
        <w:t>The</w:t>
      </w:r>
      <w:r w:rsidR="006E331B" w:rsidRPr="004634FC">
        <w:rPr>
          <w:szCs w:val="24"/>
        </w:rPr>
        <w:t xml:space="preserve"> non-performing loan</w:t>
      </w:r>
      <w:r w:rsidR="00732FF1" w:rsidRPr="004634FC">
        <w:rPr>
          <w:szCs w:val="24"/>
        </w:rPr>
        <w:t xml:space="preserve"> is</w:t>
      </w:r>
      <w:r w:rsidR="0097048E" w:rsidRPr="004634FC">
        <w:rPr>
          <w:szCs w:val="24"/>
        </w:rPr>
        <w:t xml:space="preserve"> used</w:t>
      </w:r>
      <w:r w:rsidR="006E331B" w:rsidRPr="004634FC">
        <w:rPr>
          <w:szCs w:val="24"/>
        </w:rPr>
        <w:t xml:space="preserve"> as a credit risk indicator</w:t>
      </w:r>
      <w:r w:rsidR="00474463" w:rsidRPr="004634FC">
        <w:rPr>
          <w:szCs w:val="24"/>
        </w:rPr>
        <w:t>, endogenous variable</w:t>
      </w:r>
      <w:r w:rsidR="006E331B" w:rsidRPr="004634FC">
        <w:rPr>
          <w:szCs w:val="24"/>
        </w:rPr>
        <w:t>.</w:t>
      </w:r>
      <w:r w:rsidR="00634198">
        <w:rPr>
          <w:szCs w:val="24"/>
        </w:rPr>
        <w:t xml:space="preserve"> T</w:t>
      </w:r>
      <w:r w:rsidR="00E6064A" w:rsidRPr="004634FC">
        <w:rPr>
          <w:szCs w:val="24"/>
        </w:rPr>
        <w:t>he satellite equation takes the</w:t>
      </w:r>
      <w:r w:rsidR="002A463D" w:rsidRPr="004634FC">
        <w:rPr>
          <w:szCs w:val="24"/>
        </w:rPr>
        <w:t xml:space="preserve"> </w:t>
      </w:r>
      <w:r w:rsidR="00E6064A" w:rsidRPr="004634FC">
        <w:rPr>
          <w:szCs w:val="24"/>
        </w:rPr>
        <w:t>form</w:t>
      </w:r>
      <w:r w:rsidR="0097048E" w:rsidRPr="004634FC">
        <w:rPr>
          <w:szCs w:val="24"/>
        </w:rPr>
        <w:t xml:space="preserve"> below</w:t>
      </w:r>
      <w:r w:rsidR="00990688" w:rsidRPr="004634FC">
        <w:rPr>
          <w:szCs w:val="24"/>
        </w:rPr>
        <w:t>:</w:t>
      </w:r>
    </w:p>
    <w:p w:rsidR="00E6064A" w:rsidRPr="004634FC" w:rsidRDefault="009D4065" w:rsidP="00EF4F4C">
      <w:pPr>
        <w:spacing w:line="360" w:lineRule="auto"/>
        <w:jc w:val="center"/>
        <w:rPr>
          <w:szCs w:val="24"/>
          <w:lang w:eastAsia="fr-FR"/>
        </w:rPr>
      </w:pPr>
      <m:oMath>
        <m:sSub>
          <m:sSubPr>
            <m:ctrlPr>
              <w:rPr>
                <w:rFonts w:ascii="Cambria Math" w:hAnsi="Cambria Math"/>
                <w:i/>
                <w:szCs w:val="24"/>
                <w:lang w:eastAsia="fr-FR"/>
              </w:rPr>
            </m:ctrlPr>
          </m:sSubPr>
          <m:e>
            <m:r>
              <w:rPr>
                <w:rFonts w:ascii="Cambria Math" w:hAnsi="Cambria Math"/>
                <w:szCs w:val="24"/>
                <w:lang w:eastAsia="fr-FR"/>
              </w:rPr>
              <m:t>Y</m:t>
            </m:r>
          </m:e>
          <m:sub>
            <m:r>
              <w:rPr>
                <w:rFonts w:ascii="Cambria Math" w:hAnsi="Cambria Math"/>
                <w:szCs w:val="24"/>
                <w:lang w:eastAsia="fr-FR"/>
              </w:rPr>
              <m:t>jt</m:t>
            </m:r>
          </m:sub>
        </m:sSub>
        <m:r>
          <w:rPr>
            <w:rFonts w:ascii="Cambria Math" w:hAnsi="Cambria Math"/>
            <w:szCs w:val="24"/>
            <w:lang w:eastAsia="fr-FR"/>
          </w:rPr>
          <m:t>=</m:t>
        </m:r>
        <m:sSub>
          <m:sSubPr>
            <m:ctrlPr>
              <w:rPr>
                <w:rFonts w:ascii="Cambria Math" w:hAnsi="Cambria Math"/>
                <w:i/>
                <w:szCs w:val="24"/>
                <w:lang w:eastAsia="fr-FR"/>
              </w:rPr>
            </m:ctrlPr>
          </m:sSubPr>
          <m:e>
            <m:r>
              <w:rPr>
                <w:rFonts w:ascii="Cambria Math" w:hAnsi="Cambria Math"/>
                <w:szCs w:val="24"/>
                <w:lang w:eastAsia="fr-FR"/>
              </w:rPr>
              <m:t>b</m:t>
            </m:r>
          </m:e>
          <m:sub>
            <m:r>
              <w:rPr>
                <w:rFonts w:ascii="Cambria Math" w:hAnsi="Cambria Math"/>
                <w:szCs w:val="24"/>
                <w:lang w:eastAsia="fr-FR"/>
              </w:rPr>
              <m:t>j0</m:t>
            </m:r>
          </m:sub>
        </m:sSub>
        <m:r>
          <w:rPr>
            <w:rFonts w:ascii="Cambria Math" w:hAnsi="Cambria Math"/>
            <w:szCs w:val="24"/>
            <w:lang w:eastAsia="fr-FR"/>
          </w:rPr>
          <m:t>+</m:t>
        </m:r>
        <m:sSub>
          <m:sSubPr>
            <m:ctrlPr>
              <w:rPr>
                <w:rFonts w:ascii="Cambria Math" w:hAnsi="Cambria Math"/>
                <w:i/>
                <w:szCs w:val="24"/>
                <w:lang w:eastAsia="fr-FR"/>
              </w:rPr>
            </m:ctrlPr>
          </m:sSubPr>
          <m:e>
            <m:r>
              <w:rPr>
                <w:rFonts w:ascii="Cambria Math" w:hAnsi="Cambria Math"/>
                <w:szCs w:val="24"/>
                <w:lang w:eastAsia="fr-FR"/>
              </w:rPr>
              <m:t>b</m:t>
            </m:r>
          </m:e>
          <m:sub>
            <m:r>
              <w:rPr>
                <w:rFonts w:ascii="Cambria Math" w:hAnsi="Cambria Math"/>
                <w:szCs w:val="24"/>
                <w:lang w:eastAsia="fr-FR"/>
              </w:rPr>
              <m:t>jt</m:t>
            </m:r>
          </m:sub>
        </m:sSub>
        <m:sSub>
          <m:sSubPr>
            <m:ctrlPr>
              <w:rPr>
                <w:rFonts w:ascii="Cambria Math" w:hAnsi="Cambria Math"/>
                <w:i/>
                <w:szCs w:val="24"/>
                <w:lang w:eastAsia="fr-FR"/>
              </w:rPr>
            </m:ctrlPr>
          </m:sSubPr>
          <m:e>
            <m:r>
              <w:rPr>
                <w:rFonts w:ascii="Cambria Math" w:hAnsi="Cambria Math"/>
                <w:szCs w:val="24"/>
                <w:lang w:eastAsia="fr-FR"/>
              </w:rPr>
              <m:t>X</m:t>
            </m:r>
          </m:e>
          <m:sub>
            <m:r>
              <w:rPr>
                <w:rFonts w:ascii="Cambria Math" w:hAnsi="Cambria Math"/>
                <w:szCs w:val="24"/>
                <w:lang w:eastAsia="fr-FR"/>
              </w:rPr>
              <m:t>t</m:t>
            </m:r>
          </m:sub>
        </m:sSub>
        <m:r>
          <w:rPr>
            <w:rFonts w:ascii="Cambria Math" w:hAnsi="Cambria Math"/>
            <w:szCs w:val="24"/>
            <w:lang w:eastAsia="fr-FR"/>
          </w:rPr>
          <m:t>+</m:t>
        </m:r>
        <m:sSub>
          <m:sSubPr>
            <m:ctrlPr>
              <w:rPr>
                <w:rFonts w:ascii="Cambria Math" w:hAnsi="Cambria Math"/>
                <w:i/>
                <w:szCs w:val="24"/>
                <w:lang w:eastAsia="fr-FR"/>
              </w:rPr>
            </m:ctrlPr>
          </m:sSubPr>
          <m:e>
            <m:r>
              <w:rPr>
                <w:rFonts w:ascii="Cambria Math" w:hAnsi="Cambria Math"/>
                <w:szCs w:val="24"/>
                <w:lang w:eastAsia="fr-FR"/>
              </w:rPr>
              <m:t>ε</m:t>
            </m:r>
          </m:e>
          <m:sub>
            <m:r>
              <w:rPr>
                <w:rFonts w:ascii="Cambria Math" w:hAnsi="Cambria Math"/>
                <w:szCs w:val="24"/>
                <w:lang w:eastAsia="fr-FR"/>
              </w:rPr>
              <m:t>t</m:t>
            </m:r>
          </m:sub>
        </m:sSub>
      </m:oMath>
      <w:r w:rsidR="00E6064A" w:rsidRPr="004634FC">
        <w:rPr>
          <w:szCs w:val="24"/>
          <w:lang w:eastAsia="fr-FR"/>
        </w:rPr>
        <w:t xml:space="preserve"> (2)</w:t>
      </w:r>
    </w:p>
    <w:p w:rsidR="00E6064A" w:rsidRPr="004634FC" w:rsidRDefault="00E6064A" w:rsidP="00EF4F4C">
      <w:pPr>
        <w:spacing w:line="360" w:lineRule="auto"/>
        <w:jc w:val="center"/>
        <w:rPr>
          <w:szCs w:val="24"/>
          <w:lang w:eastAsia="fr-FR"/>
        </w:rPr>
      </w:pPr>
      <w:r w:rsidRPr="004634FC">
        <w:rPr>
          <w:szCs w:val="24"/>
          <w:lang w:eastAsia="fr-FR"/>
        </w:rPr>
        <w:t xml:space="preserve"> for </w:t>
      </w:r>
      <m:oMath>
        <m:r>
          <w:rPr>
            <w:rFonts w:ascii="Cambria Math" w:hAnsi="Cambria Math"/>
            <w:szCs w:val="24"/>
            <w:lang w:eastAsia="fr-FR"/>
          </w:rPr>
          <m:t>j=1,…..k</m:t>
        </m:r>
      </m:oMath>
    </w:p>
    <w:p w:rsidR="00E6064A" w:rsidRPr="004634FC" w:rsidRDefault="009D4065" w:rsidP="00D4455D">
      <w:pPr>
        <w:spacing w:before="0" w:beforeAutospacing="0" w:after="0" w:afterAutospacing="0" w:line="276" w:lineRule="auto"/>
        <w:ind w:firstLine="0"/>
        <w:rPr>
          <w:szCs w:val="24"/>
          <w:lang w:eastAsia="fr-FR"/>
        </w:rPr>
      </w:pPr>
      <m:oMath>
        <m:r>
          <w:rPr>
            <w:rFonts w:ascii="Cambria Math" w:hAnsi="Cambria Math"/>
            <w:szCs w:val="24"/>
            <w:lang w:eastAsia="fr-FR"/>
          </w:rPr>
          <m:t>j</m:t>
        </m:r>
      </m:oMath>
      <w:r w:rsidR="00E6064A" w:rsidRPr="004634FC">
        <w:rPr>
          <w:szCs w:val="24"/>
          <w:lang w:eastAsia="fr-FR"/>
        </w:rPr>
        <w:t xml:space="preserve"> is the index of sectors</w:t>
      </w:r>
    </w:p>
    <w:p w:rsidR="00E6064A" w:rsidRPr="004634FC" w:rsidRDefault="009D4065" w:rsidP="00D4455D">
      <w:pPr>
        <w:spacing w:before="0" w:beforeAutospacing="0" w:after="0" w:afterAutospacing="0" w:line="276" w:lineRule="auto"/>
        <w:ind w:firstLine="0"/>
        <w:rPr>
          <w:szCs w:val="24"/>
          <w:lang w:eastAsia="fr-FR"/>
        </w:rPr>
      </w:pPr>
      <m:oMath>
        <m:sSub>
          <m:sSubPr>
            <m:ctrlPr>
              <w:rPr>
                <w:rFonts w:ascii="Cambria Math" w:hAnsi="Cambria Math"/>
                <w:i/>
                <w:szCs w:val="24"/>
                <w:lang w:eastAsia="fr-FR"/>
              </w:rPr>
            </m:ctrlPr>
          </m:sSubPr>
          <m:e>
            <m:r>
              <w:rPr>
                <w:rFonts w:ascii="Cambria Math" w:hAnsi="Cambria Math"/>
                <w:szCs w:val="24"/>
                <w:lang w:eastAsia="fr-FR"/>
              </w:rPr>
              <m:t>X</m:t>
            </m:r>
          </m:e>
          <m:sub>
            <m:r>
              <w:rPr>
                <w:rFonts w:ascii="Cambria Math" w:hAnsi="Cambria Math"/>
                <w:szCs w:val="24"/>
                <w:lang w:eastAsia="fr-FR"/>
              </w:rPr>
              <m:t>t</m:t>
            </m:r>
          </m:sub>
        </m:sSub>
      </m:oMath>
      <w:r w:rsidR="00E6064A" w:rsidRPr="004634FC">
        <w:rPr>
          <w:szCs w:val="24"/>
          <w:lang w:eastAsia="fr-FR"/>
        </w:rPr>
        <w:t xml:space="preserve"> is a </w:t>
      </w:r>
      <m:oMath>
        <m:r>
          <w:rPr>
            <w:rFonts w:ascii="Cambria Math" w:hAnsi="Cambria Math"/>
            <w:szCs w:val="24"/>
            <w:lang w:eastAsia="fr-FR"/>
          </w:rPr>
          <m:t>k×T</m:t>
        </m:r>
      </m:oMath>
      <w:r w:rsidR="00E6064A" w:rsidRPr="004634FC">
        <w:rPr>
          <w:szCs w:val="24"/>
          <w:lang w:eastAsia="fr-FR"/>
        </w:rPr>
        <w:t xml:space="preserve"> matrix of domestic exogenous variables, that are endogenous in the GVAR model</w:t>
      </w:r>
    </w:p>
    <w:p w:rsidR="00CC5BD6" w:rsidRPr="004634FC" w:rsidRDefault="009D4065" w:rsidP="00D4455D">
      <w:pPr>
        <w:spacing w:before="0" w:beforeAutospacing="0" w:after="0" w:afterAutospacing="0" w:line="276" w:lineRule="auto"/>
        <w:ind w:firstLine="0"/>
        <w:rPr>
          <w:szCs w:val="24"/>
          <w:lang w:eastAsia="fr-FR"/>
        </w:rPr>
      </w:pPr>
      <m:oMath>
        <m:sSub>
          <m:sSubPr>
            <m:ctrlPr>
              <w:rPr>
                <w:rFonts w:ascii="Cambria Math" w:hAnsi="Cambria Math"/>
                <w:i/>
                <w:szCs w:val="24"/>
                <w:lang w:eastAsia="fr-FR"/>
              </w:rPr>
            </m:ctrlPr>
          </m:sSubPr>
          <m:e>
            <m:r>
              <w:rPr>
                <w:rFonts w:ascii="Cambria Math" w:hAnsi="Cambria Math"/>
                <w:szCs w:val="24"/>
                <w:lang w:eastAsia="fr-FR"/>
              </w:rPr>
              <m:t>b</m:t>
            </m:r>
          </m:e>
          <m:sub>
            <m:r>
              <w:rPr>
                <w:rFonts w:ascii="Cambria Math" w:hAnsi="Cambria Math"/>
                <w:szCs w:val="24"/>
                <w:lang w:eastAsia="fr-FR"/>
              </w:rPr>
              <m:t>j0</m:t>
            </m:r>
          </m:sub>
        </m:sSub>
      </m:oMath>
      <w:r w:rsidR="00CC5BD6" w:rsidRPr="004634FC">
        <w:rPr>
          <w:szCs w:val="24"/>
          <w:lang w:eastAsia="fr-FR"/>
        </w:rPr>
        <w:t xml:space="preserve"> is the intercept </w:t>
      </w:r>
    </w:p>
    <w:p w:rsidR="00CC5BD6" w:rsidRPr="004634FC" w:rsidRDefault="009D4065" w:rsidP="00D4455D">
      <w:pPr>
        <w:spacing w:before="0" w:beforeAutospacing="0" w:after="0" w:afterAutospacing="0" w:line="276" w:lineRule="auto"/>
        <w:ind w:firstLine="0"/>
        <w:rPr>
          <w:szCs w:val="24"/>
          <w:lang w:eastAsia="fr-FR"/>
        </w:rPr>
      </w:pPr>
      <m:oMath>
        <m:sSub>
          <m:sSubPr>
            <m:ctrlPr>
              <w:rPr>
                <w:rFonts w:ascii="Cambria Math" w:hAnsi="Cambria Math"/>
                <w:i/>
                <w:szCs w:val="24"/>
                <w:lang w:eastAsia="fr-FR"/>
              </w:rPr>
            </m:ctrlPr>
          </m:sSubPr>
          <m:e>
            <m:r>
              <w:rPr>
                <w:rFonts w:ascii="Cambria Math" w:hAnsi="Cambria Math"/>
                <w:szCs w:val="24"/>
                <w:lang w:eastAsia="fr-FR"/>
              </w:rPr>
              <m:t>b</m:t>
            </m:r>
          </m:e>
          <m:sub>
            <m:r>
              <w:rPr>
                <w:rFonts w:ascii="Cambria Math" w:hAnsi="Cambria Math"/>
                <w:szCs w:val="24"/>
                <w:lang w:eastAsia="fr-FR"/>
              </w:rPr>
              <m:t>j1</m:t>
            </m:r>
          </m:sub>
        </m:sSub>
      </m:oMath>
      <w:r w:rsidR="00CC5BD6" w:rsidRPr="004634FC">
        <w:rPr>
          <w:szCs w:val="24"/>
          <w:lang w:eastAsia="fr-FR"/>
        </w:rPr>
        <w:t xml:space="preserve"> is a </w:t>
      </w:r>
      <m:oMath>
        <m:r>
          <w:rPr>
            <w:rFonts w:ascii="Cambria Math" w:hAnsi="Cambria Math"/>
            <w:szCs w:val="24"/>
            <w:lang w:eastAsia="fr-FR"/>
          </w:rPr>
          <m:t>1×k</m:t>
        </m:r>
      </m:oMath>
      <w:r w:rsidR="00CC5BD6" w:rsidRPr="00EA38D2">
        <w:rPr>
          <w:rFonts w:eastAsia="Times New Roman"/>
          <w:szCs w:val="24"/>
          <w:lang w:eastAsia="fr-FR"/>
        </w:rPr>
        <w:t xml:space="preserve"> vector of parameters</w:t>
      </w:r>
    </w:p>
    <w:p w:rsidR="00CC5BD6" w:rsidRPr="00EA38D2" w:rsidRDefault="009D4065" w:rsidP="00D4455D">
      <w:pPr>
        <w:spacing w:before="0" w:beforeAutospacing="0" w:after="0" w:afterAutospacing="0" w:line="276" w:lineRule="auto"/>
        <w:ind w:firstLine="0"/>
        <w:rPr>
          <w:rFonts w:eastAsia="Times New Roman"/>
          <w:szCs w:val="24"/>
          <w:lang w:eastAsia="fr-FR"/>
        </w:rPr>
      </w:pPr>
      <m:oMath>
        <m:r>
          <w:rPr>
            <w:rFonts w:ascii="Cambria Math" w:hAnsi="Cambria Math"/>
            <w:szCs w:val="24"/>
            <w:lang w:eastAsia="fr-FR"/>
          </w:rPr>
          <m:t>ε</m:t>
        </m:r>
      </m:oMath>
      <w:r w:rsidR="00CC5BD6" w:rsidRPr="004634FC">
        <w:rPr>
          <w:szCs w:val="24"/>
          <w:lang w:eastAsia="fr-FR"/>
        </w:rPr>
        <w:t xml:space="preserve"> is a </w:t>
      </w:r>
      <m:oMath>
        <m:r>
          <w:rPr>
            <w:rFonts w:ascii="Cambria Math" w:hAnsi="Cambria Math"/>
            <w:szCs w:val="24"/>
            <w:lang w:eastAsia="fr-FR"/>
          </w:rPr>
          <m:t>1×T</m:t>
        </m:r>
      </m:oMath>
      <w:r w:rsidR="00CC5BD6" w:rsidRPr="00EA38D2">
        <w:rPr>
          <w:rFonts w:eastAsia="Times New Roman"/>
          <w:szCs w:val="24"/>
          <w:lang w:eastAsia="fr-FR"/>
        </w:rPr>
        <w:t xml:space="preserve"> vector of  residual</w:t>
      </w:r>
    </w:p>
    <w:p w:rsidR="0015446B" w:rsidRPr="00EA38D2" w:rsidRDefault="009D4065" w:rsidP="00D4455D">
      <w:pPr>
        <w:spacing w:before="0" w:beforeAutospacing="0" w:after="0" w:afterAutospacing="0" w:line="276" w:lineRule="auto"/>
        <w:ind w:firstLine="0"/>
        <w:rPr>
          <w:rFonts w:eastAsia="Times New Roman"/>
          <w:szCs w:val="24"/>
          <w:lang w:eastAsia="fr-FR"/>
        </w:rPr>
      </w:pPr>
      <m:oMath>
        <m:sSub>
          <m:sSubPr>
            <m:ctrlPr>
              <w:rPr>
                <w:rFonts w:ascii="Cambria Math" w:hAnsi="Cambria Math"/>
                <w:i/>
                <w:szCs w:val="24"/>
                <w:lang w:eastAsia="fr-FR"/>
              </w:rPr>
            </m:ctrlPr>
          </m:sSubPr>
          <m:e>
            <m:r>
              <w:rPr>
                <w:rFonts w:ascii="Cambria Math" w:hAnsi="Cambria Math"/>
                <w:szCs w:val="24"/>
                <w:lang w:eastAsia="fr-FR"/>
              </w:rPr>
              <m:t>Y</m:t>
            </m:r>
          </m:e>
          <m:sub>
            <m:r>
              <w:rPr>
                <w:rFonts w:ascii="Cambria Math" w:hAnsi="Cambria Math"/>
                <w:szCs w:val="24"/>
                <w:lang w:eastAsia="fr-FR"/>
              </w:rPr>
              <m:t>jt</m:t>
            </m:r>
          </m:sub>
        </m:sSub>
      </m:oMath>
      <w:r w:rsidR="00E6064A" w:rsidRPr="004634FC">
        <w:rPr>
          <w:szCs w:val="24"/>
          <w:lang w:eastAsia="fr-FR"/>
        </w:rPr>
        <w:t xml:space="preserve"> is a </w:t>
      </w:r>
      <m:oMath>
        <m:r>
          <w:rPr>
            <w:rFonts w:ascii="Cambria Math" w:hAnsi="Cambria Math"/>
            <w:szCs w:val="24"/>
            <w:lang w:eastAsia="fr-FR"/>
          </w:rPr>
          <m:t>1×T</m:t>
        </m:r>
      </m:oMath>
      <w:r w:rsidR="00E6064A" w:rsidRPr="004634FC">
        <w:rPr>
          <w:szCs w:val="24"/>
          <w:lang w:eastAsia="fr-FR"/>
        </w:rPr>
        <w:t xml:space="preserve"> vector of endogenous variables for sector </w:t>
      </w:r>
      <m:oMath>
        <m:r>
          <w:rPr>
            <w:rFonts w:ascii="Cambria Math" w:hAnsi="Cambria Math"/>
            <w:szCs w:val="24"/>
            <w:lang w:eastAsia="fr-FR"/>
          </w:rPr>
          <m:t>j</m:t>
        </m:r>
      </m:oMath>
      <w:r w:rsidR="00A06A63" w:rsidRPr="00EA38D2">
        <w:rPr>
          <w:rFonts w:eastAsia="Times New Roman"/>
          <w:szCs w:val="24"/>
          <w:lang w:eastAsia="fr-FR"/>
        </w:rPr>
        <w:t xml:space="preserve">. In our case, </w:t>
      </w:r>
      <w:r w:rsidR="00CC5BD6" w:rsidRPr="00EA38D2">
        <w:rPr>
          <w:rFonts w:eastAsia="Times New Roman"/>
          <w:i/>
          <w:szCs w:val="24"/>
          <w:lang w:eastAsia="fr-FR"/>
        </w:rPr>
        <w:t>Y</w:t>
      </w:r>
      <w:r w:rsidR="00A06A63" w:rsidRPr="00EA38D2">
        <w:rPr>
          <w:rFonts w:eastAsia="Times New Roman"/>
          <w:szCs w:val="24"/>
          <w:lang w:eastAsia="fr-FR"/>
        </w:rPr>
        <w:t xml:space="preserve"> stands for </w:t>
      </w:r>
      <w:r w:rsidR="00CC5BD6" w:rsidRPr="00EA38D2">
        <w:rPr>
          <w:rFonts w:eastAsia="Times New Roman"/>
          <w:szCs w:val="24"/>
          <w:lang w:eastAsia="fr-FR"/>
        </w:rPr>
        <w:t>aggregate</w:t>
      </w:r>
      <w:r w:rsidR="00A06A63" w:rsidRPr="00EA38D2">
        <w:rPr>
          <w:rFonts w:eastAsia="Times New Roman"/>
          <w:szCs w:val="24"/>
          <w:lang w:eastAsia="fr-FR"/>
        </w:rPr>
        <w:t xml:space="preserve"> </w:t>
      </w:r>
      <w:r w:rsidR="00CC5BD6" w:rsidRPr="00EA38D2">
        <w:rPr>
          <w:rFonts w:eastAsia="Times New Roman"/>
          <w:szCs w:val="24"/>
          <w:lang w:eastAsia="fr-FR"/>
        </w:rPr>
        <w:t>non-performing</w:t>
      </w:r>
      <w:r w:rsidR="00A06A63" w:rsidRPr="00EA38D2">
        <w:rPr>
          <w:rFonts w:eastAsia="Times New Roman"/>
          <w:szCs w:val="24"/>
          <w:lang w:eastAsia="fr-FR"/>
        </w:rPr>
        <w:t xml:space="preserve"> loan ratio</w:t>
      </w:r>
      <w:r w:rsidR="00CC5BD6" w:rsidRPr="00EA38D2">
        <w:rPr>
          <w:rFonts w:eastAsia="Times New Roman"/>
          <w:szCs w:val="24"/>
          <w:lang w:eastAsia="fr-FR"/>
        </w:rPr>
        <w:t xml:space="preserve">. </w:t>
      </w:r>
    </w:p>
    <w:p w:rsidR="00CC5BD6" w:rsidRPr="00EA38D2" w:rsidRDefault="0082798C" w:rsidP="004634FC">
      <w:pPr>
        <w:spacing w:line="276" w:lineRule="auto"/>
        <w:ind w:firstLine="0"/>
        <w:rPr>
          <w:rFonts w:eastAsia="Times New Roman"/>
          <w:szCs w:val="24"/>
          <w:lang w:eastAsia="fr-FR"/>
        </w:rPr>
      </w:pPr>
      <w:r w:rsidRPr="00EA38D2">
        <w:rPr>
          <w:rFonts w:eastAsia="Times New Roman"/>
          <w:szCs w:val="24"/>
          <w:lang w:eastAsia="fr-FR"/>
        </w:rPr>
        <w:t>In the satellite model, to be able to use</w:t>
      </w:r>
      <w:r w:rsidR="00CC5BD6" w:rsidRPr="00EA38D2">
        <w:rPr>
          <w:rFonts w:eastAsia="Times New Roman"/>
          <w:szCs w:val="24"/>
          <w:lang w:eastAsia="fr-FR"/>
        </w:rPr>
        <w:t xml:space="preserve"> non-performing loan as an indicator, we use the logit transformation of the credit risk indi</w:t>
      </w:r>
      <w:r w:rsidR="00634198" w:rsidRPr="00EA38D2">
        <w:rPr>
          <w:rFonts w:eastAsia="Times New Roman"/>
          <w:szCs w:val="24"/>
          <w:lang w:eastAsia="fr-FR"/>
        </w:rPr>
        <w:t>cator (Virolainen, [19]</w:t>
      </w:r>
      <w:r w:rsidR="00990688" w:rsidRPr="00EA38D2">
        <w:rPr>
          <w:rFonts w:eastAsia="Times New Roman"/>
          <w:szCs w:val="24"/>
          <w:lang w:eastAsia="fr-FR"/>
        </w:rPr>
        <w:t>) below:</w:t>
      </w:r>
    </w:p>
    <w:p w:rsidR="00CC5BD6" w:rsidRPr="009D4065" w:rsidRDefault="009D4065" w:rsidP="00EF4F4C">
      <w:pPr>
        <w:spacing w:line="360" w:lineRule="auto"/>
        <w:rPr>
          <w:rFonts w:eastAsia="Times New Roman"/>
          <w:szCs w:val="24"/>
          <w:lang w:eastAsia="fr-FR"/>
        </w:rPr>
      </w:pPr>
      <m:oMathPara>
        <m:oMath>
          <m:sSub>
            <m:sSubPr>
              <m:ctrlPr>
                <w:rPr>
                  <w:rFonts w:ascii="Cambria Math" w:eastAsia="Times New Roman" w:hAnsi="Cambria Math"/>
                  <w:i/>
                  <w:szCs w:val="24"/>
                  <w:lang w:eastAsia="fr-FR"/>
                </w:rPr>
              </m:ctrlPr>
            </m:sSubPr>
            <m:e>
              <m:r>
                <w:rPr>
                  <w:rFonts w:ascii="Cambria Math" w:eastAsia="Times New Roman" w:hAnsi="Cambria Math"/>
                  <w:szCs w:val="24"/>
                  <w:lang w:eastAsia="fr-FR"/>
                </w:rPr>
                <m:t>Y</m:t>
              </m:r>
            </m:e>
            <m:sub>
              <m:r>
                <w:rPr>
                  <w:rFonts w:ascii="Cambria Math" w:eastAsia="Times New Roman" w:hAnsi="Cambria Math"/>
                  <w:szCs w:val="24"/>
                  <w:lang w:eastAsia="fr-FR"/>
                </w:rPr>
                <m:t>jt</m:t>
              </m:r>
            </m:sub>
          </m:sSub>
          <m:r>
            <w:rPr>
              <w:rFonts w:ascii="Cambria Math" w:eastAsia="Times New Roman" w:hAnsi="Cambria Math"/>
              <w:szCs w:val="24"/>
              <w:lang w:eastAsia="fr-FR"/>
            </w:rPr>
            <m:t>=</m:t>
          </m:r>
          <m:f>
            <m:fPr>
              <m:ctrlPr>
                <w:rPr>
                  <w:rFonts w:ascii="Cambria Math" w:eastAsia="Times New Roman" w:hAnsi="Cambria Math"/>
                  <w:i/>
                  <w:szCs w:val="24"/>
                  <w:lang w:eastAsia="fr-FR"/>
                </w:rPr>
              </m:ctrlPr>
            </m:fPr>
            <m:num>
              <m:r>
                <w:rPr>
                  <w:rFonts w:ascii="Cambria Math" w:eastAsia="Times New Roman" w:hAnsi="Cambria Math"/>
                  <w:szCs w:val="24"/>
                  <w:lang w:eastAsia="fr-FR"/>
                </w:rPr>
                <m:t>1-</m:t>
              </m:r>
              <m:sSub>
                <m:sSubPr>
                  <m:ctrlPr>
                    <w:rPr>
                      <w:rFonts w:ascii="Cambria Math" w:eastAsia="Times New Roman" w:hAnsi="Cambria Math"/>
                      <w:i/>
                      <w:szCs w:val="24"/>
                      <w:lang w:eastAsia="fr-FR"/>
                    </w:rPr>
                  </m:ctrlPr>
                </m:sSubPr>
                <m:e>
                  <m:r>
                    <w:rPr>
                      <w:rFonts w:ascii="Cambria Math" w:eastAsia="Times New Roman" w:hAnsi="Cambria Math"/>
                      <w:szCs w:val="24"/>
                      <w:lang w:eastAsia="fr-FR"/>
                    </w:rPr>
                    <m:t>npl</m:t>
                  </m:r>
                </m:e>
                <m:sub>
                  <m:r>
                    <w:rPr>
                      <w:rFonts w:ascii="Cambria Math" w:eastAsia="Times New Roman" w:hAnsi="Cambria Math"/>
                      <w:szCs w:val="24"/>
                      <w:lang w:eastAsia="fr-FR"/>
                    </w:rPr>
                    <m:t>t</m:t>
                  </m:r>
                </m:sub>
              </m:sSub>
            </m:num>
            <m:den>
              <m:sSub>
                <m:sSubPr>
                  <m:ctrlPr>
                    <w:rPr>
                      <w:rFonts w:ascii="Cambria Math" w:eastAsia="Times New Roman" w:hAnsi="Cambria Math"/>
                      <w:i/>
                      <w:szCs w:val="24"/>
                      <w:lang w:eastAsia="fr-FR"/>
                    </w:rPr>
                  </m:ctrlPr>
                </m:sSubPr>
                <m:e>
                  <m:r>
                    <w:rPr>
                      <w:rFonts w:ascii="Cambria Math" w:eastAsia="Times New Roman" w:hAnsi="Cambria Math"/>
                      <w:szCs w:val="24"/>
                      <w:lang w:eastAsia="fr-FR"/>
                    </w:rPr>
                    <m:t>npl</m:t>
                  </m:r>
                </m:e>
                <m:sub>
                  <m:r>
                    <w:rPr>
                      <w:rFonts w:ascii="Cambria Math" w:eastAsia="Times New Roman" w:hAnsi="Cambria Math"/>
                      <w:szCs w:val="24"/>
                      <w:lang w:eastAsia="fr-FR"/>
                    </w:rPr>
                    <m:t>t</m:t>
                  </m:r>
                </m:sub>
              </m:sSub>
            </m:den>
          </m:f>
        </m:oMath>
      </m:oMathPara>
    </w:p>
    <w:p w:rsidR="00CF335A" w:rsidRPr="004634FC" w:rsidRDefault="0038044C" w:rsidP="00EF4F4C">
      <w:pPr>
        <w:pStyle w:val="ListParagraph"/>
        <w:numPr>
          <w:ilvl w:val="0"/>
          <w:numId w:val="10"/>
        </w:numPr>
        <w:spacing w:line="360" w:lineRule="auto"/>
        <w:rPr>
          <w:b/>
          <w:i/>
          <w:szCs w:val="24"/>
        </w:rPr>
      </w:pPr>
      <w:r w:rsidRPr="004634FC">
        <w:rPr>
          <w:b/>
          <w:i/>
          <w:szCs w:val="24"/>
        </w:rPr>
        <w:t>Satellite GVAR model</w:t>
      </w:r>
    </w:p>
    <w:p w:rsidR="00AE747A" w:rsidRPr="004634FC" w:rsidRDefault="00474463" w:rsidP="004634FC">
      <w:pPr>
        <w:spacing w:line="276" w:lineRule="auto"/>
        <w:ind w:firstLine="0"/>
        <w:rPr>
          <w:szCs w:val="24"/>
        </w:rPr>
      </w:pPr>
      <w:r w:rsidRPr="004634FC">
        <w:rPr>
          <w:szCs w:val="24"/>
        </w:rPr>
        <w:t xml:space="preserve">The satellite GVAR model is the combination of the GVAR model </w:t>
      </w:r>
      <w:r w:rsidR="00F9454F" w:rsidRPr="004634FC">
        <w:rPr>
          <w:szCs w:val="24"/>
        </w:rPr>
        <w:t xml:space="preserve">(1) </w:t>
      </w:r>
      <w:r w:rsidRPr="004634FC">
        <w:rPr>
          <w:szCs w:val="24"/>
        </w:rPr>
        <w:t>with the satellite equation</w:t>
      </w:r>
      <w:r w:rsidR="00F9454F" w:rsidRPr="004634FC">
        <w:rPr>
          <w:szCs w:val="24"/>
        </w:rPr>
        <w:t xml:space="preserve"> (2)</w:t>
      </w:r>
      <w:r w:rsidRPr="004634FC">
        <w:rPr>
          <w:szCs w:val="24"/>
        </w:rPr>
        <w:t xml:space="preserve">. For this purpose, after </w:t>
      </w:r>
      <w:r w:rsidR="0092183C" w:rsidRPr="004634FC">
        <w:rPr>
          <w:szCs w:val="24"/>
        </w:rPr>
        <w:t xml:space="preserve">having estimated </w:t>
      </w:r>
      <w:r w:rsidRPr="004634FC">
        <w:rPr>
          <w:szCs w:val="24"/>
        </w:rPr>
        <w:t xml:space="preserve">the satellite equation, </w:t>
      </w:r>
      <w:r w:rsidR="0092183C" w:rsidRPr="004634FC">
        <w:rPr>
          <w:szCs w:val="24"/>
        </w:rPr>
        <w:t xml:space="preserve">we </w:t>
      </w:r>
      <w:r w:rsidRPr="004634FC">
        <w:rPr>
          <w:szCs w:val="24"/>
        </w:rPr>
        <w:t>integrated</w:t>
      </w:r>
      <w:r w:rsidR="0092183C" w:rsidRPr="004634FC">
        <w:rPr>
          <w:szCs w:val="24"/>
        </w:rPr>
        <w:t xml:space="preserve"> it</w:t>
      </w:r>
      <w:r w:rsidRPr="004634FC">
        <w:rPr>
          <w:szCs w:val="24"/>
        </w:rPr>
        <w:t xml:space="preserve"> into the GVAR model. The GVAR model was used to generate macroeconomic </w:t>
      </w:r>
      <w:r w:rsidR="00F9454F" w:rsidRPr="004634FC">
        <w:rPr>
          <w:szCs w:val="24"/>
        </w:rPr>
        <w:t>scenario</w:t>
      </w:r>
      <w:r w:rsidRPr="004634FC">
        <w:rPr>
          <w:szCs w:val="24"/>
        </w:rPr>
        <w:t xml:space="preserve"> through the generalized impulse response function. So, </w:t>
      </w:r>
      <w:r w:rsidR="00F9454F" w:rsidRPr="004634FC">
        <w:rPr>
          <w:szCs w:val="24"/>
        </w:rPr>
        <w:t>in the satellite</w:t>
      </w:r>
      <w:r w:rsidRPr="004634FC">
        <w:rPr>
          <w:szCs w:val="24"/>
        </w:rPr>
        <w:t xml:space="preserve"> GVAR model, the non-performing </w:t>
      </w:r>
      <w:r w:rsidR="00F9454F" w:rsidRPr="004634FC">
        <w:rPr>
          <w:szCs w:val="24"/>
        </w:rPr>
        <w:t>loan captures</w:t>
      </w:r>
      <w:r w:rsidR="00CC5F78" w:rsidRPr="004634FC">
        <w:rPr>
          <w:szCs w:val="24"/>
        </w:rPr>
        <w:t xml:space="preserve"> the conditional change of the domestic macroeconomic factors </w:t>
      </w:r>
      <w:r w:rsidR="00C50B4A" w:rsidRPr="004634FC">
        <w:rPr>
          <w:szCs w:val="24"/>
        </w:rPr>
        <w:t>from the scenario generated by</w:t>
      </w:r>
      <w:r w:rsidR="00F9454F" w:rsidRPr="004634FC">
        <w:rPr>
          <w:szCs w:val="24"/>
        </w:rPr>
        <w:t xml:space="preserve"> the GVAR model and the change of the global and f</w:t>
      </w:r>
      <w:r w:rsidR="00A06A63" w:rsidRPr="004634FC">
        <w:rPr>
          <w:szCs w:val="24"/>
        </w:rPr>
        <w:t>oreign variables</w:t>
      </w:r>
      <w:r w:rsidR="00F9454F" w:rsidRPr="004634FC">
        <w:rPr>
          <w:szCs w:val="24"/>
        </w:rPr>
        <w:t>.</w:t>
      </w:r>
    </w:p>
    <w:p w:rsidR="00CF335A" w:rsidRPr="004634FC" w:rsidRDefault="003A5AD7" w:rsidP="00EF4F4C">
      <w:pPr>
        <w:pStyle w:val="ListParagraph"/>
        <w:numPr>
          <w:ilvl w:val="0"/>
          <w:numId w:val="1"/>
        </w:numPr>
        <w:spacing w:line="360" w:lineRule="auto"/>
        <w:rPr>
          <w:b/>
          <w:szCs w:val="24"/>
        </w:rPr>
      </w:pPr>
      <w:r w:rsidRPr="004634FC">
        <w:rPr>
          <w:b/>
          <w:szCs w:val="24"/>
        </w:rPr>
        <w:t>Results</w:t>
      </w:r>
    </w:p>
    <w:p w:rsidR="000637B5" w:rsidRPr="004634FC" w:rsidRDefault="00F94CAB" w:rsidP="00A86E4E">
      <w:pPr>
        <w:spacing w:line="360" w:lineRule="auto"/>
        <w:rPr>
          <w:szCs w:val="24"/>
        </w:rPr>
      </w:pPr>
      <w:r w:rsidRPr="004634FC">
        <w:rPr>
          <w:szCs w:val="24"/>
        </w:rPr>
        <w:t>The simulation result</w:t>
      </w:r>
      <w:r w:rsidR="00A86E4E" w:rsidRPr="004634FC">
        <w:rPr>
          <w:szCs w:val="24"/>
        </w:rPr>
        <w:t>s are</w:t>
      </w:r>
      <w:r w:rsidR="006F73C1" w:rsidRPr="004634FC">
        <w:rPr>
          <w:szCs w:val="24"/>
        </w:rPr>
        <w:t xml:space="preserve"> as follow:</w:t>
      </w:r>
    </w:p>
    <w:p w:rsidR="0038044C" w:rsidRPr="004634FC" w:rsidRDefault="0038044C" w:rsidP="00EF4F4C">
      <w:pPr>
        <w:pStyle w:val="ListParagraph"/>
        <w:numPr>
          <w:ilvl w:val="0"/>
          <w:numId w:val="14"/>
        </w:numPr>
        <w:spacing w:line="360" w:lineRule="auto"/>
        <w:rPr>
          <w:b/>
          <w:i/>
          <w:szCs w:val="24"/>
        </w:rPr>
      </w:pPr>
      <w:r w:rsidRPr="004634FC">
        <w:rPr>
          <w:b/>
          <w:i/>
          <w:szCs w:val="24"/>
        </w:rPr>
        <w:t>Unit root tests</w:t>
      </w:r>
    </w:p>
    <w:p w:rsidR="00133C0E" w:rsidRPr="004634FC" w:rsidRDefault="00133C0E" w:rsidP="004634FC">
      <w:pPr>
        <w:spacing w:line="276" w:lineRule="auto"/>
        <w:ind w:firstLine="0"/>
        <w:rPr>
          <w:szCs w:val="24"/>
        </w:rPr>
      </w:pPr>
      <w:r w:rsidRPr="004634FC">
        <w:rPr>
          <w:szCs w:val="24"/>
        </w:rPr>
        <w:t xml:space="preserve">Following PSW and DdPS, we performed the unit root test macroeconomic factors. For the foreign and global factors, we follow the integration test results of PSW </w:t>
      </w:r>
      <w:r w:rsidR="00634198">
        <w:rPr>
          <w:szCs w:val="24"/>
        </w:rPr>
        <w:t>[13]</w:t>
      </w:r>
      <w:r w:rsidRPr="004634FC">
        <w:rPr>
          <w:szCs w:val="24"/>
        </w:rPr>
        <w:t xml:space="preserve"> and DdPS </w:t>
      </w:r>
      <w:r w:rsidR="00634198">
        <w:rPr>
          <w:szCs w:val="24"/>
        </w:rPr>
        <w:t>[14]</w:t>
      </w:r>
      <w:r w:rsidRPr="004634FC">
        <w:rPr>
          <w:szCs w:val="24"/>
        </w:rPr>
        <w:t xml:space="preserve"> that</w:t>
      </w:r>
      <w:r w:rsidR="00A86E4E" w:rsidRPr="004634FC">
        <w:rPr>
          <w:szCs w:val="24"/>
        </w:rPr>
        <w:t xml:space="preserve"> show that</w:t>
      </w:r>
      <w:r w:rsidRPr="004634FC">
        <w:rPr>
          <w:szCs w:val="24"/>
        </w:rPr>
        <w:t xml:space="preserve"> global and foreign variables are weakly </w:t>
      </w:r>
      <w:r w:rsidR="00A86E4E" w:rsidRPr="004634FC">
        <w:rPr>
          <w:szCs w:val="24"/>
        </w:rPr>
        <w:t xml:space="preserve">integrated order one </w:t>
      </w:r>
      <w:r w:rsidRPr="004634FC">
        <w:rPr>
          <w:i/>
          <w:szCs w:val="24"/>
        </w:rPr>
        <w:t>I(1).</w:t>
      </w:r>
      <w:r w:rsidRPr="004634FC">
        <w:rPr>
          <w:szCs w:val="24"/>
        </w:rPr>
        <w:t xml:space="preserve"> </w:t>
      </w:r>
    </w:p>
    <w:p w:rsidR="00133C0E" w:rsidRPr="004634FC" w:rsidRDefault="00133C0E" w:rsidP="004634FC">
      <w:pPr>
        <w:spacing w:line="276" w:lineRule="auto"/>
        <w:ind w:firstLine="0"/>
        <w:rPr>
          <w:szCs w:val="24"/>
        </w:rPr>
      </w:pPr>
      <w:r w:rsidRPr="004634FC">
        <w:rPr>
          <w:szCs w:val="24"/>
        </w:rPr>
        <w:t>For th</w:t>
      </w:r>
      <w:r w:rsidR="00590618" w:rsidRPr="004634FC">
        <w:rPr>
          <w:szCs w:val="24"/>
        </w:rPr>
        <w:t xml:space="preserve">e credit risk indicator and </w:t>
      </w:r>
      <w:r w:rsidRPr="004634FC">
        <w:rPr>
          <w:szCs w:val="24"/>
        </w:rPr>
        <w:t>macroeconomic domestic and exogenous variables</w:t>
      </w:r>
      <w:r w:rsidR="00590618" w:rsidRPr="004634FC">
        <w:rPr>
          <w:szCs w:val="24"/>
        </w:rPr>
        <w:t xml:space="preserve"> cases</w:t>
      </w:r>
      <w:r w:rsidRPr="004634FC">
        <w:rPr>
          <w:szCs w:val="24"/>
        </w:rPr>
        <w:t>, we use</w:t>
      </w:r>
      <w:r w:rsidR="00590618" w:rsidRPr="004634FC">
        <w:rPr>
          <w:szCs w:val="24"/>
        </w:rPr>
        <w:t>d</w:t>
      </w:r>
      <w:r w:rsidRPr="004634FC">
        <w:rPr>
          <w:szCs w:val="24"/>
        </w:rPr>
        <w:t xml:space="preserve"> the Augmented Dickey-fuller test (ADF). The results </w:t>
      </w:r>
      <w:r w:rsidR="00590618" w:rsidRPr="004634FC">
        <w:rPr>
          <w:szCs w:val="24"/>
        </w:rPr>
        <w:t xml:space="preserve">show that all macroeconomic </w:t>
      </w:r>
      <w:r w:rsidR="00590618" w:rsidRPr="004634FC">
        <w:rPr>
          <w:szCs w:val="24"/>
        </w:rPr>
        <w:lastRenderedPageBreak/>
        <w:t>series in ou</w:t>
      </w:r>
      <w:r w:rsidR="00A86E4E" w:rsidRPr="004634FC">
        <w:rPr>
          <w:szCs w:val="24"/>
        </w:rPr>
        <w:t>r model are integrated of order one</w:t>
      </w:r>
      <w:r w:rsidRPr="004634FC">
        <w:rPr>
          <w:szCs w:val="24"/>
        </w:rPr>
        <w:t xml:space="preserve"> </w:t>
      </w:r>
      <w:r w:rsidRPr="004634FC">
        <w:rPr>
          <w:i/>
          <w:szCs w:val="24"/>
        </w:rPr>
        <w:t>I (1).</w:t>
      </w:r>
      <w:r w:rsidRPr="004634FC">
        <w:rPr>
          <w:szCs w:val="24"/>
        </w:rPr>
        <w:t xml:space="preserve"> The results from the unit root test are in line with the economic theory because macroeconomic variables are generally integrated of order one.</w:t>
      </w:r>
    </w:p>
    <w:p w:rsidR="00CD3239" w:rsidRPr="004634FC" w:rsidRDefault="00CD3239" w:rsidP="00EF4F4C">
      <w:pPr>
        <w:pStyle w:val="Caption"/>
        <w:spacing w:line="360" w:lineRule="auto"/>
        <w:ind w:firstLine="0"/>
        <w:jc w:val="center"/>
        <w:rPr>
          <w:b w:val="0"/>
          <w:bCs w:val="0"/>
          <w:color w:val="auto"/>
          <w:sz w:val="24"/>
          <w:szCs w:val="24"/>
        </w:rPr>
      </w:pPr>
      <w:r w:rsidRPr="004634FC">
        <w:rPr>
          <w:b w:val="0"/>
          <w:bCs w:val="0"/>
          <w:color w:val="auto"/>
          <w:sz w:val="24"/>
          <w:szCs w:val="24"/>
        </w:rPr>
        <w:t xml:space="preserve">Table </w:t>
      </w:r>
      <w:r w:rsidRPr="004634FC">
        <w:rPr>
          <w:b w:val="0"/>
          <w:bCs w:val="0"/>
          <w:color w:val="auto"/>
          <w:sz w:val="24"/>
          <w:szCs w:val="24"/>
        </w:rPr>
        <w:fldChar w:fldCharType="begin"/>
      </w:r>
      <w:r w:rsidRPr="004634FC">
        <w:rPr>
          <w:b w:val="0"/>
          <w:bCs w:val="0"/>
          <w:color w:val="auto"/>
          <w:sz w:val="24"/>
          <w:szCs w:val="24"/>
        </w:rPr>
        <w:instrText xml:space="preserve"> SEQ Table \* ARABIC </w:instrText>
      </w:r>
      <w:r w:rsidRPr="004634FC">
        <w:rPr>
          <w:b w:val="0"/>
          <w:bCs w:val="0"/>
          <w:color w:val="auto"/>
          <w:sz w:val="24"/>
          <w:szCs w:val="24"/>
        </w:rPr>
        <w:fldChar w:fldCharType="separate"/>
      </w:r>
      <w:r w:rsidR="00334DD9">
        <w:rPr>
          <w:b w:val="0"/>
          <w:bCs w:val="0"/>
          <w:noProof/>
          <w:color w:val="auto"/>
          <w:sz w:val="24"/>
          <w:szCs w:val="24"/>
        </w:rPr>
        <w:t>3</w:t>
      </w:r>
      <w:r w:rsidRPr="004634FC">
        <w:rPr>
          <w:b w:val="0"/>
          <w:bCs w:val="0"/>
          <w:color w:val="auto"/>
          <w:sz w:val="24"/>
          <w:szCs w:val="24"/>
        </w:rPr>
        <w:fldChar w:fldCharType="end"/>
      </w:r>
      <w:r w:rsidRPr="004634FC">
        <w:rPr>
          <w:b w:val="0"/>
          <w:bCs w:val="0"/>
          <w:color w:val="auto"/>
          <w:sz w:val="24"/>
          <w:szCs w:val="24"/>
        </w:rPr>
        <w:t>: Unit root test domestic variables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382"/>
        <w:gridCol w:w="1631"/>
      </w:tblGrid>
      <w:tr w:rsidR="009D4065" w:rsidRPr="00EA38D2" w:rsidTr="00EA38D2">
        <w:trPr>
          <w:jc w:val="center"/>
        </w:trPr>
        <w:tc>
          <w:tcPr>
            <w:tcW w:w="1526" w:type="dxa"/>
            <w:shd w:val="clear" w:color="auto" w:fill="auto"/>
          </w:tcPr>
          <w:p w:rsidR="00CD3239" w:rsidRPr="00EA38D2" w:rsidRDefault="00CD3239" w:rsidP="00EA38D2">
            <w:pPr>
              <w:ind w:hanging="35"/>
              <w:jc w:val="center"/>
              <w:rPr>
                <w:szCs w:val="24"/>
              </w:rPr>
            </w:pPr>
            <w:r w:rsidRPr="00EA38D2">
              <w:rPr>
                <w:szCs w:val="24"/>
              </w:rPr>
              <w:t>Variables</w:t>
            </w:r>
          </w:p>
        </w:tc>
        <w:tc>
          <w:tcPr>
            <w:tcW w:w="1559" w:type="dxa"/>
            <w:shd w:val="clear" w:color="auto" w:fill="auto"/>
          </w:tcPr>
          <w:p w:rsidR="00CD3239" w:rsidRPr="00EA38D2" w:rsidRDefault="00CD3239" w:rsidP="00EA38D2">
            <w:pPr>
              <w:ind w:hanging="35"/>
              <w:jc w:val="center"/>
              <w:rPr>
                <w:szCs w:val="24"/>
              </w:rPr>
            </w:pPr>
            <w:r w:rsidRPr="00EA38D2">
              <w:rPr>
                <w:szCs w:val="24"/>
              </w:rPr>
              <w:t>Equation specification</w:t>
            </w:r>
          </w:p>
        </w:tc>
        <w:tc>
          <w:tcPr>
            <w:tcW w:w="1382" w:type="dxa"/>
            <w:shd w:val="clear" w:color="auto" w:fill="auto"/>
          </w:tcPr>
          <w:p w:rsidR="00CD3239" w:rsidRPr="00EA38D2" w:rsidRDefault="00CD3239" w:rsidP="00EA38D2">
            <w:pPr>
              <w:ind w:hanging="35"/>
              <w:jc w:val="center"/>
              <w:rPr>
                <w:szCs w:val="24"/>
              </w:rPr>
            </w:pPr>
            <w:r w:rsidRPr="00EA38D2">
              <w:rPr>
                <w:szCs w:val="24"/>
              </w:rPr>
              <w:t>Lag length</w:t>
            </w:r>
          </w:p>
        </w:tc>
        <w:tc>
          <w:tcPr>
            <w:tcW w:w="1631" w:type="dxa"/>
            <w:shd w:val="clear" w:color="auto" w:fill="auto"/>
          </w:tcPr>
          <w:p w:rsidR="00CD3239" w:rsidRPr="00EA38D2" w:rsidRDefault="00CD3239" w:rsidP="00EA38D2">
            <w:pPr>
              <w:ind w:hanging="35"/>
              <w:jc w:val="center"/>
              <w:rPr>
                <w:szCs w:val="24"/>
              </w:rPr>
            </w:pPr>
            <w:r w:rsidRPr="00EA38D2">
              <w:rPr>
                <w:szCs w:val="24"/>
              </w:rPr>
              <w:t>ADF statistics</w:t>
            </w:r>
          </w:p>
        </w:tc>
      </w:tr>
      <w:tr w:rsidR="009D4065" w:rsidRPr="00EA38D2" w:rsidTr="00EA38D2">
        <w:trPr>
          <w:jc w:val="center"/>
        </w:trPr>
        <w:tc>
          <w:tcPr>
            <w:tcW w:w="1526" w:type="dxa"/>
            <w:shd w:val="clear" w:color="auto" w:fill="auto"/>
          </w:tcPr>
          <w:p w:rsidR="00CD3239" w:rsidRPr="00EA38D2" w:rsidRDefault="00CD3239" w:rsidP="00EA38D2">
            <w:pPr>
              <w:ind w:firstLine="0"/>
              <w:jc w:val="center"/>
              <w:rPr>
                <w:i/>
                <w:szCs w:val="24"/>
              </w:rPr>
            </w:pPr>
            <w:r w:rsidRPr="00EA38D2">
              <w:rPr>
                <w:i/>
                <w:szCs w:val="24"/>
              </w:rPr>
              <w:t>y</w:t>
            </w:r>
          </w:p>
        </w:tc>
        <w:tc>
          <w:tcPr>
            <w:tcW w:w="1559" w:type="dxa"/>
            <w:shd w:val="clear" w:color="auto" w:fill="auto"/>
          </w:tcPr>
          <w:p w:rsidR="00CD3239" w:rsidRPr="00EA38D2" w:rsidRDefault="00CD3239" w:rsidP="00C562C8">
            <w:pPr>
              <w:rPr>
                <w:szCs w:val="24"/>
              </w:rPr>
            </w:pPr>
            <w:r w:rsidRPr="00EA38D2">
              <w:rPr>
                <w:szCs w:val="24"/>
              </w:rPr>
              <w:t>C</w:t>
            </w:r>
          </w:p>
        </w:tc>
        <w:tc>
          <w:tcPr>
            <w:tcW w:w="1382" w:type="dxa"/>
            <w:shd w:val="clear" w:color="auto" w:fill="auto"/>
          </w:tcPr>
          <w:p w:rsidR="00CD3239" w:rsidRPr="00EA38D2" w:rsidRDefault="00CD3239" w:rsidP="00EA38D2">
            <w:pPr>
              <w:jc w:val="center"/>
              <w:rPr>
                <w:szCs w:val="24"/>
              </w:rPr>
            </w:pPr>
            <w:r w:rsidRPr="00EA38D2">
              <w:rPr>
                <w:szCs w:val="24"/>
              </w:rPr>
              <w:t>0</w:t>
            </w:r>
          </w:p>
        </w:tc>
        <w:tc>
          <w:tcPr>
            <w:tcW w:w="1631" w:type="dxa"/>
            <w:shd w:val="clear" w:color="auto" w:fill="auto"/>
          </w:tcPr>
          <w:p w:rsidR="00CD3239" w:rsidRPr="00EA38D2" w:rsidRDefault="00CD3239" w:rsidP="00EA38D2">
            <w:pPr>
              <w:ind w:firstLine="34"/>
              <w:jc w:val="center"/>
              <w:rPr>
                <w:szCs w:val="24"/>
              </w:rPr>
            </w:pPr>
            <w:r w:rsidRPr="00EA38D2">
              <w:rPr>
                <w:szCs w:val="24"/>
              </w:rPr>
              <w:t>-2.539</w:t>
            </w:r>
            <w:r w:rsidR="008108F6" w:rsidRPr="00EA38D2">
              <w:rPr>
                <w:szCs w:val="24"/>
              </w:rPr>
              <w:t>**</w:t>
            </w:r>
          </w:p>
        </w:tc>
      </w:tr>
      <w:tr w:rsidR="009D4065" w:rsidRPr="00EA38D2" w:rsidTr="00EA38D2">
        <w:trPr>
          <w:jc w:val="center"/>
        </w:trPr>
        <w:tc>
          <w:tcPr>
            <w:tcW w:w="1526" w:type="dxa"/>
            <w:shd w:val="clear" w:color="auto" w:fill="auto"/>
          </w:tcPr>
          <w:p w:rsidR="00CD3239" w:rsidRPr="00EA38D2" w:rsidRDefault="00CD3239" w:rsidP="00EA38D2">
            <w:pPr>
              <w:ind w:firstLine="0"/>
              <w:jc w:val="center"/>
              <w:rPr>
                <w:i/>
                <w:szCs w:val="24"/>
              </w:rPr>
            </w:pPr>
            <w:r w:rsidRPr="00EA38D2">
              <w:rPr>
                <w:i/>
                <w:szCs w:val="24"/>
              </w:rPr>
              <w:t>p</w:t>
            </w:r>
          </w:p>
        </w:tc>
        <w:tc>
          <w:tcPr>
            <w:tcW w:w="1559" w:type="dxa"/>
            <w:shd w:val="clear" w:color="auto" w:fill="auto"/>
          </w:tcPr>
          <w:p w:rsidR="00CD3239" w:rsidRPr="00EA38D2" w:rsidRDefault="00CD3239" w:rsidP="00C562C8">
            <w:pPr>
              <w:rPr>
                <w:szCs w:val="24"/>
              </w:rPr>
            </w:pPr>
            <w:r w:rsidRPr="00EA38D2">
              <w:rPr>
                <w:szCs w:val="24"/>
              </w:rPr>
              <w:t>T,C</w:t>
            </w:r>
          </w:p>
        </w:tc>
        <w:tc>
          <w:tcPr>
            <w:tcW w:w="1382" w:type="dxa"/>
            <w:shd w:val="clear" w:color="auto" w:fill="auto"/>
          </w:tcPr>
          <w:p w:rsidR="00CD3239" w:rsidRPr="00EA38D2" w:rsidRDefault="00CD3239" w:rsidP="00EA38D2">
            <w:pPr>
              <w:jc w:val="center"/>
              <w:rPr>
                <w:szCs w:val="24"/>
              </w:rPr>
            </w:pPr>
            <w:r w:rsidRPr="00EA38D2">
              <w:rPr>
                <w:szCs w:val="24"/>
              </w:rPr>
              <w:t>3</w:t>
            </w:r>
          </w:p>
        </w:tc>
        <w:tc>
          <w:tcPr>
            <w:tcW w:w="1631" w:type="dxa"/>
            <w:shd w:val="clear" w:color="auto" w:fill="auto"/>
          </w:tcPr>
          <w:p w:rsidR="00CD3239" w:rsidRPr="00EA38D2" w:rsidRDefault="00CD3239" w:rsidP="00EA38D2">
            <w:pPr>
              <w:ind w:firstLine="34"/>
              <w:jc w:val="center"/>
              <w:rPr>
                <w:szCs w:val="24"/>
              </w:rPr>
            </w:pPr>
            <w:r w:rsidRPr="00EA38D2">
              <w:rPr>
                <w:szCs w:val="24"/>
              </w:rPr>
              <w:t>-3.175</w:t>
            </w:r>
            <w:r w:rsidR="000C2021" w:rsidRPr="00EA38D2">
              <w:rPr>
                <w:szCs w:val="24"/>
              </w:rPr>
              <w:t>***</w:t>
            </w:r>
          </w:p>
        </w:tc>
      </w:tr>
      <w:tr w:rsidR="009D4065" w:rsidRPr="00EA38D2" w:rsidTr="00EA38D2">
        <w:trPr>
          <w:jc w:val="center"/>
        </w:trPr>
        <w:tc>
          <w:tcPr>
            <w:tcW w:w="1526" w:type="dxa"/>
            <w:shd w:val="clear" w:color="auto" w:fill="auto"/>
          </w:tcPr>
          <w:p w:rsidR="00CD3239" w:rsidRPr="00EA38D2" w:rsidRDefault="00CD3239" w:rsidP="00EA38D2">
            <w:pPr>
              <w:ind w:firstLine="0"/>
              <w:jc w:val="center"/>
              <w:rPr>
                <w:i/>
                <w:szCs w:val="24"/>
              </w:rPr>
            </w:pPr>
            <w:r w:rsidRPr="00EA38D2">
              <w:rPr>
                <w:i/>
                <w:szCs w:val="24"/>
              </w:rPr>
              <w:t>e</w:t>
            </w:r>
          </w:p>
        </w:tc>
        <w:tc>
          <w:tcPr>
            <w:tcW w:w="1559" w:type="dxa"/>
            <w:shd w:val="clear" w:color="auto" w:fill="auto"/>
          </w:tcPr>
          <w:p w:rsidR="00CD3239" w:rsidRPr="00EA38D2" w:rsidRDefault="00CD3239" w:rsidP="00C562C8">
            <w:pPr>
              <w:rPr>
                <w:szCs w:val="24"/>
              </w:rPr>
            </w:pPr>
            <w:r w:rsidRPr="00EA38D2">
              <w:rPr>
                <w:szCs w:val="24"/>
              </w:rPr>
              <w:t>T,C</w:t>
            </w:r>
          </w:p>
        </w:tc>
        <w:tc>
          <w:tcPr>
            <w:tcW w:w="1382" w:type="dxa"/>
            <w:shd w:val="clear" w:color="auto" w:fill="auto"/>
          </w:tcPr>
          <w:p w:rsidR="00CD3239" w:rsidRPr="00EA38D2" w:rsidRDefault="00CD3239" w:rsidP="00EA38D2">
            <w:pPr>
              <w:jc w:val="center"/>
              <w:rPr>
                <w:szCs w:val="24"/>
              </w:rPr>
            </w:pPr>
            <w:r w:rsidRPr="00EA38D2">
              <w:rPr>
                <w:szCs w:val="24"/>
              </w:rPr>
              <w:t>3</w:t>
            </w:r>
          </w:p>
        </w:tc>
        <w:tc>
          <w:tcPr>
            <w:tcW w:w="1631" w:type="dxa"/>
            <w:shd w:val="clear" w:color="auto" w:fill="auto"/>
          </w:tcPr>
          <w:p w:rsidR="00CD3239" w:rsidRPr="00EA38D2" w:rsidRDefault="00CD3239" w:rsidP="00EA38D2">
            <w:pPr>
              <w:ind w:firstLine="34"/>
              <w:jc w:val="center"/>
              <w:rPr>
                <w:szCs w:val="24"/>
              </w:rPr>
            </w:pPr>
            <w:r w:rsidRPr="00EA38D2">
              <w:rPr>
                <w:szCs w:val="24"/>
              </w:rPr>
              <w:t>-9.071</w:t>
            </w:r>
            <w:r w:rsidR="000C2021" w:rsidRPr="00EA38D2">
              <w:rPr>
                <w:szCs w:val="24"/>
              </w:rPr>
              <w:t>*</w:t>
            </w:r>
          </w:p>
        </w:tc>
      </w:tr>
      <w:tr w:rsidR="009D4065" w:rsidRPr="00EA38D2" w:rsidTr="00EA38D2">
        <w:trPr>
          <w:jc w:val="center"/>
        </w:trPr>
        <w:tc>
          <w:tcPr>
            <w:tcW w:w="1526" w:type="dxa"/>
            <w:shd w:val="clear" w:color="auto" w:fill="auto"/>
          </w:tcPr>
          <w:p w:rsidR="00CD3239" w:rsidRPr="00EA38D2" w:rsidRDefault="00CD3239" w:rsidP="00EA38D2">
            <w:pPr>
              <w:ind w:firstLine="0"/>
              <w:jc w:val="center"/>
              <w:rPr>
                <w:i/>
                <w:szCs w:val="24"/>
              </w:rPr>
            </w:pPr>
            <w:r w:rsidRPr="00EA38D2">
              <w:rPr>
                <w:i/>
                <w:szCs w:val="24"/>
              </w:rPr>
              <w:t>r</w:t>
            </w:r>
          </w:p>
        </w:tc>
        <w:tc>
          <w:tcPr>
            <w:tcW w:w="1559" w:type="dxa"/>
            <w:shd w:val="clear" w:color="auto" w:fill="auto"/>
          </w:tcPr>
          <w:p w:rsidR="00CD3239" w:rsidRPr="00EA38D2" w:rsidRDefault="00CD3239" w:rsidP="00C562C8">
            <w:pPr>
              <w:rPr>
                <w:szCs w:val="24"/>
              </w:rPr>
            </w:pPr>
          </w:p>
        </w:tc>
        <w:tc>
          <w:tcPr>
            <w:tcW w:w="1382" w:type="dxa"/>
            <w:shd w:val="clear" w:color="auto" w:fill="auto"/>
          </w:tcPr>
          <w:p w:rsidR="00CD3239" w:rsidRPr="00EA38D2" w:rsidRDefault="00CD3239" w:rsidP="00EA38D2">
            <w:pPr>
              <w:jc w:val="center"/>
              <w:rPr>
                <w:szCs w:val="24"/>
              </w:rPr>
            </w:pPr>
            <w:r w:rsidRPr="00EA38D2">
              <w:rPr>
                <w:szCs w:val="24"/>
              </w:rPr>
              <w:t>0</w:t>
            </w:r>
          </w:p>
        </w:tc>
        <w:tc>
          <w:tcPr>
            <w:tcW w:w="1631" w:type="dxa"/>
            <w:shd w:val="clear" w:color="auto" w:fill="auto"/>
          </w:tcPr>
          <w:p w:rsidR="00CD3239" w:rsidRPr="00EA38D2" w:rsidRDefault="00CD3239" w:rsidP="00EA38D2">
            <w:pPr>
              <w:ind w:firstLine="34"/>
              <w:jc w:val="center"/>
              <w:rPr>
                <w:szCs w:val="24"/>
              </w:rPr>
            </w:pPr>
            <w:r w:rsidRPr="00EA38D2">
              <w:rPr>
                <w:szCs w:val="24"/>
              </w:rPr>
              <w:t>-7.208</w:t>
            </w:r>
            <w:r w:rsidR="000C2021" w:rsidRPr="00EA38D2">
              <w:rPr>
                <w:szCs w:val="24"/>
              </w:rPr>
              <w:t>*</w:t>
            </w:r>
          </w:p>
        </w:tc>
      </w:tr>
      <w:tr w:rsidR="009D4065" w:rsidRPr="00EA38D2" w:rsidTr="00EA38D2">
        <w:trPr>
          <w:jc w:val="center"/>
        </w:trPr>
        <w:tc>
          <w:tcPr>
            <w:tcW w:w="1526" w:type="dxa"/>
            <w:shd w:val="clear" w:color="auto" w:fill="auto"/>
          </w:tcPr>
          <w:p w:rsidR="00CD3239" w:rsidRPr="00EA38D2" w:rsidRDefault="00CD3239" w:rsidP="00EA38D2">
            <w:pPr>
              <w:ind w:firstLine="0"/>
              <w:jc w:val="center"/>
              <w:rPr>
                <w:i/>
                <w:szCs w:val="24"/>
              </w:rPr>
            </w:pPr>
            <w:r w:rsidRPr="00EA38D2">
              <w:rPr>
                <w:i/>
                <w:szCs w:val="24"/>
              </w:rPr>
              <w:t>lr</w:t>
            </w:r>
          </w:p>
        </w:tc>
        <w:tc>
          <w:tcPr>
            <w:tcW w:w="1559" w:type="dxa"/>
            <w:shd w:val="clear" w:color="auto" w:fill="auto"/>
          </w:tcPr>
          <w:p w:rsidR="00CD3239" w:rsidRPr="00EA38D2" w:rsidRDefault="00CD3239" w:rsidP="00C562C8">
            <w:pPr>
              <w:rPr>
                <w:szCs w:val="24"/>
              </w:rPr>
            </w:pPr>
          </w:p>
        </w:tc>
        <w:tc>
          <w:tcPr>
            <w:tcW w:w="1382" w:type="dxa"/>
            <w:shd w:val="clear" w:color="auto" w:fill="auto"/>
          </w:tcPr>
          <w:p w:rsidR="00CD3239" w:rsidRPr="00EA38D2" w:rsidRDefault="00CD3239" w:rsidP="00EA38D2">
            <w:pPr>
              <w:jc w:val="center"/>
              <w:rPr>
                <w:szCs w:val="24"/>
              </w:rPr>
            </w:pPr>
            <w:r w:rsidRPr="00EA38D2">
              <w:rPr>
                <w:szCs w:val="24"/>
              </w:rPr>
              <w:t>0</w:t>
            </w:r>
          </w:p>
        </w:tc>
        <w:tc>
          <w:tcPr>
            <w:tcW w:w="1631" w:type="dxa"/>
            <w:shd w:val="clear" w:color="auto" w:fill="auto"/>
          </w:tcPr>
          <w:p w:rsidR="00CD3239" w:rsidRPr="00EA38D2" w:rsidRDefault="00CD3239" w:rsidP="00EA38D2">
            <w:pPr>
              <w:ind w:firstLine="34"/>
              <w:jc w:val="center"/>
              <w:rPr>
                <w:szCs w:val="24"/>
              </w:rPr>
            </w:pPr>
            <w:r w:rsidRPr="00EA38D2">
              <w:rPr>
                <w:szCs w:val="24"/>
              </w:rPr>
              <w:t>-6.653</w:t>
            </w:r>
            <w:r w:rsidR="000C2021" w:rsidRPr="00EA38D2">
              <w:rPr>
                <w:szCs w:val="24"/>
              </w:rPr>
              <w:t>*</w:t>
            </w:r>
          </w:p>
        </w:tc>
      </w:tr>
      <w:tr w:rsidR="009D4065" w:rsidRPr="00EA38D2" w:rsidTr="00EA38D2">
        <w:trPr>
          <w:jc w:val="center"/>
        </w:trPr>
        <w:tc>
          <w:tcPr>
            <w:tcW w:w="1526" w:type="dxa"/>
            <w:shd w:val="clear" w:color="auto" w:fill="auto"/>
          </w:tcPr>
          <w:p w:rsidR="00CD3239" w:rsidRPr="00EA38D2" w:rsidRDefault="00CD3239" w:rsidP="00EA38D2">
            <w:pPr>
              <w:ind w:firstLine="0"/>
              <w:jc w:val="center"/>
              <w:rPr>
                <w:i/>
                <w:szCs w:val="24"/>
              </w:rPr>
            </w:pPr>
            <w:r w:rsidRPr="00EA38D2">
              <w:rPr>
                <w:i/>
                <w:szCs w:val="24"/>
              </w:rPr>
              <w:t>npl</w:t>
            </w:r>
          </w:p>
        </w:tc>
        <w:tc>
          <w:tcPr>
            <w:tcW w:w="1559" w:type="dxa"/>
            <w:shd w:val="clear" w:color="auto" w:fill="auto"/>
          </w:tcPr>
          <w:p w:rsidR="00CD3239" w:rsidRPr="00EA38D2" w:rsidRDefault="00CD3239" w:rsidP="00C562C8">
            <w:pPr>
              <w:rPr>
                <w:szCs w:val="24"/>
              </w:rPr>
            </w:pPr>
          </w:p>
        </w:tc>
        <w:tc>
          <w:tcPr>
            <w:tcW w:w="1382" w:type="dxa"/>
            <w:shd w:val="clear" w:color="auto" w:fill="auto"/>
          </w:tcPr>
          <w:p w:rsidR="00CD3239" w:rsidRPr="00EA38D2" w:rsidRDefault="00CD3239" w:rsidP="00EA38D2">
            <w:pPr>
              <w:jc w:val="center"/>
              <w:rPr>
                <w:szCs w:val="24"/>
              </w:rPr>
            </w:pPr>
            <w:r w:rsidRPr="00EA38D2">
              <w:rPr>
                <w:szCs w:val="24"/>
              </w:rPr>
              <w:t>4</w:t>
            </w:r>
          </w:p>
        </w:tc>
        <w:tc>
          <w:tcPr>
            <w:tcW w:w="1631" w:type="dxa"/>
            <w:shd w:val="clear" w:color="auto" w:fill="auto"/>
          </w:tcPr>
          <w:p w:rsidR="00CD3239" w:rsidRPr="00EA38D2" w:rsidRDefault="00CD3239" w:rsidP="00EA38D2">
            <w:pPr>
              <w:ind w:firstLine="34"/>
              <w:jc w:val="center"/>
              <w:rPr>
                <w:szCs w:val="24"/>
              </w:rPr>
            </w:pPr>
            <w:r w:rsidRPr="00EA38D2">
              <w:rPr>
                <w:szCs w:val="24"/>
              </w:rPr>
              <w:t>-2.815</w:t>
            </w:r>
            <w:r w:rsidR="008108F6" w:rsidRPr="00EA38D2">
              <w:rPr>
                <w:szCs w:val="24"/>
              </w:rPr>
              <w:t>*</w:t>
            </w:r>
          </w:p>
        </w:tc>
      </w:tr>
    </w:tbl>
    <w:p w:rsidR="00132C8D" w:rsidRPr="004634FC" w:rsidRDefault="00132C8D" w:rsidP="00D12632">
      <w:pPr>
        <w:pStyle w:val="ListParagraph"/>
        <w:spacing w:before="0" w:beforeAutospacing="0"/>
        <w:ind w:left="1440" w:firstLine="0"/>
        <w:jc w:val="left"/>
        <w:rPr>
          <w:szCs w:val="24"/>
        </w:rPr>
      </w:pPr>
      <w:r w:rsidRPr="004634FC">
        <w:rPr>
          <w:szCs w:val="24"/>
        </w:rPr>
        <w:t>Source: INSTAT, own calculations</w:t>
      </w:r>
      <w:r w:rsidR="00C26970" w:rsidRPr="004634FC">
        <w:rPr>
          <w:szCs w:val="24"/>
        </w:rPr>
        <w:t>. ***, **, and * denote significance at the 1, 5, and 10% level, respectively.</w:t>
      </w:r>
    </w:p>
    <w:p w:rsidR="0021597E" w:rsidRPr="004634FC" w:rsidRDefault="0021597E" w:rsidP="00EF4F4C">
      <w:pPr>
        <w:pStyle w:val="ListParagraph"/>
        <w:spacing w:before="0" w:beforeAutospacing="0" w:line="360" w:lineRule="auto"/>
        <w:ind w:left="1440" w:firstLine="0"/>
        <w:rPr>
          <w:szCs w:val="24"/>
        </w:rPr>
      </w:pPr>
    </w:p>
    <w:p w:rsidR="0021597E" w:rsidRPr="004634FC" w:rsidRDefault="008F4FDE" w:rsidP="0021597E">
      <w:pPr>
        <w:pStyle w:val="ListParagraph"/>
        <w:numPr>
          <w:ilvl w:val="0"/>
          <w:numId w:val="14"/>
        </w:numPr>
        <w:spacing w:line="360" w:lineRule="auto"/>
        <w:rPr>
          <w:b/>
          <w:i/>
          <w:szCs w:val="24"/>
        </w:rPr>
      </w:pPr>
      <w:r w:rsidRPr="004634FC">
        <w:rPr>
          <w:b/>
          <w:i/>
          <w:szCs w:val="24"/>
        </w:rPr>
        <w:t>Satellite GVAR</w:t>
      </w:r>
      <w:r w:rsidR="003A5AD7" w:rsidRPr="004634FC">
        <w:rPr>
          <w:b/>
          <w:i/>
          <w:szCs w:val="24"/>
        </w:rPr>
        <w:t xml:space="preserve"> estimation</w:t>
      </w:r>
      <w:r w:rsidRPr="004634FC">
        <w:rPr>
          <w:b/>
          <w:i/>
          <w:szCs w:val="24"/>
        </w:rPr>
        <w:t xml:space="preserve"> results</w:t>
      </w:r>
    </w:p>
    <w:p w:rsidR="00133C0E" w:rsidRPr="004634FC" w:rsidRDefault="00133C0E" w:rsidP="004634FC">
      <w:pPr>
        <w:pStyle w:val="Title"/>
        <w:spacing w:line="276" w:lineRule="auto"/>
        <w:ind w:firstLine="0"/>
        <w:rPr>
          <w:b/>
          <w:i/>
          <w:szCs w:val="24"/>
        </w:rPr>
      </w:pPr>
      <w:r w:rsidRPr="004634FC">
        <w:rPr>
          <w:szCs w:val="24"/>
        </w:rPr>
        <w:t>In principle, small open economy such as Madagascar is influenced by global economic evolution.</w:t>
      </w:r>
      <w:r w:rsidR="00590618" w:rsidRPr="004634FC">
        <w:rPr>
          <w:szCs w:val="24"/>
        </w:rPr>
        <w:t xml:space="preserve"> So doing the GVAR estimation, we study particularly the impact o</w:t>
      </w:r>
      <w:r w:rsidR="00283D7F" w:rsidRPr="004634FC">
        <w:rPr>
          <w:szCs w:val="24"/>
        </w:rPr>
        <w:t>f the international economies on</w:t>
      </w:r>
      <w:r w:rsidR="00590618" w:rsidRPr="004634FC">
        <w:rPr>
          <w:szCs w:val="24"/>
        </w:rPr>
        <w:t xml:space="preserve"> Madagascar economy.</w:t>
      </w:r>
      <w:r w:rsidRPr="004634FC">
        <w:rPr>
          <w:szCs w:val="24"/>
        </w:rPr>
        <w:t xml:space="preserve"> In our case, we focus </w:t>
      </w:r>
      <w:r w:rsidR="00590618" w:rsidRPr="004634FC">
        <w:rPr>
          <w:szCs w:val="24"/>
        </w:rPr>
        <w:t>on</w:t>
      </w:r>
      <w:r w:rsidRPr="004634FC">
        <w:rPr>
          <w:szCs w:val="24"/>
        </w:rPr>
        <w:t xml:space="preserve"> Madagascar VECMX* model in GVAR</w:t>
      </w:r>
      <w:r w:rsidR="00590618" w:rsidRPr="004634FC">
        <w:rPr>
          <w:szCs w:val="24"/>
        </w:rPr>
        <w:t xml:space="preserve"> result</w:t>
      </w:r>
      <w:r w:rsidRPr="004634FC">
        <w:rPr>
          <w:szCs w:val="24"/>
        </w:rPr>
        <w:t xml:space="preserve">, where the endogenous variables are Madagascar macroeconomic factors and exogenous variables </w:t>
      </w:r>
      <w:r w:rsidR="00590618" w:rsidRPr="004634FC">
        <w:rPr>
          <w:szCs w:val="24"/>
        </w:rPr>
        <w:t>are</w:t>
      </w:r>
      <w:r w:rsidRPr="004634FC">
        <w:rPr>
          <w:szCs w:val="24"/>
        </w:rPr>
        <w:t xml:space="preserve"> trading partner’s macroeconomic</w:t>
      </w:r>
      <w:r w:rsidR="00996FA4" w:rsidRPr="004634FC">
        <w:rPr>
          <w:szCs w:val="24"/>
        </w:rPr>
        <w:t xml:space="preserve"> variables and global variables</w:t>
      </w:r>
      <w:r w:rsidRPr="004634FC">
        <w:rPr>
          <w:szCs w:val="24"/>
        </w:rPr>
        <w:t xml:space="preserve">. After estimating GVAR model, the </w:t>
      </w:r>
      <w:r w:rsidR="00283D7F" w:rsidRPr="004634FC">
        <w:rPr>
          <w:szCs w:val="24"/>
        </w:rPr>
        <w:t>generalized impulse response function (</w:t>
      </w:r>
      <w:r w:rsidRPr="004634FC">
        <w:rPr>
          <w:szCs w:val="24"/>
        </w:rPr>
        <w:t>GIRFs</w:t>
      </w:r>
      <w:r w:rsidR="00283D7F" w:rsidRPr="004634FC">
        <w:rPr>
          <w:szCs w:val="24"/>
        </w:rPr>
        <w:t>)</w:t>
      </w:r>
      <w:r w:rsidRPr="004634FC">
        <w:rPr>
          <w:szCs w:val="24"/>
        </w:rPr>
        <w:t xml:space="preserve"> is performed to generate factors shock</w:t>
      </w:r>
      <w:r w:rsidR="00283D7F" w:rsidRPr="004634FC">
        <w:rPr>
          <w:szCs w:val="24"/>
        </w:rPr>
        <w:t>s</w:t>
      </w:r>
      <w:r w:rsidRPr="004634FC">
        <w:rPr>
          <w:szCs w:val="24"/>
        </w:rPr>
        <w:t xml:space="preserve"> as scenarios in the satellite model. In other words, dynamic relation results are used to simulate the effect on the credit risk indicator in the satellite GVAR model.</w:t>
      </w:r>
    </w:p>
    <w:p w:rsidR="00133C0E" w:rsidRPr="004634FC" w:rsidRDefault="00133C0E" w:rsidP="004634FC">
      <w:pPr>
        <w:spacing w:line="276" w:lineRule="auto"/>
        <w:ind w:firstLine="0"/>
        <w:rPr>
          <w:szCs w:val="24"/>
        </w:rPr>
      </w:pPr>
      <w:r w:rsidRPr="004634FC">
        <w:rPr>
          <w:szCs w:val="24"/>
        </w:rPr>
        <w:t xml:space="preserve">For the satellite model, we estimate the non-performing loan ratio and the domestic macroeconomic factors as exogenous variables. These macroeconomic factors are endogenous in the GVAR model. </w:t>
      </w:r>
      <w:r w:rsidR="00127430" w:rsidRPr="004634FC">
        <w:rPr>
          <w:szCs w:val="24"/>
        </w:rPr>
        <w:t>Equations and results are presented below:</w:t>
      </w:r>
    </w:p>
    <w:p w:rsidR="00EC5333" w:rsidRPr="009D4065" w:rsidRDefault="009D4065" w:rsidP="00EF4F4C">
      <w:pPr>
        <w:spacing w:line="360" w:lineRule="auto"/>
        <w:rPr>
          <w:szCs w:val="24"/>
        </w:rPr>
      </w:pPr>
      <m:oMathPara>
        <m:oMath>
          <m:r>
            <w:rPr>
              <w:rFonts w:ascii="Cambria Math" w:hAnsi="Cambria Math"/>
              <w:szCs w:val="24"/>
            </w:rPr>
            <m:t>npl=</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1</m:t>
              </m:r>
            </m:sub>
          </m:sSub>
          <m:r>
            <w:rPr>
              <w:rFonts w:ascii="Cambria Math" w:hAnsi="Cambria Math"/>
              <w:szCs w:val="24"/>
            </w:rPr>
            <m:t>GDP+</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2</m:t>
              </m:r>
            </m:sub>
          </m:sSub>
          <m:r>
            <w:rPr>
              <w:rFonts w:ascii="Cambria Math" w:hAnsi="Cambria Math"/>
              <w:szCs w:val="24"/>
            </w:rPr>
            <m:t>CPI+</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3</m:t>
              </m:r>
            </m:sub>
          </m:sSub>
          <m:r>
            <w:rPr>
              <w:rFonts w:ascii="Cambria Math" w:hAnsi="Cambria Math"/>
              <w:szCs w:val="24"/>
            </w:rPr>
            <m:t>E+</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4</m:t>
              </m:r>
            </m:sub>
          </m:sSub>
          <m:r>
            <w:rPr>
              <w:rFonts w:ascii="Cambria Math" w:hAnsi="Cambria Math"/>
              <w:szCs w:val="24"/>
            </w:rPr>
            <m:t>R+</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5</m:t>
              </m:r>
            </m:sub>
          </m:sSub>
          <m:r>
            <w:rPr>
              <w:rFonts w:ascii="Cambria Math" w:hAnsi="Cambria Math"/>
              <w:szCs w:val="24"/>
            </w:rPr>
            <m:t>LR+β</m:t>
          </m:r>
        </m:oMath>
      </m:oMathPara>
    </w:p>
    <w:p w:rsidR="00133C0E" w:rsidRPr="004634FC" w:rsidRDefault="00133C0E" w:rsidP="004634FC">
      <w:pPr>
        <w:spacing w:line="276" w:lineRule="auto"/>
        <w:ind w:firstLine="0"/>
        <w:rPr>
          <w:szCs w:val="24"/>
        </w:rPr>
      </w:pPr>
      <w:r w:rsidRPr="004634FC">
        <w:rPr>
          <w:szCs w:val="24"/>
        </w:rPr>
        <w:t xml:space="preserve">Where </w:t>
      </w:r>
      <w:r w:rsidRPr="004634FC">
        <w:rPr>
          <w:i/>
          <w:szCs w:val="24"/>
        </w:rPr>
        <w:t>npl</w:t>
      </w:r>
      <w:r w:rsidRPr="004634FC">
        <w:rPr>
          <w:szCs w:val="24"/>
        </w:rPr>
        <w:t xml:space="preserve"> the non-performi</w:t>
      </w:r>
      <w:r w:rsidR="00127430" w:rsidRPr="004634FC">
        <w:rPr>
          <w:szCs w:val="24"/>
        </w:rPr>
        <w:t>ng loan ratio and the right-</w:t>
      </w:r>
      <w:r w:rsidR="008F3BF6" w:rsidRPr="004634FC">
        <w:rPr>
          <w:szCs w:val="24"/>
        </w:rPr>
        <w:t>side</w:t>
      </w:r>
      <w:r w:rsidRPr="004634FC">
        <w:rPr>
          <w:szCs w:val="24"/>
        </w:rPr>
        <w:t xml:space="preserve"> variables are the gross domestic products (GDP), the consumer price index (CPI), the real effective exchange rate (E), the short-term interest rate (R) and the long-term interest</w:t>
      </w:r>
      <w:r w:rsidR="00283D7F" w:rsidRPr="004634FC">
        <w:rPr>
          <w:szCs w:val="24"/>
        </w:rPr>
        <w:t>s</w:t>
      </w:r>
      <w:r w:rsidRPr="004634FC">
        <w:rPr>
          <w:szCs w:val="24"/>
        </w:rPr>
        <w:t xml:space="preserve"> rate (LR) .α and β are the parameters.</w:t>
      </w:r>
    </w:p>
    <w:p w:rsidR="00133C0E" w:rsidRPr="004634FC" w:rsidRDefault="00133C0E" w:rsidP="004634FC">
      <w:pPr>
        <w:spacing w:line="276" w:lineRule="auto"/>
        <w:ind w:firstLine="0"/>
        <w:rPr>
          <w:szCs w:val="24"/>
        </w:rPr>
      </w:pPr>
      <w:r w:rsidRPr="004634FC">
        <w:rPr>
          <w:szCs w:val="24"/>
        </w:rPr>
        <w:t>In the satellite model, the unit root test of domestic factors and the non-performing loan ratio indicate that all series are integra</w:t>
      </w:r>
      <w:r w:rsidR="00283D7F" w:rsidRPr="004634FC">
        <w:rPr>
          <w:szCs w:val="24"/>
        </w:rPr>
        <w:t>ted in</w:t>
      </w:r>
      <w:r w:rsidR="001C65C2" w:rsidRPr="004634FC">
        <w:rPr>
          <w:szCs w:val="24"/>
        </w:rPr>
        <w:t xml:space="preserve"> order one </w:t>
      </w:r>
      <w:r w:rsidR="001C65C2" w:rsidRPr="004634FC">
        <w:rPr>
          <w:i/>
          <w:szCs w:val="24"/>
        </w:rPr>
        <w:t>I(1),</w:t>
      </w:r>
      <w:r w:rsidR="001C65C2" w:rsidRPr="004634FC">
        <w:rPr>
          <w:szCs w:val="24"/>
        </w:rPr>
        <w:t xml:space="preserve"> so we can</w:t>
      </w:r>
      <w:r w:rsidRPr="004634FC">
        <w:rPr>
          <w:szCs w:val="24"/>
        </w:rPr>
        <w:t xml:space="preserve"> </w:t>
      </w:r>
      <w:r w:rsidR="00283D7F" w:rsidRPr="004634FC">
        <w:rPr>
          <w:szCs w:val="24"/>
        </w:rPr>
        <w:t>try and</w:t>
      </w:r>
      <w:r w:rsidRPr="004634FC">
        <w:rPr>
          <w:szCs w:val="24"/>
        </w:rPr>
        <w:t xml:space="preserve"> test the possibilities of </w:t>
      </w:r>
      <w:r w:rsidR="00117256" w:rsidRPr="004634FC">
        <w:rPr>
          <w:szCs w:val="24"/>
        </w:rPr>
        <w:t xml:space="preserve">a </w:t>
      </w:r>
      <w:r w:rsidRPr="004634FC">
        <w:rPr>
          <w:szCs w:val="24"/>
        </w:rPr>
        <w:t>long-run equilibrium</w:t>
      </w:r>
      <w:r w:rsidR="00117256" w:rsidRPr="004634FC">
        <w:rPr>
          <w:szCs w:val="24"/>
        </w:rPr>
        <w:t xml:space="preserve"> relation</w:t>
      </w:r>
      <w:r w:rsidRPr="004634FC">
        <w:rPr>
          <w:szCs w:val="24"/>
        </w:rPr>
        <w:t xml:space="preserve">. We employ Johansen Cointegration techniques. The test </w:t>
      </w:r>
      <w:r w:rsidRPr="004634FC">
        <w:rPr>
          <w:szCs w:val="24"/>
        </w:rPr>
        <w:lastRenderedPageBreak/>
        <w:t>shows that the NPL ratio and the factors are cointegrated. Trace and Maximum Eingen value statistics both indicate one cointegration</w:t>
      </w:r>
      <w:r w:rsidR="00132C8D" w:rsidRPr="004634FC">
        <w:rPr>
          <w:szCs w:val="24"/>
        </w:rPr>
        <w:t xml:space="preserve"> equation (table 4</w:t>
      </w:r>
      <w:r w:rsidRPr="004634FC">
        <w:rPr>
          <w:szCs w:val="24"/>
        </w:rPr>
        <w:t xml:space="preserve">). </w:t>
      </w:r>
    </w:p>
    <w:p w:rsidR="00132C8D" w:rsidRPr="004634FC" w:rsidRDefault="00132C8D" w:rsidP="00446CAB">
      <w:pPr>
        <w:pStyle w:val="Caption"/>
        <w:spacing w:after="0" w:afterAutospacing="0" w:line="360" w:lineRule="auto"/>
        <w:ind w:firstLine="0"/>
        <w:jc w:val="center"/>
        <w:rPr>
          <w:b w:val="0"/>
          <w:bCs w:val="0"/>
          <w:color w:val="auto"/>
          <w:sz w:val="24"/>
          <w:szCs w:val="24"/>
        </w:rPr>
      </w:pPr>
      <w:r w:rsidRPr="004634FC">
        <w:rPr>
          <w:b w:val="0"/>
          <w:bCs w:val="0"/>
          <w:color w:val="auto"/>
          <w:sz w:val="24"/>
          <w:szCs w:val="24"/>
        </w:rPr>
        <w:t xml:space="preserve">Table </w:t>
      </w:r>
      <w:r w:rsidRPr="004634FC">
        <w:rPr>
          <w:b w:val="0"/>
          <w:bCs w:val="0"/>
          <w:color w:val="auto"/>
          <w:sz w:val="24"/>
          <w:szCs w:val="24"/>
        </w:rPr>
        <w:fldChar w:fldCharType="begin"/>
      </w:r>
      <w:r w:rsidRPr="004634FC">
        <w:rPr>
          <w:b w:val="0"/>
          <w:bCs w:val="0"/>
          <w:color w:val="auto"/>
          <w:sz w:val="24"/>
          <w:szCs w:val="24"/>
        </w:rPr>
        <w:instrText xml:space="preserve"> SEQ Table \* ARABIC </w:instrText>
      </w:r>
      <w:r w:rsidRPr="004634FC">
        <w:rPr>
          <w:b w:val="0"/>
          <w:bCs w:val="0"/>
          <w:color w:val="auto"/>
          <w:sz w:val="24"/>
          <w:szCs w:val="24"/>
        </w:rPr>
        <w:fldChar w:fldCharType="separate"/>
      </w:r>
      <w:r w:rsidR="00334DD9">
        <w:rPr>
          <w:b w:val="0"/>
          <w:bCs w:val="0"/>
          <w:noProof/>
          <w:color w:val="auto"/>
          <w:sz w:val="24"/>
          <w:szCs w:val="24"/>
        </w:rPr>
        <w:t>4</w:t>
      </w:r>
      <w:r w:rsidRPr="004634FC">
        <w:rPr>
          <w:b w:val="0"/>
          <w:bCs w:val="0"/>
          <w:color w:val="auto"/>
          <w:sz w:val="24"/>
          <w:szCs w:val="24"/>
        </w:rPr>
        <w:fldChar w:fldCharType="end"/>
      </w:r>
      <w:r w:rsidRPr="004634FC">
        <w:rPr>
          <w:b w:val="0"/>
          <w:bCs w:val="0"/>
          <w:color w:val="auto"/>
          <w:sz w:val="24"/>
          <w:szCs w:val="24"/>
        </w:rPr>
        <w:t>: Johansen test of cointegration rank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44"/>
        <w:gridCol w:w="1374"/>
        <w:gridCol w:w="44"/>
        <w:gridCol w:w="1373"/>
        <w:gridCol w:w="44"/>
        <w:gridCol w:w="1374"/>
        <w:gridCol w:w="44"/>
        <w:gridCol w:w="1373"/>
        <w:gridCol w:w="44"/>
      </w:tblGrid>
      <w:tr w:rsidR="00132C8D" w:rsidRPr="00EA38D2" w:rsidTr="00EA38D2">
        <w:trPr>
          <w:trHeight w:val="225"/>
          <w:jc w:val="center"/>
        </w:trPr>
        <w:tc>
          <w:tcPr>
            <w:tcW w:w="5921" w:type="dxa"/>
            <w:gridSpan w:val="8"/>
            <w:shd w:val="clear" w:color="auto" w:fill="auto"/>
          </w:tcPr>
          <w:p w:rsidR="00132C8D" w:rsidRPr="00EA38D2" w:rsidRDefault="00132C8D" w:rsidP="00EA38D2">
            <w:pPr>
              <w:autoSpaceDE w:val="0"/>
              <w:autoSpaceDN w:val="0"/>
              <w:adjustRightInd w:val="0"/>
              <w:spacing w:before="0" w:beforeAutospacing="0" w:after="0" w:afterAutospacing="0"/>
              <w:rPr>
                <w:b/>
                <w:szCs w:val="24"/>
              </w:rPr>
            </w:pPr>
            <w:r w:rsidRPr="00EA38D2">
              <w:rPr>
                <w:b/>
                <w:szCs w:val="24"/>
              </w:rPr>
              <w:t>Unrestricted Cointegration Rank Test (Trace)</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jc w:val="center"/>
              <w:rPr>
                <w:szCs w:val="24"/>
              </w:rPr>
            </w:pPr>
          </w:p>
        </w:tc>
      </w:tr>
      <w:tr w:rsidR="009D4065" w:rsidRPr="00EA38D2" w:rsidTr="00EA38D2">
        <w:trPr>
          <w:trHeight w:val="225"/>
          <w:jc w:val="center"/>
        </w:trPr>
        <w:tc>
          <w:tcPr>
            <w:tcW w:w="166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Hypothesized</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Trace</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0.05</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p>
        </w:tc>
      </w:tr>
      <w:tr w:rsidR="009D4065" w:rsidRPr="00EA38D2" w:rsidTr="00EA38D2">
        <w:trPr>
          <w:trHeight w:val="225"/>
          <w:jc w:val="center"/>
        </w:trPr>
        <w:tc>
          <w:tcPr>
            <w:tcW w:w="166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No. of CE(s)</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Eigenvalue</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Statistic</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Critical Value</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Prob.**</w:t>
            </w:r>
          </w:p>
        </w:tc>
      </w:tr>
      <w:tr w:rsidR="009D4065" w:rsidRPr="00EA38D2" w:rsidTr="00EA38D2">
        <w:trPr>
          <w:trHeight w:val="225"/>
          <w:jc w:val="center"/>
        </w:trPr>
        <w:tc>
          <w:tcPr>
            <w:tcW w:w="166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None *</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0.680234</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108.0335</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95.75366</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0.0055</w:t>
            </w:r>
          </w:p>
        </w:tc>
      </w:tr>
      <w:tr w:rsidR="009D4065" w:rsidRPr="00EA38D2" w:rsidTr="00EA38D2">
        <w:trPr>
          <w:trHeight w:val="225"/>
          <w:jc w:val="center"/>
        </w:trPr>
        <w:tc>
          <w:tcPr>
            <w:tcW w:w="166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At most 1</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0.483831</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64.70724</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69.81889</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0.1195</w:t>
            </w:r>
          </w:p>
        </w:tc>
      </w:tr>
      <w:tr w:rsidR="009D4065" w:rsidRPr="00EA38D2" w:rsidTr="00EA38D2">
        <w:trPr>
          <w:trHeight w:val="225"/>
          <w:jc w:val="center"/>
        </w:trPr>
        <w:tc>
          <w:tcPr>
            <w:tcW w:w="166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At most 2</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0.344027</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39.57706</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47.85613</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0.2380</w:t>
            </w:r>
          </w:p>
        </w:tc>
      </w:tr>
      <w:tr w:rsidR="009D4065" w:rsidRPr="00EA38D2" w:rsidTr="00EA38D2">
        <w:trPr>
          <w:trHeight w:val="225"/>
          <w:jc w:val="center"/>
        </w:trPr>
        <w:tc>
          <w:tcPr>
            <w:tcW w:w="166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At most 3</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0.317723</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23.55492</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29.79707</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0.2199</w:t>
            </w:r>
          </w:p>
        </w:tc>
      </w:tr>
      <w:tr w:rsidR="009D4065" w:rsidRPr="00EA38D2" w:rsidTr="00EA38D2">
        <w:trPr>
          <w:trHeight w:val="225"/>
          <w:jc w:val="center"/>
        </w:trPr>
        <w:tc>
          <w:tcPr>
            <w:tcW w:w="166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At most 4</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0.209772</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9.026799</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15.49471</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0.3629</w:t>
            </w:r>
          </w:p>
        </w:tc>
      </w:tr>
      <w:tr w:rsidR="009D4065" w:rsidRPr="00EA38D2" w:rsidTr="00EA38D2">
        <w:trPr>
          <w:trHeight w:val="225"/>
          <w:jc w:val="center"/>
        </w:trPr>
        <w:tc>
          <w:tcPr>
            <w:tcW w:w="166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At most 5</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0.002111</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0.080295</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3.841466</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0.7769</w:t>
            </w:r>
          </w:p>
        </w:tc>
      </w:tr>
      <w:tr w:rsidR="00132C8D" w:rsidRPr="00EA38D2" w:rsidTr="00EA38D2">
        <w:trPr>
          <w:trHeight w:val="225"/>
          <w:jc w:val="center"/>
        </w:trPr>
        <w:tc>
          <w:tcPr>
            <w:tcW w:w="7338" w:type="dxa"/>
            <w:gridSpan w:val="10"/>
            <w:shd w:val="clear" w:color="auto" w:fill="auto"/>
          </w:tcPr>
          <w:p w:rsidR="00132C8D" w:rsidRPr="00EA38D2" w:rsidRDefault="00132C8D" w:rsidP="00EA38D2">
            <w:pPr>
              <w:autoSpaceDE w:val="0"/>
              <w:autoSpaceDN w:val="0"/>
              <w:adjustRightInd w:val="0"/>
              <w:spacing w:before="0" w:beforeAutospacing="0" w:after="0" w:afterAutospacing="0"/>
              <w:rPr>
                <w:szCs w:val="24"/>
              </w:rPr>
            </w:pPr>
            <w:r w:rsidRPr="00EA38D2">
              <w:rPr>
                <w:szCs w:val="24"/>
              </w:rPr>
              <w:t> Trace test indicates 1 cointegrating eqn(s) at the 0.05 level</w:t>
            </w:r>
          </w:p>
        </w:tc>
      </w:tr>
      <w:tr w:rsidR="00132C8D" w:rsidRPr="00EA38D2" w:rsidTr="00EA38D2">
        <w:trPr>
          <w:trHeight w:val="225"/>
          <w:jc w:val="center"/>
        </w:trPr>
        <w:tc>
          <w:tcPr>
            <w:tcW w:w="7338" w:type="dxa"/>
            <w:gridSpan w:val="10"/>
            <w:shd w:val="clear" w:color="auto" w:fill="auto"/>
          </w:tcPr>
          <w:p w:rsidR="00132C8D" w:rsidRPr="00EA38D2" w:rsidRDefault="00132C8D" w:rsidP="00EA38D2">
            <w:pPr>
              <w:autoSpaceDE w:val="0"/>
              <w:autoSpaceDN w:val="0"/>
              <w:adjustRightInd w:val="0"/>
              <w:spacing w:before="0" w:beforeAutospacing="0" w:after="0" w:afterAutospacing="0"/>
              <w:rPr>
                <w:szCs w:val="24"/>
              </w:rPr>
            </w:pPr>
            <w:r w:rsidRPr="00EA38D2">
              <w:rPr>
                <w:szCs w:val="24"/>
              </w:rPr>
              <w:t> * denotes rejection of the hypothesis at the 0.05 level</w:t>
            </w:r>
          </w:p>
        </w:tc>
      </w:tr>
      <w:tr w:rsidR="00132C8D" w:rsidRPr="00EA38D2" w:rsidTr="00EA38D2">
        <w:trPr>
          <w:trHeight w:val="225"/>
          <w:jc w:val="center"/>
        </w:trPr>
        <w:tc>
          <w:tcPr>
            <w:tcW w:w="5921" w:type="dxa"/>
            <w:gridSpan w:val="8"/>
            <w:shd w:val="clear" w:color="auto" w:fill="auto"/>
          </w:tcPr>
          <w:p w:rsidR="00132C8D" w:rsidRPr="00EA38D2" w:rsidRDefault="00132C8D" w:rsidP="00EA38D2">
            <w:pPr>
              <w:autoSpaceDE w:val="0"/>
              <w:autoSpaceDN w:val="0"/>
              <w:adjustRightInd w:val="0"/>
              <w:spacing w:before="0" w:beforeAutospacing="0" w:after="0" w:afterAutospacing="0"/>
              <w:rPr>
                <w:szCs w:val="24"/>
                <w:lang w:val="fr-FR"/>
              </w:rPr>
            </w:pPr>
            <w:r w:rsidRPr="00EA38D2">
              <w:rPr>
                <w:szCs w:val="24"/>
              </w:rPr>
              <w:t> </w:t>
            </w:r>
            <w:r w:rsidRPr="00EA38D2">
              <w:rPr>
                <w:szCs w:val="24"/>
                <w:lang w:val="fr-FR"/>
              </w:rPr>
              <w:t>**MacKinnon-Haug-Michelis (1999) p-values</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jc w:val="center"/>
              <w:rPr>
                <w:szCs w:val="24"/>
                <w:lang w:val="fr-FR"/>
              </w:rPr>
            </w:pPr>
          </w:p>
        </w:tc>
      </w:tr>
      <w:tr w:rsidR="00132C8D" w:rsidRPr="00EA38D2" w:rsidTr="00EA38D2">
        <w:trPr>
          <w:gridAfter w:val="1"/>
          <w:wAfter w:w="44" w:type="dxa"/>
          <w:trHeight w:val="225"/>
          <w:jc w:val="center"/>
        </w:trPr>
        <w:tc>
          <w:tcPr>
            <w:tcW w:w="7294" w:type="dxa"/>
            <w:gridSpan w:val="9"/>
            <w:shd w:val="clear" w:color="auto" w:fill="auto"/>
          </w:tcPr>
          <w:p w:rsidR="00132C8D" w:rsidRPr="00EA38D2" w:rsidRDefault="00132C8D" w:rsidP="00EA38D2">
            <w:pPr>
              <w:autoSpaceDE w:val="0"/>
              <w:autoSpaceDN w:val="0"/>
              <w:adjustRightInd w:val="0"/>
              <w:spacing w:before="0" w:beforeAutospacing="0" w:after="0" w:afterAutospacing="0"/>
              <w:ind w:hanging="43"/>
              <w:rPr>
                <w:b/>
                <w:szCs w:val="24"/>
              </w:rPr>
            </w:pPr>
            <w:r w:rsidRPr="00EA38D2">
              <w:rPr>
                <w:szCs w:val="24"/>
                <w:lang w:val="fr-FR"/>
              </w:rPr>
              <w:tab/>
            </w:r>
            <w:r w:rsidRPr="00EA38D2">
              <w:rPr>
                <w:b/>
                <w:szCs w:val="24"/>
              </w:rPr>
              <w:t>Unrestricted Cointegration Rank Test (Maximum Eigenvalue)</w:t>
            </w:r>
          </w:p>
        </w:tc>
      </w:tr>
      <w:tr w:rsidR="009D4065" w:rsidRPr="00EA38D2" w:rsidTr="00EA38D2">
        <w:trPr>
          <w:gridAfter w:val="1"/>
          <w:wAfter w:w="44" w:type="dxa"/>
          <w:trHeight w:val="225"/>
          <w:jc w:val="center"/>
        </w:trPr>
        <w:tc>
          <w:tcPr>
            <w:tcW w:w="1624" w:type="dxa"/>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Hypothesized</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Max-Eigen</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0.05</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p>
        </w:tc>
      </w:tr>
      <w:tr w:rsidR="009D4065" w:rsidRPr="00EA38D2" w:rsidTr="00EA38D2">
        <w:trPr>
          <w:gridAfter w:val="1"/>
          <w:wAfter w:w="44" w:type="dxa"/>
          <w:trHeight w:val="225"/>
          <w:jc w:val="center"/>
        </w:trPr>
        <w:tc>
          <w:tcPr>
            <w:tcW w:w="1624" w:type="dxa"/>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No. of CE(s)</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Eigenvalue</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Statistic</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Critical Value</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Prob.**</w:t>
            </w:r>
          </w:p>
        </w:tc>
      </w:tr>
      <w:tr w:rsidR="009D4065" w:rsidRPr="00EA38D2" w:rsidTr="00EA38D2">
        <w:trPr>
          <w:gridAfter w:val="1"/>
          <w:wAfter w:w="44" w:type="dxa"/>
          <w:trHeight w:val="225"/>
          <w:jc w:val="center"/>
        </w:trPr>
        <w:tc>
          <w:tcPr>
            <w:tcW w:w="1624" w:type="dxa"/>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None *</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0.680234</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43.32628</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40.07757</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0.0208</w:t>
            </w:r>
          </w:p>
        </w:tc>
      </w:tr>
      <w:tr w:rsidR="009D4065" w:rsidRPr="00EA38D2" w:rsidTr="00EA38D2">
        <w:trPr>
          <w:gridAfter w:val="1"/>
          <w:wAfter w:w="44" w:type="dxa"/>
          <w:trHeight w:val="225"/>
          <w:jc w:val="center"/>
        </w:trPr>
        <w:tc>
          <w:tcPr>
            <w:tcW w:w="1624" w:type="dxa"/>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At most 1</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0.483831</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25.13019</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33.87687</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0.3763</w:t>
            </w:r>
          </w:p>
        </w:tc>
      </w:tr>
      <w:tr w:rsidR="009D4065" w:rsidRPr="00EA38D2" w:rsidTr="00EA38D2">
        <w:trPr>
          <w:gridAfter w:val="1"/>
          <w:wAfter w:w="44" w:type="dxa"/>
          <w:trHeight w:val="225"/>
          <w:jc w:val="center"/>
        </w:trPr>
        <w:tc>
          <w:tcPr>
            <w:tcW w:w="1624" w:type="dxa"/>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At most 2</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0.344027</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16.02213</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27.58434</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0.6639</w:t>
            </w:r>
          </w:p>
        </w:tc>
      </w:tr>
      <w:tr w:rsidR="009D4065" w:rsidRPr="00EA38D2" w:rsidTr="00EA38D2">
        <w:trPr>
          <w:gridAfter w:val="1"/>
          <w:wAfter w:w="44" w:type="dxa"/>
          <w:trHeight w:val="225"/>
          <w:jc w:val="center"/>
        </w:trPr>
        <w:tc>
          <w:tcPr>
            <w:tcW w:w="1624" w:type="dxa"/>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At most 3</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0.317723</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14.52812</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21.13162</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0.3233</w:t>
            </w:r>
          </w:p>
        </w:tc>
      </w:tr>
      <w:tr w:rsidR="009D4065" w:rsidRPr="00EA38D2" w:rsidTr="00EA38D2">
        <w:trPr>
          <w:gridAfter w:val="1"/>
          <w:wAfter w:w="44" w:type="dxa"/>
          <w:trHeight w:val="225"/>
          <w:jc w:val="center"/>
        </w:trPr>
        <w:tc>
          <w:tcPr>
            <w:tcW w:w="1624" w:type="dxa"/>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At most 4</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0.209772</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8.946504</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14.26460</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0.2906</w:t>
            </w:r>
          </w:p>
        </w:tc>
      </w:tr>
      <w:tr w:rsidR="009D4065" w:rsidRPr="00EA38D2" w:rsidTr="00EA38D2">
        <w:trPr>
          <w:gridAfter w:val="1"/>
          <w:wAfter w:w="44" w:type="dxa"/>
          <w:trHeight w:val="225"/>
          <w:jc w:val="center"/>
        </w:trPr>
        <w:tc>
          <w:tcPr>
            <w:tcW w:w="1624" w:type="dxa"/>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At most 5</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0.002111</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0.080295</w:t>
            </w:r>
          </w:p>
        </w:tc>
        <w:tc>
          <w:tcPr>
            <w:tcW w:w="1418"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3.841466</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ind w:firstLine="0"/>
              <w:jc w:val="center"/>
              <w:rPr>
                <w:szCs w:val="24"/>
              </w:rPr>
            </w:pPr>
            <w:r w:rsidRPr="00EA38D2">
              <w:rPr>
                <w:szCs w:val="24"/>
              </w:rPr>
              <w:t> 0.7769</w:t>
            </w:r>
          </w:p>
        </w:tc>
      </w:tr>
      <w:tr w:rsidR="00132C8D" w:rsidRPr="00EA38D2" w:rsidTr="00EA38D2">
        <w:trPr>
          <w:gridAfter w:val="1"/>
          <w:wAfter w:w="44" w:type="dxa"/>
          <w:trHeight w:val="225"/>
          <w:jc w:val="center"/>
        </w:trPr>
        <w:tc>
          <w:tcPr>
            <w:tcW w:w="7294" w:type="dxa"/>
            <w:gridSpan w:val="9"/>
            <w:shd w:val="clear" w:color="auto" w:fill="auto"/>
          </w:tcPr>
          <w:p w:rsidR="00132C8D" w:rsidRPr="00EA38D2" w:rsidRDefault="00132C8D" w:rsidP="00EA38D2">
            <w:pPr>
              <w:autoSpaceDE w:val="0"/>
              <w:autoSpaceDN w:val="0"/>
              <w:adjustRightInd w:val="0"/>
              <w:spacing w:before="0" w:beforeAutospacing="0" w:after="0" w:afterAutospacing="0"/>
              <w:rPr>
                <w:szCs w:val="24"/>
              </w:rPr>
            </w:pPr>
            <w:r w:rsidRPr="00EA38D2">
              <w:rPr>
                <w:szCs w:val="24"/>
              </w:rPr>
              <w:t> Max-eigenvalue test indicates 1 cointegrating eqn(s) at the 0.05 level</w:t>
            </w:r>
          </w:p>
        </w:tc>
      </w:tr>
      <w:tr w:rsidR="00132C8D" w:rsidRPr="00EA38D2" w:rsidTr="00EA38D2">
        <w:trPr>
          <w:gridAfter w:val="1"/>
          <w:wAfter w:w="44" w:type="dxa"/>
          <w:trHeight w:val="225"/>
          <w:jc w:val="center"/>
        </w:trPr>
        <w:tc>
          <w:tcPr>
            <w:tcW w:w="7294" w:type="dxa"/>
            <w:gridSpan w:val="9"/>
            <w:shd w:val="clear" w:color="auto" w:fill="auto"/>
          </w:tcPr>
          <w:p w:rsidR="00132C8D" w:rsidRPr="00EA38D2" w:rsidRDefault="00132C8D" w:rsidP="00EA38D2">
            <w:pPr>
              <w:autoSpaceDE w:val="0"/>
              <w:autoSpaceDN w:val="0"/>
              <w:adjustRightInd w:val="0"/>
              <w:spacing w:before="0" w:beforeAutospacing="0" w:after="0" w:afterAutospacing="0"/>
              <w:rPr>
                <w:szCs w:val="24"/>
              </w:rPr>
            </w:pPr>
            <w:r w:rsidRPr="00EA38D2">
              <w:rPr>
                <w:szCs w:val="24"/>
              </w:rPr>
              <w:t> * denotes rejection of the hypothesis at the 0.05 level</w:t>
            </w:r>
          </w:p>
        </w:tc>
      </w:tr>
      <w:tr w:rsidR="00132C8D" w:rsidRPr="00EA38D2" w:rsidTr="00EA38D2">
        <w:trPr>
          <w:gridAfter w:val="1"/>
          <w:wAfter w:w="44" w:type="dxa"/>
          <w:trHeight w:val="225"/>
          <w:jc w:val="center"/>
        </w:trPr>
        <w:tc>
          <w:tcPr>
            <w:tcW w:w="5877" w:type="dxa"/>
            <w:gridSpan w:val="7"/>
            <w:shd w:val="clear" w:color="auto" w:fill="auto"/>
          </w:tcPr>
          <w:p w:rsidR="00132C8D" w:rsidRPr="00EA38D2" w:rsidRDefault="00132C8D" w:rsidP="00EA38D2">
            <w:pPr>
              <w:autoSpaceDE w:val="0"/>
              <w:autoSpaceDN w:val="0"/>
              <w:adjustRightInd w:val="0"/>
              <w:spacing w:before="0" w:beforeAutospacing="0" w:after="0" w:afterAutospacing="0"/>
              <w:rPr>
                <w:szCs w:val="24"/>
                <w:lang w:val="fr-FR"/>
              </w:rPr>
            </w:pPr>
            <w:r w:rsidRPr="00EA38D2">
              <w:rPr>
                <w:szCs w:val="24"/>
              </w:rPr>
              <w:t> </w:t>
            </w:r>
            <w:r w:rsidRPr="00EA38D2">
              <w:rPr>
                <w:szCs w:val="24"/>
                <w:lang w:val="fr-FR"/>
              </w:rPr>
              <w:t>**MacKinnon-Haug-Michelis (1999) p-values</w:t>
            </w:r>
          </w:p>
        </w:tc>
        <w:tc>
          <w:tcPr>
            <w:tcW w:w="1417" w:type="dxa"/>
            <w:gridSpan w:val="2"/>
            <w:shd w:val="clear" w:color="auto" w:fill="auto"/>
          </w:tcPr>
          <w:p w:rsidR="00132C8D" w:rsidRPr="00EA38D2" w:rsidRDefault="00132C8D" w:rsidP="00EA38D2">
            <w:pPr>
              <w:autoSpaceDE w:val="0"/>
              <w:autoSpaceDN w:val="0"/>
              <w:adjustRightInd w:val="0"/>
              <w:spacing w:before="0" w:beforeAutospacing="0" w:after="0" w:afterAutospacing="0"/>
              <w:jc w:val="center"/>
              <w:rPr>
                <w:szCs w:val="24"/>
                <w:lang w:val="fr-FR"/>
              </w:rPr>
            </w:pPr>
          </w:p>
        </w:tc>
      </w:tr>
    </w:tbl>
    <w:p w:rsidR="00132C8D" w:rsidRPr="004634FC" w:rsidRDefault="00132C8D" w:rsidP="00446CAB">
      <w:pPr>
        <w:spacing w:before="0" w:beforeAutospacing="0" w:line="360" w:lineRule="auto"/>
        <w:ind w:firstLine="993"/>
        <w:jc w:val="center"/>
        <w:rPr>
          <w:szCs w:val="24"/>
        </w:rPr>
      </w:pPr>
      <w:r w:rsidRPr="004634FC">
        <w:rPr>
          <w:szCs w:val="24"/>
        </w:rPr>
        <w:t>Source: Own calculations</w:t>
      </w:r>
    </w:p>
    <w:p w:rsidR="001C5916" w:rsidRPr="004634FC" w:rsidRDefault="00770FF8" w:rsidP="004634FC">
      <w:pPr>
        <w:spacing w:line="276" w:lineRule="auto"/>
        <w:ind w:firstLine="0"/>
        <w:rPr>
          <w:szCs w:val="24"/>
        </w:rPr>
      </w:pPr>
      <w:r w:rsidRPr="004634FC">
        <w:rPr>
          <w:szCs w:val="24"/>
        </w:rPr>
        <w:t xml:space="preserve">The estimated </w:t>
      </w:r>
      <w:r w:rsidR="0071062D" w:rsidRPr="004634FC">
        <w:rPr>
          <w:szCs w:val="24"/>
        </w:rPr>
        <w:t>coefficients of the long run relationship</w:t>
      </w:r>
      <w:r w:rsidR="00133C0E" w:rsidRPr="004634FC">
        <w:rPr>
          <w:szCs w:val="24"/>
        </w:rPr>
        <w:t xml:space="preserve"> and the short-</w:t>
      </w:r>
      <w:r w:rsidR="00873F51" w:rsidRPr="004634FC">
        <w:rPr>
          <w:szCs w:val="24"/>
        </w:rPr>
        <w:t>run dynamic</w:t>
      </w:r>
      <w:r w:rsidR="0071062D" w:rsidRPr="004634FC">
        <w:rPr>
          <w:szCs w:val="24"/>
        </w:rPr>
        <w:t xml:space="preserve"> of the satellite equation </w:t>
      </w:r>
      <w:r w:rsidR="00873F51" w:rsidRPr="004634FC">
        <w:rPr>
          <w:szCs w:val="24"/>
        </w:rPr>
        <w:t>are presented</w:t>
      </w:r>
      <w:r w:rsidR="0071062D" w:rsidRPr="004634FC">
        <w:rPr>
          <w:szCs w:val="24"/>
        </w:rPr>
        <w:t xml:space="preserve"> below</w:t>
      </w:r>
      <w:r w:rsidR="00A82076" w:rsidRPr="004634FC">
        <w:rPr>
          <w:szCs w:val="24"/>
        </w:rPr>
        <w:t xml:space="preserve">. </w:t>
      </w:r>
      <w:r w:rsidR="00FD26E8" w:rsidRPr="004634FC">
        <w:rPr>
          <w:szCs w:val="24"/>
        </w:rPr>
        <w:t>Details are presented in appendix</w:t>
      </w:r>
      <w:r w:rsidR="00676DD1" w:rsidRPr="004634FC">
        <w:rPr>
          <w:szCs w:val="24"/>
        </w:rPr>
        <w:t xml:space="preserve"> 2</w:t>
      </w:r>
      <w:r w:rsidR="00FD26E8" w:rsidRPr="004634FC">
        <w:rPr>
          <w:szCs w:val="24"/>
        </w:rPr>
        <w:t>.</w:t>
      </w:r>
      <w:r w:rsidR="00990688" w:rsidRPr="004634FC">
        <w:rPr>
          <w:szCs w:val="24"/>
        </w:rPr>
        <w:t xml:space="preserve"> </w:t>
      </w:r>
      <w:r w:rsidR="00873F51" w:rsidRPr="004634FC">
        <w:rPr>
          <w:szCs w:val="24"/>
        </w:rPr>
        <w:t xml:space="preserve">The </w:t>
      </w:r>
      <w:r w:rsidR="009D44DF" w:rsidRPr="004634FC">
        <w:rPr>
          <w:szCs w:val="24"/>
        </w:rPr>
        <w:t>cointegrating equation</w:t>
      </w:r>
      <w:r w:rsidR="00AB1117" w:rsidRPr="004634FC">
        <w:rPr>
          <w:szCs w:val="24"/>
        </w:rPr>
        <w:t xml:space="preserve"> </w:t>
      </w:r>
      <w:r w:rsidR="009D44DF" w:rsidRPr="004634FC">
        <w:rPr>
          <w:szCs w:val="24"/>
        </w:rPr>
        <w:t xml:space="preserve"> </w:t>
      </w:r>
      <m:oMath>
        <m:sSub>
          <m:sSubPr>
            <m:ctrlPr>
              <w:rPr>
                <w:rFonts w:ascii="Cambria Math" w:hAnsi="Cambria Math"/>
                <w:i/>
                <w:szCs w:val="24"/>
              </w:rPr>
            </m:ctrlPr>
          </m:sSubPr>
          <m:e>
            <m:r>
              <w:rPr>
                <w:rFonts w:ascii="Cambria Math" w:hAnsi="Cambria Math"/>
                <w:szCs w:val="24"/>
              </w:rPr>
              <m:t>ect</m:t>
            </m:r>
          </m:e>
          <m:sub>
            <m:r>
              <w:rPr>
                <w:rFonts w:ascii="Cambria Math" w:hAnsi="Cambria Math"/>
                <w:szCs w:val="24"/>
              </w:rPr>
              <m:t>t-1</m:t>
            </m:r>
          </m:sub>
        </m:sSub>
      </m:oMath>
      <w:r w:rsidR="009D44DF" w:rsidRPr="004634FC">
        <w:rPr>
          <w:szCs w:val="24"/>
        </w:rPr>
        <w:t xml:space="preserve"> or the long run model</w:t>
      </w:r>
      <w:r w:rsidR="00861BF7" w:rsidRPr="004634FC">
        <w:rPr>
          <w:szCs w:val="24"/>
        </w:rPr>
        <w:t xml:space="preserve"> result</w:t>
      </w:r>
      <w:r w:rsidR="00873F51" w:rsidRPr="004634FC">
        <w:rPr>
          <w:szCs w:val="24"/>
        </w:rPr>
        <w:t xml:space="preserve"> take</w:t>
      </w:r>
      <w:r w:rsidR="00861BF7" w:rsidRPr="004634FC">
        <w:rPr>
          <w:szCs w:val="24"/>
        </w:rPr>
        <w:t>s</w:t>
      </w:r>
      <w:r w:rsidR="00873F51" w:rsidRPr="004634FC">
        <w:rPr>
          <w:szCs w:val="24"/>
        </w:rPr>
        <w:t xml:space="preserve"> </w:t>
      </w:r>
      <w:r w:rsidR="00F3349F" w:rsidRPr="004634FC">
        <w:rPr>
          <w:szCs w:val="24"/>
        </w:rPr>
        <w:t>the following forms</w:t>
      </w:r>
      <w:r w:rsidR="00873F51" w:rsidRPr="004634FC">
        <w:rPr>
          <w:szCs w:val="24"/>
        </w:rPr>
        <w:t>:</w:t>
      </w:r>
    </w:p>
    <w:p w:rsidR="001A6566" w:rsidRPr="009D4065" w:rsidRDefault="009D4065" w:rsidP="00EF4F4C">
      <w:pPr>
        <w:spacing w:before="0" w:beforeAutospacing="0" w:after="0" w:afterAutospacing="0" w:line="360" w:lineRule="auto"/>
        <w:rPr>
          <w:szCs w:val="24"/>
        </w:rPr>
      </w:pPr>
      <m:oMathPara>
        <m:oMath>
          <m:sSub>
            <m:sSubPr>
              <m:ctrlPr>
                <w:rPr>
                  <w:rFonts w:ascii="Cambria Math" w:hAnsi="Cambria Math"/>
                  <w:i/>
                  <w:szCs w:val="24"/>
                </w:rPr>
              </m:ctrlPr>
            </m:sSubPr>
            <m:e>
              <m:r>
                <w:rPr>
                  <w:rFonts w:ascii="Cambria Math" w:hAnsi="Cambria Math"/>
                  <w:szCs w:val="24"/>
                </w:rPr>
                <m:t>ect</m:t>
              </m:r>
            </m:e>
            <m:sub>
              <m:r>
                <w:rPr>
                  <w:rFonts w:ascii="Cambria Math" w:hAnsi="Cambria Math"/>
                  <w:szCs w:val="24"/>
                </w:rPr>
                <m:t>t-1</m:t>
              </m:r>
            </m:sub>
          </m:sSub>
          <m:r>
            <w:rPr>
              <w:rFonts w:ascii="Cambria Math" w:hAnsi="Cambria Math"/>
              <w:szCs w:val="24"/>
            </w:rPr>
            <m:t xml:space="preserve">=1,00 </m:t>
          </m:r>
          <m:sSub>
            <m:sSubPr>
              <m:ctrlPr>
                <w:rPr>
                  <w:rFonts w:ascii="Cambria Math" w:hAnsi="Cambria Math"/>
                  <w:i/>
                  <w:szCs w:val="24"/>
                </w:rPr>
              </m:ctrlPr>
            </m:sSubPr>
            <m:e>
              <m:r>
                <w:rPr>
                  <w:rFonts w:ascii="Cambria Math" w:hAnsi="Cambria Math"/>
                  <w:szCs w:val="24"/>
                </w:rPr>
                <m:t>npl</m:t>
              </m:r>
            </m:e>
            <m:sub>
              <m:r>
                <w:rPr>
                  <w:rFonts w:ascii="Cambria Math" w:hAnsi="Cambria Math"/>
                  <w:szCs w:val="24"/>
                </w:rPr>
                <m:t>t-1</m:t>
              </m:r>
            </m:sub>
          </m:sSub>
          <m:r>
            <w:rPr>
              <w:rFonts w:ascii="Cambria Math" w:hAnsi="Cambria Math"/>
              <w:szCs w:val="24"/>
            </w:rPr>
            <m:t xml:space="preserve">-3,00 </m:t>
          </m:r>
          <m:sSub>
            <m:sSubPr>
              <m:ctrlPr>
                <w:rPr>
                  <w:rFonts w:ascii="Cambria Math" w:hAnsi="Cambria Math"/>
                  <w:i/>
                  <w:szCs w:val="24"/>
                </w:rPr>
              </m:ctrlPr>
            </m:sSubPr>
            <m:e>
              <m:r>
                <w:rPr>
                  <w:rFonts w:ascii="Cambria Math" w:hAnsi="Cambria Math"/>
                  <w:szCs w:val="24"/>
                </w:rPr>
                <m:t>GDP</m:t>
              </m:r>
            </m:e>
            <m:sub>
              <m:r>
                <w:rPr>
                  <w:rFonts w:ascii="Cambria Math" w:hAnsi="Cambria Math"/>
                  <w:szCs w:val="24"/>
                </w:rPr>
                <m:t>t-1</m:t>
              </m:r>
            </m:sub>
          </m:sSub>
          <m:r>
            <w:rPr>
              <w:rFonts w:ascii="Cambria Math" w:hAnsi="Cambria Math"/>
              <w:szCs w:val="24"/>
            </w:rPr>
            <m:t xml:space="preserve">+0,77 </m:t>
          </m:r>
          <m:sSub>
            <m:sSubPr>
              <m:ctrlPr>
                <w:rPr>
                  <w:rFonts w:ascii="Cambria Math" w:hAnsi="Cambria Math"/>
                  <w:i/>
                  <w:szCs w:val="24"/>
                </w:rPr>
              </m:ctrlPr>
            </m:sSubPr>
            <m:e>
              <m:r>
                <w:rPr>
                  <w:rFonts w:ascii="Cambria Math" w:hAnsi="Cambria Math"/>
                  <w:szCs w:val="24"/>
                </w:rPr>
                <m:t>CPI</m:t>
              </m:r>
            </m:e>
            <m:sub>
              <m:r>
                <w:rPr>
                  <w:rFonts w:ascii="Cambria Math" w:hAnsi="Cambria Math"/>
                  <w:szCs w:val="24"/>
                </w:rPr>
                <m:t>t-1</m:t>
              </m:r>
            </m:sub>
          </m:sSub>
          <m:r>
            <w:rPr>
              <w:rFonts w:ascii="Cambria Math" w:hAnsi="Cambria Math"/>
              <w:szCs w:val="24"/>
            </w:rPr>
            <m:t>+1,22</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t-1</m:t>
              </m:r>
            </m:sub>
          </m:sSub>
          <m:r>
            <w:rPr>
              <w:rFonts w:ascii="Cambria Math" w:hAnsi="Cambria Math"/>
              <w:szCs w:val="24"/>
            </w:rPr>
            <m:t>-0,83</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t-1</m:t>
              </m:r>
            </m:sub>
          </m:sSub>
          <m:r>
            <w:rPr>
              <w:rFonts w:ascii="Cambria Math" w:hAnsi="Cambria Math"/>
              <w:szCs w:val="24"/>
            </w:rPr>
            <m:t>-3,95</m:t>
          </m:r>
          <m:sSub>
            <m:sSubPr>
              <m:ctrlPr>
                <w:rPr>
                  <w:rFonts w:ascii="Cambria Math" w:hAnsi="Cambria Math"/>
                  <w:i/>
                  <w:szCs w:val="24"/>
                </w:rPr>
              </m:ctrlPr>
            </m:sSubPr>
            <m:e>
              <m:r>
                <w:rPr>
                  <w:rFonts w:ascii="Cambria Math" w:hAnsi="Cambria Math"/>
                  <w:szCs w:val="24"/>
                </w:rPr>
                <m:t>LR</m:t>
              </m:r>
            </m:e>
            <m:sub>
              <m:r>
                <w:rPr>
                  <w:rFonts w:ascii="Cambria Math" w:hAnsi="Cambria Math"/>
                  <w:szCs w:val="24"/>
                </w:rPr>
                <m:t>t-1</m:t>
              </m:r>
            </m:sub>
          </m:sSub>
          <m:r>
            <w:rPr>
              <w:rFonts w:ascii="Cambria Math" w:hAnsi="Cambria Math"/>
              <w:szCs w:val="24"/>
            </w:rPr>
            <m:t>-7.24</m:t>
          </m:r>
        </m:oMath>
      </m:oMathPara>
    </w:p>
    <w:p w:rsidR="001A6566" w:rsidRPr="004634FC" w:rsidRDefault="00F3349F" w:rsidP="00EF4F4C">
      <w:pPr>
        <w:spacing w:before="0" w:beforeAutospacing="0" w:after="0" w:afterAutospacing="0" w:line="360" w:lineRule="auto"/>
        <w:rPr>
          <w:szCs w:val="24"/>
        </w:rPr>
      </w:pPr>
      <w:r w:rsidRPr="004634FC">
        <w:rPr>
          <w:szCs w:val="24"/>
        </w:rPr>
        <w:tab/>
        <w:t xml:space="preserve">     </w:t>
      </w:r>
      <w:r w:rsidR="005D57A3" w:rsidRPr="004634FC">
        <w:rPr>
          <w:szCs w:val="24"/>
        </w:rPr>
        <w:t xml:space="preserve">  </w:t>
      </w:r>
      <w:r w:rsidRPr="004634FC">
        <w:rPr>
          <w:szCs w:val="24"/>
        </w:rPr>
        <w:t xml:space="preserve">         [-11.82]</w:t>
      </w:r>
      <w:r w:rsidR="00D55C67" w:rsidRPr="004634FC">
        <w:rPr>
          <w:szCs w:val="24"/>
        </w:rPr>
        <w:t xml:space="preserve">      </w:t>
      </w:r>
      <w:r w:rsidRPr="004634FC">
        <w:rPr>
          <w:szCs w:val="24"/>
        </w:rPr>
        <w:t xml:space="preserve">    [8.28]            </w:t>
      </w:r>
      <w:r w:rsidR="00AB1117" w:rsidRPr="004634FC">
        <w:rPr>
          <w:szCs w:val="24"/>
        </w:rPr>
        <w:t xml:space="preserve"> </w:t>
      </w:r>
      <w:r w:rsidRPr="004634FC">
        <w:rPr>
          <w:szCs w:val="24"/>
        </w:rPr>
        <w:t xml:space="preserve"> [9.71]     </w:t>
      </w:r>
      <w:r w:rsidR="00AB1117" w:rsidRPr="004634FC">
        <w:rPr>
          <w:szCs w:val="24"/>
        </w:rPr>
        <w:t xml:space="preserve">   </w:t>
      </w:r>
      <w:r w:rsidRPr="004634FC">
        <w:rPr>
          <w:szCs w:val="24"/>
        </w:rPr>
        <w:t xml:space="preserve"> [-0.39]         [-1.73]         </w:t>
      </w:r>
    </w:p>
    <w:p w:rsidR="00063EB4" w:rsidRPr="004634FC" w:rsidRDefault="00063EB4" w:rsidP="004634FC">
      <w:pPr>
        <w:spacing w:line="276" w:lineRule="auto"/>
        <w:ind w:firstLine="0"/>
        <w:rPr>
          <w:szCs w:val="24"/>
        </w:rPr>
      </w:pPr>
      <w:r w:rsidRPr="00EA38D2">
        <w:rPr>
          <w:rFonts w:eastAsia="Times New Roman"/>
          <w:szCs w:val="24"/>
        </w:rPr>
        <w:lastRenderedPageBreak/>
        <w:t>The endogenous variable is the aggregate non-performing loan. All variables are given in logarithms as given in the GVAR model. In the long run relation, all coefficients except short-term interest rate are significant at the 5% level.</w:t>
      </w:r>
    </w:p>
    <w:p w:rsidR="00893D0B" w:rsidRPr="004634FC" w:rsidRDefault="00E37C98" w:rsidP="00EF4F4C">
      <w:pPr>
        <w:spacing w:line="360" w:lineRule="auto"/>
        <w:rPr>
          <w:szCs w:val="24"/>
        </w:rPr>
      </w:pPr>
      <w:r w:rsidRPr="004634FC">
        <w:rPr>
          <w:szCs w:val="24"/>
        </w:rPr>
        <w:t>The re</w:t>
      </w:r>
      <w:r w:rsidR="00861BF7" w:rsidRPr="004634FC">
        <w:rPr>
          <w:szCs w:val="24"/>
        </w:rPr>
        <w:t>sult of the dynamic short run</w:t>
      </w:r>
      <w:r w:rsidRPr="004634FC">
        <w:rPr>
          <w:szCs w:val="24"/>
        </w:rPr>
        <w:t xml:space="preserve"> is summarized</w:t>
      </w:r>
      <w:r w:rsidR="00F913A1" w:rsidRPr="004634FC">
        <w:rPr>
          <w:szCs w:val="24"/>
        </w:rPr>
        <w:t xml:space="preserve"> in</w:t>
      </w:r>
      <w:r w:rsidR="00283D7F" w:rsidRPr="004634FC">
        <w:rPr>
          <w:szCs w:val="24"/>
        </w:rPr>
        <w:t xml:space="preserve"> the</w:t>
      </w:r>
      <w:r w:rsidR="00F913A1" w:rsidRPr="004634FC">
        <w:rPr>
          <w:szCs w:val="24"/>
        </w:rPr>
        <w:t xml:space="preserve"> table</w:t>
      </w:r>
      <w:r w:rsidR="00990688" w:rsidRPr="004634FC">
        <w:rPr>
          <w:szCs w:val="24"/>
        </w:rPr>
        <w:t xml:space="preserve"> below:</w:t>
      </w:r>
    </w:p>
    <w:p w:rsidR="00E37C98" w:rsidRPr="004634FC" w:rsidRDefault="00873F51" w:rsidP="004808C5">
      <w:pPr>
        <w:pStyle w:val="Caption"/>
        <w:spacing w:after="0" w:afterAutospacing="0" w:line="360" w:lineRule="auto"/>
        <w:ind w:firstLine="0"/>
        <w:jc w:val="center"/>
        <w:rPr>
          <w:b w:val="0"/>
          <w:bCs w:val="0"/>
          <w:color w:val="auto"/>
          <w:sz w:val="24"/>
          <w:szCs w:val="24"/>
        </w:rPr>
      </w:pPr>
      <w:r w:rsidRPr="004634FC">
        <w:rPr>
          <w:b w:val="0"/>
          <w:bCs w:val="0"/>
          <w:color w:val="auto"/>
          <w:sz w:val="24"/>
          <w:szCs w:val="24"/>
        </w:rPr>
        <w:t xml:space="preserve">Table </w:t>
      </w:r>
      <w:r w:rsidRPr="004634FC">
        <w:rPr>
          <w:b w:val="0"/>
          <w:bCs w:val="0"/>
          <w:color w:val="auto"/>
          <w:sz w:val="24"/>
          <w:szCs w:val="24"/>
        </w:rPr>
        <w:fldChar w:fldCharType="begin"/>
      </w:r>
      <w:r w:rsidRPr="004634FC">
        <w:rPr>
          <w:b w:val="0"/>
          <w:bCs w:val="0"/>
          <w:color w:val="auto"/>
          <w:sz w:val="24"/>
          <w:szCs w:val="24"/>
        </w:rPr>
        <w:instrText xml:space="preserve"> SEQ Table \* ARABIC </w:instrText>
      </w:r>
      <w:r w:rsidRPr="004634FC">
        <w:rPr>
          <w:b w:val="0"/>
          <w:bCs w:val="0"/>
          <w:color w:val="auto"/>
          <w:sz w:val="24"/>
          <w:szCs w:val="24"/>
        </w:rPr>
        <w:fldChar w:fldCharType="separate"/>
      </w:r>
      <w:r w:rsidR="00334DD9">
        <w:rPr>
          <w:b w:val="0"/>
          <w:bCs w:val="0"/>
          <w:noProof/>
          <w:color w:val="auto"/>
          <w:sz w:val="24"/>
          <w:szCs w:val="24"/>
        </w:rPr>
        <w:t>5</w:t>
      </w:r>
      <w:r w:rsidRPr="004634FC">
        <w:rPr>
          <w:b w:val="0"/>
          <w:bCs w:val="0"/>
          <w:color w:val="auto"/>
          <w:sz w:val="24"/>
          <w:szCs w:val="24"/>
        </w:rPr>
        <w:fldChar w:fldCharType="end"/>
      </w:r>
      <w:r w:rsidRPr="004634FC">
        <w:rPr>
          <w:b w:val="0"/>
          <w:bCs w:val="0"/>
          <w:color w:val="auto"/>
          <w:sz w:val="24"/>
          <w:szCs w:val="24"/>
        </w:rPr>
        <w:t>: Short run dynamics of satellite model</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053"/>
        <w:gridCol w:w="1022"/>
        <w:gridCol w:w="1084"/>
        <w:gridCol w:w="1012"/>
        <w:gridCol w:w="991"/>
        <w:gridCol w:w="1049"/>
        <w:gridCol w:w="987"/>
      </w:tblGrid>
      <w:tr w:rsidR="009D4065" w:rsidRPr="00EA38D2" w:rsidTr="00EA38D2">
        <w:trPr>
          <w:jc w:val="center"/>
        </w:trPr>
        <w:tc>
          <w:tcPr>
            <w:tcW w:w="1242" w:type="dxa"/>
            <w:shd w:val="clear" w:color="auto" w:fill="auto"/>
            <w:vAlign w:val="center"/>
          </w:tcPr>
          <w:p w:rsidR="00893D0B" w:rsidRPr="00EA38D2" w:rsidRDefault="00893D0B" w:rsidP="004808C5">
            <w:pPr>
              <w:rPr>
                <w:i/>
                <w:szCs w:val="24"/>
              </w:rPr>
            </w:pPr>
          </w:p>
        </w:tc>
        <w:tc>
          <w:tcPr>
            <w:tcW w:w="1053" w:type="dxa"/>
            <w:shd w:val="clear" w:color="auto" w:fill="auto"/>
            <w:vAlign w:val="center"/>
          </w:tcPr>
          <w:p w:rsidR="00893D0B" w:rsidRPr="00EA38D2" w:rsidRDefault="00893D0B" w:rsidP="00EA38D2">
            <w:pPr>
              <w:ind w:firstLine="2"/>
              <w:rPr>
                <w:i/>
                <w:szCs w:val="24"/>
              </w:rPr>
            </w:pPr>
            <w:r w:rsidRPr="00EA38D2">
              <w:rPr>
                <w:i/>
                <w:szCs w:val="24"/>
              </w:rPr>
              <w:t>CE</w:t>
            </w:r>
          </w:p>
        </w:tc>
        <w:tc>
          <w:tcPr>
            <w:tcW w:w="1022" w:type="dxa"/>
            <w:shd w:val="clear" w:color="auto" w:fill="auto"/>
            <w:vAlign w:val="center"/>
          </w:tcPr>
          <w:p w:rsidR="00893D0B" w:rsidRPr="00EA38D2" w:rsidRDefault="00893D0B" w:rsidP="00EA38D2">
            <w:pPr>
              <w:ind w:firstLine="2"/>
              <w:rPr>
                <w:i/>
                <w:szCs w:val="24"/>
              </w:rPr>
            </w:pPr>
            <w:r w:rsidRPr="00EA38D2">
              <w:rPr>
                <w:i/>
                <w:szCs w:val="24"/>
              </w:rPr>
              <w:t>Const</w:t>
            </w:r>
          </w:p>
        </w:tc>
        <w:tc>
          <w:tcPr>
            <w:tcW w:w="1084" w:type="dxa"/>
            <w:shd w:val="clear" w:color="auto" w:fill="auto"/>
            <w:vAlign w:val="center"/>
          </w:tcPr>
          <w:p w:rsidR="00893D0B" w:rsidRPr="009D4065" w:rsidRDefault="009D4065" w:rsidP="004808C5">
            <w:pPr>
              <w:ind w:firstLine="2"/>
              <w:rPr>
                <w:i/>
                <w:szCs w:val="24"/>
              </w:rPr>
            </w:pPr>
            <m:oMathPara>
              <m:oMath>
                <m:sSub>
                  <m:sSubPr>
                    <m:ctrlPr>
                      <w:rPr>
                        <w:rFonts w:ascii="Cambria Math" w:hAnsi="Cambria Math"/>
                        <w:i/>
                        <w:szCs w:val="24"/>
                      </w:rPr>
                    </m:ctrlPr>
                  </m:sSubPr>
                  <m:e>
                    <m:r>
                      <w:rPr>
                        <w:rFonts w:ascii="Cambria Math" w:hAnsi="Cambria Math"/>
                        <w:szCs w:val="24"/>
                      </w:rPr>
                      <m:t>ΔGDP</m:t>
                    </m:r>
                  </m:e>
                  <m:sub>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sub>
                </m:sSub>
              </m:oMath>
            </m:oMathPara>
          </w:p>
        </w:tc>
        <w:tc>
          <w:tcPr>
            <w:tcW w:w="1012" w:type="dxa"/>
            <w:shd w:val="clear" w:color="auto" w:fill="auto"/>
            <w:vAlign w:val="center"/>
          </w:tcPr>
          <w:p w:rsidR="00893D0B" w:rsidRPr="009D4065" w:rsidRDefault="009D4065" w:rsidP="004808C5">
            <w:pPr>
              <w:ind w:firstLine="2"/>
              <w:rPr>
                <w:i/>
                <w:szCs w:val="24"/>
              </w:rPr>
            </w:pPr>
            <m:oMathPara>
              <m:oMath>
                <m:sSub>
                  <m:sSubPr>
                    <m:ctrlPr>
                      <w:rPr>
                        <w:rFonts w:ascii="Cambria Math" w:hAnsi="Cambria Math"/>
                        <w:i/>
                        <w:szCs w:val="24"/>
                      </w:rPr>
                    </m:ctrlPr>
                  </m:sSubPr>
                  <m:e>
                    <m:r>
                      <w:rPr>
                        <w:rFonts w:ascii="Cambria Math" w:hAnsi="Cambria Math"/>
                        <w:szCs w:val="24"/>
                      </w:rPr>
                      <m:t>ΔIPC</m:t>
                    </m:r>
                  </m:e>
                  <m:sub>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sub>
                </m:sSub>
              </m:oMath>
            </m:oMathPara>
          </w:p>
        </w:tc>
        <w:tc>
          <w:tcPr>
            <w:tcW w:w="991" w:type="dxa"/>
            <w:shd w:val="clear" w:color="auto" w:fill="auto"/>
            <w:vAlign w:val="center"/>
          </w:tcPr>
          <w:p w:rsidR="00893D0B" w:rsidRPr="009D4065" w:rsidRDefault="009D4065" w:rsidP="004808C5">
            <w:pPr>
              <w:ind w:firstLine="2"/>
              <w:rPr>
                <w:i/>
                <w:szCs w:val="24"/>
              </w:rPr>
            </w:pPr>
            <m:oMathPara>
              <m:oMath>
                <m:sSub>
                  <m:sSubPr>
                    <m:ctrlPr>
                      <w:rPr>
                        <w:rFonts w:ascii="Cambria Math" w:hAnsi="Cambria Math"/>
                        <w:i/>
                        <w:szCs w:val="24"/>
                      </w:rPr>
                    </m:ctrlPr>
                  </m:sSubPr>
                  <m:e>
                    <m:r>
                      <w:rPr>
                        <w:rFonts w:ascii="Cambria Math" w:hAnsi="Cambria Math"/>
                        <w:szCs w:val="24"/>
                      </w:rPr>
                      <m:t>ΔE</m:t>
                    </m:r>
                  </m:e>
                  <m:sub>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sub>
                </m:sSub>
              </m:oMath>
            </m:oMathPara>
          </w:p>
        </w:tc>
        <w:tc>
          <w:tcPr>
            <w:tcW w:w="1049" w:type="dxa"/>
            <w:shd w:val="clear" w:color="auto" w:fill="auto"/>
            <w:vAlign w:val="center"/>
          </w:tcPr>
          <w:p w:rsidR="00893D0B" w:rsidRPr="009D4065" w:rsidRDefault="009D4065" w:rsidP="004808C5">
            <w:pPr>
              <w:ind w:firstLine="2"/>
              <w:rPr>
                <w:i/>
                <w:szCs w:val="24"/>
              </w:rPr>
            </w:pPr>
            <m:oMathPara>
              <m:oMath>
                <m:sSub>
                  <m:sSubPr>
                    <m:ctrlPr>
                      <w:rPr>
                        <w:rFonts w:ascii="Cambria Math" w:hAnsi="Cambria Math"/>
                        <w:i/>
                        <w:szCs w:val="24"/>
                      </w:rPr>
                    </m:ctrlPr>
                  </m:sSubPr>
                  <m:e>
                    <m:r>
                      <w:rPr>
                        <w:rFonts w:ascii="Cambria Math" w:hAnsi="Cambria Math"/>
                        <w:szCs w:val="24"/>
                      </w:rPr>
                      <m:t>ΔR</m:t>
                    </m:r>
                  </m:e>
                  <m:sub>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sub>
                </m:sSub>
              </m:oMath>
            </m:oMathPara>
          </w:p>
        </w:tc>
        <w:tc>
          <w:tcPr>
            <w:tcW w:w="987" w:type="dxa"/>
            <w:shd w:val="clear" w:color="auto" w:fill="auto"/>
            <w:vAlign w:val="center"/>
          </w:tcPr>
          <w:p w:rsidR="00893D0B" w:rsidRPr="009D4065" w:rsidRDefault="009D4065" w:rsidP="004808C5">
            <w:pPr>
              <w:ind w:firstLine="2"/>
              <w:rPr>
                <w:i/>
                <w:szCs w:val="24"/>
              </w:rPr>
            </w:pPr>
            <m:oMathPara>
              <m:oMath>
                <m:sSub>
                  <m:sSubPr>
                    <m:ctrlPr>
                      <w:rPr>
                        <w:rFonts w:ascii="Cambria Math" w:hAnsi="Cambria Math"/>
                        <w:i/>
                        <w:szCs w:val="24"/>
                      </w:rPr>
                    </m:ctrlPr>
                  </m:sSubPr>
                  <m:e>
                    <m:r>
                      <w:rPr>
                        <w:rFonts w:ascii="Cambria Math" w:hAnsi="Cambria Math"/>
                        <w:szCs w:val="24"/>
                      </w:rPr>
                      <m:t>ΔLR</m:t>
                    </m:r>
                  </m:e>
                  <m:sub>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sub>
                </m:sSub>
              </m:oMath>
            </m:oMathPara>
          </w:p>
        </w:tc>
      </w:tr>
      <w:tr w:rsidR="009D4065" w:rsidRPr="00EA38D2" w:rsidTr="00EA38D2">
        <w:trPr>
          <w:jc w:val="center"/>
        </w:trPr>
        <w:tc>
          <w:tcPr>
            <w:tcW w:w="1242" w:type="dxa"/>
            <w:shd w:val="clear" w:color="auto" w:fill="auto"/>
            <w:vAlign w:val="center"/>
          </w:tcPr>
          <w:p w:rsidR="00893D0B" w:rsidRPr="00EA38D2" w:rsidRDefault="00893D0B" w:rsidP="00EA38D2">
            <w:pPr>
              <w:ind w:firstLine="0"/>
              <w:rPr>
                <w:i/>
                <w:szCs w:val="24"/>
              </w:rPr>
            </w:pPr>
            <w:r w:rsidRPr="00EA38D2">
              <w:rPr>
                <w:i/>
                <w:szCs w:val="24"/>
              </w:rPr>
              <w:t>Δnpl</w:t>
            </w:r>
          </w:p>
        </w:tc>
        <w:tc>
          <w:tcPr>
            <w:tcW w:w="1053" w:type="dxa"/>
            <w:shd w:val="clear" w:color="auto" w:fill="auto"/>
            <w:vAlign w:val="center"/>
          </w:tcPr>
          <w:p w:rsidR="00893D0B" w:rsidRPr="00EA38D2" w:rsidRDefault="00893D0B" w:rsidP="00EA38D2">
            <w:pPr>
              <w:autoSpaceDE w:val="0"/>
              <w:autoSpaceDN w:val="0"/>
              <w:adjustRightInd w:val="0"/>
              <w:ind w:firstLine="2"/>
              <w:rPr>
                <w:szCs w:val="24"/>
              </w:rPr>
            </w:pPr>
            <w:r w:rsidRPr="00EA38D2">
              <w:rPr>
                <w:szCs w:val="24"/>
              </w:rPr>
              <w:t>-1.019</w:t>
            </w:r>
          </w:p>
        </w:tc>
        <w:tc>
          <w:tcPr>
            <w:tcW w:w="1022" w:type="dxa"/>
            <w:shd w:val="clear" w:color="auto" w:fill="auto"/>
            <w:vAlign w:val="center"/>
          </w:tcPr>
          <w:p w:rsidR="00893D0B" w:rsidRPr="00EA38D2" w:rsidRDefault="00893D0B" w:rsidP="00EA38D2">
            <w:pPr>
              <w:autoSpaceDE w:val="0"/>
              <w:autoSpaceDN w:val="0"/>
              <w:adjustRightInd w:val="0"/>
              <w:ind w:firstLine="2"/>
              <w:rPr>
                <w:szCs w:val="24"/>
              </w:rPr>
            </w:pPr>
            <w:r w:rsidRPr="00EA38D2">
              <w:rPr>
                <w:szCs w:val="24"/>
              </w:rPr>
              <w:t>0.019</w:t>
            </w:r>
          </w:p>
        </w:tc>
        <w:tc>
          <w:tcPr>
            <w:tcW w:w="1084" w:type="dxa"/>
            <w:shd w:val="clear" w:color="auto" w:fill="auto"/>
            <w:vAlign w:val="center"/>
          </w:tcPr>
          <w:p w:rsidR="00893D0B" w:rsidRPr="00EA38D2" w:rsidRDefault="00893D0B" w:rsidP="00EA38D2">
            <w:pPr>
              <w:autoSpaceDE w:val="0"/>
              <w:autoSpaceDN w:val="0"/>
              <w:adjustRightInd w:val="0"/>
              <w:ind w:firstLine="2"/>
              <w:rPr>
                <w:szCs w:val="24"/>
              </w:rPr>
            </w:pPr>
            <w:r w:rsidRPr="00EA38D2">
              <w:rPr>
                <w:szCs w:val="24"/>
              </w:rPr>
              <w:t>-1.889</w:t>
            </w:r>
          </w:p>
        </w:tc>
        <w:tc>
          <w:tcPr>
            <w:tcW w:w="1012" w:type="dxa"/>
            <w:shd w:val="clear" w:color="auto" w:fill="auto"/>
            <w:vAlign w:val="center"/>
          </w:tcPr>
          <w:p w:rsidR="00893D0B" w:rsidRPr="00EA38D2" w:rsidRDefault="00893D0B" w:rsidP="00EA38D2">
            <w:pPr>
              <w:autoSpaceDE w:val="0"/>
              <w:autoSpaceDN w:val="0"/>
              <w:adjustRightInd w:val="0"/>
              <w:ind w:firstLine="2"/>
              <w:rPr>
                <w:szCs w:val="24"/>
              </w:rPr>
            </w:pPr>
            <w:r w:rsidRPr="00EA38D2">
              <w:rPr>
                <w:szCs w:val="24"/>
              </w:rPr>
              <w:t>-0.420</w:t>
            </w:r>
          </w:p>
        </w:tc>
        <w:tc>
          <w:tcPr>
            <w:tcW w:w="991" w:type="dxa"/>
            <w:shd w:val="clear" w:color="auto" w:fill="auto"/>
            <w:vAlign w:val="center"/>
          </w:tcPr>
          <w:p w:rsidR="00893D0B" w:rsidRPr="00EA38D2" w:rsidRDefault="00893D0B" w:rsidP="00EA38D2">
            <w:pPr>
              <w:autoSpaceDE w:val="0"/>
              <w:autoSpaceDN w:val="0"/>
              <w:adjustRightInd w:val="0"/>
              <w:ind w:firstLine="2"/>
              <w:rPr>
                <w:szCs w:val="24"/>
              </w:rPr>
            </w:pPr>
            <w:r w:rsidRPr="00EA38D2">
              <w:rPr>
                <w:szCs w:val="24"/>
              </w:rPr>
              <w:t>-0.249</w:t>
            </w:r>
          </w:p>
        </w:tc>
        <w:tc>
          <w:tcPr>
            <w:tcW w:w="1049" w:type="dxa"/>
            <w:shd w:val="clear" w:color="auto" w:fill="auto"/>
            <w:vAlign w:val="center"/>
          </w:tcPr>
          <w:p w:rsidR="00893D0B" w:rsidRPr="00EA38D2" w:rsidRDefault="00893D0B" w:rsidP="00EA38D2">
            <w:pPr>
              <w:autoSpaceDE w:val="0"/>
              <w:autoSpaceDN w:val="0"/>
              <w:adjustRightInd w:val="0"/>
              <w:ind w:firstLine="2"/>
              <w:rPr>
                <w:szCs w:val="24"/>
              </w:rPr>
            </w:pPr>
            <w:r w:rsidRPr="00EA38D2">
              <w:rPr>
                <w:szCs w:val="24"/>
              </w:rPr>
              <w:t>-2.817</w:t>
            </w:r>
          </w:p>
        </w:tc>
        <w:tc>
          <w:tcPr>
            <w:tcW w:w="987" w:type="dxa"/>
            <w:shd w:val="clear" w:color="auto" w:fill="auto"/>
            <w:vAlign w:val="center"/>
          </w:tcPr>
          <w:p w:rsidR="00893D0B" w:rsidRPr="00EA38D2" w:rsidRDefault="00893D0B" w:rsidP="00EA38D2">
            <w:pPr>
              <w:autoSpaceDE w:val="0"/>
              <w:autoSpaceDN w:val="0"/>
              <w:adjustRightInd w:val="0"/>
              <w:ind w:firstLine="2"/>
              <w:rPr>
                <w:szCs w:val="24"/>
              </w:rPr>
            </w:pPr>
            <w:r w:rsidRPr="00EA38D2">
              <w:rPr>
                <w:szCs w:val="24"/>
              </w:rPr>
              <w:t>-5.535</w:t>
            </w:r>
          </w:p>
        </w:tc>
      </w:tr>
      <w:tr w:rsidR="009D4065" w:rsidRPr="00EA38D2" w:rsidTr="00EA38D2">
        <w:trPr>
          <w:jc w:val="center"/>
        </w:trPr>
        <w:tc>
          <w:tcPr>
            <w:tcW w:w="1242" w:type="dxa"/>
            <w:shd w:val="clear" w:color="auto" w:fill="auto"/>
            <w:vAlign w:val="center"/>
          </w:tcPr>
          <w:p w:rsidR="00893D0B" w:rsidRPr="00EA38D2" w:rsidRDefault="00893D0B" w:rsidP="00EA38D2">
            <w:pPr>
              <w:ind w:firstLine="0"/>
              <w:rPr>
                <w:szCs w:val="24"/>
              </w:rPr>
            </w:pPr>
            <w:r w:rsidRPr="00EA38D2">
              <w:rPr>
                <w:szCs w:val="24"/>
              </w:rPr>
              <w:t>T statistic</w:t>
            </w:r>
          </w:p>
        </w:tc>
        <w:tc>
          <w:tcPr>
            <w:tcW w:w="1053" w:type="dxa"/>
            <w:shd w:val="clear" w:color="auto" w:fill="auto"/>
            <w:vAlign w:val="center"/>
          </w:tcPr>
          <w:p w:rsidR="00893D0B" w:rsidRPr="00EA38D2" w:rsidRDefault="00893D0B" w:rsidP="00EA38D2">
            <w:pPr>
              <w:autoSpaceDE w:val="0"/>
              <w:autoSpaceDN w:val="0"/>
              <w:adjustRightInd w:val="0"/>
              <w:ind w:firstLine="2"/>
              <w:rPr>
                <w:sz w:val="20"/>
              </w:rPr>
            </w:pPr>
            <w:r w:rsidRPr="00EA38D2">
              <w:rPr>
                <w:sz w:val="20"/>
              </w:rPr>
              <w:t>[-8.1216]</w:t>
            </w:r>
          </w:p>
        </w:tc>
        <w:tc>
          <w:tcPr>
            <w:tcW w:w="1022" w:type="dxa"/>
            <w:shd w:val="clear" w:color="auto" w:fill="auto"/>
            <w:vAlign w:val="center"/>
          </w:tcPr>
          <w:p w:rsidR="00893D0B" w:rsidRPr="00EA38D2" w:rsidRDefault="00893D0B" w:rsidP="00EA38D2">
            <w:pPr>
              <w:autoSpaceDE w:val="0"/>
              <w:autoSpaceDN w:val="0"/>
              <w:adjustRightInd w:val="0"/>
              <w:ind w:firstLine="2"/>
              <w:rPr>
                <w:sz w:val="20"/>
              </w:rPr>
            </w:pPr>
            <w:r w:rsidRPr="00EA38D2">
              <w:rPr>
                <w:sz w:val="20"/>
              </w:rPr>
              <w:t>[ 1.8750]</w:t>
            </w:r>
          </w:p>
        </w:tc>
        <w:tc>
          <w:tcPr>
            <w:tcW w:w="1084" w:type="dxa"/>
            <w:shd w:val="clear" w:color="auto" w:fill="auto"/>
            <w:vAlign w:val="center"/>
          </w:tcPr>
          <w:p w:rsidR="00893D0B" w:rsidRPr="00EA38D2" w:rsidRDefault="00893D0B" w:rsidP="00EA38D2">
            <w:pPr>
              <w:autoSpaceDE w:val="0"/>
              <w:autoSpaceDN w:val="0"/>
              <w:adjustRightInd w:val="0"/>
              <w:ind w:firstLine="2"/>
              <w:rPr>
                <w:sz w:val="20"/>
              </w:rPr>
            </w:pPr>
            <w:r w:rsidRPr="00EA38D2">
              <w:rPr>
                <w:sz w:val="20"/>
              </w:rPr>
              <w:t>[-1.6837]</w:t>
            </w:r>
          </w:p>
        </w:tc>
        <w:tc>
          <w:tcPr>
            <w:tcW w:w="1012" w:type="dxa"/>
            <w:shd w:val="clear" w:color="auto" w:fill="auto"/>
            <w:vAlign w:val="center"/>
          </w:tcPr>
          <w:p w:rsidR="00893D0B" w:rsidRPr="00EA38D2" w:rsidRDefault="00893D0B" w:rsidP="00EA38D2">
            <w:pPr>
              <w:autoSpaceDE w:val="0"/>
              <w:autoSpaceDN w:val="0"/>
              <w:adjustRightInd w:val="0"/>
              <w:ind w:firstLine="2"/>
              <w:rPr>
                <w:sz w:val="20"/>
              </w:rPr>
            </w:pPr>
            <w:r w:rsidRPr="00EA38D2">
              <w:rPr>
                <w:sz w:val="20"/>
              </w:rPr>
              <w:t>[-0.0119]</w:t>
            </w:r>
          </w:p>
        </w:tc>
        <w:tc>
          <w:tcPr>
            <w:tcW w:w="991" w:type="dxa"/>
            <w:shd w:val="clear" w:color="auto" w:fill="auto"/>
            <w:vAlign w:val="center"/>
          </w:tcPr>
          <w:p w:rsidR="00893D0B" w:rsidRPr="00EA38D2" w:rsidRDefault="00893D0B" w:rsidP="00EA38D2">
            <w:pPr>
              <w:autoSpaceDE w:val="0"/>
              <w:autoSpaceDN w:val="0"/>
              <w:adjustRightInd w:val="0"/>
              <w:ind w:firstLine="2"/>
              <w:rPr>
                <w:sz w:val="20"/>
              </w:rPr>
            </w:pPr>
            <w:r w:rsidRPr="00EA38D2">
              <w:rPr>
                <w:sz w:val="20"/>
              </w:rPr>
              <w:t>[ 0.9954]</w:t>
            </w:r>
          </w:p>
        </w:tc>
        <w:tc>
          <w:tcPr>
            <w:tcW w:w="1049" w:type="dxa"/>
            <w:shd w:val="clear" w:color="auto" w:fill="auto"/>
            <w:vAlign w:val="center"/>
          </w:tcPr>
          <w:p w:rsidR="00893D0B" w:rsidRPr="00EA38D2" w:rsidRDefault="00893D0B" w:rsidP="00EA38D2">
            <w:pPr>
              <w:autoSpaceDE w:val="0"/>
              <w:autoSpaceDN w:val="0"/>
              <w:adjustRightInd w:val="0"/>
              <w:ind w:firstLine="2"/>
              <w:rPr>
                <w:sz w:val="20"/>
              </w:rPr>
            </w:pPr>
            <w:r w:rsidRPr="00EA38D2">
              <w:rPr>
                <w:sz w:val="20"/>
              </w:rPr>
              <w:t>[-2.4838]</w:t>
            </w:r>
          </w:p>
        </w:tc>
        <w:tc>
          <w:tcPr>
            <w:tcW w:w="987" w:type="dxa"/>
            <w:shd w:val="clear" w:color="auto" w:fill="auto"/>
            <w:vAlign w:val="center"/>
          </w:tcPr>
          <w:p w:rsidR="00893D0B" w:rsidRPr="00EA38D2" w:rsidRDefault="00893D0B" w:rsidP="00EA38D2">
            <w:pPr>
              <w:autoSpaceDE w:val="0"/>
              <w:autoSpaceDN w:val="0"/>
              <w:adjustRightInd w:val="0"/>
              <w:ind w:firstLine="2"/>
              <w:rPr>
                <w:sz w:val="20"/>
              </w:rPr>
            </w:pPr>
            <w:r w:rsidRPr="00EA38D2">
              <w:rPr>
                <w:sz w:val="20"/>
              </w:rPr>
              <w:t>[-0.6775]</w:t>
            </w:r>
          </w:p>
        </w:tc>
      </w:tr>
      <w:tr w:rsidR="007D6C2B" w:rsidRPr="00EA38D2" w:rsidTr="00EA38D2">
        <w:trPr>
          <w:jc w:val="center"/>
        </w:trPr>
        <w:tc>
          <w:tcPr>
            <w:tcW w:w="1242" w:type="dxa"/>
            <w:shd w:val="clear" w:color="auto" w:fill="auto"/>
            <w:vAlign w:val="center"/>
          </w:tcPr>
          <w:p w:rsidR="00E37C98" w:rsidRPr="00EA38D2" w:rsidRDefault="00E37C98" w:rsidP="00EA38D2">
            <w:pPr>
              <w:ind w:firstLine="0"/>
              <w:rPr>
                <w:szCs w:val="24"/>
              </w:rPr>
            </w:pPr>
            <w:r w:rsidRPr="00EA38D2">
              <w:rPr>
                <w:szCs w:val="24"/>
              </w:rPr>
              <w:t xml:space="preserve">Adjusted </w:t>
            </w:r>
            <m:oMath>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oMath>
          </w:p>
        </w:tc>
        <w:tc>
          <w:tcPr>
            <w:tcW w:w="7198" w:type="dxa"/>
            <w:gridSpan w:val="7"/>
            <w:shd w:val="clear" w:color="auto" w:fill="auto"/>
            <w:vAlign w:val="center"/>
          </w:tcPr>
          <w:p w:rsidR="00E37C98" w:rsidRPr="00EA38D2" w:rsidRDefault="00893D0B" w:rsidP="00EA38D2">
            <w:pPr>
              <w:autoSpaceDE w:val="0"/>
              <w:autoSpaceDN w:val="0"/>
              <w:adjustRightInd w:val="0"/>
              <w:rPr>
                <w:szCs w:val="24"/>
              </w:rPr>
            </w:pPr>
            <w:r w:rsidRPr="00EA38D2">
              <w:rPr>
                <w:szCs w:val="24"/>
              </w:rPr>
              <w:t>0.530408</w:t>
            </w:r>
          </w:p>
        </w:tc>
      </w:tr>
      <w:tr w:rsidR="007D6C2B" w:rsidRPr="00EA38D2" w:rsidTr="00EA38D2">
        <w:trPr>
          <w:jc w:val="center"/>
        </w:trPr>
        <w:tc>
          <w:tcPr>
            <w:tcW w:w="1242" w:type="dxa"/>
            <w:shd w:val="clear" w:color="auto" w:fill="auto"/>
            <w:vAlign w:val="center"/>
          </w:tcPr>
          <w:p w:rsidR="00E37C98" w:rsidRPr="00EA38D2" w:rsidRDefault="00E37C98" w:rsidP="00EA38D2">
            <w:pPr>
              <w:ind w:firstLine="0"/>
              <w:rPr>
                <w:szCs w:val="24"/>
              </w:rPr>
            </w:pPr>
            <w:r w:rsidRPr="00EA38D2">
              <w:rPr>
                <w:szCs w:val="24"/>
              </w:rPr>
              <w:t>F-statistic</w:t>
            </w:r>
          </w:p>
        </w:tc>
        <w:tc>
          <w:tcPr>
            <w:tcW w:w="7198" w:type="dxa"/>
            <w:gridSpan w:val="7"/>
            <w:shd w:val="clear" w:color="auto" w:fill="auto"/>
            <w:vAlign w:val="center"/>
          </w:tcPr>
          <w:p w:rsidR="00EF455D" w:rsidRPr="00EA38D2" w:rsidRDefault="00893D0B" w:rsidP="00EA38D2">
            <w:pPr>
              <w:autoSpaceDE w:val="0"/>
              <w:autoSpaceDN w:val="0"/>
              <w:adjustRightInd w:val="0"/>
              <w:rPr>
                <w:szCs w:val="24"/>
              </w:rPr>
            </w:pPr>
            <w:r w:rsidRPr="00EA38D2">
              <w:rPr>
                <w:szCs w:val="24"/>
              </w:rPr>
              <w:t>6.970246</w:t>
            </w:r>
          </w:p>
        </w:tc>
      </w:tr>
    </w:tbl>
    <w:p w:rsidR="00A151A7" w:rsidRPr="00EA38D2" w:rsidRDefault="00A151A7" w:rsidP="00A151A7">
      <w:pPr>
        <w:spacing w:before="0" w:beforeAutospacing="0" w:line="276" w:lineRule="auto"/>
        <w:rPr>
          <w:rFonts w:eastAsia="Times New Roman"/>
          <w:szCs w:val="24"/>
        </w:rPr>
      </w:pPr>
      <w:r w:rsidRPr="004634FC">
        <w:rPr>
          <w:szCs w:val="24"/>
        </w:rPr>
        <w:t>Source: own calculations</w:t>
      </w:r>
    </w:p>
    <w:p w:rsidR="00133C0E" w:rsidRPr="00EA38D2" w:rsidRDefault="00133C0E" w:rsidP="004634FC">
      <w:pPr>
        <w:spacing w:line="276" w:lineRule="auto"/>
        <w:ind w:firstLine="0"/>
        <w:rPr>
          <w:rFonts w:eastAsia="Times New Roman"/>
          <w:szCs w:val="24"/>
        </w:rPr>
      </w:pPr>
      <w:r w:rsidRPr="00EA38D2">
        <w:rPr>
          <w:rFonts w:eastAsia="Times New Roman"/>
          <w:szCs w:val="24"/>
        </w:rPr>
        <w:t xml:space="preserve">In the short run dynamics, recall force must be strictly negative and significant to have an economic interpretation of VEC model, which is verified in our case. All coefficients are significant in the short run despite the IPC and the long-term interest rate. Coefficients in the model have also the expected sign. </w:t>
      </w:r>
    </w:p>
    <w:p w:rsidR="00A16929" w:rsidRPr="00EA38D2" w:rsidRDefault="005541DA" w:rsidP="004634FC">
      <w:pPr>
        <w:spacing w:line="276" w:lineRule="auto"/>
        <w:ind w:firstLine="0"/>
        <w:rPr>
          <w:rFonts w:eastAsia="Times New Roman"/>
          <w:szCs w:val="24"/>
        </w:rPr>
      </w:pPr>
      <w:r w:rsidRPr="00EA38D2">
        <w:rPr>
          <w:rFonts w:eastAsia="Times New Roman"/>
          <w:szCs w:val="24"/>
        </w:rPr>
        <w:t xml:space="preserve">The relation between GDP and NPL follow the cyclical theory. </w:t>
      </w:r>
      <w:r w:rsidR="00A16929" w:rsidRPr="00EA38D2">
        <w:rPr>
          <w:rFonts w:eastAsia="Times New Roman"/>
          <w:szCs w:val="24"/>
        </w:rPr>
        <w:t>The growth of GDP decreases the share of non-performing loan ratio in short run and in the long run. The long-term interest rate growth decreases the NPL ratio in the long run and in the short run. The short-term interest rate is also correlated negatively with the NPL ratio but the coefficient is not significant in the long term. Inflation is positively correlated at a significant degree with the NPL ratio in the long run. But in the short run, the coefficient is not significant. The growth of real exchange rate decreases the NPL ratio in the short run but it increases this ratio in the long run.</w:t>
      </w:r>
    </w:p>
    <w:p w:rsidR="00F5084D" w:rsidRPr="00EA38D2" w:rsidRDefault="00A16929" w:rsidP="004634FC">
      <w:pPr>
        <w:spacing w:line="276" w:lineRule="auto"/>
        <w:ind w:firstLine="0"/>
        <w:rPr>
          <w:rFonts w:eastAsia="Times New Roman"/>
          <w:szCs w:val="24"/>
        </w:rPr>
      </w:pPr>
      <w:r w:rsidRPr="00EA38D2">
        <w:rPr>
          <w:rFonts w:eastAsia="Times New Roman"/>
          <w:szCs w:val="24"/>
        </w:rPr>
        <w:t xml:space="preserve">Residual diagnostic tests </w:t>
      </w:r>
      <w:r w:rsidR="00A61201" w:rsidRPr="00EA38D2">
        <w:rPr>
          <w:rFonts w:eastAsia="Times New Roman"/>
          <w:szCs w:val="24"/>
        </w:rPr>
        <w:t>have</w:t>
      </w:r>
      <w:r w:rsidR="00336A5D" w:rsidRPr="00EA38D2">
        <w:rPr>
          <w:rFonts w:eastAsia="Times New Roman"/>
          <w:szCs w:val="24"/>
        </w:rPr>
        <w:t xml:space="preserve"> also</w:t>
      </w:r>
      <w:r w:rsidRPr="00EA38D2">
        <w:rPr>
          <w:rFonts w:eastAsia="Times New Roman"/>
          <w:szCs w:val="24"/>
        </w:rPr>
        <w:t xml:space="preserve"> been</w:t>
      </w:r>
      <w:r w:rsidR="00133C0E" w:rsidRPr="00EA38D2">
        <w:rPr>
          <w:rFonts w:eastAsia="Times New Roman"/>
          <w:szCs w:val="24"/>
        </w:rPr>
        <w:t xml:space="preserve"> performed in order to verify the estimation result and the satellite model specification. The results of residual diagnosti</w:t>
      </w:r>
      <w:r w:rsidR="00F5084D" w:rsidRPr="00EA38D2">
        <w:rPr>
          <w:rFonts w:eastAsia="Times New Roman"/>
          <w:szCs w:val="24"/>
        </w:rPr>
        <w:t>cs are summarized in Appendix 2.</w:t>
      </w:r>
      <w:r w:rsidR="00133C0E" w:rsidRPr="00EA38D2">
        <w:rPr>
          <w:rFonts w:eastAsia="Times New Roman"/>
          <w:szCs w:val="24"/>
        </w:rPr>
        <w:t xml:space="preserve"> First, for the normality test, Jacques Bera statistics are lower than the critical value, so the null hypothesis of the residual normality cannot be rejected. Then, the LM non-autocorrelation statistic indicates the value inferior of LM critical value, in fact, the null hypothesis of non-autocorrelation of the residual series is accepted, so the result shows the absence of serial correlated error terms. Finally, the absence of heteroscedasticity test was examined by using White statistics; the statistic value is lower than the critical value, so the residual series are homoscedastic. We can conclude that our satellite model is best specified. </w:t>
      </w:r>
    </w:p>
    <w:p w:rsidR="00822A1D" w:rsidRPr="004634FC" w:rsidRDefault="006F73C1" w:rsidP="00EF4F4C">
      <w:pPr>
        <w:pStyle w:val="ListParagraph"/>
        <w:numPr>
          <w:ilvl w:val="0"/>
          <w:numId w:val="14"/>
        </w:numPr>
        <w:spacing w:line="360" w:lineRule="auto"/>
        <w:rPr>
          <w:b/>
          <w:i/>
          <w:szCs w:val="24"/>
        </w:rPr>
      </w:pPr>
      <w:r w:rsidRPr="004634FC">
        <w:rPr>
          <w:b/>
          <w:i/>
          <w:szCs w:val="24"/>
        </w:rPr>
        <w:t>Impacts of scenario in the NPL ratio</w:t>
      </w:r>
    </w:p>
    <w:p w:rsidR="008500A6" w:rsidRPr="004634FC" w:rsidRDefault="008500A6" w:rsidP="004634FC">
      <w:pPr>
        <w:spacing w:before="0" w:beforeAutospacing="0" w:line="276" w:lineRule="auto"/>
        <w:ind w:firstLine="0"/>
        <w:rPr>
          <w:szCs w:val="24"/>
        </w:rPr>
      </w:pPr>
      <w:r w:rsidRPr="004634FC">
        <w:rPr>
          <w:szCs w:val="24"/>
        </w:rPr>
        <w:lastRenderedPageBreak/>
        <w:t xml:space="preserve">In this paragraph, we discuss the impact of one standard error of selected domestic, foreign and global macroeconomic variables shocks on the aggregate NPL ratio over four quarters horizon. We report in this paper the main following shocks as stress scenarios which affect the most the risk indicator: negative Madagascar GDP shocks, a positive shock of euro exchange rate and positive shock of oil price. All figures give a measurement of the reactions compared with the baseline. A bootstrap experiment analysis was performed for producing the lower and upper bounds of the NPL ratio reaction to the satellite GVAR model. The bootstrap results of all conditional shocks show that the aggregate NPL reactions are inside the confidence interval between 5% and 95 %. </w:t>
      </w:r>
    </w:p>
    <w:p w:rsidR="008500A6" w:rsidRPr="004634FC" w:rsidRDefault="008500A6" w:rsidP="004634FC">
      <w:pPr>
        <w:spacing w:line="276" w:lineRule="auto"/>
        <w:ind w:firstLine="0"/>
        <w:rPr>
          <w:szCs w:val="24"/>
        </w:rPr>
      </w:pPr>
      <w:r w:rsidRPr="004634FC">
        <w:rPr>
          <w:szCs w:val="24"/>
        </w:rPr>
        <w:t xml:space="preserve">Results of satellite GVAR simulation reveal the importance of the impacts on aggregate non-performing loan ratio against negative GDP shock, foreign positive Euro shock, and global oil shock. By the way, signs of the impacts on aggregate NPL are expected and fit the economic business cycle theory. </w:t>
      </w:r>
    </w:p>
    <w:p w:rsidR="008500A6" w:rsidRPr="004634FC" w:rsidRDefault="008500A6" w:rsidP="004634FC">
      <w:pPr>
        <w:spacing w:line="276" w:lineRule="auto"/>
        <w:ind w:firstLine="0"/>
        <w:rPr>
          <w:szCs w:val="24"/>
        </w:rPr>
      </w:pPr>
      <w:r w:rsidRPr="004634FC">
        <w:rPr>
          <w:szCs w:val="24"/>
        </w:rPr>
        <w:t xml:space="preserve">A negative standard error shock of the Madagascar GDP leads to an increase of non-performing loan ratio during the forecast horizon, it means a deterioration of banks loan portfolios quality (graph 1). </w:t>
      </w:r>
    </w:p>
    <w:p w:rsidR="008500A6" w:rsidRPr="004634FC" w:rsidRDefault="008500A6" w:rsidP="008500A6">
      <w:pPr>
        <w:pStyle w:val="Caption"/>
        <w:spacing w:after="0" w:afterAutospacing="0" w:line="360" w:lineRule="auto"/>
        <w:ind w:firstLine="0"/>
        <w:jc w:val="center"/>
        <w:rPr>
          <w:b w:val="0"/>
          <w:bCs w:val="0"/>
          <w:color w:val="auto"/>
          <w:sz w:val="24"/>
          <w:szCs w:val="24"/>
        </w:rPr>
      </w:pPr>
      <w:r w:rsidRPr="004634FC">
        <w:rPr>
          <w:b w:val="0"/>
          <w:bCs w:val="0"/>
          <w:color w:val="auto"/>
          <w:sz w:val="24"/>
          <w:szCs w:val="24"/>
        </w:rPr>
        <w:t xml:space="preserve">Graph </w:t>
      </w:r>
      <w:r w:rsidRPr="004634FC">
        <w:rPr>
          <w:b w:val="0"/>
          <w:bCs w:val="0"/>
          <w:color w:val="auto"/>
          <w:sz w:val="24"/>
          <w:szCs w:val="24"/>
        </w:rPr>
        <w:fldChar w:fldCharType="begin"/>
      </w:r>
      <w:r w:rsidRPr="004634FC">
        <w:rPr>
          <w:b w:val="0"/>
          <w:bCs w:val="0"/>
          <w:color w:val="auto"/>
          <w:sz w:val="24"/>
          <w:szCs w:val="24"/>
        </w:rPr>
        <w:instrText xml:space="preserve"> SEQ Graph \* ARABIC </w:instrText>
      </w:r>
      <w:r w:rsidRPr="004634FC">
        <w:rPr>
          <w:b w:val="0"/>
          <w:bCs w:val="0"/>
          <w:color w:val="auto"/>
          <w:sz w:val="24"/>
          <w:szCs w:val="24"/>
        </w:rPr>
        <w:fldChar w:fldCharType="separate"/>
      </w:r>
      <w:r w:rsidR="00334DD9">
        <w:rPr>
          <w:b w:val="0"/>
          <w:bCs w:val="0"/>
          <w:noProof/>
          <w:color w:val="auto"/>
          <w:sz w:val="24"/>
          <w:szCs w:val="24"/>
        </w:rPr>
        <w:t>1</w:t>
      </w:r>
      <w:r w:rsidRPr="004634FC">
        <w:rPr>
          <w:b w:val="0"/>
          <w:bCs w:val="0"/>
          <w:color w:val="auto"/>
          <w:sz w:val="24"/>
          <w:szCs w:val="24"/>
        </w:rPr>
        <w:fldChar w:fldCharType="end"/>
      </w:r>
      <w:r w:rsidRPr="004634FC">
        <w:rPr>
          <w:b w:val="0"/>
          <w:bCs w:val="0"/>
          <w:color w:val="auto"/>
          <w:sz w:val="24"/>
          <w:szCs w:val="24"/>
        </w:rPr>
        <w:t>: NPL reaction to one negative standard deviation of Madagascar GDP shock</w:t>
      </w:r>
    </w:p>
    <w:p w:rsidR="008500A6" w:rsidRPr="004634FC" w:rsidRDefault="009D4065" w:rsidP="008500A6">
      <w:pPr>
        <w:spacing w:before="0" w:beforeAutospacing="0" w:line="360" w:lineRule="auto"/>
        <w:ind w:firstLine="0"/>
        <w:jc w:val="center"/>
        <w:rPr>
          <w:szCs w:val="24"/>
        </w:rPr>
      </w:pPr>
      <w:r>
        <w:rPr>
          <w:noProof/>
          <w:szCs w:val="24"/>
          <w:lang w:val="fr-FR" w:eastAsia="fr-FR"/>
        </w:rPr>
        <w:drawing>
          <wp:inline distT="0" distB="0" distL="0" distR="0">
            <wp:extent cx="3640455" cy="2734945"/>
            <wp:effectExtent l="0" t="0" r="0" b="8255"/>
            <wp:docPr id="1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0455" cy="2734945"/>
                    </a:xfrm>
                    <a:prstGeom prst="rect">
                      <a:avLst/>
                    </a:prstGeom>
                    <a:noFill/>
                    <a:ln>
                      <a:noFill/>
                    </a:ln>
                  </pic:spPr>
                </pic:pic>
              </a:graphicData>
            </a:graphic>
          </wp:inline>
        </w:drawing>
      </w:r>
    </w:p>
    <w:p w:rsidR="008500A6" w:rsidRPr="004634FC" w:rsidRDefault="008500A6" w:rsidP="004634FC">
      <w:pPr>
        <w:spacing w:line="276" w:lineRule="auto"/>
        <w:ind w:firstLine="0"/>
        <w:rPr>
          <w:szCs w:val="24"/>
        </w:rPr>
      </w:pPr>
      <w:r w:rsidRPr="004634FC">
        <w:rPr>
          <w:szCs w:val="24"/>
        </w:rPr>
        <w:t xml:space="preserve">Positive one standard error shocks of the Euro real exchange rate (depreciation) which implies an increase of domestic real effective exchange rate implies an increase of NPL ratio until the value of +4.1% for the five first quarters (graph 2) and after that the NPL decreases. </w:t>
      </w:r>
    </w:p>
    <w:p w:rsidR="008500A6" w:rsidRPr="004634FC" w:rsidRDefault="008500A6" w:rsidP="00713E83">
      <w:pPr>
        <w:pStyle w:val="Caption"/>
        <w:spacing w:after="0" w:afterAutospacing="0" w:line="276" w:lineRule="auto"/>
        <w:ind w:firstLine="0"/>
        <w:jc w:val="center"/>
        <w:rPr>
          <w:b w:val="0"/>
          <w:bCs w:val="0"/>
          <w:color w:val="auto"/>
          <w:sz w:val="24"/>
          <w:szCs w:val="24"/>
        </w:rPr>
      </w:pPr>
      <w:r w:rsidRPr="004634FC">
        <w:rPr>
          <w:b w:val="0"/>
          <w:bCs w:val="0"/>
          <w:color w:val="auto"/>
          <w:sz w:val="24"/>
          <w:szCs w:val="24"/>
        </w:rPr>
        <w:t xml:space="preserve">Graph </w:t>
      </w:r>
      <w:r w:rsidRPr="004634FC">
        <w:rPr>
          <w:b w:val="0"/>
          <w:bCs w:val="0"/>
          <w:color w:val="auto"/>
          <w:sz w:val="24"/>
          <w:szCs w:val="24"/>
        </w:rPr>
        <w:fldChar w:fldCharType="begin"/>
      </w:r>
      <w:r w:rsidRPr="004634FC">
        <w:rPr>
          <w:b w:val="0"/>
          <w:bCs w:val="0"/>
          <w:color w:val="auto"/>
          <w:sz w:val="24"/>
          <w:szCs w:val="24"/>
        </w:rPr>
        <w:instrText xml:space="preserve"> SEQ Graph \* ARABIC </w:instrText>
      </w:r>
      <w:r w:rsidRPr="004634FC">
        <w:rPr>
          <w:b w:val="0"/>
          <w:bCs w:val="0"/>
          <w:color w:val="auto"/>
          <w:sz w:val="24"/>
          <w:szCs w:val="24"/>
        </w:rPr>
        <w:fldChar w:fldCharType="separate"/>
      </w:r>
      <w:r w:rsidR="00334DD9">
        <w:rPr>
          <w:b w:val="0"/>
          <w:bCs w:val="0"/>
          <w:noProof/>
          <w:color w:val="auto"/>
          <w:sz w:val="24"/>
          <w:szCs w:val="24"/>
        </w:rPr>
        <w:t>2</w:t>
      </w:r>
      <w:r w:rsidRPr="004634FC">
        <w:rPr>
          <w:b w:val="0"/>
          <w:bCs w:val="0"/>
          <w:color w:val="auto"/>
          <w:sz w:val="24"/>
          <w:szCs w:val="24"/>
        </w:rPr>
        <w:fldChar w:fldCharType="end"/>
      </w:r>
      <w:r w:rsidRPr="004634FC">
        <w:rPr>
          <w:b w:val="0"/>
          <w:bCs w:val="0"/>
          <w:color w:val="auto"/>
          <w:sz w:val="24"/>
          <w:szCs w:val="24"/>
        </w:rPr>
        <w:t xml:space="preserve">: NPL reaction to one positive standard deviation of Euro exchange rate shock  </w:t>
      </w:r>
      <w:r w:rsidR="00713E83">
        <w:rPr>
          <w:b w:val="0"/>
          <w:bCs w:val="0"/>
          <w:color w:val="auto"/>
          <w:sz w:val="24"/>
          <w:szCs w:val="24"/>
        </w:rPr>
        <w:br/>
      </w:r>
      <w:r w:rsidRPr="004634FC">
        <w:rPr>
          <w:b w:val="0"/>
          <w:bCs w:val="0"/>
          <w:color w:val="auto"/>
          <w:sz w:val="24"/>
          <w:szCs w:val="24"/>
        </w:rPr>
        <w:t>(ie depretiation)</w:t>
      </w:r>
    </w:p>
    <w:p w:rsidR="008500A6" w:rsidRPr="004634FC" w:rsidRDefault="009D4065" w:rsidP="008500A6">
      <w:pPr>
        <w:spacing w:before="0" w:beforeAutospacing="0" w:line="360" w:lineRule="auto"/>
        <w:ind w:firstLine="0"/>
        <w:jc w:val="center"/>
        <w:rPr>
          <w:szCs w:val="24"/>
        </w:rPr>
      </w:pPr>
      <w:r>
        <w:rPr>
          <w:noProof/>
          <w:szCs w:val="24"/>
          <w:lang w:val="fr-FR" w:eastAsia="fr-FR"/>
        </w:rPr>
        <w:lastRenderedPageBreak/>
        <w:drawing>
          <wp:inline distT="0" distB="0" distL="0" distR="0">
            <wp:extent cx="3818255" cy="2870200"/>
            <wp:effectExtent l="0" t="0" r="0" b="6350"/>
            <wp:docPr id="1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255" cy="2870200"/>
                    </a:xfrm>
                    <a:prstGeom prst="rect">
                      <a:avLst/>
                    </a:prstGeom>
                    <a:noFill/>
                    <a:ln>
                      <a:noFill/>
                    </a:ln>
                  </pic:spPr>
                </pic:pic>
              </a:graphicData>
            </a:graphic>
          </wp:inline>
        </w:drawing>
      </w:r>
    </w:p>
    <w:p w:rsidR="008500A6" w:rsidRPr="004634FC" w:rsidRDefault="008500A6" w:rsidP="004634FC">
      <w:pPr>
        <w:spacing w:line="276" w:lineRule="auto"/>
        <w:ind w:firstLine="0"/>
        <w:rPr>
          <w:szCs w:val="24"/>
        </w:rPr>
      </w:pPr>
      <w:r w:rsidRPr="004634FC">
        <w:rPr>
          <w:szCs w:val="24"/>
        </w:rPr>
        <w:t>The positive one standard deviation of oil price shock increases the NPL ratio after the second quarter. Then, it decreases for a period of three quarters before finally increasing again. The growth of oil price deteriorates the economic situation and that could have a considerable consequence on the advance of credit portfolios quality.</w:t>
      </w:r>
    </w:p>
    <w:p w:rsidR="008500A6" w:rsidRPr="004634FC" w:rsidRDefault="008500A6" w:rsidP="008500A6">
      <w:pPr>
        <w:pStyle w:val="Caption"/>
        <w:spacing w:after="0" w:afterAutospacing="0" w:line="360" w:lineRule="auto"/>
        <w:rPr>
          <w:b w:val="0"/>
          <w:bCs w:val="0"/>
          <w:color w:val="auto"/>
          <w:sz w:val="24"/>
          <w:szCs w:val="24"/>
        </w:rPr>
      </w:pPr>
      <w:r w:rsidRPr="004634FC">
        <w:rPr>
          <w:b w:val="0"/>
          <w:bCs w:val="0"/>
          <w:color w:val="auto"/>
          <w:sz w:val="24"/>
          <w:szCs w:val="24"/>
        </w:rPr>
        <w:t xml:space="preserve">Graph </w:t>
      </w:r>
      <w:r w:rsidR="00B47A06">
        <w:rPr>
          <w:b w:val="0"/>
          <w:bCs w:val="0"/>
          <w:color w:val="auto"/>
          <w:sz w:val="24"/>
          <w:szCs w:val="24"/>
        </w:rPr>
        <w:t>3</w:t>
      </w:r>
      <w:r w:rsidRPr="004634FC">
        <w:rPr>
          <w:b w:val="0"/>
          <w:bCs w:val="0"/>
          <w:color w:val="auto"/>
          <w:sz w:val="24"/>
          <w:szCs w:val="24"/>
        </w:rPr>
        <w:t>: NPL reaction to one positive standard deviation of global oil price shock</w:t>
      </w:r>
    </w:p>
    <w:p w:rsidR="008500A6" w:rsidRPr="004634FC" w:rsidRDefault="009D4065" w:rsidP="008500A6">
      <w:pPr>
        <w:pStyle w:val="ListParagraph"/>
        <w:spacing w:before="0" w:beforeAutospacing="0" w:line="360" w:lineRule="auto"/>
        <w:ind w:left="0" w:firstLine="0"/>
        <w:jc w:val="center"/>
        <w:rPr>
          <w:szCs w:val="24"/>
        </w:rPr>
      </w:pPr>
      <w:r>
        <w:rPr>
          <w:noProof/>
          <w:szCs w:val="24"/>
          <w:lang w:val="fr-FR" w:eastAsia="fr-FR"/>
        </w:rPr>
        <w:drawing>
          <wp:inline distT="0" distB="0" distL="0" distR="0">
            <wp:extent cx="3962400" cy="2903855"/>
            <wp:effectExtent l="0" t="0" r="0" b="0"/>
            <wp:docPr id="12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2903855"/>
                    </a:xfrm>
                    <a:prstGeom prst="rect">
                      <a:avLst/>
                    </a:prstGeom>
                    <a:noFill/>
                    <a:ln>
                      <a:noFill/>
                    </a:ln>
                  </pic:spPr>
                </pic:pic>
              </a:graphicData>
            </a:graphic>
          </wp:inline>
        </w:drawing>
      </w:r>
    </w:p>
    <w:p w:rsidR="000E17D8" w:rsidRPr="004634FC" w:rsidRDefault="003A5AD7" w:rsidP="00EF4F4C">
      <w:pPr>
        <w:pStyle w:val="ListParagraph"/>
        <w:numPr>
          <w:ilvl w:val="0"/>
          <w:numId w:val="1"/>
        </w:numPr>
        <w:spacing w:line="360" w:lineRule="auto"/>
        <w:rPr>
          <w:b/>
          <w:szCs w:val="24"/>
        </w:rPr>
      </w:pPr>
      <w:r w:rsidRPr="004634FC">
        <w:rPr>
          <w:b/>
          <w:szCs w:val="24"/>
        </w:rPr>
        <w:t>Conclusion</w:t>
      </w:r>
    </w:p>
    <w:p w:rsidR="00133C0E" w:rsidRPr="004634FC" w:rsidRDefault="00CA118E" w:rsidP="004634FC">
      <w:pPr>
        <w:spacing w:line="276" w:lineRule="auto"/>
        <w:ind w:firstLine="0"/>
        <w:rPr>
          <w:szCs w:val="24"/>
        </w:rPr>
      </w:pPr>
      <w:r w:rsidRPr="004634FC">
        <w:rPr>
          <w:szCs w:val="24"/>
        </w:rPr>
        <w:t xml:space="preserve">This paper </w:t>
      </w:r>
      <w:r w:rsidR="003E7303" w:rsidRPr="004634FC">
        <w:rPr>
          <w:szCs w:val="24"/>
        </w:rPr>
        <w:t>develops</w:t>
      </w:r>
      <w:r w:rsidR="00133C0E" w:rsidRPr="004634FC">
        <w:rPr>
          <w:szCs w:val="24"/>
        </w:rPr>
        <w:t xml:space="preserve"> a macro stress testing</w:t>
      </w:r>
      <w:r w:rsidR="00CE703B" w:rsidRPr="004634FC">
        <w:rPr>
          <w:szCs w:val="24"/>
        </w:rPr>
        <w:t xml:space="preserve"> in order</w:t>
      </w:r>
      <w:r w:rsidR="00133C0E" w:rsidRPr="004634FC">
        <w:rPr>
          <w:szCs w:val="24"/>
        </w:rPr>
        <w:t xml:space="preserve"> to assess banking sector credit risk under global macroeconomic factors.</w:t>
      </w:r>
      <w:r w:rsidR="009358F5" w:rsidRPr="004634FC">
        <w:rPr>
          <w:szCs w:val="24"/>
        </w:rPr>
        <w:t xml:space="preserve"> A GVAR model for Madagascar has been used</w:t>
      </w:r>
      <w:r w:rsidR="00133C0E" w:rsidRPr="004634FC">
        <w:rPr>
          <w:szCs w:val="24"/>
        </w:rPr>
        <w:t xml:space="preserve"> as a tool for generating scenario which </w:t>
      </w:r>
      <w:r w:rsidR="003E7303" w:rsidRPr="004634FC">
        <w:rPr>
          <w:szCs w:val="24"/>
        </w:rPr>
        <w:t>allows</w:t>
      </w:r>
      <w:r w:rsidR="00133C0E" w:rsidRPr="004634FC">
        <w:rPr>
          <w:szCs w:val="24"/>
        </w:rPr>
        <w:t xml:space="preserve"> international interaction between dynamic, foreign and global macroeconomic variables. To evaluate the impacts on NPL ratio to different </w:t>
      </w:r>
      <w:r w:rsidR="00133C0E" w:rsidRPr="004634FC">
        <w:rPr>
          <w:szCs w:val="24"/>
        </w:rPr>
        <w:lastRenderedPageBreak/>
        <w:t>conditional shocks we</w:t>
      </w:r>
      <w:r w:rsidRPr="004634FC">
        <w:rPr>
          <w:szCs w:val="24"/>
        </w:rPr>
        <w:t xml:space="preserve"> have</w:t>
      </w:r>
      <w:r w:rsidR="00133C0E" w:rsidRPr="004634FC">
        <w:rPr>
          <w:szCs w:val="24"/>
        </w:rPr>
        <w:t xml:space="preserve"> estimated the satellite equation which assigns separately the NPL and domestic macroeconomic variables that would be afterward</w:t>
      </w:r>
      <w:r w:rsidRPr="004634FC">
        <w:rPr>
          <w:szCs w:val="24"/>
        </w:rPr>
        <w:t>s</w:t>
      </w:r>
      <w:r w:rsidR="00133C0E" w:rsidRPr="004634FC">
        <w:rPr>
          <w:szCs w:val="24"/>
        </w:rPr>
        <w:t xml:space="preserve"> combined into GVAR model. </w:t>
      </w:r>
    </w:p>
    <w:p w:rsidR="00133C0E" w:rsidRPr="004634FC" w:rsidRDefault="00BC708F" w:rsidP="004634FC">
      <w:pPr>
        <w:spacing w:line="276" w:lineRule="auto"/>
        <w:ind w:firstLine="0"/>
        <w:rPr>
          <w:szCs w:val="24"/>
        </w:rPr>
      </w:pPr>
      <w:r w:rsidRPr="004634FC">
        <w:rPr>
          <w:szCs w:val="24"/>
        </w:rPr>
        <w:t xml:space="preserve">The results show negative correlation between </w:t>
      </w:r>
      <w:r w:rsidR="00133C0E" w:rsidRPr="004634FC">
        <w:rPr>
          <w:szCs w:val="24"/>
        </w:rPr>
        <w:t>aggregate NPL</w:t>
      </w:r>
      <w:r w:rsidR="00EF43A8" w:rsidRPr="004634FC">
        <w:rPr>
          <w:szCs w:val="24"/>
        </w:rPr>
        <w:t xml:space="preserve"> and</w:t>
      </w:r>
      <w:r w:rsidR="00133C0E" w:rsidRPr="004634FC">
        <w:rPr>
          <w:szCs w:val="24"/>
        </w:rPr>
        <w:t xml:space="preserve"> </w:t>
      </w:r>
      <w:r w:rsidR="005A7022" w:rsidRPr="004634FC">
        <w:rPr>
          <w:szCs w:val="24"/>
        </w:rPr>
        <w:t>GDP shock which fit</w:t>
      </w:r>
      <w:r w:rsidR="00CA118E" w:rsidRPr="004634FC">
        <w:rPr>
          <w:szCs w:val="24"/>
        </w:rPr>
        <w:t>s</w:t>
      </w:r>
      <w:r w:rsidR="005A7022" w:rsidRPr="004634FC">
        <w:rPr>
          <w:szCs w:val="24"/>
        </w:rPr>
        <w:t xml:space="preserve"> the cyclical pattern.</w:t>
      </w:r>
      <w:r w:rsidR="00A151A7" w:rsidRPr="004634FC">
        <w:rPr>
          <w:szCs w:val="24"/>
        </w:rPr>
        <w:t xml:space="preserve"> The macroeconomic environment is a source of influence for banks’ activities.</w:t>
      </w:r>
      <w:r w:rsidR="00C769CD" w:rsidRPr="004634FC">
        <w:rPr>
          <w:szCs w:val="24"/>
        </w:rPr>
        <w:t xml:space="preserve"> </w:t>
      </w:r>
      <w:r w:rsidR="00133C0E" w:rsidRPr="004634FC">
        <w:rPr>
          <w:szCs w:val="24"/>
        </w:rPr>
        <w:t xml:space="preserve">The </w:t>
      </w:r>
      <w:r w:rsidR="00672082" w:rsidRPr="004634FC">
        <w:rPr>
          <w:szCs w:val="24"/>
        </w:rPr>
        <w:t>NPL reacts positively to exchange rate shocks</w:t>
      </w:r>
      <w:r w:rsidR="00307B30" w:rsidRPr="004634FC">
        <w:rPr>
          <w:szCs w:val="24"/>
        </w:rPr>
        <w:t xml:space="preserve"> until 12 quarters</w:t>
      </w:r>
      <w:r w:rsidR="00672082" w:rsidRPr="004634FC">
        <w:rPr>
          <w:szCs w:val="24"/>
        </w:rPr>
        <w:t xml:space="preserve"> and</w:t>
      </w:r>
      <w:r w:rsidR="00133C0E" w:rsidRPr="004634FC">
        <w:rPr>
          <w:szCs w:val="24"/>
        </w:rPr>
        <w:t xml:space="preserve"> after that NPL reacts negatively. The negative reaction on NPL to the conditional positive oil price shock takes effe</w:t>
      </w:r>
      <w:r w:rsidR="004D6488" w:rsidRPr="004634FC">
        <w:rPr>
          <w:szCs w:val="24"/>
        </w:rPr>
        <w:t>ct after the second quarter.</w:t>
      </w:r>
      <w:r w:rsidR="00133C0E" w:rsidRPr="004634FC">
        <w:rPr>
          <w:szCs w:val="24"/>
        </w:rPr>
        <w:t xml:space="preserve"> </w:t>
      </w:r>
    </w:p>
    <w:p w:rsidR="00D75B15" w:rsidRPr="004634FC" w:rsidRDefault="00D75B15" w:rsidP="004634FC">
      <w:pPr>
        <w:spacing w:line="276" w:lineRule="auto"/>
        <w:ind w:firstLine="0"/>
        <w:rPr>
          <w:szCs w:val="24"/>
        </w:rPr>
      </w:pPr>
      <w:r w:rsidRPr="004634FC">
        <w:rPr>
          <w:szCs w:val="24"/>
        </w:rPr>
        <w:t>Therefore, this study encounters some l</w:t>
      </w:r>
      <w:r w:rsidR="00CA118E" w:rsidRPr="004634FC">
        <w:rPr>
          <w:szCs w:val="24"/>
        </w:rPr>
        <w:t>imits. As well as this study is focused</w:t>
      </w:r>
      <w:r w:rsidRPr="004634FC">
        <w:rPr>
          <w:szCs w:val="24"/>
        </w:rPr>
        <w:t xml:space="preserve"> on the aggregate banking sector, a sectoral analysis is needed in order to support and refine the results. This can allow a deeper analysis of credit risk portfolio situation under stress scenario. Also, the size of our data is very limited and the precision degree of our results depends on the availability of a consistent data. However, the long serial of financial indicator data problem is met by almost all the studies in macro stress testing. For the future, the extension of the study may be the measure of the impact on default probabilities of banks for both aggregate and sectoral and the change in capital adequacy ratio against these macroeconomic stressed conditions.</w:t>
      </w:r>
    </w:p>
    <w:p w:rsidR="003A5AD7" w:rsidRDefault="003A5AD7" w:rsidP="00EF4F4C">
      <w:pPr>
        <w:spacing w:line="360" w:lineRule="auto"/>
        <w:ind w:firstLine="0"/>
        <w:jc w:val="left"/>
        <w:rPr>
          <w:b/>
          <w:szCs w:val="24"/>
        </w:rPr>
      </w:pPr>
      <w:r w:rsidRPr="004634FC">
        <w:rPr>
          <w:b/>
          <w:szCs w:val="24"/>
        </w:rPr>
        <w:t>References</w:t>
      </w:r>
    </w:p>
    <w:p w:rsidR="00B51181" w:rsidRDefault="005077C9" w:rsidP="00B51181">
      <w:pPr>
        <w:pStyle w:val="EndNoteBibliography"/>
        <w:spacing w:before="0" w:beforeAutospacing="0"/>
        <w:ind w:firstLine="0"/>
        <w:rPr>
          <w:szCs w:val="24"/>
        </w:rPr>
      </w:pPr>
      <w:r>
        <w:rPr>
          <w:szCs w:val="24"/>
        </w:rPr>
        <w:t xml:space="preserve">[1] </w:t>
      </w:r>
      <w:r w:rsidR="00B51181" w:rsidRPr="004634FC">
        <w:rPr>
          <w:szCs w:val="24"/>
        </w:rPr>
        <w:t>Foglia, A.</w:t>
      </w:r>
      <w:r w:rsidR="0004142E">
        <w:rPr>
          <w:szCs w:val="24"/>
        </w:rPr>
        <w:t>,</w:t>
      </w:r>
      <w:r w:rsidR="00B51181" w:rsidRPr="004634FC">
        <w:rPr>
          <w:szCs w:val="24"/>
        </w:rPr>
        <w:t xml:space="preserve"> </w:t>
      </w:r>
      <w:r w:rsidR="0004142E">
        <w:rPr>
          <w:szCs w:val="24"/>
        </w:rPr>
        <w:t>(</w:t>
      </w:r>
      <w:r w:rsidR="00B51181" w:rsidRPr="004634FC">
        <w:rPr>
          <w:szCs w:val="24"/>
        </w:rPr>
        <w:t>2008</w:t>
      </w:r>
      <w:r w:rsidR="0004142E">
        <w:rPr>
          <w:szCs w:val="24"/>
        </w:rPr>
        <w:t>)</w:t>
      </w:r>
      <w:r w:rsidR="00B51181" w:rsidRPr="004634FC">
        <w:rPr>
          <w:szCs w:val="24"/>
        </w:rPr>
        <w:t xml:space="preserve">. "Stress testing credit risk: a survey of authorities' approaches."  </w:t>
      </w:r>
      <w:r w:rsidR="00B51181" w:rsidRPr="004634FC">
        <w:rPr>
          <w:i/>
          <w:szCs w:val="24"/>
        </w:rPr>
        <w:t>International Journal of Central Banking</w:t>
      </w:r>
      <w:r w:rsidR="00B51181" w:rsidRPr="004634FC">
        <w:rPr>
          <w:szCs w:val="24"/>
        </w:rPr>
        <w:t xml:space="preserve"> 5: 9–45.</w:t>
      </w:r>
    </w:p>
    <w:p w:rsidR="00B51181" w:rsidRPr="004634FC" w:rsidRDefault="00B51181" w:rsidP="00B51181">
      <w:pPr>
        <w:pStyle w:val="EndNoteBibliography"/>
        <w:spacing w:before="0" w:beforeAutospacing="0"/>
        <w:ind w:firstLine="0"/>
        <w:rPr>
          <w:szCs w:val="24"/>
        </w:rPr>
      </w:pPr>
      <w:r>
        <w:rPr>
          <w:szCs w:val="24"/>
        </w:rPr>
        <w:t xml:space="preserve">[2] </w:t>
      </w:r>
      <w:r w:rsidRPr="004634FC">
        <w:rPr>
          <w:szCs w:val="24"/>
        </w:rPr>
        <w:t>Dees, S., J. Henry and R. Martin.</w:t>
      </w:r>
      <w:r w:rsidR="0004142E">
        <w:rPr>
          <w:szCs w:val="24"/>
        </w:rPr>
        <w:t>,</w:t>
      </w:r>
      <w:r w:rsidRPr="004634FC">
        <w:rPr>
          <w:szCs w:val="24"/>
        </w:rPr>
        <w:t xml:space="preserve"> </w:t>
      </w:r>
      <w:r w:rsidR="0004142E">
        <w:rPr>
          <w:szCs w:val="24"/>
        </w:rPr>
        <w:t>(</w:t>
      </w:r>
      <w:r w:rsidRPr="004634FC">
        <w:rPr>
          <w:szCs w:val="24"/>
        </w:rPr>
        <w:t>2017</w:t>
      </w:r>
      <w:r w:rsidR="0004142E">
        <w:rPr>
          <w:szCs w:val="24"/>
        </w:rPr>
        <w:t>)</w:t>
      </w:r>
      <w:r w:rsidRPr="004634FC">
        <w:rPr>
          <w:szCs w:val="24"/>
        </w:rPr>
        <w:t>. "STAMPE: Stress-test analytics for macroprudential purposes in the euro area." Frankfurt: European Central Bank.</w:t>
      </w:r>
    </w:p>
    <w:p w:rsidR="00B51181" w:rsidRDefault="00B51181" w:rsidP="00B51181">
      <w:pPr>
        <w:pStyle w:val="EndNoteBibliography"/>
        <w:spacing w:before="0" w:beforeAutospacing="0"/>
        <w:ind w:firstLine="0"/>
        <w:rPr>
          <w:szCs w:val="24"/>
        </w:rPr>
      </w:pPr>
      <w:r>
        <w:rPr>
          <w:szCs w:val="24"/>
        </w:rPr>
        <w:t xml:space="preserve">[3] </w:t>
      </w:r>
      <w:r w:rsidRPr="004634FC">
        <w:rPr>
          <w:szCs w:val="24"/>
        </w:rPr>
        <w:t>H. de Wet, Albertus R. Van Eyden and R. Gupta.</w:t>
      </w:r>
      <w:r w:rsidR="0004142E">
        <w:rPr>
          <w:szCs w:val="24"/>
        </w:rPr>
        <w:t>,</w:t>
      </w:r>
      <w:r w:rsidRPr="004634FC">
        <w:rPr>
          <w:szCs w:val="24"/>
        </w:rPr>
        <w:t xml:space="preserve"> </w:t>
      </w:r>
      <w:r w:rsidR="0004142E">
        <w:rPr>
          <w:szCs w:val="24"/>
        </w:rPr>
        <w:t>(</w:t>
      </w:r>
      <w:r w:rsidRPr="004634FC">
        <w:rPr>
          <w:szCs w:val="24"/>
        </w:rPr>
        <w:t>2009</w:t>
      </w:r>
      <w:r w:rsidR="0004142E">
        <w:rPr>
          <w:szCs w:val="24"/>
        </w:rPr>
        <w:t>)</w:t>
      </w:r>
      <w:r w:rsidRPr="004634FC">
        <w:rPr>
          <w:szCs w:val="24"/>
        </w:rPr>
        <w:t>. "Linking global economic dynamics to a South African-specific credit risk correlation model."</w:t>
      </w:r>
      <w:r w:rsidRPr="004634FC">
        <w:rPr>
          <w:i/>
          <w:szCs w:val="24"/>
        </w:rPr>
        <w:t xml:space="preserve"> Economic Modelling</w:t>
      </w:r>
      <w:r w:rsidRPr="004634FC">
        <w:rPr>
          <w:szCs w:val="24"/>
        </w:rPr>
        <w:t xml:space="preserve"> 26(5): 1000-1011.</w:t>
      </w:r>
    </w:p>
    <w:p w:rsidR="00B51181" w:rsidRDefault="00B51181" w:rsidP="00B51181">
      <w:pPr>
        <w:pStyle w:val="EndNoteBibliography"/>
        <w:spacing w:before="0" w:beforeAutospacing="0"/>
        <w:ind w:firstLine="0"/>
        <w:rPr>
          <w:szCs w:val="24"/>
        </w:rPr>
      </w:pPr>
      <w:r>
        <w:rPr>
          <w:szCs w:val="24"/>
        </w:rPr>
        <w:t xml:space="preserve">[4] </w:t>
      </w:r>
      <w:r w:rsidRPr="004634FC">
        <w:rPr>
          <w:szCs w:val="24"/>
        </w:rPr>
        <w:t>Havrylchyk, O.</w:t>
      </w:r>
      <w:r w:rsidR="0004142E">
        <w:rPr>
          <w:szCs w:val="24"/>
        </w:rPr>
        <w:t>,</w:t>
      </w:r>
      <w:r w:rsidRPr="004634FC">
        <w:rPr>
          <w:szCs w:val="24"/>
        </w:rPr>
        <w:t xml:space="preserve"> </w:t>
      </w:r>
      <w:r w:rsidR="0004142E">
        <w:rPr>
          <w:szCs w:val="24"/>
        </w:rPr>
        <w:t>(</w:t>
      </w:r>
      <w:r w:rsidRPr="004634FC">
        <w:rPr>
          <w:szCs w:val="24"/>
        </w:rPr>
        <w:t>2010</w:t>
      </w:r>
      <w:r w:rsidR="0004142E">
        <w:rPr>
          <w:szCs w:val="24"/>
        </w:rPr>
        <w:t>)</w:t>
      </w:r>
      <w:r w:rsidRPr="004634FC">
        <w:rPr>
          <w:szCs w:val="24"/>
        </w:rPr>
        <w:t>. A macroeconomic credit risk model for stress testing the South African banking sector, University Library of Munich, Germany.</w:t>
      </w:r>
    </w:p>
    <w:p w:rsidR="00B51181" w:rsidRDefault="00B51181" w:rsidP="00B51181">
      <w:pPr>
        <w:pStyle w:val="EndNoteBibliography"/>
        <w:spacing w:before="0" w:beforeAutospacing="0"/>
        <w:ind w:firstLine="0"/>
        <w:rPr>
          <w:szCs w:val="24"/>
        </w:rPr>
      </w:pPr>
      <w:r>
        <w:rPr>
          <w:szCs w:val="24"/>
        </w:rPr>
        <w:t xml:space="preserve">[5] </w:t>
      </w:r>
      <w:bookmarkStart w:id="1" w:name="_ENREF_1"/>
      <w:r w:rsidRPr="004634FC">
        <w:rPr>
          <w:szCs w:val="24"/>
        </w:rPr>
        <w:t>Aboagye, A. Q. and E. Ahenkora.</w:t>
      </w:r>
      <w:r w:rsidR="0004142E">
        <w:rPr>
          <w:szCs w:val="24"/>
        </w:rPr>
        <w:t>,</w:t>
      </w:r>
      <w:r w:rsidRPr="004634FC">
        <w:rPr>
          <w:szCs w:val="24"/>
        </w:rPr>
        <w:t xml:space="preserve"> </w:t>
      </w:r>
      <w:r w:rsidR="0004142E">
        <w:rPr>
          <w:szCs w:val="24"/>
        </w:rPr>
        <w:t>(</w:t>
      </w:r>
      <w:r w:rsidRPr="004634FC">
        <w:rPr>
          <w:szCs w:val="24"/>
        </w:rPr>
        <w:t>2017</w:t>
      </w:r>
      <w:r w:rsidR="0004142E">
        <w:rPr>
          <w:szCs w:val="24"/>
        </w:rPr>
        <w:t>)</w:t>
      </w:r>
      <w:r w:rsidRPr="004634FC">
        <w:rPr>
          <w:szCs w:val="24"/>
        </w:rPr>
        <w:t xml:space="preserve">. "Stress Testing Exposure of Banks to Sectors of the Ghanaian Economy." </w:t>
      </w:r>
      <w:r w:rsidRPr="004634FC">
        <w:rPr>
          <w:i/>
          <w:szCs w:val="24"/>
        </w:rPr>
        <w:t xml:space="preserve">Journal of African Business </w:t>
      </w:r>
      <w:r w:rsidRPr="004634FC">
        <w:rPr>
          <w:szCs w:val="24"/>
        </w:rPr>
        <w:t>19(1): 27-38.</w:t>
      </w:r>
      <w:bookmarkEnd w:id="1"/>
    </w:p>
    <w:p w:rsidR="00B51181" w:rsidRPr="004634FC" w:rsidRDefault="00B51181" w:rsidP="00B51181">
      <w:pPr>
        <w:pStyle w:val="EndNoteBibliography"/>
        <w:spacing w:before="0" w:beforeAutospacing="0"/>
        <w:ind w:firstLine="0"/>
        <w:rPr>
          <w:szCs w:val="24"/>
        </w:rPr>
      </w:pPr>
      <w:r>
        <w:rPr>
          <w:szCs w:val="24"/>
        </w:rPr>
        <w:t xml:space="preserve">[6] </w:t>
      </w:r>
      <w:r w:rsidRPr="004634FC">
        <w:rPr>
          <w:szCs w:val="24"/>
        </w:rPr>
        <w:t>Farayibi, A.</w:t>
      </w:r>
      <w:r w:rsidR="0004142E">
        <w:rPr>
          <w:szCs w:val="24"/>
        </w:rPr>
        <w:t>,</w:t>
      </w:r>
      <w:r w:rsidRPr="004634FC">
        <w:rPr>
          <w:szCs w:val="24"/>
        </w:rPr>
        <w:t xml:space="preserve"> </w:t>
      </w:r>
      <w:r w:rsidR="0004142E">
        <w:rPr>
          <w:szCs w:val="24"/>
        </w:rPr>
        <w:t>(</w:t>
      </w:r>
      <w:r w:rsidRPr="004634FC">
        <w:rPr>
          <w:szCs w:val="24"/>
        </w:rPr>
        <w:t>2016</w:t>
      </w:r>
      <w:r w:rsidR="0004142E">
        <w:rPr>
          <w:szCs w:val="24"/>
        </w:rPr>
        <w:t>)</w:t>
      </w:r>
      <w:r w:rsidRPr="004634FC">
        <w:rPr>
          <w:szCs w:val="24"/>
        </w:rPr>
        <w:t>. Stress Testing in the Nigerian Banking Sector, University Library of Munich, Germany.</w:t>
      </w:r>
    </w:p>
    <w:p w:rsidR="00B51181" w:rsidRPr="004634FC" w:rsidRDefault="00B51181" w:rsidP="00B51181">
      <w:pPr>
        <w:pStyle w:val="EndNoteBibliography"/>
        <w:spacing w:before="0" w:beforeAutospacing="0"/>
        <w:ind w:firstLine="0"/>
        <w:rPr>
          <w:szCs w:val="24"/>
        </w:rPr>
      </w:pPr>
      <w:r>
        <w:rPr>
          <w:szCs w:val="24"/>
        </w:rPr>
        <w:t xml:space="preserve">[7] </w:t>
      </w:r>
      <w:r w:rsidRPr="004634FC">
        <w:rPr>
          <w:szCs w:val="24"/>
        </w:rPr>
        <w:t xml:space="preserve">Central Bank of Madagascar. </w:t>
      </w:r>
      <w:r w:rsidR="0004142E">
        <w:rPr>
          <w:szCs w:val="24"/>
        </w:rPr>
        <w:t>(</w:t>
      </w:r>
      <w:r w:rsidRPr="004634FC">
        <w:rPr>
          <w:szCs w:val="24"/>
        </w:rPr>
        <w:t>2014a</w:t>
      </w:r>
      <w:r w:rsidR="0004142E">
        <w:rPr>
          <w:szCs w:val="24"/>
        </w:rPr>
        <w:t>)</w:t>
      </w:r>
      <w:r w:rsidRPr="004634FC">
        <w:rPr>
          <w:szCs w:val="24"/>
        </w:rPr>
        <w:t xml:space="preserve">. </w:t>
      </w:r>
      <w:r w:rsidRPr="0004142E">
        <w:rPr>
          <w:i/>
          <w:szCs w:val="24"/>
        </w:rPr>
        <w:t>Financial stability Report 1: 1-96.</w:t>
      </w:r>
    </w:p>
    <w:p w:rsidR="00B51181" w:rsidRPr="004634FC" w:rsidRDefault="00B51181" w:rsidP="00B51181">
      <w:pPr>
        <w:pStyle w:val="EndNoteBibliography"/>
        <w:spacing w:before="0" w:beforeAutospacing="0"/>
        <w:ind w:firstLine="0"/>
        <w:rPr>
          <w:szCs w:val="24"/>
        </w:rPr>
      </w:pPr>
      <w:r>
        <w:rPr>
          <w:szCs w:val="24"/>
        </w:rPr>
        <w:t xml:space="preserve">[8] </w:t>
      </w:r>
      <w:r w:rsidRPr="004634FC">
        <w:rPr>
          <w:szCs w:val="24"/>
        </w:rPr>
        <w:t>Basel committee on banking supervision.</w:t>
      </w:r>
      <w:r w:rsidR="0004142E">
        <w:rPr>
          <w:szCs w:val="24"/>
        </w:rPr>
        <w:t>,</w:t>
      </w:r>
      <w:r w:rsidRPr="004634FC">
        <w:rPr>
          <w:szCs w:val="24"/>
        </w:rPr>
        <w:t xml:space="preserve"> </w:t>
      </w:r>
      <w:r w:rsidR="0004142E">
        <w:rPr>
          <w:szCs w:val="24"/>
        </w:rPr>
        <w:t>(</w:t>
      </w:r>
      <w:r w:rsidRPr="004634FC">
        <w:rPr>
          <w:szCs w:val="24"/>
        </w:rPr>
        <w:t>2009</w:t>
      </w:r>
      <w:r w:rsidR="0004142E">
        <w:rPr>
          <w:szCs w:val="24"/>
        </w:rPr>
        <w:t>)</w:t>
      </w:r>
      <w:r w:rsidRPr="004634FC">
        <w:rPr>
          <w:szCs w:val="24"/>
        </w:rPr>
        <w:t>. “Principles for sound stress testing practices and supervision” BIS: Bank for International Settlements.</w:t>
      </w:r>
    </w:p>
    <w:p w:rsidR="00B51181" w:rsidRDefault="00B51181" w:rsidP="00B51181">
      <w:pPr>
        <w:pStyle w:val="EndNoteBibliography"/>
        <w:spacing w:before="0" w:beforeAutospacing="0"/>
        <w:ind w:firstLine="0"/>
        <w:rPr>
          <w:szCs w:val="24"/>
        </w:rPr>
      </w:pPr>
      <w:r>
        <w:rPr>
          <w:szCs w:val="24"/>
        </w:rPr>
        <w:lastRenderedPageBreak/>
        <w:t xml:space="preserve">[9] </w:t>
      </w:r>
      <w:r w:rsidRPr="004634FC">
        <w:rPr>
          <w:szCs w:val="24"/>
        </w:rPr>
        <w:t>IMF.</w:t>
      </w:r>
      <w:r w:rsidR="0004142E">
        <w:rPr>
          <w:szCs w:val="24"/>
        </w:rPr>
        <w:t>,</w:t>
      </w:r>
      <w:r w:rsidRPr="004634FC">
        <w:rPr>
          <w:szCs w:val="24"/>
        </w:rPr>
        <w:t xml:space="preserve"> </w:t>
      </w:r>
      <w:r w:rsidR="0004142E">
        <w:rPr>
          <w:szCs w:val="24"/>
        </w:rPr>
        <w:t>(</w:t>
      </w:r>
      <w:r w:rsidRPr="004634FC">
        <w:rPr>
          <w:szCs w:val="24"/>
        </w:rPr>
        <w:t>2006</w:t>
      </w:r>
      <w:r w:rsidR="0004142E">
        <w:rPr>
          <w:szCs w:val="24"/>
        </w:rPr>
        <w:t>)</w:t>
      </w:r>
      <w:r w:rsidRPr="004634FC">
        <w:rPr>
          <w:szCs w:val="24"/>
        </w:rPr>
        <w:t>. Republic of Madagascar: Financial System Stability Assessment, including Reports on the Observance of Standards and Codes on the following topics: Banking Supervision, and Anti-Money Laundering. August 15.</w:t>
      </w:r>
    </w:p>
    <w:p w:rsidR="00B51181" w:rsidRPr="004634FC" w:rsidRDefault="00B51181" w:rsidP="00B51181">
      <w:pPr>
        <w:pStyle w:val="EndNoteBibliography"/>
        <w:spacing w:before="0" w:beforeAutospacing="0"/>
        <w:ind w:firstLine="0"/>
        <w:rPr>
          <w:szCs w:val="24"/>
        </w:rPr>
      </w:pPr>
      <w:r>
        <w:rPr>
          <w:szCs w:val="24"/>
        </w:rPr>
        <w:t xml:space="preserve">[10] </w:t>
      </w:r>
      <w:r w:rsidRPr="004634FC">
        <w:rPr>
          <w:szCs w:val="24"/>
        </w:rPr>
        <w:t xml:space="preserve">Central Bank of Madagascar. </w:t>
      </w:r>
      <w:r w:rsidR="0004142E">
        <w:rPr>
          <w:szCs w:val="24"/>
        </w:rPr>
        <w:t>(</w:t>
      </w:r>
      <w:r w:rsidRPr="004634FC">
        <w:rPr>
          <w:szCs w:val="24"/>
        </w:rPr>
        <w:t>2014b</w:t>
      </w:r>
      <w:r w:rsidR="0004142E">
        <w:rPr>
          <w:szCs w:val="24"/>
        </w:rPr>
        <w:t>)</w:t>
      </w:r>
      <w:r w:rsidRPr="004634FC">
        <w:rPr>
          <w:szCs w:val="24"/>
        </w:rPr>
        <w:t xml:space="preserve">. </w:t>
      </w:r>
      <w:r w:rsidRPr="0004142E">
        <w:rPr>
          <w:i/>
          <w:szCs w:val="24"/>
        </w:rPr>
        <w:t>Financial stability Report 2: 1-64.</w:t>
      </w:r>
    </w:p>
    <w:p w:rsidR="00B51181" w:rsidRPr="004634FC" w:rsidRDefault="00B51181" w:rsidP="00B51181">
      <w:pPr>
        <w:pStyle w:val="EndNoteBibliography"/>
        <w:spacing w:before="0" w:beforeAutospacing="0"/>
        <w:ind w:firstLine="0"/>
        <w:rPr>
          <w:szCs w:val="24"/>
        </w:rPr>
      </w:pPr>
      <w:r>
        <w:rPr>
          <w:szCs w:val="24"/>
        </w:rPr>
        <w:t xml:space="preserve">[11] </w:t>
      </w:r>
      <w:r w:rsidRPr="004634FC">
        <w:rPr>
          <w:szCs w:val="24"/>
        </w:rPr>
        <w:t xml:space="preserve">Central Bank of Madagascar. </w:t>
      </w:r>
      <w:r w:rsidR="0004142E">
        <w:rPr>
          <w:szCs w:val="24"/>
        </w:rPr>
        <w:t>(</w:t>
      </w:r>
      <w:r w:rsidRPr="004634FC">
        <w:rPr>
          <w:szCs w:val="24"/>
        </w:rPr>
        <w:t>2015</w:t>
      </w:r>
      <w:r w:rsidR="0004142E">
        <w:rPr>
          <w:szCs w:val="24"/>
        </w:rPr>
        <w:t>)</w:t>
      </w:r>
      <w:r w:rsidRPr="004634FC">
        <w:rPr>
          <w:szCs w:val="24"/>
        </w:rPr>
        <w:t xml:space="preserve">. </w:t>
      </w:r>
      <w:r w:rsidRPr="0004142E">
        <w:rPr>
          <w:i/>
          <w:szCs w:val="24"/>
        </w:rPr>
        <w:t>Financial stability Report 3: 1-73.</w:t>
      </w:r>
      <w:r w:rsidRPr="004634FC">
        <w:rPr>
          <w:szCs w:val="24"/>
        </w:rPr>
        <w:t xml:space="preserve"> </w:t>
      </w:r>
    </w:p>
    <w:p w:rsidR="00B51181" w:rsidRPr="004634FC" w:rsidRDefault="00B51181" w:rsidP="00B51181">
      <w:pPr>
        <w:pStyle w:val="EndNoteBibliography"/>
        <w:spacing w:before="0" w:beforeAutospacing="0"/>
        <w:ind w:firstLine="0"/>
        <w:rPr>
          <w:szCs w:val="24"/>
        </w:rPr>
      </w:pPr>
      <w:r>
        <w:rPr>
          <w:szCs w:val="24"/>
        </w:rPr>
        <w:t xml:space="preserve">[12] </w:t>
      </w:r>
      <w:r w:rsidRPr="004634FC">
        <w:rPr>
          <w:szCs w:val="24"/>
        </w:rPr>
        <w:t xml:space="preserve">Central Bank of Madagascar. </w:t>
      </w:r>
      <w:r w:rsidR="0004142E">
        <w:rPr>
          <w:szCs w:val="24"/>
        </w:rPr>
        <w:t>(</w:t>
      </w:r>
      <w:r w:rsidRPr="004634FC">
        <w:rPr>
          <w:szCs w:val="24"/>
        </w:rPr>
        <w:t>2016</w:t>
      </w:r>
      <w:r w:rsidR="0004142E">
        <w:rPr>
          <w:szCs w:val="24"/>
        </w:rPr>
        <w:t>)</w:t>
      </w:r>
      <w:r w:rsidRPr="004634FC">
        <w:rPr>
          <w:szCs w:val="24"/>
        </w:rPr>
        <w:t xml:space="preserve">. </w:t>
      </w:r>
      <w:r w:rsidRPr="0004142E">
        <w:rPr>
          <w:i/>
          <w:szCs w:val="24"/>
        </w:rPr>
        <w:t>Financial stability Report 4: 1-70.</w:t>
      </w:r>
    </w:p>
    <w:p w:rsidR="00B51181" w:rsidRPr="004634FC" w:rsidRDefault="00B51181" w:rsidP="00B51181">
      <w:pPr>
        <w:pStyle w:val="EndNoteBibliography"/>
        <w:spacing w:before="0" w:beforeAutospacing="0"/>
        <w:ind w:firstLine="0"/>
        <w:rPr>
          <w:szCs w:val="24"/>
        </w:rPr>
      </w:pPr>
      <w:r>
        <w:rPr>
          <w:szCs w:val="24"/>
        </w:rPr>
        <w:t xml:space="preserve">[13] </w:t>
      </w:r>
      <w:r w:rsidRPr="004634FC">
        <w:rPr>
          <w:szCs w:val="24"/>
        </w:rPr>
        <w:t>Pesaran, M. H., T. Schuermann and S. M. Weiner.</w:t>
      </w:r>
      <w:r w:rsidR="0004142E">
        <w:rPr>
          <w:szCs w:val="24"/>
        </w:rPr>
        <w:t>,</w:t>
      </w:r>
      <w:r w:rsidRPr="004634FC">
        <w:rPr>
          <w:szCs w:val="24"/>
        </w:rPr>
        <w:t xml:space="preserve"> </w:t>
      </w:r>
      <w:r w:rsidR="0004142E">
        <w:rPr>
          <w:szCs w:val="24"/>
        </w:rPr>
        <w:t>(</w:t>
      </w:r>
      <w:r w:rsidRPr="004634FC">
        <w:rPr>
          <w:szCs w:val="24"/>
        </w:rPr>
        <w:t>2004</w:t>
      </w:r>
      <w:r w:rsidR="0004142E">
        <w:rPr>
          <w:szCs w:val="24"/>
        </w:rPr>
        <w:t>)</w:t>
      </w:r>
      <w:r w:rsidRPr="004634FC">
        <w:rPr>
          <w:szCs w:val="24"/>
        </w:rPr>
        <w:t xml:space="preserve">. "Modeling regional interdependencies using a global error-correcting macroeconometric model." </w:t>
      </w:r>
      <w:r w:rsidRPr="004634FC">
        <w:rPr>
          <w:i/>
          <w:szCs w:val="24"/>
        </w:rPr>
        <w:t>Journal of Business &amp; Economic Statistics</w:t>
      </w:r>
      <w:r w:rsidRPr="004634FC">
        <w:rPr>
          <w:szCs w:val="24"/>
        </w:rPr>
        <w:t xml:space="preserve"> 22(2): 129-162.</w:t>
      </w:r>
    </w:p>
    <w:p w:rsidR="00B51181" w:rsidRPr="004634FC" w:rsidRDefault="00B51181" w:rsidP="00B51181">
      <w:pPr>
        <w:pStyle w:val="EndNoteBibliography"/>
        <w:spacing w:before="0" w:beforeAutospacing="0"/>
        <w:ind w:firstLine="0"/>
        <w:rPr>
          <w:szCs w:val="24"/>
        </w:rPr>
      </w:pPr>
      <w:bookmarkStart w:id="2" w:name="_ENREF_9"/>
      <w:r>
        <w:rPr>
          <w:szCs w:val="24"/>
        </w:rPr>
        <w:t xml:space="preserve">[14] </w:t>
      </w:r>
      <w:bookmarkEnd w:id="2"/>
      <w:r w:rsidRPr="004634FC">
        <w:rPr>
          <w:szCs w:val="24"/>
        </w:rPr>
        <w:t>Dees, S., F. d. Mauro, M. H. Pesaran and L. V. Smith.</w:t>
      </w:r>
      <w:r w:rsidR="0004142E">
        <w:rPr>
          <w:szCs w:val="24"/>
        </w:rPr>
        <w:t>,</w:t>
      </w:r>
      <w:r w:rsidRPr="004634FC">
        <w:rPr>
          <w:szCs w:val="24"/>
        </w:rPr>
        <w:t xml:space="preserve"> </w:t>
      </w:r>
      <w:r w:rsidR="0004142E">
        <w:rPr>
          <w:szCs w:val="24"/>
        </w:rPr>
        <w:t>(</w:t>
      </w:r>
      <w:r w:rsidRPr="004634FC">
        <w:rPr>
          <w:szCs w:val="24"/>
        </w:rPr>
        <w:t>2007</w:t>
      </w:r>
      <w:r w:rsidR="0004142E">
        <w:rPr>
          <w:szCs w:val="24"/>
        </w:rPr>
        <w:t>)</w:t>
      </w:r>
      <w:r w:rsidRPr="004634FC">
        <w:rPr>
          <w:szCs w:val="24"/>
        </w:rPr>
        <w:t xml:space="preserve">. "Exploring the international linkages of the euro area: a global VAR analysis." </w:t>
      </w:r>
      <w:r w:rsidRPr="004634FC">
        <w:rPr>
          <w:i/>
          <w:szCs w:val="24"/>
        </w:rPr>
        <w:t xml:space="preserve">Journal of applied econometrics </w:t>
      </w:r>
      <w:r w:rsidRPr="004634FC">
        <w:rPr>
          <w:szCs w:val="24"/>
        </w:rPr>
        <w:t xml:space="preserve"> 22(1): 1-38.</w:t>
      </w:r>
    </w:p>
    <w:p w:rsidR="00B51181" w:rsidRPr="004634FC" w:rsidRDefault="00B51181" w:rsidP="00B51181">
      <w:pPr>
        <w:pStyle w:val="EndNoteBibliography"/>
        <w:spacing w:before="0" w:beforeAutospacing="0"/>
        <w:ind w:firstLine="0"/>
        <w:rPr>
          <w:szCs w:val="24"/>
        </w:rPr>
      </w:pPr>
      <w:bookmarkStart w:id="3" w:name="_ENREF_10"/>
      <w:r>
        <w:rPr>
          <w:szCs w:val="24"/>
        </w:rPr>
        <w:t xml:space="preserve">[15] </w:t>
      </w:r>
      <w:bookmarkStart w:id="4" w:name="_ENREF_26"/>
      <w:bookmarkEnd w:id="3"/>
      <w:r w:rsidRPr="004634FC">
        <w:rPr>
          <w:szCs w:val="24"/>
        </w:rPr>
        <w:t>Sorge, M.</w:t>
      </w:r>
      <w:r w:rsidR="0004142E">
        <w:rPr>
          <w:szCs w:val="24"/>
        </w:rPr>
        <w:t>,</w:t>
      </w:r>
      <w:r w:rsidRPr="004634FC">
        <w:rPr>
          <w:szCs w:val="24"/>
        </w:rPr>
        <w:t xml:space="preserve"> </w:t>
      </w:r>
      <w:r w:rsidR="0004142E">
        <w:rPr>
          <w:szCs w:val="24"/>
        </w:rPr>
        <w:t>(</w:t>
      </w:r>
      <w:r w:rsidRPr="004634FC">
        <w:rPr>
          <w:szCs w:val="24"/>
        </w:rPr>
        <w:t>2004</w:t>
      </w:r>
      <w:r w:rsidR="0004142E">
        <w:rPr>
          <w:szCs w:val="24"/>
        </w:rPr>
        <w:t>)</w:t>
      </w:r>
      <w:r w:rsidRPr="004634FC">
        <w:rPr>
          <w:szCs w:val="24"/>
        </w:rPr>
        <w:t>. "Stress-testing financial systems: an overview of current methodologies."</w:t>
      </w:r>
      <w:bookmarkEnd w:id="4"/>
      <w:r w:rsidRPr="004634FC">
        <w:rPr>
          <w:szCs w:val="24"/>
        </w:rPr>
        <w:t xml:space="preserve"> </w:t>
      </w:r>
      <w:r w:rsidRPr="004634FC">
        <w:rPr>
          <w:i/>
          <w:szCs w:val="24"/>
        </w:rPr>
        <w:t>BIS Working papers</w:t>
      </w:r>
      <w:r w:rsidRPr="004634FC">
        <w:rPr>
          <w:szCs w:val="24"/>
        </w:rPr>
        <w:t xml:space="preserve"> 165.</w:t>
      </w:r>
    </w:p>
    <w:p w:rsidR="00B51181" w:rsidRPr="004634FC" w:rsidRDefault="00B51181" w:rsidP="00B51181">
      <w:pPr>
        <w:pStyle w:val="EndNoteBibliography"/>
        <w:spacing w:before="0" w:beforeAutospacing="0"/>
        <w:ind w:firstLine="0"/>
        <w:rPr>
          <w:szCs w:val="24"/>
        </w:rPr>
      </w:pPr>
      <w:r>
        <w:rPr>
          <w:szCs w:val="24"/>
        </w:rPr>
        <w:t xml:space="preserve">[16] </w:t>
      </w:r>
      <w:r w:rsidRPr="004634FC">
        <w:rPr>
          <w:szCs w:val="24"/>
        </w:rPr>
        <w:t>Kalirai, H. and M. Scheicher.</w:t>
      </w:r>
      <w:r w:rsidR="0004142E">
        <w:rPr>
          <w:szCs w:val="24"/>
        </w:rPr>
        <w:t>,</w:t>
      </w:r>
      <w:r w:rsidRPr="004634FC">
        <w:rPr>
          <w:szCs w:val="24"/>
        </w:rPr>
        <w:t xml:space="preserve"> </w:t>
      </w:r>
      <w:r w:rsidR="0004142E">
        <w:rPr>
          <w:szCs w:val="24"/>
        </w:rPr>
        <w:t>(</w:t>
      </w:r>
      <w:r w:rsidRPr="004634FC">
        <w:rPr>
          <w:szCs w:val="24"/>
        </w:rPr>
        <w:t>2002</w:t>
      </w:r>
      <w:r w:rsidR="0004142E">
        <w:rPr>
          <w:szCs w:val="24"/>
        </w:rPr>
        <w:t>)</w:t>
      </w:r>
      <w:r w:rsidRPr="004634FC">
        <w:rPr>
          <w:szCs w:val="24"/>
        </w:rPr>
        <w:t xml:space="preserve">. "Macroeconomic stress testing: preliminary evidence for Austria." </w:t>
      </w:r>
      <w:r w:rsidRPr="004634FC">
        <w:rPr>
          <w:i/>
          <w:szCs w:val="24"/>
        </w:rPr>
        <w:t xml:space="preserve">Financial Stability Report </w:t>
      </w:r>
      <w:r w:rsidRPr="004634FC">
        <w:rPr>
          <w:szCs w:val="24"/>
        </w:rPr>
        <w:t>3: 58-74.</w:t>
      </w:r>
    </w:p>
    <w:p w:rsidR="00B51181" w:rsidRPr="004634FC" w:rsidRDefault="00B51181" w:rsidP="00B51181">
      <w:pPr>
        <w:pStyle w:val="EndNoteBibliography"/>
        <w:spacing w:before="0" w:beforeAutospacing="0"/>
        <w:ind w:firstLine="0"/>
        <w:rPr>
          <w:szCs w:val="24"/>
        </w:rPr>
      </w:pPr>
      <w:bookmarkStart w:id="5" w:name="_ENREF_12"/>
      <w:r>
        <w:rPr>
          <w:szCs w:val="24"/>
        </w:rPr>
        <w:t xml:space="preserve">[17] </w:t>
      </w:r>
      <w:bookmarkEnd w:id="5"/>
      <w:r w:rsidRPr="004634FC">
        <w:rPr>
          <w:szCs w:val="24"/>
        </w:rPr>
        <w:t>Babouček, I. and M. Jančar.</w:t>
      </w:r>
      <w:r w:rsidR="0004142E">
        <w:rPr>
          <w:szCs w:val="24"/>
        </w:rPr>
        <w:t>,</w:t>
      </w:r>
      <w:r w:rsidRPr="004634FC">
        <w:rPr>
          <w:szCs w:val="24"/>
        </w:rPr>
        <w:t xml:space="preserve"> </w:t>
      </w:r>
      <w:r w:rsidR="0004142E">
        <w:rPr>
          <w:szCs w:val="24"/>
        </w:rPr>
        <w:t>(</w:t>
      </w:r>
      <w:r w:rsidRPr="004634FC">
        <w:rPr>
          <w:szCs w:val="24"/>
        </w:rPr>
        <w:t>2005</w:t>
      </w:r>
      <w:r w:rsidR="0004142E">
        <w:rPr>
          <w:szCs w:val="24"/>
        </w:rPr>
        <w:t>)</w:t>
      </w:r>
      <w:r w:rsidRPr="004634FC">
        <w:rPr>
          <w:szCs w:val="24"/>
        </w:rPr>
        <w:t>. Effects of macroeconomic shocks to the quality of the aggregate loan portfolio, Czech National Bank.</w:t>
      </w:r>
    </w:p>
    <w:p w:rsidR="00B51181" w:rsidRDefault="00B51181" w:rsidP="00B51181">
      <w:pPr>
        <w:pStyle w:val="EndNoteBibliography"/>
        <w:spacing w:before="0" w:beforeAutospacing="0"/>
        <w:ind w:firstLine="0"/>
        <w:rPr>
          <w:szCs w:val="24"/>
        </w:rPr>
      </w:pPr>
      <w:r>
        <w:rPr>
          <w:szCs w:val="24"/>
        </w:rPr>
        <w:t xml:space="preserve">[18] </w:t>
      </w:r>
      <w:r w:rsidRPr="004634FC">
        <w:rPr>
          <w:szCs w:val="24"/>
        </w:rPr>
        <w:t>Zeman, J., and Pavol Jurca.</w:t>
      </w:r>
      <w:r w:rsidR="0004142E">
        <w:rPr>
          <w:szCs w:val="24"/>
        </w:rPr>
        <w:t>,</w:t>
      </w:r>
      <w:r w:rsidRPr="004634FC">
        <w:rPr>
          <w:szCs w:val="24"/>
        </w:rPr>
        <w:t xml:space="preserve"> </w:t>
      </w:r>
      <w:r w:rsidR="0004142E">
        <w:rPr>
          <w:szCs w:val="24"/>
        </w:rPr>
        <w:t>(</w:t>
      </w:r>
      <w:r w:rsidRPr="004634FC">
        <w:rPr>
          <w:szCs w:val="24"/>
        </w:rPr>
        <w:t>2008</w:t>
      </w:r>
      <w:r w:rsidR="0004142E">
        <w:rPr>
          <w:szCs w:val="24"/>
        </w:rPr>
        <w:t>)</w:t>
      </w:r>
      <w:r w:rsidRPr="004634FC">
        <w:rPr>
          <w:szCs w:val="24"/>
        </w:rPr>
        <w:t xml:space="preserve">. "Macro stress testing of the Slovak banking sector." </w:t>
      </w:r>
      <w:r w:rsidRPr="004634FC">
        <w:rPr>
          <w:i/>
          <w:szCs w:val="24"/>
        </w:rPr>
        <w:t>National bank of Slovakia working paper 1.</w:t>
      </w:r>
    </w:p>
    <w:p w:rsidR="00B51181" w:rsidRDefault="00B51181" w:rsidP="00B51181">
      <w:pPr>
        <w:pStyle w:val="EndNoteBibliography"/>
        <w:spacing w:before="0" w:beforeAutospacing="0"/>
        <w:ind w:firstLine="0"/>
        <w:rPr>
          <w:szCs w:val="24"/>
        </w:rPr>
      </w:pPr>
      <w:r>
        <w:rPr>
          <w:szCs w:val="24"/>
        </w:rPr>
        <w:t xml:space="preserve">[19] </w:t>
      </w:r>
      <w:r w:rsidRPr="004634FC">
        <w:rPr>
          <w:szCs w:val="24"/>
        </w:rPr>
        <w:t>Virolainen, K.</w:t>
      </w:r>
      <w:r w:rsidR="0004142E">
        <w:rPr>
          <w:szCs w:val="24"/>
        </w:rPr>
        <w:t>,</w:t>
      </w:r>
      <w:r w:rsidRPr="004634FC">
        <w:rPr>
          <w:szCs w:val="24"/>
        </w:rPr>
        <w:t xml:space="preserve"> (2004). "Macro stress testing with a macroeconomic credit risk model for Finland." </w:t>
      </w:r>
      <w:r w:rsidRPr="004634FC">
        <w:rPr>
          <w:i/>
          <w:szCs w:val="24"/>
        </w:rPr>
        <w:t>BOFIT Discussion Paper, 12.</w:t>
      </w:r>
    </w:p>
    <w:p w:rsidR="00B51181" w:rsidRPr="004634FC" w:rsidRDefault="00B51181" w:rsidP="00B51181">
      <w:pPr>
        <w:pStyle w:val="EndNoteBibliography"/>
        <w:spacing w:before="0" w:beforeAutospacing="0"/>
        <w:ind w:firstLine="0"/>
        <w:rPr>
          <w:szCs w:val="24"/>
        </w:rPr>
      </w:pPr>
      <w:r>
        <w:rPr>
          <w:szCs w:val="24"/>
        </w:rPr>
        <w:t xml:space="preserve">[20] </w:t>
      </w:r>
      <w:r w:rsidRPr="004634FC">
        <w:rPr>
          <w:szCs w:val="24"/>
        </w:rPr>
        <w:t>Kosmidou, K. V. and K. A. Moutsianas.</w:t>
      </w:r>
      <w:r w:rsidR="0004142E">
        <w:rPr>
          <w:szCs w:val="24"/>
        </w:rPr>
        <w:t>,</w:t>
      </w:r>
      <w:r w:rsidRPr="004634FC">
        <w:rPr>
          <w:szCs w:val="24"/>
        </w:rPr>
        <w:t xml:space="preserve"> </w:t>
      </w:r>
      <w:r w:rsidR="0004142E">
        <w:rPr>
          <w:szCs w:val="24"/>
        </w:rPr>
        <w:t>(</w:t>
      </w:r>
      <w:r w:rsidRPr="004634FC">
        <w:rPr>
          <w:szCs w:val="24"/>
        </w:rPr>
        <w:t>2015</w:t>
      </w:r>
      <w:r w:rsidR="0004142E">
        <w:rPr>
          <w:szCs w:val="24"/>
        </w:rPr>
        <w:t>)</w:t>
      </w:r>
      <w:r w:rsidRPr="004634FC">
        <w:rPr>
          <w:szCs w:val="24"/>
        </w:rPr>
        <w:t xml:space="preserve">. "Stress testing the Greek banking system." </w:t>
      </w:r>
      <w:r w:rsidRPr="004634FC">
        <w:rPr>
          <w:i/>
          <w:szCs w:val="24"/>
        </w:rPr>
        <w:t>Journal of Finance and Economics</w:t>
      </w:r>
      <w:r w:rsidRPr="004634FC">
        <w:rPr>
          <w:szCs w:val="24"/>
        </w:rPr>
        <w:t xml:space="preserve"> 3(3): 89-102.</w:t>
      </w:r>
    </w:p>
    <w:p w:rsidR="00B51181" w:rsidRPr="004634FC" w:rsidRDefault="00B51181" w:rsidP="00B51181">
      <w:pPr>
        <w:pStyle w:val="EndNoteBibliography"/>
        <w:spacing w:before="0" w:beforeAutospacing="0"/>
        <w:ind w:firstLine="0"/>
        <w:rPr>
          <w:szCs w:val="24"/>
        </w:rPr>
      </w:pPr>
      <w:r>
        <w:rPr>
          <w:szCs w:val="24"/>
        </w:rPr>
        <w:t xml:space="preserve">[21] </w:t>
      </w:r>
      <w:r w:rsidRPr="004634FC">
        <w:rPr>
          <w:szCs w:val="24"/>
        </w:rPr>
        <w:t>Kattai, R.</w:t>
      </w:r>
      <w:r w:rsidR="0004142E">
        <w:rPr>
          <w:szCs w:val="24"/>
        </w:rPr>
        <w:t>,</w:t>
      </w:r>
      <w:r w:rsidRPr="004634FC">
        <w:rPr>
          <w:szCs w:val="24"/>
        </w:rPr>
        <w:t xml:space="preserve"> </w:t>
      </w:r>
      <w:r w:rsidR="0004142E">
        <w:rPr>
          <w:szCs w:val="24"/>
        </w:rPr>
        <w:t>(</w:t>
      </w:r>
      <w:r w:rsidRPr="004634FC">
        <w:rPr>
          <w:szCs w:val="24"/>
        </w:rPr>
        <w:t>2010</w:t>
      </w:r>
      <w:r w:rsidR="0004142E">
        <w:rPr>
          <w:szCs w:val="24"/>
        </w:rPr>
        <w:t>)</w:t>
      </w:r>
      <w:r w:rsidRPr="004634FC">
        <w:rPr>
          <w:szCs w:val="24"/>
        </w:rPr>
        <w:t xml:space="preserve">. "Credit risk model for the Estonian banking sector", </w:t>
      </w:r>
      <w:r w:rsidRPr="004634FC">
        <w:rPr>
          <w:i/>
          <w:szCs w:val="24"/>
        </w:rPr>
        <w:t>Working Papers of Eesti Pank of Eesti Pank</w:t>
      </w:r>
      <w:r w:rsidRPr="004634FC">
        <w:rPr>
          <w:szCs w:val="24"/>
        </w:rPr>
        <w:t>.</w:t>
      </w:r>
    </w:p>
    <w:p w:rsidR="00B51181" w:rsidRPr="004634FC" w:rsidRDefault="00B51181" w:rsidP="00B51181">
      <w:pPr>
        <w:pStyle w:val="EndNoteBibliography"/>
        <w:spacing w:before="0" w:beforeAutospacing="0"/>
        <w:ind w:firstLine="0"/>
        <w:rPr>
          <w:szCs w:val="24"/>
        </w:rPr>
      </w:pPr>
      <w:bookmarkStart w:id="6" w:name="_ENREF_17"/>
      <w:r>
        <w:rPr>
          <w:szCs w:val="24"/>
        </w:rPr>
        <w:t xml:space="preserve">[22] </w:t>
      </w:r>
      <w:bookmarkEnd w:id="6"/>
      <w:r w:rsidRPr="004634FC">
        <w:rPr>
          <w:szCs w:val="24"/>
        </w:rPr>
        <w:t>Åsberg, P. and H. Shahnazarian.</w:t>
      </w:r>
      <w:r w:rsidR="0004142E">
        <w:rPr>
          <w:szCs w:val="24"/>
        </w:rPr>
        <w:t>,</w:t>
      </w:r>
      <w:r w:rsidRPr="004634FC">
        <w:rPr>
          <w:szCs w:val="24"/>
        </w:rPr>
        <w:t xml:space="preserve"> </w:t>
      </w:r>
      <w:r w:rsidR="0004142E">
        <w:rPr>
          <w:szCs w:val="24"/>
        </w:rPr>
        <w:t>(</w:t>
      </w:r>
      <w:r w:rsidRPr="004634FC">
        <w:rPr>
          <w:szCs w:val="24"/>
        </w:rPr>
        <w:t>2008</w:t>
      </w:r>
      <w:r w:rsidR="0004142E">
        <w:rPr>
          <w:szCs w:val="24"/>
        </w:rPr>
        <w:t>)</w:t>
      </w:r>
      <w:r w:rsidRPr="004634FC">
        <w:rPr>
          <w:szCs w:val="24"/>
        </w:rPr>
        <w:t xml:space="preserve">. Macroeconomic impact on expected default frequency, </w:t>
      </w:r>
      <w:r w:rsidRPr="004634FC">
        <w:rPr>
          <w:i/>
          <w:szCs w:val="24"/>
        </w:rPr>
        <w:t>Sveriges Riksbank Working Paper Series.</w:t>
      </w:r>
    </w:p>
    <w:p w:rsidR="00B51181" w:rsidRPr="004634FC" w:rsidRDefault="00B51181" w:rsidP="00B51181">
      <w:pPr>
        <w:pStyle w:val="EndNoteBibliography"/>
        <w:spacing w:before="0" w:beforeAutospacing="0"/>
        <w:ind w:firstLine="0"/>
        <w:rPr>
          <w:szCs w:val="24"/>
        </w:rPr>
      </w:pPr>
      <w:r>
        <w:rPr>
          <w:szCs w:val="24"/>
        </w:rPr>
        <w:t xml:space="preserve">[23] </w:t>
      </w:r>
      <w:r w:rsidRPr="004634FC">
        <w:rPr>
          <w:szCs w:val="24"/>
        </w:rPr>
        <w:t>Blaschke, W., M. S. M. Peria, G. Majnoni and M. T. Jones.</w:t>
      </w:r>
      <w:r w:rsidR="0004142E">
        <w:rPr>
          <w:szCs w:val="24"/>
        </w:rPr>
        <w:t>,</w:t>
      </w:r>
      <w:r w:rsidRPr="004634FC">
        <w:rPr>
          <w:szCs w:val="24"/>
        </w:rPr>
        <w:t xml:space="preserve"> </w:t>
      </w:r>
      <w:r w:rsidR="0004142E">
        <w:rPr>
          <w:szCs w:val="24"/>
        </w:rPr>
        <w:t>(</w:t>
      </w:r>
      <w:r w:rsidRPr="004634FC">
        <w:rPr>
          <w:szCs w:val="24"/>
        </w:rPr>
        <w:t>2001</w:t>
      </w:r>
      <w:r w:rsidR="0004142E">
        <w:rPr>
          <w:szCs w:val="24"/>
        </w:rPr>
        <w:t>)</w:t>
      </w:r>
      <w:r w:rsidRPr="004634FC">
        <w:rPr>
          <w:szCs w:val="24"/>
        </w:rPr>
        <w:t xml:space="preserve">. "Stress testing of financial systems: an overview of issues, methodologies, and FSAP experiences". </w:t>
      </w:r>
      <w:r w:rsidRPr="004634FC">
        <w:rPr>
          <w:i/>
          <w:szCs w:val="24"/>
        </w:rPr>
        <w:t xml:space="preserve">IMF Working Paper, </w:t>
      </w:r>
      <w:r w:rsidRPr="004634FC">
        <w:rPr>
          <w:szCs w:val="24"/>
        </w:rPr>
        <w:t>88.</w:t>
      </w:r>
    </w:p>
    <w:p w:rsidR="00B51181" w:rsidRPr="004634FC" w:rsidRDefault="00B51181" w:rsidP="00B51181">
      <w:pPr>
        <w:pStyle w:val="EndNoteBibliography"/>
        <w:spacing w:before="0" w:beforeAutospacing="0"/>
        <w:ind w:firstLine="0"/>
        <w:rPr>
          <w:szCs w:val="24"/>
        </w:rPr>
      </w:pPr>
      <w:bookmarkStart w:id="7" w:name="_ENREF_19"/>
      <w:r>
        <w:rPr>
          <w:szCs w:val="24"/>
        </w:rPr>
        <w:t xml:space="preserve">[24] </w:t>
      </w:r>
      <w:r w:rsidRPr="004634FC">
        <w:rPr>
          <w:szCs w:val="24"/>
        </w:rPr>
        <w:t>Hoggarth, G., S. Sorensen and L. Zicchino.</w:t>
      </w:r>
      <w:r w:rsidR="0004142E">
        <w:rPr>
          <w:szCs w:val="24"/>
        </w:rPr>
        <w:t>,</w:t>
      </w:r>
      <w:r w:rsidRPr="004634FC">
        <w:rPr>
          <w:szCs w:val="24"/>
        </w:rPr>
        <w:t xml:space="preserve"> </w:t>
      </w:r>
      <w:r w:rsidR="0004142E">
        <w:rPr>
          <w:szCs w:val="24"/>
        </w:rPr>
        <w:t>(</w:t>
      </w:r>
      <w:r w:rsidRPr="004634FC">
        <w:rPr>
          <w:szCs w:val="24"/>
        </w:rPr>
        <w:t>2005</w:t>
      </w:r>
      <w:r w:rsidR="0004142E">
        <w:rPr>
          <w:szCs w:val="24"/>
        </w:rPr>
        <w:t>)</w:t>
      </w:r>
      <w:r w:rsidRPr="004634FC">
        <w:rPr>
          <w:szCs w:val="24"/>
        </w:rPr>
        <w:t xml:space="preserve">. </w:t>
      </w:r>
      <w:bookmarkEnd w:id="7"/>
      <w:r w:rsidRPr="004634FC">
        <w:rPr>
          <w:szCs w:val="24"/>
        </w:rPr>
        <w:t xml:space="preserve">“Macro stress tests of UK banks”. </w:t>
      </w:r>
      <w:r w:rsidRPr="004634FC">
        <w:rPr>
          <w:i/>
          <w:szCs w:val="24"/>
        </w:rPr>
        <w:t>BIS papers</w:t>
      </w:r>
      <w:r w:rsidRPr="004634FC">
        <w:rPr>
          <w:szCs w:val="24"/>
        </w:rPr>
        <w:t xml:space="preserve">.22. Basle: Bank for International Settlements. </w:t>
      </w:r>
    </w:p>
    <w:p w:rsidR="00B51181" w:rsidRDefault="00B51181" w:rsidP="00B51181">
      <w:pPr>
        <w:pStyle w:val="EndNoteBibliography"/>
        <w:spacing w:before="0" w:beforeAutospacing="0"/>
        <w:ind w:firstLine="0"/>
        <w:rPr>
          <w:szCs w:val="24"/>
        </w:rPr>
      </w:pPr>
      <w:r>
        <w:rPr>
          <w:szCs w:val="24"/>
        </w:rPr>
        <w:lastRenderedPageBreak/>
        <w:t xml:space="preserve">[25] </w:t>
      </w:r>
      <w:r w:rsidRPr="004634FC">
        <w:rPr>
          <w:szCs w:val="24"/>
        </w:rPr>
        <w:t>Van den End, J. W., M. Hoeberichts and M. Tabbae.</w:t>
      </w:r>
      <w:r w:rsidR="0004142E">
        <w:rPr>
          <w:szCs w:val="24"/>
        </w:rPr>
        <w:t>,</w:t>
      </w:r>
      <w:r w:rsidRPr="004634FC">
        <w:rPr>
          <w:szCs w:val="24"/>
        </w:rPr>
        <w:t xml:space="preserve"> </w:t>
      </w:r>
      <w:r w:rsidR="0004142E">
        <w:rPr>
          <w:szCs w:val="24"/>
        </w:rPr>
        <w:t>(</w:t>
      </w:r>
      <w:r w:rsidRPr="004634FC">
        <w:rPr>
          <w:szCs w:val="24"/>
        </w:rPr>
        <w:t>2006</w:t>
      </w:r>
      <w:r w:rsidR="00351A84">
        <w:rPr>
          <w:szCs w:val="24"/>
        </w:rPr>
        <w:t>)</w:t>
      </w:r>
      <w:r w:rsidRPr="004634FC">
        <w:rPr>
          <w:szCs w:val="24"/>
        </w:rPr>
        <w:t>. "Modelling scenario analysis and macro stress-testing". De Nederlandsche Bank.</w:t>
      </w:r>
    </w:p>
    <w:p w:rsidR="00B51181" w:rsidRPr="004634FC" w:rsidRDefault="00B51181" w:rsidP="00B51181">
      <w:pPr>
        <w:pStyle w:val="EndNoteBibliography"/>
        <w:spacing w:before="0" w:beforeAutospacing="0"/>
        <w:ind w:firstLine="0"/>
        <w:rPr>
          <w:szCs w:val="24"/>
        </w:rPr>
      </w:pPr>
      <w:r>
        <w:rPr>
          <w:szCs w:val="24"/>
        </w:rPr>
        <w:t xml:space="preserve">[26] </w:t>
      </w:r>
      <w:r w:rsidRPr="004634FC">
        <w:rPr>
          <w:szCs w:val="24"/>
        </w:rPr>
        <w:t>Drehmann, M., S. Sorensen and M. Stringa.</w:t>
      </w:r>
      <w:r w:rsidR="00351A84">
        <w:rPr>
          <w:szCs w:val="24"/>
        </w:rPr>
        <w:t>,</w:t>
      </w:r>
      <w:r w:rsidRPr="004634FC">
        <w:rPr>
          <w:szCs w:val="24"/>
        </w:rPr>
        <w:t xml:space="preserve"> </w:t>
      </w:r>
      <w:r w:rsidR="00351A84">
        <w:rPr>
          <w:szCs w:val="24"/>
        </w:rPr>
        <w:t>(</w:t>
      </w:r>
      <w:r w:rsidRPr="004634FC">
        <w:rPr>
          <w:szCs w:val="24"/>
        </w:rPr>
        <w:t>2006</w:t>
      </w:r>
      <w:r w:rsidR="00351A84">
        <w:rPr>
          <w:szCs w:val="24"/>
        </w:rPr>
        <w:t>)</w:t>
      </w:r>
      <w:r w:rsidRPr="004634FC">
        <w:rPr>
          <w:szCs w:val="24"/>
        </w:rPr>
        <w:t>. "Integrating credit and interest rate risk: A theoretical framework and an application to banks' balance sheets". Bank for International Settlements Conference on “Risk management and regulation in banking”. Switzerland: Basel, Citeseer.</w:t>
      </w:r>
    </w:p>
    <w:p w:rsidR="00B51181" w:rsidRPr="004634FC" w:rsidRDefault="00B51181" w:rsidP="00B51181">
      <w:pPr>
        <w:pStyle w:val="EndNoteBibliography"/>
        <w:spacing w:before="0" w:beforeAutospacing="0"/>
        <w:ind w:firstLine="0"/>
        <w:rPr>
          <w:szCs w:val="24"/>
        </w:rPr>
      </w:pPr>
      <w:r>
        <w:rPr>
          <w:szCs w:val="24"/>
        </w:rPr>
        <w:t xml:space="preserve">[27] </w:t>
      </w:r>
      <w:r w:rsidRPr="004634FC">
        <w:rPr>
          <w:szCs w:val="24"/>
        </w:rPr>
        <w:t>Fong, T. and C. S. Wong.</w:t>
      </w:r>
      <w:r w:rsidR="00351A84">
        <w:rPr>
          <w:szCs w:val="24"/>
        </w:rPr>
        <w:t>,</w:t>
      </w:r>
      <w:r w:rsidRPr="004634FC">
        <w:rPr>
          <w:szCs w:val="24"/>
        </w:rPr>
        <w:t xml:space="preserve"> </w:t>
      </w:r>
      <w:r w:rsidR="00351A84">
        <w:rPr>
          <w:szCs w:val="24"/>
        </w:rPr>
        <w:t>(</w:t>
      </w:r>
      <w:r w:rsidRPr="004634FC">
        <w:rPr>
          <w:szCs w:val="24"/>
        </w:rPr>
        <w:t>2008</w:t>
      </w:r>
      <w:r w:rsidR="00351A84">
        <w:rPr>
          <w:szCs w:val="24"/>
        </w:rPr>
        <w:t>)</w:t>
      </w:r>
      <w:r w:rsidRPr="004634FC">
        <w:rPr>
          <w:szCs w:val="24"/>
        </w:rPr>
        <w:t>. "Stress testing banks' credit risk using mixture vector autoregressive models."</w:t>
      </w:r>
    </w:p>
    <w:p w:rsidR="00B51181" w:rsidRDefault="00B51181" w:rsidP="00B51181">
      <w:pPr>
        <w:pStyle w:val="EndNoteBibliography"/>
        <w:spacing w:before="0" w:beforeAutospacing="0"/>
        <w:ind w:firstLine="0"/>
        <w:rPr>
          <w:szCs w:val="24"/>
        </w:rPr>
      </w:pPr>
      <w:bookmarkStart w:id="8" w:name="_ENREF_20"/>
      <w:r>
        <w:rPr>
          <w:szCs w:val="24"/>
        </w:rPr>
        <w:t xml:space="preserve">[28] </w:t>
      </w:r>
      <w:bookmarkEnd w:id="8"/>
      <w:r w:rsidRPr="004634FC">
        <w:rPr>
          <w:szCs w:val="24"/>
        </w:rPr>
        <w:t>Pesaran, M. H., T. Schuermann, B.-J. Treutler and S. M. Weiner.</w:t>
      </w:r>
      <w:r w:rsidR="00351A84">
        <w:rPr>
          <w:szCs w:val="24"/>
        </w:rPr>
        <w:t>,</w:t>
      </w:r>
      <w:r w:rsidRPr="004634FC">
        <w:rPr>
          <w:szCs w:val="24"/>
        </w:rPr>
        <w:t xml:space="preserve"> </w:t>
      </w:r>
      <w:r w:rsidR="00351A84">
        <w:rPr>
          <w:szCs w:val="24"/>
        </w:rPr>
        <w:t>(</w:t>
      </w:r>
      <w:r w:rsidRPr="004634FC">
        <w:rPr>
          <w:szCs w:val="24"/>
        </w:rPr>
        <w:t>2006</w:t>
      </w:r>
      <w:r w:rsidR="00351A84">
        <w:rPr>
          <w:szCs w:val="24"/>
        </w:rPr>
        <w:t>)</w:t>
      </w:r>
      <w:r w:rsidRPr="004634FC">
        <w:rPr>
          <w:szCs w:val="24"/>
        </w:rPr>
        <w:t>. "Macroeconomic dynamics and credit risk: a global perspective."</w:t>
      </w:r>
      <w:r w:rsidRPr="004634FC">
        <w:rPr>
          <w:i/>
          <w:szCs w:val="24"/>
        </w:rPr>
        <w:t xml:space="preserve"> Journal of Money, Credit, and Banking</w:t>
      </w:r>
      <w:r w:rsidRPr="004634FC">
        <w:rPr>
          <w:szCs w:val="24"/>
        </w:rPr>
        <w:t xml:space="preserve"> 38(5): 1211-1261.</w:t>
      </w:r>
    </w:p>
    <w:p w:rsidR="00B51181" w:rsidRPr="004634FC" w:rsidRDefault="00B51181" w:rsidP="00B51181">
      <w:pPr>
        <w:pStyle w:val="EndNoteBibliography"/>
        <w:spacing w:before="0" w:beforeAutospacing="0"/>
        <w:ind w:firstLine="0"/>
        <w:rPr>
          <w:szCs w:val="24"/>
        </w:rPr>
      </w:pPr>
      <w:bookmarkStart w:id="9" w:name="_ENREF_21"/>
      <w:r>
        <w:rPr>
          <w:szCs w:val="24"/>
        </w:rPr>
        <w:t xml:space="preserve">[29] </w:t>
      </w:r>
      <w:bookmarkStart w:id="10" w:name="_ENREF_14"/>
      <w:bookmarkEnd w:id="9"/>
      <w:r w:rsidRPr="004634FC">
        <w:rPr>
          <w:szCs w:val="24"/>
        </w:rPr>
        <w:t>Fong</w:t>
      </w:r>
      <w:r w:rsidR="00351A84">
        <w:rPr>
          <w:szCs w:val="24"/>
        </w:rPr>
        <w:t>, P., W. Li, C. Yau and C. Wong</w:t>
      </w:r>
      <w:r w:rsidRPr="004634FC">
        <w:rPr>
          <w:szCs w:val="24"/>
        </w:rPr>
        <w:t>.</w:t>
      </w:r>
      <w:r w:rsidR="00351A84">
        <w:rPr>
          <w:szCs w:val="24"/>
        </w:rPr>
        <w:t>, (</w:t>
      </w:r>
      <w:r w:rsidRPr="004634FC">
        <w:rPr>
          <w:szCs w:val="24"/>
        </w:rPr>
        <w:t>2007</w:t>
      </w:r>
      <w:r w:rsidR="00351A84">
        <w:rPr>
          <w:szCs w:val="24"/>
        </w:rPr>
        <w:t>)</w:t>
      </w:r>
      <w:r w:rsidRPr="004634FC">
        <w:rPr>
          <w:szCs w:val="24"/>
        </w:rPr>
        <w:t xml:space="preserve">. "On a mixture vector autoregressive model." </w:t>
      </w:r>
      <w:r w:rsidRPr="004634FC">
        <w:rPr>
          <w:i/>
          <w:szCs w:val="24"/>
        </w:rPr>
        <w:t xml:space="preserve">Canadian Journal of Statistics </w:t>
      </w:r>
      <w:r w:rsidRPr="004634FC">
        <w:rPr>
          <w:b/>
          <w:szCs w:val="24"/>
        </w:rPr>
        <w:t>35(</w:t>
      </w:r>
      <w:r w:rsidRPr="004634FC">
        <w:rPr>
          <w:szCs w:val="24"/>
        </w:rPr>
        <w:t>1): 135-150.</w:t>
      </w:r>
      <w:bookmarkEnd w:id="10"/>
    </w:p>
    <w:p w:rsidR="00B51181" w:rsidRPr="004634FC" w:rsidRDefault="00B51181" w:rsidP="00B51181">
      <w:pPr>
        <w:pStyle w:val="EndNoteBibliography"/>
        <w:spacing w:before="0" w:beforeAutospacing="0"/>
        <w:ind w:firstLine="0"/>
        <w:rPr>
          <w:szCs w:val="24"/>
        </w:rPr>
      </w:pPr>
      <w:r>
        <w:rPr>
          <w:szCs w:val="24"/>
        </w:rPr>
        <w:t xml:space="preserve">[30] </w:t>
      </w:r>
      <w:r w:rsidRPr="004634FC">
        <w:rPr>
          <w:szCs w:val="24"/>
        </w:rPr>
        <w:t>Castrén, O., S. Dées and F. Zaher.</w:t>
      </w:r>
      <w:r w:rsidR="00351A84">
        <w:rPr>
          <w:szCs w:val="24"/>
        </w:rPr>
        <w:t>,</w:t>
      </w:r>
      <w:r w:rsidRPr="004634FC">
        <w:rPr>
          <w:szCs w:val="24"/>
        </w:rPr>
        <w:t xml:space="preserve"> </w:t>
      </w:r>
      <w:r w:rsidR="00351A84">
        <w:rPr>
          <w:szCs w:val="24"/>
        </w:rPr>
        <w:t>(</w:t>
      </w:r>
      <w:r w:rsidRPr="004634FC">
        <w:rPr>
          <w:szCs w:val="24"/>
        </w:rPr>
        <w:t>2010</w:t>
      </w:r>
      <w:r w:rsidR="00351A84">
        <w:rPr>
          <w:szCs w:val="24"/>
        </w:rPr>
        <w:t>)</w:t>
      </w:r>
      <w:r w:rsidRPr="004634FC">
        <w:rPr>
          <w:szCs w:val="24"/>
        </w:rPr>
        <w:t xml:space="preserve">. "Stress-testing euro area corporate default probabilities using a global macroeconomic model." </w:t>
      </w:r>
      <w:r w:rsidRPr="004634FC">
        <w:rPr>
          <w:i/>
          <w:szCs w:val="24"/>
        </w:rPr>
        <w:t xml:space="preserve">Journal of Financial Stability </w:t>
      </w:r>
      <w:r w:rsidRPr="004634FC">
        <w:rPr>
          <w:szCs w:val="24"/>
        </w:rPr>
        <w:t>6(2): 64-78.</w:t>
      </w:r>
    </w:p>
    <w:p w:rsidR="00585FEF" w:rsidRPr="004634FC" w:rsidRDefault="00585FEF" w:rsidP="00585FEF">
      <w:pPr>
        <w:pStyle w:val="EndNoteBibliography"/>
        <w:spacing w:before="0" w:beforeAutospacing="0"/>
        <w:ind w:firstLine="0"/>
        <w:rPr>
          <w:szCs w:val="24"/>
        </w:rPr>
      </w:pPr>
      <w:r>
        <w:rPr>
          <w:szCs w:val="24"/>
        </w:rPr>
        <w:t xml:space="preserve">[31] </w:t>
      </w:r>
      <w:bookmarkStart w:id="11" w:name="_ENREF_3"/>
      <w:r w:rsidRPr="004634FC">
        <w:rPr>
          <w:szCs w:val="24"/>
        </w:rPr>
        <w:t>Alessandri, P., P. Gai, S. Kapadia, N. Mora and C. Puhr.</w:t>
      </w:r>
      <w:r w:rsidR="00351A84">
        <w:rPr>
          <w:szCs w:val="24"/>
        </w:rPr>
        <w:t>,</w:t>
      </w:r>
      <w:r w:rsidRPr="004634FC">
        <w:rPr>
          <w:szCs w:val="24"/>
        </w:rPr>
        <w:t xml:space="preserve"> </w:t>
      </w:r>
      <w:r w:rsidR="00351A84">
        <w:rPr>
          <w:szCs w:val="24"/>
        </w:rPr>
        <w:t>(</w:t>
      </w:r>
      <w:r w:rsidRPr="004634FC">
        <w:rPr>
          <w:szCs w:val="24"/>
        </w:rPr>
        <w:t>2009</w:t>
      </w:r>
      <w:r w:rsidR="00351A84">
        <w:rPr>
          <w:szCs w:val="24"/>
        </w:rPr>
        <w:t>)</w:t>
      </w:r>
      <w:r w:rsidRPr="004634FC">
        <w:rPr>
          <w:szCs w:val="24"/>
        </w:rPr>
        <w:t xml:space="preserve">. "Towards a framework for quantifying systemic stability." </w:t>
      </w:r>
      <w:r w:rsidRPr="004634FC">
        <w:rPr>
          <w:i/>
          <w:szCs w:val="24"/>
        </w:rPr>
        <w:t xml:space="preserve">International Journal of Central Banking </w:t>
      </w:r>
      <w:r w:rsidRPr="004634FC">
        <w:rPr>
          <w:szCs w:val="24"/>
        </w:rPr>
        <w:t>5(3): 47-81.</w:t>
      </w:r>
      <w:bookmarkEnd w:id="11"/>
    </w:p>
    <w:p w:rsidR="00B51181" w:rsidRPr="009D4065" w:rsidRDefault="00585FEF" w:rsidP="00F735DF">
      <w:pPr>
        <w:pStyle w:val="EndNoteBibliography"/>
        <w:spacing w:before="0" w:beforeAutospacing="0"/>
        <w:ind w:firstLine="0"/>
        <w:rPr>
          <w:szCs w:val="24"/>
        </w:rPr>
      </w:pPr>
      <w:r>
        <w:rPr>
          <w:szCs w:val="24"/>
        </w:rPr>
        <w:t>[32]</w:t>
      </w:r>
      <w:r w:rsidR="00F735DF">
        <w:rPr>
          <w:szCs w:val="24"/>
        </w:rPr>
        <w:t xml:space="preserve"> D. Hardy </w:t>
      </w:r>
      <w:r w:rsidR="00F735DF">
        <w:rPr>
          <w:szCs w:val="24"/>
        </w:rPr>
        <w:t xml:space="preserve">and </w:t>
      </w:r>
      <w:r w:rsidR="00F735DF">
        <w:rPr>
          <w:szCs w:val="24"/>
        </w:rPr>
        <w:t>I. Guerra.</w:t>
      </w:r>
      <w:r w:rsidR="00351A84">
        <w:rPr>
          <w:szCs w:val="24"/>
        </w:rPr>
        <w:t>,</w:t>
      </w:r>
      <w:r w:rsidR="00F735DF">
        <w:rPr>
          <w:szCs w:val="24"/>
        </w:rPr>
        <w:t xml:space="preserve"> </w:t>
      </w:r>
      <w:r w:rsidR="00F735DF" w:rsidRPr="00351A84">
        <w:rPr>
          <w:szCs w:val="24"/>
        </w:rPr>
        <w:t xml:space="preserve">(2016). </w:t>
      </w:r>
      <w:r w:rsidR="00F735DF">
        <w:rPr>
          <w:szCs w:val="24"/>
          <w:lang w:val="fr-FR"/>
        </w:rPr>
        <w:t>République de M</w:t>
      </w:r>
      <w:r w:rsidR="00F735DF" w:rsidRPr="00F735DF">
        <w:rPr>
          <w:szCs w:val="24"/>
          <w:lang w:val="fr-FR"/>
        </w:rPr>
        <w:t>adagascar</w:t>
      </w:r>
      <w:r w:rsidR="00F735DF">
        <w:rPr>
          <w:szCs w:val="24"/>
          <w:lang w:val="fr-FR"/>
        </w:rPr>
        <w:t>,</w:t>
      </w:r>
      <w:r w:rsidR="00F735DF" w:rsidRPr="00F735DF">
        <w:rPr>
          <w:szCs w:val="24"/>
          <w:lang w:val="fr-FR"/>
        </w:rPr>
        <w:t xml:space="preserve"> Évaluation de la stabilité du système</w:t>
      </w:r>
      <w:r w:rsidR="00F735DF">
        <w:rPr>
          <w:szCs w:val="24"/>
          <w:lang w:val="fr-FR"/>
        </w:rPr>
        <w:t xml:space="preserve"> </w:t>
      </w:r>
      <w:r w:rsidR="00F735DF" w:rsidRPr="00F735DF">
        <w:rPr>
          <w:szCs w:val="24"/>
          <w:lang w:val="fr-FR"/>
        </w:rPr>
        <w:t>Financier</w:t>
      </w:r>
      <w:r w:rsidR="00F735DF">
        <w:rPr>
          <w:szCs w:val="24"/>
          <w:lang w:val="fr-FR"/>
        </w:rPr>
        <w:t xml:space="preserve">. </w:t>
      </w:r>
      <w:r w:rsidR="00F735DF" w:rsidRPr="009D4065">
        <w:rPr>
          <w:szCs w:val="24"/>
        </w:rPr>
        <w:t xml:space="preserve">International Monetary Fund. </w:t>
      </w:r>
    </w:p>
    <w:p w:rsidR="00585FEF" w:rsidRDefault="00585FEF" w:rsidP="00585FEF">
      <w:pPr>
        <w:pStyle w:val="EndNoteBibliography"/>
        <w:spacing w:before="0" w:beforeAutospacing="0"/>
        <w:ind w:firstLine="0"/>
        <w:rPr>
          <w:szCs w:val="24"/>
        </w:rPr>
      </w:pPr>
      <w:bookmarkStart w:id="12" w:name="_ENREF_25"/>
      <w:r>
        <w:rPr>
          <w:szCs w:val="24"/>
        </w:rPr>
        <w:t xml:space="preserve">[33] </w:t>
      </w:r>
      <w:bookmarkEnd w:id="12"/>
      <w:r w:rsidRPr="004634FC">
        <w:rPr>
          <w:szCs w:val="24"/>
        </w:rPr>
        <w:t xml:space="preserve">Smith, L. V. and A. Galesi. </w:t>
      </w:r>
      <w:r w:rsidR="00351A84">
        <w:rPr>
          <w:szCs w:val="24"/>
        </w:rPr>
        <w:t>(</w:t>
      </w:r>
      <w:r w:rsidRPr="004634FC">
        <w:rPr>
          <w:szCs w:val="24"/>
        </w:rPr>
        <w:t>2014</w:t>
      </w:r>
      <w:r w:rsidR="00351A84">
        <w:rPr>
          <w:szCs w:val="24"/>
        </w:rPr>
        <w:t>)</w:t>
      </w:r>
      <w:r w:rsidRPr="004634FC">
        <w:rPr>
          <w:szCs w:val="24"/>
        </w:rPr>
        <w:t xml:space="preserve">. "GVAR Toolbox 2.0", </w:t>
      </w:r>
      <w:r w:rsidRPr="00351A84">
        <w:rPr>
          <w:i/>
          <w:szCs w:val="24"/>
        </w:rPr>
        <w:t>User guide.</w:t>
      </w:r>
    </w:p>
    <w:p w:rsidR="00585FEF" w:rsidRDefault="00585FEF" w:rsidP="00B51181">
      <w:pPr>
        <w:pStyle w:val="EndNoteBibliography"/>
        <w:spacing w:before="0" w:beforeAutospacing="0"/>
        <w:ind w:firstLine="0"/>
        <w:rPr>
          <w:szCs w:val="24"/>
        </w:rPr>
      </w:pPr>
    </w:p>
    <w:p w:rsidR="00B51181" w:rsidRPr="004634FC" w:rsidRDefault="00B51181" w:rsidP="00B51181">
      <w:pPr>
        <w:pStyle w:val="EndNoteBibliography"/>
        <w:spacing w:before="0" w:beforeAutospacing="0"/>
        <w:ind w:firstLine="0"/>
        <w:rPr>
          <w:szCs w:val="24"/>
        </w:rPr>
      </w:pPr>
    </w:p>
    <w:p w:rsidR="00B51181" w:rsidRPr="004634FC" w:rsidRDefault="00B51181" w:rsidP="00B51181">
      <w:pPr>
        <w:pStyle w:val="EndNoteBibliography"/>
        <w:spacing w:before="0" w:beforeAutospacing="0"/>
        <w:ind w:firstLine="0"/>
        <w:rPr>
          <w:szCs w:val="24"/>
        </w:rPr>
      </w:pPr>
    </w:p>
    <w:p w:rsidR="00B51181" w:rsidRPr="004634FC" w:rsidRDefault="00B51181" w:rsidP="00B51181">
      <w:pPr>
        <w:pStyle w:val="EndNoteBibliography"/>
        <w:spacing w:before="0" w:beforeAutospacing="0"/>
        <w:ind w:firstLine="0"/>
        <w:rPr>
          <w:szCs w:val="24"/>
        </w:rPr>
      </w:pPr>
    </w:p>
    <w:p w:rsidR="00B51181" w:rsidRPr="004634FC" w:rsidRDefault="00B51181" w:rsidP="00B51181">
      <w:pPr>
        <w:pStyle w:val="EndNoteBibliography"/>
        <w:spacing w:before="0" w:beforeAutospacing="0"/>
        <w:ind w:firstLine="0"/>
        <w:rPr>
          <w:szCs w:val="24"/>
        </w:rPr>
      </w:pPr>
    </w:p>
    <w:p w:rsidR="00B51181" w:rsidRDefault="002C4720" w:rsidP="005077C9">
      <w:pPr>
        <w:pStyle w:val="EndNoteBibliography"/>
        <w:spacing w:before="0" w:beforeAutospacing="0"/>
        <w:ind w:firstLine="0"/>
        <w:rPr>
          <w:szCs w:val="24"/>
        </w:rPr>
      </w:pPr>
      <w:r w:rsidRPr="004634FC">
        <w:rPr>
          <w:szCs w:val="24"/>
        </w:rPr>
        <w:fldChar w:fldCharType="begin"/>
      </w:r>
      <w:r w:rsidRPr="004634FC">
        <w:rPr>
          <w:szCs w:val="24"/>
        </w:rPr>
        <w:instrText xml:space="preserve"> ADDIN EN.REFLIST </w:instrText>
      </w:r>
      <w:r w:rsidRPr="004634FC">
        <w:rPr>
          <w:szCs w:val="24"/>
        </w:rPr>
        <w:fldChar w:fldCharType="separate"/>
      </w:r>
      <w:bookmarkStart w:id="13" w:name="_ENREF_4"/>
    </w:p>
    <w:bookmarkEnd w:id="13"/>
    <w:p w:rsidR="00E612E0" w:rsidRPr="004634FC" w:rsidRDefault="002C4720" w:rsidP="00B935A7">
      <w:pPr>
        <w:tabs>
          <w:tab w:val="left" w:pos="3456"/>
        </w:tabs>
        <w:spacing w:before="0" w:beforeAutospacing="0"/>
        <w:ind w:firstLine="0"/>
        <w:rPr>
          <w:szCs w:val="24"/>
        </w:rPr>
      </w:pPr>
      <w:r w:rsidRPr="004634FC">
        <w:rPr>
          <w:szCs w:val="24"/>
        </w:rPr>
        <w:fldChar w:fldCharType="end"/>
      </w:r>
      <w:r w:rsidR="001C1972" w:rsidRPr="005077C9">
        <w:rPr>
          <w:szCs w:val="24"/>
        </w:rPr>
        <w:br w:type="page"/>
      </w:r>
      <w:r w:rsidRPr="004634FC">
        <w:rPr>
          <w:b/>
          <w:szCs w:val="24"/>
        </w:rPr>
        <w:lastRenderedPageBreak/>
        <w:t xml:space="preserve"> </w:t>
      </w:r>
      <w:r w:rsidR="00E612E0" w:rsidRPr="004634FC">
        <w:rPr>
          <w:szCs w:val="24"/>
        </w:rPr>
        <w:t>APPENDIX</w:t>
      </w:r>
    </w:p>
    <w:p w:rsidR="00E612E0" w:rsidRPr="004634FC" w:rsidRDefault="00B40063" w:rsidP="005077C9">
      <w:pPr>
        <w:pStyle w:val="Caption"/>
        <w:spacing w:before="0" w:beforeAutospacing="0" w:after="0" w:afterAutospacing="0" w:line="360" w:lineRule="auto"/>
        <w:rPr>
          <w:b w:val="0"/>
          <w:bCs w:val="0"/>
          <w:color w:val="auto"/>
          <w:sz w:val="24"/>
          <w:szCs w:val="24"/>
        </w:rPr>
      </w:pPr>
      <w:r w:rsidRPr="004634FC">
        <w:rPr>
          <w:b w:val="0"/>
          <w:bCs w:val="0"/>
          <w:color w:val="auto"/>
          <w:sz w:val="24"/>
          <w:szCs w:val="24"/>
        </w:rPr>
        <w:t xml:space="preserve">Appendix </w:t>
      </w:r>
      <w:r w:rsidRPr="004634FC">
        <w:rPr>
          <w:b w:val="0"/>
          <w:bCs w:val="0"/>
          <w:color w:val="auto"/>
          <w:sz w:val="24"/>
          <w:szCs w:val="24"/>
        </w:rPr>
        <w:fldChar w:fldCharType="begin"/>
      </w:r>
      <w:r w:rsidRPr="004634FC">
        <w:rPr>
          <w:b w:val="0"/>
          <w:bCs w:val="0"/>
          <w:color w:val="auto"/>
          <w:sz w:val="24"/>
          <w:szCs w:val="24"/>
        </w:rPr>
        <w:instrText xml:space="preserve"> SEQ Appendix \* ARABIC </w:instrText>
      </w:r>
      <w:r w:rsidRPr="004634FC">
        <w:rPr>
          <w:b w:val="0"/>
          <w:bCs w:val="0"/>
          <w:color w:val="auto"/>
          <w:sz w:val="24"/>
          <w:szCs w:val="24"/>
        </w:rPr>
        <w:fldChar w:fldCharType="separate"/>
      </w:r>
      <w:r w:rsidR="00334DD9">
        <w:rPr>
          <w:b w:val="0"/>
          <w:bCs w:val="0"/>
          <w:noProof/>
          <w:color w:val="auto"/>
          <w:sz w:val="24"/>
          <w:szCs w:val="24"/>
        </w:rPr>
        <w:t>1</w:t>
      </w:r>
      <w:r w:rsidRPr="004634FC">
        <w:rPr>
          <w:b w:val="0"/>
          <w:bCs w:val="0"/>
          <w:color w:val="auto"/>
          <w:sz w:val="24"/>
          <w:szCs w:val="24"/>
        </w:rPr>
        <w:fldChar w:fldCharType="end"/>
      </w:r>
      <w:r w:rsidRPr="004634FC">
        <w:rPr>
          <w:b w:val="0"/>
          <w:bCs w:val="0"/>
          <w:color w:val="auto"/>
          <w:sz w:val="24"/>
          <w:szCs w:val="24"/>
        </w:rPr>
        <w:t xml:space="preserve">: </w:t>
      </w:r>
      <w:r w:rsidR="00E64DAC" w:rsidRPr="004634FC">
        <w:rPr>
          <w:b w:val="0"/>
          <w:bCs w:val="0"/>
          <w:color w:val="auto"/>
          <w:sz w:val="24"/>
          <w:szCs w:val="24"/>
        </w:rPr>
        <w:t>Descriptive statistics of domestic, foreign and global variables</w:t>
      </w:r>
    </w:p>
    <w:p w:rsidR="00EE6014" w:rsidRPr="004634FC" w:rsidRDefault="00EE6014" w:rsidP="005077C9">
      <w:pPr>
        <w:pStyle w:val="Caption"/>
        <w:spacing w:before="0" w:beforeAutospacing="0" w:after="0" w:afterAutospacing="0" w:line="360" w:lineRule="auto"/>
        <w:ind w:firstLine="0"/>
        <w:jc w:val="center"/>
        <w:rPr>
          <w:color w:val="auto"/>
          <w:sz w:val="24"/>
          <w:szCs w:val="24"/>
        </w:rPr>
      </w:pPr>
      <w:r w:rsidRPr="004634FC">
        <w:rPr>
          <w:b w:val="0"/>
          <w:bCs w:val="0"/>
          <w:color w:val="auto"/>
          <w:sz w:val="24"/>
          <w:szCs w:val="24"/>
        </w:rPr>
        <w:t xml:space="preserve">Table </w:t>
      </w:r>
      <w:r w:rsidRPr="004634FC">
        <w:rPr>
          <w:b w:val="0"/>
          <w:bCs w:val="0"/>
          <w:color w:val="auto"/>
          <w:sz w:val="24"/>
          <w:szCs w:val="24"/>
        </w:rPr>
        <w:fldChar w:fldCharType="begin"/>
      </w:r>
      <w:r w:rsidRPr="004634FC">
        <w:rPr>
          <w:b w:val="0"/>
          <w:bCs w:val="0"/>
          <w:color w:val="auto"/>
          <w:sz w:val="24"/>
          <w:szCs w:val="24"/>
        </w:rPr>
        <w:instrText xml:space="preserve"> SEQ Table \* ARABIC </w:instrText>
      </w:r>
      <w:r w:rsidRPr="004634FC">
        <w:rPr>
          <w:b w:val="0"/>
          <w:bCs w:val="0"/>
          <w:color w:val="auto"/>
          <w:sz w:val="24"/>
          <w:szCs w:val="24"/>
        </w:rPr>
        <w:fldChar w:fldCharType="separate"/>
      </w:r>
      <w:r w:rsidR="00334DD9">
        <w:rPr>
          <w:b w:val="0"/>
          <w:bCs w:val="0"/>
          <w:noProof/>
          <w:color w:val="auto"/>
          <w:sz w:val="24"/>
          <w:szCs w:val="24"/>
        </w:rPr>
        <w:t>6</w:t>
      </w:r>
      <w:r w:rsidRPr="004634FC">
        <w:rPr>
          <w:b w:val="0"/>
          <w:bCs w:val="0"/>
          <w:color w:val="auto"/>
          <w:sz w:val="24"/>
          <w:szCs w:val="24"/>
        </w:rPr>
        <w:fldChar w:fldCharType="end"/>
      </w:r>
      <w:r w:rsidRPr="004634FC">
        <w:rPr>
          <w:b w:val="0"/>
          <w:bCs w:val="0"/>
          <w:color w:val="auto"/>
          <w:sz w:val="24"/>
          <w:szCs w:val="24"/>
        </w:rPr>
        <w:t>: Descriptive Statistics of Domestic Variables</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5"/>
        <w:gridCol w:w="1274"/>
        <w:gridCol w:w="1274"/>
        <w:gridCol w:w="1274"/>
        <w:gridCol w:w="1274"/>
      </w:tblGrid>
      <w:tr w:rsidR="009D4065" w:rsidRPr="00EA38D2" w:rsidTr="00EA38D2">
        <w:trPr>
          <w:trHeight w:val="397"/>
        </w:trPr>
        <w:tc>
          <w:tcPr>
            <w:tcW w:w="2660" w:type="dxa"/>
            <w:shd w:val="clear" w:color="auto" w:fill="auto"/>
            <w:noWrap/>
            <w:vAlign w:val="center"/>
            <w:hideMark/>
          </w:tcPr>
          <w:p w:rsidR="00EE6014" w:rsidRPr="00EA38D2" w:rsidRDefault="002A0E71" w:rsidP="00EA38D2">
            <w:pPr>
              <w:spacing w:before="0" w:beforeAutospacing="0" w:after="0" w:afterAutospacing="0"/>
              <w:ind w:firstLine="0"/>
              <w:jc w:val="left"/>
              <w:rPr>
                <w:rFonts w:eastAsia="Times New Roman"/>
                <w:b/>
                <w:sz w:val="20"/>
                <w:lang w:eastAsia="fr-FR"/>
              </w:rPr>
            </w:pPr>
            <w:r w:rsidRPr="00EA38D2">
              <w:rPr>
                <w:rFonts w:eastAsia="Times New Roman"/>
                <w:b/>
                <w:sz w:val="20"/>
                <w:lang w:eastAsia="fr-FR"/>
              </w:rPr>
              <w:t>Madagascar</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Mean</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Median</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Maximum</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Minimum</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Std. dev.</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REAL GDP</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6,40904977</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6,41110627</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6,5394053</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6,24154789</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0,076908</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INFLATION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0,00745673</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0,00751379</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0,0154951</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0,00209822</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0,0034227</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REAL EFFECTIVE EXCHANGE RATE</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4,68914997</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4,75217801</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4,86284643</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4,36723311</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0,17323668</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NOMINAL S</w:t>
            </w:r>
            <w:r w:rsidR="002A0E71" w:rsidRPr="00EA38D2">
              <w:rPr>
                <w:rFonts w:eastAsia="Times New Roman"/>
                <w:sz w:val="20"/>
                <w:lang w:eastAsia="fr-FR"/>
              </w:rPr>
              <w:t>HORT TERM INTEREST</w:t>
            </w:r>
            <w:r w:rsidRPr="00EA38D2">
              <w:rPr>
                <w:rFonts w:eastAsia="Times New Roman"/>
                <w:sz w:val="20"/>
                <w:lang w:eastAsia="fr-FR"/>
              </w:rPr>
              <w:t xml:space="preserve"> RATE</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0,05598991</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0,0569465</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0,06559107</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0,04010418</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0,00793737</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NOMINAL L</w:t>
            </w:r>
            <w:r w:rsidR="002A0E71" w:rsidRPr="00EA38D2">
              <w:rPr>
                <w:rFonts w:eastAsia="Times New Roman"/>
                <w:sz w:val="20"/>
                <w:lang w:eastAsia="fr-FR"/>
              </w:rPr>
              <w:t>ONG TERM INTEREST</w:t>
            </w:r>
            <w:r w:rsidRPr="00EA38D2">
              <w:rPr>
                <w:rFonts w:eastAsia="Times New Roman"/>
                <w:sz w:val="20"/>
                <w:lang w:eastAsia="fr-FR"/>
              </w:rPr>
              <w:t xml:space="preserve"> RATE</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0,02829425</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0,0287782</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0,03386208</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0,02159029</w:t>
            </w:r>
          </w:p>
        </w:tc>
        <w:tc>
          <w:tcPr>
            <w:tcW w:w="1274"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0,00402731</w:t>
            </w:r>
          </w:p>
        </w:tc>
      </w:tr>
    </w:tbl>
    <w:p w:rsidR="00A249DA" w:rsidRPr="004634FC" w:rsidRDefault="00A249DA" w:rsidP="005077C9">
      <w:pPr>
        <w:pStyle w:val="Caption"/>
        <w:spacing w:before="0" w:beforeAutospacing="0"/>
        <w:ind w:firstLine="0"/>
        <w:jc w:val="center"/>
        <w:rPr>
          <w:b w:val="0"/>
          <w:bCs w:val="0"/>
          <w:color w:val="auto"/>
          <w:sz w:val="24"/>
          <w:szCs w:val="24"/>
        </w:rPr>
      </w:pPr>
      <w:r w:rsidRPr="004634FC">
        <w:rPr>
          <w:b w:val="0"/>
          <w:bCs w:val="0"/>
          <w:color w:val="auto"/>
          <w:sz w:val="24"/>
          <w:szCs w:val="24"/>
        </w:rPr>
        <w:t>Source: Own construction</w:t>
      </w:r>
    </w:p>
    <w:p w:rsidR="00EE6014" w:rsidRPr="004634FC" w:rsidRDefault="00EE6014" w:rsidP="005077C9">
      <w:pPr>
        <w:pStyle w:val="Caption"/>
        <w:spacing w:after="0" w:afterAutospacing="0" w:line="360" w:lineRule="auto"/>
        <w:rPr>
          <w:b w:val="0"/>
          <w:bCs w:val="0"/>
          <w:color w:val="auto"/>
          <w:sz w:val="24"/>
          <w:szCs w:val="24"/>
        </w:rPr>
      </w:pPr>
      <w:r w:rsidRPr="004634FC">
        <w:rPr>
          <w:b w:val="0"/>
          <w:bCs w:val="0"/>
          <w:color w:val="auto"/>
          <w:sz w:val="24"/>
          <w:szCs w:val="24"/>
        </w:rPr>
        <w:t xml:space="preserve">Table </w:t>
      </w:r>
      <w:r w:rsidRPr="004634FC">
        <w:rPr>
          <w:b w:val="0"/>
          <w:bCs w:val="0"/>
          <w:color w:val="auto"/>
          <w:sz w:val="24"/>
          <w:szCs w:val="24"/>
        </w:rPr>
        <w:fldChar w:fldCharType="begin"/>
      </w:r>
      <w:r w:rsidRPr="004634FC">
        <w:rPr>
          <w:b w:val="0"/>
          <w:bCs w:val="0"/>
          <w:color w:val="auto"/>
          <w:sz w:val="24"/>
          <w:szCs w:val="24"/>
        </w:rPr>
        <w:instrText xml:space="preserve"> SEQ Table \* ARABIC </w:instrText>
      </w:r>
      <w:r w:rsidRPr="004634FC">
        <w:rPr>
          <w:b w:val="0"/>
          <w:bCs w:val="0"/>
          <w:color w:val="auto"/>
          <w:sz w:val="24"/>
          <w:szCs w:val="24"/>
        </w:rPr>
        <w:fldChar w:fldCharType="separate"/>
      </w:r>
      <w:r w:rsidR="00334DD9">
        <w:rPr>
          <w:b w:val="0"/>
          <w:bCs w:val="0"/>
          <w:noProof/>
          <w:color w:val="auto"/>
          <w:sz w:val="24"/>
          <w:szCs w:val="24"/>
        </w:rPr>
        <w:t>7</w:t>
      </w:r>
      <w:r w:rsidRPr="004634FC">
        <w:rPr>
          <w:b w:val="0"/>
          <w:bCs w:val="0"/>
          <w:color w:val="auto"/>
          <w:sz w:val="24"/>
          <w:szCs w:val="24"/>
        </w:rPr>
        <w:fldChar w:fldCharType="end"/>
      </w:r>
      <w:r w:rsidRPr="004634FC">
        <w:rPr>
          <w:b w:val="0"/>
          <w:bCs w:val="0"/>
          <w:color w:val="auto"/>
          <w:sz w:val="24"/>
          <w:szCs w:val="24"/>
        </w:rPr>
        <w:t>: Descriptive Statistics of Foreign-Specific Variables</w:t>
      </w: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5"/>
        <w:gridCol w:w="1275"/>
        <w:gridCol w:w="1275"/>
        <w:gridCol w:w="1275"/>
        <w:gridCol w:w="1275"/>
      </w:tblGrid>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b/>
                <w:sz w:val="20"/>
                <w:lang w:eastAsia="fr-FR"/>
              </w:rPr>
            </w:pPr>
            <w:r w:rsidRPr="00EA38D2">
              <w:rPr>
                <w:rFonts w:eastAsia="Times New Roman"/>
                <w:b/>
                <w:sz w:val="20"/>
                <w:lang w:eastAsia="fr-FR"/>
              </w:rPr>
              <w:t>REAL GDP</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Median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Maximum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Minimum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Std. dev.</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EURO</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5,86529726</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5,86523605</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5,97155559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5,73367218</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0,06013396</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JAPAN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5,19433445</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5,19121909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5,30747227</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5,09108655</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0,05212463</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MADAGASCAR</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4,65776493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4,64931475</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4,81939753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4,56580683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0,05706847</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UNITED KINGDOM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4,75487141</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4,74610532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4,91564763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4,65625409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0,05836246</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USA</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5,13962429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5,13491129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5,27897998</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5,03551263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0,05544408</w:t>
            </w:r>
          </w:p>
        </w:tc>
      </w:tr>
      <w:tr w:rsidR="00EE6014" w:rsidRPr="00EA38D2" w:rsidTr="00EA38D2">
        <w:trPr>
          <w:trHeight w:val="397"/>
        </w:trPr>
        <w:tc>
          <w:tcPr>
            <w:tcW w:w="9035" w:type="dxa"/>
            <w:gridSpan w:val="6"/>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b/>
                <w:sz w:val="20"/>
                <w:lang w:eastAsia="fr-FR"/>
              </w:rPr>
            </w:pPr>
            <w:r w:rsidRPr="00EA38D2">
              <w:rPr>
                <w:rFonts w:eastAsia="Times New Roman"/>
                <w:b/>
                <w:sz w:val="20"/>
                <w:lang w:eastAsia="fr-FR"/>
              </w:rPr>
              <w:t>INFLATION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Median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Maximum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Minimum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Std. dev.</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EURO</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0,00668867</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0,00645063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0,01296664</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0,00252321</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0,0028193</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JAPAN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0,00590348</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0,00554796</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0,01203547</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-0,0079079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0,00348208</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MADAGASCAR</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0,00399479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0,00368443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0,01154183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-0,0059567</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0,00288198</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UNITED KINGDOM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0,00458632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0,0042855</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0,01208899</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-0,0067436</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0,00302845</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USA</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0,0043942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0,00412455</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0,00959335</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-0,0014889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0,00222925</w:t>
            </w:r>
          </w:p>
        </w:tc>
      </w:tr>
      <w:tr w:rsidR="00EE6014" w:rsidRPr="00EA38D2" w:rsidTr="00EA38D2">
        <w:trPr>
          <w:trHeight w:val="397"/>
        </w:trPr>
        <w:tc>
          <w:tcPr>
            <w:tcW w:w="9035" w:type="dxa"/>
            <w:gridSpan w:val="6"/>
            <w:shd w:val="clear" w:color="auto" w:fill="auto"/>
            <w:noWrap/>
            <w:vAlign w:val="center"/>
            <w:hideMark/>
          </w:tcPr>
          <w:p w:rsidR="00F5084D" w:rsidRPr="00EA38D2" w:rsidRDefault="00F5084D" w:rsidP="00EA38D2">
            <w:pPr>
              <w:spacing w:before="0" w:beforeAutospacing="0" w:after="0" w:afterAutospacing="0"/>
              <w:ind w:firstLine="0"/>
              <w:jc w:val="left"/>
              <w:rPr>
                <w:rFonts w:eastAsia="Times New Roman"/>
                <w:sz w:val="20"/>
                <w:lang w:eastAsia="fr-FR"/>
              </w:rPr>
            </w:pP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b/>
                <w:sz w:val="20"/>
                <w:lang w:eastAsia="fr-FR"/>
              </w:rPr>
            </w:pPr>
            <w:r w:rsidRPr="00EA38D2">
              <w:rPr>
                <w:rFonts w:eastAsia="Times New Roman"/>
                <w:b/>
                <w:sz w:val="20"/>
                <w:lang w:eastAsia="fr-FR"/>
              </w:rPr>
              <w:t>REAL EFFECTIVE EXCHANGE RATE</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Median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Maximum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Minimum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Std. dev.</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EURO</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2,67607826</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2,73723395</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2,82990272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2,40787726</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0,14412071</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JAPAN</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-0,2919257</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-0,2683417</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-0,1248867</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-0,4569113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0,09726567</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MADAGASCAR</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-4,2966433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-4,3017109</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-4,1155654</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-4,4425782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0,07671086</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UNITED KINGDOM</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-4,0511352</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-4,0489420</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-3,8689942</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-4,2077949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0,07446405</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USA</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-1,3646651</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-1,3795113</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-1,1937005</w:t>
            </w:r>
          </w:p>
        </w:tc>
        <w:tc>
          <w:tcPr>
            <w:tcW w:w="1275" w:type="dxa"/>
            <w:shd w:val="clear" w:color="auto" w:fill="auto"/>
            <w:noWrap/>
            <w:vAlign w:val="center"/>
            <w:hideMark/>
          </w:tcPr>
          <w:p w:rsidR="00EE6014" w:rsidRPr="00EA38D2" w:rsidRDefault="00C502FC"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-1,4646519</w:t>
            </w:r>
          </w:p>
        </w:tc>
        <w:tc>
          <w:tcPr>
            <w:tcW w:w="1275" w:type="dxa"/>
            <w:shd w:val="clear" w:color="auto" w:fill="auto"/>
            <w:noWrap/>
            <w:vAlign w:val="center"/>
            <w:hideMark/>
          </w:tcPr>
          <w:p w:rsidR="002A0E71"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0,06658406</w:t>
            </w:r>
          </w:p>
        </w:tc>
      </w:tr>
      <w:tr w:rsidR="009D4065" w:rsidRPr="00EA38D2" w:rsidTr="00EA38D2">
        <w:trPr>
          <w:trHeight w:val="397"/>
        </w:trPr>
        <w:tc>
          <w:tcPr>
            <w:tcW w:w="2660" w:type="dxa"/>
            <w:shd w:val="clear" w:color="auto" w:fill="auto"/>
            <w:noWrap/>
            <w:vAlign w:val="center"/>
            <w:hideMark/>
          </w:tcPr>
          <w:p w:rsidR="00EE6014" w:rsidRPr="00EA38D2" w:rsidRDefault="002A0E71" w:rsidP="00EA38D2">
            <w:pPr>
              <w:spacing w:before="0" w:beforeAutospacing="0" w:after="0" w:afterAutospacing="0"/>
              <w:ind w:firstLine="0"/>
              <w:jc w:val="left"/>
              <w:rPr>
                <w:rFonts w:eastAsia="Times New Roman"/>
                <w:b/>
                <w:sz w:val="20"/>
                <w:lang w:eastAsia="fr-FR"/>
              </w:rPr>
            </w:pPr>
            <w:r w:rsidRPr="00EA38D2">
              <w:rPr>
                <w:rFonts w:eastAsia="Times New Roman"/>
                <w:b/>
                <w:sz w:val="20"/>
                <w:lang w:eastAsia="fr-FR"/>
              </w:rPr>
              <w:lastRenderedPageBreak/>
              <w:t>NOMINAL SHORT TERM INTEREST RATE</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Median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Maximum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Minimum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Std. dev.</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EURO</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0,03869879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0,03866368</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0,04409585</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0,02966437</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0,00449791</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JAPAN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0,01801331</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0,01838443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0,02390787</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0,0147352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0,00224252</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MADAGASCAR</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0,00302831</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0,00111002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0,00908673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0,00013584</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0,00334131</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UNITED KINGDOM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0,00603972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0,00415314</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0,01224835</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0,00293514</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0,00313971</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USA</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0,0170912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0,01706592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0,02126059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0,01416353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0,00204133</w:t>
            </w:r>
          </w:p>
        </w:tc>
      </w:tr>
      <w:tr w:rsidR="00EE6014" w:rsidRPr="00EA38D2" w:rsidTr="00EA38D2">
        <w:trPr>
          <w:trHeight w:val="397"/>
        </w:trPr>
        <w:tc>
          <w:tcPr>
            <w:tcW w:w="9035" w:type="dxa"/>
            <w:gridSpan w:val="6"/>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p>
        </w:tc>
      </w:tr>
      <w:tr w:rsidR="009D4065" w:rsidRPr="00EA38D2" w:rsidTr="00EA38D2">
        <w:trPr>
          <w:trHeight w:val="397"/>
        </w:trPr>
        <w:tc>
          <w:tcPr>
            <w:tcW w:w="2660" w:type="dxa"/>
            <w:shd w:val="clear" w:color="auto" w:fill="auto"/>
            <w:noWrap/>
            <w:vAlign w:val="center"/>
            <w:hideMark/>
          </w:tcPr>
          <w:p w:rsidR="00EE6014" w:rsidRPr="00EA38D2" w:rsidRDefault="002A0E71" w:rsidP="00EA38D2">
            <w:pPr>
              <w:spacing w:before="0" w:beforeAutospacing="0" w:after="0" w:afterAutospacing="0"/>
              <w:ind w:firstLine="0"/>
              <w:jc w:val="left"/>
              <w:rPr>
                <w:rFonts w:eastAsia="Times New Roman"/>
                <w:b/>
                <w:sz w:val="20"/>
                <w:lang w:eastAsia="fr-FR"/>
              </w:rPr>
            </w:pPr>
            <w:r w:rsidRPr="00EA38D2">
              <w:rPr>
                <w:rFonts w:eastAsia="Times New Roman"/>
                <w:b/>
                <w:sz w:val="20"/>
                <w:lang w:eastAsia="fr-FR"/>
              </w:rPr>
              <w:t>NOMINAL LONG TERM INTEREST RATE</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Median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Maximum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Minimum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b/>
                <w:sz w:val="20"/>
                <w:lang w:eastAsia="fr-FR"/>
              </w:rPr>
            </w:pPr>
            <w:r w:rsidRPr="00EA38D2">
              <w:rPr>
                <w:rFonts w:eastAsia="Times New Roman"/>
                <w:b/>
                <w:sz w:val="20"/>
                <w:lang w:eastAsia="fr-FR"/>
              </w:rPr>
              <w:t>Std. dev.</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EURO</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0,02142697</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0,02197557</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0,02605663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0,01614143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0,00338116</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JAPAN</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0,01349758</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0,01417462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0,01757961</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0,00944098</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0,00267333</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MADAGASCAR</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0,00703265</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0,00767538</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0,0105774</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0,00176016</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0,00222783</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UNITED KINGDOM</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0,00851689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0,00928233</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0,01226491</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0,00320214</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0,00232677</w:t>
            </w:r>
          </w:p>
        </w:tc>
      </w:tr>
      <w:tr w:rsidR="009D4065" w:rsidRPr="00EA38D2" w:rsidTr="00EA38D2">
        <w:trPr>
          <w:trHeight w:val="397"/>
        </w:trPr>
        <w:tc>
          <w:tcPr>
            <w:tcW w:w="2660" w:type="dxa"/>
            <w:shd w:val="clear" w:color="auto" w:fill="auto"/>
            <w:noWrap/>
            <w:vAlign w:val="center"/>
            <w:hideMark/>
          </w:tcPr>
          <w:p w:rsidR="00EE6014" w:rsidRPr="00EA38D2" w:rsidRDefault="00EE6014" w:rsidP="00EA38D2">
            <w:pPr>
              <w:spacing w:before="0" w:beforeAutospacing="0" w:after="0" w:afterAutospacing="0"/>
              <w:ind w:firstLine="0"/>
              <w:jc w:val="left"/>
              <w:rPr>
                <w:rFonts w:eastAsia="Times New Roman"/>
                <w:sz w:val="20"/>
                <w:lang w:eastAsia="fr-FR"/>
              </w:rPr>
            </w:pPr>
            <w:r w:rsidRPr="00EA38D2">
              <w:rPr>
                <w:rFonts w:eastAsia="Times New Roman"/>
                <w:sz w:val="20"/>
                <w:lang w:eastAsia="fr-FR"/>
              </w:rPr>
              <w:t>USA</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0,01225408</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0,01307522</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0,01585499</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0,0077961</w:t>
            </w:r>
          </w:p>
        </w:tc>
        <w:tc>
          <w:tcPr>
            <w:tcW w:w="1275" w:type="dxa"/>
            <w:shd w:val="clear" w:color="auto" w:fill="auto"/>
            <w:noWrap/>
            <w:vAlign w:val="center"/>
            <w:hideMark/>
          </w:tcPr>
          <w:p w:rsidR="00EE6014" w:rsidRPr="00EA38D2" w:rsidRDefault="00EE6014" w:rsidP="00EA38D2">
            <w:pPr>
              <w:spacing w:before="0" w:beforeAutospacing="0" w:after="0" w:afterAutospacing="0"/>
              <w:ind w:firstLine="0"/>
              <w:jc w:val="center"/>
              <w:rPr>
                <w:rFonts w:eastAsia="Times New Roman"/>
                <w:sz w:val="20"/>
                <w:lang w:eastAsia="fr-FR"/>
              </w:rPr>
            </w:pPr>
            <w:r w:rsidRPr="00EA38D2">
              <w:rPr>
                <w:rFonts w:eastAsia="Times New Roman"/>
                <w:sz w:val="20"/>
                <w:lang w:eastAsia="fr-FR"/>
              </w:rPr>
              <w:t>0,00239173</w:t>
            </w:r>
          </w:p>
        </w:tc>
      </w:tr>
    </w:tbl>
    <w:p w:rsidR="00A249DA" w:rsidRPr="004634FC" w:rsidRDefault="00A249DA" w:rsidP="00A249DA">
      <w:pPr>
        <w:pStyle w:val="Caption"/>
        <w:spacing w:before="0" w:beforeAutospacing="0"/>
        <w:ind w:firstLine="0"/>
        <w:jc w:val="left"/>
        <w:rPr>
          <w:b w:val="0"/>
          <w:bCs w:val="0"/>
          <w:color w:val="auto"/>
          <w:sz w:val="24"/>
          <w:szCs w:val="24"/>
        </w:rPr>
      </w:pPr>
      <w:r w:rsidRPr="004634FC">
        <w:rPr>
          <w:b w:val="0"/>
          <w:bCs w:val="0"/>
          <w:color w:val="auto"/>
          <w:sz w:val="24"/>
          <w:szCs w:val="24"/>
        </w:rPr>
        <w:t>Source: Own construction</w:t>
      </w:r>
    </w:p>
    <w:p w:rsidR="002A0E71" w:rsidRPr="004634FC" w:rsidRDefault="002A0E71" w:rsidP="005077C9">
      <w:pPr>
        <w:pStyle w:val="Caption"/>
        <w:spacing w:after="0" w:afterAutospacing="0" w:line="360" w:lineRule="auto"/>
        <w:rPr>
          <w:b w:val="0"/>
          <w:bCs w:val="0"/>
          <w:color w:val="auto"/>
          <w:sz w:val="24"/>
          <w:szCs w:val="24"/>
        </w:rPr>
      </w:pPr>
      <w:r w:rsidRPr="004634FC">
        <w:rPr>
          <w:b w:val="0"/>
          <w:bCs w:val="0"/>
          <w:color w:val="auto"/>
          <w:sz w:val="24"/>
          <w:szCs w:val="24"/>
        </w:rPr>
        <w:t xml:space="preserve">Table </w:t>
      </w:r>
      <w:r w:rsidRPr="004634FC">
        <w:rPr>
          <w:b w:val="0"/>
          <w:bCs w:val="0"/>
          <w:color w:val="auto"/>
          <w:sz w:val="24"/>
          <w:szCs w:val="24"/>
        </w:rPr>
        <w:fldChar w:fldCharType="begin"/>
      </w:r>
      <w:r w:rsidRPr="004634FC">
        <w:rPr>
          <w:b w:val="0"/>
          <w:bCs w:val="0"/>
          <w:color w:val="auto"/>
          <w:sz w:val="24"/>
          <w:szCs w:val="24"/>
        </w:rPr>
        <w:instrText xml:space="preserve"> SEQ Table \* ARABIC </w:instrText>
      </w:r>
      <w:r w:rsidRPr="004634FC">
        <w:rPr>
          <w:b w:val="0"/>
          <w:bCs w:val="0"/>
          <w:color w:val="auto"/>
          <w:sz w:val="24"/>
          <w:szCs w:val="24"/>
        </w:rPr>
        <w:fldChar w:fldCharType="separate"/>
      </w:r>
      <w:r w:rsidR="00334DD9">
        <w:rPr>
          <w:b w:val="0"/>
          <w:bCs w:val="0"/>
          <w:noProof/>
          <w:color w:val="auto"/>
          <w:sz w:val="24"/>
          <w:szCs w:val="24"/>
        </w:rPr>
        <w:t>8</w:t>
      </w:r>
      <w:r w:rsidRPr="004634FC">
        <w:rPr>
          <w:b w:val="0"/>
          <w:bCs w:val="0"/>
          <w:color w:val="auto"/>
          <w:sz w:val="24"/>
          <w:szCs w:val="24"/>
        </w:rPr>
        <w:fldChar w:fldCharType="end"/>
      </w:r>
      <w:r w:rsidRPr="004634FC">
        <w:rPr>
          <w:b w:val="0"/>
          <w:bCs w:val="0"/>
          <w:color w:val="auto"/>
          <w:sz w:val="24"/>
          <w:szCs w:val="24"/>
        </w:rPr>
        <w:t>: Descriptive Statistics of Global Variables</w:t>
      </w: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5"/>
        <w:gridCol w:w="1275"/>
        <w:gridCol w:w="1275"/>
        <w:gridCol w:w="1275"/>
        <w:gridCol w:w="1275"/>
      </w:tblGrid>
      <w:tr w:rsidR="009D4065" w:rsidRPr="00EA38D2" w:rsidTr="00EA38D2">
        <w:trPr>
          <w:trHeight w:val="397"/>
        </w:trPr>
        <w:tc>
          <w:tcPr>
            <w:tcW w:w="2660" w:type="dxa"/>
            <w:shd w:val="clear" w:color="auto" w:fill="auto"/>
            <w:noWrap/>
            <w:vAlign w:val="center"/>
            <w:hideMark/>
          </w:tcPr>
          <w:p w:rsidR="002A0E71" w:rsidRPr="00EA38D2" w:rsidRDefault="002A0E71" w:rsidP="00EA38D2">
            <w:pPr>
              <w:spacing w:before="0" w:beforeAutospacing="0" w:after="0" w:afterAutospacing="0"/>
              <w:jc w:val="left"/>
              <w:rPr>
                <w:rFonts w:eastAsia="Times New Roman"/>
                <w:b/>
                <w:sz w:val="22"/>
                <w:szCs w:val="22"/>
                <w:lang w:eastAsia="fr-FR"/>
              </w:rPr>
            </w:pPr>
            <w:r w:rsidRPr="00EA38D2">
              <w:rPr>
                <w:rFonts w:eastAsia="Times New Roman"/>
                <w:b/>
                <w:sz w:val="22"/>
                <w:szCs w:val="22"/>
                <w:lang w:eastAsia="fr-FR"/>
              </w:rPr>
              <w:t>Statistics</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b/>
                <w:sz w:val="22"/>
                <w:szCs w:val="22"/>
                <w:lang w:eastAsia="fr-FR"/>
              </w:rPr>
            </w:pPr>
            <w:r w:rsidRPr="00EA38D2">
              <w:rPr>
                <w:rFonts w:eastAsia="Times New Roman"/>
                <w:b/>
                <w:sz w:val="22"/>
                <w:szCs w:val="22"/>
                <w:lang w:eastAsia="fr-FR"/>
              </w:rPr>
              <w:t>Mean</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b/>
                <w:sz w:val="22"/>
                <w:szCs w:val="22"/>
                <w:lang w:eastAsia="fr-FR"/>
              </w:rPr>
            </w:pPr>
            <w:r w:rsidRPr="00EA38D2">
              <w:rPr>
                <w:rFonts w:eastAsia="Times New Roman"/>
                <w:b/>
                <w:sz w:val="22"/>
                <w:szCs w:val="22"/>
                <w:lang w:eastAsia="fr-FR"/>
              </w:rPr>
              <w:t>Median</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b/>
                <w:sz w:val="22"/>
                <w:szCs w:val="22"/>
                <w:lang w:eastAsia="fr-FR"/>
              </w:rPr>
            </w:pPr>
            <w:r w:rsidRPr="00EA38D2">
              <w:rPr>
                <w:rFonts w:eastAsia="Times New Roman"/>
                <w:b/>
                <w:sz w:val="22"/>
                <w:szCs w:val="22"/>
                <w:lang w:eastAsia="fr-FR"/>
              </w:rPr>
              <w:t>Maximum</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b/>
                <w:sz w:val="22"/>
                <w:szCs w:val="22"/>
                <w:lang w:eastAsia="fr-FR"/>
              </w:rPr>
            </w:pPr>
            <w:r w:rsidRPr="00EA38D2">
              <w:rPr>
                <w:rFonts w:eastAsia="Times New Roman"/>
                <w:b/>
                <w:sz w:val="22"/>
                <w:szCs w:val="22"/>
                <w:lang w:eastAsia="fr-FR"/>
              </w:rPr>
              <w:t>Minimum</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b/>
                <w:sz w:val="22"/>
                <w:szCs w:val="22"/>
                <w:lang w:eastAsia="fr-FR"/>
              </w:rPr>
            </w:pPr>
            <w:r w:rsidRPr="00EA38D2">
              <w:rPr>
                <w:rFonts w:eastAsia="Times New Roman"/>
                <w:b/>
                <w:sz w:val="22"/>
                <w:szCs w:val="22"/>
                <w:lang w:eastAsia="fr-FR"/>
              </w:rPr>
              <w:t>Std. dev.</w:t>
            </w:r>
          </w:p>
        </w:tc>
      </w:tr>
      <w:tr w:rsidR="009D4065" w:rsidRPr="00EA38D2" w:rsidTr="00EA38D2">
        <w:trPr>
          <w:trHeight w:val="397"/>
        </w:trPr>
        <w:tc>
          <w:tcPr>
            <w:tcW w:w="2660" w:type="dxa"/>
            <w:shd w:val="clear" w:color="auto" w:fill="auto"/>
            <w:noWrap/>
            <w:vAlign w:val="center"/>
            <w:hideMark/>
          </w:tcPr>
          <w:p w:rsidR="002A0E71" w:rsidRPr="00EA38D2" w:rsidRDefault="002A0E71" w:rsidP="00EA38D2">
            <w:pPr>
              <w:spacing w:before="0" w:beforeAutospacing="0" w:after="0" w:afterAutospacing="0"/>
              <w:ind w:firstLine="0"/>
              <w:jc w:val="left"/>
              <w:rPr>
                <w:rFonts w:eastAsia="Times New Roman"/>
                <w:sz w:val="22"/>
                <w:szCs w:val="22"/>
                <w:lang w:eastAsia="fr-FR"/>
              </w:rPr>
            </w:pPr>
            <w:r w:rsidRPr="00EA38D2">
              <w:rPr>
                <w:rFonts w:eastAsia="Times New Roman"/>
                <w:sz w:val="22"/>
                <w:szCs w:val="22"/>
                <w:lang w:eastAsia="fr-FR"/>
              </w:rPr>
              <w:t>OIL PRICE</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4,97492402</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4,95736702</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5,41116991</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4,40515368</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0,28814208</w:t>
            </w:r>
          </w:p>
        </w:tc>
      </w:tr>
      <w:tr w:rsidR="009D4065" w:rsidRPr="00EA38D2" w:rsidTr="00EA38D2">
        <w:trPr>
          <w:trHeight w:val="397"/>
        </w:trPr>
        <w:tc>
          <w:tcPr>
            <w:tcW w:w="2660" w:type="dxa"/>
            <w:shd w:val="clear" w:color="auto" w:fill="auto"/>
            <w:noWrap/>
            <w:vAlign w:val="center"/>
            <w:hideMark/>
          </w:tcPr>
          <w:p w:rsidR="002A0E71" w:rsidRPr="00EA38D2" w:rsidRDefault="002A0E71" w:rsidP="00EA38D2">
            <w:pPr>
              <w:spacing w:before="0" w:beforeAutospacing="0" w:after="0" w:afterAutospacing="0"/>
              <w:ind w:firstLine="0"/>
              <w:jc w:val="left"/>
              <w:rPr>
                <w:rFonts w:eastAsia="Times New Roman"/>
                <w:sz w:val="22"/>
                <w:szCs w:val="22"/>
                <w:lang w:eastAsia="fr-FR"/>
              </w:rPr>
            </w:pPr>
            <w:r w:rsidRPr="00EA38D2">
              <w:rPr>
                <w:rFonts w:eastAsia="Times New Roman"/>
                <w:sz w:val="22"/>
                <w:szCs w:val="22"/>
                <w:lang w:eastAsia="fr-FR"/>
              </w:rPr>
              <w:t>RAW MATERIAL PRICE</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4,78954034</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4,77406613</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5,10349775</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4,44738363</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0,15314772</w:t>
            </w:r>
          </w:p>
        </w:tc>
      </w:tr>
      <w:tr w:rsidR="009D4065" w:rsidRPr="00EA38D2" w:rsidTr="00EA38D2">
        <w:trPr>
          <w:trHeight w:val="397"/>
        </w:trPr>
        <w:tc>
          <w:tcPr>
            <w:tcW w:w="2660" w:type="dxa"/>
            <w:shd w:val="clear" w:color="auto" w:fill="auto"/>
            <w:noWrap/>
            <w:vAlign w:val="center"/>
            <w:hideMark/>
          </w:tcPr>
          <w:p w:rsidR="002A0E71" w:rsidRPr="00EA38D2" w:rsidRDefault="002A0E71" w:rsidP="00EA38D2">
            <w:pPr>
              <w:spacing w:before="0" w:beforeAutospacing="0" w:after="0" w:afterAutospacing="0"/>
              <w:ind w:firstLine="0"/>
              <w:jc w:val="left"/>
              <w:rPr>
                <w:rFonts w:eastAsia="Times New Roman"/>
                <w:sz w:val="22"/>
                <w:szCs w:val="22"/>
                <w:lang w:eastAsia="fr-FR"/>
              </w:rPr>
            </w:pPr>
            <w:r w:rsidRPr="00EA38D2">
              <w:rPr>
                <w:rFonts w:eastAsia="Times New Roman"/>
                <w:sz w:val="22"/>
                <w:szCs w:val="22"/>
                <w:lang w:eastAsia="fr-FR"/>
              </w:rPr>
              <w:t>METAL PRICE</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5,09167082</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5,16673772</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5,51601476</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4,56659914</w:t>
            </w:r>
          </w:p>
        </w:tc>
        <w:tc>
          <w:tcPr>
            <w:tcW w:w="1275" w:type="dxa"/>
            <w:shd w:val="clear" w:color="auto" w:fill="auto"/>
            <w:noWrap/>
            <w:vAlign w:val="center"/>
            <w:hideMark/>
          </w:tcPr>
          <w:p w:rsidR="002A0E71" w:rsidRPr="00EA38D2" w:rsidRDefault="002A0E71" w:rsidP="00EA38D2">
            <w:pPr>
              <w:spacing w:before="0" w:beforeAutospacing="0" w:after="0" w:afterAutospacing="0"/>
              <w:ind w:firstLine="0"/>
              <w:jc w:val="center"/>
              <w:rPr>
                <w:rFonts w:eastAsia="Times New Roman"/>
                <w:sz w:val="22"/>
                <w:szCs w:val="22"/>
                <w:lang w:eastAsia="fr-FR"/>
              </w:rPr>
            </w:pPr>
            <w:r w:rsidRPr="00EA38D2">
              <w:rPr>
                <w:rFonts w:eastAsia="Times New Roman"/>
                <w:sz w:val="22"/>
                <w:szCs w:val="22"/>
                <w:lang w:eastAsia="fr-FR"/>
              </w:rPr>
              <w:t>0,25045391</w:t>
            </w:r>
          </w:p>
        </w:tc>
      </w:tr>
    </w:tbl>
    <w:p w:rsidR="00A249DA" w:rsidRPr="004634FC" w:rsidRDefault="00A249DA" w:rsidP="005077C9">
      <w:pPr>
        <w:pStyle w:val="Caption"/>
        <w:spacing w:before="0" w:beforeAutospacing="0"/>
        <w:ind w:firstLine="0"/>
        <w:jc w:val="center"/>
        <w:rPr>
          <w:b w:val="0"/>
          <w:bCs w:val="0"/>
          <w:color w:val="auto"/>
          <w:sz w:val="24"/>
          <w:szCs w:val="24"/>
        </w:rPr>
      </w:pPr>
      <w:r w:rsidRPr="004634FC">
        <w:rPr>
          <w:b w:val="0"/>
          <w:bCs w:val="0"/>
          <w:color w:val="auto"/>
          <w:sz w:val="24"/>
          <w:szCs w:val="24"/>
        </w:rPr>
        <w:t>Source: Own construction</w:t>
      </w:r>
    </w:p>
    <w:p w:rsidR="00E64DAC" w:rsidRPr="004634FC" w:rsidRDefault="00B40063" w:rsidP="00EF4F4C">
      <w:pPr>
        <w:pStyle w:val="Caption"/>
        <w:spacing w:line="360" w:lineRule="auto"/>
        <w:rPr>
          <w:b w:val="0"/>
          <w:bCs w:val="0"/>
          <w:color w:val="auto"/>
          <w:sz w:val="24"/>
          <w:szCs w:val="24"/>
        </w:rPr>
      </w:pPr>
      <w:r w:rsidRPr="004634FC">
        <w:rPr>
          <w:b w:val="0"/>
          <w:bCs w:val="0"/>
          <w:color w:val="auto"/>
          <w:sz w:val="24"/>
          <w:szCs w:val="24"/>
        </w:rPr>
        <w:t xml:space="preserve">Appendix </w:t>
      </w:r>
      <w:r w:rsidRPr="004634FC">
        <w:rPr>
          <w:b w:val="0"/>
          <w:bCs w:val="0"/>
          <w:color w:val="auto"/>
          <w:sz w:val="24"/>
          <w:szCs w:val="24"/>
        </w:rPr>
        <w:fldChar w:fldCharType="begin"/>
      </w:r>
      <w:r w:rsidRPr="004634FC">
        <w:rPr>
          <w:b w:val="0"/>
          <w:bCs w:val="0"/>
          <w:color w:val="auto"/>
          <w:sz w:val="24"/>
          <w:szCs w:val="24"/>
        </w:rPr>
        <w:instrText xml:space="preserve"> SEQ Appendix \* ARABIC </w:instrText>
      </w:r>
      <w:r w:rsidRPr="004634FC">
        <w:rPr>
          <w:b w:val="0"/>
          <w:bCs w:val="0"/>
          <w:color w:val="auto"/>
          <w:sz w:val="24"/>
          <w:szCs w:val="24"/>
        </w:rPr>
        <w:fldChar w:fldCharType="separate"/>
      </w:r>
      <w:r w:rsidR="00334DD9">
        <w:rPr>
          <w:b w:val="0"/>
          <w:bCs w:val="0"/>
          <w:noProof/>
          <w:color w:val="auto"/>
          <w:sz w:val="24"/>
          <w:szCs w:val="24"/>
        </w:rPr>
        <w:t>2</w:t>
      </w:r>
      <w:r w:rsidRPr="004634FC">
        <w:rPr>
          <w:b w:val="0"/>
          <w:bCs w:val="0"/>
          <w:color w:val="auto"/>
          <w:sz w:val="24"/>
          <w:szCs w:val="24"/>
        </w:rPr>
        <w:fldChar w:fldCharType="end"/>
      </w:r>
      <w:r w:rsidRPr="004634FC">
        <w:rPr>
          <w:b w:val="0"/>
          <w:bCs w:val="0"/>
          <w:color w:val="auto"/>
          <w:sz w:val="24"/>
          <w:szCs w:val="24"/>
        </w:rPr>
        <w:t>: Econometric results</w:t>
      </w:r>
    </w:p>
    <w:p w:rsidR="00B35AA9" w:rsidRPr="004634FC" w:rsidRDefault="007E5D3B" w:rsidP="005077C9">
      <w:pPr>
        <w:spacing w:after="0" w:afterAutospacing="0" w:line="360" w:lineRule="auto"/>
        <w:ind w:firstLine="0"/>
        <w:jc w:val="center"/>
        <w:rPr>
          <w:bCs/>
          <w:szCs w:val="24"/>
        </w:rPr>
      </w:pPr>
      <w:r w:rsidRPr="004634FC">
        <w:rPr>
          <w:bCs/>
          <w:szCs w:val="24"/>
        </w:rPr>
        <w:t xml:space="preserve">Table </w:t>
      </w:r>
      <w:r w:rsidRPr="004634FC">
        <w:rPr>
          <w:bCs/>
          <w:szCs w:val="24"/>
        </w:rPr>
        <w:fldChar w:fldCharType="begin"/>
      </w:r>
      <w:r w:rsidRPr="004634FC">
        <w:rPr>
          <w:bCs/>
          <w:szCs w:val="24"/>
        </w:rPr>
        <w:instrText xml:space="preserve"> SEQ Table \* ARABIC </w:instrText>
      </w:r>
      <w:r w:rsidRPr="004634FC">
        <w:rPr>
          <w:bCs/>
          <w:szCs w:val="24"/>
        </w:rPr>
        <w:fldChar w:fldCharType="separate"/>
      </w:r>
      <w:r w:rsidR="00334DD9">
        <w:rPr>
          <w:bCs/>
          <w:noProof/>
          <w:szCs w:val="24"/>
        </w:rPr>
        <w:t>9</w:t>
      </w:r>
      <w:r w:rsidRPr="004634FC">
        <w:rPr>
          <w:bCs/>
          <w:szCs w:val="24"/>
        </w:rPr>
        <w:fldChar w:fldCharType="end"/>
      </w:r>
      <w:r w:rsidRPr="004634FC">
        <w:rPr>
          <w:bCs/>
          <w:szCs w:val="24"/>
        </w:rPr>
        <w:t> : Short term dynamics of the vector error correction model</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313"/>
        <w:gridCol w:w="1312"/>
        <w:gridCol w:w="1313"/>
        <w:gridCol w:w="1312"/>
        <w:gridCol w:w="1313"/>
        <w:gridCol w:w="1312"/>
      </w:tblGrid>
      <w:tr w:rsidR="009D4065" w:rsidRPr="00EA38D2" w:rsidTr="00EA38D2">
        <w:trPr>
          <w:trHeight w:val="283"/>
        </w:trPr>
        <w:tc>
          <w:tcPr>
            <w:tcW w:w="1526" w:type="dxa"/>
            <w:tcBorders>
              <w:bottom w:val="single" w:sz="4" w:space="0" w:color="auto"/>
            </w:tcBorders>
            <w:shd w:val="clear" w:color="auto" w:fill="auto"/>
            <w:vAlign w:val="center"/>
          </w:tcPr>
          <w:p w:rsidR="007A69E4" w:rsidRPr="00EA38D2" w:rsidRDefault="007A69E4" w:rsidP="00EA38D2">
            <w:pPr>
              <w:autoSpaceDE w:val="0"/>
              <w:autoSpaceDN w:val="0"/>
              <w:adjustRightInd w:val="0"/>
              <w:spacing w:before="0" w:beforeAutospacing="0" w:after="0" w:afterAutospacing="0"/>
              <w:ind w:firstLine="0"/>
              <w:jc w:val="center"/>
              <w:rPr>
                <w:sz w:val="22"/>
                <w:szCs w:val="22"/>
              </w:rPr>
            </w:pPr>
            <w:r w:rsidRPr="00EA38D2">
              <w:rPr>
                <w:sz w:val="22"/>
                <w:szCs w:val="22"/>
              </w:rPr>
              <w:t>Error Correction:</w:t>
            </w:r>
          </w:p>
        </w:tc>
        <w:tc>
          <w:tcPr>
            <w:tcW w:w="1313" w:type="dxa"/>
            <w:tcBorders>
              <w:bottom w:val="single" w:sz="4" w:space="0" w:color="auto"/>
            </w:tcBorders>
            <w:shd w:val="clear" w:color="auto" w:fill="auto"/>
            <w:vAlign w:val="center"/>
          </w:tcPr>
          <w:p w:rsidR="007A69E4" w:rsidRPr="00EA38D2" w:rsidRDefault="007A69E4" w:rsidP="00EA38D2">
            <w:pPr>
              <w:autoSpaceDE w:val="0"/>
              <w:autoSpaceDN w:val="0"/>
              <w:adjustRightInd w:val="0"/>
              <w:spacing w:before="0" w:beforeAutospacing="0" w:after="0" w:afterAutospacing="0"/>
              <w:ind w:firstLine="0"/>
              <w:jc w:val="center"/>
              <w:rPr>
                <w:sz w:val="22"/>
                <w:szCs w:val="22"/>
              </w:rPr>
            </w:pPr>
            <w:r w:rsidRPr="00EA38D2">
              <w:rPr>
                <w:sz w:val="22"/>
                <w:szCs w:val="22"/>
              </w:rPr>
              <w:t>D(NPL)</w:t>
            </w:r>
          </w:p>
        </w:tc>
        <w:tc>
          <w:tcPr>
            <w:tcW w:w="1312" w:type="dxa"/>
            <w:tcBorders>
              <w:bottom w:val="single" w:sz="4" w:space="0" w:color="auto"/>
            </w:tcBorders>
            <w:shd w:val="clear" w:color="auto" w:fill="auto"/>
            <w:vAlign w:val="center"/>
          </w:tcPr>
          <w:p w:rsidR="007A69E4" w:rsidRPr="00EA38D2" w:rsidRDefault="007A69E4" w:rsidP="00EA38D2">
            <w:pPr>
              <w:autoSpaceDE w:val="0"/>
              <w:autoSpaceDN w:val="0"/>
              <w:adjustRightInd w:val="0"/>
              <w:spacing w:before="0" w:beforeAutospacing="0" w:after="0" w:afterAutospacing="0"/>
              <w:ind w:firstLine="0"/>
              <w:jc w:val="center"/>
              <w:rPr>
                <w:sz w:val="22"/>
                <w:szCs w:val="22"/>
              </w:rPr>
            </w:pPr>
            <w:r w:rsidRPr="00EA38D2">
              <w:rPr>
                <w:sz w:val="22"/>
                <w:szCs w:val="22"/>
              </w:rPr>
              <w:t>D(GDP)</w:t>
            </w:r>
          </w:p>
        </w:tc>
        <w:tc>
          <w:tcPr>
            <w:tcW w:w="1313" w:type="dxa"/>
            <w:tcBorders>
              <w:bottom w:val="single" w:sz="4" w:space="0" w:color="auto"/>
            </w:tcBorders>
            <w:shd w:val="clear" w:color="auto" w:fill="auto"/>
            <w:vAlign w:val="center"/>
          </w:tcPr>
          <w:p w:rsidR="007A69E4" w:rsidRPr="00EA38D2" w:rsidRDefault="007A69E4" w:rsidP="00EA38D2">
            <w:pPr>
              <w:autoSpaceDE w:val="0"/>
              <w:autoSpaceDN w:val="0"/>
              <w:adjustRightInd w:val="0"/>
              <w:spacing w:before="0" w:beforeAutospacing="0" w:after="0" w:afterAutospacing="0"/>
              <w:ind w:firstLine="0"/>
              <w:jc w:val="center"/>
              <w:rPr>
                <w:sz w:val="22"/>
                <w:szCs w:val="22"/>
              </w:rPr>
            </w:pPr>
            <w:r w:rsidRPr="00EA38D2">
              <w:rPr>
                <w:sz w:val="22"/>
                <w:szCs w:val="22"/>
              </w:rPr>
              <w:t>D(CPI)</w:t>
            </w:r>
          </w:p>
        </w:tc>
        <w:tc>
          <w:tcPr>
            <w:tcW w:w="1312" w:type="dxa"/>
            <w:tcBorders>
              <w:bottom w:val="single" w:sz="4" w:space="0" w:color="auto"/>
            </w:tcBorders>
            <w:shd w:val="clear" w:color="auto" w:fill="auto"/>
            <w:vAlign w:val="center"/>
          </w:tcPr>
          <w:p w:rsidR="007A69E4" w:rsidRPr="00EA38D2" w:rsidRDefault="007A69E4" w:rsidP="00EA38D2">
            <w:pPr>
              <w:autoSpaceDE w:val="0"/>
              <w:autoSpaceDN w:val="0"/>
              <w:adjustRightInd w:val="0"/>
              <w:spacing w:before="0" w:beforeAutospacing="0" w:after="0" w:afterAutospacing="0"/>
              <w:ind w:firstLine="0"/>
              <w:jc w:val="center"/>
              <w:rPr>
                <w:sz w:val="22"/>
                <w:szCs w:val="22"/>
              </w:rPr>
            </w:pPr>
            <w:r w:rsidRPr="00EA38D2">
              <w:rPr>
                <w:sz w:val="22"/>
                <w:szCs w:val="22"/>
              </w:rPr>
              <w:t>D(E)</w:t>
            </w:r>
          </w:p>
        </w:tc>
        <w:tc>
          <w:tcPr>
            <w:tcW w:w="1313" w:type="dxa"/>
            <w:tcBorders>
              <w:bottom w:val="single" w:sz="4" w:space="0" w:color="auto"/>
            </w:tcBorders>
            <w:shd w:val="clear" w:color="auto" w:fill="auto"/>
            <w:vAlign w:val="center"/>
          </w:tcPr>
          <w:p w:rsidR="007A69E4" w:rsidRPr="00EA38D2" w:rsidRDefault="007A69E4" w:rsidP="00EA38D2">
            <w:pPr>
              <w:autoSpaceDE w:val="0"/>
              <w:autoSpaceDN w:val="0"/>
              <w:adjustRightInd w:val="0"/>
              <w:spacing w:before="0" w:beforeAutospacing="0" w:after="0" w:afterAutospacing="0"/>
              <w:ind w:firstLine="0"/>
              <w:jc w:val="center"/>
              <w:rPr>
                <w:sz w:val="22"/>
                <w:szCs w:val="22"/>
              </w:rPr>
            </w:pPr>
            <w:r w:rsidRPr="00EA38D2">
              <w:rPr>
                <w:sz w:val="22"/>
                <w:szCs w:val="22"/>
              </w:rPr>
              <w:t>D(R)</w:t>
            </w:r>
          </w:p>
        </w:tc>
        <w:tc>
          <w:tcPr>
            <w:tcW w:w="1312" w:type="dxa"/>
            <w:tcBorders>
              <w:bottom w:val="single" w:sz="4" w:space="0" w:color="auto"/>
            </w:tcBorders>
            <w:shd w:val="clear" w:color="auto" w:fill="auto"/>
            <w:vAlign w:val="center"/>
          </w:tcPr>
          <w:p w:rsidR="007A69E4" w:rsidRPr="00EA38D2" w:rsidRDefault="007A69E4" w:rsidP="00EA38D2">
            <w:pPr>
              <w:autoSpaceDE w:val="0"/>
              <w:autoSpaceDN w:val="0"/>
              <w:adjustRightInd w:val="0"/>
              <w:spacing w:before="0" w:beforeAutospacing="0" w:after="0" w:afterAutospacing="0"/>
              <w:ind w:firstLine="0"/>
              <w:jc w:val="center"/>
              <w:rPr>
                <w:sz w:val="22"/>
                <w:szCs w:val="22"/>
              </w:rPr>
            </w:pPr>
            <w:r w:rsidRPr="00EA38D2">
              <w:rPr>
                <w:sz w:val="22"/>
                <w:szCs w:val="22"/>
              </w:rPr>
              <w:t>D(LR)</w:t>
            </w:r>
          </w:p>
        </w:tc>
      </w:tr>
      <w:tr w:rsidR="009D4065" w:rsidRPr="00EA38D2" w:rsidTr="00EA38D2">
        <w:trPr>
          <w:trHeight w:val="283"/>
        </w:trPr>
        <w:tc>
          <w:tcPr>
            <w:tcW w:w="1526" w:type="dxa"/>
            <w:tcBorders>
              <w:top w:val="single" w:sz="4" w:space="0" w:color="auto"/>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CointEq1</w:t>
            </w:r>
          </w:p>
        </w:tc>
        <w:tc>
          <w:tcPr>
            <w:tcW w:w="1313" w:type="dxa"/>
            <w:tcBorders>
              <w:top w:val="single" w:sz="4" w:space="0" w:color="auto"/>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-1.019777</w:t>
            </w:r>
          </w:p>
        </w:tc>
        <w:tc>
          <w:tcPr>
            <w:tcW w:w="1312" w:type="dxa"/>
            <w:tcBorders>
              <w:top w:val="single" w:sz="4" w:space="0" w:color="auto"/>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-0.047622</w:t>
            </w:r>
          </w:p>
        </w:tc>
        <w:tc>
          <w:tcPr>
            <w:tcW w:w="1313" w:type="dxa"/>
            <w:tcBorders>
              <w:top w:val="single" w:sz="4" w:space="0" w:color="auto"/>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0.056825</w:t>
            </w:r>
          </w:p>
        </w:tc>
        <w:tc>
          <w:tcPr>
            <w:tcW w:w="1312" w:type="dxa"/>
            <w:tcBorders>
              <w:top w:val="single" w:sz="4" w:space="0" w:color="auto"/>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0.028112</w:t>
            </w:r>
          </w:p>
        </w:tc>
        <w:tc>
          <w:tcPr>
            <w:tcW w:w="1313" w:type="dxa"/>
            <w:tcBorders>
              <w:top w:val="single" w:sz="4" w:space="0" w:color="auto"/>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-0.015211</w:t>
            </w:r>
          </w:p>
        </w:tc>
        <w:tc>
          <w:tcPr>
            <w:tcW w:w="1312" w:type="dxa"/>
            <w:tcBorders>
              <w:top w:val="single" w:sz="4" w:space="0" w:color="auto"/>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0.010425</w:t>
            </w:r>
          </w:p>
        </w:tc>
      </w:tr>
      <w:tr w:rsidR="009D4065" w:rsidRPr="00EA38D2" w:rsidTr="00EA38D2">
        <w:trPr>
          <w:trHeight w:val="283"/>
        </w:trPr>
        <w:tc>
          <w:tcPr>
            <w:tcW w:w="1526"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[-5.65597]</w:t>
            </w:r>
          </w:p>
        </w:tc>
        <w:tc>
          <w:tcPr>
            <w:tcW w:w="1312"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[-1.27015]</w:t>
            </w: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[ 0.86559]</w:t>
            </w:r>
          </w:p>
        </w:tc>
        <w:tc>
          <w:tcPr>
            <w:tcW w:w="1312"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[ 0.46318]</w:t>
            </w: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[-0.88719]</w:t>
            </w:r>
          </w:p>
        </w:tc>
        <w:tc>
          <w:tcPr>
            <w:tcW w:w="1312"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[ 0.94040]</w:t>
            </w:r>
          </w:p>
        </w:tc>
      </w:tr>
      <w:tr w:rsidR="009D4065" w:rsidRPr="00EA38D2" w:rsidTr="00EA38D2">
        <w:trPr>
          <w:trHeight w:val="283"/>
        </w:trPr>
        <w:tc>
          <w:tcPr>
            <w:tcW w:w="1526" w:type="dxa"/>
            <w:tcBorders>
              <w:bottom w:val="nil"/>
              <w:right w:val="single" w:sz="4" w:space="0" w:color="auto"/>
            </w:tcBorders>
            <w:shd w:val="clear" w:color="auto" w:fill="auto"/>
            <w:vAlign w:val="center"/>
          </w:tcPr>
          <w:p w:rsidR="00B35AA9" w:rsidRPr="00EA38D2" w:rsidRDefault="007A69E4" w:rsidP="00EA38D2">
            <w:pPr>
              <w:autoSpaceDE w:val="0"/>
              <w:autoSpaceDN w:val="0"/>
              <w:adjustRightInd w:val="0"/>
              <w:spacing w:before="0" w:beforeAutospacing="0" w:after="0" w:afterAutospacing="0"/>
              <w:ind w:firstLine="0"/>
              <w:jc w:val="center"/>
              <w:rPr>
                <w:sz w:val="22"/>
                <w:szCs w:val="22"/>
              </w:rPr>
            </w:pPr>
            <w:r w:rsidRPr="00EA38D2">
              <w:rPr>
                <w:sz w:val="22"/>
                <w:szCs w:val="22"/>
              </w:rPr>
              <w:t>D(</w:t>
            </w:r>
            <w:r w:rsidR="00B35AA9" w:rsidRPr="00EA38D2">
              <w:rPr>
                <w:sz w:val="22"/>
                <w:szCs w:val="22"/>
              </w:rPr>
              <w:t>NPL(-1))</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-0.038833</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0.030982</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-0.039195</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0.008109</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-0.007108</w:t>
            </w:r>
          </w:p>
        </w:tc>
        <w:tc>
          <w:tcPr>
            <w:tcW w:w="1312" w:type="dxa"/>
            <w:tcBorders>
              <w:left w:val="single" w:sz="4" w:space="0" w:color="auto"/>
              <w:bottom w:val="nil"/>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-0.003826</w:t>
            </w:r>
          </w:p>
        </w:tc>
      </w:tr>
      <w:tr w:rsidR="009D4065" w:rsidRPr="00EA38D2" w:rsidTr="00EA38D2">
        <w:trPr>
          <w:trHeight w:val="283"/>
        </w:trPr>
        <w:tc>
          <w:tcPr>
            <w:tcW w:w="1526" w:type="dxa"/>
            <w:tcBorders>
              <w:top w:val="nil"/>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[-0.27144]</w:t>
            </w:r>
          </w:p>
        </w:tc>
        <w:tc>
          <w:tcPr>
            <w:tcW w:w="1312"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[ 1.04140]</w:t>
            </w: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[-0.75243]</w:t>
            </w:r>
          </w:p>
        </w:tc>
        <w:tc>
          <w:tcPr>
            <w:tcW w:w="1312"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[ 0.16838]</w:t>
            </w: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[-0.52253]</w:t>
            </w:r>
          </w:p>
        </w:tc>
        <w:tc>
          <w:tcPr>
            <w:tcW w:w="1312" w:type="dxa"/>
            <w:tcBorders>
              <w:top w:val="nil"/>
              <w:left w:val="single" w:sz="4" w:space="0" w:color="auto"/>
              <w:bottom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[-0.43495]</w:t>
            </w:r>
          </w:p>
        </w:tc>
      </w:tr>
      <w:tr w:rsidR="009D4065" w:rsidRPr="00EA38D2" w:rsidTr="00EA38D2">
        <w:trPr>
          <w:trHeight w:val="283"/>
        </w:trPr>
        <w:tc>
          <w:tcPr>
            <w:tcW w:w="1526" w:type="dxa"/>
            <w:tcBorders>
              <w:bottom w:val="nil"/>
              <w:right w:val="single" w:sz="4" w:space="0" w:color="auto"/>
            </w:tcBorders>
            <w:shd w:val="clear" w:color="auto" w:fill="auto"/>
            <w:vAlign w:val="center"/>
          </w:tcPr>
          <w:p w:rsidR="00B35AA9" w:rsidRPr="00EA38D2" w:rsidRDefault="007A69E4" w:rsidP="00EA38D2">
            <w:pPr>
              <w:autoSpaceDE w:val="0"/>
              <w:autoSpaceDN w:val="0"/>
              <w:adjustRightInd w:val="0"/>
              <w:spacing w:before="0" w:beforeAutospacing="0" w:after="0" w:afterAutospacing="0"/>
              <w:ind w:firstLine="0"/>
              <w:jc w:val="center"/>
              <w:rPr>
                <w:sz w:val="22"/>
                <w:szCs w:val="22"/>
              </w:rPr>
            </w:pPr>
            <w:r w:rsidRPr="00EA38D2">
              <w:rPr>
                <w:sz w:val="22"/>
                <w:szCs w:val="22"/>
              </w:rPr>
              <w:t>D(GDP</w:t>
            </w:r>
            <w:r w:rsidR="00B35AA9" w:rsidRPr="00EA38D2">
              <w:rPr>
                <w:sz w:val="22"/>
                <w:szCs w:val="22"/>
              </w:rPr>
              <w:t>(-1))</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-1.889059</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0.335333</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0.361631</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0.283205</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0.021840</w:t>
            </w:r>
          </w:p>
        </w:tc>
        <w:tc>
          <w:tcPr>
            <w:tcW w:w="1312" w:type="dxa"/>
            <w:tcBorders>
              <w:left w:val="single" w:sz="4" w:space="0" w:color="auto"/>
              <w:bottom w:val="nil"/>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0.029779</w:t>
            </w:r>
          </w:p>
        </w:tc>
      </w:tr>
      <w:tr w:rsidR="009D4065" w:rsidRPr="00EA38D2" w:rsidTr="00EA38D2">
        <w:trPr>
          <w:trHeight w:val="283"/>
        </w:trPr>
        <w:tc>
          <w:tcPr>
            <w:tcW w:w="1526" w:type="dxa"/>
            <w:tcBorders>
              <w:top w:val="nil"/>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[-1.73690]</w:t>
            </w:r>
          </w:p>
        </w:tc>
        <w:tc>
          <w:tcPr>
            <w:tcW w:w="1312"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[ 1.48268]</w:t>
            </w: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[ 0.91319]</w:t>
            </w:r>
          </w:p>
        </w:tc>
        <w:tc>
          <w:tcPr>
            <w:tcW w:w="1312"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[ 0.77355]</w:t>
            </w: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[ 0.21118]</w:t>
            </w:r>
          </w:p>
        </w:tc>
        <w:tc>
          <w:tcPr>
            <w:tcW w:w="1312" w:type="dxa"/>
            <w:tcBorders>
              <w:top w:val="nil"/>
              <w:left w:val="single" w:sz="4" w:space="0" w:color="auto"/>
              <w:bottom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[ 0.44535]</w:t>
            </w:r>
          </w:p>
        </w:tc>
      </w:tr>
      <w:tr w:rsidR="009D4065" w:rsidRPr="00EA38D2" w:rsidTr="00EA38D2">
        <w:trPr>
          <w:trHeight w:val="283"/>
        </w:trPr>
        <w:tc>
          <w:tcPr>
            <w:tcW w:w="1526" w:type="dxa"/>
            <w:tcBorders>
              <w:bottom w:val="nil"/>
              <w:right w:val="single" w:sz="4" w:space="0" w:color="auto"/>
            </w:tcBorders>
            <w:shd w:val="clear" w:color="auto" w:fill="auto"/>
            <w:vAlign w:val="center"/>
          </w:tcPr>
          <w:p w:rsidR="00B35AA9" w:rsidRPr="00EA38D2" w:rsidRDefault="007A69E4" w:rsidP="00EA38D2">
            <w:pPr>
              <w:autoSpaceDE w:val="0"/>
              <w:autoSpaceDN w:val="0"/>
              <w:adjustRightInd w:val="0"/>
              <w:spacing w:before="0" w:beforeAutospacing="0" w:after="0" w:afterAutospacing="0"/>
              <w:ind w:firstLine="0"/>
              <w:jc w:val="center"/>
              <w:rPr>
                <w:sz w:val="22"/>
                <w:szCs w:val="22"/>
              </w:rPr>
            </w:pPr>
            <w:r w:rsidRPr="00EA38D2">
              <w:rPr>
                <w:sz w:val="22"/>
                <w:szCs w:val="22"/>
              </w:rPr>
              <w:t>D(CPI</w:t>
            </w:r>
            <w:r w:rsidR="00B35AA9" w:rsidRPr="00EA38D2">
              <w:rPr>
                <w:sz w:val="22"/>
                <w:szCs w:val="22"/>
              </w:rPr>
              <w:t>(-1))</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-0.420483</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0.017356</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0.038013</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0.016546</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-0.019819</w:t>
            </w:r>
          </w:p>
        </w:tc>
        <w:tc>
          <w:tcPr>
            <w:tcW w:w="1312" w:type="dxa"/>
            <w:tcBorders>
              <w:left w:val="single" w:sz="4" w:space="0" w:color="auto"/>
              <w:bottom w:val="nil"/>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-0.011527</w:t>
            </w:r>
          </w:p>
        </w:tc>
      </w:tr>
      <w:tr w:rsidR="009D4065" w:rsidRPr="00EA38D2" w:rsidTr="00EA38D2">
        <w:trPr>
          <w:trHeight w:val="283"/>
        </w:trPr>
        <w:tc>
          <w:tcPr>
            <w:tcW w:w="1526" w:type="dxa"/>
            <w:tcBorders>
              <w:top w:val="nil"/>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[-0.82042]</w:t>
            </w:r>
          </w:p>
        </w:tc>
        <w:tc>
          <w:tcPr>
            <w:tcW w:w="1312"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[ 0.16285]</w:t>
            </w: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[ 0.20370]</w:t>
            </w:r>
          </w:p>
        </w:tc>
        <w:tc>
          <w:tcPr>
            <w:tcW w:w="1312"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[ 0.09590]</w:t>
            </w:r>
          </w:p>
        </w:tc>
        <w:tc>
          <w:tcPr>
            <w:tcW w:w="1313" w:type="dxa"/>
            <w:tcBorders>
              <w:top w:val="nil"/>
              <w:left w:val="single" w:sz="4" w:space="0" w:color="auto"/>
              <w:bottom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[-0.40666]</w:t>
            </w:r>
          </w:p>
        </w:tc>
        <w:tc>
          <w:tcPr>
            <w:tcW w:w="1312" w:type="dxa"/>
            <w:tcBorders>
              <w:top w:val="nil"/>
              <w:left w:val="single" w:sz="4" w:space="0" w:color="auto"/>
              <w:bottom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[-0.36580]</w:t>
            </w:r>
          </w:p>
        </w:tc>
      </w:tr>
      <w:tr w:rsidR="009D4065" w:rsidRPr="00EA38D2" w:rsidTr="00EA38D2">
        <w:trPr>
          <w:trHeight w:val="283"/>
        </w:trPr>
        <w:tc>
          <w:tcPr>
            <w:tcW w:w="1526" w:type="dxa"/>
            <w:tcBorders>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D(TCER2(-1))</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-0.249816</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0.070330</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-0.023440</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0.572584</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0.034963</w:t>
            </w:r>
          </w:p>
        </w:tc>
        <w:tc>
          <w:tcPr>
            <w:tcW w:w="1312" w:type="dxa"/>
            <w:tcBorders>
              <w:left w:val="single" w:sz="4" w:space="0" w:color="auto"/>
              <w:bottom w:val="nil"/>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-0.042582</w:t>
            </w:r>
          </w:p>
        </w:tc>
      </w:tr>
      <w:tr w:rsidR="009D4065" w:rsidRPr="00EA38D2" w:rsidTr="00EA38D2">
        <w:trPr>
          <w:trHeight w:val="283"/>
        </w:trPr>
        <w:tc>
          <w:tcPr>
            <w:tcW w:w="1526" w:type="dxa"/>
            <w:tcBorders>
              <w:top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[-0.50943]</w:t>
            </w:r>
          </w:p>
        </w:tc>
        <w:tc>
          <w:tcPr>
            <w:tcW w:w="1312"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[ 0.68967]</w:t>
            </w: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[-0.13128]</w:t>
            </w:r>
          </w:p>
        </w:tc>
        <w:tc>
          <w:tcPr>
            <w:tcW w:w="1312"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[ 3.46861]</w:t>
            </w: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[ 0.74979]</w:t>
            </w:r>
          </w:p>
        </w:tc>
        <w:tc>
          <w:tcPr>
            <w:tcW w:w="1312" w:type="dxa"/>
            <w:tcBorders>
              <w:top w:val="nil"/>
              <w:lef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[-1.41234]</w:t>
            </w:r>
          </w:p>
        </w:tc>
      </w:tr>
      <w:tr w:rsidR="009D4065" w:rsidRPr="00EA38D2" w:rsidTr="00EA38D2">
        <w:trPr>
          <w:trHeight w:val="283"/>
        </w:trPr>
        <w:tc>
          <w:tcPr>
            <w:tcW w:w="1526" w:type="dxa"/>
            <w:tcBorders>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D(R(-1))</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-2.817865</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0.191073</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-0.091167</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0.231806</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-0.310624</w:t>
            </w:r>
          </w:p>
        </w:tc>
        <w:tc>
          <w:tcPr>
            <w:tcW w:w="1312" w:type="dxa"/>
            <w:tcBorders>
              <w:left w:val="single" w:sz="4" w:space="0" w:color="auto"/>
              <w:bottom w:val="nil"/>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-0.097931</w:t>
            </w:r>
          </w:p>
        </w:tc>
      </w:tr>
      <w:tr w:rsidR="009D4065" w:rsidRPr="00EA38D2" w:rsidTr="00EA38D2">
        <w:trPr>
          <w:trHeight w:val="283"/>
        </w:trPr>
        <w:tc>
          <w:tcPr>
            <w:tcW w:w="1526" w:type="dxa"/>
            <w:tcBorders>
              <w:top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[-1.21300]</w:t>
            </w:r>
          </w:p>
        </w:tc>
        <w:tc>
          <w:tcPr>
            <w:tcW w:w="1312"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[ 0.39553]</w:t>
            </w: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[-0.10778]</w:t>
            </w:r>
          </w:p>
        </w:tc>
        <w:tc>
          <w:tcPr>
            <w:tcW w:w="1312"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[ 0.29643]</w:t>
            </w: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[-1.40619]</w:t>
            </w:r>
          </w:p>
        </w:tc>
        <w:tc>
          <w:tcPr>
            <w:tcW w:w="1312" w:type="dxa"/>
            <w:tcBorders>
              <w:top w:val="nil"/>
              <w:lef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[-0.68567]</w:t>
            </w:r>
          </w:p>
        </w:tc>
      </w:tr>
      <w:tr w:rsidR="009D4065" w:rsidRPr="00EA38D2" w:rsidTr="00EA38D2">
        <w:trPr>
          <w:trHeight w:val="283"/>
        </w:trPr>
        <w:tc>
          <w:tcPr>
            <w:tcW w:w="1526" w:type="dxa"/>
            <w:tcBorders>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D(LR(-1))</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-5.335641</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-0.305531</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0.024773</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-0.374262</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0.228547</w:t>
            </w:r>
          </w:p>
        </w:tc>
        <w:tc>
          <w:tcPr>
            <w:tcW w:w="1312" w:type="dxa"/>
            <w:tcBorders>
              <w:left w:val="single" w:sz="4" w:space="0" w:color="auto"/>
              <w:bottom w:val="nil"/>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0.004360</w:t>
            </w:r>
          </w:p>
        </w:tc>
      </w:tr>
      <w:tr w:rsidR="009D4065" w:rsidRPr="00EA38D2" w:rsidTr="00EA38D2">
        <w:trPr>
          <w:trHeight w:val="283"/>
        </w:trPr>
        <w:tc>
          <w:tcPr>
            <w:tcW w:w="1526" w:type="dxa"/>
            <w:tcBorders>
              <w:top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[-1.83056]</w:t>
            </w:r>
          </w:p>
        </w:tc>
        <w:tc>
          <w:tcPr>
            <w:tcW w:w="1312"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[-0.50407]</w:t>
            </w: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[ 0.02334]</w:t>
            </w:r>
          </w:p>
        </w:tc>
        <w:tc>
          <w:tcPr>
            <w:tcW w:w="1312"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[-0.38144]</w:t>
            </w: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[ 0.82460]</w:t>
            </w:r>
          </w:p>
        </w:tc>
        <w:tc>
          <w:tcPr>
            <w:tcW w:w="1312" w:type="dxa"/>
            <w:tcBorders>
              <w:top w:val="nil"/>
              <w:lef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[ 0.02433]</w:t>
            </w:r>
          </w:p>
        </w:tc>
      </w:tr>
      <w:tr w:rsidR="009D4065" w:rsidRPr="00EA38D2" w:rsidTr="00EA38D2">
        <w:trPr>
          <w:trHeight w:val="283"/>
        </w:trPr>
        <w:tc>
          <w:tcPr>
            <w:tcW w:w="1526" w:type="dxa"/>
            <w:tcBorders>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C</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0.019028</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0.003115</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0.016663</w:t>
            </w:r>
          </w:p>
        </w:tc>
        <w:tc>
          <w:tcPr>
            <w:tcW w:w="1312"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0.002721</w:t>
            </w:r>
          </w:p>
        </w:tc>
        <w:tc>
          <w:tcPr>
            <w:tcW w:w="1313" w:type="dxa"/>
            <w:tcBorders>
              <w:left w:val="single" w:sz="4" w:space="0" w:color="auto"/>
              <w:bottom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0.000355</w:t>
            </w:r>
          </w:p>
        </w:tc>
        <w:tc>
          <w:tcPr>
            <w:tcW w:w="1312" w:type="dxa"/>
            <w:tcBorders>
              <w:left w:val="single" w:sz="4" w:space="0" w:color="auto"/>
              <w:bottom w:val="nil"/>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0.000344</w:t>
            </w:r>
          </w:p>
        </w:tc>
      </w:tr>
      <w:tr w:rsidR="009D4065" w:rsidRPr="00EA38D2" w:rsidTr="00EA38D2">
        <w:trPr>
          <w:trHeight w:val="283"/>
        </w:trPr>
        <w:tc>
          <w:tcPr>
            <w:tcW w:w="1526" w:type="dxa"/>
            <w:tcBorders>
              <w:top w:val="nil"/>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[ 1.36988]</w:t>
            </w:r>
          </w:p>
        </w:tc>
        <w:tc>
          <w:tcPr>
            <w:tcW w:w="1312"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[ 1.07826]</w:t>
            </w: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[ 3.29452]</w:t>
            </w:r>
          </w:p>
        </w:tc>
        <w:tc>
          <w:tcPr>
            <w:tcW w:w="1312"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[ 0.58182]</w:t>
            </w:r>
          </w:p>
        </w:tc>
        <w:tc>
          <w:tcPr>
            <w:tcW w:w="1313" w:type="dxa"/>
            <w:tcBorders>
              <w:top w:val="nil"/>
              <w:left w:val="single" w:sz="4" w:space="0" w:color="auto"/>
              <w:righ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[ 0.26876]</w:t>
            </w:r>
          </w:p>
        </w:tc>
        <w:tc>
          <w:tcPr>
            <w:tcW w:w="1312" w:type="dxa"/>
            <w:tcBorders>
              <w:top w:val="nil"/>
              <w:left w:val="single" w:sz="4" w:space="0" w:color="auto"/>
            </w:tcBorders>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[ 0.40230]</w:t>
            </w:r>
          </w:p>
        </w:tc>
      </w:tr>
      <w:tr w:rsidR="009D4065" w:rsidRPr="00EA38D2" w:rsidTr="00EA38D2">
        <w:trPr>
          <w:trHeight w:val="283"/>
        </w:trPr>
        <w:tc>
          <w:tcPr>
            <w:tcW w:w="1526"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R-squared</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0.619249</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0.410696</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0.044068</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0.362261</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0.154365</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0.135886</w:t>
            </w:r>
          </w:p>
        </w:tc>
      </w:tr>
      <w:tr w:rsidR="009D4065" w:rsidRPr="00EA38D2" w:rsidTr="00EA38D2">
        <w:trPr>
          <w:trHeight w:val="283"/>
        </w:trPr>
        <w:tc>
          <w:tcPr>
            <w:tcW w:w="1526"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Adj. R-squared</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0.530408</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0.273192</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-0.178983</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0.213455</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-0.042950</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-0.065740</w:t>
            </w:r>
          </w:p>
        </w:tc>
      </w:tr>
      <w:tr w:rsidR="009D4065" w:rsidRPr="00EA38D2" w:rsidTr="00EA38D2">
        <w:trPr>
          <w:trHeight w:val="283"/>
        </w:trPr>
        <w:tc>
          <w:tcPr>
            <w:tcW w:w="1526"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F-statistic</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6.970246</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2.986791</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0.197570</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2.434452</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0.782327</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0.673951</w:t>
            </w:r>
          </w:p>
        </w:tc>
      </w:tr>
      <w:tr w:rsidR="009D4065" w:rsidRPr="00EA38D2" w:rsidTr="00EA38D2">
        <w:trPr>
          <w:trHeight w:val="283"/>
        </w:trPr>
        <w:tc>
          <w:tcPr>
            <w:tcW w:w="1526"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Akaike AIC</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-3.336268</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-6.477190</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-5.356866</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-5.513848</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-8.042149</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-8.914293</w:t>
            </w:r>
          </w:p>
        </w:tc>
      </w:tr>
      <w:tr w:rsidR="009D4065" w:rsidRPr="00EA38D2" w:rsidTr="00EA38D2">
        <w:trPr>
          <w:trHeight w:val="283"/>
        </w:trPr>
        <w:tc>
          <w:tcPr>
            <w:tcW w:w="1526"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Schwarz SC</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-2.991514</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-6.132435</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-5.012111</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-5.169093</w:t>
            </w:r>
          </w:p>
        </w:tc>
        <w:tc>
          <w:tcPr>
            <w:tcW w:w="1313"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-7.697394</w:t>
            </w:r>
          </w:p>
        </w:tc>
        <w:tc>
          <w:tcPr>
            <w:tcW w:w="1312" w:type="dxa"/>
            <w:shd w:val="clear" w:color="auto" w:fill="auto"/>
            <w:vAlign w:val="center"/>
          </w:tcPr>
          <w:p w:rsidR="00B35AA9" w:rsidRPr="00EA38D2" w:rsidRDefault="00B35AA9" w:rsidP="00EA38D2">
            <w:pPr>
              <w:autoSpaceDE w:val="0"/>
              <w:autoSpaceDN w:val="0"/>
              <w:adjustRightInd w:val="0"/>
              <w:spacing w:before="0" w:beforeAutospacing="0" w:after="0" w:afterAutospacing="0"/>
              <w:ind w:firstLine="0"/>
              <w:jc w:val="center"/>
              <w:rPr>
                <w:sz w:val="22"/>
                <w:szCs w:val="22"/>
              </w:rPr>
            </w:pPr>
            <w:r w:rsidRPr="00EA38D2">
              <w:rPr>
                <w:sz w:val="22"/>
                <w:szCs w:val="22"/>
              </w:rPr>
              <w:t>-8.569538</w:t>
            </w:r>
          </w:p>
        </w:tc>
      </w:tr>
    </w:tbl>
    <w:p w:rsidR="00A249DA" w:rsidRPr="004634FC" w:rsidRDefault="00A249DA" w:rsidP="005077C9">
      <w:pPr>
        <w:pStyle w:val="Caption"/>
        <w:spacing w:before="0" w:beforeAutospacing="0"/>
        <w:ind w:firstLine="0"/>
        <w:jc w:val="center"/>
        <w:rPr>
          <w:b w:val="0"/>
          <w:bCs w:val="0"/>
          <w:color w:val="auto"/>
          <w:sz w:val="24"/>
          <w:szCs w:val="24"/>
        </w:rPr>
      </w:pPr>
      <w:r w:rsidRPr="004634FC">
        <w:rPr>
          <w:b w:val="0"/>
          <w:bCs w:val="0"/>
          <w:color w:val="auto"/>
          <w:sz w:val="24"/>
          <w:szCs w:val="24"/>
        </w:rPr>
        <w:t>Source: Own construction</w:t>
      </w:r>
    </w:p>
    <w:p w:rsidR="00544B59" w:rsidRPr="004634FC" w:rsidRDefault="00544B59" w:rsidP="005077C9">
      <w:pPr>
        <w:pStyle w:val="Caption"/>
        <w:spacing w:after="0" w:afterAutospacing="0" w:line="360" w:lineRule="auto"/>
        <w:jc w:val="center"/>
        <w:rPr>
          <w:b w:val="0"/>
          <w:bCs w:val="0"/>
          <w:color w:val="auto"/>
          <w:sz w:val="24"/>
          <w:szCs w:val="24"/>
        </w:rPr>
      </w:pPr>
      <w:r w:rsidRPr="004634FC">
        <w:rPr>
          <w:b w:val="0"/>
          <w:bCs w:val="0"/>
          <w:color w:val="auto"/>
          <w:sz w:val="24"/>
          <w:szCs w:val="24"/>
        </w:rPr>
        <w:t xml:space="preserve">Table </w:t>
      </w:r>
      <w:r w:rsidRPr="004634FC">
        <w:rPr>
          <w:b w:val="0"/>
          <w:bCs w:val="0"/>
          <w:color w:val="auto"/>
          <w:sz w:val="24"/>
          <w:szCs w:val="24"/>
        </w:rPr>
        <w:fldChar w:fldCharType="begin"/>
      </w:r>
      <w:r w:rsidRPr="004634FC">
        <w:rPr>
          <w:b w:val="0"/>
          <w:bCs w:val="0"/>
          <w:color w:val="auto"/>
          <w:sz w:val="24"/>
          <w:szCs w:val="24"/>
        </w:rPr>
        <w:instrText xml:space="preserve"> SEQ Table \* ARABIC </w:instrText>
      </w:r>
      <w:r w:rsidRPr="004634FC">
        <w:rPr>
          <w:b w:val="0"/>
          <w:bCs w:val="0"/>
          <w:color w:val="auto"/>
          <w:sz w:val="24"/>
          <w:szCs w:val="24"/>
        </w:rPr>
        <w:fldChar w:fldCharType="separate"/>
      </w:r>
      <w:r w:rsidR="00334DD9">
        <w:rPr>
          <w:b w:val="0"/>
          <w:bCs w:val="0"/>
          <w:noProof/>
          <w:color w:val="auto"/>
          <w:sz w:val="24"/>
          <w:szCs w:val="24"/>
        </w:rPr>
        <w:t>10</w:t>
      </w:r>
      <w:r w:rsidRPr="004634FC">
        <w:rPr>
          <w:b w:val="0"/>
          <w:bCs w:val="0"/>
          <w:color w:val="auto"/>
          <w:sz w:val="24"/>
          <w:szCs w:val="24"/>
        </w:rPr>
        <w:fldChar w:fldCharType="end"/>
      </w:r>
      <w:r w:rsidRPr="004634FC">
        <w:rPr>
          <w:b w:val="0"/>
          <w:bCs w:val="0"/>
          <w:color w:val="auto"/>
          <w:sz w:val="24"/>
          <w:szCs w:val="24"/>
        </w:rPr>
        <w:t xml:space="preserve">: </w:t>
      </w:r>
      <w:r w:rsidR="007E5D3B" w:rsidRPr="004634FC">
        <w:rPr>
          <w:b w:val="0"/>
          <w:bCs w:val="0"/>
          <w:color w:val="auto"/>
          <w:sz w:val="24"/>
          <w:szCs w:val="24"/>
        </w:rPr>
        <w:t xml:space="preserve">Testing of autocorrelation in residuals </w:t>
      </w:r>
      <w:r w:rsidRPr="004634FC">
        <w:rPr>
          <w:b w:val="0"/>
          <w:bCs w:val="0"/>
          <w:color w:val="auto"/>
          <w:sz w:val="24"/>
          <w:szCs w:val="24"/>
        </w:rPr>
        <w:t>for Satellite model</w:t>
      </w:r>
      <w:r w:rsidR="007E5D3B" w:rsidRPr="004634FC">
        <w:rPr>
          <w:b w:val="0"/>
          <w:bCs w:val="0"/>
          <w:color w:val="auto"/>
          <w:sz w:val="24"/>
          <w:szCs w:val="24"/>
        </w:rPr>
        <w:t>: LM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1200"/>
        <w:gridCol w:w="2800"/>
      </w:tblGrid>
      <w:tr w:rsidR="00F5084D" w:rsidRPr="00EA38D2" w:rsidTr="00EA38D2">
        <w:trPr>
          <w:trHeight w:val="204"/>
          <w:jc w:val="center"/>
        </w:trPr>
        <w:tc>
          <w:tcPr>
            <w:tcW w:w="4786" w:type="dxa"/>
            <w:gridSpan w:val="3"/>
            <w:shd w:val="clear" w:color="auto" w:fill="auto"/>
            <w:vAlign w:val="center"/>
          </w:tcPr>
          <w:p w:rsidR="00F5084D" w:rsidRPr="00EA38D2" w:rsidRDefault="00F5084D" w:rsidP="00EA38D2">
            <w:pPr>
              <w:autoSpaceDE w:val="0"/>
              <w:autoSpaceDN w:val="0"/>
              <w:adjustRightInd w:val="0"/>
              <w:spacing w:line="276" w:lineRule="auto"/>
              <w:ind w:firstLine="0"/>
              <w:jc w:val="center"/>
              <w:rPr>
                <w:sz w:val="22"/>
                <w:szCs w:val="22"/>
              </w:rPr>
            </w:pPr>
            <w:r w:rsidRPr="00EA38D2">
              <w:rPr>
                <w:sz w:val="22"/>
                <w:szCs w:val="22"/>
              </w:rPr>
              <w:t>VEC Residual Serial Correlation LM Tests</w:t>
            </w:r>
          </w:p>
        </w:tc>
      </w:tr>
      <w:tr w:rsidR="00F5084D" w:rsidRPr="00EA38D2" w:rsidTr="00EA38D2">
        <w:trPr>
          <w:trHeight w:val="204"/>
          <w:jc w:val="center"/>
        </w:trPr>
        <w:tc>
          <w:tcPr>
            <w:tcW w:w="4786" w:type="dxa"/>
            <w:gridSpan w:val="3"/>
            <w:shd w:val="clear" w:color="auto" w:fill="auto"/>
            <w:vAlign w:val="center"/>
          </w:tcPr>
          <w:p w:rsidR="00F5084D" w:rsidRPr="00EA38D2" w:rsidRDefault="00F5084D" w:rsidP="00EA38D2">
            <w:pPr>
              <w:autoSpaceDE w:val="0"/>
              <w:autoSpaceDN w:val="0"/>
              <w:adjustRightInd w:val="0"/>
              <w:spacing w:line="276" w:lineRule="auto"/>
              <w:ind w:firstLine="0"/>
              <w:jc w:val="center"/>
              <w:rPr>
                <w:sz w:val="22"/>
                <w:szCs w:val="22"/>
              </w:rPr>
            </w:pPr>
            <w:r w:rsidRPr="00EA38D2">
              <w:rPr>
                <w:sz w:val="22"/>
                <w:szCs w:val="22"/>
              </w:rPr>
              <w:t>Null Hypothesis: no serial correlation at lag order h</w:t>
            </w:r>
          </w:p>
        </w:tc>
      </w:tr>
      <w:tr w:rsidR="00F5084D" w:rsidRPr="00EA38D2" w:rsidTr="00EA38D2">
        <w:trPr>
          <w:trHeight w:val="204"/>
          <w:jc w:val="center"/>
        </w:trPr>
        <w:tc>
          <w:tcPr>
            <w:tcW w:w="4786" w:type="dxa"/>
            <w:gridSpan w:val="3"/>
            <w:shd w:val="clear" w:color="auto" w:fill="auto"/>
            <w:vAlign w:val="center"/>
          </w:tcPr>
          <w:p w:rsidR="00F5084D" w:rsidRPr="00EA38D2" w:rsidRDefault="00F5084D" w:rsidP="00EA38D2">
            <w:pPr>
              <w:autoSpaceDE w:val="0"/>
              <w:autoSpaceDN w:val="0"/>
              <w:adjustRightInd w:val="0"/>
              <w:spacing w:line="276" w:lineRule="auto"/>
              <w:ind w:firstLine="0"/>
              <w:jc w:val="center"/>
              <w:rPr>
                <w:sz w:val="22"/>
                <w:szCs w:val="22"/>
              </w:rPr>
            </w:pPr>
            <w:r w:rsidRPr="00EA38D2">
              <w:rPr>
                <w:sz w:val="22"/>
                <w:szCs w:val="22"/>
              </w:rPr>
              <w:t>Sample: 2005Q1 2015Q4</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autoSpaceDE w:val="0"/>
              <w:autoSpaceDN w:val="0"/>
              <w:adjustRightInd w:val="0"/>
              <w:spacing w:line="276" w:lineRule="auto"/>
              <w:ind w:firstLine="0"/>
              <w:jc w:val="center"/>
              <w:rPr>
                <w:sz w:val="22"/>
                <w:szCs w:val="22"/>
              </w:rPr>
            </w:pPr>
            <w:r w:rsidRPr="00EA38D2">
              <w:rPr>
                <w:sz w:val="22"/>
                <w:szCs w:val="22"/>
              </w:rPr>
              <w:t>Lags</w:t>
            </w:r>
          </w:p>
        </w:tc>
        <w:tc>
          <w:tcPr>
            <w:tcW w:w="1200" w:type="dxa"/>
            <w:shd w:val="clear" w:color="auto" w:fill="auto"/>
            <w:vAlign w:val="center"/>
          </w:tcPr>
          <w:p w:rsidR="00F5084D" w:rsidRPr="00EA38D2" w:rsidRDefault="00F5084D" w:rsidP="00EA38D2">
            <w:pPr>
              <w:autoSpaceDE w:val="0"/>
              <w:autoSpaceDN w:val="0"/>
              <w:adjustRightInd w:val="0"/>
              <w:spacing w:line="276" w:lineRule="auto"/>
              <w:ind w:firstLine="0"/>
              <w:jc w:val="center"/>
              <w:rPr>
                <w:sz w:val="22"/>
                <w:szCs w:val="22"/>
              </w:rPr>
            </w:pPr>
            <w:r w:rsidRPr="00EA38D2">
              <w:rPr>
                <w:sz w:val="22"/>
                <w:szCs w:val="22"/>
              </w:rPr>
              <w:t>LM-Stat</w:t>
            </w:r>
          </w:p>
        </w:tc>
        <w:tc>
          <w:tcPr>
            <w:tcW w:w="2800" w:type="dxa"/>
            <w:shd w:val="clear" w:color="auto" w:fill="auto"/>
            <w:vAlign w:val="center"/>
          </w:tcPr>
          <w:p w:rsidR="00F5084D" w:rsidRPr="00EA38D2" w:rsidRDefault="00F5084D" w:rsidP="00EA38D2">
            <w:pPr>
              <w:autoSpaceDE w:val="0"/>
              <w:autoSpaceDN w:val="0"/>
              <w:adjustRightInd w:val="0"/>
              <w:spacing w:line="276" w:lineRule="auto"/>
              <w:ind w:firstLine="0"/>
              <w:jc w:val="center"/>
              <w:rPr>
                <w:sz w:val="22"/>
                <w:szCs w:val="22"/>
              </w:rPr>
            </w:pPr>
            <w:r w:rsidRPr="00EA38D2">
              <w:rPr>
                <w:sz w:val="22"/>
                <w:szCs w:val="22"/>
              </w:rPr>
              <w:t>p-values</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1</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58.36010</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0.0106</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2</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42.59518</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0.2084</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3</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26.65237</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0.8716</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4</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64.57969</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0.0024</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5</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20.54883</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0.9819</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6</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45.02129</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0.1440</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7</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25.29170</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0.9089</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8</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91.84990</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0.0000</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9</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37.75128</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0.3892</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10</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43.48579</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0.1827</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11</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21.63290</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0.9720</w:t>
            </w:r>
          </w:p>
        </w:tc>
      </w:tr>
      <w:tr w:rsidR="00F5084D" w:rsidRPr="00EA38D2" w:rsidTr="00EA38D2">
        <w:trPr>
          <w:trHeight w:val="204"/>
          <w:jc w:val="center"/>
        </w:trPr>
        <w:tc>
          <w:tcPr>
            <w:tcW w:w="786"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12</w:t>
            </w:r>
          </w:p>
        </w:tc>
        <w:tc>
          <w:tcPr>
            <w:tcW w:w="12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53.20324</w:t>
            </w:r>
          </w:p>
        </w:tc>
        <w:tc>
          <w:tcPr>
            <w:tcW w:w="2800" w:type="dxa"/>
            <w:shd w:val="clear" w:color="auto" w:fill="auto"/>
            <w:vAlign w:val="center"/>
          </w:tcPr>
          <w:p w:rsidR="00F5084D" w:rsidRPr="00EA38D2" w:rsidRDefault="00F5084D" w:rsidP="00EA38D2">
            <w:pPr>
              <w:spacing w:line="276" w:lineRule="auto"/>
              <w:ind w:firstLine="0"/>
              <w:jc w:val="center"/>
              <w:rPr>
                <w:sz w:val="22"/>
                <w:szCs w:val="22"/>
              </w:rPr>
            </w:pPr>
            <w:r w:rsidRPr="00EA38D2">
              <w:rPr>
                <w:sz w:val="22"/>
                <w:szCs w:val="22"/>
              </w:rPr>
              <w:t>0.0323</w:t>
            </w:r>
          </w:p>
        </w:tc>
      </w:tr>
    </w:tbl>
    <w:p w:rsidR="00A249DA" w:rsidRPr="004634FC" w:rsidRDefault="00A249DA" w:rsidP="00A249DA">
      <w:pPr>
        <w:pStyle w:val="Caption"/>
        <w:spacing w:before="0" w:beforeAutospacing="0"/>
        <w:ind w:firstLine="0"/>
        <w:jc w:val="center"/>
        <w:rPr>
          <w:b w:val="0"/>
          <w:bCs w:val="0"/>
          <w:color w:val="auto"/>
          <w:sz w:val="24"/>
          <w:szCs w:val="24"/>
        </w:rPr>
      </w:pPr>
      <w:r w:rsidRPr="004634FC">
        <w:rPr>
          <w:b w:val="0"/>
          <w:bCs w:val="0"/>
          <w:color w:val="auto"/>
          <w:sz w:val="24"/>
          <w:szCs w:val="24"/>
        </w:rPr>
        <w:t>Source: Own construction</w:t>
      </w:r>
    </w:p>
    <w:p w:rsidR="00544B59" w:rsidRPr="004634FC" w:rsidRDefault="007E5D3B" w:rsidP="005077C9">
      <w:pPr>
        <w:pStyle w:val="Caption"/>
        <w:spacing w:after="0" w:afterAutospacing="0" w:line="360" w:lineRule="auto"/>
        <w:ind w:firstLine="0"/>
        <w:rPr>
          <w:b w:val="0"/>
          <w:color w:val="auto"/>
          <w:sz w:val="24"/>
          <w:szCs w:val="24"/>
        </w:rPr>
      </w:pPr>
      <w:r w:rsidRPr="004634FC">
        <w:rPr>
          <w:b w:val="0"/>
          <w:color w:val="auto"/>
          <w:sz w:val="24"/>
          <w:szCs w:val="24"/>
        </w:rPr>
        <w:t xml:space="preserve">Table </w:t>
      </w:r>
      <w:r w:rsidRPr="004634FC">
        <w:rPr>
          <w:b w:val="0"/>
          <w:color w:val="auto"/>
          <w:sz w:val="24"/>
          <w:szCs w:val="24"/>
        </w:rPr>
        <w:fldChar w:fldCharType="begin"/>
      </w:r>
      <w:r w:rsidRPr="004634FC">
        <w:rPr>
          <w:b w:val="0"/>
          <w:color w:val="auto"/>
          <w:sz w:val="24"/>
          <w:szCs w:val="24"/>
        </w:rPr>
        <w:instrText xml:space="preserve"> SEQ Table \* ARABIC </w:instrText>
      </w:r>
      <w:r w:rsidRPr="004634FC">
        <w:rPr>
          <w:b w:val="0"/>
          <w:color w:val="auto"/>
          <w:sz w:val="24"/>
          <w:szCs w:val="24"/>
        </w:rPr>
        <w:fldChar w:fldCharType="separate"/>
      </w:r>
      <w:r w:rsidR="00334DD9">
        <w:rPr>
          <w:b w:val="0"/>
          <w:noProof/>
          <w:color w:val="auto"/>
          <w:sz w:val="24"/>
          <w:szCs w:val="24"/>
        </w:rPr>
        <w:t>11</w:t>
      </w:r>
      <w:r w:rsidRPr="004634FC">
        <w:rPr>
          <w:b w:val="0"/>
          <w:color w:val="auto"/>
          <w:sz w:val="24"/>
          <w:szCs w:val="24"/>
        </w:rPr>
        <w:fldChar w:fldCharType="end"/>
      </w:r>
      <w:r w:rsidRPr="004634FC">
        <w:rPr>
          <w:b w:val="0"/>
          <w:color w:val="auto"/>
          <w:sz w:val="24"/>
          <w:szCs w:val="24"/>
        </w:rPr>
        <w:t xml:space="preserve"> : </w:t>
      </w:r>
      <w:r w:rsidR="00544B59" w:rsidRPr="004634FC">
        <w:rPr>
          <w:b w:val="0"/>
          <w:color w:val="auto"/>
          <w:sz w:val="24"/>
          <w:szCs w:val="24"/>
        </w:rPr>
        <w:t>Testing of normality in residual series</w:t>
      </w:r>
      <w:r w:rsidRPr="004634FC">
        <w:rPr>
          <w:b w:val="0"/>
          <w:color w:val="auto"/>
          <w:sz w:val="24"/>
          <w:szCs w:val="24"/>
        </w:rPr>
        <w:t xml:space="preserve"> in the satellite model</w:t>
      </w:r>
      <w:r w:rsidR="00517DA3" w:rsidRPr="004634FC">
        <w:rPr>
          <w:b w:val="0"/>
          <w:color w:val="auto"/>
          <w:sz w:val="24"/>
          <w:szCs w:val="24"/>
        </w:rPr>
        <w:t>: Jacque-Bera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499"/>
        <w:gridCol w:w="1200"/>
        <w:gridCol w:w="1200"/>
      </w:tblGrid>
      <w:tr w:rsidR="009D4065" w:rsidRPr="00EA38D2" w:rsidTr="00EA38D2">
        <w:trPr>
          <w:trHeight w:val="340"/>
          <w:jc w:val="center"/>
        </w:trPr>
        <w:tc>
          <w:tcPr>
            <w:tcW w:w="1543"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Component</w:t>
            </w:r>
          </w:p>
        </w:tc>
        <w:tc>
          <w:tcPr>
            <w:tcW w:w="1499" w:type="dxa"/>
            <w:shd w:val="clear" w:color="auto" w:fill="auto"/>
            <w:vAlign w:val="center"/>
          </w:tcPr>
          <w:p w:rsidR="00544B59" w:rsidRPr="00EA38D2" w:rsidRDefault="00517DA3" w:rsidP="00EA38D2">
            <w:pPr>
              <w:autoSpaceDE w:val="0"/>
              <w:autoSpaceDN w:val="0"/>
              <w:adjustRightInd w:val="0"/>
              <w:spacing w:before="0" w:beforeAutospacing="0" w:after="0" w:afterAutospacing="0"/>
              <w:ind w:firstLine="18"/>
              <w:jc w:val="center"/>
              <w:rPr>
                <w:sz w:val="20"/>
              </w:rPr>
            </w:pPr>
            <w:r w:rsidRPr="00EA38D2">
              <w:rPr>
                <w:sz w:val="20"/>
              </w:rPr>
              <w:t>Jac</w:t>
            </w:r>
            <w:r w:rsidR="00544B59" w:rsidRPr="00EA38D2">
              <w:rPr>
                <w:sz w:val="20"/>
              </w:rPr>
              <w:t>que-Bera</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df</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Prob.</w:t>
            </w:r>
          </w:p>
        </w:tc>
      </w:tr>
      <w:tr w:rsidR="009D4065" w:rsidRPr="00EA38D2" w:rsidTr="00EA38D2">
        <w:trPr>
          <w:trHeight w:val="340"/>
          <w:jc w:val="center"/>
        </w:trPr>
        <w:tc>
          <w:tcPr>
            <w:tcW w:w="1543"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1</w:t>
            </w:r>
          </w:p>
        </w:tc>
        <w:tc>
          <w:tcPr>
            <w:tcW w:w="1499"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0.352888</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2</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0.8382</w:t>
            </w:r>
          </w:p>
        </w:tc>
      </w:tr>
      <w:tr w:rsidR="009D4065" w:rsidRPr="00EA38D2" w:rsidTr="00EA38D2">
        <w:trPr>
          <w:trHeight w:val="340"/>
          <w:jc w:val="center"/>
        </w:trPr>
        <w:tc>
          <w:tcPr>
            <w:tcW w:w="1543"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2</w:t>
            </w:r>
          </w:p>
        </w:tc>
        <w:tc>
          <w:tcPr>
            <w:tcW w:w="1499"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0.449234</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2</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0.7988</w:t>
            </w:r>
          </w:p>
        </w:tc>
      </w:tr>
      <w:tr w:rsidR="009D4065" w:rsidRPr="00EA38D2" w:rsidTr="00EA38D2">
        <w:trPr>
          <w:trHeight w:val="340"/>
          <w:jc w:val="center"/>
        </w:trPr>
        <w:tc>
          <w:tcPr>
            <w:tcW w:w="1543"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3</w:t>
            </w:r>
          </w:p>
        </w:tc>
        <w:tc>
          <w:tcPr>
            <w:tcW w:w="1499"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6.984914</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2</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0.0304</w:t>
            </w:r>
          </w:p>
        </w:tc>
      </w:tr>
      <w:tr w:rsidR="009D4065" w:rsidRPr="00EA38D2" w:rsidTr="00EA38D2">
        <w:trPr>
          <w:trHeight w:val="340"/>
          <w:jc w:val="center"/>
        </w:trPr>
        <w:tc>
          <w:tcPr>
            <w:tcW w:w="1543"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4</w:t>
            </w:r>
          </w:p>
        </w:tc>
        <w:tc>
          <w:tcPr>
            <w:tcW w:w="1499"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2.416022</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2</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0.2988</w:t>
            </w:r>
          </w:p>
        </w:tc>
      </w:tr>
      <w:tr w:rsidR="009D4065" w:rsidRPr="00EA38D2" w:rsidTr="00EA38D2">
        <w:trPr>
          <w:trHeight w:val="340"/>
          <w:jc w:val="center"/>
        </w:trPr>
        <w:tc>
          <w:tcPr>
            <w:tcW w:w="1543"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5</w:t>
            </w:r>
          </w:p>
        </w:tc>
        <w:tc>
          <w:tcPr>
            <w:tcW w:w="1499"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1.978960</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2</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0.3718</w:t>
            </w:r>
          </w:p>
        </w:tc>
      </w:tr>
      <w:tr w:rsidR="009D4065" w:rsidRPr="00EA38D2" w:rsidTr="00EA38D2">
        <w:trPr>
          <w:trHeight w:val="340"/>
          <w:jc w:val="center"/>
        </w:trPr>
        <w:tc>
          <w:tcPr>
            <w:tcW w:w="1543"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6</w:t>
            </w:r>
          </w:p>
        </w:tc>
        <w:tc>
          <w:tcPr>
            <w:tcW w:w="1499"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3.052641</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2</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0.2173</w:t>
            </w:r>
          </w:p>
        </w:tc>
      </w:tr>
      <w:tr w:rsidR="009D4065" w:rsidRPr="00EA38D2" w:rsidTr="00EA38D2">
        <w:trPr>
          <w:trHeight w:val="340"/>
          <w:jc w:val="center"/>
        </w:trPr>
        <w:tc>
          <w:tcPr>
            <w:tcW w:w="1543"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7</w:t>
            </w:r>
          </w:p>
        </w:tc>
        <w:tc>
          <w:tcPr>
            <w:tcW w:w="1499"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1.156589</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2</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0.5609</w:t>
            </w:r>
          </w:p>
        </w:tc>
      </w:tr>
      <w:tr w:rsidR="009D4065" w:rsidRPr="00EA38D2" w:rsidTr="00EA38D2">
        <w:trPr>
          <w:trHeight w:val="340"/>
          <w:jc w:val="center"/>
        </w:trPr>
        <w:tc>
          <w:tcPr>
            <w:tcW w:w="1543"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Joint</w:t>
            </w:r>
          </w:p>
        </w:tc>
        <w:tc>
          <w:tcPr>
            <w:tcW w:w="1499"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16.39125</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14</w:t>
            </w:r>
          </w:p>
        </w:tc>
        <w:tc>
          <w:tcPr>
            <w:tcW w:w="1200" w:type="dxa"/>
            <w:shd w:val="clear" w:color="auto" w:fill="auto"/>
            <w:vAlign w:val="center"/>
          </w:tcPr>
          <w:p w:rsidR="00544B59" w:rsidRPr="00EA38D2" w:rsidRDefault="00544B59" w:rsidP="00EA38D2">
            <w:pPr>
              <w:autoSpaceDE w:val="0"/>
              <w:autoSpaceDN w:val="0"/>
              <w:adjustRightInd w:val="0"/>
              <w:spacing w:before="0" w:beforeAutospacing="0" w:after="0" w:afterAutospacing="0"/>
              <w:ind w:firstLine="18"/>
              <w:jc w:val="center"/>
              <w:rPr>
                <w:sz w:val="20"/>
              </w:rPr>
            </w:pPr>
            <w:r w:rsidRPr="00EA38D2">
              <w:rPr>
                <w:sz w:val="20"/>
              </w:rPr>
              <w:t>0.2901</w:t>
            </w:r>
          </w:p>
        </w:tc>
      </w:tr>
    </w:tbl>
    <w:p w:rsidR="00A249DA" w:rsidRPr="004634FC" w:rsidRDefault="00A249DA" w:rsidP="00A249DA">
      <w:pPr>
        <w:pStyle w:val="Caption"/>
        <w:spacing w:before="0" w:beforeAutospacing="0"/>
        <w:ind w:firstLine="0"/>
        <w:jc w:val="center"/>
        <w:rPr>
          <w:b w:val="0"/>
          <w:bCs w:val="0"/>
          <w:color w:val="auto"/>
          <w:sz w:val="24"/>
          <w:szCs w:val="24"/>
        </w:rPr>
      </w:pPr>
      <w:r w:rsidRPr="004634FC">
        <w:rPr>
          <w:b w:val="0"/>
          <w:bCs w:val="0"/>
          <w:color w:val="auto"/>
          <w:sz w:val="24"/>
          <w:szCs w:val="24"/>
        </w:rPr>
        <w:t>Source: Own construction</w:t>
      </w:r>
    </w:p>
    <w:p w:rsidR="00544B59" w:rsidRPr="004634FC" w:rsidRDefault="007E5D3B" w:rsidP="005077C9">
      <w:pPr>
        <w:spacing w:after="0" w:afterAutospacing="0" w:line="360" w:lineRule="auto"/>
        <w:jc w:val="center"/>
        <w:rPr>
          <w:szCs w:val="24"/>
        </w:rPr>
      </w:pPr>
      <w:r w:rsidRPr="004634FC">
        <w:rPr>
          <w:szCs w:val="24"/>
        </w:rPr>
        <w:lastRenderedPageBreak/>
        <w:t xml:space="preserve">Table </w:t>
      </w:r>
      <w:r w:rsidRPr="004634FC">
        <w:rPr>
          <w:szCs w:val="24"/>
        </w:rPr>
        <w:fldChar w:fldCharType="begin"/>
      </w:r>
      <w:r w:rsidRPr="004634FC">
        <w:rPr>
          <w:szCs w:val="24"/>
        </w:rPr>
        <w:instrText xml:space="preserve"> SEQ Table \* ARABIC </w:instrText>
      </w:r>
      <w:r w:rsidRPr="004634FC">
        <w:rPr>
          <w:szCs w:val="24"/>
        </w:rPr>
        <w:fldChar w:fldCharType="separate"/>
      </w:r>
      <w:r w:rsidR="00334DD9">
        <w:rPr>
          <w:noProof/>
          <w:szCs w:val="24"/>
        </w:rPr>
        <w:t>12</w:t>
      </w:r>
      <w:r w:rsidRPr="004634FC">
        <w:rPr>
          <w:szCs w:val="24"/>
        </w:rPr>
        <w:fldChar w:fldCharType="end"/>
      </w:r>
      <w:r w:rsidRPr="004634FC">
        <w:rPr>
          <w:szCs w:val="24"/>
        </w:rPr>
        <w:t xml:space="preserve"> : </w:t>
      </w:r>
      <w:r w:rsidR="00544B59" w:rsidRPr="004634FC">
        <w:rPr>
          <w:szCs w:val="24"/>
        </w:rPr>
        <w:t>Testing of heteroscedasticity</w:t>
      </w:r>
      <w:r w:rsidR="00517DA3" w:rsidRPr="004634FC">
        <w:rPr>
          <w:szCs w:val="24"/>
        </w:rPr>
        <w:t>: White statistics</w:t>
      </w:r>
    </w:p>
    <w:tbl>
      <w:tblPr>
        <w:tblpPr w:leftFromText="141" w:rightFromText="141" w:vertAnchor="text" w:horzAnchor="margin" w:tblpXSpec="center" w:tblpY="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200"/>
        <w:gridCol w:w="1200"/>
      </w:tblGrid>
      <w:tr w:rsidR="00C562C8" w:rsidRPr="00EA38D2" w:rsidTr="00EA38D2">
        <w:trPr>
          <w:trHeight w:val="397"/>
        </w:trPr>
        <w:tc>
          <w:tcPr>
            <w:tcW w:w="2844" w:type="dxa"/>
            <w:gridSpan w:val="2"/>
            <w:shd w:val="clear" w:color="auto" w:fill="auto"/>
            <w:vAlign w:val="center"/>
          </w:tcPr>
          <w:p w:rsidR="00C562C8" w:rsidRPr="00EA38D2" w:rsidRDefault="00C562C8" w:rsidP="00EA38D2">
            <w:pPr>
              <w:autoSpaceDE w:val="0"/>
              <w:autoSpaceDN w:val="0"/>
              <w:adjustRightInd w:val="0"/>
              <w:spacing w:before="0" w:beforeAutospacing="0" w:after="0" w:afterAutospacing="0"/>
              <w:ind w:firstLine="0"/>
              <w:jc w:val="center"/>
              <w:rPr>
                <w:szCs w:val="24"/>
              </w:rPr>
            </w:pPr>
            <w:r w:rsidRPr="00EA38D2">
              <w:rPr>
                <w:szCs w:val="24"/>
              </w:rPr>
              <w:t>Joint test:</w:t>
            </w:r>
          </w:p>
        </w:tc>
        <w:tc>
          <w:tcPr>
            <w:tcW w:w="1200" w:type="dxa"/>
            <w:shd w:val="clear" w:color="auto" w:fill="auto"/>
            <w:vAlign w:val="center"/>
          </w:tcPr>
          <w:p w:rsidR="00C562C8" w:rsidRPr="00EA38D2" w:rsidRDefault="00C562C8" w:rsidP="00EA38D2">
            <w:pPr>
              <w:autoSpaceDE w:val="0"/>
              <w:autoSpaceDN w:val="0"/>
              <w:adjustRightInd w:val="0"/>
              <w:spacing w:before="0" w:beforeAutospacing="0" w:after="0" w:afterAutospacing="0"/>
              <w:ind w:firstLine="0"/>
              <w:jc w:val="center"/>
              <w:rPr>
                <w:szCs w:val="24"/>
              </w:rPr>
            </w:pPr>
          </w:p>
        </w:tc>
      </w:tr>
      <w:tr w:rsidR="00C562C8" w:rsidRPr="00EA38D2" w:rsidTr="00EA38D2">
        <w:trPr>
          <w:trHeight w:val="397"/>
        </w:trPr>
        <w:tc>
          <w:tcPr>
            <w:tcW w:w="1644" w:type="dxa"/>
            <w:shd w:val="clear" w:color="auto" w:fill="auto"/>
            <w:vAlign w:val="center"/>
          </w:tcPr>
          <w:p w:rsidR="00C562C8" w:rsidRPr="00EA38D2" w:rsidRDefault="00C562C8" w:rsidP="00EA38D2">
            <w:pPr>
              <w:autoSpaceDE w:val="0"/>
              <w:autoSpaceDN w:val="0"/>
              <w:adjustRightInd w:val="0"/>
              <w:spacing w:before="0" w:beforeAutospacing="0" w:after="0" w:afterAutospacing="0"/>
              <w:ind w:firstLine="0"/>
              <w:jc w:val="center"/>
              <w:rPr>
                <w:szCs w:val="24"/>
              </w:rPr>
            </w:pPr>
            <w:r w:rsidRPr="00EA38D2">
              <w:rPr>
                <w:szCs w:val="24"/>
              </w:rPr>
              <w:t>Chi-sq</w:t>
            </w:r>
          </w:p>
        </w:tc>
        <w:tc>
          <w:tcPr>
            <w:tcW w:w="1200" w:type="dxa"/>
            <w:shd w:val="clear" w:color="auto" w:fill="auto"/>
            <w:vAlign w:val="center"/>
          </w:tcPr>
          <w:p w:rsidR="00C562C8" w:rsidRPr="00EA38D2" w:rsidRDefault="00C562C8" w:rsidP="00EA38D2">
            <w:pPr>
              <w:autoSpaceDE w:val="0"/>
              <w:autoSpaceDN w:val="0"/>
              <w:adjustRightInd w:val="0"/>
              <w:spacing w:before="0" w:beforeAutospacing="0" w:after="0" w:afterAutospacing="0"/>
              <w:ind w:firstLine="0"/>
              <w:jc w:val="center"/>
              <w:rPr>
                <w:szCs w:val="24"/>
              </w:rPr>
            </w:pPr>
            <w:r w:rsidRPr="00EA38D2">
              <w:rPr>
                <w:szCs w:val="24"/>
              </w:rPr>
              <w:t>df</w:t>
            </w:r>
          </w:p>
        </w:tc>
        <w:tc>
          <w:tcPr>
            <w:tcW w:w="1200" w:type="dxa"/>
            <w:shd w:val="clear" w:color="auto" w:fill="auto"/>
            <w:vAlign w:val="center"/>
          </w:tcPr>
          <w:p w:rsidR="00C562C8" w:rsidRPr="00EA38D2" w:rsidRDefault="00C562C8" w:rsidP="00EA38D2">
            <w:pPr>
              <w:autoSpaceDE w:val="0"/>
              <w:autoSpaceDN w:val="0"/>
              <w:adjustRightInd w:val="0"/>
              <w:spacing w:before="0" w:beforeAutospacing="0" w:after="0" w:afterAutospacing="0"/>
              <w:ind w:firstLine="0"/>
              <w:jc w:val="center"/>
              <w:rPr>
                <w:szCs w:val="24"/>
              </w:rPr>
            </w:pPr>
            <w:r w:rsidRPr="00EA38D2">
              <w:rPr>
                <w:szCs w:val="24"/>
              </w:rPr>
              <w:t>Prob.</w:t>
            </w:r>
          </w:p>
        </w:tc>
      </w:tr>
      <w:tr w:rsidR="00C562C8" w:rsidRPr="00EA38D2" w:rsidTr="00EA38D2">
        <w:trPr>
          <w:trHeight w:val="397"/>
        </w:trPr>
        <w:tc>
          <w:tcPr>
            <w:tcW w:w="1644" w:type="dxa"/>
            <w:shd w:val="clear" w:color="auto" w:fill="auto"/>
            <w:vAlign w:val="center"/>
          </w:tcPr>
          <w:p w:rsidR="00C562C8" w:rsidRPr="00EA38D2" w:rsidRDefault="00C562C8" w:rsidP="00EA38D2">
            <w:pPr>
              <w:spacing w:before="0" w:beforeAutospacing="0" w:after="0" w:afterAutospacing="0"/>
              <w:ind w:firstLine="0"/>
              <w:jc w:val="center"/>
              <w:rPr>
                <w:szCs w:val="24"/>
              </w:rPr>
            </w:pPr>
            <w:r w:rsidRPr="00EA38D2">
              <w:rPr>
                <w:szCs w:val="24"/>
              </w:rPr>
              <w:t>344.0397</w:t>
            </w:r>
          </w:p>
        </w:tc>
        <w:tc>
          <w:tcPr>
            <w:tcW w:w="1200" w:type="dxa"/>
            <w:shd w:val="clear" w:color="auto" w:fill="auto"/>
            <w:vAlign w:val="center"/>
          </w:tcPr>
          <w:p w:rsidR="00C562C8" w:rsidRPr="00EA38D2" w:rsidRDefault="00C562C8" w:rsidP="00EA38D2">
            <w:pPr>
              <w:spacing w:before="0" w:beforeAutospacing="0" w:after="0" w:afterAutospacing="0"/>
              <w:ind w:firstLine="0"/>
              <w:jc w:val="center"/>
              <w:rPr>
                <w:szCs w:val="24"/>
              </w:rPr>
            </w:pPr>
            <w:r w:rsidRPr="00EA38D2">
              <w:rPr>
                <w:szCs w:val="24"/>
              </w:rPr>
              <w:t>294</w:t>
            </w:r>
          </w:p>
        </w:tc>
        <w:tc>
          <w:tcPr>
            <w:tcW w:w="1200" w:type="dxa"/>
            <w:shd w:val="clear" w:color="auto" w:fill="auto"/>
            <w:vAlign w:val="center"/>
          </w:tcPr>
          <w:p w:rsidR="00C562C8" w:rsidRPr="00EA38D2" w:rsidRDefault="00C562C8" w:rsidP="00EA38D2">
            <w:pPr>
              <w:spacing w:before="0" w:beforeAutospacing="0" w:after="0" w:afterAutospacing="0"/>
              <w:ind w:firstLine="0"/>
              <w:jc w:val="center"/>
              <w:rPr>
                <w:szCs w:val="24"/>
              </w:rPr>
            </w:pPr>
            <w:r w:rsidRPr="00EA38D2">
              <w:rPr>
                <w:szCs w:val="24"/>
              </w:rPr>
              <w:t>0.0236</w:t>
            </w:r>
          </w:p>
        </w:tc>
      </w:tr>
    </w:tbl>
    <w:p w:rsidR="00517DA3" w:rsidRPr="004634FC" w:rsidRDefault="00517DA3" w:rsidP="00EF4F4C">
      <w:pPr>
        <w:autoSpaceDE w:val="0"/>
        <w:autoSpaceDN w:val="0"/>
        <w:adjustRightInd w:val="0"/>
        <w:spacing w:line="360" w:lineRule="auto"/>
        <w:rPr>
          <w:szCs w:val="24"/>
        </w:rPr>
      </w:pPr>
      <w:r w:rsidRPr="004634FC">
        <w:rPr>
          <w:szCs w:val="24"/>
        </w:rPr>
        <w:t>VEC Residual Heteroskedasticity Tests: No Cross Terms (only levels and squares)</w:t>
      </w:r>
      <w:r w:rsidR="00544B59" w:rsidRPr="004634FC">
        <w:rPr>
          <w:szCs w:val="24"/>
        </w:rPr>
        <w:br/>
      </w:r>
      <w:r w:rsidR="00544B59" w:rsidRPr="004634FC">
        <w:rPr>
          <w:szCs w:val="24"/>
        </w:rPr>
        <w:br/>
      </w:r>
    </w:p>
    <w:p w:rsidR="0063375A" w:rsidRPr="004634FC" w:rsidRDefault="00517DA3" w:rsidP="00EF4F4C">
      <w:pPr>
        <w:pStyle w:val="Caption"/>
        <w:spacing w:line="360" w:lineRule="auto"/>
        <w:rPr>
          <w:b w:val="0"/>
          <w:bCs w:val="0"/>
          <w:color w:val="auto"/>
          <w:sz w:val="24"/>
          <w:szCs w:val="24"/>
        </w:rPr>
      </w:pPr>
      <w:r w:rsidRPr="004634FC">
        <w:rPr>
          <w:color w:val="auto"/>
          <w:sz w:val="24"/>
          <w:szCs w:val="24"/>
        </w:rPr>
        <w:br/>
      </w:r>
    </w:p>
    <w:p w:rsidR="00A249DA" w:rsidRPr="004634FC" w:rsidRDefault="00A249DA" w:rsidP="00A249DA">
      <w:pPr>
        <w:pStyle w:val="Caption"/>
        <w:spacing w:before="0" w:beforeAutospacing="0"/>
        <w:ind w:firstLine="0"/>
        <w:jc w:val="left"/>
        <w:rPr>
          <w:b w:val="0"/>
          <w:bCs w:val="0"/>
          <w:color w:val="auto"/>
          <w:sz w:val="24"/>
          <w:szCs w:val="24"/>
        </w:rPr>
      </w:pPr>
    </w:p>
    <w:p w:rsidR="00A249DA" w:rsidRPr="004634FC" w:rsidRDefault="00A249DA" w:rsidP="005077C9">
      <w:pPr>
        <w:pStyle w:val="Caption"/>
        <w:spacing w:before="0" w:beforeAutospacing="0"/>
        <w:ind w:firstLine="0"/>
        <w:jc w:val="center"/>
        <w:rPr>
          <w:b w:val="0"/>
          <w:bCs w:val="0"/>
          <w:color w:val="auto"/>
          <w:sz w:val="24"/>
          <w:szCs w:val="24"/>
        </w:rPr>
      </w:pPr>
      <w:r w:rsidRPr="004634FC">
        <w:rPr>
          <w:b w:val="0"/>
          <w:bCs w:val="0"/>
          <w:color w:val="auto"/>
          <w:sz w:val="24"/>
          <w:szCs w:val="24"/>
        </w:rPr>
        <w:t>Source: Own construction</w:t>
      </w:r>
    </w:p>
    <w:p w:rsidR="00A249DA" w:rsidRPr="004634FC" w:rsidRDefault="00A249DA" w:rsidP="00A249DA">
      <w:pPr>
        <w:rPr>
          <w:szCs w:val="24"/>
        </w:rPr>
      </w:pPr>
    </w:p>
    <w:sectPr w:rsidR="00A249DA" w:rsidRPr="004634F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BE" w:rsidRDefault="00D318BE" w:rsidP="00E340C4">
      <w:r>
        <w:separator/>
      </w:r>
    </w:p>
  </w:endnote>
  <w:endnote w:type="continuationSeparator" w:id="0">
    <w:p w:rsidR="00D318BE" w:rsidRDefault="00D318BE" w:rsidP="00E3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81" w:rsidRDefault="00B51181">
    <w:pPr>
      <w:pStyle w:val="Footer"/>
      <w:jc w:val="right"/>
    </w:pPr>
    <w:r>
      <w:fldChar w:fldCharType="begin"/>
    </w:r>
    <w:r>
      <w:instrText>PAGE   \* MERGEFORMAT</w:instrText>
    </w:r>
    <w:r>
      <w:fldChar w:fldCharType="separate"/>
    </w:r>
    <w:r w:rsidR="009D4065">
      <w:rPr>
        <w:noProof/>
      </w:rPr>
      <w:t>8</w:t>
    </w:r>
    <w:r>
      <w:fldChar w:fldCharType="end"/>
    </w:r>
  </w:p>
  <w:p w:rsidR="00B51181" w:rsidRDefault="00B51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BE" w:rsidRDefault="00D318BE" w:rsidP="00E340C4">
      <w:r>
        <w:separator/>
      </w:r>
    </w:p>
  </w:footnote>
  <w:footnote w:type="continuationSeparator" w:id="0">
    <w:p w:rsidR="00D318BE" w:rsidRDefault="00D318BE" w:rsidP="00E340C4">
      <w:r>
        <w:continuationSeparator/>
      </w:r>
    </w:p>
  </w:footnote>
  <w:footnote w:id="1">
    <w:p w:rsidR="00B51181" w:rsidRDefault="00B51181" w:rsidP="005E2A12">
      <w:pPr>
        <w:pStyle w:val="FootnoteText"/>
      </w:pPr>
      <w:r>
        <w:rPr>
          <w:rStyle w:val="FootnoteReference"/>
        </w:rPr>
        <w:footnoteRef/>
      </w:r>
      <w:r>
        <w:t xml:space="preserve"> </w:t>
      </w:r>
      <w:r w:rsidRPr="005E2A12">
        <w:rPr>
          <w:sz w:val="20"/>
        </w:rPr>
        <w:t>such as Rwanda (IMF, 2011), Nigeria (IMF, 2013), South Africa (IMF, 2014), Chad (IMF, 2016), CEMAC (IMF, 2016), Zambia (IMF,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736"/>
    <w:multiLevelType w:val="hybridMultilevel"/>
    <w:tmpl w:val="CB0E8DC0"/>
    <w:lvl w:ilvl="0" w:tplc="75443912">
      <w:start w:val="1"/>
      <w:numFmt w:val="decimal"/>
      <w:lvlText w:val="4.%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73536D6"/>
    <w:multiLevelType w:val="hybridMultilevel"/>
    <w:tmpl w:val="D64A6E9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DB02309"/>
    <w:multiLevelType w:val="hybridMultilevel"/>
    <w:tmpl w:val="9D206FB8"/>
    <w:lvl w:ilvl="0" w:tplc="819E28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161C71"/>
    <w:multiLevelType w:val="hybridMultilevel"/>
    <w:tmpl w:val="945C3C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0BD0EAA"/>
    <w:multiLevelType w:val="hybridMultilevel"/>
    <w:tmpl w:val="792632F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1848B8"/>
    <w:multiLevelType w:val="hybridMultilevel"/>
    <w:tmpl w:val="17707FA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E620973"/>
    <w:multiLevelType w:val="hybridMultilevel"/>
    <w:tmpl w:val="720EDBE0"/>
    <w:lvl w:ilvl="0" w:tplc="819E28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72698A"/>
    <w:multiLevelType w:val="hybridMultilevel"/>
    <w:tmpl w:val="1DAE2188"/>
    <w:lvl w:ilvl="0" w:tplc="819E28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154124"/>
    <w:multiLevelType w:val="hybridMultilevel"/>
    <w:tmpl w:val="9324361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D981431"/>
    <w:multiLevelType w:val="hybridMultilevel"/>
    <w:tmpl w:val="84BE0DD2"/>
    <w:lvl w:ilvl="0" w:tplc="819E28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220FEE"/>
    <w:multiLevelType w:val="hybridMultilevel"/>
    <w:tmpl w:val="A8B81928"/>
    <w:lvl w:ilvl="0" w:tplc="819E28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7144C9"/>
    <w:multiLevelType w:val="hybridMultilevel"/>
    <w:tmpl w:val="056C6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74B0744"/>
    <w:multiLevelType w:val="hybridMultilevel"/>
    <w:tmpl w:val="BBB48FA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7FC7E20"/>
    <w:multiLevelType w:val="hybridMultilevel"/>
    <w:tmpl w:val="DF821954"/>
    <w:lvl w:ilvl="0" w:tplc="6A1C4EBE">
      <w:start w:val="1"/>
      <w:numFmt w:val="decimal"/>
      <w:lvlText w:val="3.%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69262B02"/>
    <w:multiLevelType w:val="hybridMultilevel"/>
    <w:tmpl w:val="CB0E8DC0"/>
    <w:lvl w:ilvl="0" w:tplc="75443912">
      <w:start w:val="1"/>
      <w:numFmt w:val="decimal"/>
      <w:lvlText w:val="4.%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799D4BB0"/>
    <w:multiLevelType w:val="hybridMultilevel"/>
    <w:tmpl w:val="54AE31A4"/>
    <w:lvl w:ilvl="0" w:tplc="819E28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932B62"/>
    <w:multiLevelType w:val="hybridMultilevel"/>
    <w:tmpl w:val="F5BCC49A"/>
    <w:lvl w:ilvl="0" w:tplc="0F0463BE">
      <w:start w:val="1"/>
      <w:numFmt w:val="decimal"/>
      <w:pStyle w:val="Heading2"/>
      <w:lvlText w:val="Chapitre %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11"/>
  </w:num>
  <w:num w:numId="2">
    <w:abstractNumId w:val="4"/>
  </w:num>
  <w:num w:numId="3">
    <w:abstractNumId w:val="8"/>
  </w:num>
  <w:num w:numId="4">
    <w:abstractNumId w:val="12"/>
  </w:num>
  <w:num w:numId="5">
    <w:abstractNumId w:val="5"/>
  </w:num>
  <w:num w:numId="6">
    <w:abstractNumId w:val="1"/>
  </w:num>
  <w:num w:numId="7">
    <w:abstractNumId w:val="3"/>
  </w:num>
  <w:num w:numId="8">
    <w:abstractNumId w:val="16"/>
  </w:num>
  <w:num w:numId="9">
    <w:abstractNumId w:val="2"/>
  </w:num>
  <w:num w:numId="10">
    <w:abstractNumId w:val="13"/>
  </w:num>
  <w:num w:numId="11">
    <w:abstractNumId w:val="6"/>
  </w:num>
  <w:num w:numId="12">
    <w:abstractNumId w:val="9"/>
  </w:num>
  <w:num w:numId="13">
    <w:abstractNumId w:val="7"/>
  </w:num>
  <w:num w:numId="14">
    <w:abstractNumId w:val="14"/>
  </w:num>
  <w:num w:numId="15">
    <w:abstractNumId w:val="10"/>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v92rzwaaxd5zpex996p2w2ud05e92fsfswr&quot;&gt;My EndNote Library- P2&lt;record-ids&gt;&lt;item&gt;80&lt;/item&gt;&lt;/record-ids&gt;&lt;/item&gt;&lt;/Libraries&gt;"/>
  </w:docVars>
  <w:rsids>
    <w:rsidRoot w:val="00BF15D5"/>
    <w:rsid w:val="00000999"/>
    <w:rsid w:val="00005993"/>
    <w:rsid w:val="0000603E"/>
    <w:rsid w:val="00006ACE"/>
    <w:rsid w:val="00010CDA"/>
    <w:rsid w:val="00011C51"/>
    <w:rsid w:val="000128B1"/>
    <w:rsid w:val="00013D03"/>
    <w:rsid w:val="000167D2"/>
    <w:rsid w:val="00021BFA"/>
    <w:rsid w:val="00023380"/>
    <w:rsid w:val="00024E9C"/>
    <w:rsid w:val="000302B5"/>
    <w:rsid w:val="00033393"/>
    <w:rsid w:val="0003395C"/>
    <w:rsid w:val="00035E0E"/>
    <w:rsid w:val="00036C20"/>
    <w:rsid w:val="00036E34"/>
    <w:rsid w:val="00037A27"/>
    <w:rsid w:val="0004142E"/>
    <w:rsid w:val="00045AA5"/>
    <w:rsid w:val="00046C80"/>
    <w:rsid w:val="00046E5D"/>
    <w:rsid w:val="00047059"/>
    <w:rsid w:val="00050985"/>
    <w:rsid w:val="0005416E"/>
    <w:rsid w:val="00056D6F"/>
    <w:rsid w:val="000579BD"/>
    <w:rsid w:val="00060372"/>
    <w:rsid w:val="000637B5"/>
    <w:rsid w:val="00063EB4"/>
    <w:rsid w:val="000644C4"/>
    <w:rsid w:val="00064CC3"/>
    <w:rsid w:val="00065581"/>
    <w:rsid w:val="00067F4B"/>
    <w:rsid w:val="00075568"/>
    <w:rsid w:val="00075800"/>
    <w:rsid w:val="00075DBB"/>
    <w:rsid w:val="000841DA"/>
    <w:rsid w:val="00085FCC"/>
    <w:rsid w:val="00090C6B"/>
    <w:rsid w:val="000914AE"/>
    <w:rsid w:val="00094424"/>
    <w:rsid w:val="000A0881"/>
    <w:rsid w:val="000A0A23"/>
    <w:rsid w:val="000A183D"/>
    <w:rsid w:val="000A3469"/>
    <w:rsid w:val="000A58A4"/>
    <w:rsid w:val="000A67F1"/>
    <w:rsid w:val="000A77DC"/>
    <w:rsid w:val="000B2453"/>
    <w:rsid w:val="000B2E1A"/>
    <w:rsid w:val="000B331C"/>
    <w:rsid w:val="000B4115"/>
    <w:rsid w:val="000B4267"/>
    <w:rsid w:val="000B6D85"/>
    <w:rsid w:val="000B7C90"/>
    <w:rsid w:val="000C2021"/>
    <w:rsid w:val="000C206E"/>
    <w:rsid w:val="000C283B"/>
    <w:rsid w:val="000C39B9"/>
    <w:rsid w:val="000C4857"/>
    <w:rsid w:val="000D0C29"/>
    <w:rsid w:val="000D101B"/>
    <w:rsid w:val="000D1B0A"/>
    <w:rsid w:val="000D1C50"/>
    <w:rsid w:val="000D20F7"/>
    <w:rsid w:val="000D2B6D"/>
    <w:rsid w:val="000D3A8E"/>
    <w:rsid w:val="000D5618"/>
    <w:rsid w:val="000D5EB0"/>
    <w:rsid w:val="000D733F"/>
    <w:rsid w:val="000E17D8"/>
    <w:rsid w:val="000E6364"/>
    <w:rsid w:val="000F038B"/>
    <w:rsid w:val="000F305B"/>
    <w:rsid w:val="0010005A"/>
    <w:rsid w:val="00104D3B"/>
    <w:rsid w:val="0011119E"/>
    <w:rsid w:val="00111DD0"/>
    <w:rsid w:val="00112B88"/>
    <w:rsid w:val="00117069"/>
    <w:rsid w:val="00117256"/>
    <w:rsid w:val="00121BD2"/>
    <w:rsid w:val="001223AC"/>
    <w:rsid w:val="00123439"/>
    <w:rsid w:val="00127268"/>
    <w:rsid w:val="00127430"/>
    <w:rsid w:val="00132C8D"/>
    <w:rsid w:val="00133C0E"/>
    <w:rsid w:val="00133D3D"/>
    <w:rsid w:val="00135B71"/>
    <w:rsid w:val="00137A1C"/>
    <w:rsid w:val="00140442"/>
    <w:rsid w:val="00140F77"/>
    <w:rsid w:val="00142525"/>
    <w:rsid w:val="00145F58"/>
    <w:rsid w:val="00146578"/>
    <w:rsid w:val="00147027"/>
    <w:rsid w:val="0015267F"/>
    <w:rsid w:val="00152D61"/>
    <w:rsid w:val="0015446B"/>
    <w:rsid w:val="001560EC"/>
    <w:rsid w:val="001609ED"/>
    <w:rsid w:val="001618CC"/>
    <w:rsid w:val="001642B4"/>
    <w:rsid w:val="00165247"/>
    <w:rsid w:val="001728DD"/>
    <w:rsid w:val="001756FB"/>
    <w:rsid w:val="00177E8F"/>
    <w:rsid w:val="0018122D"/>
    <w:rsid w:val="00185265"/>
    <w:rsid w:val="0018730A"/>
    <w:rsid w:val="0019570E"/>
    <w:rsid w:val="00196417"/>
    <w:rsid w:val="00197131"/>
    <w:rsid w:val="001A0EF0"/>
    <w:rsid w:val="001A399F"/>
    <w:rsid w:val="001A452D"/>
    <w:rsid w:val="001A4ABA"/>
    <w:rsid w:val="001A56A8"/>
    <w:rsid w:val="001A6566"/>
    <w:rsid w:val="001B121D"/>
    <w:rsid w:val="001B4D21"/>
    <w:rsid w:val="001B6DF6"/>
    <w:rsid w:val="001C1972"/>
    <w:rsid w:val="001C220F"/>
    <w:rsid w:val="001C5916"/>
    <w:rsid w:val="001C5DA5"/>
    <w:rsid w:val="001C65C2"/>
    <w:rsid w:val="001C6C2A"/>
    <w:rsid w:val="001C7371"/>
    <w:rsid w:val="001D2344"/>
    <w:rsid w:val="001D3D6A"/>
    <w:rsid w:val="001D6940"/>
    <w:rsid w:val="001E0F1F"/>
    <w:rsid w:val="001E0F6F"/>
    <w:rsid w:val="001E1840"/>
    <w:rsid w:val="001E2983"/>
    <w:rsid w:val="001E3C34"/>
    <w:rsid w:val="001E65F6"/>
    <w:rsid w:val="001E669C"/>
    <w:rsid w:val="001E6B96"/>
    <w:rsid w:val="001F3520"/>
    <w:rsid w:val="001F3F2C"/>
    <w:rsid w:val="001F407E"/>
    <w:rsid w:val="001F4287"/>
    <w:rsid w:val="001F6DFE"/>
    <w:rsid w:val="00201A43"/>
    <w:rsid w:val="002023F6"/>
    <w:rsid w:val="00205623"/>
    <w:rsid w:val="00210A45"/>
    <w:rsid w:val="00212747"/>
    <w:rsid w:val="00213991"/>
    <w:rsid w:val="0021558D"/>
    <w:rsid w:val="0021597E"/>
    <w:rsid w:val="00216B7C"/>
    <w:rsid w:val="00221F46"/>
    <w:rsid w:val="00223365"/>
    <w:rsid w:val="00224C06"/>
    <w:rsid w:val="002323A0"/>
    <w:rsid w:val="00236A1C"/>
    <w:rsid w:val="00242D4C"/>
    <w:rsid w:val="0024554E"/>
    <w:rsid w:val="00245591"/>
    <w:rsid w:val="00246E1B"/>
    <w:rsid w:val="00247099"/>
    <w:rsid w:val="00251589"/>
    <w:rsid w:val="00251A4A"/>
    <w:rsid w:val="00252F92"/>
    <w:rsid w:val="00253C30"/>
    <w:rsid w:val="00253E31"/>
    <w:rsid w:val="0025487E"/>
    <w:rsid w:val="00254D98"/>
    <w:rsid w:val="00260BB0"/>
    <w:rsid w:val="002612BD"/>
    <w:rsid w:val="0026262C"/>
    <w:rsid w:val="00262FB0"/>
    <w:rsid w:val="002648DF"/>
    <w:rsid w:val="002655E7"/>
    <w:rsid w:val="00265D2F"/>
    <w:rsid w:val="002704FF"/>
    <w:rsid w:val="00281157"/>
    <w:rsid w:val="00283D7F"/>
    <w:rsid w:val="00283F7B"/>
    <w:rsid w:val="002846FD"/>
    <w:rsid w:val="0028739B"/>
    <w:rsid w:val="00290FB0"/>
    <w:rsid w:val="002A0E71"/>
    <w:rsid w:val="002A2AD6"/>
    <w:rsid w:val="002A463D"/>
    <w:rsid w:val="002B4CA2"/>
    <w:rsid w:val="002C0839"/>
    <w:rsid w:val="002C0CC1"/>
    <w:rsid w:val="002C178F"/>
    <w:rsid w:val="002C4720"/>
    <w:rsid w:val="002C5011"/>
    <w:rsid w:val="002C7148"/>
    <w:rsid w:val="002D0466"/>
    <w:rsid w:val="002D17F3"/>
    <w:rsid w:val="002D1D2D"/>
    <w:rsid w:val="002D5F73"/>
    <w:rsid w:val="002D6F5E"/>
    <w:rsid w:val="002E290B"/>
    <w:rsid w:val="002E2E55"/>
    <w:rsid w:val="002E5B8F"/>
    <w:rsid w:val="002E5D8F"/>
    <w:rsid w:val="002E6C3E"/>
    <w:rsid w:val="002F00B9"/>
    <w:rsid w:val="002F1659"/>
    <w:rsid w:val="002F20B4"/>
    <w:rsid w:val="002F2252"/>
    <w:rsid w:val="002F2501"/>
    <w:rsid w:val="002F3A95"/>
    <w:rsid w:val="00303E25"/>
    <w:rsid w:val="00305552"/>
    <w:rsid w:val="00305A9E"/>
    <w:rsid w:val="0030621D"/>
    <w:rsid w:val="0030684C"/>
    <w:rsid w:val="00306EE3"/>
    <w:rsid w:val="00307452"/>
    <w:rsid w:val="00307B30"/>
    <w:rsid w:val="00310626"/>
    <w:rsid w:val="0031427E"/>
    <w:rsid w:val="0031687E"/>
    <w:rsid w:val="00321D26"/>
    <w:rsid w:val="003232BF"/>
    <w:rsid w:val="0032436E"/>
    <w:rsid w:val="00331396"/>
    <w:rsid w:val="00331938"/>
    <w:rsid w:val="00334328"/>
    <w:rsid w:val="0033467D"/>
    <w:rsid w:val="00334DD9"/>
    <w:rsid w:val="003357DB"/>
    <w:rsid w:val="00335F38"/>
    <w:rsid w:val="00336A5D"/>
    <w:rsid w:val="00336EF6"/>
    <w:rsid w:val="0033775C"/>
    <w:rsid w:val="003402DE"/>
    <w:rsid w:val="00341CBA"/>
    <w:rsid w:val="0034339F"/>
    <w:rsid w:val="0034412C"/>
    <w:rsid w:val="00347E1A"/>
    <w:rsid w:val="00350144"/>
    <w:rsid w:val="00350526"/>
    <w:rsid w:val="00351A84"/>
    <w:rsid w:val="00351D31"/>
    <w:rsid w:val="00356095"/>
    <w:rsid w:val="0035648F"/>
    <w:rsid w:val="0035672F"/>
    <w:rsid w:val="003575F4"/>
    <w:rsid w:val="0036110A"/>
    <w:rsid w:val="00361CAA"/>
    <w:rsid w:val="00364C0C"/>
    <w:rsid w:val="00370232"/>
    <w:rsid w:val="00371620"/>
    <w:rsid w:val="0038044C"/>
    <w:rsid w:val="00383C9C"/>
    <w:rsid w:val="00386E8B"/>
    <w:rsid w:val="00387148"/>
    <w:rsid w:val="003902A7"/>
    <w:rsid w:val="003918D0"/>
    <w:rsid w:val="00393775"/>
    <w:rsid w:val="00394AA5"/>
    <w:rsid w:val="003979B1"/>
    <w:rsid w:val="003A0882"/>
    <w:rsid w:val="003A1F48"/>
    <w:rsid w:val="003A413E"/>
    <w:rsid w:val="003A4203"/>
    <w:rsid w:val="003A5AD7"/>
    <w:rsid w:val="003B283E"/>
    <w:rsid w:val="003B2C61"/>
    <w:rsid w:val="003B78C9"/>
    <w:rsid w:val="003C0C66"/>
    <w:rsid w:val="003C7AD6"/>
    <w:rsid w:val="003D765E"/>
    <w:rsid w:val="003E084E"/>
    <w:rsid w:val="003E6E8B"/>
    <w:rsid w:val="003E7303"/>
    <w:rsid w:val="003F128F"/>
    <w:rsid w:val="003F263A"/>
    <w:rsid w:val="003F31ED"/>
    <w:rsid w:val="003F48B8"/>
    <w:rsid w:val="003F4E1F"/>
    <w:rsid w:val="003F5F87"/>
    <w:rsid w:val="003F6B51"/>
    <w:rsid w:val="00401946"/>
    <w:rsid w:val="0040391D"/>
    <w:rsid w:val="0040660B"/>
    <w:rsid w:val="00411C6F"/>
    <w:rsid w:val="0041315B"/>
    <w:rsid w:val="00413D82"/>
    <w:rsid w:val="00413DB8"/>
    <w:rsid w:val="00414593"/>
    <w:rsid w:val="0041782E"/>
    <w:rsid w:val="00421FD4"/>
    <w:rsid w:val="00422D02"/>
    <w:rsid w:val="00424CD2"/>
    <w:rsid w:val="00425BB0"/>
    <w:rsid w:val="00426889"/>
    <w:rsid w:val="00430491"/>
    <w:rsid w:val="00432A9A"/>
    <w:rsid w:val="004340A2"/>
    <w:rsid w:val="00434AF7"/>
    <w:rsid w:val="004429F9"/>
    <w:rsid w:val="00444732"/>
    <w:rsid w:val="00444F9B"/>
    <w:rsid w:val="00446A3B"/>
    <w:rsid w:val="00446CAB"/>
    <w:rsid w:val="00460141"/>
    <w:rsid w:val="0046072A"/>
    <w:rsid w:val="004610AC"/>
    <w:rsid w:val="004634FC"/>
    <w:rsid w:val="00470363"/>
    <w:rsid w:val="004741AE"/>
    <w:rsid w:val="00474463"/>
    <w:rsid w:val="00474A22"/>
    <w:rsid w:val="004808C5"/>
    <w:rsid w:val="0048277D"/>
    <w:rsid w:val="00486751"/>
    <w:rsid w:val="00487790"/>
    <w:rsid w:val="004909BA"/>
    <w:rsid w:val="00490BE2"/>
    <w:rsid w:val="00492A63"/>
    <w:rsid w:val="00495018"/>
    <w:rsid w:val="00497719"/>
    <w:rsid w:val="00497EFA"/>
    <w:rsid w:val="004A5E8D"/>
    <w:rsid w:val="004A76AB"/>
    <w:rsid w:val="004B13CE"/>
    <w:rsid w:val="004B4128"/>
    <w:rsid w:val="004B4B83"/>
    <w:rsid w:val="004B5349"/>
    <w:rsid w:val="004C164A"/>
    <w:rsid w:val="004C4963"/>
    <w:rsid w:val="004C6948"/>
    <w:rsid w:val="004C7C16"/>
    <w:rsid w:val="004D1240"/>
    <w:rsid w:val="004D6488"/>
    <w:rsid w:val="004D7597"/>
    <w:rsid w:val="004E00F7"/>
    <w:rsid w:val="004E120A"/>
    <w:rsid w:val="004E20A1"/>
    <w:rsid w:val="004E4761"/>
    <w:rsid w:val="004F11ED"/>
    <w:rsid w:val="004F1A01"/>
    <w:rsid w:val="004F1B70"/>
    <w:rsid w:val="004F7FD7"/>
    <w:rsid w:val="00501AD4"/>
    <w:rsid w:val="00505394"/>
    <w:rsid w:val="005077C9"/>
    <w:rsid w:val="00510CD0"/>
    <w:rsid w:val="00514488"/>
    <w:rsid w:val="00515352"/>
    <w:rsid w:val="00516D40"/>
    <w:rsid w:val="00517B47"/>
    <w:rsid w:val="00517DA3"/>
    <w:rsid w:val="00524A95"/>
    <w:rsid w:val="00525185"/>
    <w:rsid w:val="005307A4"/>
    <w:rsid w:val="00531127"/>
    <w:rsid w:val="00531A23"/>
    <w:rsid w:val="00532E80"/>
    <w:rsid w:val="00532F34"/>
    <w:rsid w:val="005352F1"/>
    <w:rsid w:val="00535788"/>
    <w:rsid w:val="005360D1"/>
    <w:rsid w:val="0054145E"/>
    <w:rsid w:val="00541637"/>
    <w:rsid w:val="00543257"/>
    <w:rsid w:val="00544B59"/>
    <w:rsid w:val="005475FF"/>
    <w:rsid w:val="005505ED"/>
    <w:rsid w:val="00550C91"/>
    <w:rsid w:val="005541DA"/>
    <w:rsid w:val="0056063A"/>
    <w:rsid w:val="005625CC"/>
    <w:rsid w:val="005632A1"/>
    <w:rsid w:val="005633EB"/>
    <w:rsid w:val="00563417"/>
    <w:rsid w:val="00563893"/>
    <w:rsid w:val="00565FFA"/>
    <w:rsid w:val="0057305E"/>
    <w:rsid w:val="00575027"/>
    <w:rsid w:val="005761F6"/>
    <w:rsid w:val="00577908"/>
    <w:rsid w:val="00585FEF"/>
    <w:rsid w:val="005862CC"/>
    <w:rsid w:val="005871EB"/>
    <w:rsid w:val="0059039C"/>
    <w:rsid w:val="00590618"/>
    <w:rsid w:val="00591B80"/>
    <w:rsid w:val="005960C1"/>
    <w:rsid w:val="00597268"/>
    <w:rsid w:val="00597E32"/>
    <w:rsid w:val="005A011D"/>
    <w:rsid w:val="005A7022"/>
    <w:rsid w:val="005B39F0"/>
    <w:rsid w:val="005B7261"/>
    <w:rsid w:val="005C117F"/>
    <w:rsid w:val="005C2A0D"/>
    <w:rsid w:val="005C7F3E"/>
    <w:rsid w:val="005D07D7"/>
    <w:rsid w:val="005D0DBC"/>
    <w:rsid w:val="005D57A3"/>
    <w:rsid w:val="005E10FD"/>
    <w:rsid w:val="005E2A12"/>
    <w:rsid w:val="005F1FC0"/>
    <w:rsid w:val="005F229E"/>
    <w:rsid w:val="005F27D9"/>
    <w:rsid w:val="005F34F4"/>
    <w:rsid w:val="005F5A8A"/>
    <w:rsid w:val="00600603"/>
    <w:rsid w:val="00600881"/>
    <w:rsid w:val="00600920"/>
    <w:rsid w:val="006028CB"/>
    <w:rsid w:val="00611865"/>
    <w:rsid w:val="00620496"/>
    <w:rsid w:val="006204DF"/>
    <w:rsid w:val="00621406"/>
    <w:rsid w:val="00623B57"/>
    <w:rsid w:val="0062415E"/>
    <w:rsid w:val="00626D3E"/>
    <w:rsid w:val="006302CF"/>
    <w:rsid w:val="0063375A"/>
    <w:rsid w:val="00633DD2"/>
    <w:rsid w:val="00633E04"/>
    <w:rsid w:val="00634198"/>
    <w:rsid w:val="00642093"/>
    <w:rsid w:val="006422DC"/>
    <w:rsid w:val="00642354"/>
    <w:rsid w:val="006438CD"/>
    <w:rsid w:val="00645803"/>
    <w:rsid w:val="00645A55"/>
    <w:rsid w:val="00646D94"/>
    <w:rsid w:val="00647FB9"/>
    <w:rsid w:val="006506C2"/>
    <w:rsid w:val="00650E57"/>
    <w:rsid w:val="00653351"/>
    <w:rsid w:val="00655F48"/>
    <w:rsid w:val="006567C0"/>
    <w:rsid w:val="006612E9"/>
    <w:rsid w:val="00661D15"/>
    <w:rsid w:val="00671786"/>
    <w:rsid w:val="00672082"/>
    <w:rsid w:val="006722C4"/>
    <w:rsid w:val="00674A02"/>
    <w:rsid w:val="0067629F"/>
    <w:rsid w:val="00676DD1"/>
    <w:rsid w:val="006770AB"/>
    <w:rsid w:val="0067712E"/>
    <w:rsid w:val="0068033C"/>
    <w:rsid w:val="00683461"/>
    <w:rsid w:val="00690FF2"/>
    <w:rsid w:val="0069162E"/>
    <w:rsid w:val="00691CBC"/>
    <w:rsid w:val="00691ED9"/>
    <w:rsid w:val="00693C70"/>
    <w:rsid w:val="006A1941"/>
    <w:rsid w:val="006A5EBD"/>
    <w:rsid w:val="006A60FF"/>
    <w:rsid w:val="006B03B4"/>
    <w:rsid w:val="006B11B7"/>
    <w:rsid w:val="006B1BA4"/>
    <w:rsid w:val="006B21CC"/>
    <w:rsid w:val="006B282E"/>
    <w:rsid w:val="006B32E2"/>
    <w:rsid w:val="006B3EE8"/>
    <w:rsid w:val="006C084E"/>
    <w:rsid w:val="006D0BA7"/>
    <w:rsid w:val="006D4309"/>
    <w:rsid w:val="006E03F6"/>
    <w:rsid w:val="006E331B"/>
    <w:rsid w:val="006E39BF"/>
    <w:rsid w:val="006F0968"/>
    <w:rsid w:val="006F33FC"/>
    <w:rsid w:val="006F4043"/>
    <w:rsid w:val="006F4EA7"/>
    <w:rsid w:val="006F73C1"/>
    <w:rsid w:val="00700196"/>
    <w:rsid w:val="0070412A"/>
    <w:rsid w:val="0070528C"/>
    <w:rsid w:val="00705F18"/>
    <w:rsid w:val="00706A2C"/>
    <w:rsid w:val="00707C26"/>
    <w:rsid w:val="00710136"/>
    <w:rsid w:val="0071062D"/>
    <w:rsid w:val="0071078F"/>
    <w:rsid w:val="00710F6F"/>
    <w:rsid w:val="00711574"/>
    <w:rsid w:val="00713E83"/>
    <w:rsid w:val="00714D2A"/>
    <w:rsid w:val="007154D7"/>
    <w:rsid w:val="007214B8"/>
    <w:rsid w:val="0072193A"/>
    <w:rsid w:val="00722061"/>
    <w:rsid w:val="007235EE"/>
    <w:rsid w:val="0072368F"/>
    <w:rsid w:val="00723EEE"/>
    <w:rsid w:val="0072449C"/>
    <w:rsid w:val="00724CE0"/>
    <w:rsid w:val="00724EE3"/>
    <w:rsid w:val="00724FE9"/>
    <w:rsid w:val="0072762E"/>
    <w:rsid w:val="00732FF1"/>
    <w:rsid w:val="00734CC8"/>
    <w:rsid w:val="00735826"/>
    <w:rsid w:val="00735AE5"/>
    <w:rsid w:val="00737D3A"/>
    <w:rsid w:val="007428E0"/>
    <w:rsid w:val="00744671"/>
    <w:rsid w:val="00746201"/>
    <w:rsid w:val="00752EFF"/>
    <w:rsid w:val="00753BD4"/>
    <w:rsid w:val="00754637"/>
    <w:rsid w:val="00755EAF"/>
    <w:rsid w:val="0075680D"/>
    <w:rsid w:val="00760C99"/>
    <w:rsid w:val="00761643"/>
    <w:rsid w:val="00762D5F"/>
    <w:rsid w:val="00765873"/>
    <w:rsid w:val="00767838"/>
    <w:rsid w:val="00767B7D"/>
    <w:rsid w:val="00770FF8"/>
    <w:rsid w:val="007738CE"/>
    <w:rsid w:val="00774D9C"/>
    <w:rsid w:val="00777461"/>
    <w:rsid w:val="00784F02"/>
    <w:rsid w:val="0078655F"/>
    <w:rsid w:val="007871AC"/>
    <w:rsid w:val="007923E6"/>
    <w:rsid w:val="00794EE8"/>
    <w:rsid w:val="007A6534"/>
    <w:rsid w:val="007A68F5"/>
    <w:rsid w:val="007A69E4"/>
    <w:rsid w:val="007B6F0D"/>
    <w:rsid w:val="007D6C2B"/>
    <w:rsid w:val="007D7828"/>
    <w:rsid w:val="007D7AE1"/>
    <w:rsid w:val="007E1F65"/>
    <w:rsid w:val="007E26AE"/>
    <w:rsid w:val="007E3C31"/>
    <w:rsid w:val="007E4E26"/>
    <w:rsid w:val="007E50D7"/>
    <w:rsid w:val="007E5D3B"/>
    <w:rsid w:val="007F3DC5"/>
    <w:rsid w:val="007F55CB"/>
    <w:rsid w:val="007F6DF5"/>
    <w:rsid w:val="00801CBA"/>
    <w:rsid w:val="00802D8D"/>
    <w:rsid w:val="00804A2B"/>
    <w:rsid w:val="00805C52"/>
    <w:rsid w:val="008061A3"/>
    <w:rsid w:val="008108F6"/>
    <w:rsid w:val="00811E8E"/>
    <w:rsid w:val="008124A9"/>
    <w:rsid w:val="00813270"/>
    <w:rsid w:val="00814F0B"/>
    <w:rsid w:val="00820AED"/>
    <w:rsid w:val="00820E7B"/>
    <w:rsid w:val="008212B7"/>
    <w:rsid w:val="00822A1D"/>
    <w:rsid w:val="00823788"/>
    <w:rsid w:val="008238EB"/>
    <w:rsid w:val="00823FC4"/>
    <w:rsid w:val="008264E6"/>
    <w:rsid w:val="00826D98"/>
    <w:rsid w:val="0082798C"/>
    <w:rsid w:val="0083018A"/>
    <w:rsid w:val="008301CA"/>
    <w:rsid w:val="008304D5"/>
    <w:rsid w:val="008325D4"/>
    <w:rsid w:val="00833CB8"/>
    <w:rsid w:val="00833CC4"/>
    <w:rsid w:val="00835462"/>
    <w:rsid w:val="00835964"/>
    <w:rsid w:val="00836C75"/>
    <w:rsid w:val="00837A48"/>
    <w:rsid w:val="008405D4"/>
    <w:rsid w:val="00844029"/>
    <w:rsid w:val="008450C8"/>
    <w:rsid w:val="008500A6"/>
    <w:rsid w:val="0085101D"/>
    <w:rsid w:val="008528F3"/>
    <w:rsid w:val="00853FE3"/>
    <w:rsid w:val="008558DA"/>
    <w:rsid w:val="00856873"/>
    <w:rsid w:val="008604CF"/>
    <w:rsid w:val="008605A0"/>
    <w:rsid w:val="008609E8"/>
    <w:rsid w:val="00861BF7"/>
    <w:rsid w:val="00863070"/>
    <w:rsid w:val="0086336E"/>
    <w:rsid w:val="00866F63"/>
    <w:rsid w:val="00867575"/>
    <w:rsid w:val="008721BB"/>
    <w:rsid w:val="00872BBB"/>
    <w:rsid w:val="008732AE"/>
    <w:rsid w:val="00873F51"/>
    <w:rsid w:val="00874338"/>
    <w:rsid w:val="00875D3D"/>
    <w:rsid w:val="00886519"/>
    <w:rsid w:val="008867CE"/>
    <w:rsid w:val="00887959"/>
    <w:rsid w:val="008906F2"/>
    <w:rsid w:val="00890E65"/>
    <w:rsid w:val="0089205D"/>
    <w:rsid w:val="00893CDB"/>
    <w:rsid w:val="00893D0B"/>
    <w:rsid w:val="00894F89"/>
    <w:rsid w:val="008A0B8C"/>
    <w:rsid w:val="008A1648"/>
    <w:rsid w:val="008A205B"/>
    <w:rsid w:val="008A3150"/>
    <w:rsid w:val="008A59AD"/>
    <w:rsid w:val="008B5B80"/>
    <w:rsid w:val="008B78BE"/>
    <w:rsid w:val="008B7F67"/>
    <w:rsid w:val="008C3DA0"/>
    <w:rsid w:val="008C7270"/>
    <w:rsid w:val="008D129B"/>
    <w:rsid w:val="008D1481"/>
    <w:rsid w:val="008D1AC1"/>
    <w:rsid w:val="008D7297"/>
    <w:rsid w:val="008D73BD"/>
    <w:rsid w:val="008E1C47"/>
    <w:rsid w:val="008E23A2"/>
    <w:rsid w:val="008E2965"/>
    <w:rsid w:val="008E3BB3"/>
    <w:rsid w:val="008E5FD3"/>
    <w:rsid w:val="008E7726"/>
    <w:rsid w:val="008E7C32"/>
    <w:rsid w:val="008F3471"/>
    <w:rsid w:val="008F3BF6"/>
    <w:rsid w:val="008F43F3"/>
    <w:rsid w:val="008F4FDE"/>
    <w:rsid w:val="008F587C"/>
    <w:rsid w:val="008F790D"/>
    <w:rsid w:val="00900A37"/>
    <w:rsid w:val="00901B2E"/>
    <w:rsid w:val="009048D9"/>
    <w:rsid w:val="00910E29"/>
    <w:rsid w:val="00913B4B"/>
    <w:rsid w:val="00914D80"/>
    <w:rsid w:val="00920E3F"/>
    <w:rsid w:val="0092183C"/>
    <w:rsid w:val="00922A6F"/>
    <w:rsid w:val="00926F7B"/>
    <w:rsid w:val="009275F5"/>
    <w:rsid w:val="00927AD6"/>
    <w:rsid w:val="00930029"/>
    <w:rsid w:val="0093244C"/>
    <w:rsid w:val="009335D1"/>
    <w:rsid w:val="009343FF"/>
    <w:rsid w:val="009358F5"/>
    <w:rsid w:val="00936A19"/>
    <w:rsid w:val="009375E4"/>
    <w:rsid w:val="00937B08"/>
    <w:rsid w:val="00941689"/>
    <w:rsid w:val="00942323"/>
    <w:rsid w:val="00942D74"/>
    <w:rsid w:val="00945897"/>
    <w:rsid w:val="00951CDE"/>
    <w:rsid w:val="009568FA"/>
    <w:rsid w:val="00956F52"/>
    <w:rsid w:val="00956F74"/>
    <w:rsid w:val="00957B2C"/>
    <w:rsid w:val="0097048E"/>
    <w:rsid w:val="00972057"/>
    <w:rsid w:val="009748F6"/>
    <w:rsid w:val="00975AB9"/>
    <w:rsid w:val="00976DD5"/>
    <w:rsid w:val="009834A4"/>
    <w:rsid w:val="009873DE"/>
    <w:rsid w:val="00990658"/>
    <w:rsid w:val="00990688"/>
    <w:rsid w:val="009910B3"/>
    <w:rsid w:val="00992880"/>
    <w:rsid w:val="00992BAB"/>
    <w:rsid w:val="00996FA4"/>
    <w:rsid w:val="009A1BA5"/>
    <w:rsid w:val="009A3602"/>
    <w:rsid w:val="009A3CDD"/>
    <w:rsid w:val="009A5108"/>
    <w:rsid w:val="009A625E"/>
    <w:rsid w:val="009B068F"/>
    <w:rsid w:val="009B1D74"/>
    <w:rsid w:val="009B1F79"/>
    <w:rsid w:val="009B23A8"/>
    <w:rsid w:val="009B2E94"/>
    <w:rsid w:val="009B5007"/>
    <w:rsid w:val="009B5664"/>
    <w:rsid w:val="009B5C7A"/>
    <w:rsid w:val="009B74C3"/>
    <w:rsid w:val="009C2665"/>
    <w:rsid w:val="009C3CC2"/>
    <w:rsid w:val="009C3CE2"/>
    <w:rsid w:val="009C4FF7"/>
    <w:rsid w:val="009D049C"/>
    <w:rsid w:val="009D0BE7"/>
    <w:rsid w:val="009D1300"/>
    <w:rsid w:val="009D4065"/>
    <w:rsid w:val="009D44DF"/>
    <w:rsid w:val="009D4ABD"/>
    <w:rsid w:val="009D634C"/>
    <w:rsid w:val="009E1A8D"/>
    <w:rsid w:val="009E1E1F"/>
    <w:rsid w:val="009F13F1"/>
    <w:rsid w:val="009F2E99"/>
    <w:rsid w:val="009F406C"/>
    <w:rsid w:val="009F5788"/>
    <w:rsid w:val="009F7D47"/>
    <w:rsid w:val="00A016DF"/>
    <w:rsid w:val="00A0268B"/>
    <w:rsid w:val="00A03E46"/>
    <w:rsid w:val="00A03F92"/>
    <w:rsid w:val="00A04B5B"/>
    <w:rsid w:val="00A06A63"/>
    <w:rsid w:val="00A06C20"/>
    <w:rsid w:val="00A076E0"/>
    <w:rsid w:val="00A07F1B"/>
    <w:rsid w:val="00A1421B"/>
    <w:rsid w:val="00A151A7"/>
    <w:rsid w:val="00A16929"/>
    <w:rsid w:val="00A20A00"/>
    <w:rsid w:val="00A20BF7"/>
    <w:rsid w:val="00A232C8"/>
    <w:rsid w:val="00A249DA"/>
    <w:rsid w:val="00A2664E"/>
    <w:rsid w:val="00A27597"/>
    <w:rsid w:val="00A31ED3"/>
    <w:rsid w:val="00A34ED3"/>
    <w:rsid w:val="00A35783"/>
    <w:rsid w:val="00A417E6"/>
    <w:rsid w:val="00A41E9A"/>
    <w:rsid w:val="00A43D05"/>
    <w:rsid w:val="00A45DD9"/>
    <w:rsid w:val="00A51749"/>
    <w:rsid w:val="00A5507D"/>
    <w:rsid w:val="00A56EB0"/>
    <w:rsid w:val="00A56F62"/>
    <w:rsid w:val="00A57A6E"/>
    <w:rsid w:val="00A57BFA"/>
    <w:rsid w:val="00A61201"/>
    <w:rsid w:val="00A61B37"/>
    <w:rsid w:val="00A61D7C"/>
    <w:rsid w:val="00A63BAB"/>
    <w:rsid w:val="00A741E5"/>
    <w:rsid w:val="00A77015"/>
    <w:rsid w:val="00A80C80"/>
    <w:rsid w:val="00A81C4C"/>
    <w:rsid w:val="00A82076"/>
    <w:rsid w:val="00A8454B"/>
    <w:rsid w:val="00A850A1"/>
    <w:rsid w:val="00A8548B"/>
    <w:rsid w:val="00A86E4E"/>
    <w:rsid w:val="00A86EA7"/>
    <w:rsid w:val="00A8789B"/>
    <w:rsid w:val="00A92088"/>
    <w:rsid w:val="00A927A3"/>
    <w:rsid w:val="00A9480A"/>
    <w:rsid w:val="00AA1349"/>
    <w:rsid w:val="00AA184C"/>
    <w:rsid w:val="00AA1F85"/>
    <w:rsid w:val="00AA462E"/>
    <w:rsid w:val="00AA4D0D"/>
    <w:rsid w:val="00AA5BC0"/>
    <w:rsid w:val="00AA676F"/>
    <w:rsid w:val="00AA6B79"/>
    <w:rsid w:val="00AA6DEF"/>
    <w:rsid w:val="00AA706C"/>
    <w:rsid w:val="00AB1117"/>
    <w:rsid w:val="00AB43EC"/>
    <w:rsid w:val="00AB5A76"/>
    <w:rsid w:val="00AD23F0"/>
    <w:rsid w:val="00AD77D7"/>
    <w:rsid w:val="00AE0FC3"/>
    <w:rsid w:val="00AE747A"/>
    <w:rsid w:val="00AF0011"/>
    <w:rsid w:val="00AF2856"/>
    <w:rsid w:val="00AF2D88"/>
    <w:rsid w:val="00AF6D72"/>
    <w:rsid w:val="00B041D2"/>
    <w:rsid w:val="00B05F43"/>
    <w:rsid w:val="00B128C6"/>
    <w:rsid w:val="00B12EDD"/>
    <w:rsid w:val="00B151B1"/>
    <w:rsid w:val="00B1658F"/>
    <w:rsid w:val="00B30283"/>
    <w:rsid w:val="00B316BF"/>
    <w:rsid w:val="00B31916"/>
    <w:rsid w:val="00B35AA9"/>
    <w:rsid w:val="00B360CD"/>
    <w:rsid w:val="00B36636"/>
    <w:rsid w:val="00B37DC2"/>
    <w:rsid w:val="00B40063"/>
    <w:rsid w:val="00B42D31"/>
    <w:rsid w:val="00B47A06"/>
    <w:rsid w:val="00B51181"/>
    <w:rsid w:val="00B51314"/>
    <w:rsid w:val="00B53A66"/>
    <w:rsid w:val="00B55DB0"/>
    <w:rsid w:val="00B62023"/>
    <w:rsid w:val="00B71730"/>
    <w:rsid w:val="00B74246"/>
    <w:rsid w:val="00B749BD"/>
    <w:rsid w:val="00B80D14"/>
    <w:rsid w:val="00B82F46"/>
    <w:rsid w:val="00B85D93"/>
    <w:rsid w:val="00B908CC"/>
    <w:rsid w:val="00B91C5B"/>
    <w:rsid w:val="00B935A7"/>
    <w:rsid w:val="00B953DA"/>
    <w:rsid w:val="00B9625D"/>
    <w:rsid w:val="00BA351E"/>
    <w:rsid w:val="00BA3DC7"/>
    <w:rsid w:val="00BA4161"/>
    <w:rsid w:val="00BA4689"/>
    <w:rsid w:val="00BA51A8"/>
    <w:rsid w:val="00BA5969"/>
    <w:rsid w:val="00BA63D7"/>
    <w:rsid w:val="00BA752B"/>
    <w:rsid w:val="00BB01C6"/>
    <w:rsid w:val="00BB18CB"/>
    <w:rsid w:val="00BB4D8F"/>
    <w:rsid w:val="00BB5A13"/>
    <w:rsid w:val="00BC1226"/>
    <w:rsid w:val="00BC1CF7"/>
    <w:rsid w:val="00BC2207"/>
    <w:rsid w:val="00BC708F"/>
    <w:rsid w:val="00BD0743"/>
    <w:rsid w:val="00BD6260"/>
    <w:rsid w:val="00BD7057"/>
    <w:rsid w:val="00BE3257"/>
    <w:rsid w:val="00BE6824"/>
    <w:rsid w:val="00BE7900"/>
    <w:rsid w:val="00BF15D5"/>
    <w:rsid w:val="00BF37B6"/>
    <w:rsid w:val="00BF6173"/>
    <w:rsid w:val="00BF6496"/>
    <w:rsid w:val="00C03007"/>
    <w:rsid w:val="00C06319"/>
    <w:rsid w:val="00C108B9"/>
    <w:rsid w:val="00C12D4E"/>
    <w:rsid w:val="00C14096"/>
    <w:rsid w:val="00C14EFF"/>
    <w:rsid w:val="00C1568E"/>
    <w:rsid w:val="00C16165"/>
    <w:rsid w:val="00C21094"/>
    <w:rsid w:val="00C22887"/>
    <w:rsid w:val="00C241E3"/>
    <w:rsid w:val="00C26970"/>
    <w:rsid w:val="00C27D9D"/>
    <w:rsid w:val="00C3015E"/>
    <w:rsid w:val="00C30370"/>
    <w:rsid w:val="00C3584C"/>
    <w:rsid w:val="00C37733"/>
    <w:rsid w:val="00C43345"/>
    <w:rsid w:val="00C45815"/>
    <w:rsid w:val="00C502FC"/>
    <w:rsid w:val="00C50B4A"/>
    <w:rsid w:val="00C51BEB"/>
    <w:rsid w:val="00C52CC5"/>
    <w:rsid w:val="00C562C8"/>
    <w:rsid w:val="00C56C2C"/>
    <w:rsid w:val="00C62A50"/>
    <w:rsid w:val="00C63AB5"/>
    <w:rsid w:val="00C63ED2"/>
    <w:rsid w:val="00C64640"/>
    <w:rsid w:val="00C64F25"/>
    <w:rsid w:val="00C66965"/>
    <w:rsid w:val="00C67848"/>
    <w:rsid w:val="00C769CD"/>
    <w:rsid w:val="00C7727E"/>
    <w:rsid w:val="00C85DB2"/>
    <w:rsid w:val="00C869ED"/>
    <w:rsid w:val="00C870DE"/>
    <w:rsid w:val="00C90DED"/>
    <w:rsid w:val="00C9745A"/>
    <w:rsid w:val="00C97B00"/>
    <w:rsid w:val="00CA0148"/>
    <w:rsid w:val="00CA118E"/>
    <w:rsid w:val="00CA23F3"/>
    <w:rsid w:val="00CA6CF5"/>
    <w:rsid w:val="00CA7267"/>
    <w:rsid w:val="00CB068B"/>
    <w:rsid w:val="00CB0944"/>
    <w:rsid w:val="00CB1DD0"/>
    <w:rsid w:val="00CB2F5F"/>
    <w:rsid w:val="00CB4DF1"/>
    <w:rsid w:val="00CB54BA"/>
    <w:rsid w:val="00CB6D5D"/>
    <w:rsid w:val="00CC1EDE"/>
    <w:rsid w:val="00CC5BD6"/>
    <w:rsid w:val="00CC5F78"/>
    <w:rsid w:val="00CC70D8"/>
    <w:rsid w:val="00CD3239"/>
    <w:rsid w:val="00CD691E"/>
    <w:rsid w:val="00CD7588"/>
    <w:rsid w:val="00CE0CF7"/>
    <w:rsid w:val="00CE51D0"/>
    <w:rsid w:val="00CE654C"/>
    <w:rsid w:val="00CE703B"/>
    <w:rsid w:val="00CF05CC"/>
    <w:rsid w:val="00CF335A"/>
    <w:rsid w:val="00D105D9"/>
    <w:rsid w:val="00D12632"/>
    <w:rsid w:val="00D13B42"/>
    <w:rsid w:val="00D1645B"/>
    <w:rsid w:val="00D17845"/>
    <w:rsid w:val="00D2111B"/>
    <w:rsid w:val="00D21CF7"/>
    <w:rsid w:val="00D21E0F"/>
    <w:rsid w:val="00D24133"/>
    <w:rsid w:val="00D24CF5"/>
    <w:rsid w:val="00D266B6"/>
    <w:rsid w:val="00D26970"/>
    <w:rsid w:val="00D318BE"/>
    <w:rsid w:val="00D31947"/>
    <w:rsid w:val="00D33565"/>
    <w:rsid w:val="00D33EFB"/>
    <w:rsid w:val="00D341C3"/>
    <w:rsid w:val="00D355BD"/>
    <w:rsid w:val="00D37789"/>
    <w:rsid w:val="00D4455D"/>
    <w:rsid w:val="00D44C1A"/>
    <w:rsid w:val="00D50721"/>
    <w:rsid w:val="00D55C67"/>
    <w:rsid w:val="00D57043"/>
    <w:rsid w:val="00D62379"/>
    <w:rsid w:val="00D6255B"/>
    <w:rsid w:val="00D7042F"/>
    <w:rsid w:val="00D719F1"/>
    <w:rsid w:val="00D722B1"/>
    <w:rsid w:val="00D7265C"/>
    <w:rsid w:val="00D75B15"/>
    <w:rsid w:val="00D76E55"/>
    <w:rsid w:val="00D802E0"/>
    <w:rsid w:val="00D81027"/>
    <w:rsid w:val="00D85197"/>
    <w:rsid w:val="00D87018"/>
    <w:rsid w:val="00D95C5E"/>
    <w:rsid w:val="00D97246"/>
    <w:rsid w:val="00D97B50"/>
    <w:rsid w:val="00DA0EED"/>
    <w:rsid w:val="00DA29FC"/>
    <w:rsid w:val="00DA65BF"/>
    <w:rsid w:val="00DA72A7"/>
    <w:rsid w:val="00DB063B"/>
    <w:rsid w:val="00DB4CA9"/>
    <w:rsid w:val="00DC1110"/>
    <w:rsid w:val="00DC1466"/>
    <w:rsid w:val="00DC1DA7"/>
    <w:rsid w:val="00DC3CB9"/>
    <w:rsid w:val="00DD387C"/>
    <w:rsid w:val="00DD3BFB"/>
    <w:rsid w:val="00DD642C"/>
    <w:rsid w:val="00DD6C53"/>
    <w:rsid w:val="00DE04D0"/>
    <w:rsid w:val="00DE14DF"/>
    <w:rsid w:val="00DE161D"/>
    <w:rsid w:val="00DE2CF8"/>
    <w:rsid w:val="00DE6BBE"/>
    <w:rsid w:val="00DF0509"/>
    <w:rsid w:val="00DF079F"/>
    <w:rsid w:val="00DF297D"/>
    <w:rsid w:val="00DF2D9E"/>
    <w:rsid w:val="00DF53C6"/>
    <w:rsid w:val="00DF651E"/>
    <w:rsid w:val="00DF6A0E"/>
    <w:rsid w:val="00DF78C9"/>
    <w:rsid w:val="00E012A3"/>
    <w:rsid w:val="00E04807"/>
    <w:rsid w:val="00E12F3E"/>
    <w:rsid w:val="00E13259"/>
    <w:rsid w:val="00E15F59"/>
    <w:rsid w:val="00E17D40"/>
    <w:rsid w:val="00E3044C"/>
    <w:rsid w:val="00E309ED"/>
    <w:rsid w:val="00E340C4"/>
    <w:rsid w:val="00E3502C"/>
    <w:rsid w:val="00E37C98"/>
    <w:rsid w:val="00E4133C"/>
    <w:rsid w:val="00E51CE5"/>
    <w:rsid w:val="00E54180"/>
    <w:rsid w:val="00E55287"/>
    <w:rsid w:val="00E56CE1"/>
    <w:rsid w:val="00E56E17"/>
    <w:rsid w:val="00E57F51"/>
    <w:rsid w:val="00E6064A"/>
    <w:rsid w:val="00E612E0"/>
    <w:rsid w:val="00E62B2D"/>
    <w:rsid w:val="00E64DAC"/>
    <w:rsid w:val="00E65A55"/>
    <w:rsid w:val="00E700F0"/>
    <w:rsid w:val="00E76517"/>
    <w:rsid w:val="00E76C96"/>
    <w:rsid w:val="00E77764"/>
    <w:rsid w:val="00E8178F"/>
    <w:rsid w:val="00E81F1A"/>
    <w:rsid w:val="00E83DEA"/>
    <w:rsid w:val="00E846D3"/>
    <w:rsid w:val="00E856BC"/>
    <w:rsid w:val="00E85A09"/>
    <w:rsid w:val="00E90E02"/>
    <w:rsid w:val="00E91A9C"/>
    <w:rsid w:val="00E92124"/>
    <w:rsid w:val="00E9349F"/>
    <w:rsid w:val="00E9519B"/>
    <w:rsid w:val="00E97744"/>
    <w:rsid w:val="00E97BA7"/>
    <w:rsid w:val="00EA08A7"/>
    <w:rsid w:val="00EA09F2"/>
    <w:rsid w:val="00EA1BBB"/>
    <w:rsid w:val="00EA1D11"/>
    <w:rsid w:val="00EA38D2"/>
    <w:rsid w:val="00EA7460"/>
    <w:rsid w:val="00EB0ECC"/>
    <w:rsid w:val="00EB2B8F"/>
    <w:rsid w:val="00EB3B4E"/>
    <w:rsid w:val="00EB402D"/>
    <w:rsid w:val="00EB495D"/>
    <w:rsid w:val="00EB4A6C"/>
    <w:rsid w:val="00EB5D84"/>
    <w:rsid w:val="00EC3943"/>
    <w:rsid w:val="00EC5333"/>
    <w:rsid w:val="00EC684A"/>
    <w:rsid w:val="00ED0FE4"/>
    <w:rsid w:val="00ED1E39"/>
    <w:rsid w:val="00ED34A1"/>
    <w:rsid w:val="00ED46F5"/>
    <w:rsid w:val="00ED6483"/>
    <w:rsid w:val="00EE0BC1"/>
    <w:rsid w:val="00EE526C"/>
    <w:rsid w:val="00EE5830"/>
    <w:rsid w:val="00EE6014"/>
    <w:rsid w:val="00EF35F2"/>
    <w:rsid w:val="00EF43A8"/>
    <w:rsid w:val="00EF455D"/>
    <w:rsid w:val="00EF4F4C"/>
    <w:rsid w:val="00EF56F9"/>
    <w:rsid w:val="00EF6861"/>
    <w:rsid w:val="00EF7F28"/>
    <w:rsid w:val="00F034B3"/>
    <w:rsid w:val="00F04C8B"/>
    <w:rsid w:val="00F056F5"/>
    <w:rsid w:val="00F0688A"/>
    <w:rsid w:val="00F0692E"/>
    <w:rsid w:val="00F07236"/>
    <w:rsid w:val="00F103B4"/>
    <w:rsid w:val="00F10433"/>
    <w:rsid w:val="00F10F05"/>
    <w:rsid w:val="00F15AB9"/>
    <w:rsid w:val="00F175DC"/>
    <w:rsid w:val="00F1795E"/>
    <w:rsid w:val="00F20C8C"/>
    <w:rsid w:val="00F2400D"/>
    <w:rsid w:val="00F24726"/>
    <w:rsid w:val="00F24D67"/>
    <w:rsid w:val="00F31F06"/>
    <w:rsid w:val="00F326AD"/>
    <w:rsid w:val="00F3349F"/>
    <w:rsid w:val="00F40635"/>
    <w:rsid w:val="00F4180D"/>
    <w:rsid w:val="00F4427E"/>
    <w:rsid w:val="00F447D2"/>
    <w:rsid w:val="00F450DB"/>
    <w:rsid w:val="00F4787C"/>
    <w:rsid w:val="00F5084D"/>
    <w:rsid w:val="00F52333"/>
    <w:rsid w:val="00F57289"/>
    <w:rsid w:val="00F60F7F"/>
    <w:rsid w:val="00F630A8"/>
    <w:rsid w:val="00F63797"/>
    <w:rsid w:val="00F64DEE"/>
    <w:rsid w:val="00F70442"/>
    <w:rsid w:val="00F717E4"/>
    <w:rsid w:val="00F73412"/>
    <w:rsid w:val="00F735DF"/>
    <w:rsid w:val="00F74195"/>
    <w:rsid w:val="00F7467D"/>
    <w:rsid w:val="00F77579"/>
    <w:rsid w:val="00F813DB"/>
    <w:rsid w:val="00F819FF"/>
    <w:rsid w:val="00F87139"/>
    <w:rsid w:val="00F913A1"/>
    <w:rsid w:val="00F9454F"/>
    <w:rsid w:val="00F94CAB"/>
    <w:rsid w:val="00F95E39"/>
    <w:rsid w:val="00F97233"/>
    <w:rsid w:val="00FA429E"/>
    <w:rsid w:val="00FA4AB0"/>
    <w:rsid w:val="00FB4BFF"/>
    <w:rsid w:val="00FB5B81"/>
    <w:rsid w:val="00FD144A"/>
    <w:rsid w:val="00FD26E8"/>
    <w:rsid w:val="00FE39F0"/>
    <w:rsid w:val="00FE408E"/>
    <w:rsid w:val="00FE4A20"/>
    <w:rsid w:val="00FE5814"/>
    <w:rsid w:val="00FF012D"/>
    <w:rsid w:val="00FF2F35"/>
    <w:rsid w:val="00FF2F36"/>
    <w:rsid w:val="00FF3100"/>
    <w:rsid w:val="00FF6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1"/>
    <w:qFormat/>
    <w:rsid w:val="00D4455D"/>
    <w:pPr>
      <w:spacing w:before="100" w:beforeAutospacing="1" w:after="100" w:afterAutospacing="1"/>
      <w:ind w:firstLine="709"/>
      <w:jc w:val="both"/>
    </w:pPr>
    <w:rPr>
      <w:sz w:val="24"/>
      <w:lang w:val="en-US" w:eastAsia="en-US"/>
    </w:rPr>
  </w:style>
  <w:style w:type="paragraph" w:styleId="Heading2">
    <w:name w:val="heading 2"/>
    <w:basedOn w:val="Normal"/>
    <w:next w:val="Normal"/>
    <w:link w:val="Heading2Char"/>
    <w:uiPriority w:val="9"/>
    <w:unhideWhenUsed/>
    <w:qFormat/>
    <w:rsid w:val="00706A2C"/>
    <w:pPr>
      <w:keepNext/>
      <w:keepLines/>
      <w:pageBreakBefore/>
      <w:numPr>
        <w:numId w:val="8"/>
      </w:numPr>
      <w:spacing w:before="200" w:after="360"/>
      <w:ind w:hanging="357"/>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0F038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4C164A"/>
    <w:rPr>
      <w:vertAlign w:val="superscript"/>
    </w:rPr>
  </w:style>
  <w:style w:type="paragraph" w:styleId="ListParagraph">
    <w:name w:val="List Paragraph"/>
    <w:basedOn w:val="Normal"/>
    <w:uiPriority w:val="34"/>
    <w:qFormat/>
    <w:rsid w:val="000E17D8"/>
    <w:pPr>
      <w:ind w:left="720"/>
      <w:contextualSpacing/>
    </w:pPr>
  </w:style>
  <w:style w:type="paragraph" w:styleId="BalloonText">
    <w:name w:val="Balloon Text"/>
    <w:basedOn w:val="Normal"/>
    <w:link w:val="BalloonTextChar"/>
    <w:uiPriority w:val="99"/>
    <w:semiHidden/>
    <w:unhideWhenUsed/>
    <w:rsid w:val="00706A2C"/>
    <w:rPr>
      <w:rFonts w:ascii="Tahoma" w:hAnsi="Tahoma" w:cs="Tahoma"/>
      <w:sz w:val="16"/>
      <w:szCs w:val="16"/>
    </w:rPr>
  </w:style>
  <w:style w:type="character" w:customStyle="1" w:styleId="BalloonTextChar">
    <w:name w:val="Balloon Text Char"/>
    <w:link w:val="BalloonText"/>
    <w:uiPriority w:val="99"/>
    <w:semiHidden/>
    <w:rsid w:val="00706A2C"/>
    <w:rPr>
      <w:rFonts w:ascii="Tahoma" w:hAnsi="Tahoma" w:cs="Tahoma"/>
      <w:sz w:val="16"/>
      <w:szCs w:val="16"/>
    </w:rPr>
  </w:style>
  <w:style w:type="character" w:customStyle="1" w:styleId="Heading2Char">
    <w:name w:val="Heading 2 Char"/>
    <w:link w:val="Heading2"/>
    <w:uiPriority w:val="9"/>
    <w:rsid w:val="00706A2C"/>
    <w:rPr>
      <w:rFonts w:ascii="Cambria" w:eastAsia="Times New Roman" w:hAnsi="Cambria"/>
      <w:b/>
      <w:bCs/>
      <w:sz w:val="26"/>
      <w:szCs w:val="26"/>
    </w:rPr>
  </w:style>
  <w:style w:type="paragraph" w:styleId="Caption">
    <w:name w:val="caption"/>
    <w:basedOn w:val="Normal"/>
    <w:next w:val="Normal"/>
    <w:uiPriority w:val="35"/>
    <w:unhideWhenUsed/>
    <w:qFormat/>
    <w:rsid w:val="000E6364"/>
    <w:pPr>
      <w:spacing w:after="200"/>
    </w:pPr>
    <w:rPr>
      <w:b/>
      <w:bCs/>
      <w:color w:val="4F81BD"/>
      <w:sz w:val="18"/>
      <w:szCs w:val="18"/>
    </w:rPr>
  </w:style>
  <w:style w:type="table" w:styleId="TableGrid">
    <w:name w:val="Table Grid"/>
    <w:basedOn w:val="TableNormal"/>
    <w:uiPriority w:val="59"/>
    <w:rsid w:val="0083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914D80"/>
  </w:style>
  <w:style w:type="character" w:styleId="Hyperlink">
    <w:name w:val="Hyperlink"/>
    <w:uiPriority w:val="99"/>
    <w:unhideWhenUsed/>
    <w:rsid w:val="00914D80"/>
    <w:rPr>
      <w:color w:val="0000FF"/>
      <w:u w:val="single"/>
    </w:rPr>
  </w:style>
  <w:style w:type="paragraph" w:styleId="FootnoteText">
    <w:name w:val="footnote text"/>
    <w:basedOn w:val="Normal"/>
    <w:link w:val="FootnoteTextChar"/>
    <w:uiPriority w:val="99"/>
    <w:semiHidden/>
    <w:unhideWhenUsed/>
    <w:rsid w:val="00E340C4"/>
  </w:style>
  <w:style w:type="character" w:customStyle="1" w:styleId="FootnoteTextChar">
    <w:name w:val="Footnote Text Char"/>
    <w:basedOn w:val="DefaultParagraphFont"/>
    <w:link w:val="FootnoteText"/>
    <w:uiPriority w:val="99"/>
    <w:semiHidden/>
    <w:rsid w:val="00E340C4"/>
  </w:style>
  <w:style w:type="character" w:styleId="FootnoteReference">
    <w:name w:val="footnote reference"/>
    <w:uiPriority w:val="99"/>
    <w:semiHidden/>
    <w:unhideWhenUsed/>
    <w:rsid w:val="00E340C4"/>
    <w:rPr>
      <w:vertAlign w:val="superscript"/>
    </w:rPr>
  </w:style>
  <w:style w:type="paragraph" w:customStyle="1" w:styleId="EndNoteBibliographyTitle">
    <w:name w:val="EndNote Bibliography Title"/>
    <w:basedOn w:val="Normal"/>
    <w:link w:val="EndNoteBibliographyTitleChar"/>
    <w:rsid w:val="00B42D31"/>
    <w:pPr>
      <w:jc w:val="center"/>
    </w:pPr>
    <w:rPr>
      <w:noProof/>
    </w:rPr>
  </w:style>
  <w:style w:type="character" w:customStyle="1" w:styleId="EndNoteBibliographyTitleChar">
    <w:name w:val="EndNote Bibliography Title Char"/>
    <w:link w:val="EndNoteBibliographyTitle"/>
    <w:rsid w:val="00B42D31"/>
    <w:rPr>
      <w:noProof/>
      <w:lang w:val="en-US"/>
    </w:rPr>
  </w:style>
  <w:style w:type="paragraph" w:customStyle="1" w:styleId="EndNoteBibliography">
    <w:name w:val="EndNote Bibliography"/>
    <w:basedOn w:val="Normal"/>
    <w:link w:val="EndNoteBibliographyChar"/>
    <w:rsid w:val="00B42D31"/>
    <w:rPr>
      <w:noProof/>
    </w:rPr>
  </w:style>
  <w:style w:type="character" w:customStyle="1" w:styleId="EndNoteBibliographyChar">
    <w:name w:val="EndNote Bibliography Char"/>
    <w:link w:val="EndNoteBibliography"/>
    <w:rsid w:val="00B42D31"/>
    <w:rPr>
      <w:noProof/>
      <w:lang w:val="en-US"/>
    </w:rPr>
  </w:style>
  <w:style w:type="paragraph" w:styleId="Title">
    <w:name w:val="Title"/>
    <w:aliases w:val="Paagraphe"/>
    <w:basedOn w:val="Normal"/>
    <w:next w:val="Normal"/>
    <w:link w:val="TitleChar"/>
    <w:uiPriority w:val="10"/>
    <w:qFormat/>
    <w:rsid w:val="00E6064A"/>
    <w:pPr>
      <w:spacing w:before="120" w:after="120"/>
      <w:ind w:firstLine="567"/>
    </w:pPr>
    <w:rPr>
      <w:rFonts w:eastAsia="Times New Roman"/>
      <w:bCs/>
      <w:kern w:val="28"/>
      <w:szCs w:val="32"/>
    </w:rPr>
  </w:style>
  <w:style w:type="character" w:customStyle="1" w:styleId="TitleChar">
    <w:name w:val="Title Char"/>
    <w:aliases w:val="Paagraphe Char"/>
    <w:link w:val="Title"/>
    <w:uiPriority w:val="10"/>
    <w:rsid w:val="00E6064A"/>
    <w:rPr>
      <w:rFonts w:eastAsia="Times New Roman"/>
      <w:bCs/>
      <w:kern w:val="28"/>
      <w:sz w:val="24"/>
      <w:szCs w:val="32"/>
    </w:rPr>
  </w:style>
  <w:style w:type="character" w:styleId="PlaceholderText">
    <w:name w:val="Placeholder Text"/>
    <w:uiPriority w:val="99"/>
    <w:semiHidden/>
    <w:rsid w:val="00EC5333"/>
    <w:rPr>
      <w:color w:val="808080"/>
    </w:rPr>
  </w:style>
  <w:style w:type="paragraph" w:styleId="HTMLPreformatted">
    <w:name w:val="HTML Preformatted"/>
    <w:basedOn w:val="Normal"/>
    <w:link w:val="HTMLPreformattedChar"/>
    <w:uiPriority w:val="99"/>
    <w:semiHidden/>
    <w:unhideWhenUsed/>
    <w:rsid w:val="0007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fr-FR"/>
    </w:rPr>
  </w:style>
  <w:style w:type="character" w:customStyle="1" w:styleId="HTMLPreformattedChar">
    <w:name w:val="HTML Preformatted Char"/>
    <w:link w:val="HTMLPreformatted"/>
    <w:uiPriority w:val="99"/>
    <w:semiHidden/>
    <w:rsid w:val="00075800"/>
    <w:rPr>
      <w:rFonts w:ascii="Courier New" w:eastAsia="Times New Roman" w:hAnsi="Courier New" w:cs="Courier New"/>
      <w:lang w:eastAsia="fr-FR"/>
    </w:rPr>
  </w:style>
  <w:style w:type="character" w:styleId="Strong">
    <w:name w:val="Strong"/>
    <w:uiPriority w:val="22"/>
    <w:qFormat/>
    <w:rsid w:val="00707C26"/>
    <w:rPr>
      <w:b/>
      <w:bCs/>
    </w:rPr>
  </w:style>
  <w:style w:type="table" w:styleId="LightList">
    <w:name w:val="Light List"/>
    <w:basedOn w:val="TableNormal"/>
    <w:uiPriority w:val="61"/>
    <w:rsid w:val="00B35AA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942D74"/>
    <w:pPr>
      <w:tabs>
        <w:tab w:val="center" w:pos="4536"/>
        <w:tab w:val="right" w:pos="9072"/>
      </w:tabs>
    </w:pPr>
  </w:style>
  <w:style w:type="character" w:customStyle="1" w:styleId="HeaderChar">
    <w:name w:val="Header Char"/>
    <w:basedOn w:val="DefaultParagraphFont"/>
    <w:link w:val="Header"/>
    <w:uiPriority w:val="99"/>
    <w:rsid w:val="00942D74"/>
  </w:style>
  <w:style w:type="paragraph" w:styleId="Footer">
    <w:name w:val="footer"/>
    <w:basedOn w:val="Normal"/>
    <w:link w:val="FooterChar"/>
    <w:uiPriority w:val="99"/>
    <w:unhideWhenUsed/>
    <w:rsid w:val="00942D74"/>
    <w:pPr>
      <w:tabs>
        <w:tab w:val="center" w:pos="4536"/>
        <w:tab w:val="right" w:pos="9072"/>
      </w:tabs>
    </w:pPr>
  </w:style>
  <w:style w:type="character" w:customStyle="1" w:styleId="FooterChar">
    <w:name w:val="Footer Char"/>
    <w:basedOn w:val="DefaultParagraphFont"/>
    <w:link w:val="Footer"/>
    <w:uiPriority w:val="99"/>
    <w:rsid w:val="00942D74"/>
  </w:style>
  <w:style w:type="character" w:customStyle="1" w:styleId="Heading3Char">
    <w:name w:val="Heading 3 Char"/>
    <w:link w:val="Heading3"/>
    <w:uiPriority w:val="9"/>
    <w:semiHidden/>
    <w:rsid w:val="000F038B"/>
    <w:rPr>
      <w:rFonts w:ascii="Cambria" w:eastAsia="Times New Roman" w:hAnsi="Cambria" w:cs="Times New Roman"/>
      <w:b/>
      <w:bCs/>
      <w:color w:val="4F81BD"/>
      <w:sz w:val="24"/>
      <w:lang w:val="en-US"/>
    </w:rPr>
  </w:style>
  <w:style w:type="character" w:customStyle="1" w:styleId="yiv2989944009size">
    <w:name w:val="yiv2989944009size"/>
    <w:basedOn w:val="DefaultParagraphFont"/>
    <w:rsid w:val="00620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1"/>
    <w:qFormat/>
    <w:rsid w:val="00D4455D"/>
    <w:pPr>
      <w:spacing w:before="100" w:beforeAutospacing="1" w:after="100" w:afterAutospacing="1"/>
      <w:ind w:firstLine="709"/>
      <w:jc w:val="both"/>
    </w:pPr>
    <w:rPr>
      <w:sz w:val="24"/>
      <w:lang w:val="en-US" w:eastAsia="en-US"/>
    </w:rPr>
  </w:style>
  <w:style w:type="paragraph" w:styleId="Heading2">
    <w:name w:val="heading 2"/>
    <w:basedOn w:val="Normal"/>
    <w:next w:val="Normal"/>
    <w:link w:val="Heading2Char"/>
    <w:uiPriority w:val="9"/>
    <w:unhideWhenUsed/>
    <w:qFormat/>
    <w:rsid w:val="00706A2C"/>
    <w:pPr>
      <w:keepNext/>
      <w:keepLines/>
      <w:pageBreakBefore/>
      <w:numPr>
        <w:numId w:val="8"/>
      </w:numPr>
      <w:spacing w:before="200" w:after="360"/>
      <w:ind w:hanging="357"/>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0F038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4C164A"/>
    <w:rPr>
      <w:vertAlign w:val="superscript"/>
    </w:rPr>
  </w:style>
  <w:style w:type="paragraph" w:styleId="ListParagraph">
    <w:name w:val="List Paragraph"/>
    <w:basedOn w:val="Normal"/>
    <w:uiPriority w:val="34"/>
    <w:qFormat/>
    <w:rsid w:val="000E17D8"/>
    <w:pPr>
      <w:ind w:left="720"/>
      <w:contextualSpacing/>
    </w:pPr>
  </w:style>
  <w:style w:type="paragraph" w:styleId="BalloonText">
    <w:name w:val="Balloon Text"/>
    <w:basedOn w:val="Normal"/>
    <w:link w:val="BalloonTextChar"/>
    <w:uiPriority w:val="99"/>
    <w:semiHidden/>
    <w:unhideWhenUsed/>
    <w:rsid w:val="00706A2C"/>
    <w:rPr>
      <w:rFonts w:ascii="Tahoma" w:hAnsi="Tahoma" w:cs="Tahoma"/>
      <w:sz w:val="16"/>
      <w:szCs w:val="16"/>
    </w:rPr>
  </w:style>
  <w:style w:type="character" w:customStyle="1" w:styleId="BalloonTextChar">
    <w:name w:val="Balloon Text Char"/>
    <w:link w:val="BalloonText"/>
    <w:uiPriority w:val="99"/>
    <w:semiHidden/>
    <w:rsid w:val="00706A2C"/>
    <w:rPr>
      <w:rFonts w:ascii="Tahoma" w:hAnsi="Tahoma" w:cs="Tahoma"/>
      <w:sz w:val="16"/>
      <w:szCs w:val="16"/>
    </w:rPr>
  </w:style>
  <w:style w:type="character" w:customStyle="1" w:styleId="Heading2Char">
    <w:name w:val="Heading 2 Char"/>
    <w:link w:val="Heading2"/>
    <w:uiPriority w:val="9"/>
    <w:rsid w:val="00706A2C"/>
    <w:rPr>
      <w:rFonts w:ascii="Cambria" w:eastAsia="Times New Roman" w:hAnsi="Cambria"/>
      <w:b/>
      <w:bCs/>
      <w:sz w:val="26"/>
      <w:szCs w:val="26"/>
    </w:rPr>
  </w:style>
  <w:style w:type="paragraph" w:styleId="Caption">
    <w:name w:val="caption"/>
    <w:basedOn w:val="Normal"/>
    <w:next w:val="Normal"/>
    <w:uiPriority w:val="35"/>
    <w:unhideWhenUsed/>
    <w:qFormat/>
    <w:rsid w:val="000E6364"/>
    <w:pPr>
      <w:spacing w:after="200"/>
    </w:pPr>
    <w:rPr>
      <w:b/>
      <w:bCs/>
      <w:color w:val="4F81BD"/>
      <w:sz w:val="18"/>
      <w:szCs w:val="18"/>
    </w:rPr>
  </w:style>
  <w:style w:type="table" w:styleId="TableGrid">
    <w:name w:val="Table Grid"/>
    <w:basedOn w:val="TableNormal"/>
    <w:uiPriority w:val="59"/>
    <w:rsid w:val="0083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914D80"/>
  </w:style>
  <w:style w:type="character" w:styleId="Hyperlink">
    <w:name w:val="Hyperlink"/>
    <w:uiPriority w:val="99"/>
    <w:unhideWhenUsed/>
    <w:rsid w:val="00914D80"/>
    <w:rPr>
      <w:color w:val="0000FF"/>
      <w:u w:val="single"/>
    </w:rPr>
  </w:style>
  <w:style w:type="paragraph" w:styleId="FootnoteText">
    <w:name w:val="footnote text"/>
    <w:basedOn w:val="Normal"/>
    <w:link w:val="FootnoteTextChar"/>
    <w:uiPriority w:val="99"/>
    <w:semiHidden/>
    <w:unhideWhenUsed/>
    <w:rsid w:val="00E340C4"/>
  </w:style>
  <w:style w:type="character" w:customStyle="1" w:styleId="FootnoteTextChar">
    <w:name w:val="Footnote Text Char"/>
    <w:basedOn w:val="DefaultParagraphFont"/>
    <w:link w:val="FootnoteText"/>
    <w:uiPriority w:val="99"/>
    <w:semiHidden/>
    <w:rsid w:val="00E340C4"/>
  </w:style>
  <w:style w:type="character" w:styleId="FootnoteReference">
    <w:name w:val="footnote reference"/>
    <w:uiPriority w:val="99"/>
    <w:semiHidden/>
    <w:unhideWhenUsed/>
    <w:rsid w:val="00E340C4"/>
    <w:rPr>
      <w:vertAlign w:val="superscript"/>
    </w:rPr>
  </w:style>
  <w:style w:type="paragraph" w:customStyle="1" w:styleId="EndNoteBibliographyTitle">
    <w:name w:val="EndNote Bibliography Title"/>
    <w:basedOn w:val="Normal"/>
    <w:link w:val="EndNoteBibliographyTitleChar"/>
    <w:rsid w:val="00B42D31"/>
    <w:pPr>
      <w:jc w:val="center"/>
    </w:pPr>
    <w:rPr>
      <w:noProof/>
    </w:rPr>
  </w:style>
  <w:style w:type="character" w:customStyle="1" w:styleId="EndNoteBibliographyTitleChar">
    <w:name w:val="EndNote Bibliography Title Char"/>
    <w:link w:val="EndNoteBibliographyTitle"/>
    <w:rsid w:val="00B42D31"/>
    <w:rPr>
      <w:noProof/>
      <w:lang w:val="en-US"/>
    </w:rPr>
  </w:style>
  <w:style w:type="paragraph" w:customStyle="1" w:styleId="EndNoteBibliography">
    <w:name w:val="EndNote Bibliography"/>
    <w:basedOn w:val="Normal"/>
    <w:link w:val="EndNoteBibliographyChar"/>
    <w:rsid w:val="00B42D31"/>
    <w:rPr>
      <w:noProof/>
    </w:rPr>
  </w:style>
  <w:style w:type="character" w:customStyle="1" w:styleId="EndNoteBibliographyChar">
    <w:name w:val="EndNote Bibliography Char"/>
    <w:link w:val="EndNoteBibliography"/>
    <w:rsid w:val="00B42D31"/>
    <w:rPr>
      <w:noProof/>
      <w:lang w:val="en-US"/>
    </w:rPr>
  </w:style>
  <w:style w:type="paragraph" w:styleId="Title">
    <w:name w:val="Title"/>
    <w:aliases w:val="Paagraphe"/>
    <w:basedOn w:val="Normal"/>
    <w:next w:val="Normal"/>
    <w:link w:val="TitleChar"/>
    <w:uiPriority w:val="10"/>
    <w:qFormat/>
    <w:rsid w:val="00E6064A"/>
    <w:pPr>
      <w:spacing w:before="120" w:after="120"/>
      <w:ind w:firstLine="567"/>
    </w:pPr>
    <w:rPr>
      <w:rFonts w:eastAsia="Times New Roman"/>
      <w:bCs/>
      <w:kern w:val="28"/>
      <w:szCs w:val="32"/>
    </w:rPr>
  </w:style>
  <w:style w:type="character" w:customStyle="1" w:styleId="TitleChar">
    <w:name w:val="Title Char"/>
    <w:aliases w:val="Paagraphe Char"/>
    <w:link w:val="Title"/>
    <w:uiPriority w:val="10"/>
    <w:rsid w:val="00E6064A"/>
    <w:rPr>
      <w:rFonts w:eastAsia="Times New Roman"/>
      <w:bCs/>
      <w:kern w:val="28"/>
      <w:sz w:val="24"/>
      <w:szCs w:val="32"/>
    </w:rPr>
  </w:style>
  <w:style w:type="character" w:styleId="PlaceholderText">
    <w:name w:val="Placeholder Text"/>
    <w:uiPriority w:val="99"/>
    <w:semiHidden/>
    <w:rsid w:val="00EC5333"/>
    <w:rPr>
      <w:color w:val="808080"/>
    </w:rPr>
  </w:style>
  <w:style w:type="paragraph" w:styleId="HTMLPreformatted">
    <w:name w:val="HTML Preformatted"/>
    <w:basedOn w:val="Normal"/>
    <w:link w:val="HTMLPreformattedChar"/>
    <w:uiPriority w:val="99"/>
    <w:semiHidden/>
    <w:unhideWhenUsed/>
    <w:rsid w:val="0007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fr-FR"/>
    </w:rPr>
  </w:style>
  <w:style w:type="character" w:customStyle="1" w:styleId="HTMLPreformattedChar">
    <w:name w:val="HTML Preformatted Char"/>
    <w:link w:val="HTMLPreformatted"/>
    <w:uiPriority w:val="99"/>
    <w:semiHidden/>
    <w:rsid w:val="00075800"/>
    <w:rPr>
      <w:rFonts w:ascii="Courier New" w:eastAsia="Times New Roman" w:hAnsi="Courier New" w:cs="Courier New"/>
      <w:lang w:eastAsia="fr-FR"/>
    </w:rPr>
  </w:style>
  <w:style w:type="character" w:styleId="Strong">
    <w:name w:val="Strong"/>
    <w:uiPriority w:val="22"/>
    <w:qFormat/>
    <w:rsid w:val="00707C26"/>
    <w:rPr>
      <w:b/>
      <w:bCs/>
    </w:rPr>
  </w:style>
  <w:style w:type="table" w:styleId="LightList">
    <w:name w:val="Light List"/>
    <w:basedOn w:val="TableNormal"/>
    <w:uiPriority w:val="61"/>
    <w:rsid w:val="00B35AA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942D74"/>
    <w:pPr>
      <w:tabs>
        <w:tab w:val="center" w:pos="4536"/>
        <w:tab w:val="right" w:pos="9072"/>
      </w:tabs>
    </w:pPr>
  </w:style>
  <w:style w:type="character" w:customStyle="1" w:styleId="HeaderChar">
    <w:name w:val="Header Char"/>
    <w:basedOn w:val="DefaultParagraphFont"/>
    <w:link w:val="Header"/>
    <w:uiPriority w:val="99"/>
    <w:rsid w:val="00942D74"/>
  </w:style>
  <w:style w:type="paragraph" w:styleId="Footer">
    <w:name w:val="footer"/>
    <w:basedOn w:val="Normal"/>
    <w:link w:val="FooterChar"/>
    <w:uiPriority w:val="99"/>
    <w:unhideWhenUsed/>
    <w:rsid w:val="00942D74"/>
    <w:pPr>
      <w:tabs>
        <w:tab w:val="center" w:pos="4536"/>
        <w:tab w:val="right" w:pos="9072"/>
      </w:tabs>
    </w:pPr>
  </w:style>
  <w:style w:type="character" w:customStyle="1" w:styleId="FooterChar">
    <w:name w:val="Footer Char"/>
    <w:basedOn w:val="DefaultParagraphFont"/>
    <w:link w:val="Footer"/>
    <w:uiPriority w:val="99"/>
    <w:rsid w:val="00942D74"/>
  </w:style>
  <w:style w:type="character" w:customStyle="1" w:styleId="Heading3Char">
    <w:name w:val="Heading 3 Char"/>
    <w:link w:val="Heading3"/>
    <w:uiPriority w:val="9"/>
    <w:semiHidden/>
    <w:rsid w:val="000F038B"/>
    <w:rPr>
      <w:rFonts w:ascii="Cambria" w:eastAsia="Times New Roman" w:hAnsi="Cambria" w:cs="Times New Roman"/>
      <w:b/>
      <w:bCs/>
      <w:color w:val="4F81BD"/>
      <w:sz w:val="24"/>
      <w:lang w:val="en-US"/>
    </w:rPr>
  </w:style>
  <w:style w:type="character" w:customStyle="1" w:styleId="yiv2989944009size">
    <w:name w:val="yiv2989944009size"/>
    <w:basedOn w:val="DefaultParagraphFont"/>
    <w:rsid w:val="0062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991">
      <w:bodyDiv w:val="1"/>
      <w:marLeft w:val="0"/>
      <w:marRight w:val="0"/>
      <w:marTop w:val="0"/>
      <w:marBottom w:val="0"/>
      <w:divBdr>
        <w:top w:val="none" w:sz="0" w:space="0" w:color="auto"/>
        <w:left w:val="none" w:sz="0" w:space="0" w:color="auto"/>
        <w:bottom w:val="none" w:sz="0" w:space="0" w:color="auto"/>
        <w:right w:val="none" w:sz="0" w:space="0" w:color="auto"/>
      </w:divBdr>
    </w:div>
    <w:div w:id="34893370">
      <w:bodyDiv w:val="1"/>
      <w:marLeft w:val="0"/>
      <w:marRight w:val="0"/>
      <w:marTop w:val="0"/>
      <w:marBottom w:val="0"/>
      <w:divBdr>
        <w:top w:val="none" w:sz="0" w:space="0" w:color="auto"/>
        <w:left w:val="none" w:sz="0" w:space="0" w:color="auto"/>
        <w:bottom w:val="none" w:sz="0" w:space="0" w:color="auto"/>
        <w:right w:val="none" w:sz="0" w:space="0" w:color="auto"/>
      </w:divBdr>
    </w:div>
    <w:div w:id="44913603">
      <w:bodyDiv w:val="1"/>
      <w:marLeft w:val="0"/>
      <w:marRight w:val="0"/>
      <w:marTop w:val="0"/>
      <w:marBottom w:val="0"/>
      <w:divBdr>
        <w:top w:val="none" w:sz="0" w:space="0" w:color="auto"/>
        <w:left w:val="none" w:sz="0" w:space="0" w:color="auto"/>
        <w:bottom w:val="none" w:sz="0" w:space="0" w:color="auto"/>
        <w:right w:val="none" w:sz="0" w:space="0" w:color="auto"/>
      </w:divBdr>
    </w:div>
    <w:div w:id="66347309">
      <w:bodyDiv w:val="1"/>
      <w:marLeft w:val="0"/>
      <w:marRight w:val="0"/>
      <w:marTop w:val="0"/>
      <w:marBottom w:val="0"/>
      <w:divBdr>
        <w:top w:val="none" w:sz="0" w:space="0" w:color="auto"/>
        <w:left w:val="none" w:sz="0" w:space="0" w:color="auto"/>
        <w:bottom w:val="none" w:sz="0" w:space="0" w:color="auto"/>
        <w:right w:val="none" w:sz="0" w:space="0" w:color="auto"/>
      </w:divBdr>
    </w:div>
    <w:div w:id="74711066">
      <w:bodyDiv w:val="1"/>
      <w:marLeft w:val="0"/>
      <w:marRight w:val="0"/>
      <w:marTop w:val="0"/>
      <w:marBottom w:val="0"/>
      <w:divBdr>
        <w:top w:val="none" w:sz="0" w:space="0" w:color="auto"/>
        <w:left w:val="none" w:sz="0" w:space="0" w:color="auto"/>
        <w:bottom w:val="none" w:sz="0" w:space="0" w:color="auto"/>
        <w:right w:val="none" w:sz="0" w:space="0" w:color="auto"/>
      </w:divBdr>
    </w:div>
    <w:div w:id="94448307">
      <w:bodyDiv w:val="1"/>
      <w:marLeft w:val="0"/>
      <w:marRight w:val="0"/>
      <w:marTop w:val="0"/>
      <w:marBottom w:val="0"/>
      <w:divBdr>
        <w:top w:val="none" w:sz="0" w:space="0" w:color="auto"/>
        <w:left w:val="none" w:sz="0" w:space="0" w:color="auto"/>
        <w:bottom w:val="none" w:sz="0" w:space="0" w:color="auto"/>
        <w:right w:val="none" w:sz="0" w:space="0" w:color="auto"/>
      </w:divBdr>
    </w:div>
    <w:div w:id="263390504">
      <w:bodyDiv w:val="1"/>
      <w:marLeft w:val="0"/>
      <w:marRight w:val="0"/>
      <w:marTop w:val="0"/>
      <w:marBottom w:val="0"/>
      <w:divBdr>
        <w:top w:val="none" w:sz="0" w:space="0" w:color="auto"/>
        <w:left w:val="none" w:sz="0" w:space="0" w:color="auto"/>
        <w:bottom w:val="none" w:sz="0" w:space="0" w:color="auto"/>
        <w:right w:val="none" w:sz="0" w:space="0" w:color="auto"/>
      </w:divBdr>
    </w:div>
    <w:div w:id="316687340">
      <w:bodyDiv w:val="1"/>
      <w:marLeft w:val="0"/>
      <w:marRight w:val="0"/>
      <w:marTop w:val="0"/>
      <w:marBottom w:val="0"/>
      <w:divBdr>
        <w:top w:val="none" w:sz="0" w:space="0" w:color="auto"/>
        <w:left w:val="none" w:sz="0" w:space="0" w:color="auto"/>
        <w:bottom w:val="none" w:sz="0" w:space="0" w:color="auto"/>
        <w:right w:val="none" w:sz="0" w:space="0" w:color="auto"/>
      </w:divBdr>
    </w:div>
    <w:div w:id="325324988">
      <w:bodyDiv w:val="1"/>
      <w:marLeft w:val="0"/>
      <w:marRight w:val="0"/>
      <w:marTop w:val="0"/>
      <w:marBottom w:val="0"/>
      <w:divBdr>
        <w:top w:val="none" w:sz="0" w:space="0" w:color="auto"/>
        <w:left w:val="none" w:sz="0" w:space="0" w:color="auto"/>
        <w:bottom w:val="none" w:sz="0" w:space="0" w:color="auto"/>
        <w:right w:val="none" w:sz="0" w:space="0" w:color="auto"/>
      </w:divBdr>
    </w:div>
    <w:div w:id="367603610">
      <w:bodyDiv w:val="1"/>
      <w:marLeft w:val="0"/>
      <w:marRight w:val="0"/>
      <w:marTop w:val="0"/>
      <w:marBottom w:val="0"/>
      <w:divBdr>
        <w:top w:val="none" w:sz="0" w:space="0" w:color="auto"/>
        <w:left w:val="none" w:sz="0" w:space="0" w:color="auto"/>
        <w:bottom w:val="none" w:sz="0" w:space="0" w:color="auto"/>
        <w:right w:val="none" w:sz="0" w:space="0" w:color="auto"/>
      </w:divBdr>
      <w:divsChild>
        <w:div w:id="616183372">
          <w:marLeft w:val="0"/>
          <w:marRight w:val="0"/>
          <w:marTop w:val="0"/>
          <w:marBottom w:val="0"/>
          <w:divBdr>
            <w:top w:val="none" w:sz="0" w:space="0" w:color="auto"/>
            <w:left w:val="none" w:sz="0" w:space="0" w:color="auto"/>
            <w:bottom w:val="none" w:sz="0" w:space="0" w:color="auto"/>
            <w:right w:val="none" w:sz="0" w:space="0" w:color="auto"/>
          </w:divBdr>
          <w:divsChild>
            <w:div w:id="358551464">
              <w:marLeft w:val="0"/>
              <w:marRight w:val="0"/>
              <w:marTop w:val="0"/>
              <w:marBottom w:val="0"/>
              <w:divBdr>
                <w:top w:val="none" w:sz="0" w:space="0" w:color="auto"/>
                <w:left w:val="none" w:sz="0" w:space="0" w:color="auto"/>
                <w:bottom w:val="none" w:sz="0" w:space="0" w:color="auto"/>
                <w:right w:val="none" w:sz="0" w:space="0" w:color="auto"/>
              </w:divBdr>
              <w:divsChild>
                <w:div w:id="1160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4968">
      <w:bodyDiv w:val="1"/>
      <w:marLeft w:val="0"/>
      <w:marRight w:val="0"/>
      <w:marTop w:val="0"/>
      <w:marBottom w:val="0"/>
      <w:divBdr>
        <w:top w:val="none" w:sz="0" w:space="0" w:color="auto"/>
        <w:left w:val="none" w:sz="0" w:space="0" w:color="auto"/>
        <w:bottom w:val="none" w:sz="0" w:space="0" w:color="auto"/>
        <w:right w:val="none" w:sz="0" w:space="0" w:color="auto"/>
      </w:divBdr>
    </w:div>
    <w:div w:id="534193654">
      <w:bodyDiv w:val="1"/>
      <w:marLeft w:val="0"/>
      <w:marRight w:val="0"/>
      <w:marTop w:val="0"/>
      <w:marBottom w:val="0"/>
      <w:divBdr>
        <w:top w:val="none" w:sz="0" w:space="0" w:color="auto"/>
        <w:left w:val="none" w:sz="0" w:space="0" w:color="auto"/>
        <w:bottom w:val="none" w:sz="0" w:space="0" w:color="auto"/>
        <w:right w:val="none" w:sz="0" w:space="0" w:color="auto"/>
      </w:divBdr>
    </w:div>
    <w:div w:id="552153676">
      <w:bodyDiv w:val="1"/>
      <w:marLeft w:val="0"/>
      <w:marRight w:val="0"/>
      <w:marTop w:val="0"/>
      <w:marBottom w:val="0"/>
      <w:divBdr>
        <w:top w:val="none" w:sz="0" w:space="0" w:color="auto"/>
        <w:left w:val="none" w:sz="0" w:space="0" w:color="auto"/>
        <w:bottom w:val="none" w:sz="0" w:space="0" w:color="auto"/>
        <w:right w:val="none" w:sz="0" w:space="0" w:color="auto"/>
      </w:divBdr>
    </w:div>
    <w:div w:id="554660389">
      <w:bodyDiv w:val="1"/>
      <w:marLeft w:val="0"/>
      <w:marRight w:val="0"/>
      <w:marTop w:val="0"/>
      <w:marBottom w:val="0"/>
      <w:divBdr>
        <w:top w:val="none" w:sz="0" w:space="0" w:color="auto"/>
        <w:left w:val="none" w:sz="0" w:space="0" w:color="auto"/>
        <w:bottom w:val="none" w:sz="0" w:space="0" w:color="auto"/>
        <w:right w:val="none" w:sz="0" w:space="0" w:color="auto"/>
      </w:divBdr>
    </w:div>
    <w:div w:id="566451675">
      <w:bodyDiv w:val="1"/>
      <w:marLeft w:val="0"/>
      <w:marRight w:val="0"/>
      <w:marTop w:val="0"/>
      <w:marBottom w:val="0"/>
      <w:divBdr>
        <w:top w:val="none" w:sz="0" w:space="0" w:color="auto"/>
        <w:left w:val="none" w:sz="0" w:space="0" w:color="auto"/>
        <w:bottom w:val="none" w:sz="0" w:space="0" w:color="auto"/>
        <w:right w:val="none" w:sz="0" w:space="0" w:color="auto"/>
      </w:divBdr>
      <w:divsChild>
        <w:div w:id="1741098096">
          <w:marLeft w:val="0"/>
          <w:marRight w:val="0"/>
          <w:marTop w:val="0"/>
          <w:marBottom w:val="0"/>
          <w:divBdr>
            <w:top w:val="none" w:sz="0" w:space="0" w:color="auto"/>
            <w:left w:val="none" w:sz="0" w:space="0" w:color="auto"/>
            <w:bottom w:val="none" w:sz="0" w:space="0" w:color="auto"/>
            <w:right w:val="none" w:sz="0" w:space="0" w:color="auto"/>
          </w:divBdr>
          <w:divsChild>
            <w:div w:id="1529876517">
              <w:marLeft w:val="0"/>
              <w:marRight w:val="0"/>
              <w:marTop w:val="0"/>
              <w:marBottom w:val="0"/>
              <w:divBdr>
                <w:top w:val="none" w:sz="0" w:space="0" w:color="auto"/>
                <w:left w:val="none" w:sz="0" w:space="0" w:color="auto"/>
                <w:bottom w:val="none" w:sz="0" w:space="0" w:color="auto"/>
                <w:right w:val="none" w:sz="0" w:space="0" w:color="auto"/>
              </w:divBdr>
              <w:divsChild>
                <w:div w:id="403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2994">
      <w:bodyDiv w:val="1"/>
      <w:marLeft w:val="0"/>
      <w:marRight w:val="0"/>
      <w:marTop w:val="0"/>
      <w:marBottom w:val="0"/>
      <w:divBdr>
        <w:top w:val="none" w:sz="0" w:space="0" w:color="auto"/>
        <w:left w:val="none" w:sz="0" w:space="0" w:color="auto"/>
        <w:bottom w:val="none" w:sz="0" w:space="0" w:color="auto"/>
        <w:right w:val="none" w:sz="0" w:space="0" w:color="auto"/>
      </w:divBdr>
    </w:div>
    <w:div w:id="626736249">
      <w:bodyDiv w:val="1"/>
      <w:marLeft w:val="0"/>
      <w:marRight w:val="0"/>
      <w:marTop w:val="0"/>
      <w:marBottom w:val="0"/>
      <w:divBdr>
        <w:top w:val="none" w:sz="0" w:space="0" w:color="auto"/>
        <w:left w:val="none" w:sz="0" w:space="0" w:color="auto"/>
        <w:bottom w:val="none" w:sz="0" w:space="0" w:color="auto"/>
        <w:right w:val="none" w:sz="0" w:space="0" w:color="auto"/>
      </w:divBdr>
    </w:div>
    <w:div w:id="642153719">
      <w:bodyDiv w:val="1"/>
      <w:marLeft w:val="0"/>
      <w:marRight w:val="0"/>
      <w:marTop w:val="0"/>
      <w:marBottom w:val="0"/>
      <w:divBdr>
        <w:top w:val="none" w:sz="0" w:space="0" w:color="auto"/>
        <w:left w:val="none" w:sz="0" w:space="0" w:color="auto"/>
        <w:bottom w:val="none" w:sz="0" w:space="0" w:color="auto"/>
        <w:right w:val="none" w:sz="0" w:space="0" w:color="auto"/>
      </w:divBdr>
    </w:div>
    <w:div w:id="708258342">
      <w:bodyDiv w:val="1"/>
      <w:marLeft w:val="0"/>
      <w:marRight w:val="0"/>
      <w:marTop w:val="0"/>
      <w:marBottom w:val="0"/>
      <w:divBdr>
        <w:top w:val="none" w:sz="0" w:space="0" w:color="auto"/>
        <w:left w:val="none" w:sz="0" w:space="0" w:color="auto"/>
        <w:bottom w:val="none" w:sz="0" w:space="0" w:color="auto"/>
        <w:right w:val="none" w:sz="0" w:space="0" w:color="auto"/>
      </w:divBdr>
    </w:div>
    <w:div w:id="716903451">
      <w:bodyDiv w:val="1"/>
      <w:marLeft w:val="0"/>
      <w:marRight w:val="0"/>
      <w:marTop w:val="0"/>
      <w:marBottom w:val="0"/>
      <w:divBdr>
        <w:top w:val="none" w:sz="0" w:space="0" w:color="auto"/>
        <w:left w:val="none" w:sz="0" w:space="0" w:color="auto"/>
        <w:bottom w:val="none" w:sz="0" w:space="0" w:color="auto"/>
        <w:right w:val="none" w:sz="0" w:space="0" w:color="auto"/>
      </w:divBdr>
    </w:div>
    <w:div w:id="904488930">
      <w:bodyDiv w:val="1"/>
      <w:marLeft w:val="0"/>
      <w:marRight w:val="0"/>
      <w:marTop w:val="0"/>
      <w:marBottom w:val="0"/>
      <w:divBdr>
        <w:top w:val="none" w:sz="0" w:space="0" w:color="auto"/>
        <w:left w:val="none" w:sz="0" w:space="0" w:color="auto"/>
        <w:bottom w:val="none" w:sz="0" w:space="0" w:color="auto"/>
        <w:right w:val="none" w:sz="0" w:space="0" w:color="auto"/>
      </w:divBdr>
    </w:div>
    <w:div w:id="922185013">
      <w:bodyDiv w:val="1"/>
      <w:marLeft w:val="0"/>
      <w:marRight w:val="0"/>
      <w:marTop w:val="0"/>
      <w:marBottom w:val="0"/>
      <w:divBdr>
        <w:top w:val="none" w:sz="0" w:space="0" w:color="auto"/>
        <w:left w:val="none" w:sz="0" w:space="0" w:color="auto"/>
        <w:bottom w:val="none" w:sz="0" w:space="0" w:color="auto"/>
        <w:right w:val="none" w:sz="0" w:space="0" w:color="auto"/>
      </w:divBdr>
    </w:div>
    <w:div w:id="925453804">
      <w:bodyDiv w:val="1"/>
      <w:marLeft w:val="0"/>
      <w:marRight w:val="0"/>
      <w:marTop w:val="0"/>
      <w:marBottom w:val="0"/>
      <w:divBdr>
        <w:top w:val="none" w:sz="0" w:space="0" w:color="auto"/>
        <w:left w:val="none" w:sz="0" w:space="0" w:color="auto"/>
        <w:bottom w:val="none" w:sz="0" w:space="0" w:color="auto"/>
        <w:right w:val="none" w:sz="0" w:space="0" w:color="auto"/>
      </w:divBdr>
    </w:div>
    <w:div w:id="1032003025">
      <w:bodyDiv w:val="1"/>
      <w:marLeft w:val="0"/>
      <w:marRight w:val="0"/>
      <w:marTop w:val="0"/>
      <w:marBottom w:val="0"/>
      <w:divBdr>
        <w:top w:val="none" w:sz="0" w:space="0" w:color="auto"/>
        <w:left w:val="none" w:sz="0" w:space="0" w:color="auto"/>
        <w:bottom w:val="none" w:sz="0" w:space="0" w:color="auto"/>
        <w:right w:val="none" w:sz="0" w:space="0" w:color="auto"/>
      </w:divBdr>
    </w:div>
    <w:div w:id="1033992089">
      <w:bodyDiv w:val="1"/>
      <w:marLeft w:val="0"/>
      <w:marRight w:val="0"/>
      <w:marTop w:val="0"/>
      <w:marBottom w:val="0"/>
      <w:divBdr>
        <w:top w:val="none" w:sz="0" w:space="0" w:color="auto"/>
        <w:left w:val="none" w:sz="0" w:space="0" w:color="auto"/>
        <w:bottom w:val="none" w:sz="0" w:space="0" w:color="auto"/>
        <w:right w:val="none" w:sz="0" w:space="0" w:color="auto"/>
      </w:divBdr>
    </w:div>
    <w:div w:id="1118641351">
      <w:bodyDiv w:val="1"/>
      <w:marLeft w:val="0"/>
      <w:marRight w:val="0"/>
      <w:marTop w:val="0"/>
      <w:marBottom w:val="0"/>
      <w:divBdr>
        <w:top w:val="none" w:sz="0" w:space="0" w:color="auto"/>
        <w:left w:val="none" w:sz="0" w:space="0" w:color="auto"/>
        <w:bottom w:val="none" w:sz="0" w:space="0" w:color="auto"/>
        <w:right w:val="none" w:sz="0" w:space="0" w:color="auto"/>
      </w:divBdr>
    </w:div>
    <w:div w:id="1155492721">
      <w:bodyDiv w:val="1"/>
      <w:marLeft w:val="0"/>
      <w:marRight w:val="0"/>
      <w:marTop w:val="0"/>
      <w:marBottom w:val="0"/>
      <w:divBdr>
        <w:top w:val="none" w:sz="0" w:space="0" w:color="auto"/>
        <w:left w:val="none" w:sz="0" w:space="0" w:color="auto"/>
        <w:bottom w:val="none" w:sz="0" w:space="0" w:color="auto"/>
        <w:right w:val="none" w:sz="0" w:space="0" w:color="auto"/>
      </w:divBdr>
      <w:divsChild>
        <w:div w:id="90048020">
          <w:marLeft w:val="0"/>
          <w:marRight w:val="0"/>
          <w:marTop w:val="0"/>
          <w:marBottom w:val="0"/>
          <w:divBdr>
            <w:top w:val="none" w:sz="0" w:space="0" w:color="auto"/>
            <w:left w:val="none" w:sz="0" w:space="0" w:color="auto"/>
            <w:bottom w:val="none" w:sz="0" w:space="0" w:color="auto"/>
            <w:right w:val="none" w:sz="0" w:space="0" w:color="auto"/>
          </w:divBdr>
        </w:div>
        <w:div w:id="686952852">
          <w:marLeft w:val="0"/>
          <w:marRight w:val="0"/>
          <w:marTop w:val="0"/>
          <w:marBottom w:val="0"/>
          <w:divBdr>
            <w:top w:val="none" w:sz="0" w:space="0" w:color="auto"/>
            <w:left w:val="none" w:sz="0" w:space="0" w:color="auto"/>
            <w:bottom w:val="none" w:sz="0" w:space="0" w:color="auto"/>
            <w:right w:val="none" w:sz="0" w:space="0" w:color="auto"/>
          </w:divBdr>
        </w:div>
        <w:div w:id="1840778659">
          <w:marLeft w:val="0"/>
          <w:marRight w:val="0"/>
          <w:marTop w:val="0"/>
          <w:marBottom w:val="0"/>
          <w:divBdr>
            <w:top w:val="none" w:sz="0" w:space="0" w:color="auto"/>
            <w:left w:val="none" w:sz="0" w:space="0" w:color="auto"/>
            <w:bottom w:val="none" w:sz="0" w:space="0" w:color="auto"/>
            <w:right w:val="none" w:sz="0" w:space="0" w:color="auto"/>
          </w:divBdr>
        </w:div>
        <w:div w:id="962032716">
          <w:marLeft w:val="0"/>
          <w:marRight w:val="0"/>
          <w:marTop w:val="0"/>
          <w:marBottom w:val="0"/>
          <w:divBdr>
            <w:top w:val="none" w:sz="0" w:space="0" w:color="auto"/>
            <w:left w:val="none" w:sz="0" w:space="0" w:color="auto"/>
            <w:bottom w:val="none" w:sz="0" w:space="0" w:color="auto"/>
            <w:right w:val="none" w:sz="0" w:space="0" w:color="auto"/>
          </w:divBdr>
        </w:div>
        <w:div w:id="876701975">
          <w:marLeft w:val="0"/>
          <w:marRight w:val="0"/>
          <w:marTop w:val="0"/>
          <w:marBottom w:val="0"/>
          <w:divBdr>
            <w:top w:val="none" w:sz="0" w:space="0" w:color="auto"/>
            <w:left w:val="none" w:sz="0" w:space="0" w:color="auto"/>
            <w:bottom w:val="none" w:sz="0" w:space="0" w:color="auto"/>
            <w:right w:val="none" w:sz="0" w:space="0" w:color="auto"/>
          </w:divBdr>
        </w:div>
      </w:divsChild>
    </w:div>
    <w:div w:id="1179271436">
      <w:bodyDiv w:val="1"/>
      <w:marLeft w:val="0"/>
      <w:marRight w:val="0"/>
      <w:marTop w:val="0"/>
      <w:marBottom w:val="0"/>
      <w:divBdr>
        <w:top w:val="none" w:sz="0" w:space="0" w:color="auto"/>
        <w:left w:val="none" w:sz="0" w:space="0" w:color="auto"/>
        <w:bottom w:val="none" w:sz="0" w:space="0" w:color="auto"/>
        <w:right w:val="none" w:sz="0" w:space="0" w:color="auto"/>
      </w:divBdr>
    </w:div>
    <w:div w:id="1180898790">
      <w:bodyDiv w:val="1"/>
      <w:marLeft w:val="0"/>
      <w:marRight w:val="0"/>
      <w:marTop w:val="0"/>
      <w:marBottom w:val="0"/>
      <w:divBdr>
        <w:top w:val="none" w:sz="0" w:space="0" w:color="auto"/>
        <w:left w:val="none" w:sz="0" w:space="0" w:color="auto"/>
        <w:bottom w:val="none" w:sz="0" w:space="0" w:color="auto"/>
        <w:right w:val="none" w:sz="0" w:space="0" w:color="auto"/>
      </w:divBdr>
    </w:div>
    <w:div w:id="1235161528">
      <w:bodyDiv w:val="1"/>
      <w:marLeft w:val="0"/>
      <w:marRight w:val="0"/>
      <w:marTop w:val="0"/>
      <w:marBottom w:val="0"/>
      <w:divBdr>
        <w:top w:val="none" w:sz="0" w:space="0" w:color="auto"/>
        <w:left w:val="none" w:sz="0" w:space="0" w:color="auto"/>
        <w:bottom w:val="none" w:sz="0" w:space="0" w:color="auto"/>
        <w:right w:val="none" w:sz="0" w:space="0" w:color="auto"/>
      </w:divBdr>
    </w:div>
    <w:div w:id="1239897141">
      <w:bodyDiv w:val="1"/>
      <w:marLeft w:val="0"/>
      <w:marRight w:val="0"/>
      <w:marTop w:val="0"/>
      <w:marBottom w:val="0"/>
      <w:divBdr>
        <w:top w:val="none" w:sz="0" w:space="0" w:color="auto"/>
        <w:left w:val="none" w:sz="0" w:space="0" w:color="auto"/>
        <w:bottom w:val="none" w:sz="0" w:space="0" w:color="auto"/>
        <w:right w:val="none" w:sz="0" w:space="0" w:color="auto"/>
      </w:divBdr>
    </w:div>
    <w:div w:id="1338266208">
      <w:bodyDiv w:val="1"/>
      <w:marLeft w:val="0"/>
      <w:marRight w:val="0"/>
      <w:marTop w:val="0"/>
      <w:marBottom w:val="0"/>
      <w:divBdr>
        <w:top w:val="none" w:sz="0" w:space="0" w:color="auto"/>
        <w:left w:val="none" w:sz="0" w:space="0" w:color="auto"/>
        <w:bottom w:val="none" w:sz="0" w:space="0" w:color="auto"/>
        <w:right w:val="none" w:sz="0" w:space="0" w:color="auto"/>
      </w:divBdr>
    </w:div>
    <w:div w:id="1351108163">
      <w:bodyDiv w:val="1"/>
      <w:marLeft w:val="0"/>
      <w:marRight w:val="0"/>
      <w:marTop w:val="0"/>
      <w:marBottom w:val="0"/>
      <w:divBdr>
        <w:top w:val="none" w:sz="0" w:space="0" w:color="auto"/>
        <w:left w:val="none" w:sz="0" w:space="0" w:color="auto"/>
        <w:bottom w:val="none" w:sz="0" w:space="0" w:color="auto"/>
        <w:right w:val="none" w:sz="0" w:space="0" w:color="auto"/>
      </w:divBdr>
    </w:div>
    <w:div w:id="1432047286">
      <w:bodyDiv w:val="1"/>
      <w:marLeft w:val="0"/>
      <w:marRight w:val="0"/>
      <w:marTop w:val="0"/>
      <w:marBottom w:val="0"/>
      <w:divBdr>
        <w:top w:val="none" w:sz="0" w:space="0" w:color="auto"/>
        <w:left w:val="none" w:sz="0" w:space="0" w:color="auto"/>
        <w:bottom w:val="none" w:sz="0" w:space="0" w:color="auto"/>
        <w:right w:val="none" w:sz="0" w:space="0" w:color="auto"/>
      </w:divBdr>
    </w:div>
    <w:div w:id="1465385474">
      <w:bodyDiv w:val="1"/>
      <w:marLeft w:val="0"/>
      <w:marRight w:val="0"/>
      <w:marTop w:val="0"/>
      <w:marBottom w:val="0"/>
      <w:divBdr>
        <w:top w:val="none" w:sz="0" w:space="0" w:color="auto"/>
        <w:left w:val="none" w:sz="0" w:space="0" w:color="auto"/>
        <w:bottom w:val="none" w:sz="0" w:space="0" w:color="auto"/>
        <w:right w:val="none" w:sz="0" w:space="0" w:color="auto"/>
      </w:divBdr>
    </w:div>
    <w:div w:id="1520852356">
      <w:bodyDiv w:val="1"/>
      <w:marLeft w:val="0"/>
      <w:marRight w:val="0"/>
      <w:marTop w:val="0"/>
      <w:marBottom w:val="0"/>
      <w:divBdr>
        <w:top w:val="none" w:sz="0" w:space="0" w:color="auto"/>
        <w:left w:val="none" w:sz="0" w:space="0" w:color="auto"/>
        <w:bottom w:val="none" w:sz="0" w:space="0" w:color="auto"/>
        <w:right w:val="none" w:sz="0" w:space="0" w:color="auto"/>
      </w:divBdr>
    </w:div>
    <w:div w:id="1573471293">
      <w:bodyDiv w:val="1"/>
      <w:marLeft w:val="0"/>
      <w:marRight w:val="0"/>
      <w:marTop w:val="0"/>
      <w:marBottom w:val="0"/>
      <w:divBdr>
        <w:top w:val="none" w:sz="0" w:space="0" w:color="auto"/>
        <w:left w:val="none" w:sz="0" w:space="0" w:color="auto"/>
        <w:bottom w:val="none" w:sz="0" w:space="0" w:color="auto"/>
        <w:right w:val="none" w:sz="0" w:space="0" w:color="auto"/>
      </w:divBdr>
    </w:div>
    <w:div w:id="1807162631">
      <w:bodyDiv w:val="1"/>
      <w:marLeft w:val="0"/>
      <w:marRight w:val="0"/>
      <w:marTop w:val="0"/>
      <w:marBottom w:val="0"/>
      <w:divBdr>
        <w:top w:val="none" w:sz="0" w:space="0" w:color="auto"/>
        <w:left w:val="none" w:sz="0" w:space="0" w:color="auto"/>
        <w:bottom w:val="none" w:sz="0" w:space="0" w:color="auto"/>
        <w:right w:val="none" w:sz="0" w:space="0" w:color="auto"/>
      </w:divBdr>
    </w:div>
    <w:div w:id="1844778147">
      <w:bodyDiv w:val="1"/>
      <w:marLeft w:val="0"/>
      <w:marRight w:val="0"/>
      <w:marTop w:val="0"/>
      <w:marBottom w:val="0"/>
      <w:divBdr>
        <w:top w:val="none" w:sz="0" w:space="0" w:color="auto"/>
        <w:left w:val="none" w:sz="0" w:space="0" w:color="auto"/>
        <w:bottom w:val="none" w:sz="0" w:space="0" w:color="auto"/>
        <w:right w:val="none" w:sz="0" w:space="0" w:color="auto"/>
      </w:divBdr>
    </w:div>
    <w:div w:id="1848517200">
      <w:bodyDiv w:val="1"/>
      <w:marLeft w:val="0"/>
      <w:marRight w:val="0"/>
      <w:marTop w:val="0"/>
      <w:marBottom w:val="0"/>
      <w:divBdr>
        <w:top w:val="none" w:sz="0" w:space="0" w:color="auto"/>
        <w:left w:val="none" w:sz="0" w:space="0" w:color="auto"/>
        <w:bottom w:val="none" w:sz="0" w:space="0" w:color="auto"/>
        <w:right w:val="none" w:sz="0" w:space="0" w:color="auto"/>
      </w:divBdr>
    </w:div>
    <w:div w:id="1853643960">
      <w:bodyDiv w:val="1"/>
      <w:marLeft w:val="0"/>
      <w:marRight w:val="0"/>
      <w:marTop w:val="0"/>
      <w:marBottom w:val="0"/>
      <w:divBdr>
        <w:top w:val="none" w:sz="0" w:space="0" w:color="auto"/>
        <w:left w:val="none" w:sz="0" w:space="0" w:color="auto"/>
        <w:bottom w:val="none" w:sz="0" w:space="0" w:color="auto"/>
        <w:right w:val="none" w:sz="0" w:space="0" w:color="auto"/>
      </w:divBdr>
    </w:div>
    <w:div w:id="1856915453">
      <w:bodyDiv w:val="1"/>
      <w:marLeft w:val="0"/>
      <w:marRight w:val="0"/>
      <w:marTop w:val="0"/>
      <w:marBottom w:val="0"/>
      <w:divBdr>
        <w:top w:val="none" w:sz="0" w:space="0" w:color="auto"/>
        <w:left w:val="none" w:sz="0" w:space="0" w:color="auto"/>
        <w:bottom w:val="none" w:sz="0" w:space="0" w:color="auto"/>
        <w:right w:val="none" w:sz="0" w:space="0" w:color="auto"/>
      </w:divBdr>
    </w:div>
    <w:div w:id="1900481508">
      <w:bodyDiv w:val="1"/>
      <w:marLeft w:val="0"/>
      <w:marRight w:val="0"/>
      <w:marTop w:val="0"/>
      <w:marBottom w:val="0"/>
      <w:divBdr>
        <w:top w:val="none" w:sz="0" w:space="0" w:color="auto"/>
        <w:left w:val="none" w:sz="0" w:space="0" w:color="auto"/>
        <w:bottom w:val="none" w:sz="0" w:space="0" w:color="auto"/>
        <w:right w:val="none" w:sz="0" w:space="0" w:color="auto"/>
      </w:divBdr>
    </w:div>
    <w:div w:id="1909538715">
      <w:bodyDiv w:val="1"/>
      <w:marLeft w:val="0"/>
      <w:marRight w:val="0"/>
      <w:marTop w:val="0"/>
      <w:marBottom w:val="0"/>
      <w:divBdr>
        <w:top w:val="none" w:sz="0" w:space="0" w:color="auto"/>
        <w:left w:val="none" w:sz="0" w:space="0" w:color="auto"/>
        <w:bottom w:val="none" w:sz="0" w:space="0" w:color="auto"/>
        <w:right w:val="none" w:sz="0" w:space="0" w:color="auto"/>
      </w:divBdr>
    </w:div>
    <w:div w:id="1927301041">
      <w:bodyDiv w:val="1"/>
      <w:marLeft w:val="0"/>
      <w:marRight w:val="0"/>
      <w:marTop w:val="0"/>
      <w:marBottom w:val="0"/>
      <w:divBdr>
        <w:top w:val="none" w:sz="0" w:space="0" w:color="auto"/>
        <w:left w:val="none" w:sz="0" w:space="0" w:color="auto"/>
        <w:bottom w:val="none" w:sz="0" w:space="0" w:color="auto"/>
        <w:right w:val="none" w:sz="0" w:space="0" w:color="auto"/>
      </w:divBdr>
      <w:divsChild>
        <w:div w:id="1392193712">
          <w:marLeft w:val="0"/>
          <w:marRight w:val="0"/>
          <w:marTop w:val="0"/>
          <w:marBottom w:val="0"/>
          <w:divBdr>
            <w:top w:val="none" w:sz="0" w:space="0" w:color="auto"/>
            <w:left w:val="none" w:sz="0" w:space="0" w:color="auto"/>
            <w:bottom w:val="none" w:sz="0" w:space="0" w:color="auto"/>
            <w:right w:val="none" w:sz="0" w:space="0" w:color="auto"/>
          </w:divBdr>
          <w:divsChild>
            <w:div w:id="14431361">
              <w:marLeft w:val="0"/>
              <w:marRight w:val="0"/>
              <w:marTop w:val="0"/>
              <w:marBottom w:val="0"/>
              <w:divBdr>
                <w:top w:val="none" w:sz="0" w:space="0" w:color="auto"/>
                <w:left w:val="none" w:sz="0" w:space="0" w:color="auto"/>
                <w:bottom w:val="none" w:sz="0" w:space="0" w:color="auto"/>
                <w:right w:val="none" w:sz="0" w:space="0" w:color="auto"/>
              </w:divBdr>
              <w:divsChild>
                <w:div w:id="20712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2308">
      <w:bodyDiv w:val="1"/>
      <w:marLeft w:val="0"/>
      <w:marRight w:val="0"/>
      <w:marTop w:val="0"/>
      <w:marBottom w:val="0"/>
      <w:divBdr>
        <w:top w:val="none" w:sz="0" w:space="0" w:color="auto"/>
        <w:left w:val="none" w:sz="0" w:space="0" w:color="auto"/>
        <w:bottom w:val="none" w:sz="0" w:space="0" w:color="auto"/>
        <w:right w:val="none" w:sz="0" w:space="0" w:color="auto"/>
      </w:divBdr>
    </w:div>
    <w:div w:id="2030910795">
      <w:bodyDiv w:val="1"/>
      <w:marLeft w:val="0"/>
      <w:marRight w:val="0"/>
      <w:marTop w:val="0"/>
      <w:marBottom w:val="0"/>
      <w:divBdr>
        <w:top w:val="none" w:sz="0" w:space="0" w:color="auto"/>
        <w:left w:val="none" w:sz="0" w:space="0" w:color="auto"/>
        <w:bottom w:val="none" w:sz="0" w:space="0" w:color="auto"/>
        <w:right w:val="none" w:sz="0" w:space="0" w:color="auto"/>
      </w:divBdr>
    </w:div>
    <w:div w:id="2043285052">
      <w:bodyDiv w:val="1"/>
      <w:marLeft w:val="0"/>
      <w:marRight w:val="0"/>
      <w:marTop w:val="0"/>
      <w:marBottom w:val="0"/>
      <w:divBdr>
        <w:top w:val="none" w:sz="0" w:space="0" w:color="auto"/>
        <w:left w:val="none" w:sz="0" w:space="0" w:color="auto"/>
        <w:bottom w:val="none" w:sz="0" w:space="0" w:color="auto"/>
        <w:right w:val="none" w:sz="0" w:space="0" w:color="auto"/>
      </w:divBdr>
      <w:divsChild>
        <w:div w:id="286156814">
          <w:marLeft w:val="0"/>
          <w:marRight w:val="0"/>
          <w:marTop w:val="0"/>
          <w:marBottom w:val="0"/>
          <w:divBdr>
            <w:top w:val="none" w:sz="0" w:space="0" w:color="auto"/>
            <w:left w:val="none" w:sz="0" w:space="0" w:color="auto"/>
            <w:bottom w:val="none" w:sz="0" w:space="0" w:color="auto"/>
            <w:right w:val="none" w:sz="0" w:space="0" w:color="auto"/>
          </w:divBdr>
          <w:divsChild>
            <w:div w:id="1086616381">
              <w:marLeft w:val="0"/>
              <w:marRight w:val="0"/>
              <w:marTop w:val="0"/>
              <w:marBottom w:val="0"/>
              <w:divBdr>
                <w:top w:val="none" w:sz="0" w:space="0" w:color="auto"/>
                <w:left w:val="none" w:sz="0" w:space="0" w:color="auto"/>
                <w:bottom w:val="none" w:sz="0" w:space="0" w:color="auto"/>
                <w:right w:val="none" w:sz="0" w:space="0" w:color="auto"/>
              </w:divBdr>
              <w:divsChild>
                <w:div w:id="14025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71147">
      <w:bodyDiv w:val="1"/>
      <w:marLeft w:val="0"/>
      <w:marRight w:val="0"/>
      <w:marTop w:val="0"/>
      <w:marBottom w:val="0"/>
      <w:divBdr>
        <w:top w:val="none" w:sz="0" w:space="0" w:color="auto"/>
        <w:left w:val="none" w:sz="0" w:space="0" w:color="auto"/>
        <w:bottom w:val="none" w:sz="0" w:space="0" w:color="auto"/>
        <w:right w:val="none" w:sz="0" w:space="0" w:color="auto"/>
      </w:divBdr>
    </w:div>
    <w:div w:id="2083484764">
      <w:bodyDiv w:val="1"/>
      <w:marLeft w:val="0"/>
      <w:marRight w:val="0"/>
      <w:marTop w:val="0"/>
      <w:marBottom w:val="0"/>
      <w:divBdr>
        <w:top w:val="none" w:sz="0" w:space="0" w:color="auto"/>
        <w:left w:val="none" w:sz="0" w:space="0" w:color="auto"/>
        <w:bottom w:val="none" w:sz="0" w:space="0" w:color="auto"/>
        <w:right w:val="none" w:sz="0" w:space="0" w:color="auto"/>
      </w:divBdr>
    </w:div>
    <w:div w:id="20992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436B-C69D-422A-B02B-6C0B0269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11082</Words>
  <Characters>60953</Characters>
  <Application>Microsoft Office Word</Application>
  <DocSecurity>0</DocSecurity>
  <Lines>507</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CIFOPE</dc:creator>
  <cp:lastModifiedBy>miora</cp:lastModifiedBy>
  <cp:revision>2</cp:revision>
  <cp:lastPrinted>2019-03-19T08:10:00Z</cp:lastPrinted>
  <dcterms:created xsi:type="dcterms:W3CDTF">2019-03-19T08:19:00Z</dcterms:created>
  <dcterms:modified xsi:type="dcterms:W3CDTF">2019-03-19T08:19:00Z</dcterms:modified>
</cp:coreProperties>
</file>