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58" w:rsidRDefault="008338B3" w:rsidP="00B74258">
      <w:pPr>
        <w:autoSpaceDE w:val="0"/>
        <w:autoSpaceDN w:val="0"/>
        <w:adjustRightInd w:val="0"/>
        <w:spacing w:after="0" w:line="240" w:lineRule="auto"/>
        <w:jc w:val="center"/>
        <w:rPr>
          <w:rFonts w:ascii="Times New Roman" w:hAnsi="Times New Roman"/>
          <w:b/>
          <w:color w:val="000000"/>
          <w:sz w:val="32"/>
          <w:szCs w:val="20"/>
        </w:rPr>
      </w:pPr>
      <w:r>
        <w:rPr>
          <w:rFonts w:ascii="Times New Roman" w:hAnsi="Times New Roman"/>
          <w:b/>
          <w:color w:val="000000"/>
          <w:sz w:val="32"/>
          <w:szCs w:val="20"/>
        </w:rPr>
        <w:t xml:space="preserve">Modeling Asymmetric </w:t>
      </w:r>
      <w:r w:rsidR="00B74258" w:rsidRPr="00ED5D77">
        <w:rPr>
          <w:rFonts w:ascii="Times New Roman" w:hAnsi="Times New Roman"/>
          <w:b/>
          <w:color w:val="000000"/>
          <w:sz w:val="32"/>
          <w:szCs w:val="20"/>
        </w:rPr>
        <w:t xml:space="preserve">Effect in </w:t>
      </w:r>
      <w:r w:rsidR="00B74258">
        <w:rPr>
          <w:rFonts w:ascii="Times New Roman" w:hAnsi="Times New Roman"/>
          <w:b/>
          <w:color w:val="000000"/>
          <w:sz w:val="32"/>
          <w:szCs w:val="20"/>
        </w:rPr>
        <w:t>African</w:t>
      </w:r>
      <w:r w:rsidR="00B74258" w:rsidRPr="00ED5D77">
        <w:rPr>
          <w:rFonts w:ascii="Times New Roman" w:hAnsi="Times New Roman"/>
          <w:b/>
          <w:color w:val="000000"/>
          <w:sz w:val="32"/>
          <w:szCs w:val="20"/>
        </w:rPr>
        <w:t xml:space="preserve"> Currency Markets: Evidence from Kenya</w:t>
      </w:r>
    </w:p>
    <w:p w:rsidR="00B74258" w:rsidRPr="005B1CF0" w:rsidRDefault="00B74258" w:rsidP="00B74258">
      <w:pPr>
        <w:autoSpaceDE w:val="0"/>
        <w:autoSpaceDN w:val="0"/>
        <w:adjustRightInd w:val="0"/>
        <w:spacing w:after="0" w:line="240" w:lineRule="auto"/>
        <w:jc w:val="both"/>
        <w:rPr>
          <w:rFonts w:ascii="Times New Roman" w:hAnsi="Times New Roman"/>
          <w:color w:val="000000"/>
          <w:sz w:val="20"/>
          <w:szCs w:val="20"/>
        </w:rPr>
      </w:pPr>
    </w:p>
    <w:p w:rsidR="00B74258" w:rsidRPr="00ED5D77" w:rsidRDefault="00B74258" w:rsidP="00B74258">
      <w:pPr>
        <w:autoSpaceDE w:val="0"/>
        <w:autoSpaceDN w:val="0"/>
        <w:adjustRightInd w:val="0"/>
        <w:spacing w:after="0" w:line="240" w:lineRule="auto"/>
        <w:jc w:val="center"/>
        <w:rPr>
          <w:rFonts w:ascii="Times New Roman" w:hAnsi="Times New Roman"/>
          <w:b/>
          <w:color w:val="000000"/>
          <w:sz w:val="24"/>
          <w:szCs w:val="20"/>
        </w:rPr>
      </w:pPr>
      <w:proofErr w:type="spellStart"/>
      <w:r w:rsidRPr="00ED5D77">
        <w:rPr>
          <w:rFonts w:ascii="Times New Roman" w:hAnsi="Times New Roman"/>
          <w:color w:val="000000"/>
          <w:sz w:val="24"/>
          <w:szCs w:val="20"/>
        </w:rPr>
        <w:t>Sayo</w:t>
      </w:r>
      <w:proofErr w:type="spellEnd"/>
      <w:r w:rsidRPr="00ED5D77">
        <w:rPr>
          <w:rFonts w:ascii="Times New Roman" w:hAnsi="Times New Roman"/>
          <w:color w:val="000000"/>
          <w:sz w:val="24"/>
          <w:szCs w:val="20"/>
        </w:rPr>
        <w:t xml:space="preserve"> </w:t>
      </w:r>
      <w:proofErr w:type="spellStart"/>
      <w:r w:rsidRPr="00ED5D77">
        <w:rPr>
          <w:rFonts w:ascii="Times New Roman" w:hAnsi="Times New Roman"/>
          <w:color w:val="000000"/>
          <w:sz w:val="24"/>
          <w:szCs w:val="20"/>
        </w:rPr>
        <w:t>Ayodeji</w:t>
      </w:r>
      <w:proofErr w:type="spellEnd"/>
    </w:p>
    <w:p w:rsidR="00B74258" w:rsidRPr="00ED5D77" w:rsidRDefault="00B74258" w:rsidP="00B74258">
      <w:pPr>
        <w:autoSpaceDE w:val="0"/>
        <w:autoSpaceDN w:val="0"/>
        <w:adjustRightInd w:val="0"/>
        <w:spacing w:after="0" w:line="240" w:lineRule="auto"/>
        <w:jc w:val="center"/>
        <w:rPr>
          <w:rFonts w:ascii="Times New Roman" w:hAnsi="Times New Roman"/>
          <w:i/>
          <w:color w:val="000000"/>
          <w:sz w:val="24"/>
          <w:szCs w:val="20"/>
        </w:rPr>
      </w:pPr>
      <w:r w:rsidRPr="00ED5D77">
        <w:rPr>
          <w:rFonts w:ascii="Times New Roman" w:hAnsi="Times New Roman"/>
          <w:i/>
          <w:color w:val="000000"/>
          <w:sz w:val="24"/>
          <w:szCs w:val="20"/>
        </w:rPr>
        <w:t xml:space="preserve">Department of Mathematics, </w:t>
      </w:r>
      <w:proofErr w:type="spellStart"/>
      <w:r w:rsidRPr="00ED5D77">
        <w:rPr>
          <w:rFonts w:ascii="Times New Roman" w:hAnsi="Times New Roman"/>
          <w:i/>
          <w:color w:val="000000"/>
          <w:sz w:val="24"/>
          <w:szCs w:val="20"/>
        </w:rPr>
        <w:t>Obafemi</w:t>
      </w:r>
      <w:proofErr w:type="spellEnd"/>
      <w:r w:rsidRPr="00ED5D77">
        <w:rPr>
          <w:rFonts w:ascii="Times New Roman" w:hAnsi="Times New Roman"/>
          <w:i/>
          <w:color w:val="000000"/>
          <w:sz w:val="24"/>
          <w:szCs w:val="20"/>
        </w:rPr>
        <w:t xml:space="preserve"> </w:t>
      </w:r>
      <w:proofErr w:type="spellStart"/>
      <w:r w:rsidRPr="00ED5D77">
        <w:rPr>
          <w:rFonts w:ascii="Times New Roman" w:hAnsi="Times New Roman"/>
          <w:i/>
          <w:color w:val="000000"/>
          <w:sz w:val="24"/>
          <w:szCs w:val="20"/>
        </w:rPr>
        <w:t>Awolowo</w:t>
      </w:r>
      <w:proofErr w:type="spellEnd"/>
      <w:r w:rsidRPr="00ED5D77">
        <w:rPr>
          <w:rFonts w:ascii="Times New Roman" w:hAnsi="Times New Roman"/>
          <w:i/>
          <w:color w:val="000000"/>
          <w:sz w:val="24"/>
          <w:szCs w:val="20"/>
        </w:rPr>
        <w:t xml:space="preserve"> University, 220005, Ile-Ife, Nigeria</w:t>
      </w:r>
    </w:p>
    <w:p w:rsidR="00B74258" w:rsidRPr="00ED5D77" w:rsidRDefault="00B74258" w:rsidP="00B74258">
      <w:pPr>
        <w:autoSpaceDE w:val="0"/>
        <w:autoSpaceDN w:val="0"/>
        <w:adjustRightInd w:val="0"/>
        <w:spacing w:after="0" w:line="240" w:lineRule="auto"/>
        <w:jc w:val="center"/>
        <w:rPr>
          <w:rFonts w:ascii="Times New Roman" w:hAnsi="Times New Roman"/>
          <w:color w:val="000000"/>
          <w:sz w:val="24"/>
          <w:szCs w:val="20"/>
        </w:rPr>
      </w:pPr>
      <w:r w:rsidRPr="00ED5D77">
        <w:rPr>
          <w:rFonts w:ascii="Times New Roman" w:hAnsi="Times New Roman"/>
          <w:sz w:val="24"/>
          <w:szCs w:val="20"/>
        </w:rPr>
        <w:t>Tel: +234</w:t>
      </w:r>
      <w:r>
        <w:rPr>
          <w:rFonts w:ascii="Times New Roman" w:hAnsi="Times New Roman"/>
          <w:sz w:val="24"/>
          <w:szCs w:val="20"/>
        </w:rPr>
        <w:t xml:space="preserve"> 703 3888 834.</w:t>
      </w:r>
      <w:r w:rsidRPr="00ED5D77">
        <w:rPr>
          <w:rFonts w:ascii="Times New Roman" w:hAnsi="Times New Roman"/>
          <w:sz w:val="24"/>
          <w:szCs w:val="20"/>
        </w:rPr>
        <w:t xml:space="preserve"> </w:t>
      </w:r>
      <w:r w:rsidRPr="00ED5D77">
        <w:rPr>
          <w:rFonts w:ascii="Times New Roman" w:hAnsi="Times New Roman"/>
          <w:color w:val="000000"/>
          <w:sz w:val="24"/>
          <w:szCs w:val="20"/>
        </w:rPr>
        <w:t>E-mail: idowu.sayo@yahoo.com</w:t>
      </w:r>
    </w:p>
    <w:p w:rsidR="00B74258" w:rsidRDefault="00B74258">
      <w:pPr>
        <w:rPr>
          <w:rFonts w:ascii="Times New Roman" w:hAnsi="Times New Roman" w:cs="Times New Roman"/>
          <w:b/>
          <w:sz w:val="32"/>
          <w:szCs w:val="28"/>
        </w:rPr>
      </w:pPr>
      <w:r>
        <w:rPr>
          <w:rFonts w:ascii="Times New Roman" w:hAnsi="Times New Roman" w:cs="Times New Roman"/>
          <w:b/>
          <w:sz w:val="32"/>
          <w:szCs w:val="28"/>
        </w:rPr>
        <w:br w:type="page"/>
      </w:r>
    </w:p>
    <w:p w:rsidR="007A60B8" w:rsidRDefault="007A60B8" w:rsidP="00BD2665">
      <w:pPr>
        <w:autoSpaceDE w:val="0"/>
        <w:autoSpaceDN w:val="0"/>
        <w:adjustRightInd w:val="0"/>
        <w:spacing w:line="480" w:lineRule="auto"/>
        <w:jc w:val="both"/>
        <w:rPr>
          <w:rFonts w:ascii="Times New Roman" w:hAnsi="Times New Roman" w:cs="Times New Roman"/>
          <w:b/>
          <w:bCs/>
          <w:color w:val="000000"/>
          <w:sz w:val="28"/>
          <w:szCs w:val="36"/>
        </w:rPr>
      </w:pPr>
      <w:r w:rsidRPr="00F22980">
        <w:rPr>
          <w:rFonts w:ascii="Times New Roman" w:hAnsi="Times New Roman" w:cs="Times New Roman"/>
          <w:b/>
          <w:bCs/>
          <w:color w:val="000000"/>
          <w:sz w:val="28"/>
          <w:szCs w:val="36"/>
        </w:rPr>
        <w:lastRenderedPageBreak/>
        <w:t xml:space="preserve">Abstract </w:t>
      </w:r>
    </w:p>
    <w:p w:rsidR="007A60B8" w:rsidRDefault="00033BAE" w:rsidP="00BD266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Volatility modeling has of recent received considerable attention in the literature. The US-induced global financial crisis offers more reasons to explore the volatility structures of currency markets.</w:t>
      </w:r>
      <w:r w:rsidR="007A60B8">
        <w:rPr>
          <w:rFonts w:ascii="Times New Roman" w:hAnsi="Times New Roman" w:cs="Times New Roman"/>
          <w:bCs/>
          <w:sz w:val="24"/>
          <w:szCs w:val="24"/>
        </w:rPr>
        <w:t xml:space="preserve"> </w:t>
      </w:r>
      <w:r w:rsidR="007A60B8" w:rsidRPr="00E1270E">
        <w:rPr>
          <w:rFonts w:ascii="Times New Roman" w:hAnsi="Times New Roman" w:cs="Times New Roman"/>
          <w:bCs/>
          <w:sz w:val="24"/>
          <w:szCs w:val="24"/>
        </w:rPr>
        <w:t>The present study seeks to examine empirically the possibility of asymmetry in Kenyan exchange rate volatility in the light of the global financial crisis of 2008-09 and the election violence of Janu</w:t>
      </w:r>
      <w:r w:rsidR="00322923">
        <w:rPr>
          <w:rFonts w:ascii="Times New Roman" w:hAnsi="Times New Roman" w:cs="Times New Roman"/>
          <w:bCs/>
          <w:sz w:val="24"/>
          <w:szCs w:val="24"/>
        </w:rPr>
        <w:t>ary-Feb</w:t>
      </w:r>
      <w:r w:rsidR="002975ED">
        <w:rPr>
          <w:rFonts w:ascii="Times New Roman" w:hAnsi="Times New Roman" w:cs="Times New Roman"/>
          <w:bCs/>
          <w:sz w:val="24"/>
          <w:szCs w:val="24"/>
        </w:rPr>
        <w:t>ruary 2008. GARCH and EGARCH</w:t>
      </w:r>
      <w:r w:rsidR="00B91E2D">
        <w:rPr>
          <w:rFonts w:ascii="Times New Roman" w:hAnsi="Times New Roman" w:cs="Times New Roman"/>
          <w:bCs/>
          <w:sz w:val="24"/>
          <w:szCs w:val="24"/>
        </w:rPr>
        <w:t xml:space="preserve"> models involving</w:t>
      </w:r>
      <w:r w:rsidR="00322923">
        <w:rPr>
          <w:rFonts w:ascii="Times New Roman" w:hAnsi="Times New Roman" w:cs="Times New Roman"/>
          <w:bCs/>
          <w:sz w:val="24"/>
          <w:szCs w:val="24"/>
        </w:rPr>
        <w:t xml:space="preserve"> </w:t>
      </w:r>
      <w:r w:rsidR="007A60B8" w:rsidRPr="00E1270E">
        <w:rPr>
          <w:rFonts w:ascii="Times New Roman" w:hAnsi="Times New Roman" w:cs="Times New Roman"/>
          <w:bCs/>
          <w:sz w:val="24"/>
          <w:szCs w:val="24"/>
        </w:rPr>
        <w:t xml:space="preserve">GED specification were employed. </w:t>
      </w:r>
      <w:r w:rsidR="00BC6EA0">
        <w:rPr>
          <w:rFonts w:ascii="Times New Roman" w:hAnsi="Times New Roman" w:cs="Times New Roman"/>
          <w:bCs/>
          <w:sz w:val="24"/>
          <w:szCs w:val="24"/>
        </w:rPr>
        <w:t>Though s</w:t>
      </w:r>
      <w:r w:rsidR="00A7793C">
        <w:rPr>
          <w:rFonts w:ascii="Times New Roman" w:hAnsi="Times New Roman" w:cs="Times New Roman"/>
          <w:bCs/>
          <w:sz w:val="24"/>
          <w:szCs w:val="24"/>
        </w:rPr>
        <w:t xml:space="preserve">pecification tests </w:t>
      </w:r>
      <w:proofErr w:type="spellStart"/>
      <w:r w:rsidR="00A7793C">
        <w:rPr>
          <w:rFonts w:ascii="Times New Roman" w:hAnsi="Times New Roman" w:cs="Times New Roman"/>
          <w:bCs/>
          <w:sz w:val="24"/>
          <w:szCs w:val="24"/>
        </w:rPr>
        <w:t>favoured</w:t>
      </w:r>
      <w:proofErr w:type="spellEnd"/>
      <w:r w:rsidR="00322923">
        <w:rPr>
          <w:rFonts w:ascii="Times New Roman" w:hAnsi="Times New Roman" w:cs="Times New Roman"/>
          <w:bCs/>
          <w:sz w:val="24"/>
          <w:szCs w:val="24"/>
        </w:rPr>
        <w:t xml:space="preserve"> G</w:t>
      </w:r>
      <w:r w:rsidR="00A7793C">
        <w:rPr>
          <w:rFonts w:ascii="Times New Roman" w:hAnsi="Times New Roman" w:cs="Times New Roman"/>
          <w:bCs/>
          <w:sz w:val="24"/>
          <w:szCs w:val="24"/>
        </w:rPr>
        <w:t>ARCH</w:t>
      </w:r>
      <w:r w:rsidR="00BC6EA0">
        <w:rPr>
          <w:rFonts w:ascii="Times New Roman" w:hAnsi="Times New Roman" w:cs="Times New Roman"/>
          <w:bCs/>
          <w:sz w:val="24"/>
          <w:szCs w:val="24"/>
        </w:rPr>
        <w:t xml:space="preserve">, EGARCH </w:t>
      </w:r>
      <w:r w:rsidR="00A7793C">
        <w:rPr>
          <w:rFonts w:ascii="Times New Roman" w:hAnsi="Times New Roman" w:cs="Times New Roman"/>
          <w:bCs/>
          <w:sz w:val="24"/>
          <w:szCs w:val="24"/>
        </w:rPr>
        <w:t xml:space="preserve">estimation </w:t>
      </w:r>
      <w:r w:rsidR="00BC6EA0">
        <w:rPr>
          <w:rFonts w:ascii="Times New Roman" w:hAnsi="Times New Roman" w:cs="Times New Roman"/>
          <w:bCs/>
          <w:sz w:val="24"/>
          <w:szCs w:val="24"/>
        </w:rPr>
        <w:t>suggested</w:t>
      </w:r>
      <w:r w:rsidR="00BC6EA0">
        <w:rPr>
          <w:rFonts w:ascii="Times New Roman" w:hAnsi="Times New Roman"/>
          <w:sz w:val="24"/>
          <w:szCs w:val="24"/>
        </w:rPr>
        <w:t xml:space="preserve"> the possibility of asymmetry in Kenyan shillings</w:t>
      </w:r>
      <w:r w:rsidR="00322923">
        <w:rPr>
          <w:rFonts w:ascii="Times New Roman" w:hAnsi="Times New Roman" w:cs="Times New Roman"/>
          <w:bCs/>
          <w:sz w:val="24"/>
          <w:szCs w:val="24"/>
        </w:rPr>
        <w:t>.</w:t>
      </w:r>
      <w:r w:rsidR="007A60B8" w:rsidRPr="00E1270E">
        <w:rPr>
          <w:rFonts w:ascii="Times New Roman" w:hAnsi="Times New Roman" w:cs="Times New Roman"/>
          <w:bCs/>
          <w:sz w:val="24"/>
          <w:szCs w:val="24"/>
        </w:rPr>
        <w:t xml:space="preserve"> In addition, the estimated effect of th</w:t>
      </w:r>
      <w:r w:rsidR="0010205D">
        <w:rPr>
          <w:rFonts w:ascii="Times New Roman" w:hAnsi="Times New Roman" w:cs="Times New Roman"/>
          <w:bCs/>
          <w:sz w:val="24"/>
          <w:szCs w:val="24"/>
        </w:rPr>
        <w:t xml:space="preserve">e crises on </w:t>
      </w:r>
      <w:r w:rsidR="001B6B76">
        <w:rPr>
          <w:rFonts w:ascii="Times New Roman" w:hAnsi="Times New Roman" w:cs="Times New Roman"/>
          <w:bCs/>
          <w:sz w:val="24"/>
          <w:szCs w:val="24"/>
        </w:rPr>
        <w:t xml:space="preserve">returns and </w:t>
      </w:r>
      <w:r w:rsidR="0010205D">
        <w:rPr>
          <w:rFonts w:ascii="Times New Roman" w:hAnsi="Times New Roman" w:cs="Times New Roman"/>
          <w:bCs/>
          <w:sz w:val="24"/>
          <w:szCs w:val="24"/>
        </w:rPr>
        <w:t>conditional volatility</w:t>
      </w:r>
      <w:r w:rsidR="001B6B76">
        <w:rPr>
          <w:rFonts w:ascii="Times New Roman" w:hAnsi="Times New Roman" w:cs="Times New Roman"/>
          <w:bCs/>
          <w:sz w:val="24"/>
          <w:szCs w:val="24"/>
        </w:rPr>
        <w:t xml:space="preserve"> are about </w:t>
      </w:r>
      <w:r w:rsidR="001B6B76" w:rsidRPr="00B55772">
        <w:rPr>
          <w:position w:val="-6"/>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9" o:title=""/>
          </v:shape>
          <o:OLEObject Type="Embed" ProgID="Equation.3" ShapeID="_x0000_i1025" DrawAspect="Content" ObjectID="_1493477153" r:id="rId10"/>
        </w:object>
      </w:r>
      <w:r w:rsidR="001B6B76">
        <w:rPr>
          <w:rFonts w:ascii="Times New Roman" w:hAnsi="Times New Roman" w:cs="Times New Roman"/>
          <w:bCs/>
          <w:sz w:val="24"/>
          <w:szCs w:val="24"/>
        </w:rPr>
        <w:t xml:space="preserve"> and</w:t>
      </w:r>
      <w:r w:rsidR="001B6B76" w:rsidRPr="001B6B76">
        <w:rPr>
          <w:rFonts w:ascii="Times New Roman" w:hAnsi="Times New Roman" w:cs="Times New Roman"/>
          <w:bCs/>
          <w:position w:val="-6"/>
          <w:sz w:val="24"/>
          <w:szCs w:val="24"/>
        </w:rPr>
        <w:object w:dxaOrig="1300" w:dyaOrig="320">
          <v:shape id="_x0000_i1026" type="#_x0000_t75" style="width:65.25pt;height:15.75pt" o:ole="">
            <v:imagedata r:id="rId11" o:title=""/>
          </v:shape>
          <o:OLEObject Type="Embed" ProgID="Equation.3" ShapeID="_x0000_i1026" DrawAspect="Content" ObjectID="_1493477154" r:id="rId12"/>
        </w:object>
      </w:r>
      <w:r w:rsidR="001B6B76">
        <w:rPr>
          <w:rFonts w:ascii="Times New Roman" w:hAnsi="Times New Roman" w:cs="Times New Roman"/>
          <w:bCs/>
          <w:sz w:val="24"/>
          <w:szCs w:val="24"/>
        </w:rPr>
        <w:t>, respectively</w:t>
      </w:r>
      <w:r w:rsidR="007A60B8" w:rsidRPr="00E1270E">
        <w:rPr>
          <w:rFonts w:ascii="Times New Roman" w:hAnsi="Times New Roman" w:cs="Times New Roman"/>
          <w:bCs/>
          <w:sz w:val="24"/>
          <w:szCs w:val="24"/>
        </w:rPr>
        <w:t xml:space="preserve">. Further, </w:t>
      </w:r>
      <w:r w:rsidR="00EF31B5" w:rsidRPr="00EF31B5">
        <w:rPr>
          <w:rFonts w:ascii="Times New Roman" w:hAnsi="Times New Roman" w:cs="Times New Roman"/>
          <w:bCs/>
          <w:sz w:val="24"/>
          <w:szCs w:val="24"/>
        </w:rPr>
        <w:t xml:space="preserve">the estimated values of the ARCH and GARCH effects clearly indicated that the conditional volatility (on aggregate) reacted more intensely to shocks than </w:t>
      </w:r>
      <w:r w:rsidR="00EF31B5">
        <w:rPr>
          <w:rFonts w:ascii="Times New Roman" w:hAnsi="Times New Roman" w:cs="Times New Roman"/>
          <w:bCs/>
          <w:sz w:val="24"/>
          <w:szCs w:val="24"/>
        </w:rPr>
        <w:t>to the market movements. T</w:t>
      </w:r>
      <w:r w:rsidR="00EF31B5" w:rsidRPr="00EF31B5">
        <w:rPr>
          <w:rFonts w:ascii="Times New Roman" w:hAnsi="Times New Roman" w:cs="Times New Roman"/>
          <w:bCs/>
          <w:sz w:val="24"/>
          <w:szCs w:val="24"/>
        </w:rPr>
        <w:t>he subsample comparisons showed that while the conditional volatility reacted more intensely to market movements (than to shocks) during the pre-crises and election period</w:t>
      </w:r>
      <w:r w:rsidR="00EF31B5">
        <w:rPr>
          <w:rFonts w:ascii="Times New Roman" w:hAnsi="Times New Roman" w:cs="Times New Roman"/>
          <w:bCs/>
          <w:sz w:val="24"/>
          <w:szCs w:val="24"/>
        </w:rPr>
        <w:t>s, it was more influenced by</w:t>
      </w:r>
      <w:r w:rsidR="00EF31B5" w:rsidRPr="00EF31B5">
        <w:rPr>
          <w:rFonts w:ascii="Times New Roman" w:hAnsi="Times New Roman" w:cs="Times New Roman"/>
          <w:bCs/>
          <w:sz w:val="24"/>
          <w:szCs w:val="24"/>
        </w:rPr>
        <w:t xml:space="preserve"> shocks in the global crisis period.</w:t>
      </w:r>
      <w:r w:rsidR="00EF31B5">
        <w:rPr>
          <w:rFonts w:ascii="Times New Roman" w:hAnsi="Times New Roman" w:cs="Times New Roman"/>
          <w:bCs/>
          <w:sz w:val="24"/>
          <w:szCs w:val="24"/>
        </w:rPr>
        <w:t xml:space="preserve"> </w:t>
      </w:r>
      <w:r w:rsidR="007A60B8" w:rsidRPr="00E1270E">
        <w:rPr>
          <w:rFonts w:ascii="Times New Roman" w:hAnsi="Times New Roman" w:cs="Times New Roman"/>
          <w:bCs/>
          <w:sz w:val="24"/>
          <w:szCs w:val="24"/>
        </w:rPr>
        <w:t>Finally, the article rec</w:t>
      </w:r>
      <w:r w:rsidR="00A7793C">
        <w:rPr>
          <w:rFonts w:ascii="Times New Roman" w:hAnsi="Times New Roman" w:cs="Times New Roman"/>
          <w:bCs/>
          <w:sz w:val="24"/>
          <w:szCs w:val="24"/>
        </w:rPr>
        <w:t>ommends some measures that would help to restore</w:t>
      </w:r>
      <w:r w:rsidR="007A60B8" w:rsidRPr="00E1270E">
        <w:rPr>
          <w:rFonts w:ascii="Times New Roman" w:hAnsi="Times New Roman" w:cs="Times New Roman"/>
          <w:bCs/>
          <w:sz w:val="24"/>
          <w:szCs w:val="24"/>
        </w:rPr>
        <w:t xml:space="preserve"> exchange rate stability in the economy.</w:t>
      </w:r>
    </w:p>
    <w:p w:rsidR="007A60B8" w:rsidRDefault="007A60B8" w:rsidP="00BD266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Exchange rate</w:t>
      </w:r>
      <w:r w:rsidRPr="00E45EAB">
        <w:rPr>
          <w:rFonts w:ascii="Times New Roman" w:hAnsi="Times New Roman" w:cs="Times New Roman"/>
          <w:sz w:val="24"/>
          <w:szCs w:val="24"/>
        </w:rPr>
        <w:t xml:space="preserve"> </w:t>
      </w:r>
      <w:r w:rsidR="0020686E">
        <w:rPr>
          <w:rFonts w:ascii="Times New Roman" w:hAnsi="Times New Roman" w:cs="Times New Roman"/>
          <w:sz w:val="24"/>
          <w:szCs w:val="24"/>
        </w:rPr>
        <w:t xml:space="preserve">volatility, </w:t>
      </w:r>
      <w:proofErr w:type="gramStart"/>
      <w:r w:rsidR="0020686E">
        <w:rPr>
          <w:rFonts w:ascii="Times New Roman" w:hAnsi="Times New Roman" w:cs="Times New Roman"/>
          <w:sz w:val="24"/>
          <w:szCs w:val="24"/>
        </w:rPr>
        <w:t>Financial</w:t>
      </w:r>
      <w:proofErr w:type="gramEnd"/>
      <w:r w:rsidR="0020686E">
        <w:rPr>
          <w:rFonts w:ascii="Times New Roman" w:hAnsi="Times New Roman" w:cs="Times New Roman"/>
          <w:sz w:val="24"/>
          <w:szCs w:val="24"/>
        </w:rPr>
        <w:t xml:space="preserve"> crisis, </w:t>
      </w:r>
      <w:r>
        <w:rPr>
          <w:rFonts w:ascii="Times New Roman" w:hAnsi="Times New Roman" w:cs="Times New Roman"/>
          <w:sz w:val="24"/>
          <w:szCs w:val="24"/>
        </w:rPr>
        <w:t>GARCH, Election violence, Africa</w:t>
      </w:r>
      <w:r w:rsidR="00BD2665">
        <w:rPr>
          <w:rFonts w:ascii="Times New Roman" w:hAnsi="Times New Roman" w:cs="Times New Roman"/>
          <w:sz w:val="24"/>
          <w:szCs w:val="24"/>
        </w:rPr>
        <w:t>, Kenya</w:t>
      </w:r>
    </w:p>
    <w:p w:rsidR="00F83A79" w:rsidRPr="00D74E63" w:rsidRDefault="00F83A79" w:rsidP="00BD2665">
      <w:pPr>
        <w:spacing w:line="480" w:lineRule="auto"/>
        <w:jc w:val="both"/>
        <w:rPr>
          <w:rFonts w:ascii="Times New Roman" w:hAnsi="Times New Roman" w:cs="Times New Roman"/>
          <w:b/>
          <w:sz w:val="28"/>
          <w:szCs w:val="24"/>
        </w:rPr>
      </w:pPr>
      <w:r w:rsidRPr="00D74E63">
        <w:rPr>
          <w:rFonts w:ascii="Times New Roman" w:hAnsi="Times New Roman" w:cs="Times New Roman"/>
          <w:b/>
          <w:sz w:val="28"/>
          <w:szCs w:val="24"/>
        </w:rPr>
        <w:t>1. Introduction</w:t>
      </w:r>
    </w:p>
    <w:p w:rsidR="00033BAE" w:rsidRDefault="00033BAE"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What is volatility? It is the extent to which return on an underlying asset fluctuates over a given period of time. Volatility models are therefore, statistical models used in measuring the volatility of the return of any given asset.</w:t>
      </w:r>
    </w:p>
    <w:p w:rsidR="00022B04" w:rsidRDefault="0006330D"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Why do asymmetries matter in financial markets? According to Engle </w:t>
      </w:r>
      <w:r w:rsidR="00EB136C">
        <w:rPr>
          <w:rFonts w:ascii="Times New Roman" w:hAnsi="Times New Roman" w:cs="Times New Roman"/>
          <w:sz w:val="24"/>
          <w:szCs w:val="24"/>
        </w:rPr>
        <w:t>[1]</w:t>
      </w:r>
      <w:r>
        <w:rPr>
          <w:rFonts w:ascii="Times New Roman" w:hAnsi="Times New Roman" w:cs="Times New Roman"/>
          <w:sz w:val="24"/>
          <w:szCs w:val="24"/>
        </w:rPr>
        <w:t xml:space="preserve">, </w:t>
      </w:r>
      <w:r w:rsidR="00022B04">
        <w:rPr>
          <w:rFonts w:ascii="Times New Roman" w:hAnsi="Times New Roman" w:cs="Times New Roman"/>
          <w:sz w:val="24"/>
          <w:szCs w:val="24"/>
        </w:rPr>
        <w:t xml:space="preserve">the presence of </w:t>
      </w:r>
      <w:r w:rsidR="00022B04" w:rsidRPr="00022B04">
        <w:rPr>
          <w:rFonts w:ascii="Times New Roman" w:hAnsi="Times New Roman" w:cs="Times New Roman"/>
          <w:sz w:val="24"/>
          <w:szCs w:val="24"/>
        </w:rPr>
        <w:t>volatility clusters is a</w:t>
      </w:r>
      <w:r w:rsidR="00022B04">
        <w:rPr>
          <w:rFonts w:ascii="Times New Roman" w:hAnsi="Times New Roman" w:cs="Times New Roman"/>
          <w:sz w:val="24"/>
          <w:szCs w:val="24"/>
        </w:rPr>
        <w:t xml:space="preserve"> well-</w:t>
      </w:r>
      <w:r w:rsidR="00022B04" w:rsidRPr="00022B04">
        <w:rPr>
          <w:rFonts w:ascii="Times New Roman" w:hAnsi="Times New Roman" w:cs="Times New Roman"/>
          <w:sz w:val="24"/>
          <w:szCs w:val="24"/>
        </w:rPr>
        <w:t>known characteristic of financial time series</w:t>
      </w:r>
      <w:r w:rsidR="00022B04">
        <w:rPr>
          <w:rFonts w:ascii="Times New Roman" w:hAnsi="Times New Roman" w:cs="Times New Roman"/>
          <w:sz w:val="24"/>
          <w:szCs w:val="24"/>
        </w:rPr>
        <w:t>, bu</w:t>
      </w:r>
      <w:r w:rsidR="00022B04" w:rsidRPr="00022B04">
        <w:rPr>
          <w:rFonts w:ascii="Times New Roman" w:hAnsi="Times New Roman" w:cs="Times New Roman"/>
          <w:sz w:val="24"/>
          <w:szCs w:val="24"/>
        </w:rPr>
        <w:t>t it does not fully explain the volatility dynami</w:t>
      </w:r>
      <w:r w:rsidR="00022B04">
        <w:rPr>
          <w:rFonts w:ascii="Times New Roman" w:hAnsi="Times New Roman" w:cs="Times New Roman"/>
          <w:sz w:val="24"/>
          <w:szCs w:val="24"/>
        </w:rPr>
        <w:t xml:space="preserve">cs of these series. Other features (such as asymmetries) </w:t>
      </w:r>
      <w:r w:rsidR="00022B04" w:rsidRPr="00022B04">
        <w:rPr>
          <w:rFonts w:ascii="Times New Roman" w:hAnsi="Times New Roman" w:cs="Times New Roman"/>
          <w:sz w:val="24"/>
          <w:szCs w:val="24"/>
        </w:rPr>
        <w:t>ought to be</w:t>
      </w:r>
      <w:r w:rsidR="00022B04">
        <w:rPr>
          <w:rFonts w:ascii="Times New Roman" w:hAnsi="Times New Roman" w:cs="Times New Roman"/>
          <w:sz w:val="24"/>
          <w:szCs w:val="24"/>
        </w:rPr>
        <w:t xml:space="preserve"> </w:t>
      </w:r>
      <w:r w:rsidR="00022B04" w:rsidRPr="00022B04">
        <w:rPr>
          <w:rFonts w:ascii="Times New Roman" w:hAnsi="Times New Roman" w:cs="Times New Roman"/>
          <w:sz w:val="24"/>
          <w:szCs w:val="24"/>
        </w:rPr>
        <w:t xml:space="preserve">considered in volatility models to </w:t>
      </w:r>
      <w:r w:rsidR="00BE3C86">
        <w:rPr>
          <w:rFonts w:ascii="Times New Roman" w:hAnsi="Times New Roman" w:cs="Times New Roman"/>
          <w:sz w:val="24"/>
          <w:szCs w:val="24"/>
        </w:rPr>
        <w:t>provid</w:t>
      </w:r>
      <w:r w:rsidR="00022B04">
        <w:rPr>
          <w:rFonts w:ascii="Times New Roman" w:hAnsi="Times New Roman" w:cs="Times New Roman"/>
          <w:sz w:val="24"/>
          <w:szCs w:val="24"/>
        </w:rPr>
        <w:t xml:space="preserve">e </w:t>
      </w:r>
      <w:r w:rsidR="00022B04" w:rsidRPr="00022B04">
        <w:rPr>
          <w:rFonts w:ascii="Times New Roman" w:hAnsi="Times New Roman" w:cs="Times New Roman"/>
          <w:sz w:val="24"/>
          <w:szCs w:val="24"/>
        </w:rPr>
        <w:t>better m</w:t>
      </w:r>
      <w:r w:rsidR="00022B04">
        <w:rPr>
          <w:rFonts w:ascii="Times New Roman" w:hAnsi="Times New Roman" w:cs="Times New Roman"/>
          <w:sz w:val="24"/>
          <w:szCs w:val="24"/>
        </w:rPr>
        <w:t>odels and more accurate forecasts. W</w:t>
      </w:r>
      <w:r w:rsidR="00022B04" w:rsidRPr="00022B04">
        <w:rPr>
          <w:rFonts w:ascii="Times New Roman" w:hAnsi="Times New Roman" w:cs="Times New Roman"/>
          <w:sz w:val="24"/>
          <w:szCs w:val="24"/>
        </w:rPr>
        <w:t xml:space="preserve">hen modeling </w:t>
      </w:r>
      <w:r w:rsidR="00022B04">
        <w:rPr>
          <w:rFonts w:ascii="Times New Roman" w:hAnsi="Times New Roman" w:cs="Times New Roman"/>
          <w:sz w:val="24"/>
          <w:szCs w:val="24"/>
        </w:rPr>
        <w:t xml:space="preserve">volatility dynamics, it is important to investigate the existence or otherwise of asymmetric effect </w:t>
      </w:r>
      <w:r w:rsidR="00022B04" w:rsidRPr="00022B04">
        <w:rPr>
          <w:rFonts w:ascii="Times New Roman" w:hAnsi="Times New Roman" w:cs="Times New Roman"/>
          <w:sz w:val="24"/>
          <w:szCs w:val="24"/>
        </w:rPr>
        <w:t>for</w:t>
      </w:r>
      <w:r w:rsidR="00022B04">
        <w:rPr>
          <w:rFonts w:ascii="Times New Roman" w:hAnsi="Times New Roman" w:cs="Times New Roman"/>
          <w:sz w:val="24"/>
          <w:szCs w:val="24"/>
        </w:rPr>
        <w:t xml:space="preserve"> </w:t>
      </w:r>
      <w:r w:rsidR="00022B04" w:rsidRPr="00022B04">
        <w:rPr>
          <w:rFonts w:ascii="Times New Roman" w:hAnsi="Times New Roman" w:cs="Times New Roman"/>
          <w:sz w:val="24"/>
          <w:szCs w:val="24"/>
        </w:rPr>
        <w:t>a variety of reasons</w:t>
      </w:r>
      <w:r w:rsidR="00BE3C86">
        <w:rPr>
          <w:rFonts w:ascii="Times New Roman" w:hAnsi="Times New Roman" w:cs="Times New Roman"/>
          <w:sz w:val="24"/>
          <w:szCs w:val="24"/>
        </w:rPr>
        <w:t>:</w:t>
      </w:r>
      <w:r w:rsidR="00022B04" w:rsidRPr="00022B04">
        <w:rPr>
          <w:rFonts w:ascii="Times New Roman" w:hAnsi="Times New Roman" w:cs="Times New Roman"/>
          <w:sz w:val="24"/>
          <w:szCs w:val="24"/>
        </w:rPr>
        <w:t xml:space="preserve"> </w:t>
      </w:r>
      <w:r w:rsidR="00BE3C86">
        <w:rPr>
          <w:rFonts w:ascii="Times New Roman" w:hAnsi="Times New Roman" w:cs="Times New Roman"/>
          <w:sz w:val="24"/>
          <w:szCs w:val="24"/>
        </w:rPr>
        <w:t>O</w:t>
      </w:r>
      <w:r w:rsidR="00BE3C86" w:rsidRPr="0006330D">
        <w:rPr>
          <w:rFonts w:ascii="Times New Roman" w:hAnsi="Times New Roman" w:cs="Times New Roman"/>
          <w:sz w:val="24"/>
          <w:szCs w:val="24"/>
        </w:rPr>
        <w:t>ption pricing</w:t>
      </w:r>
      <w:r w:rsidR="00BE3C86">
        <w:rPr>
          <w:rFonts w:ascii="Times New Roman" w:hAnsi="Times New Roman" w:cs="Times New Roman"/>
          <w:sz w:val="24"/>
          <w:szCs w:val="24"/>
        </w:rPr>
        <w:t>, it is known, re</w:t>
      </w:r>
      <w:r w:rsidR="00BE3C86" w:rsidRPr="0006330D">
        <w:rPr>
          <w:rFonts w:ascii="Times New Roman" w:hAnsi="Times New Roman" w:cs="Times New Roman"/>
          <w:sz w:val="24"/>
          <w:szCs w:val="24"/>
        </w:rPr>
        <w:t>sts on the</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correct modeling of the underlying asset. In particular, the most commonly used</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 xml:space="preserve">model for foreign exchange options is that of Garman and </w:t>
      </w:r>
      <w:proofErr w:type="spellStart"/>
      <w:r w:rsidR="00BE3C86" w:rsidRPr="0006330D">
        <w:rPr>
          <w:rFonts w:ascii="Times New Roman" w:hAnsi="Times New Roman" w:cs="Times New Roman"/>
          <w:sz w:val="24"/>
          <w:szCs w:val="24"/>
        </w:rPr>
        <w:t>Kohlhagen</w:t>
      </w:r>
      <w:proofErr w:type="spellEnd"/>
      <w:r w:rsidR="00BE3C86" w:rsidRPr="0006330D">
        <w:rPr>
          <w:rFonts w:ascii="Times New Roman" w:hAnsi="Times New Roman" w:cs="Times New Roman"/>
          <w:sz w:val="24"/>
          <w:szCs w:val="24"/>
        </w:rPr>
        <w:t xml:space="preserve"> </w:t>
      </w:r>
      <w:r w:rsidR="00EB136C">
        <w:rPr>
          <w:rFonts w:ascii="Times New Roman" w:hAnsi="Times New Roman" w:cs="Times New Roman"/>
          <w:sz w:val="24"/>
          <w:szCs w:val="24"/>
        </w:rPr>
        <w:t>[2]</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which assumes log-normality based on constant volatility, in clear contradiction</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with the existing evidence</w:t>
      </w:r>
      <w:r w:rsidR="00BE3C86">
        <w:rPr>
          <w:rFonts w:ascii="Times New Roman" w:hAnsi="Times New Roman" w:cs="Times New Roman"/>
          <w:sz w:val="24"/>
          <w:szCs w:val="24"/>
        </w:rPr>
        <w:t xml:space="preserve"> of </w:t>
      </w:r>
      <w:proofErr w:type="spellStart"/>
      <w:r w:rsidR="00BE3C86">
        <w:rPr>
          <w:rFonts w:ascii="Times New Roman" w:hAnsi="Times New Roman" w:cs="Times New Roman"/>
          <w:sz w:val="24"/>
          <w:szCs w:val="24"/>
        </w:rPr>
        <w:t>heteroscedasticity</w:t>
      </w:r>
      <w:proofErr w:type="spellEnd"/>
      <w:r w:rsidR="00BE3C86" w:rsidRPr="0006330D">
        <w:rPr>
          <w:rFonts w:ascii="Times New Roman" w:hAnsi="Times New Roman" w:cs="Times New Roman"/>
          <w:sz w:val="24"/>
          <w:szCs w:val="24"/>
        </w:rPr>
        <w:t>.</w:t>
      </w:r>
      <w:r w:rsidR="00BE3C86">
        <w:rPr>
          <w:rFonts w:ascii="Times New Roman" w:hAnsi="Times New Roman" w:cs="Times New Roman"/>
          <w:sz w:val="24"/>
          <w:szCs w:val="24"/>
        </w:rPr>
        <w:t xml:space="preserve"> Even when non-</w:t>
      </w:r>
      <w:r w:rsidR="00BE3C86" w:rsidRPr="0006330D">
        <w:rPr>
          <w:rFonts w:ascii="Times New Roman" w:hAnsi="Times New Roman" w:cs="Times New Roman"/>
          <w:sz w:val="24"/>
          <w:szCs w:val="24"/>
        </w:rPr>
        <w:t>constant volatility is identified in the form of volatility</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smiles</w:t>
      </w:r>
      <w:r w:rsidR="00EB136C">
        <w:rPr>
          <w:rFonts w:ascii="Times New Roman" w:hAnsi="Times New Roman" w:cs="Times New Roman"/>
          <w:sz w:val="24"/>
          <w:szCs w:val="24"/>
        </w:rPr>
        <w:t xml:space="preserve"> </w:t>
      </w:r>
      <w:r w:rsidR="00BE3C86">
        <w:rPr>
          <w:rFonts w:ascii="Times New Roman" w:hAnsi="Times New Roman" w:cs="Times New Roman"/>
          <w:sz w:val="24"/>
          <w:szCs w:val="24"/>
        </w:rPr>
        <w:t>(</w:t>
      </w:r>
      <w:r w:rsidR="00BE3C86" w:rsidRPr="0006330D">
        <w:rPr>
          <w:rFonts w:ascii="Times New Roman" w:hAnsi="Times New Roman" w:cs="Times New Roman"/>
          <w:sz w:val="24"/>
          <w:szCs w:val="24"/>
        </w:rPr>
        <w:t>a long-observed pattern in which at-the-money options tend to have lower</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implied volatilities</w:t>
      </w:r>
      <w:r w:rsidR="00EB136C">
        <w:rPr>
          <w:rFonts w:ascii="Times New Roman" w:hAnsi="Times New Roman" w:cs="Times New Roman"/>
          <w:sz w:val="24"/>
          <w:szCs w:val="24"/>
        </w:rPr>
        <w:t xml:space="preserve"> </w:t>
      </w:r>
      <w:r w:rsidR="00BE3C86" w:rsidRPr="0006330D">
        <w:rPr>
          <w:rFonts w:ascii="Times New Roman" w:hAnsi="Times New Roman" w:cs="Times New Roman"/>
          <w:sz w:val="24"/>
          <w:szCs w:val="24"/>
        </w:rPr>
        <w:t>than other options</w:t>
      </w:r>
      <w:r w:rsidR="00BE3C86">
        <w:rPr>
          <w:rFonts w:ascii="Times New Roman" w:hAnsi="Times New Roman" w:cs="Times New Roman"/>
          <w:sz w:val="24"/>
          <w:szCs w:val="24"/>
        </w:rPr>
        <w:t>)</w:t>
      </w:r>
      <w:r w:rsidR="00BE3C86" w:rsidRPr="0006330D">
        <w:rPr>
          <w:rFonts w:ascii="Times New Roman" w:hAnsi="Times New Roman" w:cs="Times New Roman"/>
          <w:sz w:val="24"/>
          <w:szCs w:val="24"/>
        </w:rPr>
        <w:t>, a misconception remains since leverage</w:t>
      </w:r>
      <w:r w:rsidR="00BE3C86">
        <w:rPr>
          <w:rFonts w:ascii="Times New Roman" w:hAnsi="Times New Roman" w:cs="Times New Roman"/>
          <w:sz w:val="24"/>
          <w:szCs w:val="24"/>
        </w:rPr>
        <w:t xml:space="preserve"> is (till now)</w:t>
      </w:r>
      <w:r w:rsidR="00BE3C86" w:rsidRPr="0006330D">
        <w:rPr>
          <w:rFonts w:ascii="Times New Roman" w:hAnsi="Times New Roman" w:cs="Times New Roman"/>
          <w:sz w:val="24"/>
          <w:szCs w:val="24"/>
        </w:rPr>
        <w:t xml:space="preserve"> best </w:t>
      </w:r>
      <w:r w:rsidR="00BE3C86">
        <w:rPr>
          <w:rFonts w:ascii="Times New Roman" w:hAnsi="Times New Roman" w:cs="Times New Roman"/>
          <w:sz w:val="24"/>
          <w:szCs w:val="24"/>
        </w:rPr>
        <w:t>represented by volatility skews</w:t>
      </w:r>
      <w:r w:rsidR="00160599">
        <w:rPr>
          <w:rFonts w:ascii="Times New Roman" w:hAnsi="Times New Roman" w:cs="Times New Roman"/>
          <w:sz w:val="24"/>
          <w:szCs w:val="24"/>
        </w:rPr>
        <w:t>. Moreo</w:t>
      </w:r>
      <w:r w:rsidR="00BE3C86">
        <w:rPr>
          <w:rFonts w:ascii="Times New Roman" w:hAnsi="Times New Roman" w:cs="Times New Roman"/>
          <w:sz w:val="24"/>
          <w:szCs w:val="24"/>
        </w:rPr>
        <w:t xml:space="preserve">ver, </w:t>
      </w:r>
      <w:r w:rsidR="00073A1E">
        <w:rPr>
          <w:rFonts w:ascii="Times New Roman" w:hAnsi="Times New Roman" w:cs="Times New Roman"/>
          <w:sz w:val="24"/>
          <w:szCs w:val="24"/>
        </w:rPr>
        <w:t xml:space="preserve">the </w:t>
      </w:r>
      <w:r w:rsidR="002B2317">
        <w:rPr>
          <w:rFonts w:ascii="Times New Roman" w:hAnsi="Times New Roman" w:cs="Times New Roman"/>
          <w:sz w:val="24"/>
          <w:szCs w:val="24"/>
        </w:rPr>
        <w:t>representation of</w:t>
      </w:r>
      <w:r w:rsidR="00BE3C86" w:rsidRPr="0006330D">
        <w:rPr>
          <w:rFonts w:ascii="Times New Roman" w:hAnsi="Times New Roman" w:cs="Times New Roman"/>
          <w:sz w:val="24"/>
          <w:szCs w:val="24"/>
        </w:rPr>
        <w:t xml:space="preserve"> foreign exchange</w:t>
      </w:r>
      <w:r w:rsidR="00160599">
        <w:rPr>
          <w:rFonts w:ascii="Times New Roman" w:hAnsi="Times New Roman" w:cs="Times New Roman"/>
          <w:sz w:val="24"/>
          <w:szCs w:val="24"/>
        </w:rPr>
        <w:t xml:space="preserve"> options pricing always assume </w:t>
      </w:r>
      <w:r w:rsidR="00BE3C86" w:rsidRPr="0006330D">
        <w:rPr>
          <w:rFonts w:ascii="Times New Roman" w:hAnsi="Times New Roman" w:cs="Times New Roman"/>
          <w:sz w:val="24"/>
          <w:szCs w:val="24"/>
        </w:rPr>
        <w:t>a symmetric volatility smile</w:t>
      </w:r>
      <w:r w:rsidR="00EB136C">
        <w:rPr>
          <w:rFonts w:ascii="Times New Roman" w:hAnsi="Times New Roman" w:cs="Times New Roman"/>
          <w:sz w:val="24"/>
          <w:szCs w:val="24"/>
        </w:rPr>
        <w:t xml:space="preserve"> (</w:t>
      </w:r>
      <w:r w:rsidR="00BE3C86">
        <w:rPr>
          <w:rFonts w:ascii="Times New Roman" w:hAnsi="Times New Roman" w:cs="Times New Roman"/>
          <w:sz w:val="24"/>
          <w:szCs w:val="24"/>
        </w:rPr>
        <w:t xml:space="preserve">Hull </w:t>
      </w:r>
      <w:r w:rsidR="00EB136C">
        <w:rPr>
          <w:rFonts w:ascii="Times New Roman" w:hAnsi="Times New Roman" w:cs="Times New Roman"/>
          <w:sz w:val="24"/>
          <w:szCs w:val="24"/>
        </w:rPr>
        <w:t>[3])</w:t>
      </w:r>
      <w:r w:rsidR="00BE3C86" w:rsidRPr="0006330D">
        <w:rPr>
          <w:rFonts w:ascii="Times New Roman" w:hAnsi="Times New Roman" w:cs="Times New Roman"/>
          <w:sz w:val="24"/>
          <w:szCs w:val="24"/>
        </w:rPr>
        <w:t xml:space="preserve"> leading to incorrect valuations.</w:t>
      </w:r>
      <w:r w:rsidR="00073A1E">
        <w:rPr>
          <w:rFonts w:ascii="Times New Roman" w:hAnsi="Times New Roman" w:cs="Times New Roman"/>
          <w:sz w:val="24"/>
          <w:szCs w:val="24"/>
        </w:rPr>
        <w:t xml:space="preserve"> Further</w:t>
      </w:r>
      <w:r w:rsidR="00EB4139">
        <w:rPr>
          <w:rFonts w:ascii="Times New Roman" w:hAnsi="Times New Roman" w:cs="Times New Roman"/>
          <w:sz w:val="24"/>
          <w:szCs w:val="24"/>
        </w:rPr>
        <w:t xml:space="preserve">, </w:t>
      </w:r>
      <w:r w:rsidR="00BE3C86" w:rsidRPr="0006330D">
        <w:rPr>
          <w:rFonts w:ascii="Times New Roman" w:hAnsi="Times New Roman" w:cs="Times New Roman"/>
          <w:sz w:val="24"/>
          <w:szCs w:val="24"/>
        </w:rPr>
        <w:t xml:space="preserve">modeling </w:t>
      </w:r>
      <w:r w:rsidR="00BE3C86">
        <w:rPr>
          <w:rFonts w:ascii="Times New Roman" w:hAnsi="Times New Roman" w:cs="Times New Roman"/>
          <w:sz w:val="24"/>
          <w:szCs w:val="24"/>
        </w:rPr>
        <w:t>asymmetry</w:t>
      </w:r>
      <w:r w:rsidR="00BE3C86" w:rsidRPr="0006330D">
        <w:rPr>
          <w:rFonts w:ascii="Times New Roman" w:hAnsi="Times New Roman" w:cs="Times New Roman"/>
          <w:sz w:val="24"/>
          <w:szCs w:val="24"/>
        </w:rPr>
        <w:t xml:space="preserve"> is crucia</w:t>
      </w:r>
      <w:r w:rsidR="00BE3C86">
        <w:rPr>
          <w:rFonts w:ascii="Times New Roman" w:hAnsi="Times New Roman" w:cs="Times New Roman"/>
          <w:sz w:val="24"/>
          <w:szCs w:val="24"/>
        </w:rPr>
        <w:t>l for market risk measures, that is, Value at Risk (</w:t>
      </w:r>
      <w:proofErr w:type="spellStart"/>
      <w:r w:rsidR="00BE3C86" w:rsidRPr="0006330D">
        <w:rPr>
          <w:rFonts w:ascii="Times New Roman" w:hAnsi="Times New Roman" w:cs="Times New Roman"/>
          <w:sz w:val="24"/>
          <w:szCs w:val="24"/>
        </w:rPr>
        <w:t>VaR</w:t>
      </w:r>
      <w:proofErr w:type="spellEnd"/>
      <w:r w:rsidR="00BE3C86">
        <w:rPr>
          <w:rFonts w:ascii="Times New Roman" w:hAnsi="Times New Roman" w:cs="Times New Roman"/>
          <w:sz w:val="24"/>
          <w:szCs w:val="24"/>
        </w:rPr>
        <w:t>)</w:t>
      </w:r>
      <w:r w:rsidR="00BE3C86" w:rsidRPr="0006330D">
        <w:rPr>
          <w:rFonts w:ascii="Times New Roman" w:hAnsi="Times New Roman" w:cs="Times New Roman"/>
          <w:sz w:val="24"/>
          <w:szCs w:val="24"/>
        </w:rPr>
        <w:t>. This is a widely used measure of market risk mandatory for</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 xml:space="preserve">financial institutions in countries that have adopted the </w:t>
      </w:r>
      <w:proofErr w:type="spellStart"/>
      <w:r w:rsidR="00BE3C86" w:rsidRPr="0006330D">
        <w:rPr>
          <w:rFonts w:ascii="Times New Roman" w:hAnsi="Times New Roman" w:cs="Times New Roman"/>
          <w:sz w:val="24"/>
          <w:szCs w:val="24"/>
        </w:rPr>
        <w:t>Basilea</w:t>
      </w:r>
      <w:proofErr w:type="spellEnd"/>
      <w:r w:rsidR="00BE3C86" w:rsidRPr="0006330D">
        <w:rPr>
          <w:rFonts w:ascii="Times New Roman" w:hAnsi="Times New Roman" w:cs="Times New Roman"/>
          <w:sz w:val="24"/>
          <w:szCs w:val="24"/>
        </w:rPr>
        <w:t xml:space="preserve"> agreement. </w:t>
      </w:r>
      <w:r w:rsidR="00073A1E">
        <w:rPr>
          <w:rFonts w:ascii="Times New Roman" w:hAnsi="Times New Roman" w:cs="Times New Roman"/>
          <w:sz w:val="24"/>
          <w:szCs w:val="24"/>
        </w:rPr>
        <w:t xml:space="preserve">Now, </w:t>
      </w:r>
      <w:proofErr w:type="spellStart"/>
      <w:r w:rsidR="00BE3C86" w:rsidRPr="0006330D">
        <w:rPr>
          <w:rFonts w:ascii="Times New Roman" w:hAnsi="Times New Roman" w:cs="Times New Roman"/>
          <w:sz w:val="24"/>
          <w:szCs w:val="24"/>
        </w:rPr>
        <w:t>VaR</w:t>
      </w:r>
      <w:proofErr w:type="spellEnd"/>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focuses on the left tail of the return distribution and computes the worst probable</w:t>
      </w:r>
      <w:r w:rsidR="00BE3C86">
        <w:rPr>
          <w:rFonts w:ascii="Times New Roman" w:hAnsi="Times New Roman" w:cs="Times New Roman"/>
          <w:sz w:val="24"/>
          <w:szCs w:val="24"/>
        </w:rPr>
        <w:t xml:space="preserve"> </w:t>
      </w:r>
      <w:r w:rsidR="00BE3C86" w:rsidRPr="0006330D">
        <w:rPr>
          <w:rFonts w:ascii="Times New Roman" w:hAnsi="Times New Roman" w:cs="Times New Roman"/>
          <w:sz w:val="24"/>
          <w:szCs w:val="24"/>
        </w:rPr>
        <w:t xml:space="preserve">loss within a certain level </w:t>
      </w:r>
      <w:r w:rsidR="00BE3C86">
        <w:rPr>
          <w:rFonts w:ascii="Times New Roman" w:hAnsi="Times New Roman" w:cs="Times New Roman"/>
          <w:sz w:val="24"/>
          <w:szCs w:val="24"/>
        </w:rPr>
        <w:t>of confidence. Ignoring asymmetry</w:t>
      </w:r>
      <w:r w:rsidR="00BE3C86" w:rsidRPr="0006330D">
        <w:rPr>
          <w:rFonts w:ascii="Times New Roman" w:hAnsi="Times New Roman" w:cs="Times New Roman"/>
          <w:sz w:val="24"/>
          <w:szCs w:val="24"/>
        </w:rPr>
        <w:t xml:space="preserve"> may result in underestimating</w:t>
      </w:r>
      <w:r w:rsidR="00BE3C86">
        <w:rPr>
          <w:rFonts w:ascii="Times New Roman" w:hAnsi="Times New Roman" w:cs="Times New Roman"/>
          <w:sz w:val="24"/>
          <w:szCs w:val="24"/>
        </w:rPr>
        <w:t xml:space="preserve"> </w:t>
      </w:r>
      <w:r w:rsidR="00EB136C">
        <w:rPr>
          <w:rFonts w:ascii="Times New Roman" w:hAnsi="Times New Roman" w:cs="Times New Roman"/>
          <w:sz w:val="24"/>
          <w:szCs w:val="24"/>
        </w:rPr>
        <w:t>that risk (Engle [1])</w:t>
      </w:r>
      <w:r w:rsidR="00BE3C86" w:rsidRPr="0006330D">
        <w:rPr>
          <w:rFonts w:ascii="Times New Roman" w:hAnsi="Times New Roman" w:cs="Times New Roman"/>
          <w:sz w:val="24"/>
          <w:szCs w:val="24"/>
        </w:rPr>
        <w:t>.</w:t>
      </w:r>
    </w:p>
    <w:p w:rsidR="00B22C42" w:rsidRDefault="00B22C42" w:rsidP="00BD2665">
      <w:pPr>
        <w:autoSpaceDE w:val="0"/>
        <w:autoSpaceDN w:val="0"/>
        <w:adjustRightInd w:val="0"/>
        <w:spacing w:before="200" w:line="480" w:lineRule="auto"/>
        <w:jc w:val="both"/>
        <w:rPr>
          <w:rFonts w:ascii="Times New Roman" w:hAnsi="Times New Roman"/>
          <w:bCs/>
          <w:sz w:val="24"/>
          <w:szCs w:val="24"/>
        </w:rPr>
      </w:pPr>
      <w:r>
        <w:rPr>
          <w:rFonts w:ascii="Times New Roman" w:hAnsi="Times New Roman" w:cs="Times New Roman"/>
          <w:sz w:val="24"/>
          <w:szCs w:val="24"/>
        </w:rPr>
        <w:t xml:space="preserve">What then </w:t>
      </w:r>
      <w:r w:rsidR="00A7793C">
        <w:rPr>
          <w:rFonts w:ascii="Times New Roman" w:hAnsi="Times New Roman" w:cs="Times New Roman"/>
          <w:sz w:val="24"/>
          <w:szCs w:val="24"/>
        </w:rPr>
        <w:t>is</w:t>
      </w:r>
      <w:r>
        <w:rPr>
          <w:rFonts w:ascii="Times New Roman" w:hAnsi="Times New Roman" w:cs="Times New Roman"/>
          <w:sz w:val="24"/>
          <w:szCs w:val="24"/>
        </w:rPr>
        <w:t xml:space="preserve"> asymmetric volatility? </w:t>
      </w:r>
      <w:r w:rsidR="00A7793C">
        <w:rPr>
          <w:rFonts w:ascii="Times New Roman" w:hAnsi="Times New Roman" w:cs="Times New Roman"/>
          <w:sz w:val="24"/>
          <w:szCs w:val="24"/>
        </w:rPr>
        <w:t>Volatility is asymmetric when</w:t>
      </w:r>
      <w:r w:rsidRPr="00FD08D2">
        <w:rPr>
          <w:rFonts w:ascii="Times New Roman" w:hAnsi="Times New Roman"/>
          <w:bCs/>
          <w:sz w:val="24"/>
          <w:szCs w:val="24"/>
        </w:rPr>
        <w:t xml:space="preserve"> appreciation</w:t>
      </w:r>
      <w:r w:rsidR="00C86460">
        <w:rPr>
          <w:rFonts w:ascii="Times New Roman" w:hAnsi="Times New Roman"/>
          <w:bCs/>
          <w:sz w:val="24"/>
          <w:szCs w:val="24"/>
        </w:rPr>
        <w:t xml:space="preserve"> (depreciation)</w:t>
      </w:r>
      <w:r w:rsidRPr="00FD08D2">
        <w:rPr>
          <w:rFonts w:ascii="Times New Roman" w:hAnsi="Times New Roman"/>
          <w:bCs/>
          <w:sz w:val="24"/>
          <w:szCs w:val="24"/>
        </w:rPr>
        <w:t xml:space="preserve"> of the domestic currency relative to the foreign currency tends to induce a higher increase in volatility of the domestic currency than </w:t>
      </w:r>
      <w:proofErr w:type="gramStart"/>
      <w:r w:rsidRPr="00FD08D2">
        <w:rPr>
          <w:rFonts w:ascii="Times New Roman" w:hAnsi="Times New Roman"/>
          <w:bCs/>
          <w:sz w:val="24"/>
          <w:szCs w:val="24"/>
        </w:rPr>
        <w:t>a depreciation</w:t>
      </w:r>
      <w:proofErr w:type="gramEnd"/>
      <w:r w:rsidR="00C86460">
        <w:rPr>
          <w:rFonts w:ascii="Times New Roman" w:hAnsi="Times New Roman"/>
          <w:bCs/>
          <w:sz w:val="24"/>
          <w:szCs w:val="24"/>
        </w:rPr>
        <w:t xml:space="preserve"> (appreciation)</w:t>
      </w:r>
      <w:r w:rsidRPr="00FD08D2">
        <w:rPr>
          <w:rFonts w:ascii="Times New Roman" w:hAnsi="Times New Roman"/>
          <w:bCs/>
          <w:sz w:val="24"/>
          <w:szCs w:val="24"/>
        </w:rPr>
        <w:t xml:space="preserve"> of the same magnitude in the subsequent period (</w:t>
      </w:r>
      <w:proofErr w:type="spellStart"/>
      <w:r w:rsidRPr="00FD08D2">
        <w:rPr>
          <w:rFonts w:ascii="Times New Roman" w:hAnsi="Times New Roman"/>
          <w:bCs/>
          <w:sz w:val="24"/>
          <w:szCs w:val="24"/>
        </w:rPr>
        <w:t>Kahya</w:t>
      </w:r>
      <w:proofErr w:type="spellEnd"/>
      <w:r w:rsidRPr="00FD08D2">
        <w:rPr>
          <w:rFonts w:ascii="Times New Roman" w:hAnsi="Times New Roman"/>
          <w:bCs/>
          <w:sz w:val="24"/>
          <w:szCs w:val="24"/>
        </w:rPr>
        <w:t xml:space="preserve">, </w:t>
      </w:r>
      <w:r w:rsidRPr="0010205D">
        <w:rPr>
          <w:rFonts w:ascii="Times New Roman" w:hAnsi="Times New Roman"/>
          <w:bCs/>
          <w:i/>
          <w:sz w:val="24"/>
          <w:szCs w:val="24"/>
        </w:rPr>
        <w:t>et al</w:t>
      </w:r>
      <w:r w:rsidRPr="00FD08D2">
        <w:rPr>
          <w:rFonts w:ascii="Times New Roman" w:hAnsi="Times New Roman"/>
          <w:bCs/>
          <w:sz w:val="24"/>
          <w:szCs w:val="24"/>
        </w:rPr>
        <w:t xml:space="preserve">. </w:t>
      </w:r>
      <w:r w:rsidR="00EB136C">
        <w:rPr>
          <w:rFonts w:ascii="Times New Roman" w:hAnsi="Times New Roman"/>
          <w:bCs/>
          <w:sz w:val="24"/>
          <w:szCs w:val="24"/>
        </w:rPr>
        <w:t xml:space="preserve">[4]; and </w:t>
      </w:r>
      <w:proofErr w:type="spellStart"/>
      <w:r w:rsidR="00EB136C">
        <w:rPr>
          <w:rFonts w:ascii="Times New Roman" w:hAnsi="Times New Roman"/>
          <w:bCs/>
          <w:sz w:val="24"/>
          <w:szCs w:val="24"/>
        </w:rPr>
        <w:t>Kocenda</w:t>
      </w:r>
      <w:proofErr w:type="spellEnd"/>
      <w:r w:rsidR="00EB136C">
        <w:rPr>
          <w:rFonts w:ascii="Times New Roman" w:hAnsi="Times New Roman"/>
          <w:bCs/>
          <w:sz w:val="24"/>
          <w:szCs w:val="24"/>
        </w:rPr>
        <w:t xml:space="preserve"> and </w:t>
      </w:r>
      <w:proofErr w:type="spellStart"/>
      <w:r w:rsidR="00EB136C">
        <w:rPr>
          <w:rFonts w:ascii="Times New Roman" w:hAnsi="Times New Roman"/>
          <w:bCs/>
          <w:sz w:val="24"/>
          <w:szCs w:val="24"/>
        </w:rPr>
        <w:t>Valachy</w:t>
      </w:r>
      <w:proofErr w:type="spellEnd"/>
      <w:r w:rsidR="00EB136C">
        <w:rPr>
          <w:rFonts w:ascii="Times New Roman" w:hAnsi="Times New Roman"/>
          <w:bCs/>
          <w:sz w:val="24"/>
          <w:szCs w:val="24"/>
        </w:rPr>
        <w:t xml:space="preserve"> [5]</w:t>
      </w:r>
      <w:r w:rsidRPr="00FD08D2">
        <w:rPr>
          <w:rFonts w:ascii="Times New Roman" w:hAnsi="Times New Roman"/>
          <w:bCs/>
          <w:sz w:val="24"/>
          <w:szCs w:val="24"/>
        </w:rPr>
        <w:t>).</w:t>
      </w:r>
    </w:p>
    <w:p w:rsidR="002C40CA" w:rsidRDefault="00425F22"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 </w:t>
      </w:r>
      <w:r w:rsidR="00FE0782">
        <w:rPr>
          <w:rFonts w:ascii="Times New Roman" w:hAnsi="Times New Roman" w:cs="Times New Roman"/>
          <w:sz w:val="24"/>
          <w:szCs w:val="24"/>
        </w:rPr>
        <w:t>til</w:t>
      </w:r>
      <w:r>
        <w:rPr>
          <w:rFonts w:ascii="Times New Roman" w:hAnsi="Times New Roman" w:cs="Times New Roman"/>
          <w:sz w:val="24"/>
          <w:szCs w:val="24"/>
        </w:rPr>
        <w:t>l the</w:t>
      </w:r>
      <w:r w:rsidR="00FE0782">
        <w:rPr>
          <w:rFonts w:ascii="Times New Roman" w:hAnsi="Times New Roman" w:cs="Times New Roman"/>
          <w:sz w:val="24"/>
          <w:szCs w:val="24"/>
        </w:rPr>
        <w:t xml:space="preserve"> early nineties, </w:t>
      </w:r>
      <w:r w:rsidR="00FE0782" w:rsidRPr="00FE0782">
        <w:rPr>
          <w:rFonts w:ascii="Times New Roman" w:hAnsi="Times New Roman" w:cs="Times New Roman"/>
          <w:sz w:val="24"/>
          <w:szCs w:val="24"/>
        </w:rPr>
        <w:t xml:space="preserve">the consensus </w:t>
      </w:r>
      <w:r w:rsidR="00FE0782">
        <w:rPr>
          <w:rFonts w:ascii="Times New Roman" w:hAnsi="Times New Roman" w:cs="Times New Roman"/>
          <w:sz w:val="24"/>
          <w:szCs w:val="24"/>
        </w:rPr>
        <w:t xml:space="preserve">in the </w:t>
      </w:r>
      <w:r w:rsidR="0049186B">
        <w:rPr>
          <w:rFonts w:ascii="Times New Roman" w:hAnsi="Times New Roman" w:cs="Times New Roman"/>
          <w:sz w:val="24"/>
          <w:szCs w:val="24"/>
        </w:rPr>
        <w:t xml:space="preserve">currency </w:t>
      </w:r>
      <w:r w:rsidR="00CB1C8D">
        <w:rPr>
          <w:rFonts w:ascii="Times New Roman" w:hAnsi="Times New Roman" w:cs="Times New Roman"/>
          <w:sz w:val="24"/>
          <w:szCs w:val="24"/>
        </w:rPr>
        <w:t xml:space="preserve">market </w:t>
      </w:r>
      <w:r w:rsidR="00286633">
        <w:rPr>
          <w:rFonts w:ascii="Times New Roman" w:hAnsi="Times New Roman" w:cs="Times New Roman"/>
          <w:sz w:val="24"/>
          <w:szCs w:val="24"/>
        </w:rPr>
        <w:t>is</w:t>
      </w:r>
      <w:r w:rsidR="00FE0782" w:rsidRPr="00FE0782">
        <w:rPr>
          <w:rFonts w:ascii="Times New Roman" w:hAnsi="Times New Roman" w:cs="Times New Roman"/>
          <w:sz w:val="24"/>
          <w:szCs w:val="24"/>
        </w:rPr>
        <w:t xml:space="preserve"> that there is no</w:t>
      </w:r>
      <w:r w:rsidR="00FE0782">
        <w:rPr>
          <w:rFonts w:ascii="Times New Roman" w:hAnsi="Times New Roman" w:cs="Times New Roman"/>
          <w:sz w:val="24"/>
          <w:szCs w:val="24"/>
        </w:rPr>
        <w:t xml:space="preserve"> </w:t>
      </w:r>
      <w:r w:rsidR="00FE0782" w:rsidRPr="00FE0782">
        <w:rPr>
          <w:rFonts w:ascii="Times New Roman" w:hAnsi="Times New Roman" w:cs="Times New Roman"/>
          <w:sz w:val="24"/>
          <w:szCs w:val="24"/>
        </w:rPr>
        <w:t>asymmetric volatility</w:t>
      </w:r>
      <w:r w:rsidR="0049186B">
        <w:rPr>
          <w:rFonts w:ascii="Times New Roman" w:hAnsi="Times New Roman" w:cs="Times New Roman"/>
          <w:sz w:val="24"/>
          <w:szCs w:val="24"/>
        </w:rPr>
        <w:t xml:space="preserve"> in foreign exchange (FOREX, hereafter)</w:t>
      </w:r>
      <w:r w:rsidR="00FE0782">
        <w:rPr>
          <w:rFonts w:ascii="Times New Roman" w:hAnsi="Times New Roman" w:cs="Times New Roman"/>
          <w:sz w:val="24"/>
          <w:szCs w:val="24"/>
        </w:rPr>
        <w:t xml:space="preserve">. </w:t>
      </w:r>
      <w:proofErr w:type="spellStart"/>
      <w:r w:rsidR="00CB1C8D">
        <w:rPr>
          <w:rFonts w:ascii="Times New Roman" w:hAnsi="Times New Roman" w:cs="Times New Roman"/>
          <w:sz w:val="24"/>
          <w:szCs w:val="24"/>
        </w:rPr>
        <w:t>Bollerslev</w:t>
      </w:r>
      <w:proofErr w:type="spellEnd"/>
      <w:r w:rsidR="00CB1C8D">
        <w:rPr>
          <w:rFonts w:ascii="Times New Roman" w:hAnsi="Times New Roman" w:cs="Times New Roman"/>
          <w:sz w:val="24"/>
          <w:szCs w:val="24"/>
        </w:rPr>
        <w:t xml:space="preserve"> </w:t>
      </w:r>
      <w:r w:rsidR="005B6CF8">
        <w:rPr>
          <w:rFonts w:ascii="Times New Roman" w:hAnsi="Times New Roman" w:cs="Times New Roman"/>
          <w:i/>
          <w:sz w:val="24"/>
          <w:szCs w:val="24"/>
        </w:rPr>
        <w:t>et</w:t>
      </w:r>
      <w:r w:rsidR="00CB1C8D">
        <w:rPr>
          <w:rFonts w:ascii="Times New Roman" w:hAnsi="Times New Roman" w:cs="Times New Roman"/>
          <w:i/>
          <w:sz w:val="24"/>
          <w:szCs w:val="24"/>
        </w:rPr>
        <w:t xml:space="preserve"> al.</w:t>
      </w:r>
      <w:r w:rsidR="00FE0782">
        <w:rPr>
          <w:rFonts w:ascii="Times New Roman" w:hAnsi="Times New Roman" w:cs="Times New Roman"/>
          <w:sz w:val="24"/>
          <w:szCs w:val="24"/>
        </w:rPr>
        <w:t xml:space="preserve"> </w:t>
      </w:r>
      <w:r w:rsidR="00EB136C">
        <w:rPr>
          <w:rFonts w:ascii="Times New Roman" w:hAnsi="Times New Roman" w:cs="Times New Roman"/>
          <w:sz w:val="24"/>
          <w:szCs w:val="24"/>
        </w:rPr>
        <w:t>[6]</w:t>
      </w:r>
      <w:r>
        <w:rPr>
          <w:rFonts w:ascii="Times New Roman" w:hAnsi="Times New Roman" w:cs="Times New Roman"/>
          <w:sz w:val="24"/>
          <w:szCs w:val="24"/>
        </w:rPr>
        <w:t>, for instance,</w:t>
      </w:r>
      <w:r w:rsidR="00FE0782">
        <w:rPr>
          <w:rFonts w:ascii="Times New Roman" w:hAnsi="Times New Roman" w:cs="Times New Roman"/>
          <w:sz w:val="24"/>
          <w:szCs w:val="24"/>
        </w:rPr>
        <w:t xml:space="preserve"> wrote:</w:t>
      </w:r>
      <w:r w:rsidR="00FE0782" w:rsidRPr="00FE0782">
        <w:rPr>
          <w:rFonts w:ascii="Times New Roman" w:hAnsi="Times New Roman" w:cs="Times New Roman"/>
          <w:sz w:val="24"/>
          <w:szCs w:val="24"/>
        </w:rPr>
        <w:t xml:space="preserve"> “[W]</w:t>
      </w:r>
      <w:proofErr w:type="spellStart"/>
      <w:r w:rsidR="00FE0782" w:rsidRPr="00FE0782">
        <w:rPr>
          <w:rFonts w:ascii="Times New Roman" w:hAnsi="Times New Roman" w:cs="Times New Roman"/>
          <w:sz w:val="24"/>
          <w:szCs w:val="24"/>
        </w:rPr>
        <w:t>hereas</w:t>
      </w:r>
      <w:proofErr w:type="spellEnd"/>
      <w:r w:rsidR="00FE0782">
        <w:rPr>
          <w:rFonts w:ascii="Times New Roman" w:hAnsi="Times New Roman" w:cs="Times New Roman"/>
          <w:sz w:val="24"/>
          <w:szCs w:val="24"/>
        </w:rPr>
        <w:t xml:space="preserve"> </w:t>
      </w:r>
      <w:r w:rsidR="00FE0782" w:rsidRPr="00FE0782">
        <w:rPr>
          <w:rFonts w:ascii="Times New Roman" w:hAnsi="Times New Roman" w:cs="Times New Roman"/>
          <w:sz w:val="24"/>
          <w:szCs w:val="24"/>
        </w:rPr>
        <w:t>stock returns have been found to exhibit some degree of asymmetry in their conditional</w:t>
      </w:r>
      <w:r w:rsidR="00FE0782">
        <w:rPr>
          <w:rFonts w:ascii="Times New Roman" w:hAnsi="Times New Roman" w:cs="Times New Roman"/>
          <w:sz w:val="24"/>
          <w:szCs w:val="24"/>
        </w:rPr>
        <w:t xml:space="preserve"> </w:t>
      </w:r>
      <w:r w:rsidR="00FE0782" w:rsidRPr="00FE0782">
        <w:rPr>
          <w:rFonts w:ascii="Times New Roman" w:hAnsi="Times New Roman" w:cs="Times New Roman"/>
          <w:sz w:val="24"/>
          <w:szCs w:val="24"/>
        </w:rPr>
        <w:t>variances, the two-sided nature of the foreign exchange market makes such</w:t>
      </w:r>
      <w:r w:rsidR="00FE0782">
        <w:rPr>
          <w:rFonts w:ascii="Times New Roman" w:hAnsi="Times New Roman" w:cs="Times New Roman"/>
          <w:sz w:val="24"/>
          <w:szCs w:val="24"/>
        </w:rPr>
        <w:t xml:space="preserve"> </w:t>
      </w:r>
      <w:proofErr w:type="gramStart"/>
      <w:r w:rsidR="00FE0782" w:rsidRPr="00FE0782">
        <w:rPr>
          <w:rFonts w:ascii="Times New Roman" w:hAnsi="Times New Roman" w:cs="Times New Roman"/>
          <w:sz w:val="24"/>
          <w:szCs w:val="24"/>
        </w:rPr>
        <w:t>asymmetries</w:t>
      </w:r>
      <w:proofErr w:type="gramEnd"/>
      <w:r w:rsidR="00FE0782" w:rsidRPr="00FE0782">
        <w:rPr>
          <w:rFonts w:ascii="Times New Roman" w:hAnsi="Times New Roman" w:cs="Times New Roman"/>
          <w:sz w:val="24"/>
          <w:szCs w:val="24"/>
        </w:rPr>
        <w:t xml:space="preserve"> less likely.” </w:t>
      </w:r>
      <w:r>
        <w:rPr>
          <w:rFonts w:ascii="Times New Roman" w:hAnsi="Times New Roman" w:cs="Times New Roman"/>
          <w:sz w:val="24"/>
          <w:szCs w:val="24"/>
        </w:rPr>
        <w:t>Later, empirical evidences emerged to support the existence of asymm</w:t>
      </w:r>
      <w:r w:rsidR="00781CA9">
        <w:rPr>
          <w:rFonts w:ascii="Times New Roman" w:hAnsi="Times New Roman" w:cs="Times New Roman"/>
          <w:sz w:val="24"/>
          <w:szCs w:val="24"/>
        </w:rPr>
        <w:t xml:space="preserve">etric effect in </w:t>
      </w:r>
      <w:r w:rsidR="00574B9A">
        <w:rPr>
          <w:rFonts w:ascii="Times New Roman" w:hAnsi="Times New Roman" w:cs="Times New Roman"/>
          <w:sz w:val="24"/>
          <w:szCs w:val="24"/>
        </w:rPr>
        <w:t>same</w:t>
      </w:r>
      <w:r w:rsidR="00CF1235">
        <w:rPr>
          <w:rFonts w:ascii="Times New Roman" w:hAnsi="Times New Roman" w:cs="Times New Roman"/>
          <w:sz w:val="24"/>
          <w:szCs w:val="24"/>
        </w:rPr>
        <w:t xml:space="preserve">: </w:t>
      </w:r>
      <w:r w:rsidR="00CF1235" w:rsidRPr="00CF1235">
        <w:rPr>
          <w:rFonts w:ascii="Times New Roman" w:hAnsi="Times New Roman" w:cs="Times New Roman"/>
          <w:sz w:val="24"/>
          <w:szCs w:val="24"/>
        </w:rPr>
        <w:t xml:space="preserve">Byers and Peel </w:t>
      </w:r>
      <w:r w:rsidR="00EB136C">
        <w:rPr>
          <w:rFonts w:ascii="Times New Roman" w:hAnsi="Times New Roman" w:cs="Times New Roman"/>
          <w:sz w:val="24"/>
          <w:szCs w:val="24"/>
        </w:rPr>
        <w:t>[7]</w:t>
      </w:r>
      <w:r w:rsidR="00CF1235" w:rsidRPr="00CF1235">
        <w:rPr>
          <w:rFonts w:ascii="Times New Roman" w:hAnsi="Times New Roman" w:cs="Times New Roman"/>
          <w:sz w:val="24"/>
          <w:szCs w:val="24"/>
        </w:rPr>
        <w:t xml:space="preserve"> document</w:t>
      </w:r>
      <w:r w:rsidR="00CF1235">
        <w:rPr>
          <w:rFonts w:ascii="Times New Roman" w:hAnsi="Times New Roman" w:cs="Times New Roman"/>
          <w:sz w:val="24"/>
          <w:szCs w:val="24"/>
        </w:rPr>
        <w:t>ed evidence of</w:t>
      </w:r>
      <w:r w:rsidR="00CF1235" w:rsidRPr="00CF1235">
        <w:rPr>
          <w:rFonts w:ascii="Times New Roman" w:hAnsi="Times New Roman" w:cs="Times New Roman"/>
          <w:sz w:val="24"/>
          <w:szCs w:val="24"/>
        </w:rPr>
        <w:t xml:space="preserve"> asymmetric volatility in European exchange rates</w:t>
      </w:r>
      <w:r w:rsidR="00CF1235">
        <w:rPr>
          <w:rFonts w:ascii="Times New Roman" w:hAnsi="Times New Roman" w:cs="Times New Roman"/>
          <w:sz w:val="24"/>
          <w:szCs w:val="24"/>
        </w:rPr>
        <w:t xml:space="preserve"> </w:t>
      </w:r>
      <w:r w:rsidR="00CF1235" w:rsidRPr="00CF1235">
        <w:rPr>
          <w:rFonts w:ascii="Times New Roman" w:hAnsi="Times New Roman" w:cs="Times New Roman"/>
          <w:sz w:val="24"/>
          <w:szCs w:val="24"/>
        </w:rPr>
        <w:t>during 1922-1925</w:t>
      </w:r>
      <w:r w:rsidR="00CF1235">
        <w:rPr>
          <w:rFonts w:ascii="Times New Roman" w:hAnsi="Times New Roman" w:cs="Times New Roman"/>
          <w:sz w:val="24"/>
          <w:szCs w:val="24"/>
        </w:rPr>
        <w:t>,</w:t>
      </w:r>
      <w:r w:rsidR="00CF1235" w:rsidRPr="00CF1235">
        <w:rPr>
          <w:rFonts w:ascii="Times New Roman" w:hAnsi="Times New Roman" w:cs="Times New Roman"/>
          <w:sz w:val="24"/>
          <w:szCs w:val="24"/>
        </w:rPr>
        <w:t xml:space="preserve"> </w:t>
      </w:r>
      <w:proofErr w:type="spellStart"/>
      <w:r w:rsidR="00CF1235" w:rsidRPr="00CF1235">
        <w:rPr>
          <w:rFonts w:ascii="Times New Roman" w:hAnsi="Times New Roman" w:cs="Times New Roman"/>
          <w:sz w:val="24"/>
          <w:szCs w:val="24"/>
        </w:rPr>
        <w:t>Tse</w:t>
      </w:r>
      <w:proofErr w:type="spellEnd"/>
      <w:r w:rsidR="00CF1235" w:rsidRPr="00CF1235">
        <w:rPr>
          <w:rFonts w:ascii="Times New Roman" w:hAnsi="Times New Roman" w:cs="Times New Roman"/>
          <w:sz w:val="24"/>
          <w:szCs w:val="24"/>
        </w:rPr>
        <w:t xml:space="preserve"> and</w:t>
      </w:r>
      <w:r w:rsidR="00CF1235">
        <w:rPr>
          <w:rFonts w:ascii="Times New Roman" w:hAnsi="Times New Roman" w:cs="Times New Roman"/>
          <w:sz w:val="24"/>
          <w:szCs w:val="24"/>
        </w:rPr>
        <w:t xml:space="preserve"> </w:t>
      </w:r>
      <w:proofErr w:type="spellStart"/>
      <w:r w:rsidR="00CF1235">
        <w:rPr>
          <w:rFonts w:ascii="Times New Roman" w:hAnsi="Times New Roman" w:cs="Times New Roman"/>
          <w:sz w:val="24"/>
          <w:szCs w:val="24"/>
        </w:rPr>
        <w:t>Tsui</w:t>
      </w:r>
      <w:proofErr w:type="spellEnd"/>
      <w:r w:rsidR="00CF1235" w:rsidRPr="00CF1235">
        <w:rPr>
          <w:rFonts w:ascii="Times New Roman" w:hAnsi="Times New Roman" w:cs="Times New Roman"/>
          <w:sz w:val="24"/>
          <w:szCs w:val="24"/>
        </w:rPr>
        <w:t xml:space="preserve"> </w:t>
      </w:r>
      <w:r w:rsidR="00EB136C">
        <w:rPr>
          <w:rFonts w:ascii="Times New Roman" w:hAnsi="Times New Roman" w:cs="Times New Roman"/>
          <w:sz w:val="24"/>
          <w:szCs w:val="24"/>
        </w:rPr>
        <w:t>[8]</w:t>
      </w:r>
      <w:r w:rsidR="00CF1235">
        <w:rPr>
          <w:rFonts w:ascii="Times New Roman" w:hAnsi="Times New Roman" w:cs="Times New Roman"/>
          <w:sz w:val="24"/>
          <w:szCs w:val="24"/>
        </w:rPr>
        <w:t xml:space="preserve"> in Malaysian ringgit</w:t>
      </w:r>
      <w:r w:rsidR="00CF1235" w:rsidRPr="00CF1235">
        <w:rPr>
          <w:rFonts w:ascii="Times New Roman" w:hAnsi="Times New Roman" w:cs="Times New Roman"/>
          <w:sz w:val="24"/>
          <w:szCs w:val="24"/>
        </w:rPr>
        <w:t xml:space="preserve">, </w:t>
      </w:r>
      <w:r w:rsidR="00CF1235">
        <w:rPr>
          <w:rFonts w:ascii="Times New Roman" w:hAnsi="Times New Roman" w:cs="Times New Roman"/>
          <w:sz w:val="24"/>
          <w:szCs w:val="24"/>
        </w:rPr>
        <w:t xml:space="preserve">McKenzie </w:t>
      </w:r>
      <w:r w:rsidR="00EB136C">
        <w:rPr>
          <w:rFonts w:ascii="Times New Roman" w:hAnsi="Times New Roman" w:cs="Times New Roman"/>
          <w:sz w:val="24"/>
          <w:szCs w:val="24"/>
        </w:rPr>
        <w:t>[9]</w:t>
      </w:r>
      <w:r w:rsidR="00CF1235">
        <w:rPr>
          <w:rFonts w:ascii="Times New Roman" w:hAnsi="Times New Roman" w:cs="Times New Roman"/>
          <w:sz w:val="24"/>
          <w:szCs w:val="24"/>
        </w:rPr>
        <w:t xml:space="preserve"> in Australian dollar</w:t>
      </w:r>
      <w:r w:rsidR="00CF1235" w:rsidRPr="00CF1235">
        <w:rPr>
          <w:rFonts w:ascii="Times New Roman" w:hAnsi="Times New Roman" w:cs="Times New Roman"/>
          <w:sz w:val="24"/>
          <w:szCs w:val="24"/>
        </w:rPr>
        <w:t xml:space="preserve">, and </w:t>
      </w:r>
      <w:r w:rsidR="00EB136C">
        <w:rPr>
          <w:rFonts w:ascii="Times New Roman" w:hAnsi="Times New Roman" w:cs="Times New Roman"/>
          <w:sz w:val="24"/>
          <w:szCs w:val="24"/>
        </w:rPr>
        <w:t>Adler and Qi [10]</w:t>
      </w:r>
      <w:r w:rsidR="00CF1235">
        <w:rPr>
          <w:rFonts w:ascii="Times New Roman" w:hAnsi="Times New Roman" w:cs="Times New Roman"/>
          <w:sz w:val="24"/>
          <w:szCs w:val="24"/>
        </w:rPr>
        <w:t xml:space="preserve"> in Mexi</w:t>
      </w:r>
      <w:r w:rsidR="00AE0872">
        <w:rPr>
          <w:rFonts w:ascii="Times New Roman" w:hAnsi="Times New Roman" w:cs="Times New Roman"/>
          <w:sz w:val="24"/>
          <w:szCs w:val="24"/>
        </w:rPr>
        <w:t>c</w:t>
      </w:r>
      <w:r w:rsidR="00CF1235">
        <w:rPr>
          <w:rFonts w:ascii="Times New Roman" w:hAnsi="Times New Roman" w:cs="Times New Roman"/>
          <w:sz w:val="24"/>
          <w:szCs w:val="24"/>
        </w:rPr>
        <w:t>an peso</w:t>
      </w:r>
      <w:r w:rsidR="00CF1235" w:rsidRPr="00CF1235">
        <w:rPr>
          <w:rFonts w:ascii="Times New Roman" w:hAnsi="Times New Roman" w:cs="Times New Roman"/>
          <w:sz w:val="24"/>
          <w:szCs w:val="24"/>
        </w:rPr>
        <w:t xml:space="preserve">, </w:t>
      </w:r>
      <w:r w:rsidR="00CF1235">
        <w:rPr>
          <w:rFonts w:ascii="Times New Roman" w:hAnsi="Times New Roman" w:cs="Times New Roman"/>
          <w:sz w:val="24"/>
          <w:szCs w:val="24"/>
        </w:rPr>
        <w:t xml:space="preserve">all against US dollar. </w:t>
      </w:r>
    </w:p>
    <w:p w:rsidR="008B3497" w:rsidRDefault="00007EA6"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BF526F">
        <w:rPr>
          <w:rFonts w:ascii="Times New Roman" w:hAnsi="Times New Roman" w:cs="Times New Roman"/>
          <w:sz w:val="24"/>
          <w:szCs w:val="24"/>
        </w:rPr>
        <w:t>tudies</w:t>
      </w:r>
      <w:r w:rsidR="00CB1C8D">
        <w:rPr>
          <w:rFonts w:ascii="Times New Roman" w:hAnsi="Times New Roman" w:cs="Times New Roman"/>
          <w:sz w:val="24"/>
          <w:szCs w:val="24"/>
        </w:rPr>
        <w:t xml:space="preserve"> on asymmetric volatility</w:t>
      </w:r>
      <w:r w:rsidR="007A391F" w:rsidRPr="00B71A9F">
        <w:rPr>
          <w:rFonts w:ascii="Times New Roman" w:hAnsi="Times New Roman" w:cs="Times New Roman"/>
          <w:sz w:val="24"/>
          <w:szCs w:val="24"/>
        </w:rPr>
        <w:t xml:space="preserve"> ha</w:t>
      </w:r>
      <w:r w:rsidR="00BF526F">
        <w:rPr>
          <w:rFonts w:ascii="Times New Roman" w:hAnsi="Times New Roman" w:cs="Times New Roman"/>
          <w:sz w:val="24"/>
          <w:szCs w:val="24"/>
        </w:rPr>
        <w:t>ve</w:t>
      </w:r>
      <w:r w:rsidR="007A391F" w:rsidRPr="00B71A9F">
        <w:rPr>
          <w:rFonts w:ascii="Times New Roman" w:hAnsi="Times New Roman" w:cs="Times New Roman"/>
          <w:sz w:val="24"/>
          <w:szCs w:val="24"/>
        </w:rPr>
        <w:t xml:space="preserve"> b</w:t>
      </w:r>
      <w:r w:rsidR="007A391F">
        <w:rPr>
          <w:rFonts w:ascii="Times New Roman" w:hAnsi="Times New Roman" w:cs="Times New Roman"/>
          <w:sz w:val="24"/>
          <w:szCs w:val="24"/>
        </w:rPr>
        <w:t>een limited to the stock market</w:t>
      </w:r>
      <w:r w:rsidR="007A391F" w:rsidRPr="00B71A9F">
        <w:rPr>
          <w:rFonts w:ascii="Times New Roman" w:hAnsi="Times New Roman" w:cs="Times New Roman"/>
          <w:sz w:val="24"/>
          <w:szCs w:val="24"/>
        </w:rPr>
        <w:t xml:space="preserve">. </w:t>
      </w:r>
      <w:r w:rsidR="00BF526F">
        <w:rPr>
          <w:rFonts w:ascii="Times New Roman" w:hAnsi="Times New Roman" w:cs="Times New Roman"/>
          <w:sz w:val="24"/>
          <w:szCs w:val="24"/>
        </w:rPr>
        <w:t>In general, empirical studies</w:t>
      </w:r>
      <w:r w:rsidR="007A391F">
        <w:rPr>
          <w:rFonts w:ascii="Times New Roman" w:hAnsi="Times New Roman" w:cs="Times New Roman"/>
          <w:sz w:val="24"/>
          <w:szCs w:val="24"/>
        </w:rPr>
        <w:t xml:space="preserve"> </w:t>
      </w:r>
      <w:r w:rsidR="007A391F" w:rsidRPr="00B71A9F">
        <w:rPr>
          <w:rFonts w:ascii="Times New Roman" w:hAnsi="Times New Roman" w:cs="Times New Roman"/>
          <w:sz w:val="24"/>
          <w:szCs w:val="24"/>
        </w:rPr>
        <w:t xml:space="preserve">on </w:t>
      </w:r>
      <w:r w:rsidR="007A391F">
        <w:rPr>
          <w:rFonts w:ascii="Times New Roman" w:hAnsi="Times New Roman" w:cs="Times New Roman"/>
          <w:sz w:val="24"/>
          <w:szCs w:val="24"/>
        </w:rPr>
        <w:t xml:space="preserve">asymmetric behavior for </w:t>
      </w:r>
      <w:r w:rsidR="008B3497">
        <w:rPr>
          <w:rFonts w:ascii="Times New Roman" w:hAnsi="Times New Roman" w:cs="Times New Roman"/>
          <w:sz w:val="24"/>
          <w:szCs w:val="24"/>
        </w:rPr>
        <w:t>FOREX</w:t>
      </w:r>
      <w:r w:rsidR="00BF526F">
        <w:rPr>
          <w:rFonts w:ascii="Times New Roman" w:hAnsi="Times New Roman" w:cs="Times New Roman"/>
          <w:sz w:val="24"/>
          <w:szCs w:val="24"/>
        </w:rPr>
        <w:t xml:space="preserve"> market are</w:t>
      </w:r>
      <w:r w:rsidR="007A391F">
        <w:rPr>
          <w:rFonts w:ascii="Times New Roman" w:hAnsi="Times New Roman" w:cs="Times New Roman"/>
          <w:sz w:val="24"/>
          <w:szCs w:val="24"/>
        </w:rPr>
        <w:t xml:space="preserve"> relatively</w:t>
      </w:r>
      <w:r w:rsidR="008B3497">
        <w:rPr>
          <w:rFonts w:ascii="Times New Roman" w:hAnsi="Times New Roman" w:cs="Times New Roman"/>
          <w:sz w:val="24"/>
          <w:szCs w:val="24"/>
        </w:rPr>
        <w:t xml:space="preserve"> few</w:t>
      </w:r>
      <w:r w:rsidR="00BF526F">
        <w:rPr>
          <w:rFonts w:ascii="Times New Roman" w:hAnsi="Times New Roman" w:cs="Times New Roman"/>
          <w:sz w:val="24"/>
          <w:szCs w:val="24"/>
        </w:rPr>
        <w:t>. For African cur</w:t>
      </w:r>
      <w:r w:rsidR="008B3497">
        <w:rPr>
          <w:rFonts w:ascii="Times New Roman" w:hAnsi="Times New Roman" w:cs="Times New Roman"/>
          <w:sz w:val="24"/>
          <w:szCs w:val="24"/>
        </w:rPr>
        <w:t>re</w:t>
      </w:r>
      <w:r w:rsidR="00D91D1C">
        <w:rPr>
          <w:rFonts w:ascii="Times New Roman" w:hAnsi="Times New Roman" w:cs="Times New Roman"/>
          <w:sz w:val="24"/>
          <w:szCs w:val="24"/>
        </w:rPr>
        <w:t>ncy market, they are very few</w:t>
      </w:r>
      <w:r w:rsidR="008B3497">
        <w:rPr>
          <w:rFonts w:ascii="Times New Roman" w:hAnsi="Times New Roman" w:cs="Times New Roman"/>
          <w:sz w:val="24"/>
          <w:szCs w:val="24"/>
        </w:rPr>
        <w:t>.</w:t>
      </w:r>
      <w:r w:rsidR="0059078F">
        <w:rPr>
          <w:rFonts w:ascii="Times New Roman" w:hAnsi="Times New Roman" w:cs="Times New Roman"/>
          <w:sz w:val="24"/>
          <w:szCs w:val="24"/>
        </w:rPr>
        <w:t xml:space="preserve"> </w:t>
      </w:r>
      <w:r w:rsidR="008B3497">
        <w:rPr>
          <w:rFonts w:ascii="Times New Roman" w:hAnsi="Times New Roman" w:cs="Times New Roman"/>
          <w:sz w:val="24"/>
          <w:szCs w:val="24"/>
        </w:rPr>
        <w:t xml:space="preserve">Moreover, the very few existing ones </w:t>
      </w:r>
      <w:r w:rsidR="0059078F">
        <w:rPr>
          <w:rFonts w:ascii="Times New Roman" w:hAnsi="Times New Roman" w:cs="Times New Roman"/>
          <w:sz w:val="24"/>
          <w:szCs w:val="24"/>
        </w:rPr>
        <w:t xml:space="preserve">did not capture the asymmetries which may exist in </w:t>
      </w:r>
      <w:r w:rsidR="00C3615D">
        <w:rPr>
          <w:rFonts w:ascii="Times New Roman" w:hAnsi="Times New Roman" w:cs="Times New Roman"/>
          <w:sz w:val="24"/>
          <w:szCs w:val="24"/>
        </w:rPr>
        <w:t xml:space="preserve">the conditional </w:t>
      </w:r>
      <w:r w:rsidR="0059078F">
        <w:rPr>
          <w:rFonts w:ascii="Times New Roman" w:hAnsi="Times New Roman" w:cs="Times New Roman"/>
          <w:sz w:val="24"/>
          <w:szCs w:val="24"/>
        </w:rPr>
        <w:t>v</w:t>
      </w:r>
      <w:r w:rsidR="00C3615D">
        <w:rPr>
          <w:rFonts w:ascii="Times New Roman" w:hAnsi="Times New Roman" w:cs="Times New Roman"/>
          <w:sz w:val="24"/>
          <w:szCs w:val="24"/>
        </w:rPr>
        <w:t>olatility</w:t>
      </w:r>
      <w:r w:rsidR="0059078F">
        <w:rPr>
          <w:rFonts w:ascii="Times New Roman" w:hAnsi="Times New Roman" w:cs="Times New Roman"/>
          <w:sz w:val="24"/>
          <w:szCs w:val="24"/>
        </w:rPr>
        <w:t>, notable exceptions being</w:t>
      </w:r>
      <w:r w:rsidR="0059078F" w:rsidRPr="005D3D91">
        <w:rPr>
          <w:rFonts w:ascii="Times New Roman" w:hAnsi="Times New Roman" w:cs="Times New Roman"/>
          <w:sz w:val="24"/>
          <w:szCs w:val="24"/>
        </w:rPr>
        <w:t xml:space="preserve"> </w:t>
      </w:r>
      <w:proofErr w:type="spellStart"/>
      <w:r w:rsidR="00EB136C">
        <w:rPr>
          <w:rFonts w:ascii="Times New Roman" w:hAnsi="Times New Roman" w:cs="Times New Roman"/>
          <w:sz w:val="24"/>
          <w:szCs w:val="24"/>
        </w:rPr>
        <w:t>Olowe</w:t>
      </w:r>
      <w:proofErr w:type="spellEnd"/>
      <w:r w:rsidR="00EB136C">
        <w:rPr>
          <w:rFonts w:ascii="Times New Roman" w:hAnsi="Times New Roman" w:cs="Times New Roman"/>
          <w:sz w:val="24"/>
          <w:szCs w:val="24"/>
        </w:rPr>
        <w:t xml:space="preserve"> [</w:t>
      </w:r>
      <w:r w:rsidR="00005DAF">
        <w:rPr>
          <w:rFonts w:ascii="Times New Roman" w:hAnsi="Times New Roman" w:cs="Times New Roman"/>
          <w:sz w:val="24"/>
          <w:szCs w:val="24"/>
        </w:rPr>
        <w:t xml:space="preserve">11), </w:t>
      </w:r>
      <w:proofErr w:type="spellStart"/>
      <w:r w:rsidR="009A02DC" w:rsidRPr="009A02DC">
        <w:rPr>
          <w:rFonts w:ascii="Times New Roman" w:hAnsi="Times New Roman" w:cs="Times New Roman"/>
          <w:sz w:val="24"/>
          <w:szCs w:val="24"/>
        </w:rPr>
        <w:t>Bouoiyour</w:t>
      </w:r>
      <w:proofErr w:type="spellEnd"/>
      <w:r w:rsidR="009A02DC">
        <w:rPr>
          <w:rFonts w:ascii="Times New Roman" w:hAnsi="Times New Roman" w:cs="Times New Roman"/>
          <w:sz w:val="24"/>
          <w:szCs w:val="24"/>
        </w:rPr>
        <w:t xml:space="preserve"> and </w:t>
      </w:r>
      <w:proofErr w:type="spellStart"/>
      <w:r w:rsidR="009A02DC" w:rsidRPr="009A02DC">
        <w:rPr>
          <w:rFonts w:ascii="Times New Roman" w:hAnsi="Times New Roman" w:cs="Times New Roman"/>
          <w:sz w:val="24"/>
          <w:szCs w:val="24"/>
        </w:rPr>
        <w:t>Selmi</w:t>
      </w:r>
      <w:proofErr w:type="spellEnd"/>
      <w:r w:rsidR="00EB136C">
        <w:rPr>
          <w:rFonts w:ascii="Times New Roman" w:hAnsi="Times New Roman" w:cs="Times New Roman"/>
          <w:sz w:val="24"/>
          <w:szCs w:val="24"/>
        </w:rPr>
        <w:t xml:space="preserve"> [</w:t>
      </w:r>
      <w:r w:rsidR="009A02DC">
        <w:rPr>
          <w:rFonts w:ascii="Times New Roman" w:hAnsi="Times New Roman" w:cs="Times New Roman"/>
          <w:sz w:val="24"/>
          <w:szCs w:val="24"/>
        </w:rPr>
        <w:t>12</w:t>
      </w:r>
      <w:r w:rsidR="00EB136C">
        <w:rPr>
          <w:rFonts w:ascii="Times New Roman" w:hAnsi="Times New Roman" w:cs="Times New Roman"/>
          <w:sz w:val="24"/>
          <w:szCs w:val="24"/>
        </w:rPr>
        <w:t>]</w:t>
      </w:r>
      <w:r w:rsidR="00005DAF">
        <w:rPr>
          <w:rFonts w:ascii="Times New Roman" w:hAnsi="Times New Roman" w:cs="Times New Roman"/>
          <w:sz w:val="24"/>
          <w:szCs w:val="24"/>
        </w:rPr>
        <w:t xml:space="preserve"> and </w:t>
      </w:r>
      <w:proofErr w:type="spellStart"/>
      <w:r w:rsidR="00005DAF">
        <w:rPr>
          <w:rFonts w:ascii="Times New Roman" w:hAnsi="Times New Roman" w:cs="Times New Roman"/>
          <w:sz w:val="24"/>
          <w:szCs w:val="24"/>
        </w:rPr>
        <w:t>Okyere</w:t>
      </w:r>
      <w:proofErr w:type="spellEnd"/>
      <w:r w:rsidR="00005DAF">
        <w:rPr>
          <w:rFonts w:ascii="Times New Roman" w:hAnsi="Times New Roman" w:cs="Times New Roman"/>
          <w:sz w:val="24"/>
          <w:szCs w:val="24"/>
        </w:rPr>
        <w:t xml:space="preserve"> </w:t>
      </w:r>
      <w:proofErr w:type="gramStart"/>
      <w:r w:rsidR="00005DAF">
        <w:rPr>
          <w:rFonts w:ascii="Times New Roman" w:hAnsi="Times New Roman" w:cs="Times New Roman"/>
          <w:i/>
          <w:sz w:val="24"/>
          <w:szCs w:val="24"/>
        </w:rPr>
        <w:t>et</w:t>
      </w:r>
      <w:proofErr w:type="gramEnd"/>
      <w:r w:rsidR="00005DAF">
        <w:rPr>
          <w:rFonts w:ascii="Times New Roman" w:hAnsi="Times New Roman" w:cs="Times New Roman"/>
          <w:i/>
          <w:sz w:val="24"/>
          <w:szCs w:val="24"/>
        </w:rPr>
        <w:t xml:space="preserve">. </w:t>
      </w:r>
      <w:proofErr w:type="gramStart"/>
      <w:r w:rsidR="00005DAF">
        <w:rPr>
          <w:rFonts w:ascii="Times New Roman" w:hAnsi="Times New Roman" w:cs="Times New Roman"/>
          <w:i/>
          <w:sz w:val="24"/>
          <w:szCs w:val="24"/>
        </w:rPr>
        <w:t xml:space="preserve">al. </w:t>
      </w:r>
      <w:r w:rsidR="00EB136C">
        <w:rPr>
          <w:rFonts w:ascii="Times New Roman" w:hAnsi="Times New Roman" w:cs="Times New Roman"/>
          <w:sz w:val="24"/>
          <w:szCs w:val="24"/>
        </w:rPr>
        <w:t>[</w:t>
      </w:r>
      <w:r w:rsidR="00005DAF">
        <w:rPr>
          <w:rFonts w:ascii="Times New Roman" w:hAnsi="Times New Roman" w:cs="Times New Roman"/>
          <w:sz w:val="24"/>
          <w:szCs w:val="24"/>
        </w:rPr>
        <w:t>13</w:t>
      </w:r>
      <w:r w:rsidR="00EB136C">
        <w:rPr>
          <w:rFonts w:ascii="Times New Roman" w:hAnsi="Times New Roman" w:cs="Times New Roman"/>
          <w:sz w:val="24"/>
          <w:szCs w:val="24"/>
        </w:rPr>
        <w:t>]</w:t>
      </w:r>
      <w:r w:rsidR="00005DAF">
        <w:rPr>
          <w:rFonts w:ascii="Times New Roman" w:hAnsi="Times New Roman" w:cs="Times New Roman"/>
          <w:sz w:val="24"/>
          <w:szCs w:val="24"/>
        </w:rPr>
        <w:t>.</w:t>
      </w:r>
      <w:proofErr w:type="gramEnd"/>
    </w:p>
    <w:p w:rsidR="00DA4F29" w:rsidRPr="009B5A79" w:rsidRDefault="00D91D1C"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Furth</w:t>
      </w:r>
      <w:r w:rsidR="009B73EB">
        <w:rPr>
          <w:rFonts w:ascii="Times New Roman" w:hAnsi="Times New Roman" w:cs="Times New Roman"/>
          <w:sz w:val="24"/>
          <w:szCs w:val="24"/>
        </w:rPr>
        <w:t>er, r</w:t>
      </w:r>
      <w:r w:rsidR="008B3497">
        <w:rPr>
          <w:rFonts w:ascii="Times New Roman" w:hAnsi="Times New Roman" w:cs="Times New Roman"/>
          <w:sz w:val="24"/>
          <w:szCs w:val="24"/>
        </w:rPr>
        <w:t>esult on</w:t>
      </w:r>
      <w:r w:rsidR="00005DAF">
        <w:rPr>
          <w:rFonts w:ascii="Times New Roman" w:hAnsi="Times New Roman" w:cs="Times New Roman"/>
          <w:sz w:val="24"/>
          <w:szCs w:val="24"/>
        </w:rPr>
        <w:t xml:space="preserve"> asymmetric volatility</w:t>
      </w:r>
      <w:r w:rsidR="008B3497" w:rsidRPr="008B3497">
        <w:rPr>
          <w:rFonts w:ascii="Times New Roman" w:hAnsi="Times New Roman" w:cs="Times New Roman"/>
          <w:sz w:val="24"/>
          <w:szCs w:val="24"/>
        </w:rPr>
        <w:t xml:space="preserve"> </w:t>
      </w:r>
      <w:r w:rsidR="008B3497">
        <w:rPr>
          <w:rFonts w:ascii="Times New Roman" w:hAnsi="Times New Roman" w:cs="Times New Roman"/>
          <w:sz w:val="24"/>
          <w:szCs w:val="24"/>
        </w:rPr>
        <w:t xml:space="preserve">in African FOREX market </w:t>
      </w:r>
      <w:r w:rsidR="008B3497" w:rsidRPr="008B3497">
        <w:rPr>
          <w:rFonts w:ascii="Times New Roman" w:hAnsi="Times New Roman" w:cs="Times New Roman"/>
          <w:sz w:val="24"/>
          <w:szCs w:val="24"/>
        </w:rPr>
        <w:t>is at best</w:t>
      </w:r>
      <w:r w:rsidR="008B3497">
        <w:rPr>
          <w:rFonts w:ascii="Times New Roman" w:hAnsi="Times New Roman" w:cs="Times New Roman"/>
          <w:sz w:val="24"/>
          <w:szCs w:val="24"/>
        </w:rPr>
        <w:t xml:space="preserve"> </w:t>
      </w:r>
      <w:r w:rsidR="008B3497" w:rsidRPr="008B3497">
        <w:rPr>
          <w:rFonts w:ascii="Times New Roman" w:hAnsi="Times New Roman" w:cs="Times New Roman"/>
          <w:sz w:val="24"/>
          <w:szCs w:val="24"/>
        </w:rPr>
        <w:t>mixed</w:t>
      </w:r>
      <w:r w:rsidR="00EB136C">
        <w:rPr>
          <w:rFonts w:ascii="Times New Roman" w:hAnsi="Times New Roman" w:cs="Times New Roman"/>
          <w:sz w:val="24"/>
          <w:szCs w:val="24"/>
        </w:rPr>
        <w:t xml:space="preserve">: While </w:t>
      </w:r>
      <w:proofErr w:type="spellStart"/>
      <w:r w:rsidR="00EB136C">
        <w:rPr>
          <w:rFonts w:ascii="Times New Roman" w:hAnsi="Times New Roman" w:cs="Times New Roman"/>
          <w:sz w:val="24"/>
          <w:szCs w:val="24"/>
        </w:rPr>
        <w:t>Olowe</w:t>
      </w:r>
      <w:proofErr w:type="spellEnd"/>
      <w:r w:rsidR="00EB136C">
        <w:rPr>
          <w:rFonts w:ascii="Times New Roman" w:hAnsi="Times New Roman" w:cs="Times New Roman"/>
          <w:sz w:val="24"/>
          <w:szCs w:val="24"/>
        </w:rPr>
        <w:t xml:space="preserve"> [</w:t>
      </w:r>
      <w:r w:rsidR="008B3497">
        <w:rPr>
          <w:rFonts w:ascii="Times New Roman" w:hAnsi="Times New Roman" w:cs="Times New Roman"/>
          <w:sz w:val="24"/>
          <w:szCs w:val="24"/>
        </w:rPr>
        <w:t>11</w:t>
      </w:r>
      <w:r w:rsidR="00EB136C">
        <w:rPr>
          <w:rFonts w:ascii="Times New Roman" w:hAnsi="Times New Roman" w:cs="Times New Roman"/>
          <w:sz w:val="24"/>
          <w:szCs w:val="24"/>
        </w:rPr>
        <w:t>]</w:t>
      </w:r>
      <w:r w:rsidR="008B3497">
        <w:rPr>
          <w:rFonts w:ascii="Times New Roman" w:hAnsi="Times New Roman" w:cs="Times New Roman"/>
          <w:sz w:val="24"/>
          <w:szCs w:val="24"/>
        </w:rPr>
        <w:t xml:space="preserve"> reported “no asymmetric volatility” in the Nigerian foreign exchange market, </w:t>
      </w:r>
      <w:proofErr w:type="spellStart"/>
      <w:r w:rsidR="009A02DC" w:rsidRPr="009A02DC">
        <w:rPr>
          <w:rFonts w:ascii="Times New Roman" w:hAnsi="Times New Roman" w:cs="Times New Roman"/>
          <w:sz w:val="24"/>
          <w:szCs w:val="24"/>
        </w:rPr>
        <w:t>Bouoiyour</w:t>
      </w:r>
      <w:proofErr w:type="spellEnd"/>
      <w:r w:rsidR="009A02DC">
        <w:rPr>
          <w:rFonts w:ascii="Times New Roman" w:hAnsi="Times New Roman" w:cs="Times New Roman"/>
          <w:sz w:val="24"/>
          <w:szCs w:val="24"/>
        </w:rPr>
        <w:t xml:space="preserve"> and </w:t>
      </w:r>
      <w:proofErr w:type="spellStart"/>
      <w:r w:rsidR="009A02DC" w:rsidRPr="009A02DC">
        <w:rPr>
          <w:rFonts w:ascii="Times New Roman" w:hAnsi="Times New Roman" w:cs="Times New Roman"/>
          <w:sz w:val="24"/>
          <w:szCs w:val="24"/>
        </w:rPr>
        <w:t>Selmi</w:t>
      </w:r>
      <w:proofErr w:type="spellEnd"/>
      <w:r w:rsidR="00EB136C">
        <w:rPr>
          <w:rFonts w:ascii="Times New Roman" w:hAnsi="Times New Roman" w:cs="Times New Roman"/>
          <w:sz w:val="24"/>
          <w:szCs w:val="24"/>
        </w:rPr>
        <w:t xml:space="preserve"> [</w:t>
      </w:r>
      <w:r w:rsidR="009A02DC">
        <w:rPr>
          <w:rFonts w:ascii="Times New Roman" w:hAnsi="Times New Roman" w:cs="Times New Roman"/>
          <w:sz w:val="24"/>
          <w:szCs w:val="24"/>
        </w:rPr>
        <w:t>12</w:t>
      </w:r>
      <w:r w:rsidR="00EB136C">
        <w:rPr>
          <w:rFonts w:ascii="Times New Roman" w:hAnsi="Times New Roman" w:cs="Times New Roman"/>
          <w:sz w:val="24"/>
          <w:szCs w:val="24"/>
        </w:rPr>
        <w:t>]</w:t>
      </w:r>
      <w:r w:rsidR="009A02DC">
        <w:rPr>
          <w:rFonts w:ascii="Times New Roman" w:hAnsi="Times New Roman" w:cs="Times New Roman"/>
          <w:sz w:val="24"/>
          <w:szCs w:val="24"/>
        </w:rPr>
        <w:t xml:space="preserve"> </w:t>
      </w:r>
      <w:r w:rsidR="00AE6DC4">
        <w:rPr>
          <w:rFonts w:ascii="Times New Roman" w:hAnsi="Times New Roman" w:cs="Times New Roman"/>
          <w:sz w:val="24"/>
          <w:szCs w:val="24"/>
        </w:rPr>
        <w:t xml:space="preserve">and </w:t>
      </w:r>
      <w:proofErr w:type="spellStart"/>
      <w:r w:rsidR="00AE6DC4">
        <w:rPr>
          <w:rFonts w:ascii="Times New Roman" w:hAnsi="Times New Roman" w:cs="Times New Roman"/>
          <w:sz w:val="24"/>
          <w:szCs w:val="24"/>
        </w:rPr>
        <w:t>Okyere</w:t>
      </w:r>
      <w:proofErr w:type="spellEnd"/>
      <w:r w:rsidR="00AE6DC4">
        <w:rPr>
          <w:rFonts w:ascii="Times New Roman" w:hAnsi="Times New Roman" w:cs="Times New Roman"/>
          <w:sz w:val="24"/>
          <w:szCs w:val="24"/>
        </w:rPr>
        <w:t xml:space="preserve"> </w:t>
      </w:r>
      <w:proofErr w:type="gramStart"/>
      <w:r w:rsidR="00AE6DC4">
        <w:rPr>
          <w:rFonts w:ascii="Times New Roman" w:hAnsi="Times New Roman" w:cs="Times New Roman"/>
          <w:i/>
          <w:sz w:val="24"/>
          <w:szCs w:val="24"/>
        </w:rPr>
        <w:t>et</w:t>
      </w:r>
      <w:proofErr w:type="gramEnd"/>
      <w:r w:rsidR="00AE6DC4">
        <w:rPr>
          <w:rFonts w:ascii="Times New Roman" w:hAnsi="Times New Roman" w:cs="Times New Roman"/>
          <w:i/>
          <w:sz w:val="24"/>
          <w:szCs w:val="24"/>
        </w:rPr>
        <w:t xml:space="preserve">. al. </w:t>
      </w:r>
      <w:r w:rsidR="00EB136C">
        <w:rPr>
          <w:rFonts w:ascii="Times New Roman" w:hAnsi="Times New Roman" w:cs="Times New Roman"/>
          <w:sz w:val="24"/>
          <w:szCs w:val="24"/>
        </w:rPr>
        <w:t>[</w:t>
      </w:r>
      <w:r w:rsidR="00AE6DC4">
        <w:rPr>
          <w:rFonts w:ascii="Times New Roman" w:hAnsi="Times New Roman" w:cs="Times New Roman"/>
          <w:sz w:val="24"/>
          <w:szCs w:val="24"/>
        </w:rPr>
        <w:t>13</w:t>
      </w:r>
      <w:r w:rsidR="00EB136C">
        <w:rPr>
          <w:rFonts w:ascii="Times New Roman" w:hAnsi="Times New Roman" w:cs="Times New Roman"/>
          <w:sz w:val="24"/>
          <w:szCs w:val="24"/>
        </w:rPr>
        <w:t>]</w:t>
      </w:r>
      <w:r w:rsidR="00AE6DC4">
        <w:rPr>
          <w:rFonts w:ascii="Times New Roman" w:hAnsi="Times New Roman" w:cs="Times New Roman"/>
          <w:sz w:val="24"/>
          <w:szCs w:val="24"/>
        </w:rPr>
        <w:t xml:space="preserve"> </w:t>
      </w:r>
      <w:r w:rsidR="007A391F">
        <w:rPr>
          <w:rFonts w:ascii="Times New Roman" w:hAnsi="Times New Roman" w:cs="Times New Roman"/>
          <w:sz w:val="24"/>
          <w:szCs w:val="24"/>
        </w:rPr>
        <w:t>found evidence of asymmetry</w:t>
      </w:r>
      <w:r w:rsidR="00C3615D">
        <w:rPr>
          <w:rFonts w:ascii="Times New Roman" w:hAnsi="Times New Roman" w:cs="Times New Roman"/>
          <w:sz w:val="24"/>
          <w:szCs w:val="24"/>
        </w:rPr>
        <w:t xml:space="preserve"> in </w:t>
      </w:r>
      <w:r w:rsidR="008B3497">
        <w:rPr>
          <w:rFonts w:ascii="Times New Roman" w:hAnsi="Times New Roman" w:cs="Times New Roman"/>
          <w:sz w:val="24"/>
          <w:szCs w:val="24"/>
        </w:rPr>
        <w:t xml:space="preserve">the </w:t>
      </w:r>
      <w:r w:rsidR="009A02DC">
        <w:rPr>
          <w:rFonts w:ascii="Times New Roman" w:hAnsi="Times New Roman" w:cs="Times New Roman"/>
          <w:sz w:val="24"/>
          <w:szCs w:val="24"/>
        </w:rPr>
        <w:t>Egyptian pound</w:t>
      </w:r>
      <w:r w:rsidR="00AE6DC4">
        <w:rPr>
          <w:rFonts w:ascii="Times New Roman" w:hAnsi="Times New Roman" w:cs="Times New Roman"/>
          <w:sz w:val="24"/>
          <w:szCs w:val="24"/>
        </w:rPr>
        <w:t xml:space="preserve"> and Ghanaian cedi</w:t>
      </w:r>
      <w:r w:rsidR="009A02DC">
        <w:rPr>
          <w:rFonts w:ascii="Times New Roman" w:hAnsi="Times New Roman" w:cs="Times New Roman"/>
          <w:sz w:val="24"/>
          <w:szCs w:val="24"/>
        </w:rPr>
        <w:t>, respectively</w:t>
      </w:r>
      <w:r w:rsidR="008B3497">
        <w:rPr>
          <w:rFonts w:ascii="Times New Roman" w:hAnsi="Times New Roman" w:cs="Times New Roman"/>
          <w:sz w:val="24"/>
          <w:szCs w:val="24"/>
        </w:rPr>
        <w:t>.</w:t>
      </w:r>
      <w:r w:rsidR="00C3615D">
        <w:rPr>
          <w:rFonts w:ascii="Times New Roman" w:hAnsi="Times New Roman" w:cs="Times New Roman"/>
          <w:sz w:val="24"/>
          <w:szCs w:val="24"/>
        </w:rPr>
        <w:t xml:space="preserve"> </w:t>
      </w:r>
      <w:r w:rsidR="00F44799">
        <w:rPr>
          <w:rFonts w:ascii="Times New Roman" w:hAnsi="Times New Roman" w:cs="Times New Roman"/>
          <w:sz w:val="24"/>
          <w:szCs w:val="24"/>
        </w:rPr>
        <w:t xml:space="preserve">Recently, </w:t>
      </w:r>
      <w:proofErr w:type="spellStart"/>
      <w:r w:rsidR="00EB136C">
        <w:rPr>
          <w:rFonts w:ascii="Times New Roman" w:hAnsi="Times New Roman" w:cs="Times New Roman"/>
          <w:sz w:val="24"/>
          <w:szCs w:val="24"/>
        </w:rPr>
        <w:t>Ntwiga</w:t>
      </w:r>
      <w:proofErr w:type="spellEnd"/>
      <w:r w:rsidR="00EB136C">
        <w:rPr>
          <w:rFonts w:ascii="Times New Roman" w:hAnsi="Times New Roman" w:cs="Times New Roman"/>
          <w:sz w:val="24"/>
          <w:szCs w:val="24"/>
        </w:rPr>
        <w:t xml:space="preserve"> [14]</w:t>
      </w:r>
      <w:r w:rsidR="00F44799">
        <w:rPr>
          <w:rFonts w:ascii="Times New Roman" w:hAnsi="Times New Roman" w:cs="Times New Roman"/>
          <w:sz w:val="24"/>
          <w:szCs w:val="24"/>
        </w:rPr>
        <w:t xml:space="preserve"> </w:t>
      </w:r>
      <w:r w:rsidR="00A7793C">
        <w:rPr>
          <w:rFonts w:ascii="Times New Roman" w:hAnsi="Times New Roman" w:cs="Times New Roman"/>
          <w:sz w:val="24"/>
          <w:szCs w:val="24"/>
        </w:rPr>
        <w:t>analyzed the effect of election violence on Kenyan FOREX volatility. Though the study did not consider asymmetry, it however succeeded in showing that Kenyan exchange rates could be modeled using volatility models. More to the point, the study</w:t>
      </w:r>
      <w:r w:rsidR="00B22C42">
        <w:rPr>
          <w:rFonts w:ascii="Times New Roman" w:hAnsi="Times New Roman" w:cs="Times New Roman"/>
          <w:iCs/>
          <w:sz w:val="24"/>
          <w:szCs w:val="24"/>
        </w:rPr>
        <w:t xml:space="preserve"> employed</w:t>
      </w:r>
      <w:r w:rsidR="00360F06">
        <w:rPr>
          <w:rFonts w:ascii="Times New Roman" w:hAnsi="Times New Roman" w:cs="Times New Roman"/>
          <w:iCs/>
          <w:sz w:val="24"/>
          <w:szCs w:val="24"/>
        </w:rPr>
        <w:t xml:space="preserve"> GARCH model which,</w:t>
      </w:r>
      <w:r w:rsidR="00EB136C">
        <w:rPr>
          <w:rFonts w:ascii="Times New Roman" w:hAnsi="Times New Roman" w:cs="Times New Roman"/>
          <w:iCs/>
          <w:sz w:val="24"/>
          <w:szCs w:val="24"/>
        </w:rPr>
        <w:t xml:space="preserve"> according to Nelson [15]</w:t>
      </w:r>
      <w:r w:rsidR="00F44799">
        <w:rPr>
          <w:rFonts w:ascii="Times New Roman" w:hAnsi="Times New Roman" w:cs="Times New Roman"/>
          <w:iCs/>
          <w:sz w:val="24"/>
          <w:szCs w:val="24"/>
        </w:rPr>
        <w:t xml:space="preserve">, </w:t>
      </w:r>
      <w:r w:rsidR="008B52ED">
        <w:rPr>
          <w:rFonts w:ascii="Times New Roman" w:hAnsi="Times New Roman" w:cs="Times New Roman"/>
          <w:iCs/>
          <w:sz w:val="24"/>
          <w:szCs w:val="24"/>
        </w:rPr>
        <w:t xml:space="preserve">is in </w:t>
      </w:r>
      <w:proofErr w:type="gramStart"/>
      <w:r w:rsidR="008B52ED">
        <w:rPr>
          <w:rFonts w:ascii="Times New Roman" w:hAnsi="Times New Roman" w:cs="Times New Roman"/>
          <w:iCs/>
          <w:sz w:val="24"/>
          <w:szCs w:val="24"/>
        </w:rPr>
        <w:t>itself</w:t>
      </w:r>
      <w:proofErr w:type="gramEnd"/>
      <w:r w:rsidR="00DA4F29">
        <w:rPr>
          <w:rFonts w:ascii="Times New Roman" w:hAnsi="Times New Roman" w:cs="Times New Roman"/>
          <w:iCs/>
          <w:sz w:val="24"/>
          <w:szCs w:val="24"/>
        </w:rPr>
        <w:t xml:space="preserve"> a restrictive</w:t>
      </w:r>
      <w:r w:rsidR="008B52ED">
        <w:rPr>
          <w:rFonts w:ascii="Times New Roman" w:hAnsi="Times New Roman" w:cs="Times New Roman"/>
          <w:iCs/>
          <w:sz w:val="24"/>
          <w:szCs w:val="24"/>
        </w:rPr>
        <w:t xml:space="preserve"> model, in the sense that it assumes</w:t>
      </w:r>
      <w:r w:rsidR="00DA4F29">
        <w:rPr>
          <w:rFonts w:ascii="Times New Roman" w:hAnsi="Times New Roman" w:cs="Times New Roman"/>
          <w:iCs/>
          <w:sz w:val="24"/>
          <w:szCs w:val="24"/>
        </w:rPr>
        <w:t xml:space="preserve"> that only the magnitude and not the positivity or negativity of unanticipated excess returns determines features of the conditional variance. And as such is not appropriate to model asymmetry in volatility</w:t>
      </w:r>
      <w:r w:rsidR="00360F06">
        <w:rPr>
          <w:rFonts w:ascii="Times New Roman" w:hAnsi="Times New Roman" w:cs="Times New Roman"/>
          <w:iCs/>
          <w:sz w:val="24"/>
          <w:szCs w:val="24"/>
        </w:rPr>
        <w:t xml:space="preserve"> in the context of th</w:t>
      </w:r>
      <w:r w:rsidR="00A7793C">
        <w:rPr>
          <w:rFonts w:ascii="Times New Roman" w:hAnsi="Times New Roman" w:cs="Times New Roman"/>
          <w:iCs/>
          <w:sz w:val="24"/>
          <w:szCs w:val="24"/>
        </w:rPr>
        <w:t xml:space="preserve">e stated definition in </w:t>
      </w:r>
      <w:r w:rsidR="00A7793C">
        <w:rPr>
          <w:rFonts w:ascii="Times New Roman" w:hAnsi="Times New Roman" w:cs="Times New Roman"/>
          <w:iCs/>
          <w:sz w:val="24"/>
          <w:szCs w:val="24"/>
        </w:rPr>
        <w:lastRenderedPageBreak/>
        <w:t>the third paragraph</w:t>
      </w:r>
      <w:r w:rsidR="00DA4F29">
        <w:rPr>
          <w:rFonts w:ascii="Times New Roman" w:hAnsi="Times New Roman" w:cs="Times New Roman"/>
          <w:iCs/>
          <w:sz w:val="24"/>
          <w:szCs w:val="24"/>
        </w:rPr>
        <w:t xml:space="preserve">. Thus </w:t>
      </w:r>
      <w:r w:rsidR="00915FA7">
        <w:rPr>
          <w:rFonts w:ascii="Times New Roman" w:hAnsi="Times New Roman" w:cs="Times New Roman"/>
          <w:iCs/>
          <w:sz w:val="24"/>
          <w:szCs w:val="24"/>
        </w:rPr>
        <w:t xml:space="preserve">to our knowledge, </w:t>
      </w:r>
      <w:r w:rsidR="00915FA7" w:rsidRPr="00E23DDE">
        <w:rPr>
          <w:rFonts w:ascii="Times New Roman" w:hAnsi="Times New Roman" w:cs="Times New Roman"/>
          <w:sz w:val="24"/>
          <w:szCs w:val="24"/>
        </w:rPr>
        <w:t>the possibility of asymmetric</w:t>
      </w:r>
      <w:r w:rsidR="00915FA7">
        <w:rPr>
          <w:rFonts w:ascii="Times New Roman" w:hAnsi="Times New Roman" w:cs="Times New Roman"/>
          <w:sz w:val="24"/>
          <w:szCs w:val="24"/>
        </w:rPr>
        <w:t xml:space="preserve"> </w:t>
      </w:r>
      <w:r w:rsidR="00915FA7" w:rsidRPr="00E23DDE">
        <w:rPr>
          <w:rFonts w:ascii="Times New Roman" w:hAnsi="Times New Roman" w:cs="Times New Roman"/>
          <w:sz w:val="24"/>
          <w:szCs w:val="24"/>
        </w:rPr>
        <w:t>volatility</w:t>
      </w:r>
      <w:r w:rsidR="00915FA7">
        <w:rPr>
          <w:rFonts w:ascii="Times New Roman" w:hAnsi="Times New Roman" w:cs="Times New Roman"/>
          <w:sz w:val="24"/>
          <w:szCs w:val="24"/>
        </w:rPr>
        <w:t xml:space="preserve"> is yet to be investigated in the Kenyan currency market and also, </w:t>
      </w:r>
      <w:r w:rsidR="00DA4F29">
        <w:rPr>
          <w:rFonts w:ascii="Times New Roman" w:hAnsi="Times New Roman" w:cs="Times New Roman"/>
          <w:sz w:val="24"/>
          <w:szCs w:val="24"/>
        </w:rPr>
        <w:t>the asymmetry associated with African FOREX</w:t>
      </w:r>
      <w:r w:rsidR="00EF3D90">
        <w:rPr>
          <w:rFonts w:ascii="Times New Roman" w:hAnsi="Times New Roman" w:cs="Times New Roman"/>
          <w:sz w:val="24"/>
          <w:szCs w:val="24"/>
        </w:rPr>
        <w:t xml:space="preserve"> market</w:t>
      </w:r>
      <w:r w:rsidR="00915FA7">
        <w:rPr>
          <w:rFonts w:ascii="Times New Roman" w:hAnsi="Times New Roman" w:cs="Times New Roman"/>
          <w:sz w:val="24"/>
          <w:szCs w:val="24"/>
        </w:rPr>
        <w:t>, in general,</w:t>
      </w:r>
      <w:r w:rsidR="00DA4F29">
        <w:rPr>
          <w:rFonts w:ascii="Times New Roman" w:hAnsi="Times New Roman" w:cs="Times New Roman"/>
          <w:sz w:val="24"/>
          <w:szCs w:val="24"/>
        </w:rPr>
        <w:t xml:space="preserve"> has not been fully </w:t>
      </w:r>
      <w:r w:rsidR="00EF3D90">
        <w:rPr>
          <w:rFonts w:ascii="Times New Roman" w:hAnsi="Times New Roman" w:cs="Times New Roman"/>
          <w:sz w:val="24"/>
          <w:szCs w:val="24"/>
        </w:rPr>
        <w:t>examin</w:t>
      </w:r>
      <w:r w:rsidR="00915FA7">
        <w:rPr>
          <w:rFonts w:ascii="Times New Roman" w:hAnsi="Times New Roman" w:cs="Times New Roman"/>
          <w:sz w:val="24"/>
          <w:szCs w:val="24"/>
        </w:rPr>
        <w:t>ed.</w:t>
      </w:r>
      <w:r w:rsidR="00DA4F29">
        <w:rPr>
          <w:rFonts w:ascii="Times New Roman" w:hAnsi="Times New Roman" w:cs="Times New Roman"/>
          <w:sz w:val="24"/>
          <w:szCs w:val="24"/>
        </w:rPr>
        <w:t xml:space="preserve"> </w:t>
      </w:r>
      <w:r w:rsidR="009B5A79" w:rsidRPr="009B5A79">
        <w:rPr>
          <w:rFonts w:ascii="Times New Roman" w:hAnsi="Times New Roman" w:cs="Times New Roman"/>
          <w:sz w:val="24"/>
          <w:szCs w:val="24"/>
        </w:rPr>
        <w:t>Consequently, the conclusion from thi</w:t>
      </w:r>
      <w:r w:rsidR="009B5A79">
        <w:rPr>
          <w:rFonts w:ascii="Times New Roman" w:hAnsi="Times New Roman" w:cs="Times New Roman"/>
          <w:sz w:val="24"/>
          <w:szCs w:val="24"/>
        </w:rPr>
        <w:t>s study would have</w:t>
      </w:r>
      <w:r w:rsidR="009B5A79" w:rsidRPr="009B5A79">
        <w:rPr>
          <w:rFonts w:ascii="Times New Roman" w:hAnsi="Times New Roman" w:cs="Times New Roman"/>
          <w:sz w:val="24"/>
          <w:szCs w:val="24"/>
        </w:rPr>
        <w:t xml:space="preserve"> far-reaching implications</w:t>
      </w:r>
      <w:r w:rsidR="009B5A79">
        <w:rPr>
          <w:rFonts w:ascii="Times New Roman" w:hAnsi="Times New Roman" w:cs="Times New Roman"/>
          <w:sz w:val="24"/>
          <w:szCs w:val="24"/>
        </w:rPr>
        <w:t xml:space="preserve"> on </w:t>
      </w:r>
      <w:r w:rsidR="009B5A79" w:rsidRPr="009B5A79">
        <w:rPr>
          <w:rFonts w:ascii="Times New Roman" w:hAnsi="Times New Roman" w:cs="Times New Roman"/>
          <w:sz w:val="24"/>
          <w:szCs w:val="24"/>
        </w:rPr>
        <w:t>Africa</w:t>
      </w:r>
      <w:r w:rsidR="009B5A79">
        <w:rPr>
          <w:rFonts w:ascii="Times New Roman" w:hAnsi="Times New Roman" w:cs="Times New Roman"/>
          <w:sz w:val="24"/>
          <w:szCs w:val="24"/>
        </w:rPr>
        <w:t>n economies</w:t>
      </w:r>
      <w:r w:rsidR="00C86460">
        <w:rPr>
          <w:rFonts w:ascii="Times New Roman" w:hAnsi="Times New Roman" w:cs="Times New Roman"/>
          <w:sz w:val="24"/>
          <w:szCs w:val="24"/>
        </w:rPr>
        <w:t>, and particularly,</w:t>
      </w:r>
      <w:r w:rsidR="00EF31B5">
        <w:rPr>
          <w:rFonts w:ascii="Times New Roman" w:hAnsi="Times New Roman" w:cs="Times New Roman"/>
          <w:sz w:val="24"/>
          <w:szCs w:val="24"/>
        </w:rPr>
        <w:t xml:space="preserve"> an</w:t>
      </w:r>
      <w:r w:rsidR="00C86460">
        <w:rPr>
          <w:rFonts w:ascii="Times New Roman" w:hAnsi="Times New Roman" w:cs="Times New Roman"/>
          <w:sz w:val="24"/>
          <w:szCs w:val="24"/>
        </w:rPr>
        <w:t xml:space="preserve"> </w:t>
      </w:r>
      <w:r w:rsidR="00EF31B5">
        <w:rPr>
          <w:rFonts w:ascii="Times New Roman" w:hAnsi="Times New Roman" w:cs="Times New Roman"/>
          <w:sz w:val="24"/>
          <w:szCs w:val="24"/>
        </w:rPr>
        <w:t xml:space="preserve">agro-based economy like </w:t>
      </w:r>
      <w:r w:rsidR="00C86460">
        <w:rPr>
          <w:rFonts w:ascii="Times New Roman" w:hAnsi="Times New Roman" w:cs="Times New Roman"/>
          <w:sz w:val="24"/>
          <w:szCs w:val="24"/>
        </w:rPr>
        <w:t>Kenya, wh</w:t>
      </w:r>
      <w:r w:rsidR="00EA7C25">
        <w:rPr>
          <w:rFonts w:ascii="Times New Roman" w:hAnsi="Times New Roman" w:cs="Times New Roman"/>
          <w:sz w:val="24"/>
          <w:szCs w:val="24"/>
        </w:rPr>
        <w:t>ose economic system depends largely on export commodities like tea</w:t>
      </w:r>
      <w:r w:rsidR="00EF31B5">
        <w:rPr>
          <w:rFonts w:ascii="Times New Roman" w:hAnsi="Times New Roman" w:cs="Times New Roman"/>
          <w:sz w:val="24"/>
          <w:szCs w:val="24"/>
        </w:rPr>
        <w:t>, horticulture</w:t>
      </w:r>
      <w:r w:rsidR="00EB136C">
        <w:rPr>
          <w:rFonts w:ascii="Times New Roman" w:hAnsi="Times New Roman" w:cs="Times New Roman"/>
          <w:sz w:val="24"/>
          <w:szCs w:val="24"/>
        </w:rPr>
        <w:t xml:space="preserve"> and coffee (</w:t>
      </w:r>
      <w:proofErr w:type="spellStart"/>
      <w:r w:rsidR="00EB136C">
        <w:rPr>
          <w:rFonts w:ascii="Times New Roman" w:hAnsi="Times New Roman" w:cs="Times New Roman"/>
          <w:sz w:val="24"/>
          <w:szCs w:val="24"/>
        </w:rPr>
        <w:t>Mwega</w:t>
      </w:r>
      <w:proofErr w:type="spellEnd"/>
      <w:r w:rsidR="00EB136C">
        <w:rPr>
          <w:rFonts w:ascii="Times New Roman" w:hAnsi="Times New Roman" w:cs="Times New Roman"/>
          <w:sz w:val="24"/>
          <w:szCs w:val="24"/>
        </w:rPr>
        <w:t xml:space="preserve"> [16])</w:t>
      </w:r>
      <w:r w:rsidR="009B5A79" w:rsidRPr="009B5A79">
        <w:rPr>
          <w:rFonts w:ascii="Times New Roman" w:hAnsi="Times New Roman" w:cs="Times New Roman"/>
          <w:sz w:val="24"/>
          <w:szCs w:val="24"/>
        </w:rPr>
        <w:t>.</w:t>
      </w:r>
    </w:p>
    <w:p w:rsidR="00EA7C25" w:rsidRDefault="00EF3D90"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the present study is to examine empirically the possibility of asymmetry in Kenyan exchange rate volatility in </w:t>
      </w:r>
      <w:r w:rsidR="0087133B">
        <w:rPr>
          <w:rFonts w:ascii="Times New Roman" w:hAnsi="Times New Roman" w:cs="Times New Roman"/>
          <w:sz w:val="24"/>
          <w:szCs w:val="24"/>
        </w:rPr>
        <w:t>the light of the recent global financial</w:t>
      </w:r>
      <w:r w:rsidR="00221D89">
        <w:rPr>
          <w:rFonts w:ascii="Times New Roman" w:hAnsi="Times New Roman" w:cs="Times New Roman"/>
          <w:sz w:val="24"/>
          <w:szCs w:val="24"/>
        </w:rPr>
        <w:t xml:space="preserve"> crisis</w:t>
      </w:r>
      <w:r w:rsidR="00800D79" w:rsidRPr="00800D79">
        <w:rPr>
          <w:rFonts w:ascii="Times New Roman" w:hAnsi="Times New Roman" w:cs="Times New Roman"/>
          <w:sz w:val="24"/>
          <w:szCs w:val="24"/>
        </w:rPr>
        <w:t>.</w:t>
      </w:r>
      <w:r w:rsidR="00245DD2">
        <w:rPr>
          <w:rFonts w:ascii="Times New Roman" w:hAnsi="Times New Roman" w:cs="Times New Roman"/>
          <w:sz w:val="24"/>
          <w:szCs w:val="24"/>
        </w:rPr>
        <w:t xml:space="preserve"> </w:t>
      </w:r>
      <w:r w:rsidR="00245DD2" w:rsidRPr="00B71A9F">
        <w:rPr>
          <w:rFonts w:ascii="Times New Roman" w:hAnsi="Times New Roman" w:cs="Times New Roman"/>
          <w:sz w:val="24"/>
          <w:szCs w:val="24"/>
        </w:rPr>
        <w:t xml:space="preserve">The </w:t>
      </w:r>
      <w:r w:rsidR="00245DD2">
        <w:rPr>
          <w:rFonts w:ascii="Times New Roman" w:hAnsi="Times New Roman" w:cs="Times New Roman"/>
          <w:sz w:val="24"/>
          <w:szCs w:val="24"/>
        </w:rPr>
        <w:t xml:space="preserve">US-originating </w:t>
      </w:r>
      <w:r w:rsidR="00245DD2" w:rsidRPr="00B71A9F">
        <w:rPr>
          <w:rFonts w:ascii="Times New Roman" w:hAnsi="Times New Roman" w:cs="Times New Roman"/>
          <w:sz w:val="24"/>
          <w:szCs w:val="24"/>
        </w:rPr>
        <w:t xml:space="preserve">financial crisis that </w:t>
      </w:r>
      <w:r w:rsidR="00245DD2">
        <w:rPr>
          <w:rFonts w:ascii="Times New Roman" w:hAnsi="Times New Roman" w:cs="Times New Roman"/>
          <w:sz w:val="24"/>
          <w:szCs w:val="24"/>
        </w:rPr>
        <w:t xml:space="preserve">recently </w:t>
      </w:r>
      <w:r w:rsidR="00245DD2" w:rsidRPr="00B71A9F">
        <w:rPr>
          <w:rFonts w:ascii="Times New Roman" w:hAnsi="Times New Roman" w:cs="Times New Roman"/>
          <w:sz w:val="24"/>
          <w:szCs w:val="24"/>
        </w:rPr>
        <w:t xml:space="preserve">engulfed </w:t>
      </w:r>
      <w:r w:rsidR="00245DD2">
        <w:rPr>
          <w:rFonts w:ascii="Times New Roman" w:hAnsi="Times New Roman" w:cs="Times New Roman"/>
          <w:sz w:val="24"/>
          <w:szCs w:val="24"/>
        </w:rPr>
        <w:t>the world economy</w:t>
      </w:r>
      <w:r w:rsidR="00245DD2" w:rsidRPr="00B71A9F">
        <w:rPr>
          <w:rFonts w:ascii="Times New Roman" w:hAnsi="Times New Roman" w:cs="Times New Roman"/>
          <w:sz w:val="24"/>
          <w:szCs w:val="24"/>
        </w:rPr>
        <w:t xml:space="preserve"> offers more reasons to explore the possible asymmetric behavior in the</w:t>
      </w:r>
      <w:r w:rsidR="00245DD2">
        <w:rPr>
          <w:rFonts w:ascii="Times New Roman" w:hAnsi="Times New Roman" w:cs="Times New Roman"/>
          <w:sz w:val="24"/>
          <w:szCs w:val="24"/>
        </w:rPr>
        <w:t xml:space="preserve"> </w:t>
      </w:r>
      <w:r w:rsidR="00245DD2" w:rsidRPr="00B71A9F">
        <w:rPr>
          <w:rFonts w:ascii="Times New Roman" w:hAnsi="Times New Roman" w:cs="Times New Roman"/>
          <w:sz w:val="24"/>
          <w:szCs w:val="24"/>
        </w:rPr>
        <w:t>exchange rates of developing countries</w:t>
      </w:r>
      <w:r w:rsidR="00286633">
        <w:rPr>
          <w:rFonts w:ascii="Times New Roman" w:hAnsi="Times New Roman" w:cs="Times New Roman"/>
          <w:sz w:val="24"/>
          <w:szCs w:val="24"/>
        </w:rPr>
        <w:t>.</w:t>
      </w:r>
      <w:r w:rsidR="0087133B" w:rsidRPr="0087133B">
        <w:rPr>
          <w:rFonts w:ascii="Times New Roman" w:hAnsi="Times New Roman" w:cs="Times New Roman"/>
          <w:sz w:val="24"/>
          <w:szCs w:val="24"/>
        </w:rPr>
        <w:t xml:space="preserve"> </w:t>
      </w:r>
      <w:r w:rsidR="00286633">
        <w:rPr>
          <w:rFonts w:ascii="Times New Roman" w:hAnsi="Times New Roman" w:cs="Times New Roman"/>
          <w:sz w:val="24"/>
          <w:szCs w:val="24"/>
        </w:rPr>
        <w:t>The belief is that c</w:t>
      </w:r>
      <w:r w:rsidR="0087133B" w:rsidRPr="0087133B">
        <w:rPr>
          <w:rFonts w:ascii="Times New Roman" w:hAnsi="Times New Roman" w:cs="Times New Roman"/>
          <w:sz w:val="24"/>
          <w:szCs w:val="24"/>
        </w:rPr>
        <w:t xml:space="preserve">ountries in sub-Saharan Africa are barely integrated into the global financial system, </w:t>
      </w:r>
      <w:r w:rsidR="00286633">
        <w:rPr>
          <w:rFonts w:ascii="Times New Roman" w:hAnsi="Times New Roman" w:cs="Times New Roman"/>
          <w:sz w:val="24"/>
          <w:szCs w:val="24"/>
        </w:rPr>
        <w:t>and consequently,</w:t>
      </w:r>
      <w:r w:rsidR="0087133B" w:rsidRPr="0087133B">
        <w:rPr>
          <w:rFonts w:ascii="Times New Roman" w:hAnsi="Times New Roman" w:cs="Times New Roman"/>
          <w:sz w:val="24"/>
          <w:szCs w:val="24"/>
        </w:rPr>
        <w:t xml:space="preserve"> would be spared the effects</w:t>
      </w:r>
      <w:r w:rsidR="00286633">
        <w:rPr>
          <w:rFonts w:ascii="Times New Roman" w:hAnsi="Times New Roman" w:cs="Times New Roman"/>
          <w:sz w:val="24"/>
          <w:szCs w:val="24"/>
        </w:rPr>
        <w:t xml:space="preserve"> of the global financial crisis. However, results from different surve</w:t>
      </w:r>
      <w:r w:rsidR="00005DAF">
        <w:rPr>
          <w:rFonts w:ascii="Times New Roman" w:hAnsi="Times New Roman" w:cs="Times New Roman"/>
          <w:sz w:val="24"/>
          <w:szCs w:val="24"/>
        </w:rPr>
        <w:t>ys have proven otherwise</w:t>
      </w:r>
      <w:r w:rsidR="00286633">
        <w:rPr>
          <w:rFonts w:ascii="Times New Roman" w:hAnsi="Times New Roman" w:cs="Times New Roman"/>
          <w:sz w:val="24"/>
          <w:szCs w:val="24"/>
        </w:rPr>
        <w:t>.</w:t>
      </w:r>
      <w:r w:rsidR="0087133B" w:rsidRPr="0087133B">
        <w:rPr>
          <w:rFonts w:ascii="Times New Roman" w:hAnsi="Times New Roman" w:cs="Times New Roman"/>
          <w:sz w:val="24"/>
          <w:szCs w:val="24"/>
        </w:rPr>
        <w:t xml:space="preserve"> </w:t>
      </w:r>
      <w:r w:rsidR="00837058">
        <w:rPr>
          <w:rFonts w:ascii="Times New Roman" w:hAnsi="Times New Roman" w:cs="Times New Roman"/>
          <w:sz w:val="24"/>
          <w:szCs w:val="24"/>
        </w:rPr>
        <w:t xml:space="preserve">Ben </w:t>
      </w:r>
      <w:proofErr w:type="spellStart"/>
      <w:r w:rsidR="00837058">
        <w:rPr>
          <w:rFonts w:ascii="Times New Roman" w:hAnsi="Times New Roman" w:cs="Times New Roman"/>
          <w:sz w:val="24"/>
          <w:szCs w:val="24"/>
        </w:rPr>
        <w:t>Ltaifa</w:t>
      </w:r>
      <w:proofErr w:type="spellEnd"/>
      <w:r w:rsidR="006D27D5">
        <w:rPr>
          <w:rFonts w:ascii="Times New Roman" w:hAnsi="Times New Roman" w:cs="Times New Roman"/>
          <w:sz w:val="24"/>
          <w:szCs w:val="24"/>
        </w:rPr>
        <w:t xml:space="preserve"> </w:t>
      </w:r>
      <w:proofErr w:type="gramStart"/>
      <w:r w:rsidR="000B2266">
        <w:rPr>
          <w:rFonts w:ascii="Times New Roman" w:hAnsi="Times New Roman" w:cs="Times New Roman"/>
          <w:i/>
          <w:sz w:val="24"/>
          <w:szCs w:val="24"/>
        </w:rPr>
        <w:t>et</w:t>
      </w:r>
      <w:proofErr w:type="gramEnd"/>
      <w:r w:rsidR="000B2266">
        <w:rPr>
          <w:rFonts w:ascii="Times New Roman" w:hAnsi="Times New Roman" w:cs="Times New Roman"/>
          <w:i/>
          <w:sz w:val="24"/>
          <w:szCs w:val="24"/>
        </w:rPr>
        <w:t xml:space="preserve">. al. </w:t>
      </w:r>
      <w:r w:rsidR="00EB136C">
        <w:rPr>
          <w:rFonts w:ascii="Times New Roman" w:hAnsi="Times New Roman" w:cs="Times New Roman"/>
          <w:sz w:val="24"/>
          <w:szCs w:val="24"/>
        </w:rPr>
        <w:t>[17]</w:t>
      </w:r>
      <w:r w:rsidR="00F85155">
        <w:rPr>
          <w:rFonts w:ascii="Times New Roman" w:hAnsi="Times New Roman" w:cs="Times New Roman"/>
          <w:sz w:val="24"/>
          <w:szCs w:val="24"/>
        </w:rPr>
        <w:t xml:space="preserve"> for example,</w:t>
      </w:r>
      <w:r w:rsidR="00286633">
        <w:rPr>
          <w:rFonts w:ascii="Times New Roman" w:hAnsi="Times New Roman" w:cs="Times New Roman"/>
          <w:sz w:val="24"/>
          <w:szCs w:val="24"/>
        </w:rPr>
        <w:t xml:space="preserve"> in a research on</w:t>
      </w:r>
      <w:r w:rsidR="006D27D5">
        <w:rPr>
          <w:rFonts w:ascii="Times New Roman" w:hAnsi="Times New Roman" w:cs="Times New Roman"/>
          <w:sz w:val="24"/>
          <w:szCs w:val="24"/>
        </w:rPr>
        <w:t xml:space="preserve"> the impact of the crisis on the currencie</w:t>
      </w:r>
      <w:r w:rsidR="000B2266">
        <w:rPr>
          <w:rFonts w:ascii="Times New Roman" w:hAnsi="Times New Roman" w:cs="Times New Roman"/>
          <w:sz w:val="24"/>
          <w:szCs w:val="24"/>
        </w:rPr>
        <w:t>s of sub-Saharan Africa</w:t>
      </w:r>
      <w:r w:rsidR="00A729C2">
        <w:rPr>
          <w:rFonts w:ascii="Times New Roman" w:hAnsi="Times New Roman" w:cs="Times New Roman"/>
          <w:sz w:val="24"/>
          <w:szCs w:val="24"/>
        </w:rPr>
        <w:t xml:space="preserve"> (SSA)</w:t>
      </w:r>
      <w:r w:rsidR="000B2266">
        <w:rPr>
          <w:rFonts w:ascii="Times New Roman" w:hAnsi="Times New Roman" w:cs="Times New Roman"/>
          <w:sz w:val="24"/>
          <w:szCs w:val="24"/>
        </w:rPr>
        <w:t xml:space="preserve">, </w:t>
      </w:r>
      <w:r w:rsidR="00F85155">
        <w:rPr>
          <w:rFonts w:ascii="Times New Roman" w:hAnsi="Times New Roman" w:cs="Times New Roman"/>
          <w:sz w:val="24"/>
          <w:szCs w:val="24"/>
        </w:rPr>
        <w:t xml:space="preserve">reported </w:t>
      </w:r>
      <w:r w:rsidR="000B2266">
        <w:rPr>
          <w:rFonts w:ascii="Times New Roman" w:hAnsi="Times New Roman" w:cs="Times New Roman"/>
          <w:sz w:val="24"/>
          <w:szCs w:val="24"/>
        </w:rPr>
        <w:t>that t</w:t>
      </w:r>
      <w:r w:rsidR="00A729C2">
        <w:rPr>
          <w:rFonts w:ascii="Times New Roman" w:hAnsi="Times New Roman" w:cs="Times New Roman"/>
          <w:sz w:val="24"/>
          <w:szCs w:val="24"/>
        </w:rPr>
        <w:t>he currencies of many S</w:t>
      </w:r>
      <w:r w:rsidR="000B2266" w:rsidRPr="000B2266">
        <w:rPr>
          <w:rFonts w:ascii="Times New Roman" w:hAnsi="Times New Roman" w:cs="Times New Roman"/>
          <w:sz w:val="24"/>
          <w:szCs w:val="24"/>
        </w:rPr>
        <w:t>ub-Saharan African countries suffered large depreciations with the</w:t>
      </w:r>
      <w:r w:rsidR="000B2266">
        <w:rPr>
          <w:rFonts w:ascii="Times New Roman" w:hAnsi="Times New Roman" w:cs="Times New Roman"/>
          <w:sz w:val="24"/>
          <w:szCs w:val="24"/>
        </w:rPr>
        <w:t xml:space="preserve"> </w:t>
      </w:r>
      <w:r w:rsidR="000B2266" w:rsidRPr="000B2266">
        <w:rPr>
          <w:rFonts w:ascii="Times New Roman" w:hAnsi="Times New Roman" w:cs="Times New Roman"/>
          <w:sz w:val="24"/>
          <w:szCs w:val="24"/>
        </w:rPr>
        <w:t xml:space="preserve">onset of the global financial crisis. </w:t>
      </w:r>
      <w:r w:rsidR="00A7793C">
        <w:rPr>
          <w:rFonts w:ascii="Times New Roman" w:hAnsi="Times New Roman" w:cs="Times New Roman"/>
          <w:sz w:val="24"/>
          <w:szCs w:val="24"/>
        </w:rPr>
        <w:t xml:space="preserve">These large depreciations the study </w:t>
      </w:r>
      <w:r w:rsidR="000B2266">
        <w:rPr>
          <w:rFonts w:ascii="Times New Roman" w:hAnsi="Times New Roman" w:cs="Times New Roman"/>
          <w:sz w:val="24"/>
          <w:szCs w:val="24"/>
        </w:rPr>
        <w:t>attributed to c</w:t>
      </w:r>
      <w:r w:rsidR="000B2266" w:rsidRPr="000B2266">
        <w:rPr>
          <w:rFonts w:ascii="Times New Roman" w:hAnsi="Times New Roman" w:cs="Times New Roman"/>
          <w:sz w:val="24"/>
          <w:szCs w:val="24"/>
        </w:rPr>
        <w:t xml:space="preserve">ollapsing trade and financial flows </w:t>
      </w:r>
      <w:r w:rsidR="000B2266">
        <w:rPr>
          <w:rFonts w:ascii="Times New Roman" w:hAnsi="Times New Roman" w:cs="Times New Roman"/>
          <w:sz w:val="24"/>
          <w:szCs w:val="24"/>
        </w:rPr>
        <w:t>which</w:t>
      </w:r>
      <w:r w:rsidR="00D91D1C">
        <w:rPr>
          <w:rFonts w:ascii="Times New Roman" w:hAnsi="Times New Roman" w:cs="Times New Roman"/>
          <w:sz w:val="24"/>
          <w:szCs w:val="24"/>
        </w:rPr>
        <w:t xml:space="preserve"> further</w:t>
      </w:r>
      <w:r w:rsidR="000B2266">
        <w:rPr>
          <w:rFonts w:ascii="Times New Roman" w:hAnsi="Times New Roman" w:cs="Times New Roman"/>
          <w:sz w:val="24"/>
          <w:szCs w:val="24"/>
        </w:rPr>
        <w:t xml:space="preserve"> </w:t>
      </w:r>
      <w:r w:rsidR="000B2266" w:rsidRPr="000B2266">
        <w:rPr>
          <w:rFonts w:ascii="Times New Roman" w:hAnsi="Times New Roman" w:cs="Times New Roman"/>
          <w:sz w:val="24"/>
          <w:szCs w:val="24"/>
        </w:rPr>
        <w:t>led</w:t>
      </w:r>
      <w:r w:rsidR="000B2266">
        <w:rPr>
          <w:rFonts w:ascii="Times New Roman" w:hAnsi="Times New Roman" w:cs="Times New Roman"/>
          <w:sz w:val="24"/>
          <w:szCs w:val="24"/>
        </w:rPr>
        <w:t xml:space="preserve"> </w:t>
      </w:r>
      <w:r w:rsidR="000B2266" w:rsidRPr="000B2266">
        <w:rPr>
          <w:rFonts w:ascii="Times New Roman" w:hAnsi="Times New Roman" w:cs="Times New Roman"/>
          <w:sz w:val="24"/>
          <w:szCs w:val="24"/>
        </w:rPr>
        <w:t>to substantial balance of payments gaps, triggering fast depreciations and</w:t>
      </w:r>
      <w:r w:rsidR="000B2266">
        <w:rPr>
          <w:rFonts w:ascii="Times New Roman" w:hAnsi="Times New Roman" w:cs="Times New Roman"/>
          <w:sz w:val="24"/>
          <w:szCs w:val="24"/>
        </w:rPr>
        <w:t xml:space="preserve"> </w:t>
      </w:r>
      <w:r w:rsidR="000B2266" w:rsidRPr="000B2266">
        <w:rPr>
          <w:rFonts w:ascii="Times New Roman" w:hAnsi="Times New Roman" w:cs="Times New Roman"/>
          <w:sz w:val="24"/>
          <w:szCs w:val="24"/>
        </w:rPr>
        <w:t>higher exchange rate v</w:t>
      </w:r>
      <w:r w:rsidR="000B2266">
        <w:rPr>
          <w:rFonts w:ascii="Times New Roman" w:hAnsi="Times New Roman" w:cs="Times New Roman"/>
          <w:sz w:val="24"/>
          <w:szCs w:val="24"/>
        </w:rPr>
        <w:t>olatility</w:t>
      </w:r>
      <w:r w:rsidR="000B2266" w:rsidRPr="000B2266">
        <w:rPr>
          <w:rFonts w:ascii="Times New Roman" w:hAnsi="Times New Roman" w:cs="Times New Roman"/>
          <w:sz w:val="24"/>
          <w:szCs w:val="24"/>
        </w:rPr>
        <w:t>.</w:t>
      </w:r>
      <w:r w:rsidR="00F85155">
        <w:rPr>
          <w:rFonts w:ascii="Times New Roman" w:hAnsi="Times New Roman" w:cs="Times New Roman"/>
          <w:sz w:val="24"/>
          <w:szCs w:val="24"/>
        </w:rPr>
        <w:t xml:space="preserve"> </w:t>
      </w:r>
    </w:p>
    <w:p w:rsidR="00F608A2" w:rsidRDefault="00EF31B5"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Kenya</w:t>
      </w:r>
      <w:r w:rsidR="00A729C2">
        <w:rPr>
          <w:rFonts w:ascii="Times New Roman" w:hAnsi="Times New Roman" w:cs="Times New Roman"/>
          <w:sz w:val="24"/>
          <w:szCs w:val="24"/>
        </w:rPr>
        <w:t xml:space="preserve"> (being part of SSA)</w:t>
      </w:r>
      <w:r>
        <w:rPr>
          <w:rFonts w:ascii="Times New Roman" w:hAnsi="Times New Roman" w:cs="Times New Roman"/>
          <w:sz w:val="24"/>
          <w:szCs w:val="24"/>
        </w:rPr>
        <w:t xml:space="preserve"> was not spared:</w:t>
      </w:r>
      <w:r w:rsidR="00EA7C25" w:rsidRPr="00EA7C25">
        <w:rPr>
          <w:rFonts w:ascii="Times New Roman" w:hAnsi="Times New Roman" w:cs="Times New Roman"/>
          <w:sz w:val="24"/>
          <w:szCs w:val="24"/>
        </w:rPr>
        <w:t xml:space="preserve"> The current account deficit rose from $2.12 billion in 2008 to $2.388 bi</w:t>
      </w:r>
      <w:r>
        <w:rPr>
          <w:rFonts w:ascii="Times New Roman" w:hAnsi="Times New Roman" w:cs="Times New Roman"/>
          <w:sz w:val="24"/>
          <w:szCs w:val="24"/>
        </w:rPr>
        <w:t>llion in the year</w:t>
      </w:r>
      <w:r w:rsidR="00EA7C25" w:rsidRPr="00EA7C25">
        <w:rPr>
          <w:rFonts w:ascii="Times New Roman" w:hAnsi="Times New Roman" w:cs="Times New Roman"/>
          <w:sz w:val="24"/>
          <w:szCs w:val="24"/>
        </w:rPr>
        <w:t>, affecting the exchange rate and foreign exchange reserves. Implementation of the 2008/09 budget also faced numerous challenges, which included inability to achieve revenue targets and additiona</w:t>
      </w:r>
      <w:r>
        <w:rPr>
          <w:rFonts w:ascii="Times New Roman" w:hAnsi="Times New Roman" w:cs="Times New Roman"/>
          <w:sz w:val="24"/>
          <w:szCs w:val="24"/>
        </w:rPr>
        <w:t xml:space="preserve">l drought-related expenditures </w:t>
      </w:r>
      <w:r w:rsidR="00EB136C">
        <w:rPr>
          <w:rFonts w:ascii="Times New Roman" w:hAnsi="Times New Roman" w:cs="Times New Roman"/>
          <w:sz w:val="24"/>
          <w:szCs w:val="24"/>
        </w:rPr>
        <w:t>(</w:t>
      </w:r>
      <w:proofErr w:type="spellStart"/>
      <w:r w:rsidR="00EB136C">
        <w:rPr>
          <w:rFonts w:ascii="Times New Roman" w:hAnsi="Times New Roman" w:cs="Times New Roman"/>
          <w:sz w:val="24"/>
          <w:szCs w:val="24"/>
        </w:rPr>
        <w:t>Mwega</w:t>
      </w:r>
      <w:proofErr w:type="spellEnd"/>
      <w:r w:rsidR="00EB136C">
        <w:rPr>
          <w:rFonts w:ascii="Times New Roman" w:hAnsi="Times New Roman" w:cs="Times New Roman"/>
          <w:sz w:val="24"/>
          <w:szCs w:val="24"/>
        </w:rPr>
        <w:t xml:space="preserve"> [16]</w:t>
      </w:r>
      <w:r w:rsidR="00EA7C25">
        <w:rPr>
          <w:rFonts w:ascii="Times New Roman" w:hAnsi="Times New Roman" w:cs="Times New Roman"/>
          <w:sz w:val="24"/>
          <w:szCs w:val="24"/>
        </w:rPr>
        <w:t xml:space="preserve">). </w:t>
      </w:r>
      <w:r w:rsidR="00D05366">
        <w:rPr>
          <w:rFonts w:ascii="Times New Roman" w:hAnsi="Times New Roman" w:cs="Times New Roman"/>
          <w:sz w:val="24"/>
          <w:szCs w:val="24"/>
        </w:rPr>
        <w:t xml:space="preserve">There are </w:t>
      </w:r>
      <w:r w:rsidR="00D05366">
        <w:rPr>
          <w:rFonts w:ascii="Times New Roman" w:hAnsi="Times New Roman" w:cs="Times New Roman"/>
          <w:sz w:val="24"/>
          <w:szCs w:val="24"/>
        </w:rPr>
        <w:lastRenderedPageBreak/>
        <w:t xml:space="preserve">several other </w:t>
      </w:r>
      <w:r>
        <w:rPr>
          <w:rFonts w:ascii="Times New Roman" w:hAnsi="Times New Roman" w:cs="Times New Roman"/>
          <w:sz w:val="24"/>
          <w:szCs w:val="24"/>
        </w:rPr>
        <w:t xml:space="preserve">country-specific </w:t>
      </w:r>
      <w:r w:rsidR="00D05366">
        <w:rPr>
          <w:rFonts w:ascii="Times New Roman" w:hAnsi="Times New Roman" w:cs="Times New Roman"/>
          <w:sz w:val="24"/>
          <w:szCs w:val="24"/>
        </w:rPr>
        <w:t>studies on the impact of the crisis to Africa</w:t>
      </w:r>
      <w:r w:rsidR="00D91D1C">
        <w:rPr>
          <w:rFonts w:ascii="Times New Roman" w:hAnsi="Times New Roman" w:cs="Times New Roman"/>
          <w:sz w:val="24"/>
          <w:szCs w:val="24"/>
        </w:rPr>
        <w:t>n countries</w:t>
      </w:r>
      <w:r w:rsidR="004300AA">
        <w:rPr>
          <w:rFonts w:ascii="Times New Roman" w:hAnsi="Times New Roman" w:cs="Times New Roman"/>
          <w:sz w:val="24"/>
          <w:szCs w:val="24"/>
        </w:rPr>
        <w:t>. See for example,</w:t>
      </w:r>
      <w:r w:rsidR="00D05366">
        <w:rPr>
          <w:rFonts w:ascii="Times New Roman" w:hAnsi="Times New Roman" w:cs="Times New Roman"/>
          <w:sz w:val="24"/>
          <w:szCs w:val="24"/>
        </w:rPr>
        <w:t xml:space="preserve"> </w:t>
      </w:r>
      <w:proofErr w:type="spellStart"/>
      <w:r w:rsidR="00EB136C">
        <w:rPr>
          <w:rFonts w:ascii="Times New Roman" w:hAnsi="Times New Roman" w:cs="Times New Roman"/>
          <w:sz w:val="24"/>
          <w:szCs w:val="24"/>
        </w:rPr>
        <w:t>Kilonzo</w:t>
      </w:r>
      <w:proofErr w:type="spellEnd"/>
      <w:r w:rsidR="00EB136C">
        <w:rPr>
          <w:rFonts w:ascii="Times New Roman" w:hAnsi="Times New Roman" w:cs="Times New Roman"/>
          <w:sz w:val="24"/>
          <w:szCs w:val="24"/>
        </w:rPr>
        <w:t xml:space="preserve"> [18]</w:t>
      </w:r>
      <w:r w:rsidR="004A0C97">
        <w:rPr>
          <w:rFonts w:ascii="Times New Roman" w:hAnsi="Times New Roman" w:cs="Times New Roman"/>
          <w:sz w:val="24"/>
          <w:szCs w:val="24"/>
        </w:rPr>
        <w:t xml:space="preserve">, </w:t>
      </w:r>
      <w:proofErr w:type="spellStart"/>
      <w:r w:rsidR="004A0C97">
        <w:rPr>
          <w:rFonts w:ascii="Times New Roman" w:hAnsi="Times New Roman" w:cs="Times New Roman"/>
          <w:sz w:val="24"/>
          <w:szCs w:val="24"/>
        </w:rPr>
        <w:t>Anyanwu</w:t>
      </w:r>
      <w:proofErr w:type="spellEnd"/>
      <w:r w:rsidR="00D05366">
        <w:rPr>
          <w:rFonts w:ascii="Times New Roman" w:hAnsi="Times New Roman" w:cs="Times New Roman"/>
          <w:sz w:val="24"/>
          <w:szCs w:val="24"/>
        </w:rPr>
        <w:t xml:space="preserve"> </w:t>
      </w:r>
      <w:r w:rsidR="00EB136C">
        <w:rPr>
          <w:rFonts w:ascii="Times New Roman" w:hAnsi="Times New Roman" w:cs="Times New Roman"/>
          <w:sz w:val="24"/>
          <w:szCs w:val="24"/>
        </w:rPr>
        <w:t>[19]</w:t>
      </w:r>
      <w:r w:rsidR="004A0C97">
        <w:rPr>
          <w:rFonts w:ascii="Times New Roman" w:hAnsi="Times New Roman" w:cs="Times New Roman"/>
          <w:sz w:val="24"/>
          <w:szCs w:val="24"/>
        </w:rPr>
        <w:t>,</w:t>
      </w:r>
      <w:r w:rsidR="00D05366">
        <w:rPr>
          <w:rFonts w:ascii="Times New Roman" w:hAnsi="Times New Roman" w:cs="Times New Roman"/>
          <w:sz w:val="24"/>
          <w:szCs w:val="24"/>
        </w:rPr>
        <w:t xml:space="preserve"> </w:t>
      </w:r>
      <w:r w:rsidR="004300AA">
        <w:rPr>
          <w:rFonts w:ascii="Times New Roman" w:hAnsi="Times New Roman" w:cs="Times New Roman"/>
          <w:sz w:val="24"/>
          <w:szCs w:val="24"/>
        </w:rPr>
        <w:t xml:space="preserve">among others. </w:t>
      </w:r>
    </w:p>
    <w:p w:rsidR="0087133B" w:rsidRPr="0087133B" w:rsidRDefault="004B4316"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D91D1C">
        <w:rPr>
          <w:rFonts w:ascii="Times New Roman" w:hAnsi="Times New Roman" w:cs="Times New Roman"/>
          <w:sz w:val="24"/>
          <w:szCs w:val="24"/>
        </w:rPr>
        <w:t xml:space="preserve"> </w:t>
      </w:r>
      <w:r w:rsidR="00210DC8" w:rsidRPr="00210DC8">
        <w:rPr>
          <w:rFonts w:ascii="Times New Roman" w:hAnsi="Times New Roman" w:cs="Times New Roman"/>
          <w:sz w:val="24"/>
          <w:szCs w:val="24"/>
        </w:rPr>
        <w:t>election violence of 2008</w:t>
      </w:r>
      <w:r w:rsidR="00210DC8">
        <w:rPr>
          <w:rFonts w:ascii="Times New Roman" w:hAnsi="Times New Roman" w:cs="Times New Roman"/>
          <w:sz w:val="24"/>
          <w:szCs w:val="24"/>
        </w:rPr>
        <w:t xml:space="preserve"> </w:t>
      </w:r>
      <w:r w:rsidR="00466E72">
        <w:rPr>
          <w:rFonts w:ascii="Times New Roman" w:hAnsi="Times New Roman" w:cs="Times New Roman"/>
          <w:sz w:val="24"/>
          <w:szCs w:val="24"/>
        </w:rPr>
        <w:t>is another major</w:t>
      </w:r>
      <w:r w:rsidR="00F608A2">
        <w:rPr>
          <w:rFonts w:ascii="Times New Roman" w:hAnsi="Times New Roman" w:cs="Times New Roman"/>
          <w:sz w:val="24"/>
          <w:szCs w:val="24"/>
        </w:rPr>
        <w:t xml:space="preserve"> crisis </w:t>
      </w:r>
      <w:r w:rsidR="00466E72">
        <w:rPr>
          <w:rFonts w:ascii="Times New Roman" w:hAnsi="Times New Roman" w:cs="Times New Roman"/>
          <w:sz w:val="24"/>
          <w:szCs w:val="24"/>
        </w:rPr>
        <w:t xml:space="preserve">which </w:t>
      </w:r>
      <w:r w:rsidR="00F608A2">
        <w:rPr>
          <w:rFonts w:ascii="Times New Roman" w:hAnsi="Times New Roman" w:cs="Times New Roman"/>
          <w:sz w:val="24"/>
          <w:szCs w:val="24"/>
        </w:rPr>
        <w:t xml:space="preserve">makes </w:t>
      </w:r>
      <w:r w:rsidR="00466E72">
        <w:rPr>
          <w:rFonts w:ascii="Times New Roman" w:hAnsi="Times New Roman" w:cs="Times New Roman"/>
          <w:sz w:val="24"/>
          <w:szCs w:val="24"/>
        </w:rPr>
        <w:t>the case of Kenya</w:t>
      </w:r>
      <w:r w:rsidR="00F608A2">
        <w:rPr>
          <w:rFonts w:ascii="Times New Roman" w:hAnsi="Times New Roman" w:cs="Times New Roman"/>
          <w:sz w:val="24"/>
          <w:szCs w:val="24"/>
        </w:rPr>
        <w:t xml:space="preserve"> a peculiar one</w:t>
      </w:r>
      <w:r w:rsidR="00F608A2" w:rsidRPr="00F608A2">
        <w:rPr>
          <w:rFonts w:ascii="Times New Roman" w:hAnsi="Times New Roman" w:cs="Times New Roman"/>
          <w:sz w:val="24"/>
          <w:szCs w:val="24"/>
        </w:rPr>
        <w:t>,</w:t>
      </w:r>
      <w:r w:rsidR="00F608A2">
        <w:rPr>
          <w:rFonts w:ascii="Times New Roman" w:hAnsi="Times New Roman" w:cs="Times New Roman"/>
          <w:sz w:val="24"/>
          <w:szCs w:val="24"/>
        </w:rPr>
        <w:t xml:space="preserve"> worthy of investigation.</w:t>
      </w:r>
      <w:r w:rsidR="00210DC8">
        <w:rPr>
          <w:rFonts w:ascii="Times New Roman" w:hAnsi="Times New Roman" w:cs="Times New Roman"/>
          <w:sz w:val="24"/>
          <w:szCs w:val="24"/>
        </w:rPr>
        <w:t xml:space="preserve"> </w:t>
      </w:r>
      <w:r w:rsidR="00A729C2">
        <w:rPr>
          <w:rFonts w:ascii="Times New Roman" w:hAnsi="Times New Roman" w:cs="Times New Roman"/>
          <w:sz w:val="24"/>
          <w:szCs w:val="24"/>
        </w:rPr>
        <w:t xml:space="preserve">It is of interest to determine the individual impact of the election violence and the global crisis on both exchange rate returns and volatility. This will provide information about the state of Kenyan capital market with a view to enhancing the economy </w:t>
      </w:r>
      <w:proofErr w:type="spellStart"/>
      <w:r w:rsidR="00A729C2">
        <w:rPr>
          <w:rFonts w:ascii="Times New Roman" w:hAnsi="Times New Roman" w:cs="Times New Roman"/>
          <w:sz w:val="24"/>
          <w:szCs w:val="24"/>
        </w:rPr>
        <w:t>viz</w:t>
      </w:r>
      <w:proofErr w:type="spellEnd"/>
      <w:r w:rsidR="00A729C2">
        <w:rPr>
          <w:rFonts w:ascii="Times New Roman" w:hAnsi="Times New Roman" w:cs="Times New Roman"/>
          <w:sz w:val="24"/>
          <w:szCs w:val="24"/>
        </w:rPr>
        <w:t>-a-</w:t>
      </w:r>
      <w:proofErr w:type="spellStart"/>
      <w:r w:rsidR="00A729C2">
        <w:rPr>
          <w:rFonts w:ascii="Times New Roman" w:hAnsi="Times New Roman" w:cs="Times New Roman"/>
          <w:sz w:val="24"/>
          <w:szCs w:val="24"/>
        </w:rPr>
        <w:t>viz</w:t>
      </w:r>
      <w:proofErr w:type="spellEnd"/>
      <w:r w:rsidR="00A729C2">
        <w:rPr>
          <w:rFonts w:ascii="Times New Roman" w:hAnsi="Times New Roman" w:cs="Times New Roman"/>
          <w:sz w:val="24"/>
          <w:szCs w:val="24"/>
        </w:rPr>
        <w:t xml:space="preserve"> the </w:t>
      </w:r>
      <w:proofErr w:type="spellStart"/>
      <w:r w:rsidR="00A729C2">
        <w:rPr>
          <w:rFonts w:ascii="Times New Roman" w:hAnsi="Times New Roman" w:cs="Times New Roman"/>
          <w:sz w:val="24"/>
          <w:szCs w:val="24"/>
        </w:rPr>
        <w:t>Millenium</w:t>
      </w:r>
      <w:proofErr w:type="spellEnd"/>
      <w:r w:rsidR="00A729C2">
        <w:rPr>
          <w:rFonts w:ascii="Times New Roman" w:hAnsi="Times New Roman" w:cs="Times New Roman"/>
          <w:sz w:val="24"/>
          <w:szCs w:val="24"/>
        </w:rPr>
        <w:t xml:space="preserve"> Development Goals.</w:t>
      </w:r>
    </w:p>
    <w:p w:rsidR="009237FF" w:rsidRDefault="00CA377D" w:rsidP="00BD2665">
      <w:pPr>
        <w:pStyle w:val="FirstParagraph5"/>
        <w:spacing w:before="120" w:line="480" w:lineRule="auto"/>
        <w:jc w:val="both"/>
        <w:rPr>
          <w:rFonts w:ascii="Times New Roman" w:hAnsi="Times New Roman" w:cs="Times New Roman"/>
        </w:rPr>
      </w:pPr>
      <w:r w:rsidRPr="00CA377D">
        <w:rPr>
          <w:rFonts w:ascii="Times New Roman" w:hAnsi="Times New Roman" w:cs="Times New Roman"/>
        </w:rPr>
        <w:t>Another contribution of the present study is that</w:t>
      </w:r>
      <w:r w:rsidR="00AC5A3C" w:rsidRPr="00AC5A3C">
        <w:rPr>
          <w:rFonts w:ascii="Times New Roman" w:hAnsi="Times New Roman" w:cs="Times New Roman"/>
          <w:szCs w:val="23"/>
        </w:rPr>
        <w:t xml:space="preserve"> </w:t>
      </w:r>
      <w:r w:rsidR="00AC5A3C" w:rsidRPr="00400738">
        <w:rPr>
          <w:rFonts w:ascii="Times New Roman" w:hAnsi="Times New Roman" w:cs="Times New Roman"/>
          <w:szCs w:val="23"/>
        </w:rPr>
        <w:t xml:space="preserve">two </w:t>
      </w:r>
      <w:r w:rsidR="004B4316">
        <w:rPr>
          <w:rFonts w:ascii="Times New Roman" w:hAnsi="Times New Roman" w:cs="Times New Roman"/>
          <w:szCs w:val="23"/>
        </w:rPr>
        <w:t>method</w:t>
      </w:r>
      <w:r w:rsidR="00AC5A3C" w:rsidRPr="00400738">
        <w:rPr>
          <w:rFonts w:ascii="Times New Roman" w:hAnsi="Times New Roman" w:cs="Times New Roman"/>
          <w:szCs w:val="23"/>
        </w:rPr>
        <w:t xml:space="preserve">s have been </w:t>
      </w:r>
      <w:r w:rsidR="00AC5A3C">
        <w:rPr>
          <w:rFonts w:ascii="Times New Roman" w:hAnsi="Times New Roman" w:cs="Times New Roman"/>
          <w:szCs w:val="23"/>
        </w:rPr>
        <w:t xml:space="preserve">employed; the </w:t>
      </w:r>
      <w:r w:rsidR="00861AA1">
        <w:rPr>
          <w:rFonts w:ascii="Times New Roman" w:hAnsi="Times New Roman" w:cs="Times New Roman"/>
          <w:szCs w:val="23"/>
        </w:rPr>
        <w:t xml:space="preserve">(i) </w:t>
      </w:r>
      <w:r w:rsidR="00AC5A3C">
        <w:rPr>
          <w:rFonts w:ascii="Times New Roman" w:hAnsi="Times New Roman" w:cs="Times New Roman"/>
          <w:szCs w:val="23"/>
        </w:rPr>
        <w:t xml:space="preserve">dichotomous </w:t>
      </w:r>
      <w:r w:rsidR="00193C28">
        <w:rPr>
          <w:rFonts w:ascii="Times New Roman" w:hAnsi="Times New Roman" w:cs="Times New Roman"/>
          <w:szCs w:val="23"/>
        </w:rPr>
        <w:t xml:space="preserve">volatility </w:t>
      </w:r>
      <w:r w:rsidR="00AC5A3C">
        <w:rPr>
          <w:rFonts w:ascii="Times New Roman" w:hAnsi="Times New Roman" w:cs="Times New Roman"/>
          <w:szCs w:val="23"/>
        </w:rPr>
        <w:t>model</w:t>
      </w:r>
      <w:r w:rsidR="00193C28">
        <w:rPr>
          <w:rFonts w:ascii="Times New Roman" w:hAnsi="Times New Roman" w:cs="Times New Roman"/>
          <w:szCs w:val="23"/>
        </w:rPr>
        <w:t>s</w:t>
      </w:r>
      <w:r w:rsidR="00AC5A3C">
        <w:rPr>
          <w:rFonts w:ascii="Times New Roman" w:hAnsi="Times New Roman" w:cs="Times New Roman"/>
          <w:szCs w:val="23"/>
        </w:rPr>
        <w:t xml:space="preserve"> and</w:t>
      </w:r>
      <w:r w:rsidR="00861AA1">
        <w:rPr>
          <w:rFonts w:ascii="Times New Roman" w:hAnsi="Times New Roman" w:cs="Times New Roman"/>
          <w:szCs w:val="23"/>
        </w:rPr>
        <w:t xml:space="preserve"> (ii)</w:t>
      </w:r>
      <w:r w:rsidR="00AC5A3C">
        <w:rPr>
          <w:rFonts w:ascii="Times New Roman" w:hAnsi="Times New Roman" w:cs="Times New Roman"/>
          <w:szCs w:val="23"/>
        </w:rPr>
        <w:t xml:space="preserve"> s</w:t>
      </w:r>
      <w:r w:rsidR="00AC5A3C" w:rsidRPr="00803638">
        <w:rPr>
          <w:rFonts w:ascii="Times New Roman" w:hAnsi="Times New Roman" w:cs="Times New Roman"/>
          <w:szCs w:val="23"/>
        </w:rPr>
        <w:t>tandard statistical analysis of subsamples comparisons</w:t>
      </w:r>
      <w:r w:rsidR="00AC5A3C">
        <w:rPr>
          <w:rFonts w:ascii="Times New Roman" w:hAnsi="Times New Roman" w:cs="Times New Roman"/>
          <w:szCs w:val="23"/>
        </w:rPr>
        <w:t>.</w:t>
      </w:r>
      <w:r w:rsidRPr="00CA377D">
        <w:rPr>
          <w:rFonts w:ascii="Times New Roman" w:hAnsi="Times New Roman" w:cs="Times New Roman"/>
        </w:rPr>
        <w:t xml:space="preserve"> Usually, for studies of this nature, </w:t>
      </w:r>
      <w:r>
        <w:rPr>
          <w:rFonts w:ascii="Times New Roman" w:hAnsi="Times New Roman" w:cs="Times New Roman"/>
        </w:rPr>
        <w:t xml:space="preserve">the common approach is </w:t>
      </w:r>
      <w:r w:rsidR="00AC5A3C">
        <w:rPr>
          <w:rFonts w:ascii="Times New Roman" w:hAnsi="Times New Roman" w:cs="Times New Roman"/>
        </w:rPr>
        <w:t xml:space="preserve">the latter, i.e. </w:t>
      </w:r>
      <w:r>
        <w:rPr>
          <w:rFonts w:ascii="Times New Roman" w:hAnsi="Times New Roman" w:cs="Times New Roman"/>
        </w:rPr>
        <w:t xml:space="preserve">to </w:t>
      </w:r>
      <w:r>
        <w:rPr>
          <w:rFonts w:ascii="Times New Roman" w:hAnsi="Times New Roman" w:cs="Times New Roman"/>
          <w:szCs w:val="23"/>
        </w:rPr>
        <w:t xml:space="preserve">divide </w:t>
      </w:r>
      <w:r>
        <w:rPr>
          <w:rFonts w:ascii="Times New Roman" w:hAnsi="Times New Roman" w:cs="Times New Roman"/>
        </w:rPr>
        <w:t xml:space="preserve">the entire sample period into </w:t>
      </w:r>
      <w:proofErr w:type="spellStart"/>
      <w:r>
        <w:rPr>
          <w:rFonts w:ascii="Times New Roman" w:hAnsi="Times New Roman" w:cs="Times New Roman"/>
        </w:rPr>
        <w:t>subperiods</w:t>
      </w:r>
      <w:proofErr w:type="spellEnd"/>
      <w:r w:rsidR="00D91D1C">
        <w:rPr>
          <w:rFonts w:ascii="Times New Roman" w:hAnsi="Times New Roman" w:cs="Times New Roman"/>
        </w:rPr>
        <w:t xml:space="preserve"> – pre-crises, during crise</w:t>
      </w:r>
      <w:r>
        <w:rPr>
          <w:rFonts w:ascii="Times New Roman" w:hAnsi="Times New Roman" w:cs="Times New Roman"/>
        </w:rPr>
        <w:t>s</w:t>
      </w:r>
      <w:r w:rsidR="00D91D1C">
        <w:rPr>
          <w:rFonts w:ascii="Times New Roman" w:hAnsi="Times New Roman" w:cs="Times New Roman"/>
        </w:rPr>
        <w:t xml:space="preserve"> and post-crises</w:t>
      </w:r>
      <w:r>
        <w:rPr>
          <w:rFonts w:ascii="Times New Roman" w:hAnsi="Times New Roman" w:cs="Times New Roman"/>
        </w:rPr>
        <w:t xml:space="preserve">. Then, obtain volatility equations based on the subsamples and compare the results. </w:t>
      </w:r>
      <w:r w:rsidRPr="00CA377D">
        <w:rPr>
          <w:rFonts w:ascii="Times New Roman" w:hAnsi="Times New Roman" w:cs="Times New Roman"/>
        </w:rPr>
        <w:t>However, the present study acknowledges that this common approach is rather a mechanical estimation of the volatility model. Such a model may well have different parameters from year to year, and volatility may be triggered by changes in level (i.e. persistent movements in the same direction), in which case the interpretation would be rather different. Thus, it is i</w:t>
      </w:r>
      <w:r w:rsidR="00005DAF">
        <w:rPr>
          <w:rFonts w:ascii="Times New Roman" w:hAnsi="Times New Roman" w:cs="Times New Roman"/>
        </w:rPr>
        <w:t xml:space="preserve">mportant to investigate, first, if the change in </w:t>
      </w:r>
      <w:r w:rsidRPr="00CA377D">
        <w:rPr>
          <w:rFonts w:ascii="Times New Roman" w:hAnsi="Times New Roman" w:cs="Times New Roman"/>
        </w:rPr>
        <w:t>conditional vari</w:t>
      </w:r>
      <w:r w:rsidR="00210DC8">
        <w:rPr>
          <w:rFonts w:ascii="Times New Roman" w:hAnsi="Times New Roman" w:cs="Times New Roman"/>
        </w:rPr>
        <w:t>ance is as a result of the crises. In the light of this, the present</w:t>
      </w:r>
      <w:r w:rsidRPr="00CA377D">
        <w:rPr>
          <w:rFonts w:ascii="Times New Roman" w:hAnsi="Times New Roman" w:cs="Times New Roman"/>
        </w:rPr>
        <w:t xml:space="preserve"> paper introduces a dummy variable </w:t>
      </w:r>
      <w:r w:rsidRPr="00CA377D">
        <w:rPr>
          <w:rFonts w:ascii="Times New Roman" w:hAnsi="Times New Roman" w:cs="Times New Roman"/>
          <w:b/>
        </w:rPr>
        <w:t xml:space="preserve">C </w:t>
      </w:r>
      <w:r w:rsidRPr="00CA377D">
        <w:rPr>
          <w:rFonts w:ascii="Times New Roman" w:hAnsi="Times New Roman" w:cs="Times New Roman"/>
        </w:rPr>
        <w:t>in the volatility equation</w:t>
      </w:r>
      <w:r w:rsidR="00B60450">
        <w:rPr>
          <w:rFonts w:ascii="Times New Roman" w:hAnsi="Times New Roman" w:cs="Times New Roman"/>
        </w:rPr>
        <w:t xml:space="preserve"> </w:t>
      </w:r>
      <w:r w:rsidR="001A5595">
        <w:rPr>
          <w:rFonts w:ascii="Times New Roman" w:hAnsi="Times New Roman" w:cs="Times New Roman"/>
        </w:rPr>
        <w:t>whic</w:t>
      </w:r>
      <w:r w:rsidR="00210DC8">
        <w:rPr>
          <w:rFonts w:ascii="Times New Roman" w:hAnsi="Times New Roman" w:cs="Times New Roman"/>
        </w:rPr>
        <w:t>h takes value 1 during the crise</w:t>
      </w:r>
      <w:r w:rsidR="004B4316">
        <w:rPr>
          <w:rFonts w:ascii="Times New Roman" w:hAnsi="Times New Roman" w:cs="Times New Roman"/>
        </w:rPr>
        <w:t>s period and 0 in the non-crises period</w:t>
      </w:r>
      <w:r w:rsidR="001A5595">
        <w:rPr>
          <w:rFonts w:ascii="Times New Roman" w:hAnsi="Times New Roman" w:cs="Times New Roman"/>
        </w:rPr>
        <w:t xml:space="preserve">. </w:t>
      </w:r>
      <w:r w:rsidR="00B60450">
        <w:rPr>
          <w:rFonts w:ascii="Times New Roman" w:hAnsi="Times New Roman" w:cs="Times New Roman"/>
        </w:rPr>
        <w:t>Once it has</w:t>
      </w:r>
      <w:r w:rsidR="00210DC8">
        <w:rPr>
          <w:rFonts w:ascii="Times New Roman" w:hAnsi="Times New Roman" w:cs="Times New Roman"/>
        </w:rPr>
        <w:t xml:space="preserve"> been established that the crises have</w:t>
      </w:r>
      <w:r w:rsidR="00B60450">
        <w:rPr>
          <w:rFonts w:ascii="Times New Roman" w:hAnsi="Times New Roman" w:cs="Times New Roman"/>
        </w:rPr>
        <w:t xml:space="preserve"> some impact then the second step</w:t>
      </w:r>
      <w:r w:rsidR="00005DAF">
        <w:rPr>
          <w:rFonts w:ascii="Times New Roman" w:hAnsi="Times New Roman" w:cs="Times New Roman"/>
        </w:rPr>
        <w:t xml:space="preserve"> is to </w:t>
      </w:r>
      <w:r w:rsidR="00D91D1C">
        <w:rPr>
          <w:rFonts w:ascii="Times New Roman" w:hAnsi="Times New Roman" w:cs="Times New Roman"/>
        </w:rPr>
        <w:t>investigate the extent using</w:t>
      </w:r>
      <w:r w:rsidR="00210DC8">
        <w:rPr>
          <w:rFonts w:ascii="Times New Roman" w:hAnsi="Times New Roman" w:cs="Times New Roman"/>
        </w:rPr>
        <w:t xml:space="preserve"> volatility equations obtained for </w:t>
      </w:r>
      <w:proofErr w:type="spellStart"/>
      <w:r w:rsidR="00210DC8">
        <w:rPr>
          <w:rFonts w:ascii="Times New Roman" w:hAnsi="Times New Roman" w:cs="Times New Roman"/>
        </w:rPr>
        <w:t>subperiods</w:t>
      </w:r>
      <w:proofErr w:type="spellEnd"/>
      <w:r w:rsidR="00D91D1C">
        <w:rPr>
          <w:rFonts w:ascii="Times New Roman" w:hAnsi="Times New Roman" w:cs="Times New Roman"/>
        </w:rPr>
        <w:t>.</w:t>
      </w:r>
    </w:p>
    <w:p w:rsidR="001A5595" w:rsidRDefault="001A5595" w:rsidP="00BD2665">
      <w:pPr>
        <w:pStyle w:val="FirstParagraph5"/>
        <w:spacing w:before="120" w:line="480" w:lineRule="auto"/>
        <w:jc w:val="both"/>
        <w:rPr>
          <w:rFonts w:ascii="Times New Roman" w:hAnsi="Times New Roman" w:cs="Times New Roman"/>
        </w:rPr>
      </w:pPr>
      <w:r w:rsidRPr="00D74E63">
        <w:rPr>
          <w:rFonts w:ascii="Times New Roman" w:hAnsi="Times New Roman" w:cs="Times New Roman"/>
        </w:rPr>
        <w:t>The r</w:t>
      </w:r>
      <w:r>
        <w:rPr>
          <w:rFonts w:ascii="Times New Roman" w:hAnsi="Times New Roman" w:cs="Times New Roman"/>
        </w:rPr>
        <w:t>emainder of the paper is organiz</w:t>
      </w:r>
      <w:r w:rsidRPr="00D74E63">
        <w:rPr>
          <w:rFonts w:ascii="Times New Roman" w:hAnsi="Times New Roman" w:cs="Times New Roman"/>
        </w:rPr>
        <w:t xml:space="preserve">ed in the following manner. Section 2 reviews related literature. Section </w:t>
      </w:r>
      <w:r>
        <w:rPr>
          <w:rFonts w:ascii="Times New Roman" w:hAnsi="Times New Roman" w:cs="Times New Roman"/>
        </w:rPr>
        <w:t>3</w:t>
      </w:r>
      <w:r w:rsidRPr="00D74E63">
        <w:rPr>
          <w:rFonts w:ascii="Times New Roman" w:hAnsi="Times New Roman" w:cs="Times New Roman"/>
        </w:rPr>
        <w:t xml:space="preserve"> </w:t>
      </w:r>
      <w:r>
        <w:rPr>
          <w:rFonts w:ascii="Times New Roman" w:hAnsi="Times New Roman" w:cs="Times New Roman"/>
        </w:rPr>
        <w:t>describ</w:t>
      </w:r>
      <w:r w:rsidRPr="00D74E63">
        <w:rPr>
          <w:rFonts w:ascii="Times New Roman" w:hAnsi="Times New Roman" w:cs="Times New Roman"/>
        </w:rPr>
        <w:t xml:space="preserve">es </w:t>
      </w:r>
      <w:r>
        <w:rPr>
          <w:rFonts w:ascii="Times New Roman" w:hAnsi="Times New Roman" w:cs="Times New Roman"/>
        </w:rPr>
        <w:t>developments in the Kenyan</w:t>
      </w:r>
      <w:r w:rsidRPr="00F96389">
        <w:rPr>
          <w:rFonts w:ascii="Times New Roman" w:hAnsi="Times New Roman" w:cs="Times New Roman"/>
        </w:rPr>
        <w:t xml:space="preserve"> foreign exchange market</w:t>
      </w:r>
      <w:r>
        <w:rPr>
          <w:rFonts w:ascii="Times New Roman" w:hAnsi="Times New Roman" w:cs="Times New Roman"/>
        </w:rPr>
        <w:t xml:space="preserve"> before and </w:t>
      </w:r>
      <w:r>
        <w:rPr>
          <w:rFonts w:ascii="Times New Roman" w:hAnsi="Times New Roman" w:cs="Times New Roman"/>
        </w:rPr>
        <w:lastRenderedPageBreak/>
        <w:t>during the</w:t>
      </w:r>
      <w:r w:rsidRPr="00F96389">
        <w:rPr>
          <w:rFonts w:ascii="Times New Roman" w:hAnsi="Times New Roman" w:cs="Times New Roman"/>
        </w:rPr>
        <w:t xml:space="preserve"> crisis</w:t>
      </w:r>
      <w:r>
        <w:rPr>
          <w:rFonts w:ascii="Times New Roman" w:hAnsi="Times New Roman" w:cs="Times New Roman"/>
        </w:rPr>
        <w:t xml:space="preserve">. </w:t>
      </w:r>
      <w:r w:rsidR="004300AA">
        <w:rPr>
          <w:rFonts w:ascii="Times New Roman" w:hAnsi="Times New Roman" w:cs="Times New Roman"/>
        </w:rPr>
        <w:t>Section 4 present</w:t>
      </w:r>
      <w:r w:rsidRPr="00D74E63">
        <w:rPr>
          <w:rFonts w:ascii="Times New Roman" w:hAnsi="Times New Roman" w:cs="Times New Roman"/>
        </w:rPr>
        <w:t xml:space="preserve">s the data and the methodology. Section 5 discusses the results of the empirical tests. Finally, Section 6 </w:t>
      </w:r>
      <w:r>
        <w:rPr>
          <w:rFonts w:ascii="Times New Roman" w:hAnsi="Times New Roman" w:cs="Times New Roman"/>
        </w:rPr>
        <w:t>contains the conclusion and</w:t>
      </w:r>
      <w:r w:rsidRPr="00D74E63">
        <w:rPr>
          <w:rFonts w:ascii="Times New Roman" w:hAnsi="Times New Roman" w:cs="Times New Roman"/>
        </w:rPr>
        <w:t xml:space="preserve"> recommendations.</w:t>
      </w:r>
    </w:p>
    <w:p w:rsidR="006431F0" w:rsidRPr="00D74E63" w:rsidRDefault="006431F0" w:rsidP="00BD2665">
      <w:pPr>
        <w:autoSpaceDE w:val="0"/>
        <w:autoSpaceDN w:val="0"/>
        <w:adjustRightInd w:val="0"/>
        <w:spacing w:before="200" w:line="480" w:lineRule="auto"/>
        <w:jc w:val="both"/>
        <w:rPr>
          <w:rFonts w:ascii="Times New Roman" w:hAnsi="Times New Roman" w:cs="Times New Roman"/>
          <w:b/>
          <w:sz w:val="28"/>
          <w:szCs w:val="24"/>
        </w:rPr>
      </w:pPr>
      <w:r>
        <w:rPr>
          <w:rFonts w:ascii="Times New Roman" w:hAnsi="Times New Roman" w:cs="Times New Roman"/>
          <w:b/>
          <w:sz w:val="28"/>
          <w:szCs w:val="24"/>
        </w:rPr>
        <w:t>2</w:t>
      </w:r>
      <w:r w:rsidRPr="00D74E63">
        <w:rPr>
          <w:rFonts w:ascii="Times New Roman" w:hAnsi="Times New Roman" w:cs="Times New Roman"/>
          <w:b/>
          <w:sz w:val="28"/>
          <w:szCs w:val="24"/>
        </w:rPr>
        <w:t>. Literature Review</w:t>
      </w:r>
    </w:p>
    <w:p w:rsidR="006514A1" w:rsidRDefault="006514A1"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563D5">
        <w:rPr>
          <w:rFonts w:ascii="Times New Roman" w:hAnsi="Times New Roman" w:cs="Times New Roman"/>
          <w:sz w:val="24"/>
          <w:szCs w:val="24"/>
        </w:rPr>
        <w:t>his</w:t>
      </w:r>
      <w:r w:rsidRPr="006514A1">
        <w:rPr>
          <w:rFonts w:ascii="Times New Roman" w:hAnsi="Times New Roman" w:cs="Times New Roman"/>
          <w:sz w:val="24"/>
          <w:szCs w:val="24"/>
        </w:rPr>
        <w:t xml:space="preserve"> literature </w:t>
      </w:r>
      <w:r w:rsidR="00F563D5">
        <w:rPr>
          <w:rFonts w:ascii="Times New Roman" w:hAnsi="Times New Roman" w:cs="Times New Roman"/>
          <w:sz w:val="24"/>
          <w:szCs w:val="24"/>
        </w:rPr>
        <w:t xml:space="preserve">section </w:t>
      </w:r>
      <w:r w:rsidRPr="006514A1">
        <w:rPr>
          <w:rFonts w:ascii="Times New Roman" w:hAnsi="Times New Roman" w:cs="Times New Roman"/>
          <w:sz w:val="24"/>
          <w:szCs w:val="24"/>
        </w:rPr>
        <w:t>can be separated in two (but not really distinct) parts.</w:t>
      </w:r>
      <w:r>
        <w:rPr>
          <w:rFonts w:ascii="Times New Roman" w:hAnsi="Times New Roman" w:cs="Times New Roman"/>
          <w:sz w:val="24"/>
          <w:szCs w:val="24"/>
        </w:rPr>
        <w:t xml:space="preserve"> </w:t>
      </w:r>
      <w:r w:rsidRPr="006514A1">
        <w:rPr>
          <w:rFonts w:ascii="Times New Roman" w:hAnsi="Times New Roman" w:cs="Times New Roman"/>
          <w:sz w:val="24"/>
          <w:szCs w:val="24"/>
        </w:rPr>
        <w:t xml:space="preserve">The </w:t>
      </w:r>
      <w:r>
        <w:rPr>
          <w:rFonts w:ascii="Times New Roman" w:hAnsi="Times New Roman" w:cs="Times New Roman"/>
          <w:sz w:val="24"/>
          <w:szCs w:val="24"/>
        </w:rPr>
        <w:t>fir</w:t>
      </w:r>
      <w:r w:rsidR="00BA79D5">
        <w:rPr>
          <w:rFonts w:ascii="Times New Roman" w:hAnsi="Times New Roman" w:cs="Times New Roman"/>
          <w:sz w:val="24"/>
          <w:szCs w:val="24"/>
        </w:rPr>
        <w:t>st one discus</w:t>
      </w:r>
      <w:r w:rsidRPr="006514A1">
        <w:rPr>
          <w:rFonts w:ascii="Times New Roman" w:hAnsi="Times New Roman" w:cs="Times New Roman"/>
          <w:sz w:val="24"/>
          <w:szCs w:val="24"/>
        </w:rPr>
        <w:t xml:space="preserve">ses </w:t>
      </w:r>
      <w:r>
        <w:rPr>
          <w:rFonts w:ascii="Times New Roman" w:hAnsi="Times New Roman" w:cs="Times New Roman"/>
          <w:sz w:val="24"/>
          <w:szCs w:val="24"/>
        </w:rPr>
        <w:t>empirical results on asymmetr</w:t>
      </w:r>
      <w:r w:rsidR="00BA79D5">
        <w:rPr>
          <w:rFonts w:ascii="Times New Roman" w:hAnsi="Times New Roman" w:cs="Times New Roman"/>
          <w:sz w:val="24"/>
          <w:szCs w:val="24"/>
        </w:rPr>
        <w:t>ic volatility in FOREX market with emphasis on Africa</w:t>
      </w:r>
      <w:r w:rsidRPr="006514A1">
        <w:rPr>
          <w:rFonts w:ascii="Times New Roman" w:hAnsi="Times New Roman" w:cs="Times New Roman"/>
          <w:sz w:val="24"/>
          <w:szCs w:val="24"/>
        </w:rPr>
        <w:t>. The second one</w:t>
      </w:r>
      <w:r w:rsidR="00EA766A">
        <w:rPr>
          <w:rFonts w:ascii="Times New Roman" w:hAnsi="Times New Roman" w:cs="Times New Roman"/>
          <w:sz w:val="24"/>
          <w:szCs w:val="24"/>
        </w:rPr>
        <w:t xml:space="preserve"> analyz</w:t>
      </w:r>
      <w:r w:rsidR="00F563D5">
        <w:rPr>
          <w:rFonts w:ascii="Times New Roman" w:hAnsi="Times New Roman" w:cs="Times New Roman"/>
          <w:sz w:val="24"/>
          <w:szCs w:val="24"/>
        </w:rPr>
        <w:t>es</w:t>
      </w:r>
      <w:r w:rsidR="00BA79D5">
        <w:rPr>
          <w:rFonts w:ascii="Times New Roman" w:hAnsi="Times New Roman" w:cs="Times New Roman"/>
          <w:sz w:val="24"/>
          <w:szCs w:val="24"/>
        </w:rPr>
        <w:t xml:space="preserve"> the recent crisis with respect to </w:t>
      </w:r>
      <w:r w:rsidR="000F06C1">
        <w:rPr>
          <w:rFonts w:ascii="Times New Roman" w:hAnsi="Times New Roman" w:cs="Times New Roman"/>
          <w:sz w:val="24"/>
          <w:szCs w:val="24"/>
        </w:rPr>
        <w:t>its effect on fluctuations in exchange rate</w:t>
      </w:r>
      <w:r w:rsidR="00BA79D5">
        <w:rPr>
          <w:rFonts w:ascii="Times New Roman" w:hAnsi="Times New Roman" w:cs="Times New Roman"/>
          <w:sz w:val="24"/>
          <w:szCs w:val="24"/>
        </w:rPr>
        <w:t>.</w:t>
      </w:r>
    </w:p>
    <w:p w:rsidR="00595CF0" w:rsidRPr="00595CF0" w:rsidRDefault="00595CF0" w:rsidP="00595CF0">
      <w:pPr>
        <w:autoSpaceDE w:val="0"/>
        <w:autoSpaceDN w:val="0"/>
        <w:adjustRightInd w:val="0"/>
        <w:spacing w:line="480" w:lineRule="auto"/>
        <w:jc w:val="both"/>
        <w:rPr>
          <w:rFonts w:ascii="Times New Roman" w:hAnsi="Times New Roman" w:cs="Times New Roman"/>
          <w:b/>
          <w:sz w:val="24"/>
          <w:szCs w:val="24"/>
        </w:rPr>
      </w:pPr>
      <w:r w:rsidRPr="00595CF0">
        <w:rPr>
          <w:rFonts w:ascii="Times New Roman" w:hAnsi="Times New Roman" w:cs="Times New Roman"/>
          <w:b/>
          <w:sz w:val="24"/>
          <w:szCs w:val="24"/>
        </w:rPr>
        <w:t>2.1</w:t>
      </w:r>
      <w:r w:rsidRPr="00595CF0">
        <w:rPr>
          <w:rFonts w:ascii="Times New Roman" w:hAnsi="Times New Roman" w:cs="Times New Roman"/>
          <w:b/>
          <w:sz w:val="24"/>
          <w:szCs w:val="24"/>
        </w:rPr>
        <w:tab/>
        <w:t>Asymmetric Volatility in Exchange Rate Market.</w:t>
      </w:r>
    </w:p>
    <w:p w:rsidR="00595CF0" w:rsidRPr="00595CF0" w:rsidRDefault="00EB136C" w:rsidP="00595CF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Wang and Yang [20]</w:t>
      </w:r>
      <w:r w:rsidR="00595CF0" w:rsidRPr="00595CF0">
        <w:rPr>
          <w:rFonts w:ascii="Times New Roman" w:hAnsi="Times New Roman" w:cs="Times New Roman"/>
          <w:sz w:val="24"/>
          <w:szCs w:val="24"/>
        </w:rPr>
        <w:t xml:space="preserve"> identified central bank intervention as one of the major causes of asymmetric volatility in foreign exchange market: As central banks intervene on one side of the market but not the other, interventions may lead to an asymmetric behavior in exchange rate volatility. Another cause is contrarian and herding investors: In the case of stock markets, </w:t>
      </w:r>
      <w:proofErr w:type="spellStart"/>
      <w:r w:rsidR="00595CF0" w:rsidRPr="00595CF0">
        <w:rPr>
          <w:rFonts w:ascii="Times New Roman" w:hAnsi="Times New Roman" w:cs="Times New Roman"/>
          <w:sz w:val="24"/>
          <w:szCs w:val="24"/>
        </w:rPr>
        <w:t>Avramov</w:t>
      </w:r>
      <w:proofErr w:type="spellEnd"/>
      <w:r w:rsidR="00595CF0" w:rsidRPr="00595CF0">
        <w:rPr>
          <w:rFonts w:ascii="Times New Roman" w:hAnsi="Times New Roman" w:cs="Times New Roman"/>
          <w:sz w:val="24"/>
          <w:szCs w:val="24"/>
        </w:rPr>
        <w:t xml:space="preserve"> </w:t>
      </w:r>
      <w:r w:rsidR="00595CF0" w:rsidRPr="00595CF0">
        <w:rPr>
          <w:rFonts w:ascii="Times New Roman" w:hAnsi="Times New Roman" w:cs="Times New Roman"/>
          <w:i/>
          <w:sz w:val="24"/>
          <w:szCs w:val="24"/>
        </w:rPr>
        <w:t>et al.</w:t>
      </w:r>
      <w:r w:rsidR="00595CF0" w:rsidRPr="00595CF0">
        <w:rPr>
          <w:rFonts w:ascii="Times New Roman" w:hAnsi="Times New Roman" w:cs="Times New Roman"/>
          <w:sz w:val="24"/>
          <w:szCs w:val="24"/>
        </w:rPr>
        <w:t xml:space="preserve"> </w:t>
      </w:r>
      <w:r>
        <w:rPr>
          <w:rFonts w:ascii="Times New Roman" w:hAnsi="Times New Roman" w:cs="Times New Roman"/>
          <w:sz w:val="24"/>
          <w:szCs w:val="24"/>
        </w:rPr>
        <w:t>[21]</w:t>
      </w:r>
      <w:r w:rsidR="00595CF0" w:rsidRPr="00595CF0">
        <w:rPr>
          <w:rFonts w:ascii="Times New Roman" w:hAnsi="Times New Roman" w:cs="Times New Roman"/>
          <w:sz w:val="24"/>
          <w:szCs w:val="24"/>
        </w:rPr>
        <w:t xml:space="preserve"> reported that herding trades increase volatility as prices decline while contrarian trades reduce volatility foll</w:t>
      </w:r>
      <w:r>
        <w:rPr>
          <w:rFonts w:ascii="Times New Roman" w:hAnsi="Times New Roman" w:cs="Times New Roman"/>
          <w:sz w:val="24"/>
          <w:szCs w:val="24"/>
        </w:rPr>
        <w:t xml:space="preserve">owing price increases. Now, </w:t>
      </w:r>
      <w:proofErr w:type="spellStart"/>
      <w:r>
        <w:rPr>
          <w:rFonts w:ascii="Times New Roman" w:hAnsi="Times New Roman" w:cs="Times New Roman"/>
          <w:sz w:val="24"/>
          <w:szCs w:val="24"/>
        </w:rPr>
        <w:t>Genc</w:t>
      </w:r>
      <w:r w:rsidR="00595CF0" w:rsidRPr="00595CF0">
        <w:rPr>
          <w:rFonts w:ascii="Times New Roman" w:hAnsi="Times New Roman" w:cs="Times New Roman"/>
          <w:sz w:val="24"/>
          <w:szCs w:val="24"/>
        </w:rPr>
        <w:t>ay</w:t>
      </w:r>
      <w:proofErr w:type="spellEnd"/>
      <w:r w:rsidR="00595CF0" w:rsidRPr="00595CF0">
        <w:rPr>
          <w:rFonts w:ascii="Times New Roman" w:hAnsi="Times New Roman" w:cs="Times New Roman"/>
          <w:sz w:val="24"/>
          <w:szCs w:val="24"/>
        </w:rPr>
        <w:t xml:space="preserve">, </w:t>
      </w:r>
      <w:r w:rsidR="00595CF0" w:rsidRPr="00595CF0">
        <w:rPr>
          <w:rFonts w:ascii="Times New Roman" w:hAnsi="Times New Roman" w:cs="Times New Roman"/>
          <w:i/>
          <w:sz w:val="24"/>
          <w:szCs w:val="24"/>
        </w:rPr>
        <w:t>et al.</w:t>
      </w:r>
      <w:r>
        <w:rPr>
          <w:rFonts w:ascii="Times New Roman" w:hAnsi="Times New Roman" w:cs="Times New Roman"/>
          <w:sz w:val="24"/>
          <w:szCs w:val="24"/>
        </w:rPr>
        <w:t xml:space="preserve"> [22]</w:t>
      </w:r>
      <w:r w:rsidR="00595CF0" w:rsidRPr="00595CF0">
        <w:rPr>
          <w:rFonts w:ascii="Times New Roman" w:hAnsi="Times New Roman" w:cs="Times New Roman"/>
          <w:sz w:val="24"/>
          <w:szCs w:val="24"/>
        </w:rPr>
        <w:t xml:space="preserve"> and Carpenter and Wang </w:t>
      </w:r>
      <w:r>
        <w:rPr>
          <w:rFonts w:ascii="Times New Roman" w:hAnsi="Times New Roman" w:cs="Times New Roman"/>
          <w:sz w:val="24"/>
          <w:szCs w:val="24"/>
        </w:rPr>
        <w:t>[23]</w:t>
      </w:r>
      <w:r w:rsidR="00595CF0" w:rsidRPr="00595CF0">
        <w:rPr>
          <w:rFonts w:ascii="Times New Roman" w:hAnsi="Times New Roman" w:cs="Times New Roman"/>
          <w:sz w:val="24"/>
          <w:szCs w:val="24"/>
        </w:rPr>
        <w:t xml:space="preserve"> have shown that contrarian trading and herding are present in the foreign exchange markets, thus, one would also expect asymmetric volatility.</w:t>
      </w:r>
    </w:p>
    <w:p w:rsidR="00595CF0" w:rsidRPr="00595CF0" w:rsidRDefault="00595CF0" w:rsidP="00595CF0">
      <w:pPr>
        <w:autoSpaceDE w:val="0"/>
        <w:autoSpaceDN w:val="0"/>
        <w:adjustRightInd w:val="0"/>
        <w:spacing w:line="480" w:lineRule="auto"/>
        <w:jc w:val="both"/>
        <w:rPr>
          <w:rFonts w:ascii="Times New Roman" w:hAnsi="Times New Roman" w:cs="Times New Roman"/>
          <w:sz w:val="24"/>
          <w:szCs w:val="24"/>
        </w:rPr>
      </w:pPr>
      <w:r w:rsidRPr="00595CF0">
        <w:rPr>
          <w:rFonts w:ascii="Times New Roman" w:hAnsi="Times New Roman" w:cs="Times New Roman"/>
          <w:sz w:val="24"/>
          <w:szCs w:val="24"/>
        </w:rPr>
        <w:t xml:space="preserve">Asymmetry in FOREX volatility has been studied extensively for developed </w:t>
      </w:r>
      <w:r w:rsidR="00EB136C">
        <w:rPr>
          <w:rFonts w:ascii="Times New Roman" w:hAnsi="Times New Roman" w:cs="Times New Roman"/>
          <w:sz w:val="24"/>
          <w:szCs w:val="24"/>
        </w:rPr>
        <w:t>markets (Wang and Yang [20]</w:t>
      </w:r>
      <w:r w:rsidRPr="00595CF0">
        <w:rPr>
          <w:rFonts w:ascii="Times New Roman" w:hAnsi="Times New Roman" w:cs="Times New Roman"/>
          <w:sz w:val="24"/>
          <w:szCs w:val="24"/>
        </w:rPr>
        <w:t xml:space="preserve">). However, it is well known that returns from emerging financial markets have several features that distinguish them from developed markets. There are at least four distinguishing features of emerging market returns: higher sample average returns, low correlations with developed market returns, more predictable returns, and higher </w:t>
      </w:r>
      <w:r w:rsidR="00EB136C">
        <w:rPr>
          <w:rFonts w:ascii="Times New Roman" w:hAnsi="Times New Roman" w:cs="Times New Roman"/>
          <w:sz w:val="24"/>
          <w:szCs w:val="24"/>
        </w:rPr>
        <w:t>volatility (</w:t>
      </w:r>
      <w:proofErr w:type="spellStart"/>
      <w:r w:rsidR="00EB136C">
        <w:rPr>
          <w:rFonts w:ascii="Times New Roman" w:hAnsi="Times New Roman" w:cs="Times New Roman"/>
          <w:sz w:val="24"/>
          <w:szCs w:val="24"/>
        </w:rPr>
        <w:t>Bekaert</w:t>
      </w:r>
      <w:proofErr w:type="spellEnd"/>
      <w:r w:rsidR="00EB136C">
        <w:rPr>
          <w:rFonts w:ascii="Times New Roman" w:hAnsi="Times New Roman" w:cs="Times New Roman"/>
          <w:sz w:val="24"/>
          <w:szCs w:val="24"/>
        </w:rPr>
        <w:t xml:space="preserve"> and Wu [24])</w:t>
      </w:r>
      <w:r w:rsidRPr="00595CF0">
        <w:rPr>
          <w:rFonts w:ascii="Times New Roman" w:hAnsi="Times New Roman" w:cs="Times New Roman"/>
          <w:sz w:val="24"/>
          <w:szCs w:val="24"/>
        </w:rPr>
        <w:t xml:space="preserve">. These differences may have important implications for decision making by investors and policy </w:t>
      </w:r>
      <w:r w:rsidRPr="00595CF0">
        <w:rPr>
          <w:rFonts w:ascii="Times New Roman" w:hAnsi="Times New Roman" w:cs="Times New Roman"/>
          <w:sz w:val="24"/>
          <w:szCs w:val="24"/>
        </w:rPr>
        <w:lastRenderedPageBreak/>
        <w:t>makers. Hence, the later part of this section is dedicated to empirical results on asymmetry behavior in the African FOREX markets.</w:t>
      </w:r>
    </w:p>
    <w:p w:rsidR="00595CF0" w:rsidRPr="00595CF0" w:rsidRDefault="00EB136C" w:rsidP="00595CF0">
      <w:pPr>
        <w:autoSpaceDE w:val="0"/>
        <w:autoSpaceDN w:val="0"/>
        <w:adjustRightInd w:val="0"/>
        <w:spacing w:line="480" w:lineRule="auto"/>
        <w:jc w:val="both"/>
        <w:rPr>
          <w:rFonts w:ascii="Times New Roman" w:hAnsi="Times New Roman" w:cs="Times New Roman"/>
          <w:iCs/>
          <w:sz w:val="24"/>
          <w:szCs w:val="24"/>
        </w:rPr>
      </w:pPr>
      <w:proofErr w:type="spellStart"/>
      <w:r>
        <w:rPr>
          <w:rFonts w:ascii="Times New Roman" w:hAnsi="Times New Roman" w:cs="Times New Roman"/>
          <w:sz w:val="24"/>
          <w:szCs w:val="24"/>
        </w:rPr>
        <w:t>Olowe</w:t>
      </w:r>
      <w:proofErr w:type="spellEnd"/>
      <w:r>
        <w:rPr>
          <w:rFonts w:ascii="Times New Roman" w:hAnsi="Times New Roman" w:cs="Times New Roman"/>
          <w:sz w:val="24"/>
          <w:szCs w:val="24"/>
        </w:rPr>
        <w:t xml:space="preserve"> [</w:t>
      </w:r>
      <w:r w:rsidR="00595CF0" w:rsidRPr="00595CF0">
        <w:rPr>
          <w:rFonts w:ascii="Times New Roman" w:hAnsi="Times New Roman" w:cs="Times New Roman"/>
          <w:sz w:val="24"/>
          <w:szCs w:val="24"/>
        </w:rPr>
        <w:t>11</w:t>
      </w:r>
      <w:r>
        <w:rPr>
          <w:rFonts w:ascii="Times New Roman" w:hAnsi="Times New Roman" w:cs="Times New Roman"/>
          <w:sz w:val="24"/>
          <w:szCs w:val="24"/>
        </w:rPr>
        <w:t>]</w:t>
      </w:r>
      <w:r w:rsidR="00595CF0" w:rsidRPr="00595CF0">
        <w:rPr>
          <w:rFonts w:ascii="Times New Roman" w:hAnsi="Times New Roman" w:cs="Times New Roman"/>
          <w:sz w:val="24"/>
          <w:szCs w:val="24"/>
        </w:rPr>
        <w:t xml:space="preserve"> found no evidence of asymmetry in the Nigerian currency market. The study</w:t>
      </w:r>
      <w:r w:rsidR="00595CF0" w:rsidRPr="00595CF0">
        <w:rPr>
          <w:rFonts w:ascii="Times New Roman" w:hAnsi="Times New Roman" w:cs="Times New Roman"/>
          <w:iCs/>
          <w:sz w:val="24"/>
          <w:szCs w:val="24"/>
        </w:rPr>
        <w:t xml:space="preserve"> investigated the volatility of Naira/Dollar exchange rates using a wide range of asymmetric GARCH models, namely, GARCH (1,1), GJR-GARCH(1,1), EGARCH(1,1), APARCH(1,1), IGARCH(1,1) and TS-GARCH(1,1) models. Using monthly data over the period January 1970 to December 2007, it rejected the hypothesis that asymmetric effect is present in Nigerian FOREX market. This is in sharp contrast to earlier studies in the developed economies.</w:t>
      </w:r>
    </w:p>
    <w:p w:rsidR="00595CF0" w:rsidRPr="00595CF0" w:rsidRDefault="00595CF0" w:rsidP="00595CF0">
      <w:pPr>
        <w:autoSpaceDE w:val="0"/>
        <w:autoSpaceDN w:val="0"/>
        <w:adjustRightInd w:val="0"/>
        <w:spacing w:line="480" w:lineRule="auto"/>
        <w:jc w:val="both"/>
        <w:rPr>
          <w:rFonts w:ascii="Times New Roman" w:hAnsi="Times New Roman" w:cs="Times New Roman"/>
          <w:iCs/>
          <w:sz w:val="24"/>
          <w:szCs w:val="24"/>
        </w:rPr>
      </w:pPr>
      <w:r w:rsidRPr="00595CF0">
        <w:rPr>
          <w:rFonts w:ascii="Times New Roman" w:hAnsi="Times New Roman" w:cs="Times New Roman"/>
          <w:sz w:val="24"/>
          <w:szCs w:val="24"/>
        </w:rPr>
        <w:t xml:space="preserve">In contrast, </w:t>
      </w:r>
      <w:proofErr w:type="spellStart"/>
      <w:r w:rsidRPr="00595CF0">
        <w:rPr>
          <w:rFonts w:ascii="Times New Roman" w:hAnsi="Times New Roman" w:cs="Times New Roman"/>
          <w:sz w:val="24"/>
          <w:szCs w:val="24"/>
        </w:rPr>
        <w:t>Bouoiyour</w:t>
      </w:r>
      <w:proofErr w:type="spellEnd"/>
      <w:r w:rsidRPr="00595CF0">
        <w:rPr>
          <w:rFonts w:ascii="Times New Roman" w:hAnsi="Times New Roman" w:cs="Times New Roman"/>
          <w:sz w:val="24"/>
          <w:szCs w:val="24"/>
        </w:rPr>
        <w:t xml:space="preserve"> and </w:t>
      </w:r>
      <w:proofErr w:type="spellStart"/>
      <w:r w:rsidRPr="00595CF0">
        <w:rPr>
          <w:rFonts w:ascii="Times New Roman" w:hAnsi="Times New Roman" w:cs="Times New Roman"/>
          <w:sz w:val="24"/>
          <w:szCs w:val="24"/>
        </w:rPr>
        <w:t>Selmi</w:t>
      </w:r>
      <w:proofErr w:type="spellEnd"/>
      <w:r w:rsidRPr="00595CF0">
        <w:rPr>
          <w:rFonts w:ascii="Times New Roman" w:hAnsi="Times New Roman" w:cs="Times New Roman"/>
          <w:sz w:val="24"/>
          <w:szCs w:val="24"/>
        </w:rPr>
        <w:t xml:space="preserve"> </w:t>
      </w:r>
      <w:r w:rsidR="00EB136C">
        <w:rPr>
          <w:rFonts w:ascii="Times New Roman" w:hAnsi="Times New Roman" w:cs="Times New Roman"/>
          <w:sz w:val="24"/>
          <w:szCs w:val="24"/>
        </w:rPr>
        <w:t>[</w:t>
      </w:r>
      <w:r w:rsidRPr="00595CF0">
        <w:rPr>
          <w:rFonts w:ascii="Times New Roman" w:hAnsi="Times New Roman" w:cs="Times New Roman"/>
          <w:sz w:val="24"/>
          <w:szCs w:val="24"/>
        </w:rPr>
        <w:t>12</w:t>
      </w:r>
      <w:r w:rsidR="00EB136C">
        <w:rPr>
          <w:rFonts w:ascii="Times New Roman" w:hAnsi="Times New Roman" w:cs="Times New Roman"/>
          <w:sz w:val="24"/>
          <w:szCs w:val="24"/>
        </w:rPr>
        <w:t>]</w:t>
      </w:r>
      <w:r w:rsidRPr="00595CF0">
        <w:rPr>
          <w:rFonts w:ascii="Times New Roman" w:hAnsi="Times New Roman" w:cs="Times New Roman"/>
          <w:iCs/>
          <w:sz w:val="24"/>
          <w:szCs w:val="24"/>
        </w:rPr>
        <w:t xml:space="preserve"> documented the existence of asymmetric effect in Egyptian pound.  The paper studied FOREX volatility using five different specifications of GARCH, namely, GARCH, EGARCH, GJR-GARCH, NGARCH and TGARCH. There were two main findings; first, specification tests (</w:t>
      </w:r>
      <w:proofErr w:type="spellStart"/>
      <w:r w:rsidRPr="00595CF0">
        <w:rPr>
          <w:rFonts w:ascii="Times New Roman" w:hAnsi="Times New Roman" w:cs="Times New Roman"/>
          <w:iCs/>
          <w:sz w:val="24"/>
          <w:szCs w:val="24"/>
        </w:rPr>
        <w:t>Akaike</w:t>
      </w:r>
      <w:proofErr w:type="spellEnd"/>
      <w:r w:rsidRPr="00595CF0">
        <w:rPr>
          <w:rFonts w:ascii="Times New Roman" w:hAnsi="Times New Roman" w:cs="Times New Roman"/>
          <w:iCs/>
          <w:sz w:val="24"/>
          <w:szCs w:val="24"/>
        </w:rPr>
        <w:t xml:space="preserve"> and Schwartz Information Criteria) identified EGARCH as the best fit for Egyptian currency, second, asymmetric effect was present in the Egyptian exchange rate market with positive shock increasing volatility more than the negative of the same magnitude.</w:t>
      </w:r>
    </w:p>
    <w:p w:rsidR="00595CF0" w:rsidRPr="00595CF0" w:rsidRDefault="00595CF0" w:rsidP="00595CF0">
      <w:pPr>
        <w:autoSpaceDE w:val="0"/>
        <w:autoSpaceDN w:val="0"/>
        <w:adjustRightInd w:val="0"/>
        <w:spacing w:line="480" w:lineRule="auto"/>
        <w:jc w:val="both"/>
        <w:rPr>
          <w:rFonts w:ascii="Times New Roman" w:hAnsi="Times New Roman" w:cs="Times New Roman"/>
          <w:iCs/>
          <w:sz w:val="24"/>
          <w:szCs w:val="24"/>
        </w:rPr>
      </w:pPr>
      <w:r w:rsidRPr="00595CF0">
        <w:rPr>
          <w:rFonts w:ascii="Times New Roman" w:hAnsi="Times New Roman" w:cs="Times New Roman"/>
          <w:iCs/>
          <w:sz w:val="24"/>
          <w:szCs w:val="24"/>
        </w:rPr>
        <w:t xml:space="preserve">Very recently, </w:t>
      </w:r>
      <w:proofErr w:type="spellStart"/>
      <w:r w:rsidRPr="00595CF0">
        <w:rPr>
          <w:rFonts w:ascii="Times New Roman" w:hAnsi="Times New Roman" w:cs="Times New Roman"/>
          <w:iCs/>
          <w:sz w:val="24"/>
          <w:szCs w:val="24"/>
        </w:rPr>
        <w:t>Okyere</w:t>
      </w:r>
      <w:proofErr w:type="spellEnd"/>
      <w:r w:rsidRPr="00595CF0">
        <w:rPr>
          <w:rFonts w:ascii="Times New Roman" w:hAnsi="Times New Roman" w:cs="Times New Roman"/>
          <w:iCs/>
          <w:sz w:val="24"/>
          <w:szCs w:val="24"/>
        </w:rPr>
        <w:t xml:space="preserve"> </w:t>
      </w:r>
      <w:proofErr w:type="gramStart"/>
      <w:r w:rsidRPr="00595CF0">
        <w:rPr>
          <w:rFonts w:ascii="Times New Roman" w:hAnsi="Times New Roman" w:cs="Times New Roman"/>
          <w:i/>
          <w:iCs/>
          <w:sz w:val="24"/>
          <w:szCs w:val="24"/>
        </w:rPr>
        <w:t>et</w:t>
      </w:r>
      <w:proofErr w:type="gramEnd"/>
      <w:r w:rsidRPr="00595CF0">
        <w:rPr>
          <w:rFonts w:ascii="Times New Roman" w:hAnsi="Times New Roman" w:cs="Times New Roman"/>
          <w:i/>
          <w:iCs/>
          <w:sz w:val="24"/>
          <w:szCs w:val="24"/>
        </w:rPr>
        <w:t xml:space="preserve">. al. </w:t>
      </w:r>
      <w:r w:rsidR="00EB136C">
        <w:rPr>
          <w:rFonts w:ascii="Times New Roman" w:hAnsi="Times New Roman" w:cs="Times New Roman"/>
          <w:iCs/>
          <w:sz w:val="24"/>
          <w:szCs w:val="24"/>
        </w:rPr>
        <w:t>[13]</w:t>
      </w:r>
      <w:r w:rsidRPr="00595CF0">
        <w:rPr>
          <w:rFonts w:ascii="Times New Roman" w:hAnsi="Times New Roman" w:cs="Times New Roman"/>
          <w:iCs/>
          <w:sz w:val="24"/>
          <w:szCs w:val="24"/>
        </w:rPr>
        <w:t xml:space="preserve"> also using GARCH, EGARCH and TARCH to model asymmetries in Ghanaian cedi/US dollar submitted that positive shock implied a higher next period conditional variance.</w:t>
      </w:r>
    </w:p>
    <w:p w:rsidR="00595CF0" w:rsidRPr="00595CF0" w:rsidRDefault="00595CF0" w:rsidP="00595CF0">
      <w:pPr>
        <w:autoSpaceDE w:val="0"/>
        <w:autoSpaceDN w:val="0"/>
        <w:adjustRightInd w:val="0"/>
        <w:spacing w:line="480" w:lineRule="auto"/>
        <w:jc w:val="both"/>
        <w:rPr>
          <w:rFonts w:ascii="Times New Roman" w:hAnsi="Times New Roman" w:cs="Times New Roman"/>
          <w:sz w:val="24"/>
          <w:szCs w:val="24"/>
        </w:rPr>
      </w:pPr>
      <w:r w:rsidRPr="00595CF0">
        <w:rPr>
          <w:rFonts w:ascii="Times New Roman" w:hAnsi="Times New Roman" w:cs="Times New Roman"/>
          <w:iCs/>
          <w:sz w:val="24"/>
          <w:szCs w:val="24"/>
        </w:rPr>
        <w:t xml:space="preserve">To our knowledge, we have no empirical evidence to rely on for most of the African countries, except for the ones mentioned above. These empirical studies present mixed results on asymmetric volatility in African exchange rate market though bulk of the evidence indicates the presence of asymmetry in volatility. Moreover, the case of Kenya, in particular, is yet to be </w:t>
      </w:r>
      <w:r w:rsidRPr="00595CF0">
        <w:rPr>
          <w:rFonts w:ascii="Times New Roman" w:hAnsi="Times New Roman" w:cs="Times New Roman"/>
          <w:iCs/>
          <w:sz w:val="24"/>
          <w:szCs w:val="24"/>
        </w:rPr>
        <w:lastRenderedPageBreak/>
        <w:t xml:space="preserve">investigated. Given the peculiarity in each financial market, it is important to examine the consistency of Kenyan Shillings in the context of the above-mentioned stylized facts. </w:t>
      </w:r>
    </w:p>
    <w:p w:rsidR="00BA79D5" w:rsidRPr="00BA79D5" w:rsidRDefault="00BA79D5" w:rsidP="00BD2665">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 xml:space="preserve">Exchange Rate Volatility and </w:t>
      </w:r>
      <w:r w:rsidR="00F33004">
        <w:rPr>
          <w:rFonts w:ascii="Times New Roman" w:hAnsi="Times New Roman" w:cs="Times New Roman"/>
          <w:b/>
          <w:sz w:val="24"/>
          <w:szCs w:val="24"/>
        </w:rPr>
        <w:t xml:space="preserve">Financial </w:t>
      </w:r>
      <w:r>
        <w:rPr>
          <w:rFonts w:ascii="Times New Roman" w:hAnsi="Times New Roman" w:cs="Times New Roman"/>
          <w:b/>
          <w:sz w:val="24"/>
          <w:szCs w:val="24"/>
        </w:rPr>
        <w:t>Crises.</w:t>
      </w:r>
    </w:p>
    <w:p w:rsidR="001C660F" w:rsidRDefault="001C660F" w:rsidP="00BD2665">
      <w:pPr>
        <w:autoSpaceDE w:val="0"/>
        <w:autoSpaceDN w:val="0"/>
        <w:adjustRightInd w:val="0"/>
        <w:spacing w:line="480" w:lineRule="auto"/>
        <w:jc w:val="both"/>
        <w:rPr>
          <w:rFonts w:ascii="Times New Roman" w:hAnsi="Times New Roman" w:cs="Times New Roman"/>
          <w:sz w:val="24"/>
          <w:szCs w:val="24"/>
        </w:rPr>
      </w:pPr>
      <w:r w:rsidRPr="001C660F">
        <w:rPr>
          <w:rFonts w:ascii="Times New Roman" w:hAnsi="Times New Roman" w:cs="Times New Roman"/>
          <w:sz w:val="24"/>
          <w:szCs w:val="24"/>
        </w:rPr>
        <w:t>The purpose of this section</w:t>
      </w:r>
      <w:r>
        <w:rPr>
          <w:rFonts w:ascii="Times New Roman" w:hAnsi="Times New Roman" w:cs="Times New Roman"/>
          <w:sz w:val="24"/>
          <w:szCs w:val="24"/>
        </w:rPr>
        <w:t xml:space="preserve"> </w:t>
      </w:r>
      <w:r w:rsidRPr="001C660F">
        <w:rPr>
          <w:rFonts w:ascii="Times New Roman" w:hAnsi="Times New Roman" w:cs="Times New Roman"/>
          <w:sz w:val="24"/>
          <w:szCs w:val="24"/>
        </w:rPr>
        <w:t xml:space="preserve">is to give an overview of </w:t>
      </w:r>
      <w:r w:rsidR="00595CF0">
        <w:rPr>
          <w:rFonts w:ascii="Times New Roman" w:hAnsi="Times New Roman" w:cs="Times New Roman"/>
          <w:sz w:val="24"/>
          <w:szCs w:val="24"/>
        </w:rPr>
        <w:t>literature</w:t>
      </w:r>
      <w:r w:rsidRPr="001C660F">
        <w:rPr>
          <w:rFonts w:ascii="Times New Roman" w:hAnsi="Times New Roman" w:cs="Times New Roman"/>
          <w:sz w:val="24"/>
          <w:szCs w:val="24"/>
        </w:rPr>
        <w:t xml:space="preserve"> on exchange rate volatility and financial crises.</w:t>
      </w:r>
      <w:r>
        <w:rPr>
          <w:rFonts w:ascii="Times New Roman" w:hAnsi="Times New Roman" w:cs="Times New Roman"/>
          <w:sz w:val="24"/>
          <w:szCs w:val="24"/>
        </w:rPr>
        <w:t xml:space="preserve"> </w:t>
      </w:r>
      <w:r w:rsidRPr="001C660F">
        <w:rPr>
          <w:rFonts w:ascii="Times New Roman" w:hAnsi="Times New Roman" w:cs="Times New Roman"/>
          <w:sz w:val="24"/>
          <w:szCs w:val="24"/>
        </w:rPr>
        <w:t xml:space="preserve">More detailed descriptions </w:t>
      </w:r>
      <w:r w:rsidR="00F466ED">
        <w:rPr>
          <w:rFonts w:ascii="Times New Roman" w:hAnsi="Times New Roman" w:cs="Times New Roman"/>
          <w:sz w:val="24"/>
          <w:szCs w:val="24"/>
        </w:rPr>
        <w:t xml:space="preserve">of the recent crisis </w:t>
      </w:r>
      <w:r w:rsidR="00EC7EE6">
        <w:rPr>
          <w:rFonts w:ascii="Times New Roman" w:hAnsi="Times New Roman" w:cs="Times New Roman"/>
          <w:sz w:val="24"/>
          <w:szCs w:val="24"/>
        </w:rPr>
        <w:t>can be found in</w:t>
      </w:r>
      <w:r w:rsidR="00837058">
        <w:rPr>
          <w:rFonts w:ascii="Times New Roman" w:hAnsi="Times New Roman" w:cs="Times New Roman"/>
          <w:sz w:val="24"/>
          <w:szCs w:val="24"/>
        </w:rPr>
        <w:t xml:space="preserve"> Ben </w:t>
      </w:r>
      <w:proofErr w:type="spellStart"/>
      <w:r w:rsidR="00837058">
        <w:rPr>
          <w:rFonts w:ascii="Times New Roman" w:hAnsi="Times New Roman" w:cs="Times New Roman"/>
          <w:sz w:val="24"/>
          <w:szCs w:val="24"/>
        </w:rPr>
        <w:t>Ltaifa</w:t>
      </w:r>
      <w:proofErr w:type="spellEnd"/>
      <w:r w:rsidRPr="00AF1315">
        <w:rPr>
          <w:rFonts w:ascii="Times New Roman" w:hAnsi="Times New Roman" w:cs="Times New Roman"/>
          <w:i/>
          <w:sz w:val="24"/>
          <w:szCs w:val="24"/>
        </w:rPr>
        <w:t xml:space="preserve"> </w:t>
      </w:r>
      <w:proofErr w:type="gramStart"/>
      <w:r w:rsidR="00AF1315" w:rsidRPr="00AF1315">
        <w:rPr>
          <w:rFonts w:ascii="Times New Roman" w:hAnsi="Times New Roman" w:cs="Times New Roman"/>
          <w:i/>
          <w:sz w:val="24"/>
          <w:szCs w:val="24"/>
        </w:rPr>
        <w:t>et</w:t>
      </w:r>
      <w:proofErr w:type="gramEnd"/>
      <w:r w:rsidR="00AF1315" w:rsidRPr="00AF1315">
        <w:rPr>
          <w:rFonts w:ascii="Times New Roman" w:hAnsi="Times New Roman" w:cs="Times New Roman"/>
          <w:i/>
          <w:sz w:val="24"/>
          <w:szCs w:val="24"/>
        </w:rPr>
        <w:t xml:space="preserve">. </w:t>
      </w:r>
      <w:proofErr w:type="gramStart"/>
      <w:r w:rsidR="00AF1315" w:rsidRPr="00AF1315">
        <w:rPr>
          <w:rFonts w:ascii="Times New Roman" w:hAnsi="Times New Roman" w:cs="Times New Roman"/>
          <w:i/>
          <w:sz w:val="24"/>
          <w:szCs w:val="24"/>
        </w:rPr>
        <w:t>al.</w:t>
      </w:r>
      <w:r w:rsidR="00CF67F0">
        <w:rPr>
          <w:rFonts w:ascii="Times New Roman" w:hAnsi="Times New Roman" w:cs="Times New Roman"/>
          <w:sz w:val="24"/>
          <w:szCs w:val="24"/>
        </w:rPr>
        <w:t xml:space="preserve"> </w:t>
      </w:r>
      <w:r w:rsidR="00EB136C">
        <w:rPr>
          <w:rFonts w:ascii="Times New Roman" w:hAnsi="Times New Roman" w:cs="Times New Roman"/>
          <w:sz w:val="24"/>
          <w:szCs w:val="24"/>
        </w:rPr>
        <w:t>[17]</w:t>
      </w:r>
      <w:r>
        <w:rPr>
          <w:rFonts w:ascii="Times New Roman" w:hAnsi="Times New Roman" w:cs="Times New Roman"/>
          <w:sz w:val="24"/>
          <w:szCs w:val="24"/>
        </w:rPr>
        <w:t xml:space="preserve"> and Melvin and Taylor </w:t>
      </w:r>
      <w:r w:rsidR="00EB136C">
        <w:rPr>
          <w:rFonts w:ascii="Times New Roman" w:hAnsi="Times New Roman" w:cs="Times New Roman"/>
          <w:sz w:val="24"/>
          <w:szCs w:val="24"/>
        </w:rPr>
        <w:t>[25]</w:t>
      </w:r>
      <w:r>
        <w:rPr>
          <w:rFonts w:ascii="Times New Roman" w:hAnsi="Times New Roman" w:cs="Times New Roman"/>
          <w:sz w:val="24"/>
          <w:szCs w:val="24"/>
        </w:rPr>
        <w:t>, among others.</w:t>
      </w:r>
      <w:proofErr w:type="gramEnd"/>
      <w:r w:rsidR="008F343A">
        <w:rPr>
          <w:rFonts w:ascii="Times New Roman" w:hAnsi="Times New Roman" w:cs="Times New Roman"/>
          <w:sz w:val="24"/>
          <w:szCs w:val="24"/>
        </w:rPr>
        <w:t xml:space="preserve"> Interested reader is also invited to see </w:t>
      </w:r>
      <w:r w:rsidR="008F343A" w:rsidRPr="008F343A">
        <w:rPr>
          <w:rFonts w:ascii="Times New Roman" w:hAnsi="Times New Roman" w:cs="Times New Roman"/>
          <w:sz w:val="24"/>
          <w:szCs w:val="24"/>
        </w:rPr>
        <w:t xml:space="preserve">Forbes and </w:t>
      </w:r>
      <w:proofErr w:type="spellStart"/>
      <w:r w:rsidR="008F343A" w:rsidRPr="008F343A">
        <w:rPr>
          <w:rFonts w:ascii="Times New Roman" w:hAnsi="Times New Roman" w:cs="Times New Roman"/>
          <w:sz w:val="24"/>
          <w:szCs w:val="24"/>
        </w:rPr>
        <w:t>Rigobon</w:t>
      </w:r>
      <w:proofErr w:type="spellEnd"/>
      <w:r w:rsidR="008F343A" w:rsidRPr="008F343A">
        <w:rPr>
          <w:rFonts w:ascii="Times New Roman" w:hAnsi="Times New Roman" w:cs="Times New Roman"/>
          <w:sz w:val="24"/>
          <w:szCs w:val="24"/>
        </w:rPr>
        <w:t xml:space="preserve"> </w:t>
      </w:r>
      <w:r w:rsidR="00EB136C">
        <w:rPr>
          <w:rFonts w:ascii="Times New Roman" w:hAnsi="Times New Roman" w:cs="Times New Roman"/>
          <w:sz w:val="24"/>
          <w:szCs w:val="24"/>
        </w:rPr>
        <w:t>[26]</w:t>
      </w:r>
      <w:r w:rsidR="008F343A">
        <w:rPr>
          <w:rFonts w:ascii="Times New Roman" w:hAnsi="Times New Roman" w:cs="Times New Roman"/>
          <w:sz w:val="24"/>
          <w:szCs w:val="24"/>
        </w:rPr>
        <w:t xml:space="preserve"> and </w:t>
      </w:r>
      <w:r w:rsidR="008F343A" w:rsidRPr="008F343A">
        <w:rPr>
          <w:rFonts w:ascii="Times New Roman" w:hAnsi="Times New Roman" w:cs="Times New Roman"/>
          <w:sz w:val="24"/>
          <w:szCs w:val="24"/>
        </w:rPr>
        <w:t>Glick and Ros</w:t>
      </w:r>
      <w:r w:rsidR="00746CCC">
        <w:rPr>
          <w:rFonts w:ascii="Times New Roman" w:hAnsi="Times New Roman" w:cs="Times New Roman"/>
          <w:sz w:val="24"/>
          <w:szCs w:val="24"/>
        </w:rPr>
        <w:t>e</w:t>
      </w:r>
      <w:r w:rsidR="00EB136C">
        <w:rPr>
          <w:rFonts w:ascii="Times New Roman" w:hAnsi="Times New Roman" w:cs="Times New Roman"/>
          <w:sz w:val="24"/>
          <w:szCs w:val="24"/>
        </w:rPr>
        <w:t xml:space="preserve"> [27]</w:t>
      </w:r>
      <w:r w:rsidR="008F343A">
        <w:rPr>
          <w:rFonts w:ascii="Times New Roman" w:hAnsi="Times New Roman" w:cs="Times New Roman"/>
          <w:sz w:val="24"/>
          <w:szCs w:val="24"/>
        </w:rPr>
        <w:t xml:space="preserve"> for theories on crises and contagion.</w:t>
      </w:r>
    </w:p>
    <w:p w:rsidR="00EC7EE6" w:rsidRDefault="0028052E"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financial shocks affect exchange rate volatility is well documented in the empirical literature. </w:t>
      </w:r>
      <w:r w:rsidR="00EC7EE6">
        <w:rPr>
          <w:rFonts w:ascii="Times New Roman" w:hAnsi="Times New Roman" w:cs="Times New Roman"/>
          <w:sz w:val="24"/>
          <w:szCs w:val="24"/>
        </w:rPr>
        <w:t>But we shall review some recent studies.</w:t>
      </w:r>
    </w:p>
    <w:p w:rsidR="0028052E" w:rsidRDefault="0028052E" w:rsidP="00BD266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Baharumshah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Hooi</w:t>
      </w:r>
      <w:proofErr w:type="spellEnd"/>
      <w:r w:rsidRPr="00F70A74">
        <w:rPr>
          <w:rFonts w:ascii="Times New Roman" w:hAnsi="Times New Roman" w:cs="Times New Roman"/>
          <w:sz w:val="24"/>
          <w:szCs w:val="24"/>
        </w:rPr>
        <w:t xml:space="preserve"> </w:t>
      </w:r>
      <w:r w:rsidR="00EB136C">
        <w:rPr>
          <w:rFonts w:ascii="Times New Roman" w:hAnsi="Times New Roman" w:cs="Times New Roman"/>
          <w:sz w:val="24"/>
          <w:szCs w:val="24"/>
        </w:rPr>
        <w:t>[28]</w:t>
      </w:r>
      <w:r w:rsidR="00F1124B">
        <w:rPr>
          <w:rFonts w:ascii="Times New Roman" w:hAnsi="Times New Roman" w:cs="Times New Roman"/>
          <w:sz w:val="24"/>
          <w:szCs w:val="24"/>
        </w:rPr>
        <w:t xml:space="preserve"> using EGARCH model reported</w:t>
      </w:r>
      <w:r>
        <w:rPr>
          <w:rFonts w:ascii="Times New Roman" w:hAnsi="Times New Roman" w:cs="Times New Roman"/>
          <w:sz w:val="24"/>
          <w:szCs w:val="24"/>
        </w:rPr>
        <w:t xml:space="preserve"> strong evidence of asymmetry</w:t>
      </w:r>
      <w:r w:rsidR="00F1124B" w:rsidRPr="00F1124B">
        <w:rPr>
          <w:rFonts w:ascii="Times New Roman" w:hAnsi="Times New Roman" w:cs="Times New Roman"/>
          <w:sz w:val="24"/>
          <w:szCs w:val="24"/>
        </w:rPr>
        <w:t xml:space="preserve"> </w:t>
      </w:r>
      <w:r w:rsidR="00F1124B">
        <w:rPr>
          <w:rFonts w:ascii="Times New Roman" w:hAnsi="Times New Roman" w:cs="Times New Roman"/>
          <w:sz w:val="24"/>
          <w:szCs w:val="24"/>
        </w:rPr>
        <w:t>before and after the Asian crisis</w:t>
      </w:r>
      <w:r>
        <w:rPr>
          <w:rFonts w:ascii="Times New Roman" w:hAnsi="Times New Roman" w:cs="Times New Roman"/>
          <w:sz w:val="24"/>
          <w:szCs w:val="24"/>
        </w:rPr>
        <w:t xml:space="preserve"> for most of the currencies (</w:t>
      </w:r>
      <w:r w:rsidRPr="00CA36E2">
        <w:rPr>
          <w:rFonts w:ascii="Times New Roman" w:hAnsi="Times New Roman" w:cs="Times New Roman"/>
          <w:sz w:val="24"/>
          <w:szCs w:val="24"/>
        </w:rPr>
        <w:t>the Kore</w:t>
      </w:r>
      <w:r>
        <w:rPr>
          <w:rFonts w:ascii="Times New Roman" w:hAnsi="Times New Roman" w:cs="Times New Roman"/>
          <w:sz w:val="24"/>
          <w:szCs w:val="24"/>
        </w:rPr>
        <w:t xml:space="preserve">an won, the Philippine peso, </w:t>
      </w:r>
      <w:r w:rsidRPr="00CA36E2">
        <w:rPr>
          <w:rFonts w:ascii="Times New Roman" w:hAnsi="Times New Roman" w:cs="Times New Roman"/>
          <w:sz w:val="24"/>
          <w:szCs w:val="24"/>
        </w:rPr>
        <w:t>the Thai baht</w:t>
      </w:r>
      <w:r>
        <w:rPr>
          <w:rFonts w:ascii="Times New Roman" w:hAnsi="Times New Roman" w:cs="Times New Roman"/>
          <w:sz w:val="24"/>
          <w:szCs w:val="24"/>
        </w:rPr>
        <w:t>, the Malaysian ringgit and th</w:t>
      </w:r>
      <w:r w:rsidR="00A729C2">
        <w:rPr>
          <w:rFonts w:ascii="Times New Roman" w:hAnsi="Times New Roman" w:cs="Times New Roman"/>
          <w:sz w:val="24"/>
          <w:szCs w:val="24"/>
        </w:rPr>
        <w:t>e Singapore dollar) that were</w:t>
      </w:r>
      <w:r w:rsidR="00F1124B">
        <w:rPr>
          <w:rFonts w:ascii="Times New Roman" w:hAnsi="Times New Roman" w:cs="Times New Roman"/>
          <w:sz w:val="24"/>
          <w:szCs w:val="24"/>
        </w:rPr>
        <w:t xml:space="preserve"> considered</w:t>
      </w:r>
      <w:r>
        <w:rPr>
          <w:rFonts w:ascii="Times New Roman" w:hAnsi="Times New Roman" w:cs="Times New Roman"/>
          <w:sz w:val="24"/>
          <w:szCs w:val="24"/>
        </w:rPr>
        <w:t xml:space="preserve">. </w:t>
      </w:r>
      <w:proofErr w:type="spellStart"/>
      <w:r w:rsidRPr="00F70A74">
        <w:rPr>
          <w:rFonts w:ascii="Times New Roman" w:hAnsi="Times New Roman" w:cs="Times New Roman"/>
          <w:sz w:val="24"/>
          <w:szCs w:val="24"/>
        </w:rPr>
        <w:t>Oga</w:t>
      </w:r>
      <w:proofErr w:type="spellEnd"/>
      <w:r w:rsidRPr="00F70A74">
        <w:rPr>
          <w:rFonts w:ascii="Times New Roman" w:hAnsi="Times New Roman" w:cs="Times New Roman"/>
          <w:sz w:val="24"/>
          <w:szCs w:val="24"/>
        </w:rPr>
        <w:t xml:space="preserve"> and </w:t>
      </w:r>
      <w:proofErr w:type="spellStart"/>
      <w:r w:rsidRPr="00F70A74">
        <w:rPr>
          <w:rFonts w:ascii="Times New Roman" w:hAnsi="Times New Roman" w:cs="Times New Roman"/>
          <w:sz w:val="24"/>
          <w:szCs w:val="24"/>
        </w:rPr>
        <w:t>Polasek</w:t>
      </w:r>
      <w:proofErr w:type="spellEnd"/>
      <w:r w:rsidRPr="00F70A74">
        <w:rPr>
          <w:rFonts w:ascii="Times New Roman" w:hAnsi="Times New Roman" w:cs="Times New Roman"/>
          <w:sz w:val="24"/>
          <w:szCs w:val="24"/>
        </w:rPr>
        <w:t xml:space="preserve"> </w:t>
      </w:r>
      <w:r w:rsidR="00EB136C">
        <w:rPr>
          <w:rFonts w:ascii="Times New Roman" w:hAnsi="Times New Roman" w:cs="Times New Roman"/>
          <w:sz w:val="24"/>
          <w:szCs w:val="24"/>
        </w:rPr>
        <w:t>[29]</w:t>
      </w:r>
      <w:r>
        <w:rPr>
          <w:rFonts w:ascii="Times New Roman" w:hAnsi="Times New Roman" w:cs="Times New Roman"/>
          <w:sz w:val="24"/>
          <w:szCs w:val="24"/>
        </w:rPr>
        <w:t xml:space="preserve"> did </w:t>
      </w:r>
      <w:r w:rsidR="00193C28">
        <w:rPr>
          <w:rFonts w:ascii="Times New Roman" w:hAnsi="Times New Roman" w:cs="Times New Roman"/>
          <w:sz w:val="24"/>
          <w:szCs w:val="24"/>
        </w:rPr>
        <w:t>not consider asymmetry</w:t>
      </w:r>
      <w:r w:rsidR="00F1124B">
        <w:rPr>
          <w:rFonts w:ascii="Times New Roman" w:hAnsi="Times New Roman" w:cs="Times New Roman"/>
          <w:sz w:val="24"/>
          <w:szCs w:val="24"/>
        </w:rPr>
        <w:t>;</w:t>
      </w:r>
      <w:r>
        <w:rPr>
          <w:rFonts w:ascii="Times New Roman" w:hAnsi="Times New Roman" w:cs="Times New Roman"/>
          <w:sz w:val="24"/>
          <w:szCs w:val="24"/>
        </w:rPr>
        <w:t xml:space="preserve"> however, </w:t>
      </w:r>
      <w:r w:rsidR="00193C28">
        <w:rPr>
          <w:rFonts w:ascii="Times New Roman" w:hAnsi="Times New Roman" w:cs="Times New Roman"/>
          <w:sz w:val="24"/>
          <w:szCs w:val="24"/>
        </w:rPr>
        <w:t>it</w:t>
      </w:r>
      <w:r w:rsidR="00F1124B">
        <w:rPr>
          <w:rFonts w:ascii="Times New Roman" w:hAnsi="Times New Roman" w:cs="Times New Roman"/>
          <w:sz w:val="24"/>
          <w:szCs w:val="24"/>
        </w:rPr>
        <w:t xml:space="preserve"> </w:t>
      </w:r>
      <w:r>
        <w:rPr>
          <w:rFonts w:ascii="Times New Roman" w:hAnsi="Times New Roman" w:cs="Times New Roman"/>
          <w:sz w:val="24"/>
          <w:szCs w:val="24"/>
        </w:rPr>
        <w:t>agreed with earlier studies that the Asian crisis caused volatility structure change in East Asian currencies.</w:t>
      </w:r>
    </w:p>
    <w:p w:rsidR="00905144" w:rsidRPr="00F70A74" w:rsidRDefault="00905144"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Though q</w:t>
      </w:r>
      <w:r w:rsidR="006431F0">
        <w:rPr>
          <w:rFonts w:ascii="Times New Roman" w:hAnsi="Times New Roman" w:cs="Times New Roman"/>
          <w:sz w:val="24"/>
          <w:szCs w:val="24"/>
        </w:rPr>
        <w:t>uite a number of studies</w:t>
      </w:r>
      <w:r w:rsidR="002B0B0B">
        <w:rPr>
          <w:rFonts w:ascii="Times New Roman" w:hAnsi="Times New Roman" w:cs="Times New Roman"/>
          <w:sz w:val="24"/>
          <w:szCs w:val="24"/>
        </w:rPr>
        <w:t xml:space="preserve"> </w:t>
      </w:r>
      <w:r w:rsidR="006431F0">
        <w:rPr>
          <w:rFonts w:ascii="Times New Roman" w:hAnsi="Times New Roman" w:cs="Times New Roman"/>
          <w:sz w:val="24"/>
          <w:szCs w:val="24"/>
        </w:rPr>
        <w:t>have examined the impact of the previous crises, particularly the Asian crisis, on exchange rate volatility</w:t>
      </w:r>
      <w:r>
        <w:rPr>
          <w:rFonts w:ascii="Times New Roman" w:hAnsi="Times New Roman" w:cs="Times New Roman"/>
          <w:sz w:val="24"/>
          <w:szCs w:val="24"/>
        </w:rPr>
        <w:t xml:space="preserve">, yet the </w:t>
      </w:r>
      <w:r w:rsidR="006514A1">
        <w:rPr>
          <w:rFonts w:ascii="Times New Roman" w:hAnsi="Times New Roman" w:cs="Times New Roman"/>
          <w:sz w:val="24"/>
          <w:szCs w:val="24"/>
        </w:rPr>
        <w:t xml:space="preserve">recent </w:t>
      </w:r>
      <w:r>
        <w:rPr>
          <w:rFonts w:ascii="Times New Roman" w:hAnsi="Times New Roman" w:cs="Times New Roman"/>
          <w:sz w:val="24"/>
          <w:szCs w:val="24"/>
        </w:rPr>
        <w:t>c</w:t>
      </w:r>
      <w:r w:rsidR="006514A1">
        <w:rPr>
          <w:rFonts w:ascii="Times New Roman" w:hAnsi="Times New Roman" w:cs="Times New Roman"/>
          <w:sz w:val="24"/>
          <w:szCs w:val="24"/>
        </w:rPr>
        <w:t>risis</w:t>
      </w:r>
      <w:r>
        <w:rPr>
          <w:rFonts w:ascii="Times New Roman" w:hAnsi="Times New Roman" w:cs="Times New Roman"/>
          <w:sz w:val="24"/>
          <w:szCs w:val="24"/>
        </w:rPr>
        <w:t xml:space="preserve"> is worth investigating because, according to Kohler </w:t>
      </w:r>
      <w:r w:rsidR="00EB136C">
        <w:rPr>
          <w:rFonts w:ascii="Times New Roman" w:hAnsi="Times New Roman" w:cs="Times New Roman"/>
          <w:sz w:val="24"/>
          <w:szCs w:val="24"/>
        </w:rPr>
        <w:t>[30]</w:t>
      </w:r>
      <w:r>
        <w:rPr>
          <w:rFonts w:ascii="Times New Roman" w:hAnsi="Times New Roman" w:cs="Times New Roman"/>
          <w:sz w:val="24"/>
          <w:szCs w:val="24"/>
        </w:rPr>
        <w:t>,</w:t>
      </w:r>
      <w:r w:rsidR="006514A1">
        <w:rPr>
          <w:rFonts w:ascii="Times New Roman" w:hAnsi="Times New Roman" w:cs="Times New Roman"/>
          <w:sz w:val="24"/>
          <w:szCs w:val="24"/>
        </w:rPr>
        <w:t xml:space="preserve"> it</w:t>
      </w:r>
      <w:r>
        <w:rPr>
          <w:rFonts w:ascii="Times New Roman" w:hAnsi="Times New Roman" w:cs="Times New Roman"/>
          <w:sz w:val="24"/>
          <w:szCs w:val="24"/>
        </w:rPr>
        <w:t xml:space="preserve"> differs from the </w:t>
      </w:r>
      <w:r w:rsidRPr="00F70A74">
        <w:rPr>
          <w:rFonts w:ascii="Times New Roman" w:hAnsi="Times New Roman" w:cs="Times New Roman"/>
          <w:sz w:val="24"/>
          <w:szCs w:val="24"/>
        </w:rPr>
        <w:t>previous ones i</w:t>
      </w:r>
      <w:r w:rsidR="00B24266">
        <w:rPr>
          <w:rFonts w:ascii="Times New Roman" w:hAnsi="Times New Roman" w:cs="Times New Roman"/>
          <w:sz w:val="24"/>
          <w:szCs w:val="24"/>
        </w:rPr>
        <w:t>n a number of ways: First, the</w:t>
      </w:r>
      <w:r w:rsidRPr="00F70A74">
        <w:rPr>
          <w:rFonts w:ascii="Times New Roman" w:hAnsi="Times New Roman" w:cs="Times New Roman"/>
          <w:sz w:val="24"/>
          <w:szCs w:val="24"/>
        </w:rPr>
        <w:t xml:space="preserve"> place </w:t>
      </w:r>
      <w:proofErr w:type="gramStart"/>
      <w:r w:rsidRPr="00F70A74">
        <w:rPr>
          <w:rFonts w:ascii="Times New Roman" w:hAnsi="Times New Roman" w:cs="Times New Roman"/>
          <w:sz w:val="24"/>
          <w:szCs w:val="24"/>
        </w:rPr>
        <w:t>of</w:t>
      </w:r>
      <w:proofErr w:type="gramEnd"/>
      <w:r w:rsidRPr="00F70A74">
        <w:rPr>
          <w:rFonts w:ascii="Times New Roman" w:hAnsi="Times New Roman" w:cs="Times New Roman"/>
          <w:sz w:val="24"/>
          <w:szCs w:val="24"/>
        </w:rPr>
        <w:t xml:space="preserve"> origin; </w:t>
      </w:r>
      <w:r w:rsidR="00D47F44">
        <w:rPr>
          <w:rFonts w:ascii="Times New Roman" w:hAnsi="Times New Roman" w:cs="Times New Roman"/>
          <w:sz w:val="24"/>
          <w:szCs w:val="24"/>
        </w:rPr>
        <w:t xml:space="preserve">and </w:t>
      </w:r>
      <w:r w:rsidRPr="00F70A74">
        <w:rPr>
          <w:rFonts w:ascii="Times New Roman" w:hAnsi="Times New Roman" w:cs="Times New Roman"/>
          <w:sz w:val="24"/>
          <w:szCs w:val="24"/>
        </w:rPr>
        <w:t>second, the scale of contag</w:t>
      </w:r>
      <w:r w:rsidR="00B24266">
        <w:rPr>
          <w:rFonts w:ascii="Times New Roman" w:hAnsi="Times New Roman" w:cs="Times New Roman"/>
          <w:sz w:val="24"/>
          <w:szCs w:val="24"/>
        </w:rPr>
        <w:t xml:space="preserve">ion. The </w:t>
      </w:r>
      <w:r w:rsidR="006514A1">
        <w:rPr>
          <w:rFonts w:ascii="Times New Roman" w:hAnsi="Times New Roman" w:cs="Times New Roman"/>
          <w:sz w:val="24"/>
          <w:szCs w:val="24"/>
        </w:rPr>
        <w:t>Asian and the Argentinean</w:t>
      </w:r>
      <w:r w:rsidR="00B24266">
        <w:rPr>
          <w:rFonts w:ascii="Times New Roman" w:hAnsi="Times New Roman" w:cs="Times New Roman"/>
          <w:sz w:val="24"/>
          <w:szCs w:val="24"/>
        </w:rPr>
        <w:t xml:space="preserve"> episodes</w:t>
      </w:r>
      <w:r w:rsidR="006514A1">
        <w:rPr>
          <w:rFonts w:ascii="Times New Roman" w:hAnsi="Times New Roman" w:cs="Times New Roman"/>
          <w:sz w:val="24"/>
          <w:szCs w:val="24"/>
        </w:rPr>
        <w:t xml:space="preserve"> </w:t>
      </w:r>
      <w:r w:rsidR="00D47F44">
        <w:rPr>
          <w:rFonts w:ascii="Times New Roman" w:hAnsi="Times New Roman" w:cs="Times New Roman"/>
          <w:sz w:val="24"/>
          <w:szCs w:val="24"/>
        </w:rPr>
        <w:t>originated in</w:t>
      </w:r>
      <w:r w:rsidRPr="00F70A74">
        <w:rPr>
          <w:rFonts w:ascii="Times New Roman" w:hAnsi="Times New Roman" w:cs="Times New Roman"/>
          <w:sz w:val="24"/>
          <w:szCs w:val="24"/>
        </w:rPr>
        <w:t xml:space="preserve"> emerging market economies; while in the most recent crisis the </w:t>
      </w:r>
      <w:proofErr w:type="spellStart"/>
      <w:r w:rsidRPr="00F70A74">
        <w:rPr>
          <w:rFonts w:ascii="Times New Roman" w:hAnsi="Times New Roman" w:cs="Times New Roman"/>
          <w:sz w:val="24"/>
          <w:szCs w:val="24"/>
        </w:rPr>
        <w:t>epicentre</w:t>
      </w:r>
      <w:proofErr w:type="spellEnd"/>
      <w:r w:rsidRPr="00F70A74">
        <w:rPr>
          <w:rFonts w:ascii="Times New Roman" w:hAnsi="Times New Roman" w:cs="Times New Roman"/>
          <w:sz w:val="24"/>
          <w:szCs w:val="24"/>
        </w:rPr>
        <w:t xml:space="preserve"> of the tur</w:t>
      </w:r>
      <w:r w:rsidR="00D47F44">
        <w:rPr>
          <w:rFonts w:ascii="Times New Roman" w:hAnsi="Times New Roman" w:cs="Times New Roman"/>
          <w:sz w:val="24"/>
          <w:szCs w:val="24"/>
        </w:rPr>
        <w:t xml:space="preserve">moil was the US banking system. Significant </w:t>
      </w:r>
      <w:r w:rsidRPr="00F70A74">
        <w:rPr>
          <w:rFonts w:ascii="Times New Roman" w:hAnsi="Times New Roman" w:cs="Times New Roman"/>
          <w:sz w:val="24"/>
          <w:szCs w:val="24"/>
        </w:rPr>
        <w:t>cont</w:t>
      </w:r>
      <w:r w:rsidR="00D47F44">
        <w:rPr>
          <w:rFonts w:ascii="Times New Roman" w:hAnsi="Times New Roman" w:cs="Times New Roman"/>
          <w:sz w:val="24"/>
          <w:szCs w:val="24"/>
        </w:rPr>
        <w:t xml:space="preserve">agion was recorded in </w:t>
      </w:r>
      <w:r w:rsidR="006514A1">
        <w:rPr>
          <w:rFonts w:ascii="Times New Roman" w:hAnsi="Times New Roman" w:cs="Times New Roman"/>
          <w:sz w:val="24"/>
          <w:szCs w:val="24"/>
        </w:rPr>
        <w:t>all the three</w:t>
      </w:r>
      <w:r w:rsidRPr="00F70A74">
        <w:rPr>
          <w:rFonts w:ascii="Times New Roman" w:hAnsi="Times New Roman" w:cs="Times New Roman"/>
          <w:sz w:val="24"/>
          <w:szCs w:val="24"/>
        </w:rPr>
        <w:t xml:space="preserve"> episodes, in the Asian crisis it was largely confined to the region and that of the Argentinean episode was mainly </w:t>
      </w:r>
      <w:r w:rsidRPr="00F70A74">
        <w:rPr>
          <w:rFonts w:ascii="Times New Roman" w:hAnsi="Times New Roman" w:cs="Times New Roman"/>
          <w:sz w:val="24"/>
          <w:szCs w:val="24"/>
        </w:rPr>
        <w:lastRenderedPageBreak/>
        <w:t>confined to the neighboring countries, such as Brazil. The latest crisis, by contrast, was truly global.</w:t>
      </w:r>
    </w:p>
    <w:p w:rsidR="00EF31B5" w:rsidRDefault="00EE4D63" w:rsidP="00BD2665">
      <w:pPr>
        <w:spacing w:line="480" w:lineRule="auto"/>
        <w:jc w:val="both"/>
        <w:rPr>
          <w:rFonts w:ascii="Times New Roman" w:hAnsi="Times New Roman" w:cs="Times New Roman"/>
          <w:sz w:val="24"/>
          <w:szCs w:val="24"/>
        </w:rPr>
      </w:pPr>
      <w:r w:rsidRPr="00D74E63">
        <w:rPr>
          <w:rFonts w:ascii="Times New Roman" w:hAnsi="Times New Roman" w:cs="Times New Roman"/>
          <w:sz w:val="24"/>
          <w:szCs w:val="24"/>
        </w:rPr>
        <w:t>At the onse</w:t>
      </w:r>
      <w:r>
        <w:rPr>
          <w:rFonts w:ascii="Times New Roman" w:hAnsi="Times New Roman" w:cs="Times New Roman"/>
          <w:sz w:val="24"/>
          <w:szCs w:val="24"/>
        </w:rPr>
        <w:t>t of the</w:t>
      </w:r>
      <w:r w:rsidRPr="00D74E63">
        <w:rPr>
          <w:rFonts w:ascii="Times New Roman" w:hAnsi="Times New Roman" w:cs="Times New Roman"/>
          <w:sz w:val="24"/>
          <w:szCs w:val="24"/>
        </w:rPr>
        <w:t xml:space="preserve"> crisis, </w:t>
      </w:r>
      <w:r w:rsidR="002B0B0B">
        <w:rPr>
          <w:rFonts w:ascii="Times New Roman" w:hAnsi="Times New Roman" w:cs="Times New Roman"/>
          <w:sz w:val="24"/>
          <w:szCs w:val="24"/>
        </w:rPr>
        <w:t xml:space="preserve">there was no agreement (in the existing literature) as to whether African </w:t>
      </w:r>
      <w:r w:rsidRPr="00D74E63">
        <w:rPr>
          <w:rFonts w:ascii="Times New Roman" w:hAnsi="Times New Roman" w:cs="Times New Roman"/>
          <w:sz w:val="24"/>
          <w:szCs w:val="24"/>
        </w:rPr>
        <w:t xml:space="preserve">region would be spared the rippling effects </w:t>
      </w:r>
      <w:r w:rsidR="002B0B0B">
        <w:rPr>
          <w:rFonts w:ascii="Times New Roman" w:hAnsi="Times New Roman" w:cs="Times New Roman"/>
          <w:sz w:val="24"/>
          <w:szCs w:val="24"/>
        </w:rPr>
        <w:t xml:space="preserve">of the crisis. Studies such as </w:t>
      </w:r>
      <w:proofErr w:type="spellStart"/>
      <w:r w:rsidR="002B0B0B">
        <w:rPr>
          <w:rFonts w:ascii="Times New Roman" w:hAnsi="Times New Roman" w:cs="Times New Roman"/>
          <w:sz w:val="24"/>
          <w:szCs w:val="24"/>
        </w:rPr>
        <w:t>Horhota</w:t>
      </w:r>
      <w:proofErr w:type="spellEnd"/>
      <w:r w:rsidR="002B0B0B">
        <w:rPr>
          <w:rFonts w:ascii="Times New Roman" w:hAnsi="Times New Roman" w:cs="Times New Roman"/>
          <w:sz w:val="24"/>
          <w:szCs w:val="24"/>
        </w:rPr>
        <w:t xml:space="preserve"> and </w:t>
      </w:r>
      <w:proofErr w:type="spellStart"/>
      <w:r w:rsidR="002B0B0B">
        <w:rPr>
          <w:rFonts w:ascii="Times New Roman" w:hAnsi="Times New Roman" w:cs="Times New Roman"/>
          <w:sz w:val="24"/>
          <w:szCs w:val="24"/>
        </w:rPr>
        <w:t>Matei</w:t>
      </w:r>
      <w:proofErr w:type="spellEnd"/>
      <w:r w:rsidR="002B0B0B">
        <w:rPr>
          <w:rFonts w:ascii="Times New Roman" w:hAnsi="Times New Roman" w:cs="Times New Roman"/>
          <w:sz w:val="24"/>
          <w:szCs w:val="24"/>
        </w:rPr>
        <w:t xml:space="preserve"> </w:t>
      </w:r>
      <w:r w:rsidR="00EB136C">
        <w:rPr>
          <w:rFonts w:ascii="Times New Roman" w:hAnsi="Times New Roman" w:cs="Times New Roman"/>
          <w:sz w:val="24"/>
          <w:szCs w:val="24"/>
        </w:rPr>
        <w:t>[31]</w:t>
      </w:r>
      <w:r w:rsidR="00424619">
        <w:rPr>
          <w:rFonts w:ascii="Times New Roman" w:hAnsi="Times New Roman" w:cs="Times New Roman"/>
          <w:sz w:val="24"/>
          <w:szCs w:val="24"/>
        </w:rPr>
        <w:t xml:space="preserve"> anticipated </w:t>
      </w:r>
      <w:r w:rsidR="002B0B0B">
        <w:rPr>
          <w:rFonts w:ascii="Times New Roman" w:hAnsi="Times New Roman" w:cs="Times New Roman"/>
          <w:sz w:val="24"/>
          <w:szCs w:val="24"/>
        </w:rPr>
        <w:t>ve</w:t>
      </w:r>
      <w:r w:rsidR="00424619">
        <w:rPr>
          <w:rFonts w:ascii="Times New Roman" w:hAnsi="Times New Roman" w:cs="Times New Roman"/>
          <w:sz w:val="24"/>
          <w:szCs w:val="24"/>
        </w:rPr>
        <w:t xml:space="preserve">ry minimal (or no) effect, their reason being that </w:t>
      </w:r>
      <w:r w:rsidR="002B0B0B">
        <w:rPr>
          <w:rFonts w:ascii="Times New Roman" w:hAnsi="Times New Roman" w:cs="Times New Roman"/>
          <w:sz w:val="24"/>
          <w:szCs w:val="24"/>
        </w:rPr>
        <w:t xml:space="preserve">the region is barely </w:t>
      </w:r>
      <w:r w:rsidRPr="00D74E63">
        <w:rPr>
          <w:rFonts w:ascii="Times New Roman" w:hAnsi="Times New Roman" w:cs="Times New Roman"/>
          <w:sz w:val="24"/>
          <w:szCs w:val="24"/>
        </w:rPr>
        <w:t>integrat</w:t>
      </w:r>
      <w:r w:rsidR="002B0B0B">
        <w:rPr>
          <w:rFonts w:ascii="Times New Roman" w:hAnsi="Times New Roman" w:cs="Times New Roman"/>
          <w:sz w:val="24"/>
          <w:szCs w:val="24"/>
        </w:rPr>
        <w:t>ed into the</w:t>
      </w:r>
      <w:r w:rsidRPr="00D74E63">
        <w:rPr>
          <w:rFonts w:ascii="Times New Roman" w:hAnsi="Times New Roman" w:cs="Times New Roman"/>
          <w:sz w:val="24"/>
          <w:szCs w:val="24"/>
        </w:rPr>
        <w:t xml:space="preserve"> global finan</w:t>
      </w:r>
      <w:r w:rsidR="002B0B0B">
        <w:rPr>
          <w:rFonts w:ascii="Times New Roman" w:hAnsi="Times New Roman" w:cs="Times New Roman"/>
          <w:sz w:val="24"/>
          <w:szCs w:val="24"/>
        </w:rPr>
        <w:t>cial system</w:t>
      </w:r>
      <w:r>
        <w:rPr>
          <w:rFonts w:ascii="Times New Roman" w:hAnsi="Times New Roman" w:cs="Times New Roman"/>
          <w:sz w:val="24"/>
          <w:szCs w:val="24"/>
        </w:rPr>
        <w:t>.</w:t>
      </w:r>
      <w:r w:rsidR="00EF31B5">
        <w:rPr>
          <w:rFonts w:ascii="Times New Roman" w:hAnsi="Times New Roman" w:cs="Times New Roman"/>
          <w:sz w:val="24"/>
          <w:szCs w:val="24"/>
        </w:rPr>
        <w:t xml:space="preserve"> However,</w:t>
      </w:r>
      <w:r w:rsidR="00EF31B5" w:rsidRPr="00D74E63">
        <w:rPr>
          <w:rFonts w:ascii="Times New Roman" w:hAnsi="Times New Roman" w:cs="Times New Roman"/>
          <w:sz w:val="24"/>
          <w:szCs w:val="24"/>
        </w:rPr>
        <w:t xml:space="preserve"> </w:t>
      </w:r>
      <w:r w:rsidR="00EF31B5" w:rsidRPr="001A1F0E">
        <w:rPr>
          <w:rFonts w:ascii="Times New Roman" w:hAnsi="Times New Roman" w:cs="Times New Roman"/>
          <w:sz w:val="24"/>
          <w:szCs w:val="24"/>
        </w:rPr>
        <w:t>the Internatio</w:t>
      </w:r>
      <w:r w:rsidR="00EB136C">
        <w:rPr>
          <w:rFonts w:ascii="Times New Roman" w:hAnsi="Times New Roman" w:cs="Times New Roman"/>
          <w:sz w:val="24"/>
          <w:szCs w:val="24"/>
        </w:rPr>
        <w:t>nal Monetary Fund (IMF) [32]</w:t>
      </w:r>
      <w:r w:rsidR="00EF31B5">
        <w:rPr>
          <w:rFonts w:ascii="Times New Roman" w:hAnsi="Times New Roman" w:cs="Times New Roman"/>
          <w:sz w:val="24"/>
          <w:szCs w:val="24"/>
        </w:rPr>
        <w:t xml:space="preserve"> argued </w:t>
      </w:r>
      <w:r w:rsidR="00EF31B5" w:rsidRPr="001A1F0E">
        <w:rPr>
          <w:rFonts w:ascii="Times New Roman" w:hAnsi="Times New Roman" w:cs="Times New Roman"/>
          <w:sz w:val="24"/>
          <w:szCs w:val="24"/>
        </w:rPr>
        <w:t>that Low Income Countries</w:t>
      </w:r>
      <w:r w:rsidR="00EF31B5">
        <w:rPr>
          <w:rFonts w:ascii="Times New Roman" w:hAnsi="Times New Roman" w:cs="Times New Roman"/>
          <w:sz w:val="24"/>
          <w:szCs w:val="24"/>
        </w:rPr>
        <w:t xml:space="preserve"> (LICs) (such as Africa) will be</w:t>
      </w:r>
      <w:r w:rsidR="00EF31B5" w:rsidRPr="001A1F0E">
        <w:rPr>
          <w:rFonts w:ascii="Times New Roman" w:hAnsi="Times New Roman" w:cs="Times New Roman"/>
          <w:sz w:val="24"/>
          <w:szCs w:val="24"/>
        </w:rPr>
        <w:t xml:space="preserve"> exposed to the current global downturn now more than in previous episodes because they</w:t>
      </w:r>
      <w:r w:rsidR="00EF31B5">
        <w:rPr>
          <w:rFonts w:ascii="Times New Roman" w:hAnsi="Times New Roman" w:cs="Times New Roman"/>
          <w:sz w:val="24"/>
          <w:szCs w:val="24"/>
        </w:rPr>
        <w:t xml:space="preserve"> </w:t>
      </w:r>
      <w:r w:rsidR="00EF31B5" w:rsidRPr="001A1F0E">
        <w:rPr>
          <w:rFonts w:ascii="Times New Roman" w:hAnsi="Times New Roman" w:cs="Times New Roman"/>
          <w:sz w:val="24"/>
          <w:szCs w:val="24"/>
        </w:rPr>
        <w:t xml:space="preserve">are more integrated than before with the world economy through trade, FDI, and remittances. </w:t>
      </w:r>
      <w:r w:rsidR="00A729C2">
        <w:rPr>
          <w:rFonts w:ascii="Times New Roman" w:hAnsi="Times New Roman" w:cs="Times New Roman"/>
          <w:sz w:val="24"/>
          <w:szCs w:val="24"/>
        </w:rPr>
        <w:t>We note that the</w:t>
      </w:r>
      <w:r w:rsidR="00466BBC">
        <w:rPr>
          <w:rFonts w:ascii="Times New Roman" w:hAnsi="Times New Roman" w:cs="Times New Roman"/>
          <w:sz w:val="24"/>
          <w:szCs w:val="24"/>
        </w:rPr>
        <w:t xml:space="preserve"> latter argu</w:t>
      </w:r>
      <w:r w:rsidR="00A729C2">
        <w:rPr>
          <w:rFonts w:ascii="Times New Roman" w:hAnsi="Times New Roman" w:cs="Times New Roman"/>
          <w:sz w:val="24"/>
          <w:szCs w:val="24"/>
        </w:rPr>
        <w:t>ment agrees</w:t>
      </w:r>
      <w:r w:rsidR="00EF31B5">
        <w:rPr>
          <w:rFonts w:ascii="Times New Roman" w:hAnsi="Times New Roman" w:cs="Times New Roman"/>
          <w:sz w:val="24"/>
          <w:szCs w:val="24"/>
        </w:rPr>
        <w:t xml:space="preserve"> with the economic globalization index presented in Table 1 which shows that </w:t>
      </w:r>
      <w:r w:rsidR="00EF31B5" w:rsidRPr="00D74E63">
        <w:rPr>
          <w:rFonts w:ascii="Times New Roman" w:hAnsi="Times New Roman" w:cs="Times New Roman"/>
          <w:sz w:val="24"/>
          <w:szCs w:val="24"/>
        </w:rPr>
        <w:t>Africa has experienced a steady increase in economic globalization in the</w:t>
      </w:r>
      <w:r w:rsidR="00EF31B5">
        <w:rPr>
          <w:rFonts w:ascii="Times New Roman" w:hAnsi="Times New Roman" w:cs="Times New Roman"/>
          <w:sz w:val="24"/>
          <w:szCs w:val="24"/>
        </w:rPr>
        <w:t xml:space="preserve"> last four decades and consequently, is </w:t>
      </w:r>
      <w:r w:rsidR="00EF31B5" w:rsidRPr="00D74E63">
        <w:rPr>
          <w:rFonts w:ascii="Times New Roman" w:hAnsi="Times New Roman" w:cs="Times New Roman"/>
          <w:sz w:val="24"/>
          <w:szCs w:val="24"/>
        </w:rPr>
        <w:t>steadily integrating into the world markets</w:t>
      </w:r>
      <w:r w:rsidR="00EF31B5">
        <w:rPr>
          <w:rFonts w:ascii="Times New Roman" w:hAnsi="Times New Roman" w:cs="Times New Roman"/>
          <w:sz w:val="24"/>
          <w:szCs w:val="24"/>
        </w:rPr>
        <w:t>.</w:t>
      </w:r>
    </w:p>
    <w:p w:rsidR="00EF31B5" w:rsidRDefault="00EF31B5" w:rsidP="00BD26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Kenya, the </w:t>
      </w:r>
      <w:r w:rsidRPr="00EF31B5">
        <w:rPr>
          <w:rFonts w:ascii="Times New Roman" w:hAnsi="Times New Roman" w:cs="Times New Roman"/>
          <w:sz w:val="24"/>
          <w:szCs w:val="24"/>
        </w:rPr>
        <w:t>Ministry of Finance and CBK officials postulated that the impacts would be indirect and most likely small</w:t>
      </w:r>
      <w:r>
        <w:rPr>
          <w:rFonts w:ascii="Times New Roman" w:hAnsi="Times New Roman" w:cs="Times New Roman"/>
          <w:sz w:val="24"/>
          <w:szCs w:val="24"/>
        </w:rPr>
        <w:t>.</w:t>
      </w:r>
      <w:r w:rsidRPr="00EF31B5">
        <w:rPr>
          <w:rFonts w:ascii="Times New Roman" w:hAnsi="Times New Roman" w:cs="Times New Roman"/>
          <w:sz w:val="24"/>
          <w:szCs w:val="24"/>
        </w:rPr>
        <w:t xml:space="preserve"> </w:t>
      </w:r>
      <w:r w:rsidR="00EB136C">
        <w:rPr>
          <w:rFonts w:ascii="Times New Roman" w:hAnsi="Times New Roman" w:cs="Times New Roman"/>
          <w:sz w:val="24"/>
          <w:szCs w:val="24"/>
        </w:rPr>
        <w:t>According to CBK [33]</w:t>
      </w:r>
      <w:r>
        <w:rPr>
          <w:rFonts w:ascii="Times New Roman" w:hAnsi="Times New Roman" w:cs="Times New Roman"/>
          <w:sz w:val="24"/>
          <w:szCs w:val="24"/>
        </w:rPr>
        <w:t>, “</w:t>
      </w:r>
      <w:r w:rsidR="00C6308A" w:rsidRPr="00C6308A">
        <w:rPr>
          <w:rFonts w:ascii="Times New Roman" w:hAnsi="Times New Roman" w:cs="Times New Roman"/>
          <w:sz w:val="24"/>
          <w:szCs w:val="24"/>
        </w:rPr>
        <w:t xml:space="preserve">Kenya is primarily a rural agro-based economy with only a small minority of the population directly interfacing with the developed </w:t>
      </w:r>
      <w:proofErr w:type="gramStart"/>
      <w:r w:rsidR="00C6308A" w:rsidRPr="00C6308A">
        <w:rPr>
          <w:rFonts w:ascii="Times New Roman" w:hAnsi="Times New Roman" w:cs="Times New Roman"/>
          <w:sz w:val="24"/>
          <w:szCs w:val="24"/>
        </w:rPr>
        <w:t>world</w:t>
      </w:r>
      <w:proofErr w:type="gramEnd"/>
      <w:r w:rsidR="00C6308A" w:rsidRPr="00C6308A">
        <w:rPr>
          <w:rFonts w:ascii="Times New Roman" w:hAnsi="Times New Roman" w:cs="Times New Roman"/>
          <w:sz w:val="24"/>
          <w:szCs w:val="24"/>
        </w:rPr>
        <w:t xml:space="preserve">. The main sectors likely to feel any significant impact [are] tourism and commercially-oriented agriculture such as horticulture, tea and coffee. Other effects might be felt through foreign exchange volatility, inputs (cost and availability) and also the credit and trade restrictions. </w:t>
      </w:r>
    </w:p>
    <w:p w:rsidR="001A1F0E" w:rsidRDefault="00BA47CF" w:rsidP="00BD2665">
      <w:pPr>
        <w:autoSpaceDE w:val="0"/>
        <w:autoSpaceDN w:val="0"/>
        <w:adjustRightInd w:val="0"/>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AfDB</w:t>
      </w:r>
      <w:proofErr w:type="spellEnd"/>
      <w:r w:rsidR="001A1F0E" w:rsidRPr="001A1F0E">
        <w:rPr>
          <w:rFonts w:ascii="Times New Roman" w:hAnsi="Times New Roman" w:cs="Times New Roman"/>
          <w:sz w:val="24"/>
          <w:szCs w:val="24"/>
        </w:rPr>
        <w:t xml:space="preserve"> </w:t>
      </w:r>
      <w:r w:rsidR="00EB136C">
        <w:rPr>
          <w:rFonts w:ascii="Times New Roman" w:hAnsi="Times New Roman" w:cs="Times New Roman"/>
          <w:sz w:val="24"/>
          <w:szCs w:val="24"/>
        </w:rPr>
        <w:t>[34]</w:t>
      </w:r>
      <w:r w:rsidR="001A1F0E" w:rsidRPr="001A1F0E">
        <w:rPr>
          <w:rFonts w:ascii="Times New Roman" w:hAnsi="Times New Roman" w:cs="Times New Roman"/>
          <w:sz w:val="24"/>
          <w:szCs w:val="24"/>
        </w:rPr>
        <w:t xml:space="preserve"> identified</w:t>
      </w:r>
      <w:r w:rsidR="001A1F0E">
        <w:rPr>
          <w:rFonts w:ascii="Times New Roman" w:hAnsi="Times New Roman" w:cs="Times New Roman"/>
          <w:sz w:val="24"/>
          <w:szCs w:val="24"/>
        </w:rPr>
        <w:t xml:space="preserve"> </w:t>
      </w:r>
      <w:r w:rsidR="001A1F0E" w:rsidRPr="001A1F0E">
        <w:rPr>
          <w:rFonts w:ascii="Times New Roman" w:hAnsi="Times New Roman" w:cs="Times New Roman"/>
          <w:sz w:val="24"/>
          <w:szCs w:val="24"/>
        </w:rPr>
        <w:t>two transmission channels of the crisis into Africa: trade flows and capital flows (such as foreign</w:t>
      </w:r>
      <w:r w:rsidR="001A1F0E">
        <w:rPr>
          <w:rFonts w:ascii="Times New Roman" w:hAnsi="Times New Roman" w:cs="Times New Roman"/>
          <w:sz w:val="24"/>
          <w:szCs w:val="24"/>
        </w:rPr>
        <w:t xml:space="preserve"> </w:t>
      </w:r>
      <w:r>
        <w:rPr>
          <w:rFonts w:ascii="Times New Roman" w:hAnsi="Times New Roman" w:cs="Times New Roman"/>
          <w:sz w:val="24"/>
          <w:szCs w:val="24"/>
        </w:rPr>
        <w:t>direct investment</w:t>
      </w:r>
      <w:r w:rsidR="001A1F0E" w:rsidRPr="001A1F0E">
        <w:rPr>
          <w:rFonts w:ascii="Times New Roman" w:hAnsi="Times New Roman" w:cs="Times New Roman"/>
          <w:sz w:val="24"/>
          <w:szCs w:val="24"/>
        </w:rPr>
        <w:t>, private capital flows and remittances).</w:t>
      </w:r>
      <w:r w:rsidR="001A1F0E">
        <w:rPr>
          <w:rFonts w:ascii="Times New Roman" w:hAnsi="Times New Roman" w:cs="Times New Roman"/>
          <w:sz w:val="24"/>
          <w:szCs w:val="24"/>
        </w:rPr>
        <w:t xml:space="preserve"> For Kenyan </w:t>
      </w:r>
      <w:r w:rsidR="00EB136C">
        <w:rPr>
          <w:rFonts w:ascii="Times New Roman" w:hAnsi="Times New Roman" w:cs="Times New Roman"/>
          <w:sz w:val="24"/>
          <w:szCs w:val="24"/>
        </w:rPr>
        <w:t xml:space="preserve">economy in particular, </w:t>
      </w:r>
      <w:proofErr w:type="spellStart"/>
      <w:r w:rsidR="00EB136C">
        <w:rPr>
          <w:rFonts w:ascii="Times New Roman" w:hAnsi="Times New Roman" w:cs="Times New Roman"/>
          <w:sz w:val="24"/>
          <w:szCs w:val="24"/>
        </w:rPr>
        <w:t>Mwega</w:t>
      </w:r>
      <w:proofErr w:type="spellEnd"/>
      <w:r w:rsidR="00EB136C">
        <w:rPr>
          <w:rFonts w:ascii="Times New Roman" w:hAnsi="Times New Roman" w:cs="Times New Roman"/>
          <w:sz w:val="24"/>
          <w:szCs w:val="24"/>
        </w:rPr>
        <w:t xml:space="preserve"> [16] </w:t>
      </w:r>
      <w:r w:rsidR="001A1F0E">
        <w:rPr>
          <w:rFonts w:ascii="Times New Roman" w:hAnsi="Times New Roman" w:cs="Times New Roman"/>
          <w:sz w:val="24"/>
          <w:szCs w:val="24"/>
        </w:rPr>
        <w:t xml:space="preserve">highlighted four key mechanisms of transmission which are </w:t>
      </w:r>
      <w:r w:rsidR="001A1F0E">
        <w:rPr>
          <w:rFonts w:ascii="Times New Roman" w:hAnsi="Times New Roman" w:cs="Times New Roman"/>
          <w:sz w:val="24"/>
          <w:szCs w:val="24"/>
        </w:rPr>
        <w:lastRenderedPageBreak/>
        <w:t xml:space="preserve">similar to the transmission channels earlier listed: private capital flows, trade, remittances, and foreign aid.  </w:t>
      </w:r>
    </w:p>
    <w:p w:rsidR="000E5B91" w:rsidRDefault="00EE7107"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861AA1">
        <w:rPr>
          <w:rFonts w:ascii="Times New Roman" w:hAnsi="Times New Roman" w:cs="Times New Roman"/>
          <w:sz w:val="24"/>
          <w:szCs w:val="24"/>
        </w:rPr>
        <w:t>re are</w:t>
      </w:r>
      <w:r w:rsidR="000E5B91">
        <w:rPr>
          <w:rFonts w:ascii="Times New Roman" w:hAnsi="Times New Roman" w:cs="Times New Roman"/>
          <w:sz w:val="24"/>
          <w:szCs w:val="24"/>
        </w:rPr>
        <w:t xml:space="preserve"> very few</w:t>
      </w:r>
      <w:r>
        <w:rPr>
          <w:rFonts w:ascii="Times New Roman" w:hAnsi="Times New Roman" w:cs="Times New Roman"/>
          <w:sz w:val="24"/>
          <w:szCs w:val="24"/>
        </w:rPr>
        <w:t xml:space="preserve"> empirical stud</w:t>
      </w:r>
      <w:r w:rsidR="00861AA1">
        <w:rPr>
          <w:rFonts w:ascii="Times New Roman" w:hAnsi="Times New Roman" w:cs="Times New Roman"/>
          <w:sz w:val="24"/>
          <w:szCs w:val="24"/>
        </w:rPr>
        <w:t>ies</w:t>
      </w:r>
      <w:r>
        <w:rPr>
          <w:rFonts w:ascii="Times New Roman" w:hAnsi="Times New Roman" w:cs="Times New Roman"/>
          <w:sz w:val="24"/>
          <w:szCs w:val="24"/>
        </w:rPr>
        <w:t xml:space="preserve"> relating FOREX volatility to </w:t>
      </w:r>
      <w:r w:rsidR="000E5B91">
        <w:rPr>
          <w:rFonts w:ascii="Times New Roman" w:hAnsi="Times New Roman" w:cs="Times New Roman"/>
          <w:sz w:val="24"/>
          <w:szCs w:val="24"/>
        </w:rPr>
        <w:t xml:space="preserve">the recent </w:t>
      </w:r>
      <w:r w:rsidR="00745ACF">
        <w:rPr>
          <w:rFonts w:ascii="Times New Roman" w:hAnsi="Times New Roman" w:cs="Times New Roman"/>
          <w:sz w:val="24"/>
          <w:szCs w:val="24"/>
        </w:rPr>
        <w:t>financial crisis in the</w:t>
      </w:r>
      <w:r w:rsidR="000E5B91">
        <w:rPr>
          <w:rFonts w:ascii="Times New Roman" w:hAnsi="Times New Roman" w:cs="Times New Roman"/>
          <w:sz w:val="24"/>
          <w:szCs w:val="24"/>
        </w:rPr>
        <w:t xml:space="preserve"> context</w:t>
      </w:r>
      <w:r w:rsidR="004B4316">
        <w:rPr>
          <w:rFonts w:ascii="Times New Roman" w:hAnsi="Times New Roman" w:cs="Times New Roman"/>
          <w:sz w:val="24"/>
          <w:szCs w:val="24"/>
        </w:rPr>
        <w:t xml:space="preserve"> of African</w:t>
      </w:r>
      <w:r w:rsidR="00745ACF">
        <w:rPr>
          <w:rFonts w:ascii="Times New Roman" w:hAnsi="Times New Roman" w:cs="Times New Roman"/>
          <w:sz w:val="24"/>
          <w:szCs w:val="24"/>
        </w:rPr>
        <w:t xml:space="preserve"> economies</w:t>
      </w:r>
      <w:r w:rsidR="000E5B91">
        <w:rPr>
          <w:rFonts w:ascii="Times New Roman" w:hAnsi="Times New Roman" w:cs="Times New Roman"/>
          <w:sz w:val="24"/>
          <w:szCs w:val="24"/>
        </w:rPr>
        <w:t>.</w:t>
      </w:r>
      <w:r w:rsidR="00AF1315">
        <w:rPr>
          <w:rFonts w:ascii="Times New Roman" w:hAnsi="Times New Roman" w:cs="Times New Roman"/>
          <w:sz w:val="24"/>
          <w:szCs w:val="24"/>
        </w:rPr>
        <w:t xml:space="preserve"> In what follows the paper highlights some of the differences in those studies.</w:t>
      </w:r>
    </w:p>
    <w:p w:rsidR="00AF1315" w:rsidRDefault="00FD1AAF"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 </w:t>
      </w:r>
      <w:r w:rsidR="00745ACF">
        <w:rPr>
          <w:rFonts w:ascii="Times New Roman" w:hAnsi="Times New Roman" w:cs="Times New Roman"/>
          <w:sz w:val="24"/>
          <w:szCs w:val="24"/>
        </w:rPr>
        <w:t xml:space="preserve">there is no agreement as to when the crisis started. </w:t>
      </w:r>
      <w:r w:rsidR="00837058">
        <w:rPr>
          <w:rFonts w:ascii="Times New Roman" w:hAnsi="Times New Roman" w:cs="Times New Roman"/>
          <w:sz w:val="24"/>
          <w:szCs w:val="24"/>
        </w:rPr>
        <w:t xml:space="preserve">Ben </w:t>
      </w:r>
      <w:proofErr w:type="spellStart"/>
      <w:r w:rsidR="00837058">
        <w:rPr>
          <w:rFonts w:ascii="Times New Roman" w:hAnsi="Times New Roman" w:cs="Times New Roman"/>
          <w:sz w:val="24"/>
          <w:szCs w:val="24"/>
        </w:rPr>
        <w:t>Ltaifa</w:t>
      </w:r>
      <w:proofErr w:type="spellEnd"/>
      <w:r w:rsidR="00745ACF">
        <w:rPr>
          <w:rFonts w:ascii="Times New Roman" w:hAnsi="Times New Roman" w:cs="Times New Roman"/>
          <w:sz w:val="24"/>
          <w:szCs w:val="24"/>
        </w:rPr>
        <w:t xml:space="preserve"> </w:t>
      </w:r>
      <w:proofErr w:type="gramStart"/>
      <w:r w:rsidR="00745ACF" w:rsidRPr="00745ACF">
        <w:rPr>
          <w:rFonts w:ascii="Times New Roman" w:hAnsi="Times New Roman" w:cs="Times New Roman"/>
          <w:i/>
          <w:sz w:val="24"/>
          <w:szCs w:val="24"/>
        </w:rPr>
        <w:t>et</w:t>
      </w:r>
      <w:proofErr w:type="gramEnd"/>
      <w:r w:rsidR="00745ACF" w:rsidRPr="00745ACF">
        <w:rPr>
          <w:rFonts w:ascii="Times New Roman" w:hAnsi="Times New Roman" w:cs="Times New Roman"/>
          <w:i/>
          <w:sz w:val="24"/>
          <w:szCs w:val="24"/>
        </w:rPr>
        <w:t>. al.</w:t>
      </w:r>
      <w:r w:rsidR="00745ACF">
        <w:rPr>
          <w:rFonts w:ascii="Times New Roman" w:hAnsi="Times New Roman" w:cs="Times New Roman"/>
          <w:sz w:val="24"/>
          <w:szCs w:val="24"/>
        </w:rPr>
        <w:t xml:space="preserve"> </w:t>
      </w:r>
      <w:r w:rsidR="00EB136C">
        <w:rPr>
          <w:rFonts w:ascii="Times New Roman" w:hAnsi="Times New Roman" w:cs="Times New Roman"/>
          <w:sz w:val="24"/>
          <w:szCs w:val="24"/>
        </w:rPr>
        <w:t>[17]</w:t>
      </w:r>
      <w:r w:rsidR="00905602">
        <w:rPr>
          <w:rFonts w:ascii="Times New Roman" w:hAnsi="Times New Roman" w:cs="Times New Roman"/>
          <w:sz w:val="24"/>
          <w:szCs w:val="24"/>
        </w:rPr>
        <w:t xml:space="preserve"> </w:t>
      </w:r>
      <w:r w:rsidR="00745ACF">
        <w:rPr>
          <w:rFonts w:ascii="Times New Roman" w:hAnsi="Times New Roman" w:cs="Times New Roman"/>
          <w:sz w:val="24"/>
          <w:szCs w:val="24"/>
        </w:rPr>
        <w:t xml:space="preserve">defined the crisis period as </w:t>
      </w:r>
      <w:r w:rsidR="00745ACF" w:rsidRPr="00AF1315">
        <w:rPr>
          <w:rFonts w:ascii="Times New Roman" w:hAnsi="Times New Roman" w:cs="Times New Roman"/>
          <w:sz w:val="24"/>
          <w:szCs w:val="24"/>
        </w:rPr>
        <w:t>June 2008</w:t>
      </w:r>
      <w:r w:rsidR="00745ACF">
        <w:rPr>
          <w:rFonts w:ascii="Times New Roman" w:hAnsi="Times New Roman" w:cs="Times New Roman"/>
          <w:sz w:val="24"/>
          <w:szCs w:val="24"/>
        </w:rPr>
        <w:t xml:space="preserve"> </w:t>
      </w:r>
      <w:r w:rsidR="00745ACF" w:rsidRPr="00AF1315">
        <w:rPr>
          <w:rFonts w:ascii="Times New Roman" w:hAnsi="Times New Roman" w:cs="Times New Roman"/>
          <w:sz w:val="24"/>
          <w:szCs w:val="24"/>
        </w:rPr>
        <w:t>–</w:t>
      </w:r>
      <w:r w:rsidR="00745ACF">
        <w:rPr>
          <w:rFonts w:ascii="Times New Roman" w:hAnsi="Times New Roman" w:cs="Times New Roman"/>
          <w:sz w:val="24"/>
          <w:szCs w:val="24"/>
        </w:rPr>
        <w:t xml:space="preserve"> </w:t>
      </w:r>
      <w:r w:rsidR="00745ACF" w:rsidRPr="00AF1315">
        <w:rPr>
          <w:rFonts w:ascii="Times New Roman" w:hAnsi="Times New Roman" w:cs="Times New Roman"/>
          <w:sz w:val="24"/>
          <w:szCs w:val="24"/>
        </w:rPr>
        <w:t>March 2009</w:t>
      </w:r>
      <w:r w:rsidR="00745ACF">
        <w:rPr>
          <w:rFonts w:ascii="Times New Roman" w:hAnsi="Times New Roman" w:cs="Times New Roman"/>
          <w:sz w:val="24"/>
          <w:szCs w:val="24"/>
        </w:rPr>
        <w:t xml:space="preserve">. </w:t>
      </w:r>
      <w:proofErr w:type="spellStart"/>
      <w:r w:rsidR="00905602">
        <w:rPr>
          <w:rFonts w:ascii="Times New Roman" w:hAnsi="Times New Roman" w:cs="Times New Roman"/>
          <w:sz w:val="24"/>
          <w:szCs w:val="24"/>
        </w:rPr>
        <w:t>Coudert</w:t>
      </w:r>
      <w:proofErr w:type="spellEnd"/>
      <w:r w:rsidR="00905602">
        <w:rPr>
          <w:rFonts w:ascii="Times New Roman" w:hAnsi="Times New Roman" w:cs="Times New Roman"/>
          <w:sz w:val="24"/>
          <w:szCs w:val="24"/>
        </w:rPr>
        <w:t xml:space="preserve"> </w:t>
      </w:r>
      <w:proofErr w:type="gramStart"/>
      <w:r w:rsidR="00905602" w:rsidRPr="00905602">
        <w:rPr>
          <w:rFonts w:ascii="Times New Roman" w:hAnsi="Times New Roman" w:cs="Times New Roman"/>
          <w:i/>
          <w:sz w:val="24"/>
          <w:szCs w:val="24"/>
        </w:rPr>
        <w:t>et</w:t>
      </w:r>
      <w:proofErr w:type="gramEnd"/>
      <w:r w:rsidR="00905602" w:rsidRPr="00905602">
        <w:rPr>
          <w:rFonts w:ascii="Times New Roman" w:hAnsi="Times New Roman" w:cs="Times New Roman"/>
          <w:i/>
          <w:sz w:val="24"/>
          <w:szCs w:val="24"/>
        </w:rPr>
        <w:t>. al.</w:t>
      </w:r>
      <w:r w:rsidR="00905602">
        <w:rPr>
          <w:rFonts w:ascii="Times New Roman" w:hAnsi="Times New Roman" w:cs="Times New Roman"/>
          <w:sz w:val="24"/>
          <w:szCs w:val="24"/>
        </w:rPr>
        <w:t xml:space="preserve"> </w:t>
      </w:r>
      <w:r w:rsidR="00EB136C">
        <w:rPr>
          <w:rFonts w:ascii="Times New Roman" w:hAnsi="Times New Roman" w:cs="Times New Roman"/>
          <w:sz w:val="24"/>
          <w:szCs w:val="24"/>
        </w:rPr>
        <w:t>[35]</w:t>
      </w:r>
      <w:r w:rsidR="00905602">
        <w:rPr>
          <w:rFonts w:ascii="Times New Roman" w:hAnsi="Times New Roman" w:cs="Times New Roman"/>
          <w:sz w:val="24"/>
          <w:szCs w:val="24"/>
        </w:rPr>
        <w:t xml:space="preserve"> selected the larger period July 2007, the </w:t>
      </w:r>
      <w:proofErr w:type="gramStart"/>
      <w:r w:rsidR="00905602">
        <w:rPr>
          <w:rFonts w:ascii="Times New Roman" w:hAnsi="Times New Roman" w:cs="Times New Roman"/>
          <w:sz w:val="24"/>
          <w:szCs w:val="24"/>
        </w:rPr>
        <w:t>time</w:t>
      </w:r>
      <w:proofErr w:type="gramEnd"/>
      <w:r w:rsidR="00905602">
        <w:rPr>
          <w:rFonts w:ascii="Times New Roman" w:hAnsi="Times New Roman" w:cs="Times New Roman"/>
          <w:sz w:val="24"/>
          <w:szCs w:val="24"/>
        </w:rPr>
        <w:t xml:space="preserve"> of the bursting of the subprime crisis, to September 2009. </w:t>
      </w:r>
      <w:r w:rsidR="00AE1442">
        <w:rPr>
          <w:rFonts w:ascii="Times New Roman" w:hAnsi="Times New Roman" w:cs="Times New Roman"/>
          <w:sz w:val="24"/>
          <w:szCs w:val="24"/>
        </w:rPr>
        <w:t xml:space="preserve">Later, </w:t>
      </w:r>
      <w:proofErr w:type="spellStart"/>
      <w:r w:rsidR="00EB136C">
        <w:rPr>
          <w:rFonts w:ascii="Times New Roman" w:hAnsi="Times New Roman" w:cs="Times New Roman"/>
          <w:sz w:val="24"/>
          <w:szCs w:val="24"/>
        </w:rPr>
        <w:t>Olowe</w:t>
      </w:r>
      <w:proofErr w:type="spellEnd"/>
      <w:r w:rsidR="00EB136C">
        <w:rPr>
          <w:rFonts w:ascii="Times New Roman" w:hAnsi="Times New Roman" w:cs="Times New Roman"/>
          <w:sz w:val="24"/>
          <w:szCs w:val="24"/>
        </w:rPr>
        <w:t xml:space="preserve"> [11]</w:t>
      </w:r>
      <w:r w:rsidR="00905602">
        <w:rPr>
          <w:rFonts w:ascii="Times New Roman" w:hAnsi="Times New Roman" w:cs="Times New Roman"/>
          <w:sz w:val="24"/>
          <w:szCs w:val="24"/>
        </w:rPr>
        <w:t xml:space="preserve"> defined the crisis period as beginning from the time the </w:t>
      </w:r>
      <w:r w:rsidR="00905602" w:rsidRPr="00AF1315">
        <w:rPr>
          <w:rFonts w:ascii="Times New Roman" w:hAnsi="Times New Roman" w:cs="Times New Roman"/>
          <w:sz w:val="24"/>
          <w:szCs w:val="24"/>
        </w:rPr>
        <w:t>takeover of Fannie Mae (Federal National Mortgage Association) and Freddie Mac (Federal Home Loan Mortgage Corporation)</w:t>
      </w:r>
      <w:r w:rsidR="00905602">
        <w:rPr>
          <w:rFonts w:ascii="Times New Roman" w:hAnsi="Times New Roman" w:cs="Times New Roman"/>
          <w:sz w:val="24"/>
          <w:szCs w:val="24"/>
        </w:rPr>
        <w:t xml:space="preserve"> by the A</w:t>
      </w:r>
      <w:r w:rsidR="00AF1315" w:rsidRPr="00AF1315">
        <w:rPr>
          <w:rFonts w:ascii="Times New Roman" w:hAnsi="Times New Roman" w:cs="Times New Roman"/>
          <w:sz w:val="24"/>
          <w:szCs w:val="24"/>
        </w:rPr>
        <w:t>merica</w:t>
      </w:r>
      <w:r w:rsidR="00905602">
        <w:rPr>
          <w:rFonts w:ascii="Times New Roman" w:hAnsi="Times New Roman" w:cs="Times New Roman"/>
          <w:sz w:val="24"/>
          <w:szCs w:val="24"/>
        </w:rPr>
        <w:t>n</w:t>
      </w:r>
      <w:r w:rsidR="00AF1315" w:rsidRPr="00AF1315">
        <w:rPr>
          <w:rFonts w:ascii="Times New Roman" w:hAnsi="Times New Roman" w:cs="Times New Roman"/>
          <w:sz w:val="24"/>
          <w:szCs w:val="24"/>
        </w:rPr>
        <w:t xml:space="preserve"> government</w:t>
      </w:r>
      <w:r w:rsidR="00905602">
        <w:rPr>
          <w:rFonts w:ascii="Times New Roman" w:hAnsi="Times New Roman" w:cs="Times New Roman"/>
          <w:sz w:val="24"/>
          <w:szCs w:val="24"/>
        </w:rPr>
        <w:t xml:space="preserve"> was</w:t>
      </w:r>
      <w:r w:rsidR="00AF1315" w:rsidRPr="00AF1315">
        <w:rPr>
          <w:rFonts w:ascii="Times New Roman" w:hAnsi="Times New Roman" w:cs="Times New Roman"/>
          <w:sz w:val="24"/>
          <w:szCs w:val="24"/>
        </w:rPr>
        <w:t xml:space="preserve"> officially made public </w:t>
      </w:r>
      <w:r w:rsidR="00905602">
        <w:rPr>
          <w:rFonts w:ascii="Times New Roman" w:hAnsi="Times New Roman" w:cs="Times New Roman"/>
          <w:sz w:val="24"/>
          <w:szCs w:val="24"/>
        </w:rPr>
        <w:t>and extending up to March 2009.</w:t>
      </w:r>
      <w:r w:rsidR="0038273B">
        <w:rPr>
          <w:rFonts w:ascii="Times New Roman" w:hAnsi="Times New Roman" w:cs="Times New Roman"/>
          <w:sz w:val="24"/>
          <w:szCs w:val="24"/>
        </w:rPr>
        <w:t xml:space="preserve"> In line </w:t>
      </w:r>
      <w:r w:rsidR="00BA47CF">
        <w:rPr>
          <w:rFonts w:ascii="Times New Roman" w:hAnsi="Times New Roman" w:cs="Times New Roman"/>
          <w:sz w:val="24"/>
          <w:szCs w:val="24"/>
        </w:rPr>
        <w:t>with the chronology of the crisi</w:t>
      </w:r>
      <w:r w:rsidR="0038273B">
        <w:rPr>
          <w:rFonts w:ascii="Times New Roman" w:hAnsi="Times New Roman" w:cs="Times New Roman"/>
          <w:sz w:val="24"/>
          <w:szCs w:val="24"/>
        </w:rPr>
        <w:t xml:space="preserve">s </w:t>
      </w:r>
      <w:r w:rsidR="00193C28">
        <w:rPr>
          <w:rFonts w:ascii="Times New Roman" w:hAnsi="Times New Roman" w:cs="Times New Roman"/>
          <w:sz w:val="24"/>
          <w:szCs w:val="24"/>
        </w:rPr>
        <w:t xml:space="preserve">in Kenya </w:t>
      </w:r>
      <w:r w:rsidR="00EB136C">
        <w:rPr>
          <w:rFonts w:ascii="Times New Roman" w:hAnsi="Times New Roman" w:cs="Times New Roman"/>
          <w:sz w:val="24"/>
          <w:szCs w:val="24"/>
        </w:rPr>
        <w:t xml:space="preserve">as documented in </w:t>
      </w:r>
      <w:proofErr w:type="spellStart"/>
      <w:r w:rsidR="00EB136C">
        <w:rPr>
          <w:rFonts w:ascii="Times New Roman" w:hAnsi="Times New Roman" w:cs="Times New Roman"/>
          <w:sz w:val="24"/>
          <w:szCs w:val="24"/>
        </w:rPr>
        <w:t>Kilonzo</w:t>
      </w:r>
      <w:proofErr w:type="spellEnd"/>
      <w:r w:rsidR="00EB136C">
        <w:rPr>
          <w:rFonts w:ascii="Times New Roman" w:hAnsi="Times New Roman" w:cs="Times New Roman"/>
          <w:sz w:val="24"/>
          <w:szCs w:val="24"/>
        </w:rPr>
        <w:t xml:space="preserve"> [18]</w:t>
      </w:r>
      <w:r w:rsidR="0038273B">
        <w:rPr>
          <w:rFonts w:ascii="Times New Roman" w:hAnsi="Times New Roman" w:cs="Times New Roman"/>
          <w:sz w:val="24"/>
          <w:szCs w:val="24"/>
        </w:rPr>
        <w:t xml:space="preserve"> and </w:t>
      </w:r>
      <w:r w:rsidR="00837058">
        <w:rPr>
          <w:rFonts w:ascii="Times New Roman" w:hAnsi="Times New Roman" w:cs="Times New Roman"/>
          <w:sz w:val="24"/>
          <w:szCs w:val="24"/>
        </w:rPr>
        <w:t xml:space="preserve">Ben </w:t>
      </w:r>
      <w:proofErr w:type="spellStart"/>
      <w:r w:rsidR="00837058">
        <w:rPr>
          <w:rFonts w:ascii="Times New Roman" w:hAnsi="Times New Roman" w:cs="Times New Roman"/>
          <w:sz w:val="24"/>
          <w:szCs w:val="24"/>
        </w:rPr>
        <w:t>Ltaifa</w:t>
      </w:r>
      <w:proofErr w:type="spellEnd"/>
      <w:r w:rsidR="0038273B">
        <w:rPr>
          <w:rFonts w:ascii="Times New Roman" w:hAnsi="Times New Roman" w:cs="Times New Roman"/>
          <w:sz w:val="24"/>
          <w:szCs w:val="24"/>
        </w:rPr>
        <w:t xml:space="preserve"> </w:t>
      </w:r>
      <w:proofErr w:type="gramStart"/>
      <w:r w:rsidR="0038273B" w:rsidRPr="0069533F">
        <w:rPr>
          <w:rFonts w:ascii="Times New Roman" w:hAnsi="Times New Roman" w:cs="Times New Roman"/>
          <w:i/>
          <w:sz w:val="24"/>
          <w:szCs w:val="24"/>
        </w:rPr>
        <w:t>et</w:t>
      </w:r>
      <w:proofErr w:type="gramEnd"/>
      <w:r w:rsidR="0038273B" w:rsidRPr="0069533F">
        <w:rPr>
          <w:rFonts w:ascii="Times New Roman" w:hAnsi="Times New Roman" w:cs="Times New Roman"/>
          <w:i/>
          <w:sz w:val="24"/>
          <w:szCs w:val="24"/>
        </w:rPr>
        <w:t>. al.</w:t>
      </w:r>
      <w:r w:rsidR="00EB136C">
        <w:rPr>
          <w:rFonts w:ascii="Times New Roman" w:hAnsi="Times New Roman" w:cs="Times New Roman"/>
          <w:sz w:val="24"/>
          <w:szCs w:val="24"/>
        </w:rPr>
        <w:t xml:space="preserve"> [</w:t>
      </w:r>
      <w:proofErr w:type="gramStart"/>
      <w:r w:rsidR="00EB136C">
        <w:rPr>
          <w:rFonts w:ascii="Times New Roman" w:hAnsi="Times New Roman" w:cs="Times New Roman"/>
          <w:sz w:val="24"/>
          <w:szCs w:val="24"/>
        </w:rPr>
        <w:t>17]</w:t>
      </w:r>
      <w:r w:rsidR="0038273B">
        <w:rPr>
          <w:rFonts w:ascii="Times New Roman" w:hAnsi="Times New Roman" w:cs="Times New Roman"/>
          <w:sz w:val="24"/>
          <w:szCs w:val="24"/>
        </w:rPr>
        <w:t>,</w:t>
      </w:r>
      <w:proofErr w:type="gramEnd"/>
      <w:r w:rsidR="0038273B">
        <w:rPr>
          <w:rFonts w:ascii="Times New Roman" w:hAnsi="Times New Roman" w:cs="Times New Roman"/>
          <w:sz w:val="24"/>
          <w:szCs w:val="24"/>
        </w:rPr>
        <w:t xml:space="preserve"> </w:t>
      </w:r>
      <w:r w:rsidR="00BA47CF">
        <w:rPr>
          <w:rFonts w:ascii="Times New Roman" w:hAnsi="Times New Roman" w:cs="Times New Roman"/>
          <w:sz w:val="24"/>
          <w:szCs w:val="24"/>
        </w:rPr>
        <w:t>and also incorporating the presidential election violence, this paper defines the crises period for Kenya as January</w:t>
      </w:r>
      <w:r w:rsidR="0038273B">
        <w:rPr>
          <w:rFonts w:ascii="Times New Roman" w:hAnsi="Times New Roman" w:cs="Times New Roman"/>
          <w:sz w:val="24"/>
          <w:szCs w:val="24"/>
        </w:rPr>
        <w:t xml:space="preserve"> 2008 – </w:t>
      </w:r>
      <w:r w:rsidR="00466E72">
        <w:rPr>
          <w:rFonts w:ascii="Times New Roman" w:hAnsi="Times New Roman" w:cs="Times New Roman"/>
          <w:sz w:val="24"/>
          <w:szCs w:val="24"/>
        </w:rPr>
        <w:t>March</w:t>
      </w:r>
      <w:r w:rsidR="0038273B">
        <w:rPr>
          <w:rFonts w:ascii="Times New Roman" w:hAnsi="Times New Roman" w:cs="Times New Roman"/>
          <w:sz w:val="24"/>
          <w:szCs w:val="24"/>
        </w:rPr>
        <w:t xml:space="preserve"> 2009.</w:t>
      </w:r>
    </w:p>
    <w:p w:rsidR="0038273B" w:rsidRDefault="0038273B"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69533F">
        <w:rPr>
          <w:rFonts w:ascii="Times New Roman" w:hAnsi="Times New Roman" w:cs="Times New Roman"/>
          <w:sz w:val="24"/>
          <w:szCs w:val="24"/>
        </w:rPr>
        <w:t xml:space="preserve"> in difference with methods</w:t>
      </w:r>
      <w:r>
        <w:rPr>
          <w:rFonts w:ascii="Times New Roman" w:hAnsi="Times New Roman" w:cs="Times New Roman"/>
          <w:sz w:val="24"/>
          <w:szCs w:val="24"/>
        </w:rPr>
        <w:t xml:space="preserve">, </w:t>
      </w:r>
      <w:r w:rsidR="00837058">
        <w:rPr>
          <w:rFonts w:ascii="Times New Roman" w:hAnsi="Times New Roman" w:cs="Times New Roman"/>
          <w:sz w:val="24"/>
          <w:szCs w:val="24"/>
        </w:rPr>
        <w:t xml:space="preserve">Ben </w:t>
      </w:r>
      <w:proofErr w:type="spellStart"/>
      <w:r w:rsidR="00837058">
        <w:rPr>
          <w:rFonts w:ascii="Times New Roman" w:hAnsi="Times New Roman" w:cs="Times New Roman"/>
          <w:sz w:val="24"/>
          <w:szCs w:val="24"/>
        </w:rPr>
        <w:t>Ltaifa</w:t>
      </w:r>
      <w:proofErr w:type="spellEnd"/>
      <w:r>
        <w:rPr>
          <w:rFonts w:ascii="Times New Roman" w:hAnsi="Times New Roman" w:cs="Times New Roman"/>
          <w:sz w:val="24"/>
          <w:szCs w:val="24"/>
        </w:rPr>
        <w:t xml:space="preserve"> </w:t>
      </w:r>
      <w:proofErr w:type="gramStart"/>
      <w:r w:rsidRPr="0069533F">
        <w:rPr>
          <w:rFonts w:ascii="Times New Roman" w:hAnsi="Times New Roman" w:cs="Times New Roman"/>
          <w:i/>
          <w:sz w:val="24"/>
          <w:szCs w:val="24"/>
        </w:rPr>
        <w:t>et</w:t>
      </w:r>
      <w:proofErr w:type="gramEnd"/>
      <w:r w:rsidRPr="0069533F">
        <w:rPr>
          <w:rFonts w:ascii="Times New Roman" w:hAnsi="Times New Roman" w:cs="Times New Roman"/>
          <w:i/>
          <w:sz w:val="24"/>
          <w:szCs w:val="24"/>
        </w:rPr>
        <w:t>. al.</w:t>
      </w:r>
      <w:r w:rsidR="00EB136C">
        <w:rPr>
          <w:rFonts w:ascii="Times New Roman" w:hAnsi="Times New Roman" w:cs="Times New Roman"/>
          <w:sz w:val="24"/>
          <w:szCs w:val="24"/>
        </w:rPr>
        <w:t xml:space="preserve"> [17]</w:t>
      </w:r>
      <w:r w:rsidR="0069533F">
        <w:rPr>
          <w:rFonts w:ascii="Times New Roman" w:hAnsi="Times New Roman" w:cs="Times New Roman"/>
          <w:sz w:val="24"/>
          <w:szCs w:val="24"/>
        </w:rPr>
        <w:t xml:space="preserve"> measured exchange rate volatility as </w:t>
      </w:r>
      <w:r w:rsidR="0069533F" w:rsidRPr="0069533F">
        <w:rPr>
          <w:rFonts w:ascii="Times New Roman" w:hAnsi="Times New Roman" w:cs="Times New Roman"/>
          <w:sz w:val="24"/>
          <w:szCs w:val="24"/>
        </w:rPr>
        <w:t>the ratio of the standard deviation of the exchange rate to its</w:t>
      </w:r>
      <w:r w:rsidR="009237FF">
        <w:rPr>
          <w:rFonts w:ascii="Times New Roman" w:hAnsi="Times New Roman" w:cs="Times New Roman"/>
          <w:sz w:val="24"/>
          <w:szCs w:val="24"/>
        </w:rPr>
        <w:t xml:space="preserve"> annual average;</w:t>
      </w:r>
      <w:r w:rsidR="0069533F">
        <w:rPr>
          <w:rFonts w:ascii="Times New Roman" w:hAnsi="Times New Roman" w:cs="Times New Roman"/>
          <w:sz w:val="24"/>
          <w:szCs w:val="24"/>
        </w:rPr>
        <w:t xml:space="preserve"> whereas it has been established that the traditional measure of volatility as represented by variance or standard deviation is unconditional and does not recognize that there are patterns in asset volatility e.g. time-varying and clustering properties.</w:t>
      </w:r>
      <w:r w:rsidR="00A833B5">
        <w:rPr>
          <w:rFonts w:ascii="Times New Roman" w:hAnsi="Times New Roman" w:cs="Times New Roman"/>
          <w:sz w:val="24"/>
          <w:szCs w:val="24"/>
        </w:rPr>
        <w:t xml:space="preserve"> </w:t>
      </w:r>
      <w:proofErr w:type="spellStart"/>
      <w:r w:rsidR="00920E21">
        <w:rPr>
          <w:rFonts w:ascii="Times New Roman" w:hAnsi="Times New Roman" w:cs="Times New Roman"/>
          <w:sz w:val="24"/>
          <w:szCs w:val="24"/>
        </w:rPr>
        <w:t>Coudert</w:t>
      </w:r>
      <w:proofErr w:type="spellEnd"/>
      <w:r w:rsidR="00920E21">
        <w:rPr>
          <w:rFonts w:ascii="Times New Roman" w:hAnsi="Times New Roman" w:cs="Times New Roman"/>
          <w:sz w:val="24"/>
          <w:szCs w:val="24"/>
        </w:rPr>
        <w:t xml:space="preserve"> </w:t>
      </w:r>
      <w:r w:rsidR="005F6D83">
        <w:rPr>
          <w:rFonts w:ascii="Times New Roman" w:hAnsi="Times New Roman" w:cs="Times New Roman"/>
          <w:i/>
          <w:sz w:val="24"/>
          <w:szCs w:val="24"/>
        </w:rPr>
        <w:t>et</w:t>
      </w:r>
      <w:r w:rsidR="00920E21" w:rsidRPr="00905602">
        <w:rPr>
          <w:rFonts w:ascii="Times New Roman" w:hAnsi="Times New Roman" w:cs="Times New Roman"/>
          <w:i/>
          <w:sz w:val="24"/>
          <w:szCs w:val="24"/>
        </w:rPr>
        <w:t xml:space="preserve"> al.</w:t>
      </w:r>
      <w:r w:rsidR="00EB136C">
        <w:rPr>
          <w:rFonts w:ascii="Times New Roman" w:hAnsi="Times New Roman" w:cs="Times New Roman"/>
          <w:sz w:val="24"/>
          <w:szCs w:val="24"/>
        </w:rPr>
        <w:t xml:space="preserve"> [35]</w:t>
      </w:r>
      <w:r w:rsidR="00920E21">
        <w:rPr>
          <w:rFonts w:ascii="Times New Roman" w:hAnsi="Times New Roman" w:cs="Times New Roman"/>
          <w:sz w:val="24"/>
          <w:szCs w:val="24"/>
        </w:rPr>
        <w:t xml:space="preserve"> employed both </w:t>
      </w:r>
      <w:r w:rsidR="00920E21" w:rsidRPr="00920E21">
        <w:rPr>
          <w:rFonts w:ascii="Times New Roman" w:hAnsi="Times New Roman" w:cs="Times New Roman"/>
          <w:sz w:val="24"/>
          <w:szCs w:val="24"/>
        </w:rPr>
        <w:t>the squared monthly returns of exchange rates (in logarithms)</w:t>
      </w:r>
      <w:r w:rsidR="00920E21">
        <w:rPr>
          <w:rFonts w:ascii="Times New Roman" w:hAnsi="Times New Roman" w:cs="Times New Roman"/>
          <w:sz w:val="24"/>
          <w:szCs w:val="24"/>
        </w:rPr>
        <w:t xml:space="preserve"> and </w:t>
      </w:r>
      <w:r w:rsidR="00920E21" w:rsidRPr="00920E21">
        <w:rPr>
          <w:rFonts w:ascii="Times New Roman" w:hAnsi="Times New Roman" w:cs="Times New Roman"/>
          <w:sz w:val="24"/>
          <w:szCs w:val="24"/>
        </w:rPr>
        <w:t>GARCH model</w:t>
      </w:r>
      <w:r w:rsidR="00920E21">
        <w:rPr>
          <w:rFonts w:ascii="Times New Roman" w:hAnsi="Times New Roman" w:cs="Times New Roman"/>
          <w:sz w:val="24"/>
          <w:szCs w:val="24"/>
        </w:rPr>
        <w:t xml:space="preserve"> in measuring FOREX volatility of certain emerging economies. While the former method suffers the same drawback as standard deviation the latter is inadequate because</w:t>
      </w:r>
      <w:r w:rsidR="002B0B0B">
        <w:rPr>
          <w:rFonts w:ascii="Times New Roman" w:hAnsi="Times New Roman" w:cs="Times New Roman"/>
          <w:sz w:val="24"/>
          <w:szCs w:val="24"/>
        </w:rPr>
        <w:t xml:space="preserve"> the use of GARCH model is restrictive</w:t>
      </w:r>
      <w:r w:rsidR="00EB136C">
        <w:rPr>
          <w:rFonts w:ascii="Times New Roman" w:hAnsi="Times New Roman" w:cs="Times New Roman"/>
          <w:sz w:val="24"/>
          <w:szCs w:val="24"/>
        </w:rPr>
        <w:t xml:space="preserve"> (Nelson [15]</w:t>
      </w:r>
      <w:r w:rsidR="005F6D83">
        <w:rPr>
          <w:rFonts w:ascii="Times New Roman" w:hAnsi="Times New Roman" w:cs="Times New Roman"/>
          <w:sz w:val="24"/>
          <w:szCs w:val="24"/>
        </w:rPr>
        <w:t>)</w:t>
      </w:r>
      <w:r w:rsidR="002B0B0B">
        <w:rPr>
          <w:rFonts w:ascii="Times New Roman" w:hAnsi="Times New Roman" w:cs="Times New Roman"/>
          <w:sz w:val="24"/>
          <w:szCs w:val="24"/>
        </w:rPr>
        <w:t xml:space="preserve">. </w:t>
      </w:r>
      <w:r w:rsidR="002B0B0B">
        <w:rPr>
          <w:rFonts w:ascii="Times New Roman" w:hAnsi="Times New Roman" w:cs="Times New Roman"/>
          <w:sz w:val="24"/>
          <w:szCs w:val="24"/>
        </w:rPr>
        <w:lastRenderedPageBreak/>
        <w:t>And besides,</w:t>
      </w:r>
      <w:r w:rsidR="00920E21">
        <w:rPr>
          <w:rFonts w:ascii="Times New Roman" w:hAnsi="Times New Roman" w:cs="Times New Roman"/>
          <w:sz w:val="24"/>
          <w:szCs w:val="24"/>
        </w:rPr>
        <w:t xml:space="preserve"> </w:t>
      </w:r>
      <w:r w:rsidR="00AD612E">
        <w:rPr>
          <w:rFonts w:ascii="Times New Roman" w:hAnsi="Times New Roman" w:cs="Times New Roman"/>
          <w:sz w:val="24"/>
          <w:szCs w:val="24"/>
        </w:rPr>
        <w:t xml:space="preserve">if </w:t>
      </w:r>
      <w:r w:rsidR="00920E21" w:rsidRPr="00920E21">
        <w:rPr>
          <w:rFonts w:ascii="Times New Roman" w:hAnsi="Times New Roman" w:cs="Times New Roman"/>
          <w:sz w:val="24"/>
          <w:szCs w:val="24"/>
        </w:rPr>
        <w:t>the prese</w:t>
      </w:r>
      <w:r w:rsidR="00AD612E">
        <w:rPr>
          <w:rFonts w:ascii="Times New Roman" w:hAnsi="Times New Roman" w:cs="Times New Roman"/>
          <w:sz w:val="24"/>
          <w:szCs w:val="24"/>
        </w:rPr>
        <w:t>n</w:t>
      </w:r>
      <w:r w:rsidR="00BA47CF">
        <w:rPr>
          <w:rFonts w:ascii="Times New Roman" w:hAnsi="Times New Roman" w:cs="Times New Roman"/>
          <w:sz w:val="24"/>
          <w:szCs w:val="24"/>
        </w:rPr>
        <w:t xml:space="preserve">ce of asymmetric volatility is </w:t>
      </w:r>
      <w:r w:rsidR="00AD612E">
        <w:rPr>
          <w:rFonts w:ascii="Times New Roman" w:hAnsi="Times New Roman" w:cs="Times New Roman"/>
          <w:sz w:val="24"/>
          <w:szCs w:val="24"/>
        </w:rPr>
        <w:t xml:space="preserve">not </w:t>
      </w:r>
      <w:r w:rsidR="00920E21" w:rsidRPr="00920E21">
        <w:rPr>
          <w:rFonts w:ascii="Times New Roman" w:hAnsi="Times New Roman" w:cs="Times New Roman"/>
          <w:sz w:val="24"/>
          <w:szCs w:val="24"/>
        </w:rPr>
        <w:t xml:space="preserve">accounted for, </w:t>
      </w:r>
      <w:r w:rsidR="00AD612E">
        <w:rPr>
          <w:rFonts w:ascii="Times New Roman" w:hAnsi="Times New Roman" w:cs="Times New Roman"/>
          <w:sz w:val="24"/>
          <w:szCs w:val="24"/>
        </w:rPr>
        <w:t xml:space="preserve">it </w:t>
      </w:r>
      <w:r w:rsidR="00920E21" w:rsidRPr="00920E21">
        <w:rPr>
          <w:rFonts w:ascii="Times New Roman" w:hAnsi="Times New Roman" w:cs="Times New Roman"/>
          <w:sz w:val="24"/>
          <w:szCs w:val="24"/>
        </w:rPr>
        <w:t>will lead to the underest</w:t>
      </w:r>
      <w:r w:rsidR="00920E21">
        <w:rPr>
          <w:rFonts w:ascii="Times New Roman" w:hAnsi="Times New Roman" w:cs="Times New Roman"/>
          <w:sz w:val="24"/>
          <w:szCs w:val="24"/>
        </w:rPr>
        <w:t>imation of t</w:t>
      </w:r>
      <w:r w:rsidR="00EB136C">
        <w:rPr>
          <w:rFonts w:ascii="Times New Roman" w:hAnsi="Times New Roman" w:cs="Times New Roman"/>
          <w:sz w:val="24"/>
          <w:szCs w:val="24"/>
        </w:rPr>
        <w:t xml:space="preserve">he Value at Risk (Engle [1]). Finally, </w:t>
      </w:r>
      <w:proofErr w:type="spellStart"/>
      <w:r w:rsidR="00EB136C">
        <w:rPr>
          <w:rFonts w:ascii="Times New Roman" w:hAnsi="Times New Roman" w:cs="Times New Roman"/>
          <w:sz w:val="24"/>
          <w:szCs w:val="24"/>
        </w:rPr>
        <w:t>Olowe</w:t>
      </w:r>
      <w:proofErr w:type="spellEnd"/>
      <w:r w:rsidR="00EB136C">
        <w:rPr>
          <w:rFonts w:ascii="Times New Roman" w:hAnsi="Times New Roman" w:cs="Times New Roman"/>
          <w:sz w:val="24"/>
          <w:szCs w:val="24"/>
        </w:rPr>
        <w:t xml:space="preserve"> [</w:t>
      </w:r>
      <w:r w:rsidR="00920E21">
        <w:rPr>
          <w:rFonts w:ascii="Times New Roman" w:hAnsi="Times New Roman" w:cs="Times New Roman"/>
          <w:sz w:val="24"/>
          <w:szCs w:val="24"/>
        </w:rPr>
        <w:t>11</w:t>
      </w:r>
      <w:r w:rsidR="00EB136C">
        <w:rPr>
          <w:rFonts w:ascii="Times New Roman" w:hAnsi="Times New Roman" w:cs="Times New Roman"/>
          <w:sz w:val="24"/>
          <w:szCs w:val="24"/>
        </w:rPr>
        <w:t>]</w:t>
      </w:r>
      <w:r w:rsidR="00920E21">
        <w:rPr>
          <w:rFonts w:ascii="Times New Roman" w:hAnsi="Times New Roman" w:cs="Times New Roman"/>
          <w:sz w:val="24"/>
          <w:szCs w:val="24"/>
        </w:rPr>
        <w:t xml:space="preserve"> </w:t>
      </w:r>
      <w:r w:rsidR="00AD612E">
        <w:rPr>
          <w:rFonts w:ascii="Times New Roman" w:hAnsi="Times New Roman" w:cs="Times New Roman"/>
          <w:sz w:val="24"/>
          <w:szCs w:val="24"/>
        </w:rPr>
        <w:t>used both GARCH and</w:t>
      </w:r>
      <w:r w:rsidR="00193C28">
        <w:rPr>
          <w:rFonts w:ascii="Times New Roman" w:hAnsi="Times New Roman" w:cs="Times New Roman"/>
          <w:sz w:val="24"/>
          <w:szCs w:val="24"/>
        </w:rPr>
        <w:t xml:space="preserve"> GJR-GARCH</w:t>
      </w:r>
      <w:r w:rsidR="00D12F19">
        <w:rPr>
          <w:rFonts w:ascii="Times New Roman" w:hAnsi="Times New Roman" w:cs="Times New Roman"/>
          <w:sz w:val="24"/>
          <w:szCs w:val="24"/>
        </w:rPr>
        <w:t xml:space="preserve">. However, as noted earlier, </w:t>
      </w:r>
      <w:r w:rsidR="00080A6F">
        <w:rPr>
          <w:rFonts w:ascii="Times New Roman" w:hAnsi="Times New Roman" w:cs="Times New Roman"/>
          <w:sz w:val="24"/>
          <w:szCs w:val="24"/>
        </w:rPr>
        <w:t xml:space="preserve">the </w:t>
      </w:r>
      <w:r w:rsidR="00D12F19">
        <w:rPr>
          <w:rFonts w:ascii="Times New Roman" w:hAnsi="Times New Roman" w:cs="Times New Roman"/>
          <w:sz w:val="24"/>
          <w:szCs w:val="24"/>
        </w:rPr>
        <w:t>dichotomous</w:t>
      </w:r>
      <w:r w:rsidR="00080A6F">
        <w:rPr>
          <w:rFonts w:ascii="Times New Roman" w:hAnsi="Times New Roman" w:cs="Times New Roman"/>
          <w:sz w:val="24"/>
          <w:szCs w:val="24"/>
        </w:rPr>
        <w:t>-GARCH</w:t>
      </w:r>
      <w:r w:rsidR="00D12F19">
        <w:rPr>
          <w:rFonts w:ascii="Times New Roman" w:hAnsi="Times New Roman" w:cs="Times New Roman"/>
          <w:sz w:val="24"/>
          <w:szCs w:val="24"/>
        </w:rPr>
        <w:t xml:space="preserve"> model which he applied could only ascertain the pre</w:t>
      </w:r>
      <w:r w:rsidR="005F6D83">
        <w:rPr>
          <w:rFonts w:ascii="Times New Roman" w:hAnsi="Times New Roman" w:cs="Times New Roman"/>
          <w:sz w:val="24"/>
          <w:szCs w:val="24"/>
        </w:rPr>
        <w:t>sence of the impact of the crisi</w:t>
      </w:r>
      <w:r w:rsidR="00D12F19">
        <w:rPr>
          <w:rFonts w:ascii="Times New Roman" w:hAnsi="Times New Roman" w:cs="Times New Roman"/>
          <w:sz w:val="24"/>
          <w:szCs w:val="24"/>
        </w:rPr>
        <w:t>s but could not provide the in-depth analysis of what went down during the period</w:t>
      </w:r>
      <w:r w:rsidR="00080A6F">
        <w:rPr>
          <w:rFonts w:ascii="Times New Roman" w:hAnsi="Times New Roman" w:cs="Times New Roman"/>
          <w:sz w:val="24"/>
          <w:szCs w:val="24"/>
        </w:rPr>
        <w:t xml:space="preserve">. The subsample comparison which, in addition, is being applied here is important especially for Kenyan economy </w:t>
      </w:r>
      <w:r w:rsidR="00F64FE6">
        <w:rPr>
          <w:rFonts w:ascii="Times New Roman" w:hAnsi="Times New Roman" w:cs="Times New Roman"/>
          <w:sz w:val="24"/>
          <w:szCs w:val="24"/>
        </w:rPr>
        <w:t>in order to identify the individual impact of the election violence and the global crisis</w:t>
      </w:r>
      <w:r w:rsidR="00080A6F">
        <w:rPr>
          <w:rFonts w:ascii="Times New Roman" w:hAnsi="Times New Roman" w:cs="Times New Roman"/>
          <w:sz w:val="24"/>
          <w:szCs w:val="24"/>
        </w:rPr>
        <w:t>.</w:t>
      </w:r>
    </w:p>
    <w:p w:rsidR="00080A6F" w:rsidRDefault="00080A6F"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Earlier empirical findings </w:t>
      </w:r>
      <w:r w:rsidR="004314B1">
        <w:rPr>
          <w:rFonts w:ascii="Times New Roman" w:hAnsi="Times New Roman" w:cs="Times New Roman"/>
          <w:sz w:val="24"/>
          <w:szCs w:val="24"/>
        </w:rPr>
        <w:t xml:space="preserve">agreed that the crisis had effect on exchange rate volatilities of emerging economies but to what extent? Did the crisis cause volatility to increase or not? </w:t>
      </w:r>
      <w:r w:rsidR="00EA7C25">
        <w:rPr>
          <w:rFonts w:ascii="Times New Roman" w:hAnsi="Times New Roman" w:cs="Times New Roman"/>
          <w:sz w:val="24"/>
          <w:szCs w:val="24"/>
        </w:rPr>
        <w:t xml:space="preserve">What is the individual impact of the election crisis and the global financial crisis? </w:t>
      </w:r>
      <w:r w:rsidR="004314B1">
        <w:rPr>
          <w:rFonts w:ascii="Times New Roman" w:hAnsi="Times New Roman" w:cs="Times New Roman"/>
          <w:sz w:val="24"/>
          <w:szCs w:val="24"/>
        </w:rPr>
        <w:t xml:space="preserve">To these questions the </w:t>
      </w:r>
      <w:r w:rsidR="002B2317">
        <w:rPr>
          <w:rFonts w:ascii="Times New Roman" w:hAnsi="Times New Roman" w:cs="Times New Roman"/>
          <w:sz w:val="24"/>
          <w:szCs w:val="24"/>
        </w:rPr>
        <w:t xml:space="preserve">present </w:t>
      </w:r>
      <w:r w:rsidR="004314B1">
        <w:rPr>
          <w:rFonts w:ascii="Times New Roman" w:hAnsi="Times New Roman" w:cs="Times New Roman"/>
          <w:sz w:val="24"/>
          <w:szCs w:val="24"/>
        </w:rPr>
        <w:t>study attempts to offer answers</w:t>
      </w:r>
      <w:r w:rsidR="00FD1AAF">
        <w:rPr>
          <w:rFonts w:ascii="Times New Roman" w:hAnsi="Times New Roman" w:cs="Times New Roman"/>
          <w:sz w:val="24"/>
          <w:szCs w:val="24"/>
        </w:rPr>
        <w:t>.</w:t>
      </w:r>
    </w:p>
    <w:p w:rsidR="00F83A79" w:rsidRPr="00D74E63" w:rsidRDefault="00F83A79" w:rsidP="00BD2665">
      <w:pPr>
        <w:autoSpaceDE w:val="0"/>
        <w:autoSpaceDN w:val="0"/>
        <w:adjustRightInd w:val="0"/>
        <w:spacing w:line="480" w:lineRule="auto"/>
        <w:jc w:val="both"/>
        <w:rPr>
          <w:rFonts w:ascii="Times New Roman" w:hAnsi="Times New Roman" w:cs="Times New Roman"/>
          <w:b/>
          <w:sz w:val="28"/>
          <w:szCs w:val="24"/>
        </w:rPr>
      </w:pPr>
      <w:r>
        <w:rPr>
          <w:rFonts w:ascii="Times New Roman" w:hAnsi="Times New Roman" w:cs="Times New Roman"/>
          <w:b/>
          <w:sz w:val="28"/>
          <w:szCs w:val="24"/>
        </w:rPr>
        <w:t>3</w:t>
      </w:r>
      <w:r w:rsidRPr="00D74E63">
        <w:rPr>
          <w:rFonts w:ascii="Times New Roman" w:hAnsi="Times New Roman" w:cs="Times New Roman"/>
          <w:b/>
          <w:sz w:val="28"/>
          <w:szCs w:val="24"/>
        </w:rPr>
        <w:t xml:space="preserve">. Developments in the </w:t>
      </w:r>
      <w:r w:rsidR="00DD6DDF">
        <w:rPr>
          <w:rFonts w:ascii="Times New Roman" w:hAnsi="Times New Roman" w:cs="Times New Roman"/>
          <w:b/>
          <w:sz w:val="28"/>
          <w:szCs w:val="24"/>
        </w:rPr>
        <w:t>Keny</w:t>
      </w:r>
      <w:r>
        <w:rPr>
          <w:rFonts w:ascii="Times New Roman" w:hAnsi="Times New Roman" w:cs="Times New Roman"/>
          <w:b/>
          <w:sz w:val="28"/>
          <w:szCs w:val="24"/>
        </w:rPr>
        <w:t xml:space="preserve">an </w:t>
      </w:r>
      <w:r w:rsidRPr="00D74E63">
        <w:rPr>
          <w:rFonts w:ascii="Times New Roman" w:hAnsi="Times New Roman" w:cs="Times New Roman"/>
          <w:b/>
          <w:sz w:val="28"/>
          <w:szCs w:val="24"/>
        </w:rPr>
        <w:t>Foreign Exc</w:t>
      </w:r>
      <w:r w:rsidR="003037A9">
        <w:rPr>
          <w:rFonts w:ascii="Times New Roman" w:hAnsi="Times New Roman" w:cs="Times New Roman"/>
          <w:b/>
          <w:sz w:val="28"/>
          <w:szCs w:val="24"/>
        </w:rPr>
        <w:t>hange Market: Before and During</w:t>
      </w:r>
      <w:r w:rsidR="00095369">
        <w:rPr>
          <w:rFonts w:ascii="Times New Roman" w:hAnsi="Times New Roman" w:cs="Times New Roman"/>
          <w:b/>
          <w:sz w:val="28"/>
          <w:szCs w:val="24"/>
        </w:rPr>
        <w:t>–the–Crise</w:t>
      </w:r>
      <w:r w:rsidRPr="00D74E63">
        <w:rPr>
          <w:rFonts w:ascii="Times New Roman" w:hAnsi="Times New Roman" w:cs="Times New Roman"/>
          <w:b/>
          <w:sz w:val="28"/>
          <w:szCs w:val="24"/>
        </w:rPr>
        <w:t>s Review.</w:t>
      </w:r>
    </w:p>
    <w:p w:rsidR="00F83A79" w:rsidRPr="00D74E63" w:rsidRDefault="00F83A79" w:rsidP="00BD2665">
      <w:pPr>
        <w:spacing w:line="480" w:lineRule="auto"/>
        <w:jc w:val="both"/>
        <w:rPr>
          <w:rFonts w:ascii="Times New Roman" w:hAnsi="Times New Roman" w:cs="Times New Roman"/>
          <w:sz w:val="24"/>
          <w:szCs w:val="24"/>
        </w:rPr>
      </w:pPr>
      <w:r w:rsidRPr="00D74E63">
        <w:rPr>
          <w:rFonts w:ascii="Times New Roman" w:hAnsi="Times New Roman" w:cs="Times New Roman"/>
          <w:sz w:val="24"/>
          <w:szCs w:val="24"/>
        </w:rPr>
        <w:t>Since the collapse of the generalized fixed exchange rate regime and the adoption of a generalized floating system by the industrialized countries in 1973, African countries have experimented with various types of exchange rate arrangements, ranging from a peg to a single currency, weighted currency basket, managed floating, independently floating exchange rate system and monetary zone arrangements, such as the CFA Franc Zone and the Common Monetary Area (CMA) of Southern Africa. The experiences of various African countries with exchange rate arrangements and management have, therefore, been diverse and varied as these countries have sought to f</w:t>
      </w:r>
      <w:r w:rsidR="00F1124B">
        <w:rPr>
          <w:rFonts w:ascii="Times New Roman" w:hAnsi="Times New Roman" w:cs="Times New Roman"/>
          <w:sz w:val="24"/>
          <w:szCs w:val="24"/>
        </w:rPr>
        <w:t>ind an optimal and sustainable exchange rate regime.</w:t>
      </w:r>
    </w:p>
    <w:p w:rsidR="00F83A79" w:rsidRDefault="00F83A79"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For Kenya</w:t>
      </w:r>
      <w:r w:rsidRPr="00E61B96">
        <w:rPr>
          <w:rFonts w:ascii="Times New Roman" w:hAnsi="Times New Roman" w:cs="Times New Roman"/>
          <w:sz w:val="24"/>
          <w:szCs w:val="24"/>
        </w:rPr>
        <w:t xml:space="preserve">, </w:t>
      </w:r>
      <w:r w:rsidRPr="00E61B96">
        <w:rPr>
          <w:rFonts w:ascii="Times New Roman" w:hAnsi="Times New Roman" w:cs="Times New Roman"/>
          <w:color w:val="000000"/>
          <w:sz w:val="24"/>
          <w:szCs w:val="24"/>
        </w:rPr>
        <w:t>the shift from a fixed to a flexib</w:t>
      </w:r>
      <w:r>
        <w:rPr>
          <w:rFonts w:ascii="Times New Roman" w:hAnsi="Times New Roman" w:cs="Times New Roman"/>
          <w:color w:val="000000"/>
          <w:sz w:val="24"/>
          <w:szCs w:val="24"/>
        </w:rPr>
        <w:t>le exchange rate regime has been gradual</w:t>
      </w:r>
      <w:r w:rsidRPr="00E61B96">
        <w:rPr>
          <w:rFonts w:ascii="Times New Roman" w:hAnsi="Times New Roman" w:cs="Times New Roman"/>
          <w:color w:val="000000"/>
          <w:sz w:val="24"/>
          <w:szCs w:val="24"/>
        </w:rPr>
        <w:t xml:space="preserve">. </w:t>
      </w:r>
      <w:r w:rsidR="00EB136C">
        <w:rPr>
          <w:rFonts w:ascii="Times New Roman" w:eastAsia="Calibri" w:hAnsi="Times New Roman" w:cs="Times New Roman"/>
          <w:sz w:val="24"/>
          <w:szCs w:val="24"/>
        </w:rPr>
        <w:t xml:space="preserve">According to </w:t>
      </w:r>
      <w:proofErr w:type="spellStart"/>
      <w:r w:rsidR="00EB136C">
        <w:rPr>
          <w:rFonts w:ascii="Times New Roman" w:eastAsia="Calibri" w:hAnsi="Times New Roman" w:cs="Times New Roman"/>
          <w:sz w:val="24"/>
          <w:szCs w:val="24"/>
        </w:rPr>
        <w:t>Ndung'u</w:t>
      </w:r>
      <w:proofErr w:type="spellEnd"/>
      <w:r w:rsidR="00EB136C">
        <w:rPr>
          <w:rFonts w:ascii="Times New Roman" w:eastAsia="Calibri" w:hAnsi="Times New Roman" w:cs="Times New Roman"/>
          <w:sz w:val="24"/>
          <w:szCs w:val="24"/>
        </w:rPr>
        <w:t xml:space="preserve"> [36]</w:t>
      </w:r>
      <w:r w:rsidRPr="00E61B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from </w:t>
      </w:r>
      <w:r w:rsidRPr="00E61B96">
        <w:rPr>
          <w:rFonts w:ascii="Times New Roman" w:eastAsia="Calibri" w:hAnsi="Times New Roman" w:cs="Times New Roman"/>
          <w:sz w:val="24"/>
          <w:szCs w:val="24"/>
        </w:rPr>
        <w:t>independence to 1974, the exchange r</w:t>
      </w:r>
      <w:r w:rsidR="00173737">
        <w:rPr>
          <w:rFonts w:ascii="Times New Roman" w:eastAsia="Calibri" w:hAnsi="Times New Roman" w:cs="Times New Roman"/>
          <w:sz w:val="24"/>
          <w:szCs w:val="24"/>
        </w:rPr>
        <w:t>ate for</w:t>
      </w:r>
      <w:r w:rsidRPr="00E61B96">
        <w:rPr>
          <w:rFonts w:ascii="Times New Roman" w:eastAsia="Calibri" w:hAnsi="Times New Roman" w:cs="Times New Roman"/>
          <w:sz w:val="24"/>
          <w:szCs w:val="24"/>
        </w:rPr>
        <w:t xml:space="preserve"> K</w:t>
      </w:r>
      <w:r w:rsidR="00173737">
        <w:rPr>
          <w:rFonts w:ascii="Times New Roman" w:eastAsia="Calibri" w:hAnsi="Times New Roman" w:cs="Times New Roman"/>
          <w:sz w:val="24"/>
          <w:szCs w:val="24"/>
        </w:rPr>
        <w:t xml:space="preserve">enya shilling was pegged to </w:t>
      </w:r>
      <w:r w:rsidRPr="00E61B96">
        <w:rPr>
          <w:rFonts w:ascii="Times New Roman" w:eastAsia="Calibri" w:hAnsi="Times New Roman" w:cs="Times New Roman"/>
          <w:sz w:val="24"/>
          <w:szCs w:val="24"/>
        </w:rPr>
        <w:t>US dollar, but after discrete devaluati</w:t>
      </w:r>
      <w:r>
        <w:rPr>
          <w:rFonts w:ascii="Times New Roman" w:eastAsia="Calibri" w:hAnsi="Times New Roman" w:cs="Times New Roman"/>
          <w:sz w:val="24"/>
          <w:szCs w:val="24"/>
        </w:rPr>
        <w:t>ons the peg was changed to the Special D</w:t>
      </w:r>
      <w:r w:rsidRPr="00E61B96">
        <w:rPr>
          <w:rFonts w:ascii="Times New Roman" w:eastAsia="Calibri" w:hAnsi="Times New Roman" w:cs="Times New Roman"/>
          <w:sz w:val="24"/>
          <w:szCs w:val="24"/>
        </w:rPr>
        <w:t xml:space="preserve">rawing </w:t>
      </w:r>
      <w:r>
        <w:rPr>
          <w:rFonts w:ascii="Times New Roman" w:eastAsia="Calibri" w:hAnsi="Times New Roman" w:cs="Times New Roman"/>
          <w:sz w:val="24"/>
          <w:szCs w:val="24"/>
        </w:rPr>
        <w:t>R</w:t>
      </w:r>
      <w:r w:rsidRPr="00E61B96">
        <w:rPr>
          <w:rFonts w:ascii="Times New Roman" w:eastAsia="Calibri" w:hAnsi="Times New Roman" w:cs="Times New Roman"/>
          <w:sz w:val="24"/>
          <w:szCs w:val="24"/>
        </w:rPr>
        <w:t>ights (SDR).</w:t>
      </w:r>
      <w:r w:rsidR="001755C7">
        <w:rPr>
          <w:rFonts w:ascii="Times New Roman" w:eastAsia="Calibri" w:hAnsi="Times New Roman" w:cs="Times New Roman"/>
          <w:sz w:val="24"/>
          <w:szCs w:val="24"/>
        </w:rPr>
        <w:t xml:space="preserve"> </w:t>
      </w:r>
      <w:r w:rsidRPr="00E61B96">
        <w:rPr>
          <w:rFonts w:ascii="Times New Roman" w:eastAsia="Calibri" w:hAnsi="Times New Roman" w:cs="Times New Roman"/>
          <w:sz w:val="24"/>
          <w:szCs w:val="24"/>
        </w:rPr>
        <w:t xml:space="preserve">SDR was </w:t>
      </w:r>
      <w:r w:rsidR="001755C7">
        <w:rPr>
          <w:rFonts w:ascii="Times New Roman" w:eastAsia="Calibri" w:hAnsi="Times New Roman" w:cs="Times New Roman"/>
          <w:sz w:val="24"/>
          <w:szCs w:val="24"/>
        </w:rPr>
        <w:t xml:space="preserve">later </w:t>
      </w:r>
      <w:r w:rsidRPr="00E61B96">
        <w:rPr>
          <w:rFonts w:ascii="Times New Roman" w:eastAsia="Calibri" w:hAnsi="Times New Roman" w:cs="Times New Roman"/>
          <w:sz w:val="24"/>
          <w:szCs w:val="24"/>
        </w:rPr>
        <w:t>abandoned because it was considered inadequate to maint</w:t>
      </w:r>
      <w:r w:rsidR="00173737">
        <w:rPr>
          <w:rFonts w:ascii="Times New Roman" w:eastAsia="Calibri" w:hAnsi="Times New Roman" w:cs="Times New Roman"/>
          <w:sz w:val="24"/>
          <w:szCs w:val="24"/>
        </w:rPr>
        <w:t>ain competitiveness of the</w:t>
      </w:r>
      <w:r w:rsidRPr="00E61B96">
        <w:rPr>
          <w:rFonts w:ascii="Times New Roman" w:eastAsia="Calibri" w:hAnsi="Times New Roman" w:cs="Times New Roman"/>
          <w:sz w:val="24"/>
          <w:szCs w:val="24"/>
        </w:rPr>
        <w:t xml:space="preserve"> shilling since the weights used did not reflect </w:t>
      </w:r>
      <w:r w:rsidR="001755C7">
        <w:rPr>
          <w:rFonts w:ascii="Times New Roman" w:eastAsia="Calibri" w:hAnsi="Times New Roman" w:cs="Times New Roman"/>
          <w:sz w:val="24"/>
          <w:szCs w:val="24"/>
        </w:rPr>
        <w:t>her</w:t>
      </w:r>
      <w:r w:rsidRPr="00E61B96">
        <w:rPr>
          <w:rFonts w:ascii="Times New Roman" w:eastAsia="Calibri" w:hAnsi="Times New Roman" w:cs="Times New Roman"/>
          <w:sz w:val="24"/>
          <w:szCs w:val="24"/>
        </w:rPr>
        <w:t xml:space="preserve"> trade pattern, which is more diversified</w:t>
      </w:r>
      <w:r w:rsidRPr="00E61B96">
        <w:rPr>
          <w:rFonts w:ascii="Times New Roman" w:hAnsi="Times New Roman" w:cs="Times New Roman"/>
          <w:sz w:val="24"/>
          <w:szCs w:val="24"/>
        </w:rPr>
        <w:t xml:space="preserve">. </w:t>
      </w:r>
      <w:r w:rsidRPr="00E61B96">
        <w:rPr>
          <w:rFonts w:ascii="Times New Roman" w:eastAsia="Calibri" w:hAnsi="Times New Roman" w:cs="Times New Roman"/>
          <w:sz w:val="24"/>
          <w:szCs w:val="24"/>
        </w:rPr>
        <w:t xml:space="preserve">A crawling peg exchange rate regime was adopted until 1990 when </w:t>
      </w:r>
      <w:r w:rsidR="00CC68DA">
        <w:rPr>
          <w:rFonts w:ascii="Times New Roman" w:eastAsia="Calibri" w:hAnsi="Times New Roman" w:cs="Times New Roman"/>
          <w:sz w:val="24"/>
          <w:szCs w:val="24"/>
        </w:rPr>
        <w:t xml:space="preserve">it was replaced with </w:t>
      </w:r>
      <w:r w:rsidRPr="00E61B96">
        <w:rPr>
          <w:rFonts w:ascii="Times New Roman" w:eastAsia="Calibri" w:hAnsi="Times New Roman" w:cs="Times New Roman"/>
          <w:sz w:val="24"/>
          <w:szCs w:val="24"/>
        </w:rPr>
        <w:t>a dual exchange rate</w:t>
      </w:r>
      <w:r w:rsidRPr="00E61B96">
        <w:rPr>
          <w:rFonts w:ascii="Times New Roman" w:hAnsi="Times New Roman" w:cs="Times New Roman"/>
          <w:i/>
          <w:iCs/>
          <w:sz w:val="24"/>
          <w:szCs w:val="24"/>
        </w:rPr>
        <w:t xml:space="preserve"> </w:t>
      </w:r>
      <w:r w:rsidR="00CC68DA">
        <w:rPr>
          <w:rFonts w:ascii="Times New Roman" w:hAnsi="Times New Roman" w:cs="Times New Roman"/>
          <w:sz w:val="24"/>
          <w:szCs w:val="24"/>
        </w:rPr>
        <w:t>system</w:t>
      </w:r>
      <w:r w:rsidRPr="00E61B96">
        <w:rPr>
          <w:rFonts w:ascii="Times New Roman" w:hAnsi="Times New Roman" w:cs="Times New Roman"/>
          <w:sz w:val="24"/>
          <w:szCs w:val="24"/>
        </w:rPr>
        <w:t xml:space="preserve">. </w:t>
      </w:r>
      <w:r>
        <w:rPr>
          <w:rFonts w:ascii="Times New Roman" w:hAnsi="Times New Roman" w:cs="Times New Roman"/>
          <w:sz w:val="24"/>
          <w:szCs w:val="24"/>
        </w:rPr>
        <w:t>The new regime</w:t>
      </w:r>
      <w:r w:rsidRPr="00E61B96">
        <w:rPr>
          <w:rFonts w:ascii="Times New Roman" w:hAnsi="Times New Roman" w:cs="Times New Roman"/>
          <w:sz w:val="24"/>
          <w:szCs w:val="24"/>
        </w:rPr>
        <w:t xml:space="preserve"> lasted until October 1993, when, after further devaluations, the official exchange rate was merged with the market rate and the shilling was allowed to</w:t>
      </w:r>
      <w:r>
        <w:rPr>
          <w:rFonts w:ascii="Times New Roman" w:hAnsi="Times New Roman" w:cs="Times New Roman"/>
          <w:sz w:val="24"/>
          <w:szCs w:val="24"/>
        </w:rPr>
        <w:t xml:space="preserve"> </w:t>
      </w:r>
      <w:r w:rsidRPr="00E61B96">
        <w:rPr>
          <w:rFonts w:ascii="Times New Roman" w:hAnsi="Times New Roman" w:cs="Times New Roman"/>
          <w:sz w:val="24"/>
          <w:szCs w:val="24"/>
        </w:rPr>
        <w:t>float. Following the years after the liberaliz</w:t>
      </w:r>
      <w:r w:rsidR="001755C7">
        <w:rPr>
          <w:rFonts w:ascii="Times New Roman" w:hAnsi="Times New Roman" w:cs="Times New Roman"/>
          <w:sz w:val="24"/>
          <w:szCs w:val="24"/>
        </w:rPr>
        <w:t>ation of the shilling, the exchange rate</w:t>
      </w:r>
      <w:r w:rsidRPr="00E61B96">
        <w:rPr>
          <w:rFonts w:ascii="Times New Roman" w:hAnsi="Times New Roman" w:cs="Times New Roman"/>
          <w:sz w:val="24"/>
          <w:szCs w:val="24"/>
        </w:rPr>
        <w:t xml:space="preserve"> </w:t>
      </w:r>
      <w:r>
        <w:rPr>
          <w:rFonts w:ascii="Times New Roman" w:hAnsi="Times New Roman" w:cs="Times New Roman"/>
          <w:sz w:val="24"/>
          <w:szCs w:val="24"/>
        </w:rPr>
        <w:t>went</w:t>
      </w:r>
      <w:r w:rsidRPr="00E61B96">
        <w:rPr>
          <w:rFonts w:ascii="Times New Roman" w:hAnsi="Times New Roman" w:cs="Times New Roman"/>
          <w:sz w:val="24"/>
          <w:szCs w:val="24"/>
        </w:rPr>
        <w:t xml:space="preserve"> through several phases of depreciations due to a number of factors. </w:t>
      </w:r>
      <w:proofErr w:type="gramStart"/>
      <w:r w:rsidR="00EB136C">
        <w:rPr>
          <w:rFonts w:ascii="Times New Roman" w:hAnsi="Times New Roman" w:cs="Times New Roman"/>
          <w:sz w:val="24"/>
          <w:szCs w:val="24"/>
        </w:rPr>
        <w:t>(</w:t>
      </w:r>
      <w:proofErr w:type="spellStart"/>
      <w:r w:rsidR="00EB136C">
        <w:rPr>
          <w:rFonts w:ascii="Times New Roman" w:hAnsi="Times New Roman" w:cs="Times New Roman"/>
          <w:sz w:val="24"/>
          <w:szCs w:val="24"/>
        </w:rPr>
        <w:t>Mnjama</w:t>
      </w:r>
      <w:proofErr w:type="spellEnd"/>
      <w:r w:rsidR="00EB136C">
        <w:rPr>
          <w:rFonts w:ascii="Times New Roman" w:hAnsi="Times New Roman" w:cs="Times New Roman"/>
          <w:sz w:val="24"/>
          <w:szCs w:val="24"/>
        </w:rPr>
        <w:t xml:space="preserve"> [37]</w:t>
      </w:r>
      <w:r w:rsidR="00A51EB6">
        <w:rPr>
          <w:rFonts w:ascii="Times New Roman" w:hAnsi="Times New Roman" w:cs="Times New Roman"/>
          <w:sz w:val="24"/>
          <w:szCs w:val="24"/>
        </w:rPr>
        <w:t>).</w:t>
      </w:r>
      <w:proofErr w:type="gramEnd"/>
      <w:r w:rsidR="00A51EB6">
        <w:rPr>
          <w:rFonts w:ascii="Times New Roman" w:hAnsi="Times New Roman" w:cs="Times New Roman"/>
          <w:sz w:val="24"/>
          <w:szCs w:val="24"/>
        </w:rPr>
        <w:t xml:space="preserve"> </w:t>
      </w:r>
      <w:r w:rsidRPr="00E61B96">
        <w:rPr>
          <w:rFonts w:ascii="Times New Roman" w:hAnsi="Times New Roman" w:cs="Times New Roman"/>
          <w:sz w:val="24"/>
          <w:szCs w:val="24"/>
        </w:rPr>
        <w:t xml:space="preserve">This </w:t>
      </w:r>
      <w:r>
        <w:rPr>
          <w:rFonts w:ascii="Times New Roman" w:hAnsi="Times New Roman" w:cs="Times New Roman"/>
          <w:sz w:val="24"/>
          <w:szCs w:val="24"/>
        </w:rPr>
        <w:t>made</w:t>
      </w:r>
      <w:r w:rsidRPr="00E61B96">
        <w:rPr>
          <w:rFonts w:ascii="Times New Roman" w:hAnsi="Times New Roman" w:cs="Times New Roman"/>
          <w:sz w:val="24"/>
          <w:szCs w:val="24"/>
        </w:rPr>
        <w:t xml:space="preserve"> the Central Bank to intervene periodically to smooth out volat</w:t>
      </w:r>
      <w:r w:rsidR="00173737">
        <w:rPr>
          <w:rFonts w:ascii="Times New Roman" w:hAnsi="Times New Roman" w:cs="Times New Roman"/>
          <w:sz w:val="24"/>
          <w:szCs w:val="24"/>
        </w:rPr>
        <w:t>ility. Speculation on the</w:t>
      </w:r>
      <w:r w:rsidRPr="00E61B96">
        <w:rPr>
          <w:rFonts w:ascii="Times New Roman" w:hAnsi="Times New Roman" w:cs="Times New Roman"/>
          <w:sz w:val="24"/>
          <w:szCs w:val="24"/>
        </w:rPr>
        <w:t xml:space="preserve"> shilling eased from September 2004 following a positive assessment of the economy </w:t>
      </w:r>
      <w:r>
        <w:rPr>
          <w:rFonts w:ascii="Times New Roman" w:hAnsi="Times New Roman" w:cs="Times New Roman"/>
          <w:sz w:val="24"/>
          <w:szCs w:val="24"/>
        </w:rPr>
        <w:t>by</w:t>
      </w:r>
      <w:r w:rsidRPr="00E61B96">
        <w:rPr>
          <w:rFonts w:ascii="Times New Roman" w:hAnsi="Times New Roman" w:cs="Times New Roman"/>
          <w:sz w:val="24"/>
          <w:szCs w:val="24"/>
        </w:rPr>
        <w:t xml:space="preserve"> IMF</w:t>
      </w:r>
      <w:r w:rsidR="00F773BF">
        <w:rPr>
          <w:rFonts w:ascii="Times New Roman" w:hAnsi="Times New Roman" w:cs="Times New Roman"/>
          <w:sz w:val="24"/>
          <w:szCs w:val="24"/>
        </w:rPr>
        <w:t xml:space="preserve">. Hence, </w:t>
      </w:r>
      <w:r>
        <w:rPr>
          <w:rFonts w:ascii="Times New Roman" w:hAnsi="Times New Roman" w:cs="Times New Roman"/>
          <w:sz w:val="24"/>
          <w:szCs w:val="24"/>
        </w:rPr>
        <w:t>f</w:t>
      </w:r>
      <w:r w:rsidRPr="00E61B96">
        <w:rPr>
          <w:rFonts w:ascii="Times New Roman" w:hAnsi="Times New Roman" w:cs="Times New Roman"/>
          <w:sz w:val="24"/>
          <w:szCs w:val="24"/>
        </w:rPr>
        <w:t xml:space="preserve">rom December 2004 to December 2007, </w:t>
      </w:r>
      <w:r>
        <w:rPr>
          <w:rFonts w:ascii="Times New Roman" w:hAnsi="Times New Roman" w:cs="Times New Roman"/>
          <w:sz w:val="24"/>
          <w:szCs w:val="24"/>
        </w:rPr>
        <w:t>its</w:t>
      </w:r>
      <w:r w:rsidRPr="00E61B96">
        <w:rPr>
          <w:rFonts w:ascii="Times New Roman" w:hAnsi="Times New Roman" w:cs="Times New Roman"/>
          <w:sz w:val="24"/>
          <w:szCs w:val="24"/>
        </w:rPr>
        <w:t xml:space="preserve"> real exchange rate appreciated by 30</w:t>
      </w:r>
      <w:r>
        <w:rPr>
          <w:rFonts w:ascii="Times New Roman" w:hAnsi="Times New Roman" w:cs="Times New Roman"/>
          <w:sz w:val="24"/>
          <w:szCs w:val="24"/>
        </w:rPr>
        <w:t>%</w:t>
      </w:r>
      <w:r w:rsidRPr="00E61B96">
        <w:rPr>
          <w:rFonts w:ascii="Times New Roman" w:hAnsi="Times New Roman" w:cs="Times New Roman"/>
          <w:sz w:val="24"/>
          <w:szCs w:val="24"/>
        </w:rPr>
        <w:t xml:space="preserve"> representing a major deviation from its past levels. According to </w:t>
      </w:r>
      <w:proofErr w:type="spellStart"/>
      <w:r w:rsidRPr="00E61B96">
        <w:rPr>
          <w:rFonts w:ascii="Times New Roman" w:hAnsi="Times New Roman" w:cs="Times New Roman"/>
          <w:sz w:val="24"/>
          <w:szCs w:val="24"/>
        </w:rPr>
        <w:t>Kiptui</w:t>
      </w:r>
      <w:proofErr w:type="spellEnd"/>
      <w:r w:rsidRPr="00E61B96">
        <w:rPr>
          <w:rFonts w:ascii="Times New Roman" w:hAnsi="Times New Roman" w:cs="Times New Roman"/>
          <w:sz w:val="24"/>
          <w:szCs w:val="24"/>
        </w:rPr>
        <w:t xml:space="preserve"> and </w:t>
      </w:r>
      <w:proofErr w:type="spellStart"/>
      <w:r w:rsidRPr="00E61B96">
        <w:rPr>
          <w:rFonts w:ascii="Times New Roman" w:hAnsi="Times New Roman" w:cs="Times New Roman"/>
          <w:sz w:val="24"/>
          <w:szCs w:val="24"/>
        </w:rPr>
        <w:t>Kipyegon</w:t>
      </w:r>
      <w:proofErr w:type="spellEnd"/>
      <w:r w:rsidRPr="00E61B96">
        <w:rPr>
          <w:rFonts w:ascii="Times New Roman" w:hAnsi="Times New Roman" w:cs="Times New Roman"/>
          <w:sz w:val="24"/>
          <w:szCs w:val="24"/>
        </w:rPr>
        <w:t xml:space="preserve"> </w:t>
      </w:r>
      <w:r w:rsidR="00EB136C">
        <w:rPr>
          <w:rFonts w:ascii="Times New Roman" w:hAnsi="Times New Roman" w:cs="Times New Roman"/>
          <w:sz w:val="24"/>
          <w:szCs w:val="24"/>
        </w:rPr>
        <w:t>[38]</w:t>
      </w:r>
      <w:r>
        <w:rPr>
          <w:rFonts w:ascii="Times New Roman" w:hAnsi="Times New Roman" w:cs="Times New Roman"/>
          <w:sz w:val="24"/>
          <w:szCs w:val="24"/>
        </w:rPr>
        <w:t>,</w:t>
      </w:r>
      <w:r w:rsidRPr="00E61B96">
        <w:rPr>
          <w:rFonts w:ascii="Times New Roman" w:hAnsi="Times New Roman" w:cs="Times New Roman"/>
          <w:sz w:val="24"/>
          <w:szCs w:val="24"/>
        </w:rPr>
        <w:t xml:space="preserve"> this appreciation of the shilling real exchange rate has attracted public attention especially from exporters who have argued that the strengthening shilling is eroding</w:t>
      </w:r>
      <w:r>
        <w:rPr>
          <w:rFonts w:ascii="Times New Roman" w:hAnsi="Times New Roman" w:cs="Times New Roman"/>
          <w:sz w:val="24"/>
          <w:szCs w:val="24"/>
        </w:rPr>
        <w:t xml:space="preserve"> </w:t>
      </w:r>
      <w:r w:rsidRPr="00E61B96">
        <w:rPr>
          <w:rFonts w:ascii="Times New Roman" w:hAnsi="Times New Roman" w:cs="Times New Roman"/>
          <w:sz w:val="24"/>
          <w:szCs w:val="24"/>
        </w:rPr>
        <w:t>their competitiveness. However, due to the global financial crisis, NEER declined by 1.1</w:t>
      </w:r>
      <w:r w:rsidR="00F773BF">
        <w:rPr>
          <w:rFonts w:ascii="Times New Roman" w:hAnsi="Times New Roman" w:cs="Times New Roman"/>
          <w:sz w:val="24"/>
          <w:szCs w:val="24"/>
        </w:rPr>
        <w:t>% between 2007 and</w:t>
      </w:r>
      <w:r w:rsidRPr="00E61B96">
        <w:rPr>
          <w:rFonts w:ascii="Times New Roman" w:hAnsi="Times New Roman" w:cs="Times New Roman"/>
          <w:sz w:val="24"/>
          <w:szCs w:val="24"/>
        </w:rPr>
        <w:t xml:space="preserve"> 2008 </w:t>
      </w:r>
      <w:r>
        <w:rPr>
          <w:rFonts w:ascii="Times New Roman" w:hAnsi="Times New Roman" w:cs="Times New Roman"/>
          <w:sz w:val="24"/>
          <w:szCs w:val="24"/>
        </w:rPr>
        <w:t xml:space="preserve">and </w:t>
      </w:r>
      <w:r w:rsidRPr="00E61B96">
        <w:rPr>
          <w:rFonts w:ascii="Times New Roman" w:hAnsi="Times New Roman" w:cs="Times New Roman"/>
          <w:sz w:val="24"/>
          <w:szCs w:val="24"/>
        </w:rPr>
        <w:t>by 16.</w:t>
      </w:r>
      <w:r w:rsidR="00F773BF">
        <w:rPr>
          <w:rFonts w:ascii="Times New Roman" w:hAnsi="Times New Roman" w:cs="Times New Roman"/>
          <w:sz w:val="24"/>
          <w:szCs w:val="24"/>
        </w:rPr>
        <w:t xml:space="preserve">6% between 2008 and </w:t>
      </w:r>
      <w:r w:rsidRPr="00E61B96">
        <w:rPr>
          <w:rFonts w:ascii="Times New Roman" w:hAnsi="Times New Roman" w:cs="Times New Roman"/>
          <w:sz w:val="24"/>
          <w:szCs w:val="24"/>
        </w:rPr>
        <w:t xml:space="preserve">2009 (CBK </w:t>
      </w:r>
      <w:r w:rsidR="00EB136C">
        <w:rPr>
          <w:rFonts w:ascii="Times New Roman" w:hAnsi="Times New Roman" w:cs="Times New Roman"/>
          <w:sz w:val="24"/>
          <w:szCs w:val="24"/>
        </w:rPr>
        <w:t>[33]</w:t>
      </w:r>
      <w:r w:rsidRPr="00E61B96">
        <w:rPr>
          <w:rFonts w:ascii="Times New Roman" w:hAnsi="Times New Roman" w:cs="Times New Roman"/>
          <w:sz w:val="24"/>
          <w:szCs w:val="24"/>
        </w:rPr>
        <w:t>).</w:t>
      </w:r>
      <w:r>
        <w:rPr>
          <w:rFonts w:ascii="Times New Roman" w:hAnsi="Times New Roman" w:cs="Times New Roman"/>
          <w:sz w:val="24"/>
          <w:szCs w:val="24"/>
        </w:rPr>
        <w:t xml:space="preserve"> </w:t>
      </w:r>
    </w:p>
    <w:p w:rsidR="00F83A79" w:rsidRPr="00D74E63" w:rsidRDefault="00F83A79" w:rsidP="00BD2665">
      <w:pPr>
        <w:autoSpaceDE w:val="0"/>
        <w:autoSpaceDN w:val="0"/>
        <w:adjustRightInd w:val="0"/>
        <w:spacing w:line="480" w:lineRule="auto"/>
        <w:jc w:val="both"/>
        <w:rPr>
          <w:rFonts w:ascii="Times New Roman" w:hAnsi="Times New Roman" w:cs="Times New Roman"/>
          <w:b/>
          <w:sz w:val="28"/>
          <w:szCs w:val="24"/>
        </w:rPr>
      </w:pPr>
      <w:r w:rsidRPr="00D74E63">
        <w:rPr>
          <w:rFonts w:ascii="Times New Roman" w:hAnsi="Times New Roman" w:cs="Times New Roman"/>
          <w:b/>
          <w:sz w:val="28"/>
          <w:szCs w:val="24"/>
        </w:rPr>
        <w:t>4. Data and Methodology</w:t>
      </w:r>
    </w:p>
    <w:p w:rsidR="00F83A79" w:rsidRPr="00D74E63" w:rsidRDefault="00F83A79" w:rsidP="00BD2665">
      <w:pPr>
        <w:autoSpaceDE w:val="0"/>
        <w:autoSpaceDN w:val="0"/>
        <w:adjustRightInd w:val="0"/>
        <w:spacing w:line="480" w:lineRule="auto"/>
        <w:jc w:val="both"/>
        <w:rPr>
          <w:rFonts w:ascii="Times New Roman" w:hAnsi="Times New Roman" w:cs="Times New Roman"/>
          <w:b/>
          <w:sz w:val="24"/>
          <w:szCs w:val="24"/>
        </w:rPr>
      </w:pPr>
      <w:r w:rsidRPr="00D74E63">
        <w:rPr>
          <w:rFonts w:ascii="Times New Roman" w:hAnsi="Times New Roman" w:cs="Times New Roman"/>
          <w:b/>
          <w:sz w:val="24"/>
          <w:szCs w:val="24"/>
        </w:rPr>
        <w:t>4.1 Data</w:t>
      </w:r>
    </w:p>
    <w:p w:rsidR="00AC5A3C" w:rsidRDefault="00AD7DC7" w:rsidP="00BD2665">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E</w:t>
      </w:r>
      <w:r w:rsidRPr="003027CC">
        <w:rPr>
          <w:rFonts w:ascii="Times New Roman" w:hAnsi="Times New Roman" w:cs="Times New Roman"/>
          <w:color w:val="000000"/>
          <w:sz w:val="24"/>
          <w:szCs w:val="24"/>
        </w:rPr>
        <w:t xml:space="preserve">xchange rate behavior is driven by market microstructure considerations rather than traditional economic fundamentals. </w:t>
      </w:r>
      <w:r>
        <w:rPr>
          <w:rFonts w:ascii="Times New Roman" w:hAnsi="Times New Roman" w:cs="Times New Roman"/>
          <w:color w:val="000000"/>
          <w:sz w:val="24"/>
          <w:szCs w:val="24"/>
        </w:rPr>
        <w:t>As such, t</w:t>
      </w:r>
      <w:r w:rsidRPr="00007EA6">
        <w:rPr>
          <w:rFonts w:ascii="Times New Roman" w:hAnsi="Times New Roman" w:cs="Times New Roman"/>
          <w:sz w:val="24"/>
          <w:szCs w:val="24"/>
        </w:rPr>
        <w:t xml:space="preserve">ime duration between trades is important and might contain </w:t>
      </w:r>
      <w:r w:rsidRPr="00007EA6">
        <w:rPr>
          <w:rFonts w:ascii="Times New Roman" w:hAnsi="Times New Roman" w:cs="Times New Roman"/>
          <w:sz w:val="24"/>
          <w:szCs w:val="24"/>
        </w:rPr>
        <w:lastRenderedPageBreak/>
        <w:t>useful information about market mic</w:t>
      </w:r>
      <w:r w:rsidR="00E562B6">
        <w:rPr>
          <w:rFonts w:ascii="Times New Roman" w:hAnsi="Times New Roman" w:cs="Times New Roman"/>
          <w:sz w:val="24"/>
          <w:szCs w:val="24"/>
        </w:rPr>
        <w:t>rostructure (</w:t>
      </w:r>
      <w:proofErr w:type="spellStart"/>
      <w:r w:rsidRPr="00007EA6">
        <w:rPr>
          <w:rFonts w:ascii="Times New Roman" w:hAnsi="Times New Roman" w:cs="Times New Roman"/>
          <w:sz w:val="24"/>
          <w:szCs w:val="24"/>
        </w:rPr>
        <w:t>Mende</w:t>
      </w:r>
      <w:proofErr w:type="spellEnd"/>
      <w:r w:rsidR="00EB136C">
        <w:rPr>
          <w:rFonts w:ascii="Times New Roman" w:hAnsi="Times New Roman" w:cs="Times New Roman"/>
          <w:sz w:val="24"/>
          <w:szCs w:val="24"/>
        </w:rPr>
        <w:t xml:space="preserve"> [39]</w:t>
      </w:r>
      <w:r w:rsidR="00E562B6">
        <w:rPr>
          <w:rFonts w:ascii="Times New Roman" w:hAnsi="Times New Roman" w:cs="Times New Roman"/>
          <w:sz w:val="24"/>
          <w:szCs w:val="24"/>
        </w:rPr>
        <w:t xml:space="preserve">; </w:t>
      </w:r>
      <w:proofErr w:type="spellStart"/>
      <w:r w:rsidR="00EB136C">
        <w:rPr>
          <w:rFonts w:ascii="Times New Roman" w:hAnsi="Times New Roman" w:cs="Times New Roman"/>
          <w:sz w:val="24"/>
          <w:szCs w:val="24"/>
        </w:rPr>
        <w:t>Goyal</w:t>
      </w:r>
      <w:proofErr w:type="spellEnd"/>
      <w:r w:rsidR="00EB136C">
        <w:rPr>
          <w:rFonts w:ascii="Times New Roman" w:hAnsi="Times New Roman" w:cs="Times New Roman"/>
          <w:sz w:val="24"/>
          <w:szCs w:val="24"/>
        </w:rPr>
        <w:t xml:space="preserve"> [40]</w:t>
      </w:r>
      <w:r w:rsidRPr="00007EA6">
        <w:rPr>
          <w:rFonts w:ascii="Times New Roman" w:hAnsi="Times New Roman" w:cs="Times New Roman"/>
          <w:sz w:val="24"/>
          <w:szCs w:val="24"/>
        </w:rPr>
        <w:t>).</w:t>
      </w:r>
      <w:r w:rsidR="00EB136C">
        <w:rPr>
          <w:rFonts w:ascii="Times New Roman" w:hAnsi="Times New Roman" w:cs="Times New Roman"/>
          <w:sz w:val="24"/>
          <w:szCs w:val="24"/>
        </w:rPr>
        <w:t xml:space="preserve"> In view of this</w:t>
      </w:r>
      <w:r>
        <w:rPr>
          <w:rFonts w:ascii="Times New Roman" w:hAnsi="Times New Roman" w:cs="Times New Roman"/>
          <w:sz w:val="24"/>
          <w:szCs w:val="24"/>
        </w:rPr>
        <w:t xml:space="preserve">, high frequency data on daily exchange rates were employed. </w:t>
      </w:r>
      <w:r w:rsidR="00F83A79" w:rsidRPr="00D74E63">
        <w:rPr>
          <w:rFonts w:ascii="Times New Roman" w:hAnsi="Times New Roman" w:cs="Times New Roman"/>
          <w:sz w:val="24"/>
          <w:szCs w:val="24"/>
        </w:rPr>
        <w:t>The entire data period is from January 1,</w:t>
      </w:r>
      <w:r w:rsidR="00F83A79">
        <w:rPr>
          <w:rFonts w:ascii="Times New Roman" w:hAnsi="Times New Roman" w:cs="Times New Roman"/>
          <w:sz w:val="24"/>
          <w:szCs w:val="24"/>
        </w:rPr>
        <w:t xml:space="preserve"> 2006</w:t>
      </w:r>
      <w:r w:rsidR="00F83A79" w:rsidRPr="00D74E63">
        <w:rPr>
          <w:rFonts w:ascii="Times New Roman" w:hAnsi="Times New Roman" w:cs="Times New Roman"/>
          <w:sz w:val="24"/>
          <w:szCs w:val="24"/>
        </w:rPr>
        <w:t xml:space="preserve"> to </w:t>
      </w:r>
      <w:r w:rsidR="00F83A79">
        <w:rPr>
          <w:rFonts w:ascii="Times New Roman" w:hAnsi="Times New Roman" w:cs="Times New Roman"/>
          <w:sz w:val="24"/>
          <w:szCs w:val="24"/>
        </w:rPr>
        <w:t>July 1</w:t>
      </w:r>
      <w:r w:rsidR="00173737">
        <w:rPr>
          <w:rFonts w:ascii="Times New Roman" w:hAnsi="Times New Roman" w:cs="Times New Roman"/>
          <w:sz w:val="24"/>
          <w:szCs w:val="24"/>
        </w:rPr>
        <w:t>3</w:t>
      </w:r>
      <w:r w:rsidR="00F83A79">
        <w:rPr>
          <w:rFonts w:ascii="Times New Roman" w:hAnsi="Times New Roman" w:cs="Times New Roman"/>
          <w:sz w:val="24"/>
          <w:szCs w:val="24"/>
        </w:rPr>
        <w:t>,</w:t>
      </w:r>
      <w:r w:rsidR="00F83A79" w:rsidRPr="00D74E63">
        <w:rPr>
          <w:rFonts w:ascii="Times New Roman" w:hAnsi="Times New Roman" w:cs="Times New Roman"/>
          <w:sz w:val="24"/>
          <w:szCs w:val="24"/>
        </w:rPr>
        <w:t xml:space="preserve"> 2012</w:t>
      </w:r>
      <w:r w:rsidR="0071627B">
        <w:rPr>
          <w:rFonts w:ascii="Times New Roman" w:hAnsi="Times New Roman" w:cs="Times New Roman"/>
          <w:sz w:val="24"/>
          <w:szCs w:val="24"/>
        </w:rPr>
        <w:t>, a total of 1,630</w:t>
      </w:r>
      <w:r w:rsidR="00F83A79">
        <w:rPr>
          <w:rFonts w:ascii="Times New Roman" w:hAnsi="Times New Roman" w:cs="Times New Roman"/>
          <w:sz w:val="24"/>
          <w:szCs w:val="24"/>
        </w:rPr>
        <w:t xml:space="preserve"> observations</w:t>
      </w:r>
      <w:r w:rsidR="0071627B">
        <w:rPr>
          <w:rFonts w:ascii="Times New Roman" w:hAnsi="Times New Roman" w:cs="Times New Roman"/>
          <w:sz w:val="24"/>
          <w:szCs w:val="24"/>
        </w:rPr>
        <w:t xml:space="preserve"> (excluding holidays)</w:t>
      </w:r>
      <w:r w:rsidR="00F83A79">
        <w:rPr>
          <w:rFonts w:ascii="Times New Roman" w:hAnsi="Times New Roman" w:cs="Times New Roman"/>
          <w:sz w:val="24"/>
          <w:szCs w:val="24"/>
        </w:rPr>
        <w:t>.</w:t>
      </w:r>
    </w:p>
    <w:p w:rsidR="00F83A79" w:rsidRPr="00D74E63" w:rsidRDefault="00DE5449" w:rsidP="00BD266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For the purpose of our analysi</w:t>
      </w:r>
      <w:r w:rsidR="00527A7E">
        <w:rPr>
          <w:rFonts w:ascii="Times New Roman" w:hAnsi="Times New Roman" w:cs="Times New Roman"/>
          <w:sz w:val="24"/>
          <w:szCs w:val="24"/>
        </w:rPr>
        <w:t>s, the pre - crise</w:t>
      </w:r>
      <w:r w:rsidR="00F83A79" w:rsidRPr="00D74E63">
        <w:rPr>
          <w:rFonts w:ascii="Times New Roman" w:hAnsi="Times New Roman" w:cs="Times New Roman"/>
          <w:sz w:val="24"/>
          <w:szCs w:val="24"/>
        </w:rPr>
        <w:t xml:space="preserve">s period is from January 1, </w:t>
      </w:r>
      <w:r w:rsidR="00F83A79">
        <w:rPr>
          <w:rFonts w:ascii="Times New Roman" w:hAnsi="Times New Roman" w:cs="Times New Roman"/>
          <w:sz w:val="24"/>
          <w:szCs w:val="24"/>
        </w:rPr>
        <w:t>2006</w:t>
      </w:r>
      <w:r w:rsidR="00F83A79" w:rsidRPr="00D74E63">
        <w:rPr>
          <w:rFonts w:ascii="Times New Roman" w:hAnsi="Times New Roman" w:cs="Times New Roman"/>
          <w:sz w:val="24"/>
          <w:szCs w:val="24"/>
        </w:rPr>
        <w:t xml:space="preserve"> to </w:t>
      </w:r>
      <w:r w:rsidR="00AD612E">
        <w:rPr>
          <w:rFonts w:ascii="Times New Roman" w:hAnsi="Times New Roman" w:cs="Times New Roman"/>
          <w:sz w:val="24"/>
          <w:szCs w:val="24"/>
        </w:rPr>
        <w:t>December 31</w:t>
      </w:r>
      <w:r w:rsidR="00527A7E">
        <w:rPr>
          <w:rFonts w:ascii="Times New Roman" w:hAnsi="Times New Roman" w:cs="Times New Roman"/>
          <w:sz w:val="24"/>
          <w:szCs w:val="24"/>
        </w:rPr>
        <w:t>, 2007.</w:t>
      </w:r>
      <w:r w:rsidR="00F83A79" w:rsidRPr="00D74E63">
        <w:rPr>
          <w:rFonts w:ascii="Times New Roman" w:hAnsi="Times New Roman" w:cs="Times New Roman"/>
          <w:sz w:val="24"/>
          <w:szCs w:val="24"/>
        </w:rPr>
        <w:t xml:space="preserve"> </w:t>
      </w:r>
      <w:r w:rsidR="00527A7E">
        <w:rPr>
          <w:rFonts w:ascii="Times New Roman" w:hAnsi="Times New Roman" w:cs="Times New Roman"/>
          <w:sz w:val="24"/>
          <w:szCs w:val="24"/>
        </w:rPr>
        <w:t xml:space="preserve">Following </w:t>
      </w:r>
      <w:proofErr w:type="spellStart"/>
      <w:r w:rsidR="00527A7E">
        <w:rPr>
          <w:rFonts w:ascii="Times New Roman" w:hAnsi="Times New Roman" w:cs="Times New Roman"/>
          <w:sz w:val="24"/>
          <w:szCs w:val="24"/>
        </w:rPr>
        <w:t>Ntwiga</w:t>
      </w:r>
      <w:proofErr w:type="spellEnd"/>
      <w:r w:rsidR="00EB136C">
        <w:rPr>
          <w:rFonts w:ascii="Times New Roman" w:hAnsi="Times New Roman" w:cs="Times New Roman"/>
          <w:sz w:val="24"/>
          <w:szCs w:val="24"/>
        </w:rPr>
        <w:t xml:space="preserve"> [14]</w:t>
      </w:r>
      <w:r w:rsidR="00527A7E">
        <w:rPr>
          <w:rFonts w:ascii="Times New Roman" w:hAnsi="Times New Roman" w:cs="Times New Roman"/>
          <w:sz w:val="24"/>
          <w:szCs w:val="24"/>
        </w:rPr>
        <w:t xml:space="preserve"> </w:t>
      </w:r>
      <w:r w:rsidR="00F83A79" w:rsidRPr="00255EAF">
        <w:rPr>
          <w:rFonts w:ascii="Times New Roman" w:hAnsi="Times New Roman" w:cs="Times New Roman"/>
          <w:sz w:val="24"/>
          <w:szCs w:val="24"/>
        </w:rPr>
        <w:t xml:space="preserve">the beginning of the </w:t>
      </w:r>
      <w:r w:rsidR="00AD612E">
        <w:rPr>
          <w:rFonts w:ascii="Times New Roman" w:hAnsi="Times New Roman" w:cs="Times New Roman"/>
          <w:sz w:val="24"/>
          <w:szCs w:val="24"/>
        </w:rPr>
        <w:t xml:space="preserve">election violence </w:t>
      </w:r>
      <w:r w:rsidR="00F83A79" w:rsidRPr="00255EAF">
        <w:rPr>
          <w:rFonts w:ascii="Times New Roman" w:hAnsi="Times New Roman" w:cs="Times New Roman"/>
          <w:sz w:val="24"/>
          <w:szCs w:val="24"/>
        </w:rPr>
        <w:t xml:space="preserve">was presumed as </w:t>
      </w:r>
      <w:r w:rsidR="00527A7E">
        <w:rPr>
          <w:rFonts w:ascii="Times New Roman" w:hAnsi="Times New Roman" w:cs="Times New Roman"/>
          <w:sz w:val="24"/>
          <w:szCs w:val="24"/>
        </w:rPr>
        <w:t>January 1</w:t>
      </w:r>
      <w:r w:rsidR="00F83A79" w:rsidRPr="00255EAF">
        <w:rPr>
          <w:rFonts w:ascii="Times New Roman" w:hAnsi="Times New Roman" w:cs="Times New Roman"/>
          <w:sz w:val="24"/>
          <w:szCs w:val="24"/>
        </w:rPr>
        <w:t>, 200</w:t>
      </w:r>
      <w:r w:rsidR="00EB136C">
        <w:rPr>
          <w:rFonts w:ascii="Times New Roman" w:hAnsi="Times New Roman" w:cs="Times New Roman"/>
          <w:sz w:val="24"/>
          <w:szCs w:val="24"/>
        </w:rPr>
        <w:t xml:space="preserve">8. According to </w:t>
      </w:r>
      <w:proofErr w:type="spellStart"/>
      <w:r w:rsidR="00EB136C">
        <w:rPr>
          <w:rFonts w:ascii="Times New Roman" w:hAnsi="Times New Roman" w:cs="Times New Roman"/>
          <w:sz w:val="24"/>
          <w:szCs w:val="24"/>
        </w:rPr>
        <w:t>Mwega</w:t>
      </w:r>
      <w:proofErr w:type="spellEnd"/>
      <w:r w:rsidR="00EB136C">
        <w:rPr>
          <w:rFonts w:ascii="Times New Roman" w:hAnsi="Times New Roman" w:cs="Times New Roman"/>
          <w:sz w:val="24"/>
          <w:szCs w:val="24"/>
        </w:rPr>
        <w:t xml:space="preserve"> [16]</w:t>
      </w:r>
      <w:r w:rsidR="00527A7E">
        <w:rPr>
          <w:rFonts w:ascii="Times New Roman" w:hAnsi="Times New Roman" w:cs="Times New Roman"/>
          <w:sz w:val="24"/>
          <w:szCs w:val="24"/>
        </w:rPr>
        <w:t xml:space="preserve">, </w:t>
      </w:r>
      <w:r w:rsidR="00095369">
        <w:rPr>
          <w:rFonts w:ascii="Times New Roman" w:hAnsi="Times New Roman" w:cs="Times New Roman"/>
          <w:sz w:val="24"/>
          <w:szCs w:val="24"/>
        </w:rPr>
        <w:t xml:space="preserve">among others, </w:t>
      </w:r>
      <w:r w:rsidR="00527A7E">
        <w:rPr>
          <w:rFonts w:ascii="Times New Roman" w:hAnsi="Times New Roman" w:cs="Times New Roman"/>
          <w:sz w:val="24"/>
          <w:szCs w:val="24"/>
        </w:rPr>
        <w:t xml:space="preserve">both </w:t>
      </w:r>
      <w:r w:rsidR="00450320">
        <w:rPr>
          <w:rFonts w:ascii="Times New Roman" w:hAnsi="Times New Roman" w:cs="Times New Roman"/>
          <w:sz w:val="24"/>
          <w:szCs w:val="24"/>
        </w:rPr>
        <w:t xml:space="preserve">the </w:t>
      </w:r>
      <w:r w:rsidR="00527A7E">
        <w:rPr>
          <w:rFonts w:ascii="Times New Roman" w:hAnsi="Times New Roman" w:cs="Times New Roman"/>
          <w:sz w:val="24"/>
          <w:szCs w:val="24"/>
        </w:rPr>
        <w:t>election violence and the financial crisis occurred simultaneously in Kenya,</w:t>
      </w:r>
      <w:r w:rsidR="00466BBC">
        <w:rPr>
          <w:rFonts w:ascii="Times New Roman" w:hAnsi="Times New Roman" w:cs="Times New Roman"/>
          <w:sz w:val="24"/>
          <w:szCs w:val="24"/>
        </w:rPr>
        <w:t xml:space="preserve"> so it will be difficult (if not impossible) to disentangle the effects of one from the other;</w:t>
      </w:r>
      <w:r w:rsidR="00527A7E">
        <w:rPr>
          <w:rFonts w:ascii="Times New Roman" w:hAnsi="Times New Roman" w:cs="Times New Roman"/>
          <w:sz w:val="24"/>
          <w:szCs w:val="24"/>
        </w:rPr>
        <w:t xml:space="preserve"> </w:t>
      </w:r>
      <w:r w:rsidR="00466BBC">
        <w:rPr>
          <w:rFonts w:ascii="Times New Roman" w:hAnsi="Times New Roman" w:cs="Times New Roman"/>
          <w:sz w:val="24"/>
          <w:szCs w:val="24"/>
        </w:rPr>
        <w:t>h</w:t>
      </w:r>
      <w:r w:rsidR="00527A7E">
        <w:rPr>
          <w:rFonts w:ascii="Times New Roman" w:hAnsi="Times New Roman" w:cs="Times New Roman"/>
          <w:sz w:val="24"/>
          <w:szCs w:val="24"/>
        </w:rPr>
        <w:t>ence we defined the cris</w:t>
      </w:r>
      <w:r w:rsidR="00450320">
        <w:rPr>
          <w:rFonts w:ascii="Times New Roman" w:hAnsi="Times New Roman" w:cs="Times New Roman"/>
          <w:sz w:val="24"/>
          <w:szCs w:val="24"/>
        </w:rPr>
        <w:t>e</w:t>
      </w:r>
      <w:r w:rsidR="00527A7E">
        <w:rPr>
          <w:rFonts w:ascii="Times New Roman" w:hAnsi="Times New Roman" w:cs="Times New Roman"/>
          <w:sz w:val="24"/>
          <w:szCs w:val="24"/>
        </w:rPr>
        <w:t>s period</w:t>
      </w:r>
      <w:r w:rsidR="00450320">
        <w:rPr>
          <w:rFonts w:ascii="Times New Roman" w:hAnsi="Times New Roman" w:cs="Times New Roman"/>
          <w:sz w:val="24"/>
          <w:szCs w:val="24"/>
        </w:rPr>
        <w:t xml:space="preserve"> from January 1, 2008 to March 31, 2009. T</w:t>
      </w:r>
      <w:r w:rsidR="00F83A79">
        <w:rPr>
          <w:rFonts w:ascii="Times New Roman" w:hAnsi="Times New Roman" w:cs="Times New Roman"/>
          <w:sz w:val="24"/>
          <w:szCs w:val="24"/>
        </w:rPr>
        <w:t xml:space="preserve">he </w:t>
      </w:r>
      <w:r w:rsidR="00450320">
        <w:rPr>
          <w:rFonts w:ascii="Times New Roman" w:hAnsi="Times New Roman" w:cs="Times New Roman"/>
          <w:sz w:val="24"/>
          <w:szCs w:val="24"/>
        </w:rPr>
        <w:t>rest of the data is the “post</w:t>
      </w:r>
      <w:r w:rsidR="00AD7DC7">
        <w:rPr>
          <w:rFonts w:ascii="Times New Roman" w:hAnsi="Times New Roman" w:cs="Times New Roman"/>
          <w:sz w:val="24"/>
          <w:szCs w:val="24"/>
        </w:rPr>
        <w:t>-</w:t>
      </w:r>
      <w:r w:rsidR="00F83A79">
        <w:rPr>
          <w:rFonts w:ascii="Times New Roman" w:hAnsi="Times New Roman" w:cs="Times New Roman"/>
          <w:sz w:val="24"/>
          <w:szCs w:val="24"/>
        </w:rPr>
        <w:t>cris</w:t>
      </w:r>
      <w:r w:rsidR="00450320">
        <w:rPr>
          <w:rFonts w:ascii="Times New Roman" w:hAnsi="Times New Roman" w:cs="Times New Roman"/>
          <w:sz w:val="24"/>
          <w:szCs w:val="24"/>
        </w:rPr>
        <w:t>e</w:t>
      </w:r>
      <w:r w:rsidR="00F83A79">
        <w:rPr>
          <w:rFonts w:ascii="Times New Roman" w:hAnsi="Times New Roman" w:cs="Times New Roman"/>
          <w:sz w:val="24"/>
          <w:szCs w:val="24"/>
        </w:rPr>
        <w:t xml:space="preserve">s” period. </w:t>
      </w:r>
      <w:r w:rsidR="00F83A79" w:rsidRPr="00D74E63">
        <w:rPr>
          <w:rFonts w:ascii="Times New Roman" w:hAnsi="Times New Roman" w:cs="Times New Roman"/>
          <w:sz w:val="24"/>
          <w:szCs w:val="24"/>
        </w:rPr>
        <w:t xml:space="preserve">Datasets </w:t>
      </w:r>
      <w:r w:rsidR="00F83A79">
        <w:rPr>
          <w:rFonts w:ascii="Times New Roman" w:hAnsi="Times New Roman" w:cs="Times New Roman"/>
          <w:sz w:val="24"/>
          <w:szCs w:val="24"/>
        </w:rPr>
        <w:t xml:space="preserve">on </w:t>
      </w:r>
      <w:r w:rsidR="00AD7DC7">
        <w:rPr>
          <w:rFonts w:ascii="Times New Roman" w:hAnsi="Times New Roman" w:cs="Times New Roman"/>
          <w:sz w:val="24"/>
          <w:szCs w:val="24"/>
        </w:rPr>
        <w:t xml:space="preserve">daily </w:t>
      </w:r>
      <w:r w:rsidR="00F83A79">
        <w:rPr>
          <w:rFonts w:ascii="Times New Roman" w:hAnsi="Times New Roman" w:cs="Times New Roman"/>
          <w:sz w:val="24"/>
          <w:szCs w:val="24"/>
        </w:rPr>
        <w:t>exchange rate</w:t>
      </w:r>
      <w:r>
        <w:rPr>
          <w:rFonts w:ascii="Times New Roman" w:hAnsi="Times New Roman" w:cs="Times New Roman"/>
          <w:sz w:val="24"/>
          <w:szCs w:val="24"/>
        </w:rPr>
        <w:t>s</w:t>
      </w:r>
      <w:r w:rsidR="00AD7DC7">
        <w:rPr>
          <w:rFonts w:ascii="Times New Roman" w:hAnsi="Times New Roman" w:cs="Times New Roman"/>
          <w:sz w:val="24"/>
          <w:szCs w:val="24"/>
        </w:rPr>
        <w:t xml:space="preserve"> of US dollar to the Kenyan shillings</w:t>
      </w:r>
      <w:r w:rsidR="00F83A79">
        <w:rPr>
          <w:rFonts w:ascii="Times New Roman" w:hAnsi="Times New Roman" w:cs="Times New Roman"/>
          <w:sz w:val="24"/>
          <w:szCs w:val="24"/>
        </w:rPr>
        <w:t xml:space="preserve"> </w:t>
      </w:r>
      <w:r w:rsidR="00F83A79" w:rsidRPr="00D74E63">
        <w:rPr>
          <w:rFonts w:ascii="Times New Roman" w:hAnsi="Times New Roman" w:cs="Times New Roman"/>
          <w:sz w:val="24"/>
          <w:szCs w:val="24"/>
        </w:rPr>
        <w:t>were obtained from the official webs</w:t>
      </w:r>
      <w:r w:rsidR="00AD7DC7">
        <w:rPr>
          <w:rFonts w:ascii="Times New Roman" w:hAnsi="Times New Roman" w:cs="Times New Roman"/>
          <w:sz w:val="24"/>
          <w:szCs w:val="24"/>
        </w:rPr>
        <w:t>ite of the Bank of Kenya</w:t>
      </w:r>
      <w:r w:rsidR="00F83A79">
        <w:rPr>
          <w:rFonts w:ascii="Times New Roman" w:hAnsi="Times New Roman" w:cs="Times New Roman"/>
          <w:sz w:val="24"/>
          <w:szCs w:val="24"/>
        </w:rPr>
        <w:t>. The daily exchange rates used in this study are the average of the b</w:t>
      </w:r>
      <w:r w:rsidR="00173737">
        <w:rPr>
          <w:rFonts w:ascii="Times New Roman" w:hAnsi="Times New Roman" w:cs="Times New Roman"/>
          <w:sz w:val="24"/>
          <w:szCs w:val="24"/>
        </w:rPr>
        <w:t>uying and selling rates</w:t>
      </w:r>
      <w:r w:rsidR="00F83A79">
        <w:rPr>
          <w:rFonts w:ascii="Times New Roman" w:hAnsi="Times New Roman" w:cs="Times New Roman"/>
          <w:sz w:val="24"/>
          <w:szCs w:val="24"/>
        </w:rPr>
        <w:t>.</w:t>
      </w:r>
    </w:p>
    <w:p w:rsidR="00F83A79" w:rsidRPr="00D74E63" w:rsidRDefault="00F83A79"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Exchange rate r</w:t>
      </w:r>
      <w:r w:rsidRPr="00D74E63">
        <w:rPr>
          <w:rFonts w:ascii="Times New Roman" w:hAnsi="Times New Roman" w:cs="Times New Roman"/>
          <w:sz w:val="24"/>
          <w:szCs w:val="24"/>
        </w:rPr>
        <w:t xml:space="preserve">eturns </w:t>
      </w:r>
      <w:r w:rsidRPr="00D74E63">
        <w:rPr>
          <w:rFonts w:ascii="Times New Roman" w:hAnsi="Times New Roman" w:cs="Times New Roman"/>
          <w:position w:val="-12"/>
          <w:sz w:val="24"/>
          <w:szCs w:val="24"/>
        </w:rPr>
        <w:object w:dxaOrig="200" w:dyaOrig="360">
          <v:shape id="_x0000_i1027" type="#_x0000_t75" style="width:9.75pt;height:18.75pt" o:ole="">
            <v:imagedata r:id="rId13" o:title=""/>
          </v:shape>
          <o:OLEObject Type="Embed" ProgID="Equation.3" ShapeID="_x0000_i1027" DrawAspect="Content" ObjectID="_1493477155" r:id="rId14"/>
        </w:object>
      </w:r>
      <w:r w:rsidRPr="00D74E63">
        <w:rPr>
          <w:rFonts w:ascii="Times New Roman" w:hAnsi="Times New Roman" w:cs="Times New Roman"/>
          <w:sz w:val="24"/>
          <w:szCs w:val="24"/>
        </w:rPr>
        <w:t xml:space="preserve"> for each of the </w:t>
      </w:r>
      <w:r>
        <w:rPr>
          <w:rFonts w:ascii="Times New Roman" w:hAnsi="Times New Roman" w:cs="Times New Roman"/>
          <w:sz w:val="24"/>
          <w:szCs w:val="24"/>
        </w:rPr>
        <w:t>three periods</w:t>
      </w:r>
      <w:r w:rsidRPr="00D74E63">
        <w:rPr>
          <w:rFonts w:ascii="Times New Roman" w:hAnsi="Times New Roman" w:cs="Times New Roman"/>
          <w:sz w:val="24"/>
          <w:szCs w:val="24"/>
        </w:rPr>
        <w:t xml:space="preserve"> were calculated using the formula </w:t>
      </w:r>
    </w:p>
    <w:p w:rsidR="00F83A79" w:rsidRPr="00D74E63" w:rsidRDefault="005E6252" w:rsidP="00BD2665">
      <w:pPr>
        <w:autoSpaceDE w:val="0"/>
        <w:autoSpaceDN w:val="0"/>
        <w:adjustRightInd w:val="0"/>
        <w:spacing w:line="480" w:lineRule="auto"/>
        <w:ind w:firstLine="720"/>
        <w:jc w:val="both"/>
        <w:rPr>
          <w:rFonts w:ascii="Times New Roman" w:hAnsi="Times New Roman" w:cs="Times New Roman"/>
          <w:position w:val="-34"/>
          <w:sz w:val="24"/>
          <w:szCs w:val="24"/>
        </w:rPr>
      </w:pPr>
      <w:r w:rsidRPr="006E3142">
        <w:rPr>
          <w:rFonts w:ascii="Times New Roman" w:hAnsi="Times New Roman" w:cs="Times New Roman"/>
          <w:position w:val="-32"/>
          <w:sz w:val="24"/>
          <w:szCs w:val="24"/>
        </w:rPr>
        <w:object w:dxaOrig="1840" w:dyaOrig="760">
          <v:shape id="_x0000_i1028" type="#_x0000_t75" style="width:92.25pt;height:37.5pt" o:ole="">
            <v:imagedata r:id="rId15" o:title=""/>
          </v:shape>
          <o:OLEObject Type="Embed" ProgID="Equation.3" ShapeID="_x0000_i1028" DrawAspect="Content" ObjectID="_1493477156" r:id="rId16"/>
        </w:object>
      </w:r>
      <w:r w:rsidR="00F83A79" w:rsidRPr="00D74E63">
        <w:rPr>
          <w:rFonts w:ascii="Times New Roman" w:hAnsi="Times New Roman" w:cs="Times New Roman"/>
          <w:position w:val="-34"/>
          <w:sz w:val="24"/>
          <w:szCs w:val="24"/>
        </w:rPr>
        <w:tab/>
        <w:t>---------------------------------------------             (4.1)</w:t>
      </w:r>
    </w:p>
    <w:p w:rsidR="00F83A79" w:rsidRDefault="00F83A79" w:rsidP="00BD2665">
      <w:pPr>
        <w:autoSpaceDE w:val="0"/>
        <w:autoSpaceDN w:val="0"/>
        <w:adjustRightInd w:val="0"/>
        <w:spacing w:line="480" w:lineRule="auto"/>
        <w:jc w:val="both"/>
        <w:rPr>
          <w:rFonts w:ascii="Times New Roman" w:hAnsi="Times New Roman" w:cs="Times New Roman"/>
          <w:sz w:val="24"/>
          <w:szCs w:val="24"/>
        </w:rPr>
      </w:pPr>
      <w:r w:rsidRPr="00D74E63">
        <w:rPr>
          <w:rFonts w:ascii="Times New Roman" w:hAnsi="Times New Roman" w:cs="Times New Roman"/>
          <w:sz w:val="24"/>
          <w:szCs w:val="24"/>
        </w:rPr>
        <w:t>Where</w:t>
      </w:r>
      <w:r>
        <w:rPr>
          <w:rFonts w:ascii="Times New Roman" w:hAnsi="Times New Roman" w:cs="Times New Roman"/>
          <w:sz w:val="24"/>
          <w:szCs w:val="24"/>
        </w:rPr>
        <w:t xml:space="preserve"> </w:t>
      </w:r>
      <w:proofErr w:type="spellStart"/>
      <w:r>
        <w:rPr>
          <w:rFonts w:ascii="Times New Roman" w:hAnsi="Times New Roman"/>
          <w:sz w:val="24"/>
          <w:szCs w:val="24"/>
        </w:rPr>
        <w:t>t</w:t>
      </w:r>
      <w:proofErr w:type="spellEnd"/>
      <w:r>
        <w:rPr>
          <w:rFonts w:ascii="Times New Roman" w:hAnsi="Times New Roman"/>
          <w:sz w:val="24"/>
          <w:szCs w:val="24"/>
        </w:rPr>
        <w:t xml:space="preserve"> is the period (in days), </w:t>
      </w:r>
      <w:r w:rsidRPr="006E3142">
        <w:rPr>
          <w:rFonts w:ascii="Times New Roman" w:hAnsi="Times New Roman" w:cs="Times New Roman"/>
          <w:position w:val="-12"/>
          <w:sz w:val="24"/>
          <w:szCs w:val="24"/>
        </w:rPr>
        <w:object w:dxaOrig="260" w:dyaOrig="360">
          <v:shape id="_x0000_i1029" type="#_x0000_t75" style="width:12.75pt;height:18.75pt" o:ole="">
            <v:imagedata r:id="rId17" o:title=""/>
          </v:shape>
          <o:OLEObject Type="Embed" ProgID="Equation.3" ShapeID="_x0000_i1029" DrawAspect="Content" ObjectID="_1493477157" r:id="rId18"/>
        </w:object>
      </w:r>
      <w:r w:rsidRPr="00D74E63">
        <w:rPr>
          <w:rFonts w:ascii="Times New Roman" w:hAnsi="Times New Roman" w:cs="Times New Roman"/>
          <w:sz w:val="24"/>
          <w:szCs w:val="24"/>
        </w:rPr>
        <w:t xml:space="preserve"> and </w:t>
      </w:r>
      <w:r w:rsidRPr="006E3142">
        <w:rPr>
          <w:rFonts w:ascii="Times New Roman" w:hAnsi="Times New Roman" w:cs="Times New Roman"/>
          <w:position w:val="-12"/>
          <w:sz w:val="24"/>
          <w:szCs w:val="24"/>
        </w:rPr>
        <w:object w:dxaOrig="400" w:dyaOrig="360">
          <v:shape id="_x0000_i1030" type="#_x0000_t75" style="width:20.25pt;height:18.75pt" o:ole="">
            <v:imagedata r:id="rId19" o:title=""/>
          </v:shape>
          <o:OLEObject Type="Embed" ProgID="Equation.3" ShapeID="_x0000_i1030" DrawAspect="Content" ObjectID="_1493477158" r:id="rId20"/>
        </w:object>
      </w:r>
      <w:r w:rsidRPr="00D74E63">
        <w:rPr>
          <w:rFonts w:ascii="Times New Roman" w:hAnsi="Times New Roman" w:cs="Times New Roman"/>
          <w:sz w:val="24"/>
          <w:szCs w:val="24"/>
        </w:rPr>
        <w:t xml:space="preserve"> represent the </w:t>
      </w:r>
      <w:r>
        <w:rPr>
          <w:rFonts w:ascii="Times New Roman" w:hAnsi="Times New Roman" w:cs="Times New Roman"/>
          <w:sz w:val="24"/>
          <w:szCs w:val="24"/>
        </w:rPr>
        <w:t>exchange rate</w:t>
      </w:r>
      <w:r w:rsidRPr="00D74E63">
        <w:rPr>
          <w:rFonts w:ascii="Times New Roman" w:hAnsi="Times New Roman" w:cs="Times New Roman"/>
          <w:sz w:val="24"/>
          <w:szCs w:val="24"/>
        </w:rPr>
        <w:t xml:space="preserve"> prices </w:t>
      </w:r>
      <w:r>
        <w:rPr>
          <w:rFonts w:ascii="Times New Roman" w:hAnsi="Times New Roman" w:cs="Times New Roman"/>
          <w:sz w:val="24"/>
          <w:szCs w:val="24"/>
        </w:rPr>
        <w:t>for day</w:t>
      </w:r>
      <w:r w:rsidRPr="00D74E63">
        <w:rPr>
          <w:rFonts w:ascii="Times New Roman" w:hAnsi="Times New Roman" w:cs="Times New Roman"/>
          <w:sz w:val="24"/>
          <w:szCs w:val="24"/>
        </w:rPr>
        <w:t xml:space="preserve">s </w:t>
      </w:r>
      <m:oMath>
        <m:r>
          <w:rPr>
            <w:rFonts w:ascii="Cambria Math" w:hAnsi="Cambria Math" w:cs="Times New Roman"/>
            <w:sz w:val="24"/>
            <w:szCs w:val="24"/>
          </w:rPr>
          <m:t>t</m:t>
        </m:r>
      </m:oMath>
      <w:r w:rsidRPr="00D74E63">
        <w:rPr>
          <w:rFonts w:ascii="Times New Roman" w:hAnsi="Times New Roman" w:cs="Times New Roman"/>
          <w:sz w:val="24"/>
          <w:szCs w:val="24"/>
        </w:rPr>
        <w:t xml:space="preserve"> and </w:t>
      </w:r>
      <m:oMath>
        <m:r>
          <w:rPr>
            <w:rFonts w:ascii="Cambria Math" w:hAnsi="Cambria Math" w:cs="Times New Roman"/>
            <w:sz w:val="24"/>
            <w:szCs w:val="24"/>
          </w:rPr>
          <m:t>t-</m:t>
        </m:r>
        <m:r>
          <w:rPr>
            <w:rFonts w:ascii="Cambria Math" w:hAnsi="Times New Roman" w:cs="Times New Roman"/>
            <w:sz w:val="24"/>
            <w:szCs w:val="24"/>
          </w:rPr>
          <m:t>1</m:t>
        </m:r>
      </m:oMath>
      <w:r w:rsidRPr="00D74E63">
        <w:rPr>
          <w:rFonts w:ascii="Times New Roman" w:hAnsi="Times New Roman" w:cs="Times New Roman"/>
          <w:sz w:val="24"/>
          <w:szCs w:val="24"/>
        </w:rPr>
        <w:t xml:space="preserve"> respectively</w:t>
      </w:r>
      <w:r>
        <w:rPr>
          <w:rFonts w:ascii="Times New Roman" w:hAnsi="Times New Roman" w:cs="Times New Roman"/>
          <w:sz w:val="24"/>
          <w:szCs w:val="24"/>
        </w:rPr>
        <w:t xml:space="preserve"> and </w:t>
      </w:r>
      <w:r w:rsidR="00173737" w:rsidRPr="006E3142">
        <w:rPr>
          <w:rFonts w:ascii="Times New Roman" w:hAnsi="Times New Roman" w:cs="Times New Roman"/>
          <w:position w:val="-12"/>
          <w:sz w:val="24"/>
          <w:szCs w:val="24"/>
        </w:rPr>
        <w:object w:dxaOrig="200" w:dyaOrig="360">
          <v:shape id="_x0000_i1031" type="#_x0000_t75" style="width:9.75pt;height:18.75pt" o:ole="">
            <v:imagedata r:id="rId21" o:title=""/>
          </v:shape>
          <o:OLEObject Type="Embed" ProgID="Equation.3" ShapeID="_x0000_i1031" DrawAspect="Content" ObjectID="_1493477159" r:id="rId22"/>
        </w:object>
      </w:r>
      <w:r>
        <w:rPr>
          <w:rFonts w:ascii="Times New Roman" w:hAnsi="Times New Roman"/>
          <w:sz w:val="24"/>
          <w:szCs w:val="24"/>
        </w:rPr>
        <w:t xml:space="preserve"> is the exchange rate return for day t</w:t>
      </w:r>
      <w:r w:rsidRPr="00D74E63">
        <w:rPr>
          <w:rFonts w:ascii="Times New Roman" w:hAnsi="Times New Roman" w:cs="Times New Roman"/>
          <w:sz w:val="24"/>
          <w:szCs w:val="24"/>
        </w:rPr>
        <w:t>.</w:t>
      </w:r>
      <w:r>
        <w:rPr>
          <w:rFonts w:ascii="Times New Roman" w:hAnsi="Times New Roman" w:cs="Times New Roman"/>
          <w:sz w:val="24"/>
          <w:szCs w:val="24"/>
        </w:rPr>
        <w:t xml:space="preserve"> </w:t>
      </w:r>
      <w:r w:rsidRPr="00D74E63">
        <w:rPr>
          <w:rFonts w:ascii="Times New Roman" w:hAnsi="Times New Roman" w:cs="Times New Roman"/>
          <w:sz w:val="24"/>
          <w:szCs w:val="24"/>
        </w:rPr>
        <w:t xml:space="preserve">The transformation from absolute prices </w:t>
      </w:r>
      <w:r w:rsidRPr="006E3142">
        <w:rPr>
          <w:rFonts w:ascii="Times New Roman" w:hAnsi="Times New Roman" w:cs="Times New Roman"/>
          <w:position w:val="-12"/>
          <w:sz w:val="24"/>
          <w:szCs w:val="24"/>
        </w:rPr>
        <w:object w:dxaOrig="260" w:dyaOrig="360">
          <v:shape id="_x0000_i1032" type="#_x0000_t75" style="width:12.75pt;height:18.75pt" o:ole="">
            <v:imagedata r:id="rId23" o:title=""/>
          </v:shape>
          <o:OLEObject Type="Embed" ProgID="Equation.3" ShapeID="_x0000_i1032" DrawAspect="Content" ObjectID="_1493477160" r:id="rId24"/>
        </w:object>
      </w:r>
      <w:r>
        <w:rPr>
          <w:rFonts w:ascii="Times New Roman" w:hAnsi="Times New Roman" w:cs="Times New Roman"/>
          <w:position w:val="-12"/>
          <w:sz w:val="24"/>
          <w:szCs w:val="24"/>
        </w:rPr>
        <w:t xml:space="preserve"> </w:t>
      </w:r>
      <w:r w:rsidRPr="00D74E63">
        <w:rPr>
          <w:rFonts w:ascii="Times New Roman" w:hAnsi="Times New Roman" w:cs="Times New Roman"/>
          <w:sz w:val="24"/>
          <w:szCs w:val="24"/>
        </w:rPr>
        <w:t>to returns</w:t>
      </w:r>
      <w:r>
        <w:rPr>
          <w:rFonts w:ascii="Times New Roman" w:hAnsi="Times New Roman" w:cs="Times New Roman"/>
          <w:sz w:val="24"/>
          <w:szCs w:val="24"/>
        </w:rPr>
        <w:t xml:space="preserve"> </w:t>
      </w:r>
      <w:r w:rsidR="00173737" w:rsidRPr="006E3142">
        <w:rPr>
          <w:rFonts w:ascii="Times New Roman" w:hAnsi="Times New Roman" w:cs="Times New Roman"/>
          <w:position w:val="-12"/>
          <w:sz w:val="24"/>
          <w:szCs w:val="24"/>
        </w:rPr>
        <w:object w:dxaOrig="200" w:dyaOrig="360">
          <v:shape id="_x0000_i1033" type="#_x0000_t75" style="width:9.75pt;height:18.75pt" o:ole="">
            <v:imagedata r:id="rId25" o:title=""/>
          </v:shape>
          <o:OLEObject Type="Embed" ProgID="Equation.3" ShapeID="_x0000_i1033" DrawAspect="Content" ObjectID="_1493477161" r:id="rId26"/>
        </w:object>
      </w:r>
      <w:r w:rsidR="00173737">
        <w:rPr>
          <w:rFonts w:ascii="Times New Roman" w:hAnsi="Times New Roman" w:cs="Times New Roman"/>
          <w:sz w:val="24"/>
          <w:szCs w:val="24"/>
        </w:rPr>
        <w:t xml:space="preserve"> </w:t>
      </w:r>
      <w:r w:rsidRPr="00D74E63">
        <w:rPr>
          <w:rFonts w:ascii="Times New Roman" w:hAnsi="Times New Roman" w:cs="Times New Roman"/>
          <w:sz w:val="24"/>
          <w:szCs w:val="24"/>
        </w:rPr>
        <w:t xml:space="preserve">is justified by noting that it is more appropriate to base volatility measures on returns rather than absolute price movements. </w:t>
      </w:r>
      <w:r w:rsidR="007B7365">
        <w:rPr>
          <w:rFonts w:ascii="Times New Roman" w:hAnsi="Times New Roman" w:cs="Times New Roman"/>
          <w:sz w:val="24"/>
          <w:szCs w:val="24"/>
        </w:rPr>
        <w:t>L</w:t>
      </w:r>
      <w:r w:rsidRPr="00D74E63">
        <w:rPr>
          <w:rFonts w:ascii="Times New Roman" w:hAnsi="Times New Roman" w:cs="Times New Roman"/>
          <w:sz w:val="24"/>
          <w:szCs w:val="24"/>
        </w:rPr>
        <w:t>evel of prices experiences significant changes from time to time (</w:t>
      </w:r>
      <w:proofErr w:type="spellStart"/>
      <w:r w:rsidRPr="00D74E63">
        <w:rPr>
          <w:rFonts w:ascii="Times New Roman" w:hAnsi="Times New Roman" w:cs="Times New Roman"/>
          <w:sz w:val="24"/>
          <w:szCs w:val="24"/>
        </w:rPr>
        <w:t>Rahman</w:t>
      </w:r>
      <w:proofErr w:type="spellEnd"/>
      <w:r w:rsidRPr="00D74E63">
        <w:rPr>
          <w:rFonts w:ascii="Times New Roman" w:hAnsi="Times New Roman" w:cs="Times New Roman"/>
          <w:sz w:val="24"/>
          <w:szCs w:val="24"/>
        </w:rPr>
        <w:t xml:space="preserve"> et al., </w:t>
      </w:r>
      <w:r w:rsidR="00EB136C">
        <w:rPr>
          <w:rFonts w:ascii="Times New Roman" w:hAnsi="Times New Roman" w:cs="Times New Roman"/>
          <w:sz w:val="24"/>
          <w:szCs w:val="24"/>
        </w:rPr>
        <w:t>[41]</w:t>
      </w:r>
      <w:r w:rsidRPr="00D74E63">
        <w:rPr>
          <w:rFonts w:ascii="Times New Roman" w:hAnsi="Times New Roman" w:cs="Times New Roman"/>
          <w:sz w:val="24"/>
          <w:szCs w:val="24"/>
        </w:rPr>
        <w:t xml:space="preserve">). Moreover, absolute prices often display unit-root </w:t>
      </w:r>
      <w:proofErr w:type="spellStart"/>
      <w:r w:rsidRPr="00D74E63">
        <w:rPr>
          <w:rFonts w:ascii="Times New Roman" w:hAnsi="Times New Roman" w:cs="Times New Roman"/>
          <w:sz w:val="24"/>
          <w:szCs w:val="24"/>
        </w:rPr>
        <w:t>behaviour</w:t>
      </w:r>
      <w:proofErr w:type="spellEnd"/>
      <w:r w:rsidRPr="00D74E63">
        <w:rPr>
          <w:rFonts w:ascii="Times New Roman" w:hAnsi="Times New Roman" w:cs="Times New Roman"/>
          <w:sz w:val="24"/>
          <w:szCs w:val="24"/>
        </w:rPr>
        <w:t xml:space="preserve"> and thus cannot be modeled as stationary</w:t>
      </w:r>
      <w:r w:rsidR="00095369">
        <w:rPr>
          <w:rFonts w:ascii="Times New Roman" w:hAnsi="Times New Roman" w:cs="Times New Roman"/>
          <w:sz w:val="24"/>
          <w:szCs w:val="24"/>
        </w:rPr>
        <w:t>.</w:t>
      </w:r>
      <w:r w:rsidRPr="00D74E63">
        <w:rPr>
          <w:rFonts w:ascii="Times New Roman" w:hAnsi="Times New Roman" w:cs="Times New Roman"/>
          <w:sz w:val="24"/>
          <w:szCs w:val="24"/>
        </w:rPr>
        <w:t xml:space="preserve"> </w:t>
      </w:r>
    </w:p>
    <w:p w:rsidR="00F83A79" w:rsidRPr="003037A9" w:rsidRDefault="00F83A79" w:rsidP="00BD2665">
      <w:pPr>
        <w:spacing w:line="480" w:lineRule="auto"/>
        <w:jc w:val="both"/>
        <w:rPr>
          <w:rFonts w:ascii="Times New Roman" w:hAnsi="Times New Roman"/>
          <w:i/>
          <w:sz w:val="24"/>
          <w:szCs w:val="24"/>
        </w:rPr>
      </w:pPr>
      <w:r w:rsidRPr="003037A9">
        <w:rPr>
          <w:rFonts w:ascii="Times New Roman" w:hAnsi="Times New Roman"/>
          <w:i/>
          <w:sz w:val="24"/>
          <w:szCs w:val="24"/>
        </w:rPr>
        <w:t>4.1.1 Statistical Properties of Data</w:t>
      </w:r>
    </w:p>
    <w:p w:rsidR="00F83A79" w:rsidRDefault="00F83A79" w:rsidP="00BD2665">
      <w:pPr>
        <w:autoSpaceDE w:val="0"/>
        <w:autoSpaceDN w:val="0"/>
        <w:adjustRightInd w:val="0"/>
        <w:spacing w:line="480" w:lineRule="auto"/>
        <w:jc w:val="both"/>
        <w:rPr>
          <w:rFonts w:ascii="Times New Roman" w:hAnsi="Times New Roman" w:cs="Times New Roman"/>
          <w:sz w:val="24"/>
          <w:szCs w:val="24"/>
        </w:rPr>
      </w:pPr>
      <w:r w:rsidRPr="00F471C0">
        <w:rPr>
          <w:rFonts w:ascii="Times New Roman" w:hAnsi="Times New Roman" w:cs="Times New Roman"/>
          <w:sz w:val="24"/>
          <w:szCs w:val="24"/>
        </w:rPr>
        <w:lastRenderedPageBreak/>
        <w:t>The summary statistics of the exchange rat</w:t>
      </w:r>
      <w:r w:rsidR="002A5158">
        <w:rPr>
          <w:rFonts w:ascii="Times New Roman" w:hAnsi="Times New Roman" w:cs="Times New Roman"/>
          <w:sz w:val="24"/>
          <w:szCs w:val="24"/>
        </w:rPr>
        <w:t>e returns is given in Table 2</w:t>
      </w:r>
      <w:r w:rsidRPr="00F471C0">
        <w:rPr>
          <w:rFonts w:ascii="Times New Roman" w:hAnsi="Times New Roman" w:cs="Times New Roman"/>
          <w:sz w:val="24"/>
          <w:szCs w:val="24"/>
        </w:rPr>
        <w:t xml:space="preserve">. </w:t>
      </w:r>
      <w:r w:rsidR="00521B79">
        <w:rPr>
          <w:rFonts w:ascii="Times New Roman" w:hAnsi="Times New Roman" w:cs="Times New Roman"/>
          <w:sz w:val="24"/>
          <w:szCs w:val="24"/>
        </w:rPr>
        <w:t xml:space="preserve">The </w:t>
      </w:r>
      <w:r w:rsidR="00450320">
        <w:rPr>
          <w:rFonts w:ascii="Times New Roman" w:hAnsi="Times New Roman" w:cs="Times New Roman"/>
          <w:sz w:val="24"/>
          <w:szCs w:val="24"/>
        </w:rPr>
        <w:t>result</w:t>
      </w:r>
      <w:r w:rsidR="00521B79" w:rsidRPr="00F471C0">
        <w:rPr>
          <w:rFonts w:ascii="Times New Roman" w:hAnsi="Times New Roman" w:cs="Times New Roman"/>
          <w:sz w:val="24"/>
          <w:szCs w:val="24"/>
        </w:rPr>
        <w:t xml:space="preserve"> indicates</w:t>
      </w:r>
      <w:r w:rsidR="00521B79">
        <w:rPr>
          <w:rFonts w:ascii="Times New Roman" w:hAnsi="Times New Roman" w:cs="Times New Roman"/>
          <w:sz w:val="24"/>
          <w:szCs w:val="24"/>
        </w:rPr>
        <w:t xml:space="preserve"> that the data under study is skewed to the right, and</w:t>
      </w:r>
      <w:r w:rsidRPr="00F471C0">
        <w:rPr>
          <w:rFonts w:ascii="Times New Roman" w:hAnsi="Times New Roman" w:cs="Times New Roman"/>
          <w:sz w:val="24"/>
          <w:szCs w:val="24"/>
        </w:rPr>
        <w:t xml:space="preserve"> </w:t>
      </w:r>
      <w:r w:rsidR="00830E4E">
        <w:rPr>
          <w:rFonts w:ascii="Times New Roman" w:hAnsi="Times New Roman" w:cs="Times New Roman"/>
          <w:sz w:val="24"/>
          <w:szCs w:val="24"/>
        </w:rPr>
        <w:t>leptokurtic</w:t>
      </w:r>
      <w:r w:rsidRPr="00F471C0">
        <w:rPr>
          <w:rFonts w:ascii="Times New Roman" w:hAnsi="Times New Roman" w:cs="Times New Roman"/>
          <w:sz w:val="24"/>
          <w:szCs w:val="24"/>
        </w:rPr>
        <w:t xml:space="preserve">. </w:t>
      </w:r>
      <w:r w:rsidR="009A3C5A">
        <w:rPr>
          <w:rFonts w:ascii="Times New Roman" w:hAnsi="Times New Roman" w:cs="Times New Roman"/>
          <w:sz w:val="24"/>
          <w:szCs w:val="24"/>
        </w:rPr>
        <w:t xml:space="preserve">This agrees with </w:t>
      </w:r>
      <w:proofErr w:type="spellStart"/>
      <w:r w:rsidR="009A3C5A">
        <w:rPr>
          <w:rFonts w:ascii="Times New Roman" w:hAnsi="Times New Roman" w:cs="Times New Roman"/>
          <w:sz w:val="24"/>
          <w:szCs w:val="24"/>
        </w:rPr>
        <w:t>Maana</w:t>
      </w:r>
      <w:proofErr w:type="spellEnd"/>
      <w:r w:rsidR="009A3C5A">
        <w:rPr>
          <w:rFonts w:ascii="Times New Roman" w:hAnsi="Times New Roman" w:cs="Times New Roman"/>
          <w:sz w:val="24"/>
          <w:szCs w:val="24"/>
        </w:rPr>
        <w:t xml:space="preserve"> </w:t>
      </w:r>
      <w:r w:rsidR="009A3C5A" w:rsidRPr="009A3C5A">
        <w:rPr>
          <w:rFonts w:ascii="Times New Roman" w:hAnsi="Times New Roman" w:cs="Times New Roman"/>
          <w:i/>
          <w:sz w:val="24"/>
          <w:szCs w:val="24"/>
        </w:rPr>
        <w:t>et al.</w:t>
      </w:r>
      <w:r>
        <w:rPr>
          <w:rFonts w:ascii="Times New Roman" w:hAnsi="Times New Roman" w:cs="Times New Roman"/>
          <w:sz w:val="24"/>
          <w:szCs w:val="24"/>
        </w:rPr>
        <w:t xml:space="preserve"> </w:t>
      </w:r>
      <w:r w:rsidR="00EB136C">
        <w:rPr>
          <w:rFonts w:ascii="Times New Roman" w:hAnsi="Times New Roman" w:cs="Times New Roman"/>
          <w:sz w:val="24"/>
          <w:szCs w:val="24"/>
        </w:rPr>
        <w:t>[4</w:t>
      </w:r>
      <w:r w:rsidR="00466BBC">
        <w:rPr>
          <w:rFonts w:ascii="Times New Roman" w:hAnsi="Times New Roman" w:cs="Times New Roman"/>
          <w:sz w:val="24"/>
          <w:szCs w:val="24"/>
        </w:rPr>
        <w:t>2</w:t>
      </w:r>
      <w:r w:rsidR="00EB136C">
        <w:rPr>
          <w:rFonts w:ascii="Times New Roman" w:hAnsi="Times New Roman" w:cs="Times New Roman"/>
          <w:sz w:val="24"/>
          <w:szCs w:val="24"/>
        </w:rPr>
        <w:t>]</w:t>
      </w:r>
      <w:r w:rsidR="00466BBC">
        <w:rPr>
          <w:rFonts w:ascii="Times New Roman" w:hAnsi="Times New Roman" w:cs="Times New Roman"/>
          <w:sz w:val="24"/>
          <w:szCs w:val="24"/>
        </w:rPr>
        <w:t xml:space="preserve"> </w:t>
      </w:r>
      <w:r>
        <w:rPr>
          <w:rFonts w:ascii="Times New Roman" w:hAnsi="Times New Roman" w:cs="Times New Roman"/>
          <w:sz w:val="24"/>
          <w:szCs w:val="24"/>
        </w:rPr>
        <w:t xml:space="preserve">which found </w:t>
      </w:r>
      <w:r w:rsidRPr="006A1D73">
        <w:rPr>
          <w:rFonts w:ascii="Times New Roman" w:hAnsi="Times New Roman" w:cs="Times New Roman"/>
          <w:sz w:val="24"/>
          <w:szCs w:val="24"/>
        </w:rPr>
        <w:t xml:space="preserve">evidence of unconditional leptokurtosis in </w:t>
      </w:r>
      <w:r w:rsidR="009A3C5A">
        <w:rPr>
          <w:rFonts w:ascii="Times New Roman" w:hAnsi="Times New Roman" w:cs="Times New Roman"/>
          <w:sz w:val="24"/>
          <w:szCs w:val="24"/>
        </w:rPr>
        <w:t>Kenyan shillings</w:t>
      </w:r>
      <w:r w:rsidR="00424619">
        <w:rPr>
          <w:rFonts w:ascii="Times New Roman" w:hAnsi="Times New Roman" w:cs="Times New Roman"/>
          <w:sz w:val="24"/>
          <w:szCs w:val="24"/>
        </w:rPr>
        <w:t>. Additionally, result also suggests that Kenyan shillings exhibit some level of volatility, about 59%.</w:t>
      </w:r>
      <w:r w:rsidR="00424619" w:rsidRPr="00F471C0">
        <w:rPr>
          <w:rFonts w:ascii="Times New Roman" w:hAnsi="Times New Roman" w:cs="Times New Roman"/>
          <w:sz w:val="24"/>
          <w:szCs w:val="24"/>
        </w:rPr>
        <w:t xml:space="preserve"> </w:t>
      </w:r>
      <w:proofErr w:type="spellStart"/>
      <w:r w:rsidRPr="00F471C0">
        <w:rPr>
          <w:rFonts w:ascii="Times New Roman" w:hAnsi="Times New Roman" w:cs="Times New Roman"/>
          <w:sz w:val="24"/>
          <w:szCs w:val="24"/>
        </w:rPr>
        <w:t>Jarque-Bera</w:t>
      </w:r>
      <w:proofErr w:type="spellEnd"/>
      <w:r w:rsidRPr="00F471C0">
        <w:rPr>
          <w:rFonts w:ascii="Times New Roman" w:hAnsi="Times New Roman" w:cs="Times New Roman"/>
          <w:sz w:val="24"/>
          <w:szCs w:val="24"/>
        </w:rPr>
        <w:t xml:space="preserve"> sta</w:t>
      </w:r>
      <w:r w:rsidR="00450320">
        <w:rPr>
          <w:rFonts w:ascii="Times New Roman" w:hAnsi="Times New Roman" w:cs="Times New Roman"/>
          <w:sz w:val="24"/>
          <w:szCs w:val="24"/>
        </w:rPr>
        <w:t xml:space="preserve">tistics was </w:t>
      </w:r>
      <w:r>
        <w:rPr>
          <w:rFonts w:ascii="Times New Roman" w:hAnsi="Times New Roman" w:cs="Times New Roman"/>
          <w:sz w:val="24"/>
          <w:szCs w:val="24"/>
        </w:rPr>
        <w:t xml:space="preserve">highly </w:t>
      </w:r>
      <w:r w:rsidR="00830E4E">
        <w:rPr>
          <w:rFonts w:ascii="Times New Roman" w:hAnsi="Times New Roman" w:cs="Times New Roman"/>
          <w:sz w:val="24"/>
          <w:szCs w:val="24"/>
        </w:rPr>
        <w:t>significant</w:t>
      </w:r>
      <w:r>
        <w:rPr>
          <w:rFonts w:ascii="Times New Roman" w:hAnsi="Times New Roman" w:cs="Times New Roman"/>
          <w:sz w:val="24"/>
          <w:szCs w:val="24"/>
        </w:rPr>
        <w:t>, which implies that t</w:t>
      </w:r>
      <w:r w:rsidR="00830E4E">
        <w:rPr>
          <w:rFonts w:ascii="Times New Roman" w:hAnsi="Times New Roman" w:cs="Times New Roman"/>
          <w:sz w:val="24"/>
          <w:szCs w:val="24"/>
        </w:rPr>
        <w:t xml:space="preserve">he distribution of Kenyan shillings </w:t>
      </w:r>
      <w:r w:rsidR="00424619">
        <w:rPr>
          <w:rFonts w:ascii="Times New Roman" w:hAnsi="Times New Roman" w:cs="Times New Roman"/>
          <w:sz w:val="24"/>
          <w:szCs w:val="24"/>
        </w:rPr>
        <w:t>i</w:t>
      </w:r>
      <w:r>
        <w:rPr>
          <w:rFonts w:ascii="Times New Roman" w:hAnsi="Times New Roman" w:cs="Times New Roman"/>
          <w:sz w:val="24"/>
          <w:szCs w:val="24"/>
        </w:rPr>
        <w:t>s</w:t>
      </w:r>
      <w:r w:rsidR="00424619">
        <w:rPr>
          <w:rFonts w:ascii="Times New Roman" w:hAnsi="Times New Roman" w:cs="Times New Roman"/>
          <w:sz w:val="24"/>
          <w:szCs w:val="24"/>
        </w:rPr>
        <w:t xml:space="preserve"> not</w:t>
      </w:r>
      <w:r>
        <w:rPr>
          <w:rFonts w:ascii="Times New Roman" w:hAnsi="Times New Roman" w:cs="Times New Roman"/>
          <w:sz w:val="24"/>
          <w:szCs w:val="24"/>
        </w:rPr>
        <w:t xml:space="preserve"> no</w:t>
      </w:r>
      <w:r w:rsidR="00424619">
        <w:rPr>
          <w:rFonts w:ascii="Times New Roman" w:hAnsi="Times New Roman" w:cs="Times New Roman"/>
          <w:sz w:val="24"/>
          <w:szCs w:val="24"/>
        </w:rPr>
        <w:t>rmal</w:t>
      </w:r>
      <w:r w:rsidR="00450320">
        <w:rPr>
          <w:rFonts w:ascii="Times New Roman" w:hAnsi="Times New Roman" w:cs="Times New Roman"/>
          <w:sz w:val="24"/>
          <w:szCs w:val="24"/>
        </w:rPr>
        <w:t>.</w:t>
      </w:r>
      <w:r>
        <w:rPr>
          <w:rFonts w:ascii="Times New Roman" w:hAnsi="Times New Roman" w:cs="Times New Roman"/>
          <w:sz w:val="24"/>
          <w:szCs w:val="24"/>
        </w:rPr>
        <w:t xml:space="preserve"> </w:t>
      </w:r>
      <w:r w:rsidRPr="00F471C0">
        <w:rPr>
          <w:rFonts w:ascii="Times New Roman" w:eastAsia="Calibri" w:hAnsi="Times New Roman" w:cs="Times New Roman"/>
          <w:sz w:val="24"/>
          <w:szCs w:val="24"/>
        </w:rPr>
        <w:t xml:space="preserve">Furthermore, the </w:t>
      </w:r>
      <w:proofErr w:type="spellStart"/>
      <w:r w:rsidRPr="00F471C0">
        <w:rPr>
          <w:rFonts w:ascii="Times New Roman" w:hAnsi="Times New Roman" w:cs="Times New Roman"/>
          <w:sz w:val="24"/>
          <w:szCs w:val="24"/>
        </w:rPr>
        <w:t>Ljung</w:t>
      </w:r>
      <w:proofErr w:type="spellEnd"/>
      <w:r w:rsidRPr="00F471C0">
        <w:rPr>
          <w:rFonts w:ascii="Times New Roman" w:hAnsi="Times New Roman" w:cs="Times New Roman"/>
          <w:sz w:val="24"/>
          <w:szCs w:val="24"/>
        </w:rPr>
        <w:t>-Box Q-statistic for both squared and un</w:t>
      </w:r>
      <w:r w:rsidR="00424619">
        <w:rPr>
          <w:rFonts w:ascii="Times New Roman" w:hAnsi="Times New Roman" w:cs="Times New Roman"/>
          <w:sz w:val="24"/>
          <w:szCs w:val="24"/>
        </w:rPr>
        <w:t>-</w:t>
      </w:r>
      <w:r w:rsidRPr="00F471C0">
        <w:rPr>
          <w:rFonts w:ascii="Times New Roman" w:hAnsi="Times New Roman" w:cs="Times New Roman"/>
          <w:sz w:val="24"/>
          <w:szCs w:val="24"/>
        </w:rPr>
        <w:t>squared resi</w:t>
      </w:r>
      <w:r>
        <w:rPr>
          <w:rFonts w:ascii="Times New Roman" w:hAnsi="Times New Roman" w:cs="Times New Roman"/>
          <w:sz w:val="24"/>
          <w:szCs w:val="24"/>
        </w:rPr>
        <w:t>duals</w:t>
      </w:r>
      <w:r w:rsidR="00BE0447">
        <w:rPr>
          <w:rFonts w:ascii="Times New Roman" w:hAnsi="Times New Roman" w:cs="Times New Roman"/>
          <w:sz w:val="24"/>
          <w:szCs w:val="24"/>
        </w:rPr>
        <w:t xml:space="preserve"> denoted </w:t>
      </w:r>
      <w:proofErr w:type="gramStart"/>
      <w:r w:rsidR="00424619">
        <w:rPr>
          <w:rFonts w:ascii="Times New Roman" w:hAnsi="Times New Roman" w:cs="Times New Roman"/>
          <w:sz w:val="24"/>
          <w:szCs w:val="24"/>
        </w:rPr>
        <w:t>Q</w:t>
      </w:r>
      <w:r w:rsidR="00424619">
        <w:rPr>
          <w:rFonts w:ascii="Times New Roman" w:hAnsi="Times New Roman" w:cs="Times New Roman"/>
          <w:sz w:val="24"/>
          <w:szCs w:val="24"/>
          <w:vertAlign w:val="superscript"/>
        </w:rPr>
        <w:t>2</w:t>
      </w:r>
      <w:r w:rsidR="00424619">
        <w:rPr>
          <w:rFonts w:ascii="Times New Roman" w:hAnsi="Times New Roman" w:cs="Times New Roman"/>
          <w:sz w:val="24"/>
          <w:szCs w:val="24"/>
        </w:rPr>
        <w:t>(</w:t>
      </w:r>
      <w:proofErr w:type="gramEnd"/>
      <w:r w:rsidR="00424619">
        <w:rPr>
          <w:rFonts w:ascii="Times New Roman" w:hAnsi="Times New Roman" w:cs="Times New Roman"/>
          <w:sz w:val="24"/>
          <w:szCs w:val="24"/>
        </w:rPr>
        <w:t>20)</w:t>
      </w:r>
      <w:r w:rsidR="00BE0447">
        <w:rPr>
          <w:rFonts w:ascii="Times New Roman" w:hAnsi="Times New Roman" w:cs="Times New Roman"/>
          <w:sz w:val="24"/>
          <w:szCs w:val="24"/>
        </w:rPr>
        <w:t xml:space="preserve"> and</w:t>
      </w:r>
      <w:r w:rsidR="00424619">
        <w:rPr>
          <w:rFonts w:ascii="Times New Roman" w:hAnsi="Times New Roman" w:cs="Times New Roman"/>
          <w:sz w:val="24"/>
          <w:szCs w:val="24"/>
        </w:rPr>
        <w:t xml:space="preserve"> Q(20)</w:t>
      </w:r>
      <w:r w:rsidR="00BE0447">
        <w:rPr>
          <w:rFonts w:ascii="Times New Roman" w:hAnsi="Times New Roman" w:cs="Times New Roman"/>
          <w:sz w:val="24"/>
          <w:szCs w:val="24"/>
        </w:rPr>
        <w:t>, respectively</w:t>
      </w:r>
      <w:r w:rsidR="008557B5">
        <w:rPr>
          <w:rFonts w:ascii="Times New Roman" w:hAnsi="Times New Roman" w:cs="Times New Roman"/>
          <w:sz w:val="24"/>
          <w:szCs w:val="24"/>
        </w:rPr>
        <w:t xml:space="preserve"> are </w:t>
      </w:r>
      <w:r w:rsidR="000B1978">
        <w:rPr>
          <w:rFonts w:ascii="Times New Roman" w:hAnsi="Times New Roman" w:cs="Times New Roman"/>
          <w:sz w:val="24"/>
          <w:szCs w:val="24"/>
        </w:rPr>
        <w:t xml:space="preserve">reported in Table </w:t>
      </w:r>
      <w:r w:rsidR="002A5158">
        <w:rPr>
          <w:rFonts w:ascii="Times New Roman" w:hAnsi="Times New Roman" w:cs="Times New Roman"/>
          <w:sz w:val="24"/>
          <w:szCs w:val="24"/>
        </w:rPr>
        <w:t>2</w:t>
      </w:r>
      <w:r w:rsidRPr="00F471C0">
        <w:rPr>
          <w:rFonts w:ascii="Times New Roman" w:hAnsi="Times New Roman" w:cs="Times New Roman"/>
          <w:sz w:val="24"/>
          <w:szCs w:val="24"/>
        </w:rPr>
        <w:t xml:space="preserve">. </w:t>
      </w:r>
      <w:r w:rsidR="00424619">
        <w:rPr>
          <w:rFonts w:ascii="Times New Roman" w:hAnsi="Times New Roman" w:cs="Times New Roman"/>
          <w:sz w:val="24"/>
          <w:szCs w:val="24"/>
        </w:rPr>
        <w:t xml:space="preserve">Notice that </w:t>
      </w:r>
      <w:r w:rsidR="00830E4E">
        <w:rPr>
          <w:rFonts w:ascii="Times New Roman" w:hAnsi="Times New Roman" w:cs="Times New Roman"/>
          <w:sz w:val="24"/>
          <w:szCs w:val="24"/>
        </w:rPr>
        <w:t>both</w:t>
      </w:r>
      <w:r w:rsidR="00424619">
        <w:rPr>
          <w:rFonts w:ascii="Times New Roman" w:hAnsi="Times New Roman" w:cs="Times New Roman"/>
          <w:sz w:val="24"/>
          <w:szCs w:val="24"/>
        </w:rPr>
        <w:t xml:space="preserve"> statistics are highly significant. </w:t>
      </w:r>
      <w:r w:rsidR="008557B5">
        <w:rPr>
          <w:rFonts w:ascii="Times New Roman" w:hAnsi="Times New Roman" w:cs="Times New Roman"/>
          <w:sz w:val="24"/>
          <w:szCs w:val="24"/>
        </w:rPr>
        <w:t xml:space="preserve"> This suggests t</w:t>
      </w:r>
      <w:r w:rsidRPr="00F471C0">
        <w:rPr>
          <w:rFonts w:ascii="Times New Roman" w:hAnsi="Times New Roman" w:cs="Times New Roman"/>
          <w:sz w:val="24"/>
          <w:szCs w:val="24"/>
        </w:rPr>
        <w:t>hat the exchange rate returns depend on past values</w:t>
      </w:r>
      <w:r w:rsidR="000F5B23">
        <w:rPr>
          <w:rFonts w:ascii="Times New Roman" w:hAnsi="Times New Roman" w:cs="Times New Roman"/>
          <w:sz w:val="24"/>
          <w:szCs w:val="24"/>
        </w:rPr>
        <w:t>, i.e. are serially correlated</w:t>
      </w:r>
      <w:r w:rsidR="008557B5">
        <w:rPr>
          <w:rFonts w:ascii="Times New Roman" w:hAnsi="Times New Roman" w:cs="Times New Roman"/>
          <w:sz w:val="24"/>
          <w:szCs w:val="24"/>
        </w:rPr>
        <w:t>, and t</w:t>
      </w:r>
      <w:r w:rsidRPr="00F471C0">
        <w:rPr>
          <w:rFonts w:ascii="Times New Roman" w:hAnsi="Times New Roman" w:cs="Times New Roman"/>
          <w:sz w:val="24"/>
          <w:szCs w:val="24"/>
        </w:rPr>
        <w:t xml:space="preserve">hat the residuals are strongly </w:t>
      </w:r>
      <w:proofErr w:type="spellStart"/>
      <w:r w:rsidRPr="00F471C0">
        <w:rPr>
          <w:rFonts w:ascii="Times New Roman" w:hAnsi="Times New Roman" w:cs="Times New Roman"/>
          <w:sz w:val="24"/>
          <w:szCs w:val="24"/>
        </w:rPr>
        <w:t>heteroscedastic</w:t>
      </w:r>
      <w:proofErr w:type="spellEnd"/>
      <w:r w:rsidRPr="00F471C0">
        <w:rPr>
          <w:rFonts w:ascii="Times New Roman" w:hAnsi="Times New Roman" w:cs="Times New Roman"/>
          <w:sz w:val="24"/>
          <w:szCs w:val="24"/>
        </w:rPr>
        <w:t>.</w:t>
      </w:r>
      <w:r w:rsidR="00830E4E">
        <w:rPr>
          <w:rFonts w:ascii="Times New Roman" w:hAnsi="Times New Roman" w:cs="Times New Roman"/>
          <w:sz w:val="24"/>
          <w:szCs w:val="24"/>
        </w:rPr>
        <w:t xml:space="preserve"> Using the </w:t>
      </w:r>
      <w:proofErr w:type="spellStart"/>
      <w:r w:rsidR="00830E4E">
        <w:rPr>
          <w:rFonts w:ascii="Times New Roman" w:hAnsi="Times New Roman" w:cs="Times New Roman"/>
          <w:sz w:val="24"/>
          <w:szCs w:val="24"/>
        </w:rPr>
        <w:t>correlogram</w:t>
      </w:r>
      <w:proofErr w:type="spellEnd"/>
      <w:r w:rsidR="00830E4E">
        <w:rPr>
          <w:rFonts w:ascii="Times New Roman" w:hAnsi="Times New Roman" w:cs="Times New Roman"/>
          <w:sz w:val="24"/>
          <w:szCs w:val="24"/>
        </w:rPr>
        <w:t xml:space="preserve"> as guide </w:t>
      </w:r>
      <w:r w:rsidR="00C94DB6">
        <w:rPr>
          <w:rFonts w:ascii="Times New Roman" w:hAnsi="Times New Roman" w:cs="Times New Roman"/>
          <w:sz w:val="24"/>
          <w:szCs w:val="24"/>
        </w:rPr>
        <w:t>the author</w:t>
      </w:r>
      <w:r w:rsidR="00830E4E">
        <w:rPr>
          <w:rFonts w:ascii="Times New Roman" w:hAnsi="Times New Roman" w:cs="Times New Roman"/>
          <w:sz w:val="24"/>
          <w:szCs w:val="24"/>
        </w:rPr>
        <w:t xml:space="preserve"> fou</w:t>
      </w:r>
      <w:r w:rsidR="0071627B">
        <w:rPr>
          <w:rFonts w:ascii="Times New Roman" w:hAnsi="Times New Roman" w:cs="Times New Roman"/>
          <w:sz w:val="24"/>
          <w:szCs w:val="24"/>
        </w:rPr>
        <w:t xml:space="preserve">nd that including lags 1, 2 and 4 </w:t>
      </w:r>
      <w:r w:rsidR="00830E4E">
        <w:rPr>
          <w:rFonts w:ascii="Times New Roman" w:hAnsi="Times New Roman" w:cs="Times New Roman"/>
          <w:sz w:val="24"/>
          <w:szCs w:val="24"/>
        </w:rPr>
        <w:t>in the</w:t>
      </w:r>
      <w:r w:rsidR="0071627B">
        <w:rPr>
          <w:rFonts w:ascii="Times New Roman" w:hAnsi="Times New Roman" w:cs="Times New Roman"/>
          <w:sz w:val="24"/>
          <w:szCs w:val="24"/>
        </w:rPr>
        <w:t xml:space="preserve"> mean equation effectively reduc</w:t>
      </w:r>
      <w:r w:rsidR="00830E4E">
        <w:rPr>
          <w:rFonts w:ascii="Times New Roman" w:hAnsi="Times New Roman" w:cs="Times New Roman"/>
          <w:sz w:val="24"/>
          <w:szCs w:val="24"/>
        </w:rPr>
        <w:t xml:space="preserve">ed the serial correlation earlier reported. </w:t>
      </w:r>
      <w:r w:rsidR="00FD1AAF">
        <w:rPr>
          <w:rFonts w:ascii="Times New Roman" w:hAnsi="Times New Roman" w:cs="Times New Roman"/>
          <w:sz w:val="24"/>
          <w:szCs w:val="24"/>
        </w:rPr>
        <w:t xml:space="preserve">The issue of </w:t>
      </w:r>
      <w:proofErr w:type="spellStart"/>
      <w:r w:rsidR="00FD1AAF">
        <w:rPr>
          <w:rFonts w:ascii="Times New Roman" w:hAnsi="Times New Roman" w:cs="Times New Roman"/>
          <w:sz w:val="24"/>
          <w:szCs w:val="24"/>
        </w:rPr>
        <w:t>hetero</w:t>
      </w:r>
      <w:r w:rsidR="00C94DB6">
        <w:rPr>
          <w:rFonts w:ascii="Times New Roman" w:hAnsi="Times New Roman" w:cs="Times New Roman"/>
          <w:sz w:val="24"/>
          <w:szCs w:val="24"/>
        </w:rPr>
        <w:t>scedasticity</w:t>
      </w:r>
      <w:proofErr w:type="spellEnd"/>
      <w:r w:rsidR="00C94DB6">
        <w:rPr>
          <w:rFonts w:ascii="Times New Roman" w:hAnsi="Times New Roman" w:cs="Times New Roman"/>
          <w:sz w:val="24"/>
          <w:szCs w:val="24"/>
        </w:rPr>
        <w:t xml:space="preserve"> will be addressed</w:t>
      </w:r>
      <w:r w:rsidR="00F03DA0">
        <w:rPr>
          <w:rFonts w:ascii="Times New Roman" w:hAnsi="Times New Roman" w:cs="Times New Roman"/>
          <w:sz w:val="24"/>
          <w:szCs w:val="24"/>
        </w:rPr>
        <w:t xml:space="preserve"> </w:t>
      </w:r>
      <w:r w:rsidR="00C94DB6">
        <w:rPr>
          <w:rFonts w:ascii="Times New Roman" w:hAnsi="Times New Roman" w:cs="Times New Roman"/>
          <w:sz w:val="24"/>
          <w:szCs w:val="24"/>
        </w:rPr>
        <w:t>in the next section</w:t>
      </w:r>
      <w:r w:rsidR="00095369" w:rsidRPr="00095369">
        <w:rPr>
          <w:rFonts w:ascii="Times New Roman" w:hAnsi="Times New Roman" w:cs="Times New Roman"/>
          <w:sz w:val="24"/>
          <w:szCs w:val="24"/>
        </w:rPr>
        <w:t xml:space="preserve"> </w:t>
      </w:r>
      <w:r w:rsidR="00F64FE6">
        <w:rPr>
          <w:rFonts w:ascii="Times New Roman" w:hAnsi="Times New Roman" w:cs="Times New Roman"/>
          <w:sz w:val="24"/>
          <w:szCs w:val="24"/>
        </w:rPr>
        <w:t xml:space="preserve">using </w:t>
      </w:r>
      <w:r w:rsidR="00095369">
        <w:rPr>
          <w:rFonts w:ascii="Times New Roman" w:hAnsi="Times New Roman" w:cs="Times New Roman"/>
          <w:sz w:val="24"/>
          <w:szCs w:val="24"/>
        </w:rPr>
        <w:t>GARCH</w:t>
      </w:r>
      <w:r w:rsidR="00F64FE6">
        <w:rPr>
          <w:rFonts w:ascii="Times New Roman" w:hAnsi="Times New Roman" w:cs="Times New Roman"/>
          <w:sz w:val="24"/>
          <w:szCs w:val="24"/>
        </w:rPr>
        <w:t>-type models</w:t>
      </w:r>
      <w:r w:rsidR="00C94DB6">
        <w:rPr>
          <w:rFonts w:ascii="Times New Roman" w:hAnsi="Times New Roman" w:cs="Times New Roman"/>
          <w:sz w:val="24"/>
          <w:szCs w:val="24"/>
        </w:rPr>
        <w:t>.</w:t>
      </w:r>
    </w:p>
    <w:p w:rsidR="00F83A79" w:rsidRPr="00D74E63" w:rsidRDefault="00F83A79" w:rsidP="00BD2665">
      <w:pPr>
        <w:autoSpaceDE w:val="0"/>
        <w:autoSpaceDN w:val="0"/>
        <w:adjustRightInd w:val="0"/>
        <w:spacing w:line="480" w:lineRule="auto"/>
        <w:jc w:val="both"/>
        <w:rPr>
          <w:rFonts w:ascii="Times New Roman" w:hAnsi="Times New Roman" w:cs="Times New Roman"/>
          <w:b/>
          <w:sz w:val="24"/>
          <w:szCs w:val="24"/>
        </w:rPr>
      </w:pPr>
      <w:r w:rsidRPr="00D74E63">
        <w:rPr>
          <w:rFonts w:ascii="Times New Roman" w:hAnsi="Times New Roman" w:cs="Times New Roman"/>
          <w:b/>
          <w:sz w:val="24"/>
          <w:szCs w:val="24"/>
        </w:rPr>
        <w:t>4.2.</w:t>
      </w:r>
      <w:r w:rsidRPr="00D74E63">
        <w:rPr>
          <w:rFonts w:ascii="Times New Roman" w:hAnsi="Times New Roman" w:cs="Times New Roman"/>
          <w:b/>
          <w:sz w:val="24"/>
          <w:szCs w:val="24"/>
        </w:rPr>
        <w:tab/>
        <w:t>Methodology</w:t>
      </w:r>
    </w:p>
    <w:p w:rsidR="00CA36E2" w:rsidRDefault="0053272B" w:rsidP="00BD2665">
      <w:pPr>
        <w:autoSpaceDE w:val="0"/>
        <w:autoSpaceDN w:val="0"/>
        <w:adjustRightInd w:val="0"/>
        <w:spacing w:before="200" w:line="480" w:lineRule="auto"/>
        <w:jc w:val="both"/>
        <w:rPr>
          <w:rFonts w:ascii="Times New Roman" w:hAnsi="Times New Roman" w:cs="Times New Roman"/>
          <w:sz w:val="24"/>
          <w:szCs w:val="24"/>
        </w:rPr>
      </w:pPr>
      <w:r w:rsidRPr="0053272B">
        <w:rPr>
          <w:rFonts w:ascii="Times New Roman" w:hAnsi="Times New Roman" w:cs="Times New Roman"/>
          <w:sz w:val="24"/>
          <w:szCs w:val="24"/>
        </w:rPr>
        <w:t xml:space="preserve">Conditional </w:t>
      </w:r>
      <w:proofErr w:type="spellStart"/>
      <w:r w:rsidRPr="0053272B">
        <w:rPr>
          <w:rFonts w:ascii="Times New Roman" w:hAnsi="Times New Roman" w:cs="Times New Roman"/>
          <w:sz w:val="24"/>
          <w:szCs w:val="24"/>
        </w:rPr>
        <w:t>heteroskedasticity</w:t>
      </w:r>
      <w:proofErr w:type="spellEnd"/>
      <w:r w:rsidRPr="0053272B">
        <w:rPr>
          <w:rFonts w:ascii="Times New Roman" w:hAnsi="Times New Roman" w:cs="Times New Roman"/>
          <w:sz w:val="24"/>
          <w:szCs w:val="24"/>
        </w:rPr>
        <w:t xml:space="preserve"> models have been</w:t>
      </w:r>
      <w:r>
        <w:rPr>
          <w:rFonts w:ascii="Times New Roman" w:hAnsi="Times New Roman" w:cs="Times New Roman"/>
          <w:sz w:val="24"/>
          <w:szCs w:val="24"/>
        </w:rPr>
        <w:t xml:space="preserve"> </w:t>
      </w:r>
      <w:r w:rsidRPr="0053272B">
        <w:rPr>
          <w:rFonts w:ascii="Times New Roman" w:hAnsi="Times New Roman" w:cs="Times New Roman"/>
          <w:sz w:val="24"/>
          <w:szCs w:val="24"/>
        </w:rPr>
        <w:t>widely used in the literature</w:t>
      </w:r>
      <w:r>
        <w:rPr>
          <w:rFonts w:ascii="Times New Roman" w:hAnsi="Times New Roman" w:cs="Times New Roman"/>
          <w:sz w:val="24"/>
          <w:szCs w:val="24"/>
        </w:rPr>
        <w:t xml:space="preserve"> </w:t>
      </w:r>
      <w:r w:rsidRPr="0053272B">
        <w:rPr>
          <w:rFonts w:ascii="Times New Roman" w:hAnsi="Times New Roman" w:cs="Times New Roman"/>
          <w:sz w:val="24"/>
          <w:szCs w:val="24"/>
        </w:rPr>
        <w:t xml:space="preserve">to evaluate time-varying volatility; see </w:t>
      </w:r>
      <w:proofErr w:type="spellStart"/>
      <w:r w:rsidRPr="0053272B">
        <w:rPr>
          <w:rFonts w:ascii="Times New Roman" w:hAnsi="Times New Roman" w:cs="Times New Roman"/>
          <w:sz w:val="24"/>
          <w:szCs w:val="24"/>
        </w:rPr>
        <w:t>Bollerslev</w:t>
      </w:r>
      <w:proofErr w:type="spellEnd"/>
      <w:r w:rsidRPr="0053272B">
        <w:rPr>
          <w:rFonts w:ascii="Times New Roman" w:hAnsi="Times New Roman" w:cs="Times New Roman"/>
          <w:sz w:val="24"/>
          <w:szCs w:val="24"/>
        </w:rPr>
        <w:t xml:space="preserve"> </w:t>
      </w:r>
      <w:r w:rsidRPr="0053272B">
        <w:rPr>
          <w:rFonts w:ascii="Times New Roman" w:hAnsi="Times New Roman" w:cs="Times New Roman"/>
          <w:i/>
          <w:iCs/>
          <w:sz w:val="24"/>
          <w:szCs w:val="24"/>
        </w:rPr>
        <w:t>et al</w:t>
      </w:r>
      <w:r w:rsidR="00EB136C">
        <w:rPr>
          <w:rFonts w:ascii="Times New Roman" w:hAnsi="Times New Roman" w:cs="Times New Roman"/>
          <w:sz w:val="24"/>
          <w:szCs w:val="24"/>
        </w:rPr>
        <w:t>. [6]</w:t>
      </w:r>
      <w:r w:rsidRPr="0053272B">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53272B">
        <w:rPr>
          <w:rFonts w:ascii="Times New Roman" w:hAnsi="Times New Roman" w:cs="Times New Roman"/>
          <w:sz w:val="24"/>
          <w:szCs w:val="24"/>
        </w:rPr>
        <w:t>a survey of the literat</w:t>
      </w:r>
      <w:r>
        <w:rPr>
          <w:rFonts w:ascii="Times New Roman" w:hAnsi="Times New Roman" w:cs="Times New Roman"/>
          <w:sz w:val="24"/>
          <w:szCs w:val="24"/>
        </w:rPr>
        <w:t>ure</w:t>
      </w:r>
      <w:r w:rsidR="00DC76DB">
        <w:rPr>
          <w:rFonts w:ascii="Times New Roman" w:hAnsi="Times New Roman" w:cs="Times New Roman"/>
          <w:sz w:val="24"/>
          <w:szCs w:val="24"/>
        </w:rPr>
        <w:t>. Some of the commonly used ones</w:t>
      </w:r>
      <w:r w:rsidR="00CA36E2" w:rsidRPr="00CA36E2">
        <w:rPr>
          <w:rFonts w:ascii="Times New Roman" w:hAnsi="Times New Roman" w:cs="Times New Roman"/>
          <w:sz w:val="24"/>
          <w:szCs w:val="24"/>
        </w:rPr>
        <w:t xml:space="preserve"> </w:t>
      </w:r>
      <w:r w:rsidR="00DC76DB">
        <w:rPr>
          <w:rFonts w:ascii="Times New Roman" w:hAnsi="Times New Roman" w:cs="Times New Roman"/>
          <w:sz w:val="24"/>
          <w:szCs w:val="24"/>
        </w:rPr>
        <w:t>include the</w:t>
      </w:r>
      <w:r w:rsidR="00CA36E2" w:rsidRPr="00CA36E2">
        <w:rPr>
          <w:rFonts w:ascii="Times New Roman" w:hAnsi="Times New Roman" w:cs="Times New Roman"/>
          <w:sz w:val="24"/>
          <w:szCs w:val="24"/>
        </w:rPr>
        <w:t xml:space="preserve"> </w:t>
      </w:r>
      <w:r w:rsidR="00EB136C">
        <w:rPr>
          <w:rFonts w:ascii="Times New Roman" w:hAnsi="Times New Roman" w:cs="Times New Roman"/>
          <w:sz w:val="24"/>
          <w:szCs w:val="24"/>
        </w:rPr>
        <w:t xml:space="preserve">GARCH of </w:t>
      </w:r>
      <w:proofErr w:type="spellStart"/>
      <w:r w:rsidR="00EB136C">
        <w:rPr>
          <w:rFonts w:ascii="Times New Roman" w:hAnsi="Times New Roman" w:cs="Times New Roman"/>
          <w:sz w:val="24"/>
          <w:szCs w:val="24"/>
        </w:rPr>
        <w:t>Bollerslev</w:t>
      </w:r>
      <w:proofErr w:type="spellEnd"/>
      <w:r w:rsidR="00EB136C">
        <w:rPr>
          <w:rFonts w:ascii="Times New Roman" w:hAnsi="Times New Roman" w:cs="Times New Roman"/>
          <w:sz w:val="24"/>
          <w:szCs w:val="24"/>
        </w:rPr>
        <w:t xml:space="preserve"> [43]</w:t>
      </w:r>
      <w:r w:rsidR="00F64FE6">
        <w:rPr>
          <w:rFonts w:ascii="Times New Roman" w:hAnsi="Times New Roman" w:cs="Times New Roman"/>
          <w:sz w:val="24"/>
          <w:szCs w:val="24"/>
        </w:rPr>
        <w:t xml:space="preserve">, </w:t>
      </w:r>
      <w:r w:rsidR="00CA36E2" w:rsidRPr="00CA36E2">
        <w:rPr>
          <w:rFonts w:ascii="Times New Roman" w:hAnsi="Times New Roman" w:cs="Times New Roman"/>
          <w:sz w:val="24"/>
          <w:szCs w:val="24"/>
        </w:rPr>
        <w:t>Asymmetric GARCH</w:t>
      </w:r>
      <w:r w:rsidR="00DC76DB">
        <w:rPr>
          <w:rFonts w:ascii="Times New Roman" w:hAnsi="Times New Roman" w:cs="Times New Roman"/>
          <w:sz w:val="24"/>
          <w:szCs w:val="24"/>
        </w:rPr>
        <w:t xml:space="preserve"> </w:t>
      </w:r>
      <w:r w:rsidR="00CA36E2" w:rsidRPr="00CA36E2">
        <w:rPr>
          <w:rFonts w:ascii="Times New Roman" w:hAnsi="Times New Roman" w:cs="Times New Roman"/>
          <w:sz w:val="24"/>
          <w:szCs w:val="24"/>
        </w:rPr>
        <w:t xml:space="preserve">(A-GARCH) of Engle </w:t>
      </w:r>
      <w:r w:rsidR="00EB136C">
        <w:rPr>
          <w:rFonts w:ascii="Times New Roman" w:hAnsi="Times New Roman" w:cs="Times New Roman"/>
          <w:sz w:val="24"/>
          <w:szCs w:val="24"/>
        </w:rPr>
        <w:t>[44]</w:t>
      </w:r>
      <w:r w:rsidR="00CA36E2" w:rsidRPr="00CA36E2">
        <w:rPr>
          <w:rFonts w:ascii="Times New Roman" w:hAnsi="Times New Roman" w:cs="Times New Roman"/>
          <w:sz w:val="24"/>
          <w:szCs w:val="24"/>
        </w:rPr>
        <w:t xml:space="preserve">, </w:t>
      </w:r>
      <w:r w:rsidR="00DC76DB">
        <w:rPr>
          <w:rFonts w:ascii="Times New Roman" w:hAnsi="Times New Roman" w:cs="Times New Roman"/>
          <w:sz w:val="24"/>
          <w:szCs w:val="24"/>
        </w:rPr>
        <w:t xml:space="preserve">EGARCH of Nelson </w:t>
      </w:r>
      <w:r w:rsidR="00EB136C">
        <w:rPr>
          <w:rFonts w:ascii="Times New Roman" w:hAnsi="Times New Roman" w:cs="Times New Roman"/>
          <w:sz w:val="24"/>
          <w:szCs w:val="24"/>
        </w:rPr>
        <w:t>[15],</w:t>
      </w:r>
      <w:r w:rsidR="00DC76DB">
        <w:rPr>
          <w:rFonts w:ascii="Times New Roman" w:hAnsi="Times New Roman" w:cs="Times New Roman"/>
          <w:sz w:val="24"/>
          <w:szCs w:val="24"/>
        </w:rPr>
        <w:t xml:space="preserve"> </w:t>
      </w:r>
      <w:r w:rsidR="00CA36E2" w:rsidRPr="00CA36E2">
        <w:rPr>
          <w:rFonts w:ascii="Times New Roman" w:hAnsi="Times New Roman" w:cs="Times New Roman"/>
          <w:sz w:val="24"/>
          <w:szCs w:val="24"/>
        </w:rPr>
        <w:t xml:space="preserve">Asymmetric Power ARCH (A-PARCH) of Ding </w:t>
      </w:r>
      <w:r w:rsidR="00CA36E2" w:rsidRPr="00CA36E2">
        <w:rPr>
          <w:rFonts w:ascii="Times New Roman" w:hAnsi="Times New Roman" w:cs="Times New Roman"/>
          <w:i/>
          <w:iCs/>
          <w:sz w:val="24"/>
          <w:szCs w:val="24"/>
        </w:rPr>
        <w:t>et al</w:t>
      </w:r>
      <w:r w:rsidR="00EB136C">
        <w:rPr>
          <w:rFonts w:ascii="Times New Roman" w:hAnsi="Times New Roman" w:cs="Times New Roman"/>
          <w:sz w:val="24"/>
          <w:szCs w:val="24"/>
        </w:rPr>
        <w:t>. [45]</w:t>
      </w:r>
      <w:r w:rsidR="00CA36E2" w:rsidRPr="00CA36E2">
        <w:rPr>
          <w:rFonts w:ascii="Times New Roman" w:hAnsi="Times New Roman" w:cs="Times New Roman"/>
          <w:sz w:val="24"/>
          <w:szCs w:val="24"/>
        </w:rPr>
        <w:t>,</w:t>
      </w:r>
      <w:r w:rsidR="00DC76DB">
        <w:rPr>
          <w:rFonts w:ascii="Times New Roman" w:hAnsi="Times New Roman" w:cs="Times New Roman"/>
          <w:sz w:val="24"/>
          <w:szCs w:val="24"/>
        </w:rPr>
        <w:t xml:space="preserve"> </w:t>
      </w:r>
      <w:r w:rsidR="00CA36E2" w:rsidRPr="00CA36E2">
        <w:rPr>
          <w:rFonts w:ascii="Times New Roman" w:hAnsi="Times New Roman" w:cs="Times New Roman"/>
          <w:sz w:val="24"/>
          <w:szCs w:val="24"/>
        </w:rPr>
        <w:t xml:space="preserve">GJR-GARCH of </w:t>
      </w:r>
      <w:proofErr w:type="spellStart"/>
      <w:r w:rsidR="00CA36E2" w:rsidRPr="00CA36E2">
        <w:rPr>
          <w:rFonts w:ascii="Times New Roman" w:hAnsi="Times New Roman" w:cs="Times New Roman"/>
          <w:sz w:val="24"/>
          <w:szCs w:val="24"/>
        </w:rPr>
        <w:t>Glosten</w:t>
      </w:r>
      <w:proofErr w:type="spellEnd"/>
      <w:r w:rsidR="00CA36E2" w:rsidRPr="00CA36E2">
        <w:rPr>
          <w:rFonts w:ascii="Times New Roman" w:hAnsi="Times New Roman" w:cs="Times New Roman"/>
          <w:sz w:val="24"/>
          <w:szCs w:val="24"/>
        </w:rPr>
        <w:t xml:space="preserve"> </w:t>
      </w:r>
      <w:r w:rsidR="00CA36E2" w:rsidRPr="00CA36E2">
        <w:rPr>
          <w:rFonts w:ascii="Times New Roman" w:hAnsi="Times New Roman" w:cs="Times New Roman"/>
          <w:i/>
          <w:iCs/>
          <w:sz w:val="24"/>
          <w:szCs w:val="24"/>
        </w:rPr>
        <w:t>et al</w:t>
      </w:r>
      <w:r w:rsidR="00EB136C">
        <w:rPr>
          <w:rFonts w:ascii="Times New Roman" w:hAnsi="Times New Roman" w:cs="Times New Roman"/>
          <w:sz w:val="24"/>
          <w:szCs w:val="24"/>
        </w:rPr>
        <w:t>. [46]</w:t>
      </w:r>
      <w:r w:rsidR="00CA36E2" w:rsidRPr="00CA36E2">
        <w:rPr>
          <w:rFonts w:ascii="Times New Roman" w:hAnsi="Times New Roman" w:cs="Times New Roman"/>
          <w:sz w:val="24"/>
          <w:szCs w:val="24"/>
        </w:rPr>
        <w:t>, Threshold GARCH (</w:t>
      </w:r>
      <w:r w:rsidR="00FD1AAF">
        <w:rPr>
          <w:rFonts w:ascii="Times New Roman" w:hAnsi="Times New Roman" w:cs="Times New Roman"/>
          <w:sz w:val="24"/>
          <w:szCs w:val="24"/>
        </w:rPr>
        <w:t xml:space="preserve">T-GARCH) of </w:t>
      </w:r>
      <w:proofErr w:type="spellStart"/>
      <w:r w:rsidR="00FD1AAF">
        <w:rPr>
          <w:rFonts w:ascii="Times New Roman" w:hAnsi="Times New Roman" w:cs="Times New Roman"/>
          <w:sz w:val="24"/>
          <w:szCs w:val="24"/>
        </w:rPr>
        <w:t>Za</w:t>
      </w:r>
      <w:r w:rsidR="00CA36E2" w:rsidRPr="00CA36E2">
        <w:rPr>
          <w:rFonts w:ascii="Times New Roman" w:hAnsi="Times New Roman" w:cs="Times New Roman"/>
          <w:sz w:val="24"/>
          <w:szCs w:val="24"/>
        </w:rPr>
        <w:t>k</w:t>
      </w:r>
      <w:r w:rsidR="00FD1AAF">
        <w:rPr>
          <w:rFonts w:ascii="Times New Roman" w:hAnsi="Times New Roman" w:cs="Times New Roman"/>
          <w:sz w:val="24"/>
          <w:szCs w:val="24"/>
        </w:rPr>
        <w:t>o</w:t>
      </w:r>
      <w:r w:rsidR="00EB136C">
        <w:rPr>
          <w:rFonts w:ascii="Times New Roman" w:hAnsi="Times New Roman" w:cs="Times New Roman"/>
          <w:sz w:val="24"/>
          <w:szCs w:val="24"/>
        </w:rPr>
        <w:t>ian</w:t>
      </w:r>
      <w:proofErr w:type="spellEnd"/>
      <w:r w:rsidR="00EB136C">
        <w:rPr>
          <w:rFonts w:ascii="Times New Roman" w:hAnsi="Times New Roman" w:cs="Times New Roman"/>
          <w:sz w:val="24"/>
          <w:szCs w:val="24"/>
        </w:rPr>
        <w:t xml:space="preserve"> [47]</w:t>
      </w:r>
      <w:r w:rsidR="00CA36E2" w:rsidRPr="00CA36E2">
        <w:rPr>
          <w:rFonts w:ascii="Times New Roman" w:hAnsi="Times New Roman" w:cs="Times New Roman"/>
          <w:sz w:val="24"/>
          <w:szCs w:val="24"/>
        </w:rPr>
        <w:t>,</w:t>
      </w:r>
      <w:r w:rsidR="00DC76DB">
        <w:rPr>
          <w:rFonts w:ascii="Times New Roman" w:hAnsi="Times New Roman" w:cs="Times New Roman"/>
          <w:sz w:val="24"/>
          <w:szCs w:val="24"/>
        </w:rPr>
        <w:t xml:space="preserve"> </w:t>
      </w:r>
      <w:r w:rsidR="00DC76DB" w:rsidRPr="00CA36E2">
        <w:rPr>
          <w:rFonts w:ascii="Times New Roman" w:hAnsi="Times New Roman" w:cs="Times New Roman"/>
          <w:sz w:val="24"/>
          <w:szCs w:val="24"/>
        </w:rPr>
        <w:t>and</w:t>
      </w:r>
      <w:r w:rsidR="00DC76DB">
        <w:rPr>
          <w:rFonts w:ascii="Times New Roman" w:hAnsi="Times New Roman" w:cs="Times New Roman"/>
          <w:sz w:val="24"/>
          <w:szCs w:val="24"/>
        </w:rPr>
        <w:t xml:space="preserve"> the </w:t>
      </w:r>
      <w:r w:rsidR="00CA36E2" w:rsidRPr="00CA36E2">
        <w:rPr>
          <w:rFonts w:ascii="Times New Roman" w:hAnsi="Times New Roman" w:cs="Times New Roman"/>
          <w:sz w:val="24"/>
          <w:szCs w:val="24"/>
        </w:rPr>
        <w:t>Asymmetric</w:t>
      </w:r>
      <w:r w:rsidR="00DC76DB">
        <w:rPr>
          <w:rFonts w:ascii="Times New Roman" w:hAnsi="Times New Roman" w:cs="Times New Roman"/>
          <w:sz w:val="24"/>
          <w:szCs w:val="24"/>
        </w:rPr>
        <w:t xml:space="preserve"> </w:t>
      </w:r>
      <w:r w:rsidR="00CA36E2" w:rsidRPr="00CA36E2">
        <w:rPr>
          <w:rFonts w:ascii="Times New Roman" w:hAnsi="Times New Roman" w:cs="Times New Roman"/>
          <w:sz w:val="24"/>
          <w:szCs w:val="24"/>
        </w:rPr>
        <w:t xml:space="preserve">Nonlinear Smooth-Transition GARCH (ANST-GARCH) of Anderson </w:t>
      </w:r>
      <w:r w:rsidR="00CA36E2" w:rsidRPr="00CA36E2">
        <w:rPr>
          <w:rFonts w:ascii="Times New Roman" w:hAnsi="Times New Roman" w:cs="Times New Roman"/>
          <w:i/>
          <w:iCs/>
          <w:sz w:val="24"/>
          <w:szCs w:val="24"/>
        </w:rPr>
        <w:t>et al</w:t>
      </w:r>
      <w:r w:rsidR="00EB136C">
        <w:rPr>
          <w:rFonts w:ascii="Times New Roman" w:hAnsi="Times New Roman" w:cs="Times New Roman"/>
          <w:sz w:val="24"/>
          <w:szCs w:val="24"/>
        </w:rPr>
        <w:t>. [48]</w:t>
      </w:r>
      <w:r w:rsidR="00CA36E2" w:rsidRPr="00CA36E2">
        <w:rPr>
          <w:rFonts w:ascii="Times New Roman" w:hAnsi="Times New Roman" w:cs="Times New Roman"/>
          <w:sz w:val="24"/>
          <w:szCs w:val="24"/>
        </w:rPr>
        <w:t xml:space="preserve">. </w:t>
      </w:r>
      <w:r w:rsidRPr="0053272B">
        <w:rPr>
          <w:rFonts w:ascii="Times New Roman" w:hAnsi="Times New Roman" w:cs="Times New Roman"/>
          <w:sz w:val="24"/>
          <w:szCs w:val="24"/>
        </w:rPr>
        <w:t>EGARCH</w:t>
      </w:r>
      <w:r>
        <w:rPr>
          <w:rFonts w:ascii="Times New Roman" w:hAnsi="Times New Roman" w:cs="Times New Roman"/>
          <w:sz w:val="24"/>
          <w:szCs w:val="24"/>
        </w:rPr>
        <w:t xml:space="preserve"> model </w:t>
      </w:r>
      <w:r w:rsidR="00F50EE4">
        <w:rPr>
          <w:rFonts w:ascii="Times New Roman" w:hAnsi="Times New Roman" w:cs="Times New Roman"/>
          <w:sz w:val="24"/>
          <w:szCs w:val="24"/>
        </w:rPr>
        <w:t xml:space="preserve">is usually preferred in modeling because it </w:t>
      </w:r>
      <w:r>
        <w:rPr>
          <w:rFonts w:ascii="Times New Roman" w:hAnsi="Times New Roman" w:cs="Times New Roman"/>
          <w:sz w:val="24"/>
          <w:szCs w:val="24"/>
        </w:rPr>
        <w:t xml:space="preserve">provides a </w:t>
      </w:r>
      <w:r w:rsidRPr="0053272B">
        <w:rPr>
          <w:rFonts w:ascii="Times New Roman" w:hAnsi="Times New Roman" w:cs="Times New Roman"/>
          <w:sz w:val="24"/>
          <w:szCs w:val="24"/>
        </w:rPr>
        <w:t xml:space="preserve">specification that allows </w:t>
      </w:r>
      <w:r>
        <w:rPr>
          <w:rFonts w:ascii="Times New Roman" w:hAnsi="Times New Roman" w:cs="Times New Roman"/>
          <w:sz w:val="24"/>
          <w:szCs w:val="24"/>
        </w:rPr>
        <w:t>for</w:t>
      </w:r>
      <w:r w:rsidR="00173737">
        <w:rPr>
          <w:rFonts w:ascii="Times New Roman" w:hAnsi="Times New Roman" w:cs="Times New Roman"/>
          <w:sz w:val="24"/>
          <w:szCs w:val="24"/>
        </w:rPr>
        <w:t xml:space="preserve"> </w:t>
      </w:r>
      <w:r w:rsidR="00F50EE4">
        <w:rPr>
          <w:rFonts w:ascii="Times New Roman" w:hAnsi="Times New Roman" w:cs="Times New Roman"/>
          <w:sz w:val="24"/>
          <w:szCs w:val="24"/>
        </w:rPr>
        <w:t xml:space="preserve">asymmetry </w:t>
      </w:r>
      <w:r w:rsidR="00803638">
        <w:rPr>
          <w:rFonts w:ascii="Times New Roman" w:hAnsi="Times New Roman" w:cs="Times New Roman"/>
          <w:sz w:val="24"/>
          <w:szCs w:val="24"/>
        </w:rPr>
        <w:t xml:space="preserve">and </w:t>
      </w:r>
      <w:r w:rsidRPr="0053272B">
        <w:rPr>
          <w:rFonts w:ascii="Times New Roman" w:hAnsi="Times New Roman" w:cs="Times New Roman"/>
          <w:sz w:val="24"/>
          <w:szCs w:val="24"/>
        </w:rPr>
        <w:t>volatility</w:t>
      </w:r>
      <w:r w:rsidR="00803638">
        <w:rPr>
          <w:rFonts w:ascii="Times New Roman" w:hAnsi="Times New Roman" w:cs="Times New Roman"/>
          <w:sz w:val="24"/>
          <w:szCs w:val="24"/>
        </w:rPr>
        <w:t xml:space="preserve"> changes</w:t>
      </w:r>
      <w:r w:rsidR="00F50EE4">
        <w:rPr>
          <w:rFonts w:ascii="Times New Roman" w:hAnsi="Times New Roman" w:cs="Times New Roman"/>
          <w:sz w:val="24"/>
          <w:szCs w:val="24"/>
        </w:rPr>
        <w:t xml:space="preserve"> to be measured simultaneously</w:t>
      </w:r>
      <w:r w:rsidRPr="0053272B">
        <w:rPr>
          <w:rFonts w:ascii="Times New Roman" w:hAnsi="Times New Roman" w:cs="Times New Roman"/>
          <w:sz w:val="24"/>
          <w:szCs w:val="24"/>
        </w:rPr>
        <w:t>. In addition,</w:t>
      </w:r>
      <w:r w:rsidR="00F50EE4">
        <w:rPr>
          <w:rFonts w:ascii="Times New Roman" w:hAnsi="Times New Roman" w:cs="Times New Roman"/>
          <w:sz w:val="24"/>
          <w:szCs w:val="24"/>
        </w:rPr>
        <w:t xml:space="preserve"> it can</w:t>
      </w:r>
      <w:r w:rsidRPr="0053272B">
        <w:rPr>
          <w:rFonts w:ascii="Times New Roman" w:hAnsi="Times New Roman" w:cs="Times New Roman"/>
          <w:sz w:val="24"/>
          <w:szCs w:val="24"/>
        </w:rPr>
        <w:t xml:space="preserve"> capture large</w:t>
      </w:r>
      <w:r w:rsidR="00F50EE4">
        <w:rPr>
          <w:rFonts w:ascii="Times New Roman" w:hAnsi="Times New Roman" w:cs="Times New Roman"/>
          <w:sz w:val="24"/>
          <w:szCs w:val="24"/>
        </w:rPr>
        <w:t xml:space="preserve"> </w:t>
      </w:r>
      <w:r w:rsidRPr="0053272B">
        <w:rPr>
          <w:rFonts w:ascii="Times New Roman" w:hAnsi="Times New Roman" w:cs="Times New Roman"/>
          <w:sz w:val="24"/>
          <w:szCs w:val="24"/>
        </w:rPr>
        <w:t xml:space="preserve">shocks of any sign in a financial series, such </w:t>
      </w:r>
      <w:r w:rsidR="00F50EE4">
        <w:rPr>
          <w:rFonts w:ascii="Times New Roman" w:hAnsi="Times New Roman" w:cs="Times New Roman"/>
          <w:sz w:val="24"/>
          <w:szCs w:val="24"/>
        </w:rPr>
        <w:t>as the one observed during curr</w:t>
      </w:r>
      <w:r w:rsidRPr="0053272B">
        <w:rPr>
          <w:rFonts w:ascii="Times New Roman" w:hAnsi="Times New Roman" w:cs="Times New Roman"/>
          <w:sz w:val="24"/>
          <w:szCs w:val="24"/>
        </w:rPr>
        <w:t>e</w:t>
      </w:r>
      <w:r w:rsidR="00F50EE4">
        <w:rPr>
          <w:rFonts w:ascii="Times New Roman" w:hAnsi="Times New Roman" w:cs="Times New Roman"/>
          <w:sz w:val="24"/>
          <w:szCs w:val="24"/>
        </w:rPr>
        <w:t>ncy</w:t>
      </w:r>
      <w:r w:rsidRPr="0053272B">
        <w:rPr>
          <w:rFonts w:ascii="Times New Roman" w:hAnsi="Times New Roman" w:cs="Times New Roman"/>
          <w:sz w:val="24"/>
          <w:szCs w:val="24"/>
        </w:rPr>
        <w:t xml:space="preserve"> </w:t>
      </w:r>
      <w:r w:rsidR="00F50EE4">
        <w:rPr>
          <w:rFonts w:ascii="Times New Roman" w:hAnsi="Times New Roman" w:cs="Times New Roman"/>
          <w:sz w:val="24"/>
          <w:szCs w:val="24"/>
        </w:rPr>
        <w:t>crisis (</w:t>
      </w:r>
      <w:proofErr w:type="spellStart"/>
      <w:r w:rsidR="00F50EE4">
        <w:rPr>
          <w:rFonts w:ascii="Times New Roman" w:hAnsi="Times New Roman" w:cs="Times New Roman"/>
          <w:sz w:val="24"/>
          <w:szCs w:val="24"/>
        </w:rPr>
        <w:t>Baharumshah</w:t>
      </w:r>
      <w:proofErr w:type="spellEnd"/>
      <w:r w:rsidR="00F50EE4">
        <w:rPr>
          <w:rFonts w:ascii="Times New Roman" w:hAnsi="Times New Roman" w:cs="Times New Roman"/>
          <w:sz w:val="24"/>
          <w:szCs w:val="24"/>
        </w:rPr>
        <w:t xml:space="preserve"> and </w:t>
      </w:r>
      <w:proofErr w:type="spellStart"/>
      <w:r w:rsidR="00F50EE4">
        <w:rPr>
          <w:rFonts w:ascii="Times New Roman" w:hAnsi="Times New Roman" w:cs="Times New Roman"/>
          <w:sz w:val="24"/>
          <w:szCs w:val="24"/>
        </w:rPr>
        <w:t>Hooi</w:t>
      </w:r>
      <w:proofErr w:type="spellEnd"/>
      <w:r w:rsidR="005F6D83">
        <w:rPr>
          <w:rFonts w:ascii="Times New Roman" w:hAnsi="Times New Roman" w:cs="Times New Roman"/>
          <w:sz w:val="24"/>
          <w:szCs w:val="24"/>
        </w:rPr>
        <w:t xml:space="preserve"> </w:t>
      </w:r>
      <w:r w:rsidR="00EB136C">
        <w:rPr>
          <w:rFonts w:ascii="Times New Roman" w:hAnsi="Times New Roman" w:cs="Times New Roman"/>
          <w:sz w:val="24"/>
          <w:szCs w:val="24"/>
        </w:rPr>
        <w:t>[</w:t>
      </w:r>
      <w:r w:rsidR="00F50EE4" w:rsidRPr="00F70A74">
        <w:rPr>
          <w:rFonts w:ascii="Times New Roman" w:hAnsi="Times New Roman" w:cs="Times New Roman"/>
          <w:sz w:val="24"/>
          <w:szCs w:val="24"/>
        </w:rPr>
        <w:t>2</w:t>
      </w:r>
      <w:r w:rsidR="00EB136C">
        <w:rPr>
          <w:rFonts w:ascii="Times New Roman" w:hAnsi="Times New Roman" w:cs="Times New Roman"/>
          <w:sz w:val="24"/>
          <w:szCs w:val="24"/>
        </w:rPr>
        <w:t>8])</w:t>
      </w:r>
      <w:r w:rsidR="00F50EE4">
        <w:rPr>
          <w:rFonts w:ascii="Times New Roman" w:hAnsi="Times New Roman" w:cs="Times New Roman"/>
          <w:sz w:val="24"/>
          <w:szCs w:val="24"/>
        </w:rPr>
        <w:t xml:space="preserve">. </w:t>
      </w:r>
    </w:p>
    <w:p w:rsidR="00F83A79" w:rsidRPr="003037A9" w:rsidRDefault="00F83A79" w:rsidP="00BD2665">
      <w:pPr>
        <w:autoSpaceDE w:val="0"/>
        <w:autoSpaceDN w:val="0"/>
        <w:adjustRightInd w:val="0"/>
        <w:spacing w:line="480" w:lineRule="auto"/>
        <w:jc w:val="both"/>
        <w:rPr>
          <w:rFonts w:ascii="Times New Roman" w:hAnsi="Times New Roman" w:cs="Times New Roman"/>
          <w:i/>
          <w:sz w:val="24"/>
          <w:szCs w:val="24"/>
        </w:rPr>
      </w:pPr>
      <w:r w:rsidRPr="003037A9">
        <w:rPr>
          <w:rFonts w:ascii="Times New Roman" w:hAnsi="Times New Roman" w:cs="Times New Roman"/>
          <w:i/>
          <w:sz w:val="24"/>
          <w:szCs w:val="24"/>
        </w:rPr>
        <w:lastRenderedPageBreak/>
        <w:t>4.2.1. EGARCH Model Specification</w:t>
      </w:r>
    </w:p>
    <w:p w:rsidR="00F83A79" w:rsidRPr="00D74E63" w:rsidRDefault="00F83A79" w:rsidP="00BD2665">
      <w:pPr>
        <w:autoSpaceDE w:val="0"/>
        <w:autoSpaceDN w:val="0"/>
        <w:adjustRightInd w:val="0"/>
        <w:spacing w:line="480" w:lineRule="auto"/>
        <w:jc w:val="both"/>
        <w:rPr>
          <w:rFonts w:ascii="Times New Roman" w:hAnsi="Times New Roman" w:cs="Times New Roman"/>
          <w:sz w:val="24"/>
          <w:szCs w:val="24"/>
        </w:rPr>
      </w:pPr>
      <w:r w:rsidRPr="00D74E63">
        <w:rPr>
          <w:rFonts w:ascii="Times New Roman" w:hAnsi="Times New Roman" w:cs="Times New Roman"/>
          <w:sz w:val="24"/>
          <w:szCs w:val="24"/>
        </w:rPr>
        <w:t xml:space="preserve">For each integer </w:t>
      </w:r>
      <m:oMath>
        <m:r>
          <w:rPr>
            <w:rFonts w:ascii="Cambria Math" w:hAnsi="Cambria Math" w:cs="Times New Roman"/>
            <w:sz w:val="24"/>
            <w:szCs w:val="24"/>
          </w:rPr>
          <m:t>t</m:t>
        </m:r>
      </m:oMath>
      <w:r w:rsidRPr="00D74E63">
        <w:rPr>
          <w:rFonts w:ascii="Times New Roman" w:hAnsi="Times New Roman" w:cs="Times New Roman"/>
          <w:sz w:val="24"/>
          <w:szCs w:val="24"/>
        </w:rPr>
        <w:t>, let</w:t>
      </w:r>
      <w:r w:rsidR="0071627B">
        <w:rPr>
          <w:rFonts w:ascii="Times New Roman" w:hAnsi="Times New Roman" w:cs="Times New Roman"/>
          <w:sz w:val="24"/>
          <w:szCs w:val="24"/>
        </w:rPr>
        <w:t xml:space="preserve"> </w:t>
      </w:r>
      <w:r w:rsidR="0071627B" w:rsidRPr="00D043BC">
        <w:rPr>
          <w:position w:val="-12"/>
        </w:rPr>
        <w:object w:dxaOrig="200" w:dyaOrig="360">
          <v:shape id="_x0000_i1034" type="#_x0000_t75" style="width:9.75pt;height:18pt" o:ole="">
            <v:imagedata r:id="rId27" o:title=""/>
          </v:shape>
          <o:OLEObject Type="Embed" ProgID="Equation.3" ShapeID="_x0000_i1034" DrawAspect="Content" ObjectID="_1493477162" r:id="rId28"/>
        </w:object>
      </w:r>
      <w:r w:rsidR="0071627B">
        <w:rPr>
          <w:rFonts w:ascii="Times New Roman" w:hAnsi="Times New Roman" w:cs="Times New Roman"/>
          <w:sz w:val="24"/>
          <w:szCs w:val="24"/>
        </w:rPr>
        <w:t xml:space="preserve">be defined as in Equation (4.1), </w:t>
      </w:r>
      <w:r w:rsidR="0071627B" w:rsidRPr="00D043BC">
        <w:rPr>
          <w:position w:val="-12"/>
        </w:rPr>
        <w:object w:dxaOrig="240" w:dyaOrig="360">
          <v:shape id="_x0000_i1035" type="#_x0000_t75" style="width:12pt;height:18pt" o:ole="">
            <v:imagedata r:id="rId29" o:title=""/>
          </v:shape>
          <o:OLEObject Type="Embed" ProgID="Equation.3" ShapeID="_x0000_i1035" DrawAspect="Content" ObjectID="_1493477163" r:id="rId30"/>
        </w:object>
      </w:r>
      <w:r w:rsidR="0071627B">
        <w:rPr>
          <w:rFonts w:ascii="Times New Roman" w:hAnsi="Times New Roman" w:cs="Times New Roman"/>
          <w:sz w:val="24"/>
        </w:rPr>
        <w:t xml:space="preserve"> be a sequence of </w:t>
      </w:r>
      <w:proofErr w:type="spellStart"/>
      <w:r w:rsidR="0071627B">
        <w:rPr>
          <w:rFonts w:ascii="Times New Roman" w:hAnsi="Times New Roman" w:cs="Times New Roman"/>
          <w:sz w:val="24"/>
        </w:rPr>
        <w:t>i.i.d</w:t>
      </w:r>
      <w:proofErr w:type="spellEnd"/>
      <w:r w:rsidR="0071627B">
        <w:rPr>
          <w:rFonts w:ascii="Times New Roman" w:hAnsi="Times New Roman" w:cs="Times New Roman"/>
          <w:sz w:val="24"/>
        </w:rPr>
        <w:t xml:space="preserve"> random variables,</w:t>
      </w:r>
      <w:r w:rsidRPr="00D74E63">
        <w:rPr>
          <w:rFonts w:ascii="Times New Roman" w:hAnsi="Times New Roman" w:cs="Times New Roman"/>
          <w:sz w:val="24"/>
          <w:szCs w:val="24"/>
        </w:rPr>
        <w:t xml:space="preserve"> </w:t>
      </w:r>
      <w:r w:rsidRPr="00D74E63">
        <w:rPr>
          <w:rFonts w:ascii="Times New Roman" w:hAnsi="Times New Roman" w:cs="Times New Roman"/>
          <w:position w:val="-12"/>
        </w:rPr>
        <w:object w:dxaOrig="240" w:dyaOrig="360">
          <v:shape id="_x0000_i1036" type="#_x0000_t75" style="width:12pt;height:18.75pt" o:ole="">
            <v:imagedata r:id="rId31" o:title=""/>
          </v:shape>
          <o:OLEObject Type="Embed" ProgID="Equation.3" ShapeID="_x0000_i1036" DrawAspect="Content" ObjectID="_1493477164" r:id="rId32"/>
        </w:object>
      </w:r>
      <w:r w:rsidRPr="00D74E63">
        <w:rPr>
          <w:rFonts w:ascii="Times New Roman" w:hAnsi="Times New Roman" w:cs="Times New Roman"/>
        </w:rPr>
        <w:t xml:space="preserve"> be the model’s prediction error, </w:t>
      </w:r>
      <w:r w:rsidRPr="00D74E63">
        <w:rPr>
          <w:rFonts w:ascii="Times New Roman" w:hAnsi="Times New Roman" w:cs="Times New Roman"/>
          <w:position w:val="-12"/>
        </w:rPr>
        <w:object w:dxaOrig="340" w:dyaOrig="380">
          <v:shape id="_x0000_i1037" type="#_x0000_t75" style="width:17.25pt;height:18.75pt" o:ole="">
            <v:imagedata r:id="rId33" o:title=""/>
          </v:shape>
          <o:OLEObject Type="Embed" ProgID="Equation.3" ShapeID="_x0000_i1037" DrawAspect="Content" ObjectID="_1493477165" r:id="rId34"/>
        </w:object>
      </w:r>
      <w:r w:rsidRPr="00D74E63">
        <w:rPr>
          <w:rFonts w:ascii="Times New Roman" w:hAnsi="Times New Roman" w:cs="Times New Roman"/>
        </w:rPr>
        <w:t xml:space="preserve"> </w:t>
      </w:r>
      <w:r w:rsidRPr="00D74E63">
        <w:rPr>
          <w:rFonts w:ascii="Times New Roman" w:hAnsi="Times New Roman" w:cs="Times New Roman"/>
          <w:sz w:val="24"/>
          <w:szCs w:val="24"/>
        </w:rPr>
        <w:t>is the conditional variance of</w:t>
      </w:r>
      <w:r w:rsidRPr="00D74E63">
        <w:rPr>
          <w:rFonts w:ascii="Times New Roman" w:hAnsi="Times New Roman" w:cs="Times New Roman"/>
          <w:position w:val="-12"/>
        </w:rPr>
        <w:object w:dxaOrig="240" w:dyaOrig="360">
          <v:shape id="_x0000_i1038" type="#_x0000_t75" style="width:12pt;height:18.75pt" o:ole="">
            <v:imagedata r:id="rId35" o:title=""/>
          </v:shape>
          <o:OLEObject Type="Embed" ProgID="Equation.3" ShapeID="_x0000_i1038" DrawAspect="Content" ObjectID="_1493477166" r:id="rId36"/>
        </w:object>
      </w:r>
      <w:r w:rsidRPr="00D74E63">
        <w:rPr>
          <w:rFonts w:ascii="Times New Roman" w:hAnsi="Times New Roman" w:cs="Times New Roman"/>
          <w:sz w:val="24"/>
          <w:szCs w:val="24"/>
        </w:rPr>
        <w:t xml:space="preserve">, </w:t>
      </w:r>
      <w:r w:rsidRPr="00D74E63">
        <w:rPr>
          <w:rFonts w:ascii="Times New Roman" w:hAnsi="Times New Roman" w:cs="Times New Roman"/>
          <w:position w:val="-14"/>
        </w:rPr>
        <w:object w:dxaOrig="4120" w:dyaOrig="380">
          <v:shape id="_x0000_i1039" type="#_x0000_t75" style="width:206.25pt;height:18.75pt" o:ole="">
            <v:imagedata r:id="rId37" o:title=""/>
          </v:shape>
          <o:OLEObject Type="Embed" ProgID="Equation.3" ShapeID="_x0000_i1039" DrawAspect="Content" ObjectID="_1493477167" r:id="rId38"/>
        </w:object>
      </w:r>
      <w:r w:rsidRPr="00D74E63">
        <w:rPr>
          <w:rFonts w:ascii="Times New Roman" w:hAnsi="Times New Roman" w:cs="Times New Roman"/>
          <w:sz w:val="24"/>
          <w:szCs w:val="24"/>
        </w:rPr>
        <w:t xml:space="preserve"> are parameters, a </w:t>
      </w:r>
      <w:proofErr w:type="spellStart"/>
      <w:r w:rsidRPr="00D74E63">
        <w:rPr>
          <w:rFonts w:ascii="Times New Roman" w:hAnsi="Times New Roman" w:cs="Times New Roman"/>
          <w:sz w:val="24"/>
          <w:szCs w:val="24"/>
        </w:rPr>
        <w:t>univariate</w:t>
      </w:r>
      <w:proofErr w:type="spellEnd"/>
      <w:r w:rsidRPr="00D74E63">
        <w:rPr>
          <w:rFonts w:ascii="Times New Roman" w:hAnsi="Times New Roman" w:cs="Times New Roman"/>
          <w:sz w:val="24"/>
          <w:szCs w:val="24"/>
        </w:rPr>
        <w:t xml:space="preserve"> Generalized Autoregressive Conditional </w:t>
      </w:r>
      <w:proofErr w:type="spellStart"/>
      <w:r w:rsidRPr="00D74E63">
        <w:rPr>
          <w:rFonts w:ascii="Times New Roman" w:hAnsi="Times New Roman" w:cs="Times New Roman"/>
          <w:sz w:val="24"/>
          <w:szCs w:val="24"/>
        </w:rPr>
        <w:t>Heteroscedasticity</w:t>
      </w:r>
      <w:proofErr w:type="spellEnd"/>
      <w:r w:rsidRPr="00D74E63">
        <w:rPr>
          <w:rFonts w:ascii="Times New Roman" w:hAnsi="Times New Roman" w:cs="Times New Roman"/>
          <w:sz w:val="24"/>
          <w:szCs w:val="24"/>
        </w:rPr>
        <w:t xml:space="preserve"> model, GARCH(</w:t>
      </w:r>
      <w:proofErr w:type="spellStart"/>
      <w:r w:rsidRPr="00D74E63">
        <w:rPr>
          <w:rFonts w:ascii="Times New Roman" w:hAnsi="Times New Roman" w:cs="Times New Roman"/>
          <w:sz w:val="24"/>
          <w:szCs w:val="24"/>
        </w:rPr>
        <w:t>p,q</w:t>
      </w:r>
      <w:proofErr w:type="spellEnd"/>
      <w:r w:rsidRPr="00D74E63">
        <w:rPr>
          <w:rFonts w:ascii="Times New Roman" w:hAnsi="Times New Roman" w:cs="Times New Roman"/>
          <w:sz w:val="24"/>
          <w:szCs w:val="24"/>
        </w:rPr>
        <w:t>), model is</w:t>
      </w:r>
      <w:r>
        <w:rPr>
          <w:rFonts w:ascii="Times New Roman" w:hAnsi="Times New Roman" w:cs="Times New Roman"/>
          <w:sz w:val="24"/>
          <w:szCs w:val="24"/>
        </w:rPr>
        <w:t xml:space="preserve"> </w:t>
      </w:r>
    </w:p>
    <w:p w:rsidR="00F83A79" w:rsidRPr="00D74E63" w:rsidRDefault="0071627B" w:rsidP="00BD2665">
      <w:pPr>
        <w:autoSpaceDE w:val="0"/>
        <w:autoSpaceDN w:val="0"/>
        <w:adjustRightInd w:val="0"/>
        <w:spacing w:line="480" w:lineRule="auto"/>
        <w:ind w:left="720" w:firstLine="720"/>
        <w:jc w:val="both"/>
        <w:rPr>
          <w:rFonts w:ascii="Times New Roman" w:hAnsi="Times New Roman" w:cs="Times New Roman"/>
          <w:sz w:val="24"/>
          <w:szCs w:val="24"/>
        </w:rPr>
      </w:pPr>
      <w:r w:rsidRPr="0071627B">
        <w:rPr>
          <w:rFonts w:ascii="Times New Roman" w:hAnsi="Times New Roman" w:cs="Times New Roman"/>
          <w:position w:val="-86"/>
          <w:sz w:val="24"/>
          <w:szCs w:val="24"/>
        </w:rPr>
        <w:object w:dxaOrig="3760" w:dyaOrig="1840">
          <v:shape id="_x0000_i1040" type="#_x0000_t75" style="width:188.25pt;height:91.5pt" o:ole="">
            <v:imagedata r:id="rId39" o:title=""/>
          </v:shape>
          <o:OLEObject Type="Embed" ProgID="Equation.3" ShapeID="_x0000_i1040" DrawAspect="Content" ObjectID="_1493477168" r:id="rId40"/>
        </w:object>
      </w:r>
      <w:r w:rsidR="00F83A79">
        <w:rPr>
          <w:rFonts w:ascii="Times New Roman" w:hAnsi="Times New Roman" w:cs="Times New Roman"/>
          <w:sz w:val="24"/>
          <w:szCs w:val="24"/>
        </w:rPr>
        <w:tab/>
      </w:r>
      <w:r w:rsidR="00F83A79">
        <w:rPr>
          <w:rFonts w:ascii="Times New Roman" w:hAnsi="Times New Roman" w:cs="Times New Roman"/>
          <w:sz w:val="24"/>
          <w:szCs w:val="24"/>
        </w:rPr>
        <w:tab/>
        <w:t>-------------</w:t>
      </w:r>
      <w:r w:rsidR="00F83A79">
        <w:rPr>
          <w:rFonts w:ascii="Times New Roman" w:hAnsi="Times New Roman" w:cs="Times New Roman"/>
          <w:sz w:val="24"/>
          <w:szCs w:val="24"/>
        </w:rPr>
        <w:tab/>
      </w:r>
      <w:r w:rsidR="00F83A79">
        <w:rPr>
          <w:rFonts w:ascii="Times New Roman" w:hAnsi="Times New Roman" w:cs="Times New Roman"/>
          <w:sz w:val="24"/>
          <w:szCs w:val="24"/>
        </w:rPr>
        <w:tab/>
        <w:t>(4.2</w:t>
      </w:r>
      <w:r w:rsidR="00F83A79" w:rsidRPr="00D74E63">
        <w:rPr>
          <w:rFonts w:ascii="Times New Roman" w:hAnsi="Times New Roman" w:cs="Times New Roman"/>
          <w:sz w:val="24"/>
          <w:szCs w:val="24"/>
        </w:rPr>
        <w:t>)</w:t>
      </w:r>
    </w:p>
    <w:p w:rsidR="00F83A79" w:rsidRPr="00D74E63" w:rsidRDefault="00F83A79" w:rsidP="00BD2665">
      <w:pPr>
        <w:tabs>
          <w:tab w:val="left" w:pos="603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 model (4.2</w:t>
      </w:r>
      <w:r w:rsidRPr="00D74E63">
        <w:rPr>
          <w:rFonts w:ascii="Times New Roman" w:hAnsi="Times New Roman" w:cs="Times New Roman"/>
          <w:sz w:val="24"/>
          <w:szCs w:val="24"/>
        </w:rPr>
        <w:t xml:space="preserve">), </w:t>
      </w:r>
      <w:r w:rsidR="00A96538" w:rsidRPr="00A96538">
        <w:rPr>
          <w:rFonts w:ascii="Times New Roman" w:hAnsi="Times New Roman" w:cs="Times New Roman"/>
          <w:position w:val="-12"/>
        </w:rPr>
        <w:object w:dxaOrig="279" w:dyaOrig="360">
          <v:shape id="_x0000_i1041" type="#_x0000_t75" style="width:14.25pt;height:18.75pt" o:ole="">
            <v:imagedata r:id="rId41" o:title=""/>
          </v:shape>
          <o:OLEObject Type="Embed" ProgID="Equation.3" ShapeID="_x0000_i1041" DrawAspect="Content" ObjectID="_1493477169" r:id="rId42"/>
        </w:object>
      </w:r>
      <w:r w:rsidRPr="00D74E63">
        <w:rPr>
          <w:rFonts w:ascii="Times New Roman" w:hAnsi="Times New Roman" w:cs="Times New Roman"/>
          <w:sz w:val="24"/>
          <w:szCs w:val="24"/>
        </w:rPr>
        <w:t>reflects the influence of random deviations in the previous period on</w:t>
      </w:r>
      <w:r w:rsidR="006E413E" w:rsidRPr="00A96538">
        <w:rPr>
          <w:rFonts w:ascii="Times New Roman" w:hAnsi="Times New Roman" w:cs="Times New Roman"/>
          <w:position w:val="-12"/>
        </w:rPr>
        <w:object w:dxaOrig="279" w:dyaOrig="360">
          <v:shape id="_x0000_i1042" type="#_x0000_t75" style="width:14.25pt;height:18.75pt" o:ole="">
            <v:imagedata r:id="rId43" o:title=""/>
          </v:shape>
          <o:OLEObject Type="Embed" ProgID="Equation.3" ShapeID="_x0000_i1042" DrawAspect="Content" ObjectID="_1493477170" r:id="rId44"/>
        </w:object>
      </w:r>
      <w:r w:rsidRPr="00D74E63">
        <w:rPr>
          <w:rFonts w:ascii="Times New Roman" w:hAnsi="Times New Roman" w:cs="Times New Roman"/>
          <w:sz w:val="24"/>
          <w:szCs w:val="24"/>
        </w:rPr>
        <w:t xml:space="preserve">, whereas </w:t>
      </w:r>
      <w:r w:rsidR="006E413E" w:rsidRPr="00A96538">
        <w:rPr>
          <w:rFonts w:ascii="Times New Roman" w:hAnsi="Times New Roman" w:cs="Times New Roman"/>
          <w:position w:val="-14"/>
        </w:rPr>
        <w:object w:dxaOrig="300" w:dyaOrig="380">
          <v:shape id="_x0000_i1043" type="#_x0000_t75" style="width:15pt;height:18.75pt" o:ole="">
            <v:imagedata r:id="rId45" o:title=""/>
          </v:shape>
          <o:OLEObject Type="Embed" ProgID="Equation.3" ShapeID="_x0000_i1043" DrawAspect="Content" ObjectID="_1493477171" r:id="rId46"/>
        </w:object>
      </w:r>
      <w:r w:rsidRPr="00D74E63">
        <w:rPr>
          <w:rFonts w:ascii="Times New Roman" w:hAnsi="Times New Roman" w:cs="Times New Roman"/>
          <w:i/>
          <w:iCs/>
          <w:sz w:val="24"/>
          <w:szCs w:val="24"/>
          <w:vertAlign w:val="subscript"/>
        </w:rPr>
        <w:t xml:space="preserve"> </w:t>
      </w:r>
      <w:r w:rsidRPr="00D74E63">
        <w:rPr>
          <w:rFonts w:ascii="Times New Roman" w:hAnsi="Times New Roman" w:cs="Times New Roman"/>
          <w:sz w:val="24"/>
          <w:szCs w:val="24"/>
        </w:rPr>
        <w:t xml:space="preserve">measures the part of the (realized) variance in the previous period that is carried over into the current period. The sizes of the parameters </w:t>
      </w:r>
      <w:r w:rsidR="00A96538" w:rsidRPr="00A96538">
        <w:rPr>
          <w:rFonts w:ascii="Times New Roman" w:hAnsi="Times New Roman" w:cs="Times New Roman"/>
          <w:position w:val="-12"/>
        </w:rPr>
        <w:object w:dxaOrig="279" w:dyaOrig="360">
          <v:shape id="_x0000_i1044" type="#_x0000_t75" style="width:14.25pt;height:18.75pt" o:ole="">
            <v:imagedata r:id="rId47" o:title=""/>
          </v:shape>
          <o:OLEObject Type="Embed" ProgID="Equation.3" ShapeID="_x0000_i1044" DrawAspect="Content" ObjectID="_1493477172" r:id="rId48"/>
        </w:object>
      </w:r>
      <w:r w:rsidRPr="00D74E63">
        <w:rPr>
          <w:rFonts w:ascii="Times New Roman" w:hAnsi="Times New Roman" w:cs="Times New Roman"/>
          <w:i/>
          <w:iCs/>
          <w:sz w:val="24"/>
          <w:szCs w:val="24"/>
          <w:vertAlign w:val="subscript"/>
        </w:rPr>
        <w:t xml:space="preserve"> </w:t>
      </w:r>
      <w:r w:rsidRPr="00D74E63">
        <w:rPr>
          <w:rFonts w:ascii="Times New Roman" w:hAnsi="Times New Roman" w:cs="Times New Roman"/>
          <w:sz w:val="24"/>
          <w:szCs w:val="24"/>
        </w:rPr>
        <w:t xml:space="preserve">and </w:t>
      </w:r>
      <w:r w:rsidR="00A96538" w:rsidRPr="00A96538">
        <w:rPr>
          <w:rFonts w:ascii="Times New Roman" w:hAnsi="Times New Roman" w:cs="Times New Roman"/>
          <w:position w:val="-14"/>
        </w:rPr>
        <w:object w:dxaOrig="300" w:dyaOrig="380">
          <v:shape id="_x0000_i1045" type="#_x0000_t75" style="width:15pt;height:18.75pt" o:ole="">
            <v:imagedata r:id="rId49" o:title=""/>
          </v:shape>
          <o:OLEObject Type="Embed" ProgID="Equation.3" ShapeID="_x0000_i1045" DrawAspect="Content" ObjectID="_1493477173" r:id="rId50"/>
        </w:object>
      </w:r>
      <w:r w:rsidRPr="00D74E63">
        <w:rPr>
          <w:rFonts w:ascii="Times New Roman" w:hAnsi="Times New Roman" w:cs="Times New Roman"/>
          <w:i/>
          <w:iCs/>
          <w:sz w:val="24"/>
          <w:szCs w:val="24"/>
          <w:vertAlign w:val="subscript"/>
        </w:rPr>
        <w:t xml:space="preserve">  </w:t>
      </w:r>
      <w:r w:rsidRPr="00D74E63">
        <w:rPr>
          <w:rFonts w:ascii="Times New Roman" w:hAnsi="Times New Roman" w:cs="Times New Roman"/>
          <w:sz w:val="24"/>
          <w:szCs w:val="24"/>
        </w:rPr>
        <w:t>determine the short-run dynamics of the resulting volatility time series. Large error coefficients</w:t>
      </w:r>
      <w:proofErr w:type="gramStart"/>
      <w:r w:rsidRPr="00D74E63">
        <w:rPr>
          <w:rFonts w:ascii="Times New Roman" w:hAnsi="Times New Roman" w:cs="Times New Roman"/>
          <w:sz w:val="24"/>
          <w:szCs w:val="24"/>
        </w:rPr>
        <w:t>,</w:t>
      </w:r>
      <w:r w:rsidR="00A96538" w:rsidRPr="00A96538">
        <w:rPr>
          <w:rFonts w:ascii="Times New Roman" w:hAnsi="Times New Roman" w:cs="Times New Roman"/>
          <w:position w:val="-12"/>
        </w:rPr>
        <w:t xml:space="preserve"> </w:t>
      </w:r>
      <w:r w:rsidR="00A96538" w:rsidRPr="00A96538">
        <w:rPr>
          <w:rFonts w:ascii="Times New Roman" w:hAnsi="Times New Roman" w:cs="Times New Roman"/>
          <w:position w:val="-12"/>
        </w:rPr>
        <w:object w:dxaOrig="279" w:dyaOrig="360">
          <v:shape id="_x0000_i1046" type="#_x0000_t75" style="width:14.25pt;height:18.75pt" o:ole="">
            <v:imagedata r:id="rId47" o:title=""/>
          </v:shape>
          <o:OLEObject Type="Embed" ProgID="Equation.3" ShapeID="_x0000_i1046" DrawAspect="Content" ObjectID="_1493477174" r:id="rId51"/>
        </w:object>
      </w:r>
      <w:proofErr w:type="gramEnd"/>
      <w:r w:rsidRPr="00D74E63">
        <w:rPr>
          <w:rFonts w:ascii="Times New Roman" w:hAnsi="Times New Roman" w:cs="Times New Roman"/>
          <w:sz w:val="24"/>
          <w:szCs w:val="24"/>
        </w:rPr>
        <w:t>, mean that volatility reacts intensely to market movements. Large lag coefficients</w:t>
      </w:r>
      <w:proofErr w:type="gramStart"/>
      <w:r w:rsidRPr="00D74E63">
        <w:rPr>
          <w:rFonts w:ascii="Times New Roman" w:hAnsi="Times New Roman" w:cs="Times New Roman"/>
          <w:sz w:val="24"/>
          <w:szCs w:val="24"/>
        </w:rPr>
        <w:t xml:space="preserve">, </w:t>
      </w:r>
      <w:r w:rsidR="00A96538" w:rsidRPr="00A96538">
        <w:rPr>
          <w:rFonts w:ascii="Times New Roman" w:hAnsi="Times New Roman" w:cs="Times New Roman"/>
          <w:position w:val="-14"/>
        </w:rPr>
        <w:object w:dxaOrig="300" w:dyaOrig="380">
          <v:shape id="_x0000_i1047" type="#_x0000_t75" style="width:15pt;height:18.75pt" o:ole="">
            <v:imagedata r:id="rId49" o:title=""/>
          </v:shape>
          <o:OLEObject Type="Embed" ProgID="Equation.3" ShapeID="_x0000_i1047" DrawAspect="Content" ObjectID="_1493477175" r:id="rId52"/>
        </w:object>
      </w:r>
      <w:proofErr w:type="gramEnd"/>
      <w:r w:rsidRPr="00D74E63">
        <w:rPr>
          <w:rFonts w:ascii="Times New Roman" w:hAnsi="Times New Roman" w:cs="Times New Roman"/>
          <w:sz w:val="24"/>
          <w:szCs w:val="24"/>
        </w:rPr>
        <w:t>, indicate that shocks to conditional variance take a long time die ou</w:t>
      </w:r>
      <w:r w:rsidR="00095369">
        <w:rPr>
          <w:rFonts w:ascii="Times New Roman" w:hAnsi="Times New Roman" w:cs="Times New Roman"/>
          <w:sz w:val="24"/>
          <w:szCs w:val="24"/>
        </w:rPr>
        <w:t>t, so volatility is persistent</w:t>
      </w:r>
      <w:r w:rsidRPr="00D74E63">
        <w:rPr>
          <w:rFonts w:ascii="Times New Roman" w:hAnsi="Times New Roman" w:cs="Times New Roman"/>
          <w:sz w:val="24"/>
          <w:szCs w:val="24"/>
        </w:rPr>
        <w:t xml:space="preserve">. </w:t>
      </w:r>
    </w:p>
    <w:p w:rsidR="00F83A79" w:rsidRPr="00D74E63" w:rsidRDefault="002E2661" w:rsidP="00BD2665">
      <w:pPr>
        <w:tabs>
          <w:tab w:val="left" w:pos="603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74E63">
        <w:rPr>
          <w:rFonts w:ascii="Times New Roman" w:hAnsi="Times New Roman" w:cs="Times New Roman"/>
          <w:sz w:val="24"/>
          <w:szCs w:val="24"/>
        </w:rPr>
        <w:t>conditional variance in the EGARCH model</w:t>
      </w:r>
      <w:r>
        <w:rPr>
          <w:rFonts w:ascii="Times New Roman" w:hAnsi="Times New Roman" w:cs="Times New Roman"/>
          <w:sz w:val="24"/>
          <w:szCs w:val="24"/>
        </w:rPr>
        <w:t xml:space="preserve"> proposed by</w:t>
      </w:r>
      <w:r w:rsidR="00F83A79" w:rsidRPr="00D74E63">
        <w:rPr>
          <w:rFonts w:ascii="Times New Roman" w:hAnsi="Times New Roman" w:cs="Times New Roman"/>
          <w:sz w:val="24"/>
          <w:szCs w:val="24"/>
        </w:rPr>
        <w:t xml:space="preserve"> Nelson </w:t>
      </w:r>
      <w:r w:rsidR="00EB136C">
        <w:rPr>
          <w:rFonts w:ascii="Times New Roman" w:hAnsi="Times New Roman" w:cs="Times New Roman"/>
          <w:sz w:val="24"/>
          <w:szCs w:val="24"/>
        </w:rPr>
        <w:t>[15]</w:t>
      </w:r>
      <w:r w:rsidR="00F83A79" w:rsidRPr="00D74E63">
        <w:rPr>
          <w:rFonts w:ascii="Times New Roman" w:hAnsi="Times New Roman" w:cs="Times New Roman"/>
          <w:sz w:val="24"/>
          <w:szCs w:val="24"/>
        </w:rPr>
        <w:t xml:space="preserve"> </w:t>
      </w:r>
      <w:r>
        <w:rPr>
          <w:rFonts w:ascii="Times New Roman" w:hAnsi="Times New Roman" w:cs="Times New Roman"/>
          <w:sz w:val="24"/>
          <w:szCs w:val="24"/>
        </w:rPr>
        <w:t>is given f</w:t>
      </w:r>
      <w:r w:rsidR="00FD372F">
        <w:rPr>
          <w:rFonts w:ascii="Times New Roman" w:hAnsi="Times New Roman" w:cs="Times New Roman"/>
          <w:sz w:val="24"/>
          <w:szCs w:val="24"/>
        </w:rPr>
        <w:t xml:space="preserve">ollowing </w:t>
      </w:r>
      <w:proofErr w:type="spellStart"/>
      <w:r w:rsidR="00F83A79" w:rsidRPr="00D74E63">
        <w:rPr>
          <w:rFonts w:ascii="Times New Roman" w:hAnsi="Times New Roman" w:cs="Times New Roman"/>
          <w:sz w:val="24"/>
          <w:szCs w:val="24"/>
        </w:rPr>
        <w:t>Eviews</w:t>
      </w:r>
      <w:proofErr w:type="spellEnd"/>
      <w:r w:rsidR="00F83A79" w:rsidRPr="00D74E63">
        <w:rPr>
          <w:rFonts w:ascii="Times New Roman" w:hAnsi="Times New Roman" w:cs="Times New Roman"/>
          <w:sz w:val="24"/>
          <w:szCs w:val="24"/>
        </w:rPr>
        <w:t xml:space="preserve"> specification by </w:t>
      </w:r>
      <w:r w:rsidR="00CC68DA">
        <w:rPr>
          <w:rFonts w:ascii="Times New Roman" w:hAnsi="Times New Roman" w:cs="Times New Roman"/>
          <w:bCs/>
          <w:sz w:val="24"/>
          <w:szCs w:val="24"/>
        </w:rPr>
        <w:t>Quantitative Micro Software</w:t>
      </w:r>
      <w:r w:rsidR="00F83A79" w:rsidRPr="00D74E63">
        <w:rPr>
          <w:rFonts w:ascii="Times New Roman" w:hAnsi="Times New Roman" w:cs="Times New Roman"/>
          <w:sz w:val="24"/>
          <w:szCs w:val="24"/>
        </w:rPr>
        <w:t xml:space="preserve"> (2010)</w:t>
      </w:r>
      <w:r w:rsidR="00FD372F">
        <w:rPr>
          <w:rFonts w:ascii="Times New Roman" w:hAnsi="Times New Roman" w:cs="Times New Roman"/>
          <w:sz w:val="24"/>
          <w:szCs w:val="24"/>
        </w:rPr>
        <w:t>,</w:t>
      </w:r>
    </w:p>
    <w:p w:rsidR="00F83A79" w:rsidRPr="00D74E63" w:rsidRDefault="00F83A79" w:rsidP="00BD2665">
      <w:pPr>
        <w:autoSpaceDE w:val="0"/>
        <w:autoSpaceDN w:val="0"/>
        <w:adjustRightInd w:val="0"/>
        <w:spacing w:line="480" w:lineRule="auto"/>
        <w:ind w:left="1440"/>
        <w:jc w:val="both"/>
        <w:rPr>
          <w:rFonts w:ascii="Times New Roman" w:hAnsi="Times New Roman" w:cs="Times New Roman"/>
          <w:sz w:val="24"/>
          <w:szCs w:val="24"/>
        </w:rPr>
      </w:pPr>
      <w:r w:rsidRPr="00D74E63">
        <w:rPr>
          <w:rFonts w:ascii="Times New Roman" w:hAnsi="Times New Roman" w:cs="Times New Roman"/>
          <w:position w:val="-32"/>
        </w:rPr>
        <w:object w:dxaOrig="5080" w:dyaOrig="760">
          <v:shape id="_x0000_i1048" type="#_x0000_t75" style="width:253.5pt;height:37.5pt" o:ole="">
            <v:imagedata r:id="rId53" o:title=""/>
          </v:shape>
          <o:OLEObject Type="Embed" ProgID="Equation.3" ShapeID="_x0000_i1048" DrawAspect="Content" ObjectID="_1493477176" r:id="rId54"/>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(4.3</w:t>
      </w:r>
      <w:r w:rsidRPr="00D74E63">
        <w:rPr>
          <w:rFonts w:ascii="Times New Roman" w:hAnsi="Times New Roman" w:cs="Times New Roman"/>
          <w:sz w:val="24"/>
          <w:szCs w:val="24"/>
        </w:rPr>
        <w:t>)</w:t>
      </w:r>
      <w:r w:rsidRPr="00D74E63">
        <w:rPr>
          <w:rFonts w:ascii="Times New Roman" w:hAnsi="Times New Roman" w:cs="Times New Roman"/>
          <w:position w:val="-14"/>
        </w:rPr>
        <w:t xml:space="preserve"> </w:t>
      </w:r>
    </w:p>
    <w:p w:rsidR="00F83A79" w:rsidRDefault="00F83A79"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 EGARCH, equation (4.3) replaces the last equation in the system (4.2)).</w:t>
      </w:r>
    </w:p>
    <w:p w:rsidR="00B1015D" w:rsidRDefault="00F83A79" w:rsidP="00BD2665">
      <w:pPr>
        <w:autoSpaceDE w:val="0"/>
        <w:autoSpaceDN w:val="0"/>
        <w:adjustRightInd w:val="0"/>
        <w:spacing w:before="200" w:line="480" w:lineRule="auto"/>
        <w:jc w:val="both"/>
        <w:rPr>
          <w:rFonts w:ascii="Times New Roman" w:hAnsi="Times New Roman"/>
          <w:bCs/>
          <w:sz w:val="24"/>
          <w:szCs w:val="24"/>
        </w:rPr>
      </w:pPr>
      <w:r w:rsidRPr="00D74E63">
        <w:rPr>
          <w:rFonts w:ascii="Times New Roman" w:hAnsi="Times New Roman" w:cs="Times New Roman"/>
          <w:sz w:val="24"/>
          <w:szCs w:val="24"/>
        </w:rPr>
        <w:lastRenderedPageBreak/>
        <w:t xml:space="preserve">The presence of leverage effect is indicated by inclusion of the term </w:t>
      </w:r>
      <w:r w:rsidRPr="00D74E63">
        <w:rPr>
          <w:rFonts w:ascii="Times New Roman" w:hAnsi="Times New Roman" w:cs="Times New Roman"/>
          <w:position w:val="-12"/>
        </w:rPr>
        <w:object w:dxaOrig="279" w:dyaOrig="360">
          <v:shape id="_x0000_i1049" type="#_x0000_t75" style="width:14.25pt;height:18.75pt" o:ole="">
            <v:imagedata r:id="rId55" o:title=""/>
          </v:shape>
          <o:OLEObject Type="Embed" ProgID="Equation.3" ShapeID="_x0000_i1049" DrawAspect="Content" ObjectID="_1493477177" r:id="rId56"/>
        </w:object>
      </w:r>
      <w:r w:rsidRPr="00D74E63">
        <w:rPr>
          <w:rFonts w:ascii="Times New Roman" w:hAnsi="Times New Roman" w:cs="Times New Roman"/>
        </w:rPr>
        <w:t xml:space="preserve"> </w:t>
      </w:r>
      <w:r w:rsidRPr="00D74E63">
        <w:rPr>
          <w:rFonts w:ascii="Times New Roman" w:hAnsi="Times New Roman" w:cs="Times New Roman"/>
          <w:sz w:val="24"/>
        </w:rPr>
        <w:t>and the impact on the conditional variance is asymmetric if</w:t>
      </w:r>
      <w:r w:rsidRPr="00D74E63">
        <w:rPr>
          <w:rFonts w:ascii="Times New Roman" w:hAnsi="Times New Roman" w:cs="Times New Roman"/>
          <w:sz w:val="28"/>
          <w:szCs w:val="24"/>
        </w:rPr>
        <w:t xml:space="preserve"> </w:t>
      </w:r>
      <w:proofErr w:type="gramStart"/>
      <w:r w:rsidRPr="00D74E63">
        <w:rPr>
          <w:rFonts w:ascii="Times New Roman" w:hAnsi="Times New Roman" w:cs="Times New Roman"/>
          <w:position w:val="-12"/>
        </w:rPr>
        <w:object w:dxaOrig="740" w:dyaOrig="360">
          <v:shape id="_x0000_i1050" type="#_x0000_t75" style="width:36.75pt;height:18.75pt" o:ole="">
            <v:imagedata r:id="rId57" o:title=""/>
          </v:shape>
          <o:OLEObject Type="Embed" ProgID="Equation.3" ShapeID="_x0000_i1050" DrawAspect="Content" ObjectID="_1493477178" r:id="rId58"/>
        </w:object>
      </w:r>
      <w:r w:rsidRPr="00D74E63">
        <w:rPr>
          <w:rFonts w:ascii="Times New Roman" w:hAnsi="Times New Roman" w:cs="Times New Roman"/>
          <w:sz w:val="24"/>
          <w:szCs w:val="24"/>
        </w:rPr>
        <w:t>When</w:t>
      </w:r>
      <w:proofErr w:type="gramEnd"/>
      <w:r w:rsidRPr="00D74E63">
        <w:rPr>
          <w:rFonts w:ascii="Times New Roman" w:hAnsi="Times New Roman" w:cs="Times New Roman"/>
          <w:sz w:val="24"/>
          <w:szCs w:val="24"/>
        </w:rPr>
        <w:t xml:space="preserve"> </w:t>
      </w:r>
      <w:r w:rsidRPr="00D74E63">
        <w:rPr>
          <w:rFonts w:ascii="Times New Roman" w:hAnsi="Times New Roman" w:cs="Times New Roman"/>
          <w:position w:val="-12"/>
        </w:rPr>
        <w:object w:dxaOrig="279" w:dyaOrig="360">
          <v:shape id="_x0000_i1051" type="#_x0000_t75" style="width:14.25pt;height:18.75pt" o:ole="">
            <v:imagedata r:id="rId55" o:title=""/>
          </v:shape>
          <o:OLEObject Type="Embed" ProgID="Equation.3" ShapeID="_x0000_i1051" DrawAspect="Content" ObjectID="_1493477179" r:id="rId59"/>
        </w:object>
      </w:r>
      <w:r w:rsidRPr="00D74E63">
        <w:rPr>
          <w:rFonts w:ascii="Times New Roman" w:hAnsi="Times New Roman" w:cs="Times New Roman"/>
          <w:sz w:val="24"/>
          <w:szCs w:val="24"/>
        </w:rPr>
        <w:t xml:space="preserve"> &lt; 0, then positive shocks (good news) generate less volatility than negative shocks (bad news). </w:t>
      </w:r>
      <w:proofErr w:type="gramStart"/>
      <w:r w:rsidRPr="00D74E63">
        <w:rPr>
          <w:rFonts w:ascii="Times New Roman" w:hAnsi="Times New Roman" w:cs="Times New Roman"/>
          <w:sz w:val="24"/>
          <w:szCs w:val="24"/>
        </w:rPr>
        <w:t xml:space="preserve">When </w:t>
      </w:r>
      <w:r w:rsidRPr="00D74E63">
        <w:rPr>
          <w:rFonts w:ascii="Times New Roman" w:hAnsi="Times New Roman" w:cs="Times New Roman"/>
          <w:position w:val="-12"/>
        </w:rPr>
        <w:object w:dxaOrig="279" w:dyaOrig="360">
          <v:shape id="_x0000_i1052" type="#_x0000_t75" style="width:14.25pt;height:18.75pt" o:ole="">
            <v:imagedata r:id="rId55" o:title=""/>
          </v:shape>
          <o:OLEObject Type="Embed" ProgID="Equation.3" ShapeID="_x0000_i1052" DrawAspect="Content" ObjectID="_1493477180" r:id="rId60"/>
        </w:object>
      </w:r>
      <w:r w:rsidRPr="00D74E63">
        <w:rPr>
          <w:rFonts w:ascii="Times New Roman" w:hAnsi="Times New Roman" w:cs="Times New Roman"/>
          <w:sz w:val="24"/>
          <w:szCs w:val="24"/>
        </w:rPr>
        <w:t xml:space="preserve"> &gt; 0, it implies that negative shocks generate less volatility than positive shocks.</w:t>
      </w:r>
      <w:proofErr w:type="gramEnd"/>
      <w:r w:rsidR="00B1015D">
        <w:rPr>
          <w:rFonts w:ascii="Times New Roman" w:hAnsi="Times New Roman" w:cs="Times New Roman"/>
          <w:sz w:val="24"/>
          <w:szCs w:val="24"/>
        </w:rPr>
        <w:t xml:space="preserve"> In other words, </w:t>
      </w:r>
      <w:r w:rsidR="00B1015D" w:rsidRPr="00FD08D2">
        <w:rPr>
          <w:rFonts w:ascii="Times New Roman" w:hAnsi="Times New Roman"/>
          <w:bCs/>
          <w:sz w:val="24"/>
          <w:szCs w:val="24"/>
        </w:rPr>
        <w:t>A negative value of</w:t>
      </w:r>
      <w:r w:rsidR="00B1015D" w:rsidRPr="00D74E63">
        <w:rPr>
          <w:rFonts w:ascii="Times New Roman" w:hAnsi="Times New Roman" w:cs="Times New Roman"/>
          <w:position w:val="-12"/>
        </w:rPr>
        <w:object w:dxaOrig="279" w:dyaOrig="360">
          <v:shape id="_x0000_i1053" type="#_x0000_t75" style="width:14.25pt;height:18.75pt" o:ole="">
            <v:imagedata r:id="rId55" o:title=""/>
          </v:shape>
          <o:OLEObject Type="Embed" ProgID="Equation.3" ShapeID="_x0000_i1053" DrawAspect="Content" ObjectID="_1493477181" r:id="rId61"/>
        </w:object>
      </w:r>
      <w:r w:rsidR="00B1015D" w:rsidRPr="00FD08D2">
        <w:rPr>
          <w:rFonts w:ascii="Times New Roman" w:hAnsi="Times New Roman"/>
          <w:bCs/>
          <w:sz w:val="24"/>
          <w:szCs w:val="24"/>
        </w:rPr>
        <w:t xml:space="preserve"> implies that negative innovations or news lead to a higher subsequent increase in the volatility of the exchange rate compared with positive news. Hence, an appreciation of the domestic currency relative to the foreign currency tends to induce a higher increase in volatility of the domestic currency than a depreciation of the same magnitude in the subsequent period (</w:t>
      </w:r>
      <w:proofErr w:type="spellStart"/>
      <w:r w:rsidR="00B1015D" w:rsidRPr="00FD08D2">
        <w:rPr>
          <w:rFonts w:ascii="Times New Roman" w:hAnsi="Times New Roman"/>
          <w:bCs/>
          <w:sz w:val="24"/>
          <w:szCs w:val="24"/>
        </w:rPr>
        <w:t>Kahya</w:t>
      </w:r>
      <w:proofErr w:type="spellEnd"/>
      <w:r w:rsidR="00B1015D" w:rsidRPr="00FD08D2">
        <w:rPr>
          <w:rFonts w:ascii="Times New Roman" w:hAnsi="Times New Roman"/>
          <w:bCs/>
          <w:sz w:val="24"/>
          <w:szCs w:val="24"/>
        </w:rPr>
        <w:t xml:space="preserve">, </w:t>
      </w:r>
      <w:r w:rsidR="00B1015D" w:rsidRPr="0010205D">
        <w:rPr>
          <w:rFonts w:ascii="Times New Roman" w:hAnsi="Times New Roman"/>
          <w:bCs/>
          <w:i/>
          <w:sz w:val="24"/>
          <w:szCs w:val="24"/>
        </w:rPr>
        <w:t>et al</w:t>
      </w:r>
      <w:r w:rsidR="00B1015D" w:rsidRPr="00FD08D2">
        <w:rPr>
          <w:rFonts w:ascii="Times New Roman" w:hAnsi="Times New Roman"/>
          <w:bCs/>
          <w:sz w:val="24"/>
          <w:szCs w:val="24"/>
        </w:rPr>
        <w:t xml:space="preserve">. </w:t>
      </w:r>
      <w:r w:rsidR="00EB136C">
        <w:rPr>
          <w:rFonts w:ascii="Times New Roman" w:hAnsi="Times New Roman"/>
          <w:bCs/>
          <w:sz w:val="24"/>
          <w:szCs w:val="24"/>
        </w:rPr>
        <w:t xml:space="preserve">[4]; and </w:t>
      </w:r>
      <w:proofErr w:type="spellStart"/>
      <w:r w:rsidR="00EB136C">
        <w:rPr>
          <w:rFonts w:ascii="Times New Roman" w:hAnsi="Times New Roman"/>
          <w:bCs/>
          <w:sz w:val="24"/>
          <w:szCs w:val="24"/>
        </w:rPr>
        <w:t>Kocenda</w:t>
      </w:r>
      <w:proofErr w:type="spellEnd"/>
      <w:r w:rsidR="00EB136C">
        <w:rPr>
          <w:rFonts w:ascii="Times New Roman" w:hAnsi="Times New Roman"/>
          <w:bCs/>
          <w:sz w:val="24"/>
          <w:szCs w:val="24"/>
        </w:rPr>
        <w:t xml:space="preserve"> and </w:t>
      </w:r>
      <w:proofErr w:type="spellStart"/>
      <w:r w:rsidR="00EB136C">
        <w:rPr>
          <w:rFonts w:ascii="Times New Roman" w:hAnsi="Times New Roman"/>
          <w:bCs/>
          <w:sz w:val="24"/>
          <w:szCs w:val="24"/>
        </w:rPr>
        <w:t>Valachy</w:t>
      </w:r>
      <w:proofErr w:type="spellEnd"/>
      <w:r w:rsidR="00B1015D" w:rsidRPr="00FD08D2">
        <w:rPr>
          <w:rFonts w:ascii="Times New Roman" w:hAnsi="Times New Roman"/>
          <w:bCs/>
          <w:sz w:val="24"/>
          <w:szCs w:val="24"/>
        </w:rPr>
        <w:t xml:space="preserve"> </w:t>
      </w:r>
      <w:r w:rsidR="00EB136C">
        <w:rPr>
          <w:rFonts w:ascii="Times New Roman" w:hAnsi="Times New Roman"/>
          <w:bCs/>
          <w:sz w:val="24"/>
          <w:szCs w:val="24"/>
        </w:rPr>
        <w:t>[5]</w:t>
      </w:r>
      <w:r w:rsidR="00B1015D" w:rsidRPr="00FD08D2">
        <w:rPr>
          <w:rFonts w:ascii="Times New Roman" w:hAnsi="Times New Roman"/>
          <w:bCs/>
          <w:sz w:val="24"/>
          <w:szCs w:val="24"/>
        </w:rPr>
        <w:t>).</w:t>
      </w:r>
    </w:p>
    <w:p w:rsidR="00F83A79" w:rsidRDefault="0071627B"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Studies have shown that financial returns are l</w:t>
      </w:r>
      <w:r w:rsidR="00F64FE6">
        <w:rPr>
          <w:rFonts w:ascii="Times New Roman" w:hAnsi="Times New Roman" w:cs="Times New Roman"/>
          <w:sz w:val="24"/>
          <w:szCs w:val="24"/>
        </w:rPr>
        <w:t>eptokurtic and highly skewed (Hsieh</w:t>
      </w:r>
      <w:r w:rsidR="00EB136C">
        <w:rPr>
          <w:rFonts w:ascii="Times New Roman" w:hAnsi="Times New Roman" w:cs="Times New Roman"/>
          <w:sz w:val="24"/>
          <w:szCs w:val="24"/>
        </w:rPr>
        <w:t xml:space="preserve"> [49]</w:t>
      </w:r>
      <w:r>
        <w:rPr>
          <w:rFonts w:ascii="Times New Roman" w:hAnsi="Times New Roman" w:cs="Times New Roman"/>
          <w:sz w:val="24"/>
          <w:szCs w:val="24"/>
        </w:rPr>
        <w:t>)</w:t>
      </w:r>
      <w:r w:rsidR="00917676">
        <w:rPr>
          <w:rFonts w:ascii="Times New Roman" w:hAnsi="Times New Roman" w:cs="Times New Roman"/>
          <w:sz w:val="24"/>
          <w:szCs w:val="24"/>
        </w:rPr>
        <w:t>; hence, cannot be modeled with the normal distribution.</w:t>
      </w:r>
      <w:r>
        <w:rPr>
          <w:rFonts w:ascii="Times New Roman" w:hAnsi="Times New Roman" w:cs="Times New Roman"/>
          <w:sz w:val="24"/>
          <w:szCs w:val="24"/>
        </w:rPr>
        <w:t xml:space="preserve"> </w:t>
      </w:r>
      <w:r w:rsidR="00BC6EA0">
        <w:rPr>
          <w:rFonts w:ascii="Times New Roman" w:hAnsi="Times New Roman" w:cs="Times New Roman"/>
          <w:sz w:val="24"/>
          <w:szCs w:val="24"/>
        </w:rPr>
        <w:t>In exchange rate modeling, t</w:t>
      </w:r>
      <w:r w:rsidR="00320489">
        <w:rPr>
          <w:rFonts w:ascii="Times New Roman" w:hAnsi="Times New Roman" w:cs="Times New Roman"/>
          <w:sz w:val="24"/>
          <w:szCs w:val="24"/>
        </w:rPr>
        <w:t>he most used</w:t>
      </w:r>
      <w:r w:rsidR="00917676">
        <w:rPr>
          <w:rFonts w:ascii="Times New Roman" w:hAnsi="Times New Roman" w:cs="Times New Roman"/>
          <w:sz w:val="24"/>
          <w:szCs w:val="24"/>
        </w:rPr>
        <w:t xml:space="preserve"> altern</w:t>
      </w:r>
      <w:r w:rsidR="00BC6EA0">
        <w:rPr>
          <w:rFonts w:ascii="Times New Roman" w:hAnsi="Times New Roman" w:cs="Times New Roman"/>
          <w:sz w:val="24"/>
          <w:szCs w:val="24"/>
        </w:rPr>
        <w:t>ative is the g</w:t>
      </w:r>
      <w:r w:rsidR="00917676">
        <w:rPr>
          <w:rFonts w:ascii="Times New Roman" w:hAnsi="Times New Roman" w:cs="Times New Roman"/>
          <w:sz w:val="24"/>
          <w:szCs w:val="24"/>
        </w:rPr>
        <w:t>eneralized error</w:t>
      </w:r>
      <w:r w:rsidR="00EB136C">
        <w:rPr>
          <w:rFonts w:ascii="Times New Roman" w:hAnsi="Times New Roman" w:cs="Times New Roman"/>
          <w:sz w:val="24"/>
          <w:szCs w:val="24"/>
        </w:rPr>
        <w:t xml:space="preserve"> distribution (</w:t>
      </w:r>
      <w:proofErr w:type="spellStart"/>
      <w:r w:rsidR="00EB136C">
        <w:rPr>
          <w:rFonts w:ascii="Times New Roman" w:hAnsi="Times New Roman" w:cs="Times New Roman"/>
          <w:sz w:val="24"/>
          <w:szCs w:val="24"/>
        </w:rPr>
        <w:t>Olowe</w:t>
      </w:r>
      <w:proofErr w:type="spellEnd"/>
      <w:r w:rsidR="00F64FE6">
        <w:rPr>
          <w:rFonts w:ascii="Times New Roman" w:hAnsi="Times New Roman" w:cs="Times New Roman"/>
          <w:sz w:val="24"/>
          <w:szCs w:val="24"/>
        </w:rPr>
        <w:t xml:space="preserve"> </w:t>
      </w:r>
      <w:r w:rsidR="00EB136C">
        <w:rPr>
          <w:rFonts w:ascii="Times New Roman" w:hAnsi="Times New Roman" w:cs="Times New Roman"/>
          <w:sz w:val="24"/>
          <w:szCs w:val="24"/>
        </w:rPr>
        <w:t>[</w:t>
      </w:r>
      <w:r w:rsidR="00F64FE6">
        <w:rPr>
          <w:rFonts w:ascii="Times New Roman" w:hAnsi="Times New Roman" w:cs="Times New Roman"/>
          <w:sz w:val="24"/>
          <w:szCs w:val="24"/>
        </w:rPr>
        <w:t>11</w:t>
      </w:r>
      <w:r w:rsidR="00EB136C">
        <w:rPr>
          <w:rFonts w:ascii="Times New Roman" w:hAnsi="Times New Roman" w:cs="Times New Roman"/>
          <w:sz w:val="24"/>
          <w:szCs w:val="24"/>
        </w:rPr>
        <w:t>]</w:t>
      </w:r>
      <w:r w:rsidR="00917676">
        <w:rPr>
          <w:rFonts w:ascii="Times New Roman" w:hAnsi="Times New Roman" w:cs="Times New Roman"/>
          <w:sz w:val="24"/>
          <w:szCs w:val="24"/>
        </w:rPr>
        <w:t xml:space="preserve">). </w:t>
      </w:r>
      <w:r w:rsidR="00F83A79">
        <w:rPr>
          <w:rFonts w:ascii="Times New Roman" w:hAnsi="Times New Roman" w:cs="Times New Roman"/>
          <w:sz w:val="24"/>
          <w:szCs w:val="24"/>
        </w:rPr>
        <w:t xml:space="preserve">Under the assumption that the distribution of </w:t>
      </w:r>
      <w:r w:rsidR="00F83A79" w:rsidRPr="00E47FF3">
        <w:rPr>
          <w:position w:val="-30"/>
        </w:rPr>
        <w:object w:dxaOrig="800" w:dyaOrig="700">
          <v:shape id="_x0000_i1054" type="#_x0000_t75" style="width:39pt;height:35.25pt" o:ole="">
            <v:imagedata r:id="rId62" o:title=""/>
          </v:shape>
          <o:OLEObject Type="Embed" ProgID="Equation.3" ShapeID="_x0000_i1054" DrawAspect="Content" ObjectID="_1493477182" r:id="rId63"/>
        </w:object>
      </w:r>
      <w:r w:rsidR="00F83A79">
        <w:rPr>
          <w:position w:val="-12"/>
        </w:rPr>
        <w:t xml:space="preserve"> </w:t>
      </w:r>
      <w:r w:rsidR="00F83A79">
        <w:rPr>
          <w:rFonts w:ascii="Times New Roman" w:hAnsi="Times New Roman" w:cs="Times New Roman"/>
          <w:sz w:val="24"/>
          <w:szCs w:val="24"/>
        </w:rPr>
        <w:t xml:space="preserve"> followed the </w:t>
      </w:r>
      <w:r w:rsidR="00F83A79" w:rsidRPr="004B466D">
        <w:rPr>
          <w:rFonts w:ascii="Times New Roman" w:hAnsi="Times New Roman" w:cs="Times New Roman"/>
          <w:sz w:val="24"/>
          <w:szCs w:val="24"/>
        </w:rPr>
        <w:t>Generalized Error Distribution (GED)</w:t>
      </w:r>
      <w:r w:rsidR="00F83A79">
        <w:rPr>
          <w:rFonts w:ascii="Times New Roman" w:hAnsi="Times New Roman" w:cs="Times New Roman"/>
          <w:sz w:val="24"/>
          <w:szCs w:val="24"/>
        </w:rPr>
        <w:t xml:space="preserve">, the log-likelihood function of </w:t>
      </w:r>
      <w:r w:rsidR="002E14C1">
        <w:rPr>
          <w:rFonts w:ascii="Times New Roman" w:hAnsi="Times New Roman" w:cs="Times New Roman"/>
          <w:sz w:val="24"/>
          <w:szCs w:val="24"/>
        </w:rPr>
        <w:t>GARCH-type models is</w:t>
      </w:r>
      <w:r w:rsidR="00EB136C">
        <w:rPr>
          <w:rFonts w:ascii="Times New Roman" w:hAnsi="Times New Roman" w:cs="Times New Roman"/>
          <w:sz w:val="24"/>
          <w:szCs w:val="24"/>
        </w:rPr>
        <w:t xml:space="preserve"> (Hamilton [50]</w:t>
      </w:r>
      <w:r w:rsidR="00466BBC">
        <w:rPr>
          <w:rFonts w:ascii="Times New Roman" w:hAnsi="Times New Roman" w:cs="Times New Roman"/>
          <w:sz w:val="24"/>
          <w:szCs w:val="24"/>
        </w:rPr>
        <w:t>)</w:t>
      </w:r>
    </w:p>
    <w:p w:rsidR="00F83A79" w:rsidRDefault="00F83A79" w:rsidP="00BD2665">
      <w:pPr>
        <w:autoSpaceDE w:val="0"/>
        <w:autoSpaceDN w:val="0"/>
        <w:adjustRightInd w:val="0"/>
        <w:spacing w:line="480" w:lineRule="auto"/>
        <w:jc w:val="both"/>
        <w:rPr>
          <w:rFonts w:ascii="Times New Roman" w:hAnsi="Times New Roman" w:cs="Times New Roman"/>
          <w:sz w:val="24"/>
          <w:szCs w:val="24"/>
        </w:rPr>
      </w:pPr>
      <w:r w:rsidRPr="00D741B0">
        <w:rPr>
          <w:rFonts w:ascii="Times New Roman" w:hAnsi="Times New Roman" w:cs="Times New Roman"/>
          <w:position w:val="-36"/>
          <w:sz w:val="24"/>
          <w:szCs w:val="24"/>
        </w:rPr>
        <w:object w:dxaOrig="6020" w:dyaOrig="840">
          <v:shape id="_x0000_i1055" type="#_x0000_t75" style="width:300.75pt;height:42pt" o:ole="">
            <v:imagedata r:id="rId64" o:title=""/>
          </v:shape>
          <o:OLEObject Type="Embed" ProgID="Equation.3" ShapeID="_x0000_i1055" DrawAspect="Content" ObjectID="_1493477183" r:id="rId65"/>
        </w:object>
      </w:r>
      <w:r>
        <w:rPr>
          <w:rFonts w:ascii="Times New Roman" w:hAnsi="Times New Roman" w:cs="Times New Roman"/>
          <w:sz w:val="24"/>
          <w:szCs w:val="24"/>
        </w:rPr>
        <w:t>,    --</w:t>
      </w:r>
      <w:r w:rsidR="005E6252">
        <w:rPr>
          <w:rFonts w:ascii="Times New Roman" w:hAnsi="Times New Roman" w:cs="Times New Roman"/>
          <w:sz w:val="24"/>
          <w:szCs w:val="24"/>
        </w:rPr>
        <w:t>-----</w:t>
      </w:r>
      <w:r w:rsidR="005E6252">
        <w:rPr>
          <w:rFonts w:ascii="Times New Roman" w:hAnsi="Times New Roman" w:cs="Times New Roman"/>
          <w:sz w:val="24"/>
          <w:szCs w:val="24"/>
        </w:rPr>
        <w:tab/>
      </w:r>
      <w:r w:rsidR="005E6252">
        <w:rPr>
          <w:rFonts w:ascii="Times New Roman" w:hAnsi="Times New Roman" w:cs="Times New Roman"/>
          <w:sz w:val="24"/>
          <w:szCs w:val="24"/>
        </w:rPr>
        <w:tab/>
      </w:r>
      <w:r>
        <w:rPr>
          <w:rFonts w:ascii="Times New Roman" w:hAnsi="Times New Roman" w:cs="Times New Roman"/>
          <w:sz w:val="24"/>
          <w:szCs w:val="24"/>
        </w:rPr>
        <w:t xml:space="preserve">        (4.4)</w:t>
      </w:r>
    </w:p>
    <w:p w:rsidR="00F83A79" w:rsidRPr="004B466D" w:rsidRDefault="00F83A79"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427704">
        <w:rPr>
          <w:rFonts w:ascii="Times New Roman" w:hAnsi="Times New Roman" w:cs="Times New Roman"/>
          <w:sz w:val="24"/>
          <w:szCs w:val="24"/>
        </w:rPr>
        <w:tab/>
      </w:r>
      <w:r>
        <w:rPr>
          <w:rFonts w:ascii="Times New Roman" w:hAnsi="Times New Roman" w:cs="Times New Roman"/>
          <w:sz w:val="24"/>
          <w:szCs w:val="24"/>
        </w:rPr>
        <w:tab/>
      </w:r>
      <w:r w:rsidRPr="00427704">
        <w:rPr>
          <w:rFonts w:ascii="Times New Roman" w:hAnsi="Times New Roman" w:cs="Times New Roman"/>
          <w:position w:val="-70"/>
          <w:sz w:val="24"/>
          <w:szCs w:val="24"/>
        </w:rPr>
        <w:object w:dxaOrig="1980" w:dyaOrig="1600">
          <v:shape id="_x0000_i1056" type="#_x0000_t75" style="width:99pt;height:80.25pt" o:ole="">
            <v:imagedata r:id="rId66" o:title=""/>
          </v:shape>
          <o:OLEObject Type="Embed" ProgID="Equation.3" ShapeID="_x0000_i1056" DrawAspect="Content" ObjectID="_1493477184" r:id="rId67"/>
        </w:object>
      </w:r>
      <w:r w:rsidR="005E6252">
        <w:rPr>
          <w:rFonts w:ascii="Times New Roman" w:hAnsi="Times New Roman" w:cs="Times New Roman"/>
          <w:sz w:val="24"/>
          <w:szCs w:val="24"/>
        </w:rPr>
        <w:t xml:space="preserve">         </w:t>
      </w:r>
      <w:r w:rsidR="005E6252">
        <w:rPr>
          <w:rFonts w:ascii="Times New Roman" w:hAnsi="Times New Roman" w:cs="Times New Roman"/>
          <w:sz w:val="24"/>
          <w:szCs w:val="24"/>
        </w:rPr>
        <w:tab/>
      </w:r>
      <w:r w:rsidR="005E6252">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r>
      <w:r w:rsidR="005E6252">
        <w:rPr>
          <w:rFonts w:ascii="Times New Roman" w:hAnsi="Times New Roman" w:cs="Times New Roman"/>
          <w:sz w:val="24"/>
          <w:szCs w:val="24"/>
        </w:rPr>
        <w:tab/>
        <w:t xml:space="preserve">         </w:t>
      </w:r>
      <w:r>
        <w:rPr>
          <w:rFonts w:ascii="Times New Roman" w:hAnsi="Times New Roman" w:cs="Times New Roman"/>
          <w:sz w:val="24"/>
          <w:szCs w:val="24"/>
        </w:rPr>
        <w:t>(4.5)</w:t>
      </w:r>
      <w:r>
        <w:rPr>
          <w:rFonts w:ascii="Times New Roman" w:hAnsi="Times New Roman" w:cs="Times New Roman"/>
          <w:sz w:val="24"/>
          <w:szCs w:val="24"/>
        </w:rPr>
        <w:tab/>
      </w:r>
    </w:p>
    <w:p w:rsidR="00F83A79" w:rsidRPr="004B466D" w:rsidRDefault="00CC68DA"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F83A79">
        <w:rPr>
          <w:rFonts w:ascii="Times New Roman" w:hAnsi="Times New Roman" w:cs="Times New Roman"/>
          <w:sz w:val="24"/>
          <w:szCs w:val="24"/>
        </w:rPr>
        <w:t>he density of a GED random variable normalized to have a mean of zero and a variance of one is given by:</w:t>
      </w:r>
    </w:p>
    <w:p w:rsidR="00F83A79" w:rsidRDefault="00F83A79" w:rsidP="00BD2665">
      <w:pPr>
        <w:spacing w:line="480" w:lineRule="auto"/>
        <w:ind w:left="720" w:firstLine="720"/>
        <w:contextualSpacing/>
        <w:jc w:val="both"/>
        <w:rPr>
          <w:rFonts w:ascii="Times New Roman" w:hAnsi="Times New Roman" w:cs="Times New Roman"/>
          <w:sz w:val="24"/>
          <w:szCs w:val="24"/>
        </w:rPr>
      </w:pPr>
      <w:r w:rsidRPr="00427704">
        <w:rPr>
          <w:rFonts w:ascii="Times New Roman" w:hAnsi="Times New Roman" w:cs="Times New Roman"/>
          <w:position w:val="-68"/>
          <w:sz w:val="24"/>
          <w:szCs w:val="24"/>
        </w:rPr>
        <w:object w:dxaOrig="5400" w:dyaOrig="1560">
          <v:shape id="_x0000_i1057" type="#_x0000_t75" style="width:270pt;height:78pt" o:ole="">
            <v:imagedata r:id="rId68" o:title=""/>
          </v:shape>
          <o:OLEObject Type="Embed" ProgID="Equation.3" ShapeID="_x0000_i1057" DrawAspect="Content" ObjectID="_1493477185" r:id="rId69"/>
        </w:object>
      </w:r>
      <w:r w:rsidRPr="0042770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(4.6)</w:t>
      </w:r>
      <w:r>
        <w:rPr>
          <w:rFonts w:ascii="Times New Roman" w:hAnsi="Times New Roman" w:cs="Times New Roman"/>
          <w:sz w:val="24"/>
          <w:szCs w:val="24"/>
        </w:rPr>
        <w:tab/>
      </w:r>
    </w:p>
    <w:p w:rsidR="002E14C1" w:rsidRDefault="00F83A79" w:rsidP="00BD2665">
      <w:pPr>
        <w:spacing w:before="20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427704">
        <w:rPr>
          <w:rFonts w:ascii="Times New Roman" w:hAnsi="Times New Roman" w:cs="Times New Roman"/>
          <w:sz w:val="24"/>
          <w:szCs w:val="24"/>
        </w:rPr>
        <w:t>here</w:t>
      </w:r>
      <w:r>
        <w:rPr>
          <w:rFonts w:ascii="Times New Roman" w:hAnsi="Times New Roman" w:cs="Times New Roman"/>
          <w:sz w:val="24"/>
          <w:szCs w:val="24"/>
        </w:rPr>
        <w:t xml:space="preserve"> </w:t>
      </w:r>
      <w:r w:rsidRPr="00B5046E">
        <w:rPr>
          <w:rFonts w:ascii="Times New Roman" w:hAnsi="Times New Roman" w:cs="Times New Roman"/>
          <w:position w:val="-30"/>
          <w:sz w:val="24"/>
          <w:szCs w:val="24"/>
        </w:rPr>
        <w:object w:dxaOrig="820" w:dyaOrig="700">
          <v:shape id="_x0000_i1058" type="#_x0000_t75" style="width:40.5pt;height:34.5pt" o:ole="">
            <v:imagedata r:id="rId70" o:title=""/>
          </v:shape>
          <o:OLEObject Type="Embed" ProgID="Equation.3" ShapeID="_x0000_i1058" DrawAspect="Content" ObjectID="_1493477186" r:id="rId71"/>
        </w:object>
      </w:r>
      <w:proofErr w:type="gramEnd"/>
      <w:r>
        <w:rPr>
          <w:rFonts w:ascii="Times New Roman" w:hAnsi="Times New Roman" w:cs="Times New Roman"/>
          <w:sz w:val="24"/>
          <w:szCs w:val="24"/>
        </w:rPr>
        <w:t>,</w:t>
      </w:r>
      <w:r w:rsidRPr="00427704">
        <w:rPr>
          <w:rFonts w:ascii="Times New Roman" w:hAnsi="Times New Roman" w:cs="Times New Roman"/>
          <w:sz w:val="24"/>
          <w:szCs w:val="24"/>
        </w:rPr>
        <w:t xml:space="preserve"> </w:t>
      </w:r>
      <w:r w:rsidRPr="00427704">
        <w:rPr>
          <w:rFonts w:ascii="Times New Roman" w:hAnsi="Times New Roman" w:cs="Times New Roman"/>
          <w:position w:val="-10"/>
          <w:sz w:val="24"/>
          <w:szCs w:val="24"/>
        </w:rPr>
        <w:object w:dxaOrig="440" w:dyaOrig="320">
          <v:shape id="_x0000_i1059" type="#_x0000_t75" style="width:21.75pt;height:15.75pt" o:ole="">
            <v:imagedata r:id="rId72" o:title=""/>
          </v:shape>
          <o:OLEObject Type="Embed" ProgID="Equation.3" ShapeID="_x0000_i1059" DrawAspect="Content" ObjectID="_1493477187" r:id="rId73"/>
        </w:object>
      </w:r>
      <w:r w:rsidRPr="00427704">
        <w:rPr>
          <w:rFonts w:ascii="Times New Roman" w:hAnsi="Times New Roman" w:cs="Times New Roman"/>
          <w:sz w:val="24"/>
          <w:szCs w:val="24"/>
        </w:rPr>
        <w:t xml:space="preserve"> is the gamma function</w:t>
      </w:r>
      <w:r>
        <w:rPr>
          <w:rFonts w:ascii="Times New Roman" w:hAnsi="Times New Roman" w:cs="Times New Roman"/>
          <w:sz w:val="24"/>
          <w:szCs w:val="24"/>
        </w:rPr>
        <w:t xml:space="preserve">, </w:t>
      </w:r>
      <w:r w:rsidRPr="005279D0">
        <w:rPr>
          <w:position w:val="-6"/>
        </w:rPr>
        <w:object w:dxaOrig="220" w:dyaOrig="279">
          <v:shape id="_x0000_i1060" type="#_x0000_t75" style="width:11.25pt;height:14.25pt" o:ole="">
            <v:imagedata r:id="rId74" o:title=""/>
          </v:shape>
          <o:OLEObject Type="Embed" ProgID="Equation.3" ShapeID="_x0000_i1060" DrawAspect="Content" ObjectID="_1493477188" r:id="rId75"/>
        </w:object>
      </w:r>
      <w:r w:rsidRPr="00427704">
        <w:rPr>
          <w:rFonts w:ascii="Times New Roman" w:hAnsi="Times New Roman" w:cs="Times New Roman"/>
          <w:sz w:val="24"/>
          <w:szCs w:val="24"/>
        </w:rPr>
        <w:t xml:space="preserve"> </w:t>
      </w:r>
      <w:r>
        <w:rPr>
          <w:rFonts w:ascii="Times New Roman" w:hAnsi="Times New Roman" w:cs="Times New Roman"/>
          <w:sz w:val="24"/>
          <w:szCs w:val="24"/>
        </w:rPr>
        <w:t xml:space="preserve">is as defined in (4.5), </w:t>
      </w:r>
      <w:r w:rsidRPr="00427704">
        <w:rPr>
          <w:rFonts w:ascii="Times New Roman" w:hAnsi="Times New Roman" w:cs="Times New Roman"/>
          <w:sz w:val="24"/>
          <w:szCs w:val="24"/>
        </w:rPr>
        <w:t>and</w:t>
      </w:r>
      <w:r>
        <w:rPr>
          <w:rFonts w:ascii="Times New Roman" w:hAnsi="Times New Roman" w:cs="Times New Roman"/>
          <w:sz w:val="24"/>
          <w:szCs w:val="24"/>
        </w:rPr>
        <w:t xml:space="preserve"> </w:t>
      </w:r>
      <w:r w:rsidRPr="002A7E81">
        <w:rPr>
          <w:rFonts w:ascii="Times New Roman" w:hAnsi="Times New Roman" w:cs="Times New Roman"/>
          <w:position w:val="-6"/>
          <w:sz w:val="24"/>
          <w:szCs w:val="24"/>
        </w:rPr>
        <w:object w:dxaOrig="200" w:dyaOrig="220">
          <v:shape id="_x0000_i1061" type="#_x0000_t75" style="width:9.75pt;height:11.25pt" o:ole="">
            <v:imagedata r:id="rId76" o:title=""/>
          </v:shape>
          <o:OLEObject Type="Embed" ProgID="Equation.3" ShapeID="_x0000_i1061" DrawAspect="Content" ObjectID="_1493477189" r:id="rId77"/>
        </w:object>
      </w:r>
      <w:r w:rsidRPr="002A7E81">
        <w:rPr>
          <w:rFonts w:ascii="Times New Roman" w:hAnsi="Times New Roman" w:cs="Times New Roman"/>
          <w:sz w:val="24"/>
          <w:szCs w:val="24"/>
        </w:rPr>
        <w:t xml:space="preserve"> is tail thickness parameter. </w:t>
      </w:r>
      <w:proofErr w:type="gramStart"/>
      <w:r w:rsidRPr="002A7E81">
        <w:rPr>
          <w:rFonts w:ascii="Times New Roman" w:hAnsi="Times New Roman" w:cs="Times New Roman"/>
          <w:sz w:val="24"/>
          <w:szCs w:val="24"/>
        </w:rPr>
        <w:t xml:space="preserve">When </w:t>
      </w:r>
      <w:r w:rsidRPr="002A7E81">
        <w:rPr>
          <w:rFonts w:ascii="Times New Roman" w:hAnsi="Times New Roman" w:cs="Times New Roman"/>
          <w:position w:val="-6"/>
          <w:sz w:val="24"/>
          <w:szCs w:val="24"/>
        </w:rPr>
        <w:object w:dxaOrig="580" w:dyaOrig="279">
          <v:shape id="_x0000_i1062" type="#_x0000_t75" style="width:29.25pt;height:14.25pt" o:ole="">
            <v:imagedata r:id="rId78" o:title=""/>
          </v:shape>
          <o:OLEObject Type="Embed" ProgID="Equation.3" ShapeID="_x0000_i1062" DrawAspect="Content" ObjectID="_1493477190" r:id="rId79"/>
        </w:object>
      </w:r>
      <w:proofErr w:type="gramEnd"/>
      <w:r w:rsidRPr="002A7E81">
        <w:rPr>
          <w:rFonts w:ascii="Times New Roman" w:hAnsi="Times New Roman" w:cs="Times New Roman"/>
          <w:sz w:val="24"/>
          <w:szCs w:val="24"/>
        </w:rPr>
        <w:t xml:space="preserve">, has a standard normal distribution. </w:t>
      </w:r>
      <w:proofErr w:type="gramStart"/>
      <w:r w:rsidRPr="002A7E81">
        <w:rPr>
          <w:rFonts w:ascii="Times New Roman" w:hAnsi="Times New Roman" w:cs="Times New Roman"/>
          <w:sz w:val="24"/>
          <w:szCs w:val="24"/>
        </w:rPr>
        <w:t xml:space="preserve">For </w:t>
      </w:r>
      <w:r w:rsidRPr="002A7E81">
        <w:rPr>
          <w:rFonts w:ascii="Times New Roman" w:hAnsi="Times New Roman" w:cs="Times New Roman"/>
          <w:position w:val="-6"/>
          <w:sz w:val="24"/>
          <w:szCs w:val="24"/>
        </w:rPr>
        <w:object w:dxaOrig="580" w:dyaOrig="279">
          <v:shape id="_x0000_i1063" type="#_x0000_t75" style="width:29.25pt;height:14.25pt" o:ole="">
            <v:imagedata r:id="rId80" o:title=""/>
          </v:shape>
          <o:OLEObject Type="Embed" ProgID="Equation.3" ShapeID="_x0000_i1063" DrawAspect="Content" ObjectID="_1493477191" r:id="rId81"/>
        </w:object>
      </w:r>
      <w:proofErr w:type="gramEnd"/>
      <w:r w:rsidRPr="002A7E81">
        <w:rPr>
          <w:rFonts w:ascii="Times New Roman" w:hAnsi="Times New Roman" w:cs="Times New Roman"/>
          <w:sz w:val="24"/>
          <w:szCs w:val="24"/>
        </w:rPr>
        <w:t xml:space="preserve">, the distribution of </w:t>
      </w:r>
      <w:r w:rsidRPr="002A7E81">
        <w:rPr>
          <w:rFonts w:ascii="Times New Roman" w:hAnsi="Times New Roman" w:cs="Times New Roman"/>
          <w:position w:val="-12"/>
          <w:sz w:val="24"/>
          <w:szCs w:val="24"/>
        </w:rPr>
        <w:object w:dxaOrig="240" w:dyaOrig="360">
          <v:shape id="_x0000_i1064" type="#_x0000_t75" style="width:12pt;height:18.75pt" o:ole="">
            <v:imagedata r:id="rId82" o:title=""/>
          </v:shape>
          <o:OLEObject Type="Embed" ProgID="Equation.3" ShapeID="_x0000_i1064" DrawAspect="Content" ObjectID="_1493477192" r:id="rId83"/>
        </w:object>
      </w:r>
      <w:r w:rsidRPr="002A7E81">
        <w:rPr>
          <w:rFonts w:ascii="Times New Roman" w:hAnsi="Times New Roman" w:cs="Times New Roman"/>
          <w:sz w:val="24"/>
          <w:szCs w:val="24"/>
        </w:rPr>
        <w:t xml:space="preserve"> has a thicker tail than the normal and for </w:t>
      </w:r>
      <w:r w:rsidRPr="002A7E81">
        <w:rPr>
          <w:rFonts w:ascii="Times New Roman" w:hAnsi="Times New Roman" w:cs="Times New Roman"/>
          <w:position w:val="-6"/>
          <w:sz w:val="24"/>
          <w:szCs w:val="24"/>
        </w:rPr>
        <w:object w:dxaOrig="580" w:dyaOrig="279">
          <v:shape id="_x0000_i1065" type="#_x0000_t75" style="width:29.25pt;height:14.25pt" o:ole="">
            <v:imagedata r:id="rId84" o:title=""/>
          </v:shape>
          <o:OLEObject Type="Embed" ProgID="Equation.3" ShapeID="_x0000_i1065" DrawAspect="Content" ObjectID="_1493477193" r:id="rId85"/>
        </w:object>
      </w:r>
      <w:r w:rsidRPr="002A7E81">
        <w:rPr>
          <w:rFonts w:ascii="Times New Roman" w:hAnsi="Times New Roman" w:cs="Times New Roman"/>
          <w:sz w:val="24"/>
          <w:szCs w:val="24"/>
        </w:rPr>
        <w:t xml:space="preserve"> , the distribution of </w:t>
      </w:r>
      <w:r w:rsidRPr="002A7E81">
        <w:rPr>
          <w:rFonts w:ascii="Times New Roman" w:hAnsi="Times New Roman" w:cs="Times New Roman"/>
          <w:position w:val="-12"/>
          <w:sz w:val="24"/>
          <w:szCs w:val="24"/>
        </w:rPr>
        <w:object w:dxaOrig="240" w:dyaOrig="360">
          <v:shape id="_x0000_i1066" type="#_x0000_t75" style="width:12pt;height:18.75pt" o:ole="">
            <v:imagedata r:id="rId82" o:title=""/>
          </v:shape>
          <o:OLEObject Type="Embed" ProgID="Equation.3" ShapeID="_x0000_i1066" DrawAspect="Content" ObjectID="_1493477194" r:id="rId86"/>
        </w:object>
      </w:r>
      <w:r w:rsidRPr="002A7E81">
        <w:rPr>
          <w:rFonts w:ascii="Times New Roman" w:hAnsi="Times New Roman" w:cs="Times New Roman"/>
          <w:position w:val="-12"/>
          <w:sz w:val="24"/>
          <w:szCs w:val="24"/>
        </w:rPr>
        <w:t xml:space="preserve"> </w:t>
      </w:r>
      <w:r w:rsidRPr="002A7E81">
        <w:rPr>
          <w:rFonts w:ascii="Times New Roman" w:hAnsi="Times New Roman" w:cs="Times New Roman"/>
          <w:sz w:val="24"/>
          <w:szCs w:val="24"/>
        </w:rPr>
        <w:t>has thinner tails than the normal</w:t>
      </w:r>
      <w:r w:rsidR="00EB136C">
        <w:rPr>
          <w:rFonts w:ascii="Times New Roman" w:hAnsi="Times New Roman" w:cs="Times New Roman"/>
          <w:sz w:val="24"/>
          <w:szCs w:val="24"/>
        </w:rPr>
        <w:t xml:space="preserve"> (Hamilton [50]</w:t>
      </w:r>
      <w:r w:rsidR="002E14C1">
        <w:rPr>
          <w:rFonts w:ascii="Times New Roman" w:hAnsi="Times New Roman" w:cs="Times New Roman"/>
          <w:sz w:val="24"/>
          <w:szCs w:val="24"/>
        </w:rPr>
        <w:t>)</w:t>
      </w:r>
      <w:r w:rsidRPr="002A7E81">
        <w:rPr>
          <w:rFonts w:ascii="Times New Roman" w:hAnsi="Times New Roman" w:cs="Times New Roman"/>
          <w:sz w:val="24"/>
          <w:szCs w:val="24"/>
        </w:rPr>
        <w:t>.</w:t>
      </w:r>
    </w:p>
    <w:p w:rsidR="008557B5" w:rsidRDefault="008557B5" w:rsidP="00BD2665">
      <w:pPr>
        <w:spacing w:before="200" w:line="480" w:lineRule="auto"/>
        <w:jc w:val="both"/>
        <w:rPr>
          <w:rFonts w:ascii="Times New Roman" w:hAnsi="Times New Roman" w:cs="Times New Roman"/>
          <w:sz w:val="24"/>
          <w:szCs w:val="24"/>
        </w:rPr>
      </w:pPr>
      <w:r w:rsidRPr="002A7E81">
        <w:rPr>
          <w:rFonts w:ascii="Times New Roman" w:hAnsi="Times New Roman" w:cs="Times New Roman"/>
          <w:sz w:val="24"/>
          <w:szCs w:val="24"/>
        </w:rPr>
        <w:t>Under sufficient regularity conditions, the maximum likelihood estimator is consistent and asym</w:t>
      </w:r>
      <w:r w:rsidR="00EB136C">
        <w:rPr>
          <w:rFonts w:ascii="Times New Roman" w:hAnsi="Times New Roman" w:cs="Times New Roman"/>
          <w:sz w:val="24"/>
          <w:szCs w:val="24"/>
        </w:rPr>
        <w:t>ptotically normal (Nelson [15]</w:t>
      </w:r>
      <w:r w:rsidRPr="002A7E81">
        <w:rPr>
          <w:rFonts w:ascii="Times New Roman" w:hAnsi="Times New Roman" w:cs="Times New Roman"/>
          <w:sz w:val="24"/>
          <w:szCs w:val="24"/>
        </w:rPr>
        <w:t xml:space="preserve">). </w:t>
      </w:r>
      <w:r w:rsidRPr="00F33004">
        <w:rPr>
          <w:rFonts w:ascii="Times New Roman" w:hAnsi="Times New Roman" w:cs="Times New Roman"/>
          <w:sz w:val="24"/>
          <w:szCs w:val="24"/>
        </w:rPr>
        <w:t>GARCH(1,1)</w:t>
      </w:r>
      <w:r w:rsidR="00917676">
        <w:rPr>
          <w:rFonts w:ascii="Times New Roman" w:hAnsi="Times New Roman" w:cs="Times New Roman"/>
          <w:sz w:val="24"/>
          <w:szCs w:val="24"/>
        </w:rPr>
        <w:t xml:space="preserve"> and EGARCH(1,1)</w:t>
      </w:r>
      <w:r w:rsidRPr="00F33004">
        <w:rPr>
          <w:rFonts w:ascii="Times New Roman" w:hAnsi="Times New Roman" w:cs="Times New Roman"/>
          <w:sz w:val="24"/>
          <w:szCs w:val="24"/>
        </w:rPr>
        <w:t xml:space="preserve"> specifications are employed despite the existence of higher order GARCH specifications on the strength of empirical evidence</w:t>
      </w:r>
      <w:r w:rsidRPr="00B1015D">
        <w:rPr>
          <w:rFonts w:ascii="Times New Roman" w:eastAsia="Calibri" w:hAnsi="Times New Roman" w:cs="Times New Roman"/>
          <w:sz w:val="24"/>
          <w:szCs w:val="24"/>
        </w:rPr>
        <w:t xml:space="preserve"> </w:t>
      </w:r>
      <w:r w:rsidRPr="002A7E81">
        <w:rPr>
          <w:rFonts w:ascii="Times New Roman" w:eastAsia="Calibri" w:hAnsi="Times New Roman" w:cs="Times New Roman"/>
          <w:sz w:val="24"/>
          <w:szCs w:val="24"/>
        </w:rPr>
        <w:t xml:space="preserve">such as </w:t>
      </w:r>
      <w:r w:rsidR="00EB136C">
        <w:rPr>
          <w:rFonts w:ascii="Times New Roman" w:hAnsi="Times New Roman" w:cs="Times New Roman"/>
          <w:sz w:val="24"/>
          <w:szCs w:val="24"/>
        </w:rPr>
        <w:t>Hsieh [4</w:t>
      </w:r>
      <w:r w:rsidRPr="002A7E81">
        <w:rPr>
          <w:rFonts w:ascii="Times New Roman" w:hAnsi="Times New Roman" w:cs="Times New Roman"/>
          <w:sz w:val="24"/>
          <w:szCs w:val="24"/>
        </w:rPr>
        <w:t>9</w:t>
      </w:r>
      <w:r w:rsidR="00EB136C">
        <w:rPr>
          <w:rFonts w:ascii="Times New Roman" w:hAnsi="Times New Roman" w:cs="Times New Roman"/>
          <w:sz w:val="24"/>
          <w:szCs w:val="24"/>
        </w:rPr>
        <w:t>]</w:t>
      </w:r>
      <w:r w:rsidRPr="002A7E81">
        <w:rPr>
          <w:rFonts w:ascii="Times New Roman" w:hAnsi="Times New Roman" w:cs="Times New Roman"/>
          <w:sz w:val="24"/>
          <w:szCs w:val="24"/>
        </w:rPr>
        <w:t xml:space="preserve"> </w:t>
      </w:r>
      <w:r w:rsidR="00EB136C">
        <w:rPr>
          <w:rFonts w:ascii="Times New Roman" w:hAnsi="Times New Roman" w:cs="Times New Roman"/>
          <w:sz w:val="24"/>
          <w:szCs w:val="24"/>
        </w:rPr>
        <w:t>and Malik [51]</w:t>
      </w:r>
      <w:r>
        <w:rPr>
          <w:rFonts w:ascii="Times New Roman" w:hAnsi="Times New Roman" w:cs="Times New Roman"/>
          <w:sz w:val="24"/>
          <w:szCs w:val="24"/>
        </w:rPr>
        <w:t xml:space="preserve"> </w:t>
      </w:r>
      <w:r w:rsidRPr="00F33004">
        <w:rPr>
          <w:rFonts w:ascii="Times New Roman" w:hAnsi="Times New Roman" w:cs="Times New Roman"/>
          <w:sz w:val="24"/>
          <w:szCs w:val="24"/>
        </w:rPr>
        <w:t xml:space="preserve"> that they are parsimonious and most common specification of GARCH models that sufficiently </w:t>
      </w:r>
      <w:proofErr w:type="spellStart"/>
      <w:r w:rsidRPr="00F33004">
        <w:rPr>
          <w:rFonts w:ascii="Times New Roman" w:hAnsi="Times New Roman" w:cs="Times New Roman"/>
          <w:sz w:val="24"/>
          <w:szCs w:val="24"/>
        </w:rPr>
        <w:t>characterise</w:t>
      </w:r>
      <w:proofErr w:type="spellEnd"/>
      <w:r w:rsidRPr="00F33004">
        <w:rPr>
          <w:rFonts w:ascii="Times New Roman" w:hAnsi="Times New Roman" w:cs="Times New Roman"/>
          <w:sz w:val="24"/>
          <w:szCs w:val="24"/>
        </w:rPr>
        <w:t xml:space="preserve"> the </w:t>
      </w:r>
      <w:proofErr w:type="spellStart"/>
      <w:r w:rsidRPr="00F33004">
        <w:rPr>
          <w:rFonts w:ascii="Times New Roman" w:hAnsi="Times New Roman" w:cs="Times New Roman"/>
          <w:sz w:val="24"/>
          <w:szCs w:val="24"/>
        </w:rPr>
        <w:t>behaviour</w:t>
      </w:r>
      <w:proofErr w:type="spellEnd"/>
      <w:r w:rsidRPr="00F33004">
        <w:rPr>
          <w:rFonts w:ascii="Times New Roman" w:hAnsi="Times New Roman" w:cs="Times New Roman"/>
          <w:sz w:val="24"/>
          <w:szCs w:val="24"/>
        </w:rPr>
        <w:t xml:space="preserve"> of the exchange rate</w:t>
      </w:r>
      <w:r>
        <w:rPr>
          <w:rFonts w:ascii="Times New Roman" w:hAnsi="Times New Roman" w:cs="Times New Roman"/>
          <w:sz w:val="24"/>
          <w:szCs w:val="24"/>
        </w:rPr>
        <w:t>s</w:t>
      </w:r>
      <w:r w:rsidR="00EB136C">
        <w:rPr>
          <w:rFonts w:ascii="Times New Roman" w:hAnsi="Times New Roman" w:cs="Times New Roman"/>
          <w:sz w:val="24"/>
          <w:szCs w:val="24"/>
        </w:rPr>
        <w:t xml:space="preserve"> (</w:t>
      </w:r>
      <w:proofErr w:type="spellStart"/>
      <w:r w:rsidR="00EB136C">
        <w:rPr>
          <w:rFonts w:ascii="Times New Roman" w:hAnsi="Times New Roman" w:cs="Times New Roman"/>
          <w:sz w:val="24"/>
          <w:szCs w:val="24"/>
        </w:rPr>
        <w:t>Koc</w:t>
      </w:r>
      <w:r w:rsidRPr="00F33004">
        <w:rPr>
          <w:rFonts w:ascii="Times New Roman" w:hAnsi="Times New Roman" w:cs="Times New Roman"/>
          <w:sz w:val="24"/>
          <w:szCs w:val="24"/>
        </w:rPr>
        <w:t>enda</w:t>
      </w:r>
      <w:proofErr w:type="spellEnd"/>
      <w:r w:rsidR="00EB136C">
        <w:rPr>
          <w:rFonts w:ascii="Times New Roman" w:hAnsi="Times New Roman" w:cs="Times New Roman"/>
          <w:sz w:val="24"/>
          <w:szCs w:val="24"/>
        </w:rPr>
        <w:t xml:space="preserve"> and </w:t>
      </w:r>
      <w:proofErr w:type="spellStart"/>
      <w:r w:rsidR="00EB136C">
        <w:rPr>
          <w:rFonts w:ascii="Times New Roman" w:hAnsi="Times New Roman" w:cs="Times New Roman"/>
          <w:sz w:val="24"/>
          <w:szCs w:val="24"/>
        </w:rPr>
        <w:t>Valachy</w:t>
      </w:r>
      <w:proofErr w:type="spellEnd"/>
      <w:r w:rsidR="00EB136C">
        <w:rPr>
          <w:rFonts w:ascii="Times New Roman" w:hAnsi="Times New Roman" w:cs="Times New Roman"/>
          <w:sz w:val="24"/>
          <w:szCs w:val="24"/>
        </w:rPr>
        <w:t xml:space="preserve"> [5]</w:t>
      </w:r>
      <w:r>
        <w:rPr>
          <w:rFonts w:ascii="Times New Roman" w:hAnsi="Times New Roman" w:cs="Times New Roman"/>
          <w:sz w:val="24"/>
          <w:szCs w:val="24"/>
        </w:rPr>
        <w:t xml:space="preserve">; </w:t>
      </w:r>
      <w:r w:rsidR="00EB136C">
        <w:rPr>
          <w:rFonts w:ascii="Times New Roman" w:hAnsi="Times New Roman" w:cs="Times New Roman"/>
          <w:sz w:val="24"/>
          <w:szCs w:val="24"/>
        </w:rPr>
        <w:t xml:space="preserve">and </w:t>
      </w:r>
      <w:proofErr w:type="spellStart"/>
      <w:r w:rsidR="00EB136C">
        <w:rPr>
          <w:rFonts w:ascii="Times New Roman" w:hAnsi="Times New Roman" w:cs="Times New Roman"/>
          <w:sz w:val="24"/>
          <w:szCs w:val="24"/>
        </w:rPr>
        <w:t>Harrathi</w:t>
      </w:r>
      <w:proofErr w:type="spellEnd"/>
      <w:r w:rsidR="00EB136C">
        <w:rPr>
          <w:rFonts w:ascii="Times New Roman" w:hAnsi="Times New Roman" w:cs="Times New Roman"/>
          <w:sz w:val="24"/>
          <w:szCs w:val="24"/>
        </w:rPr>
        <w:t xml:space="preserve"> and </w:t>
      </w:r>
      <w:proofErr w:type="spellStart"/>
      <w:r w:rsidR="00EB136C">
        <w:rPr>
          <w:rFonts w:ascii="Times New Roman" w:hAnsi="Times New Roman" w:cs="Times New Roman"/>
          <w:sz w:val="24"/>
          <w:szCs w:val="24"/>
        </w:rPr>
        <w:t>Mokhtar</w:t>
      </w:r>
      <w:proofErr w:type="spellEnd"/>
      <w:r w:rsidR="00EB136C">
        <w:rPr>
          <w:rFonts w:ascii="Times New Roman" w:hAnsi="Times New Roman" w:cs="Times New Roman"/>
          <w:sz w:val="24"/>
          <w:szCs w:val="24"/>
        </w:rPr>
        <w:t xml:space="preserve"> [52]</w:t>
      </w:r>
      <w:r w:rsidRPr="00F33004">
        <w:rPr>
          <w:rFonts w:ascii="Times New Roman" w:hAnsi="Times New Roman" w:cs="Times New Roman"/>
          <w:sz w:val="24"/>
          <w:szCs w:val="24"/>
        </w:rPr>
        <w:t>).</w:t>
      </w:r>
      <w:r>
        <w:rPr>
          <w:rFonts w:ascii="Times New Roman" w:hAnsi="Times New Roman" w:cs="Times New Roman"/>
          <w:sz w:val="24"/>
          <w:szCs w:val="24"/>
        </w:rPr>
        <w:t xml:space="preserve"> The model parameters are</w:t>
      </w:r>
      <w:r w:rsidRPr="002A7E81">
        <w:rPr>
          <w:rFonts w:ascii="Times New Roman" w:hAnsi="Times New Roman" w:cs="Times New Roman"/>
          <w:sz w:val="24"/>
          <w:szCs w:val="24"/>
        </w:rPr>
        <w:t xml:space="preserve"> estimated using the maximum likelihood proce</w:t>
      </w:r>
      <w:r w:rsidR="002E14C1">
        <w:rPr>
          <w:rFonts w:ascii="Times New Roman" w:hAnsi="Times New Roman" w:cs="Times New Roman"/>
          <w:sz w:val="24"/>
          <w:szCs w:val="24"/>
        </w:rPr>
        <w:t>dure coupled with Marquardt modifications</w:t>
      </w:r>
      <w:r w:rsidRPr="002A7E81">
        <w:rPr>
          <w:rFonts w:ascii="Times New Roman" w:hAnsi="Times New Roman" w:cs="Times New Roman"/>
          <w:sz w:val="24"/>
          <w:szCs w:val="24"/>
        </w:rPr>
        <w:t>.</w:t>
      </w:r>
      <w:r>
        <w:rPr>
          <w:rFonts w:ascii="Times New Roman" w:hAnsi="Times New Roman" w:cs="Times New Roman"/>
          <w:sz w:val="24"/>
          <w:szCs w:val="24"/>
        </w:rPr>
        <w:t xml:space="preserve"> The relevant variance equations are</w:t>
      </w:r>
    </w:p>
    <w:p w:rsidR="00F83A79" w:rsidRDefault="00F83A79" w:rsidP="00BD2665">
      <w:pPr>
        <w:autoSpaceDE w:val="0"/>
        <w:autoSpaceDN w:val="0"/>
        <w:adjustRightInd w:val="0"/>
        <w:spacing w:after="0" w:line="480" w:lineRule="auto"/>
        <w:jc w:val="both"/>
        <w:rPr>
          <w:rFonts w:ascii="Times New Roman" w:hAnsi="Times New Roman" w:cs="Times New Roman"/>
          <w:sz w:val="24"/>
          <w:szCs w:val="24"/>
        </w:rPr>
      </w:pPr>
      <w:r w:rsidRPr="00BE1A6F">
        <w:rPr>
          <w:rFonts w:ascii="Times New Roman" w:hAnsi="Times New Roman" w:cs="Times New Roman"/>
          <w:sz w:val="24"/>
          <w:szCs w:val="24"/>
        </w:rPr>
        <w:t>1</w:t>
      </w:r>
      <w:r>
        <w:rPr>
          <w:rFonts w:ascii="Times New Roman" w:hAnsi="Times New Roman" w:cs="Times New Roman"/>
          <w:sz w:val="24"/>
          <w:szCs w:val="24"/>
        </w:rPr>
        <w:t>) Full sample without dummy variable C</w:t>
      </w:r>
    </w:p>
    <w:p w:rsidR="00F83A79" w:rsidRDefault="00F83A79" w:rsidP="00BD2665">
      <w:pPr>
        <w:spacing w:after="0" w:line="480" w:lineRule="auto"/>
        <w:ind w:firstLine="720"/>
        <w:jc w:val="both"/>
        <w:rPr>
          <w:rFonts w:ascii="Times New Roman" w:hAnsi="Times New Roman"/>
          <w:sz w:val="24"/>
          <w:szCs w:val="24"/>
        </w:rPr>
      </w:pPr>
      <w:r w:rsidRPr="00BE1A6F">
        <w:rPr>
          <w:rFonts w:ascii="Times New Roman" w:hAnsi="Times New Roman" w:cs="Times New Roman"/>
          <w:position w:val="-32"/>
        </w:rPr>
        <w:object w:dxaOrig="3879" w:dyaOrig="760">
          <v:shape id="_x0000_i1067" type="#_x0000_t75" style="width:194.25pt;height:37.5pt" o:ole="">
            <v:imagedata r:id="rId87" o:title=""/>
          </v:shape>
          <o:OLEObject Type="Embed" ProgID="Equation.3" ShapeID="_x0000_i1067" DrawAspect="Content" ObjectID="_1493477195" r:id="rId88"/>
        </w:object>
      </w:r>
      <w:r>
        <w:rPr>
          <w:rFonts w:ascii="Times New Roman" w:hAnsi="Times New Roman" w:cs="Times New Roman"/>
          <w:position w:val="-32"/>
        </w:rPr>
        <w:tab/>
      </w:r>
      <w:r>
        <w:rPr>
          <w:rFonts w:ascii="Times New Roman" w:hAnsi="Times New Roman" w:cs="Times New Roman"/>
          <w:position w:val="-32"/>
        </w:rPr>
        <w:tab/>
      </w:r>
      <w:r>
        <w:rPr>
          <w:rFonts w:ascii="Times New Roman" w:hAnsi="Times New Roman"/>
          <w:sz w:val="24"/>
          <w:szCs w:val="24"/>
        </w:rPr>
        <w:t>--</w:t>
      </w:r>
      <w:r w:rsidR="00C97B67">
        <w:rPr>
          <w:rFonts w:ascii="Times New Roman" w:hAnsi="Times New Roman"/>
          <w:sz w:val="24"/>
          <w:szCs w:val="24"/>
        </w:rPr>
        <w:t>----</w:t>
      </w:r>
      <w:r w:rsidR="00C97B67">
        <w:rPr>
          <w:rFonts w:ascii="Times New Roman" w:hAnsi="Times New Roman"/>
          <w:sz w:val="24"/>
          <w:szCs w:val="24"/>
        </w:rPr>
        <w:tab/>
      </w:r>
      <w:r w:rsidR="00C97B67">
        <w:rPr>
          <w:rFonts w:ascii="Times New Roman" w:hAnsi="Times New Roman"/>
          <w:sz w:val="24"/>
          <w:szCs w:val="24"/>
        </w:rPr>
        <w:tab/>
      </w:r>
      <w:r w:rsidR="00C97B67">
        <w:rPr>
          <w:rFonts w:ascii="Times New Roman" w:hAnsi="Times New Roman"/>
          <w:sz w:val="24"/>
          <w:szCs w:val="24"/>
        </w:rPr>
        <w:tab/>
      </w:r>
      <w:r>
        <w:rPr>
          <w:rFonts w:ascii="Times New Roman" w:hAnsi="Times New Roman"/>
          <w:sz w:val="24"/>
          <w:szCs w:val="24"/>
        </w:rPr>
        <w:tab/>
        <w:t>(4.7</w:t>
      </w:r>
      <w:r w:rsidRPr="0087678F">
        <w:rPr>
          <w:rFonts w:ascii="Times New Roman" w:hAnsi="Times New Roman"/>
          <w:sz w:val="24"/>
          <w:szCs w:val="24"/>
        </w:rPr>
        <w:t>)</w:t>
      </w:r>
    </w:p>
    <w:p w:rsidR="00F83A79" w:rsidRDefault="00F83A79" w:rsidP="00BD26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Full sample with dummy variable C</w:t>
      </w:r>
    </w:p>
    <w:p w:rsidR="00F83A79" w:rsidRDefault="00F83A79" w:rsidP="00BD2665">
      <w:pPr>
        <w:spacing w:after="0" w:line="480" w:lineRule="auto"/>
        <w:ind w:firstLine="720"/>
        <w:jc w:val="both"/>
        <w:rPr>
          <w:rFonts w:ascii="Times New Roman" w:hAnsi="Times New Roman"/>
          <w:sz w:val="24"/>
          <w:szCs w:val="24"/>
        </w:rPr>
      </w:pPr>
      <w:r w:rsidRPr="00BE1A6F">
        <w:rPr>
          <w:rFonts w:ascii="Times New Roman" w:hAnsi="Times New Roman" w:cs="Times New Roman"/>
          <w:position w:val="-32"/>
        </w:rPr>
        <w:object w:dxaOrig="4380" w:dyaOrig="760">
          <v:shape id="_x0000_i1068" type="#_x0000_t75" style="width:219.75pt;height:37.5pt" o:ole="">
            <v:imagedata r:id="rId89" o:title=""/>
          </v:shape>
          <o:OLEObject Type="Embed" ProgID="Equation.3" ShapeID="_x0000_i1068" DrawAspect="Content" ObjectID="_1493477196" r:id="rId90"/>
        </w:object>
      </w:r>
      <w:r>
        <w:rPr>
          <w:rFonts w:ascii="Times New Roman" w:hAnsi="Times New Roman" w:cs="Times New Roman"/>
          <w:position w:val="-32"/>
        </w:rPr>
        <w:tab/>
      </w:r>
      <w:r>
        <w:rPr>
          <w:rFonts w:ascii="Times New Roman" w:hAnsi="Times New Roman"/>
          <w:sz w:val="24"/>
          <w:szCs w:val="24"/>
        </w:rPr>
        <w:t>--</w:t>
      </w:r>
      <w:r w:rsidR="00C97B67">
        <w:rPr>
          <w:rFonts w:ascii="Times New Roman" w:hAnsi="Times New Roman"/>
          <w:sz w:val="24"/>
          <w:szCs w:val="24"/>
        </w:rPr>
        <w:t>-----</w:t>
      </w:r>
      <w:r w:rsidR="00C97B67">
        <w:rPr>
          <w:rFonts w:ascii="Times New Roman" w:hAnsi="Times New Roman"/>
          <w:sz w:val="24"/>
          <w:szCs w:val="24"/>
        </w:rPr>
        <w:tab/>
      </w:r>
      <w:r w:rsidR="00C97B67">
        <w:rPr>
          <w:rFonts w:ascii="Times New Roman" w:hAnsi="Times New Roman"/>
          <w:sz w:val="24"/>
          <w:szCs w:val="24"/>
        </w:rPr>
        <w:tab/>
      </w:r>
      <w:r w:rsidR="00C97B67">
        <w:rPr>
          <w:rFonts w:ascii="Times New Roman" w:hAnsi="Times New Roman"/>
          <w:sz w:val="24"/>
          <w:szCs w:val="24"/>
        </w:rPr>
        <w:tab/>
      </w:r>
      <w:r>
        <w:rPr>
          <w:rFonts w:ascii="Times New Roman" w:hAnsi="Times New Roman"/>
          <w:sz w:val="24"/>
          <w:szCs w:val="24"/>
        </w:rPr>
        <w:tab/>
        <w:t>(4.8</w:t>
      </w:r>
      <w:r w:rsidRPr="0087678F">
        <w:rPr>
          <w:rFonts w:ascii="Times New Roman" w:hAnsi="Times New Roman"/>
          <w:sz w:val="24"/>
          <w:szCs w:val="24"/>
        </w:rPr>
        <w:t>)</w:t>
      </w:r>
    </w:p>
    <w:p w:rsidR="00DE5449" w:rsidRDefault="00F83A79" w:rsidP="00BD2665">
      <w:pPr>
        <w:spacing w:line="480" w:lineRule="auto"/>
        <w:jc w:val="both"/>
        <w:rPr>
          <w:rFonts w:ascii="Times New Roman" w:hAnsi="Times New Roman"/>
          <w:sz w:val="24"/>
          <w:szCs w:val="24"/>
        </w:rPr>
      </w:pPr>
      <w:r>
        <w:rPr>
          <w:rFonts w:ascii="Times New Roman" w:hAnsi="Times New Roman"/>
          <w:sz w:val="24"/>
          <w:szCs w:val="24"/>
        </w:rPr>
        <w:t xml:space="preserve">Where </w:t>
      </w:r>
      <w:proofErr w:type="spellStart"/>
      <w:r>
        <w:rPr>
          <w:rFonts w:ascii="Times New Roman" w:hAnsi="Times New Roman"/>
          <w:sz w:val="24"/>
          <w:szCs w:val="24"/>
        </w:rPr>
        <w:t>t</w:t>
      </w:r>
      <w:proofErr w:type="spellEnd"/>
      <w:r>
        <w:rPr>
          <w:rFonts w:ascii="Times New Roman" w:hAnsi="Times New Roman"/>
          <w:sz w:val="24"/>
          <w:szCs w:val="24"/>
        </w:rPr>
        <w:t xml:space="preserve"> is the period (in days), </w:t>
      </w:r>
      <w:r w:rsidRPr="008B4463">
        <w:rPr>
          <w:position w:val="-6"/>
        </w:rPr>
        <w:object w:dxaOrig="200" w:dyaOrig="279">
          <v:shape id="_x0000_i1069" type="#_x0000_t75" style="width:9.75pt;height:14.25pt" o:ole="">
            <v:imagedata r:id="rId91" o:title=""/>
          </v:shape>
          <o:OLEObject Type="Embed" ProgID="Equation.3" ShapeID="_x0000_i1069" DrawAspect="Content" ObjectID="_1493477197" r:id="rId92"/>
        </w:object>
      </w:r>
      <w:r>
        <w:rPr>
          <w:rFonts w:ascii="Times New Roman" w:hAnsi="Times New Roman"/>
          <w:sz w:val="24"/>
          <w:szCs w:val="24"/>
        </w:rPr>
        <w:t xml:space="preserve"> is the dummy variable coefficient and C the dummy variable </w:t>
      </w:r>
      <w:r>
        <w:rPr>
          <w:rFonts w:ascii="Times New Roman" w:hAnsi="Times New Roman" w:cs="Times New Roman"/>
          <w:sz w:val="24"/>
          <w:szCs w:val="24"/>
        </w:rPr>
        <w:t>whic</w:t>
      </w:r>
      <w:r w:rsidR="00AC0826">
        <w:rPr>
          <w:rFonts w:ascii="Times New Roman" w:hAnsi="Times New Roman" w:cs="Times New Roman"/>
          <w:sz w:val="24"/>
          <w:szCs w:val="24"/>
        </w:rPr>
        <w:t>h takes value 1 during the crise</w:t>
      </w:r>
      <w:r>
        <w:rPr>
          <w:rFonts w:ascii="Times New Roman" w:hAnsi="Times New Roman" w:cs="Times New Roman"/>
          <w:sz w:val="24"/>
          <w:szCs w:val="24"/>
        </w:rPr>
        <w:t>s and 0 otherwise,</w:t>
      </w:r>
      <w:r>
        <w:rPr>
          <w:rFonts w:ascii="Times New Roman" w:hAnsi="Times New Roman"/>
          <w:sz w:val="24"/>
          <w:szCs w:val="24"/>
        </w:rPr>
        <w:t xml:space="preserve"> and </w:t>
      </w:r>
      <w:r w:rsidR="00AC0826" w:rsidRPr="00BE1A6F">
        <w:rPr>
          <w:rFonts w:ascii="Times New Roman" w:hAnsi="Times New Roman" w:cs="Times New Roman"/>
          <w:position w:val="-10"/>
        </w:rPr>
        <w:object w:dxaOrig="1500" w:dyaOrig="320">
          <v:shape id="_x0000_i1070" type="#_x0000_t75" style="width:74.25pt;height:15.75pt" o:ole="">
            <v:imagedata r:id="rId93" o:title=""/>
          </v:shape>
          <o:OLEObject Type="Embed" ProgID="Equation.3" ShapeID="_x0000_i1070" DrawAspect="Content" ObjectID="_1493477198" r:id="rId94"/>
        </w:object>
      </w:r>
      <w:r>
        <w:rPr>
          <w:rFonts w:ascii="Times New Roman" w:hAnsi="Times New Roman"/>
          <w:sz w:val="24"/>
          <w:szCs w:val="24"/>
        </w:rPr>
        <w:t>are parameters to be estimated. Not</w:t>
      </w:r>
      <w:r w:rsidR="007B7365">
        <w:rPr>
          <w:rFonts w:ascii="Times New Roman" w:hAnsi="Times New Roman"/>
          <w:sz w:val="24"/>
          <w:szCs w:val="24"/>
        </w:rPr>
        <w:t>ic</w:t>
      </w:r>
      <w:r>
        <w:rPr>
          <w:rFonts w:ascii="Times New Roman" w:hAnsi="Times New Roman"/>
          <w:sz w:val="24"/>
          <w:szCs w:val="24"/>
        </w:rPr>
        <w:t>e that the same variance equation (4.</w:t>
      </w:r>
      <w:r w:rsidR="00A6789F">
        <w:rPr>
          <w:rFonts w:ascii="Times New Roman" w:hAnsi="Times New Roman"/>
          <w:sz w:val="24"/>
          <w:szCs w:val="24"/>
        </w:rPr>
        <w:t>7</w:t>
      </w:r>
      <w:r>
        <w:rPr>
          <w:rFonts w:ascii="Times New Roman" w:hAnsi="Times New Roman"/>
          <w:sz w:val="24"/>
          <w:szCs w:val="24"/>
        </w:rPr>
        <w:t xml:space="preserve">) is estimated in </w:t>
      </w:r>
      <w:r w:rsidR="00A6789F">
        <w:rPr>
          <w:rFonts w:ascii="Times New Roman" w:hAnsi="Times New Roman"/>
          <w:sz w:val="24"/>
          <w:szCs w:val="24"/>
        </w:rPr>
        <w:t>both</w:t>
      </w:r>
      <w:r>
        <w:rPr>
          <w:rFonts w:ascii="Times New Roman" w:hAnsi="Times New Roman"/>
          <w:sz w:val="24"/>
          <w:szCs w:val="24"/>
        </w:rPr>
        <w:t xml:space="preserve"> subsamples. The only difference is </w:t>
      </w:r>
      <w:r w:rsidR="00F138A2">
        <w:rPr>
          <w:rFonts w:ascii="Times New Roman" w:hAnsi="Times New Roman"/>
          <w:sz w:val="24"/>
          <w:szCs w:val="24"/>
        </w:rPr>
        <w:t>the span of each period.</w:t>
      </w:r>
    </w:p>
    <w:p w:rsidR="0028382F" w:rsidRDefault="00F138A2" w:rsidP="00BD2665">
      <w:pPr>
        <w:spacing w:line="480" w:lineRule="auto"/>
        <w:jc w:val="both"/>
        <w:rPr>
          <w:rFonts w:ascii="Times New Roman" w:hAnsi="Times New Roman"/>
          <w:b/>
          <w:sz w:val="28"/>
          <w:szCs w:val="24"/>
        </w:rPr>
      </w:pPr>
      <w:r>
        <w:rPr>
          <w:rFonts w:ascii="Times New Roman" w:hAnsi="Times New Roman"/>
          <w:b/>
          <w:sz w:val="28"/>
          <w:szCs w:val="24"/>
        </w:rPr>
        <w:t>5. Estimation Results</w:t>
      </w:r>
    </w:p>
    <w:p w:rsidR="004926D2" w:rsidRDefault="007D6D9C" w:rsidP="00BD2665">
      <w:pPr>
        <w:spacing w:line="480" w:lineRule="auto"/>
        <w:jc w:val="both"/>
        <w:rPr>
          <w:rFonts w:ascii="Times New Roman" w:hAnsi="Times New Roman"/>
          <w:sz w:val="24"/>
          <w:szCs w:val="24"/>
        </w:rPr>
      </w:pPr>
      <w:r>
        <w:rPr>
          <w:rFonts w:ascii="Times New Roman" w:hAnsi="Times New Roman"/>
          <w:sz w:val="24"/>
          <w:szCs w:val="24"/>
        </w:rPr>
        <w:t xml:space="preserve">We have divided this section into two parts for clarity. The first part analyzes the full sample period using dichotomous-EGARCH model while the second part </w:t>
      </w:r>
      <w:r w:rsidR="004926D2">
        <w:rPr>
          <w:rFonts w:ascii="Times New Roman" w:hAnsi="Times New Roman"/>
          <w:sz w:val="24"/>
          <w:szCs w:val="24"/>
        </w:rPr>
        <w:t>compar</w:t>
      </w:r>
      <w:r>
        <w:rPr>
          <w:rFonts w:ascii="Times New Roman" w:hAnsi="Times New Roman"/>
          <w:sz w:val="24"/>
          <w:szCs w:val="24"/>
        </w:rPr>
        <w:t>es the</w:t>
      </w:r>
      <w:r w:rsidR="004926D2">
        <w:rPr>
          <w:rFonts w:ascii="Times New Roman" w:hAnsi="Times New Roman"/>
          <w:sz w:val="24"/>
          <w:szCs w:val="24"/>
        </w:rPr>
        <w:t xml:space="preserve"> variance equations obtained from the</w:t>
      </w:r>
      <w:r>
        <w:rPr>
          <w:rFonts w:ascii="Times New Roman" w:hAnsi="Times New Roman"/>
          <w:sz w:val="24"/>
          <w:szCs w:val="24"/>
        </w:rPr>
        <w:t xml:space="preserve"> subs</w:t>
      </w:r>
      <w:r w:rsidR="004926D2">
        <w:rPr>
          <w:rFonts w:ascii="Times New Roman" w:hAnsi="Times New Roman"/>
          <w:sz w:val="24"/>
          <w:szCs w:val="24"/>
        </w:rPr>
        <w:t xml:space="preserve">amples. </w:t>
      </w:r>
    </w:p>
    <w:p w:rsidR="004926D2" w:rsidRPr="004926D2" w:rsidRDefault="004926D2" w:rsidP="00BD2665">
      <w:pPr>
        <w:spacing w:line="480" w:lineRule="auto"/>
        <w:jc w:val="both"/>
        <w:rPr>
          <w:rFonts w:ascii="Times New Roman" w:hAnsi="Times New Roman"/>
          <w:b/>
          <w:sz w:val="24"/>
          <w:szCs w:val="24"/>
        </w:rPr>
      </w:pPr>
      <w:r>
        <w:rPr>
          <w:rFonts w:ascii="Times New Roman" w:hAnsi="Times New Roman"/>
          <w:b/>
          <w:sz w:val="24"/>
          <w:szCs w:val="24"/>
        </w:rPr>
        <w:t>5.1 First Part</w:t>
      </w:r>
    </w:p>
    <w:p w:rsidR="002E14C1" w:rsidRDefault="0028382F" w:rsidP="00BD2665">
      <w:pPr>
        <w:spacing w:line="480" w:lineRule="auto"/>
        <w:jc w:val="both"/>
        <w:rPr>
          <w:rFonts w:ascii="Times New Roman" w:hAnsi="Times New Roman"/>
          <w:sz w:val="24"/>
          <w:szCs w:val="24"/>
        </w:rPr>
      </w:pPr>
      <w:r>
        <w:rPr>
          <w:rFonts w:ascii="Times New Roman" w:hAnsi="Times New Roman"/>
          <w:sz w:val="24"/>
          <w:szCs w:val="24"/>
        </w:rPr>
        <w:t xml:space="preserve">The maximum likelihood parameters were computed using </w:t>
      </w:r>
      <w:proofErr w:type="spellStart"/>
      <w:r>
        <w:rPr>
          <w:rFonts w:ascii="Times New Roman" w:hAnsi="Times New Roman"/>
          <w:sz w:val="24"/>
          <w:szCs w:val="24"/>
        </w:rPr>
        <w:t>Eviews</w:t>
      </w:r>
      <w:proofErr w:type="spellEnd"/>
      <w:r>
        <w:rPr>
          <w:rFonts w:ascii="Times New Roman" w:hAnsi="Times New Roman"/>
          <w:sz w:val="24"/>
          <w:szCs w:val="24"/>
        </w:rPr>
        <w:t xml:space="preserve"> 7.</w:t>
      </w:r>
      <w:r w:rsidR="00C678D1">
        <w:rPr>
          <w:rFonts w:ascii="Times New Roman" w:hAnsi="Times New Roman"/>
          <w:sz w:val="24"/>
          <w:szCs w:val="24"/>
        </w:rPr>
        <w:t xml:space="preserve"> The adopted convergence criterion is</w:t>
      </w:r>
      <w:r w:rsidR="00C678D1" w:rsidRPr="00271517">
        <w:rPr>
          <w:position w:val="-6"/>
        </w:rPr>
        <w:object w:dxaOrig="800" w:dyaOrig="320">
          <v:shape id="_x0000_i1071" type="#_x0000_t75" style="width:39pt;height:15.75pt" o:ole="">
            <v:imagedata r:id="rId95" o:title=""/>
          </v:shape>
          <o:OLEObject Type="Embed" ProgID="Equation.3" ShapeID="_x0000_i1071" DrawAspect="Content" ObjectID="_1493477199" r:id="rId96"/>
        </w:object>
      </w:r>
      <w:r w:rsidR="00C678D1">
        <w:rPr>
          <w:rFonts w:ascii="Times New Roman" w:hAnsi="Times New Roman"/>
          <w:sz w:val="24"/>
          <w:szCs w:val="24"/>
        </w:rPr>
        <w:t xml:space="preserve">. </w:t>
      </w:r>
      <w:r w:rsidR="002E14C1">
        <w:rPr>
          <w:rFonts w:ascii="Times New Roman" w:hAnsi="Times New Roman"/>
          <w:sz w:val="24"/>
          <w:szCs w:val="24"/>
        </w:rPr>
        <w:t xml:space="preserve">Since the dataset is leptokurtic (See Table 2), </w:t>
      </w:r>
      <w:r w:rsidR="002E14C1" w:rsidRPr="00271517">
        <w:rPr>
          <w:position w:val="-6"/>
        </w:rPr>
        <w:object w:dxaOrig="200" w:dyaOrig="220">
          <v:shape id="_x0000_i1072" type="#_x0000_t75" style="width:9.75pt;height:10.5pt" o:ole="">
            <v:imagedata r:id="rId97" o:title=""/>
          </v:shape>
          <o:OLEObject Type="Embed" ProgID="Equation.3" ShapeID="_x0000_i1072" DrawAspect="Content" ObjectID="_1493477200" r:id="rId98"/>
        </w:object>
      </w:r>
      <w:r w:rsidR="00466BBC">
        <w:rPr>
          <w:rFonts w:ascii="Times New Roman" w:hAnsi="Times New Roman"/>
          <w:sz w:val="24"/>
          <w:szCs w:val="24"/>
        </w:rPr>
        <w:t xml:space="preserve"> was fixed at 1.5</w:t>
      </w:r>
      <w:r w:rsidR="002E14C1">
        <w:rPr>
          <w:rFonts w:ascii="Times New Roman" w:hAnsi="Times New Roman"/>
          <w:sz w:val="24"/>
          <w:szCs w:val="24"/>
        </w:rPr>
        <w:t xml:space="preserve"> for </w:t>
      </w:r>
      <w:r w:rsidR="00466BBC">
        <w:rPr>
          <w:rFonts w:ascii="Times New Roman" w:hAnsi="Times New Roman"/>
          <w:sz w:val="24"/>
          <w:szCs w:val="24"/>
        </w:rPr>
        <w:t xml:space="preserve">ease of </w:t>
      </w:r>
      <w:r w:rsidR="002E14C1">
        <w:rPr>
          <w:rFonts w:ascii="Times New Roman" w:hAnsi="Times New Roman"/>
          <w:sz w:val="24"/>
          <w:szCs w:val="24"/>
        </w:rPr>
        <w:t xml:space="preserve">comparison between the models. </w:t>
      </w:r>
      <w:r w:rsidR="002A5158">
        <w:rPr>
          <w:rFonts w:ascii="Times New Roman" w:hAnsi="Times New Roman"/>
          <w:sz w:val="24"/>
          <w:szCs w:val="24"/>
        </w:rPr>
        <w:t>Table 3</w:t>
      </w:r>
      <w:r w:rsidR="00A87198">
        <w:rPr>
          <w:rFonts w:ascii="Times New Roman" w:hAnsi="Times New Roman"/>
          <w:sz w:val="24"/>
          <w:szCs w:val="24"/>
        </w:rPr>
        <w:t xml:space="preserve"> lists the parameter estimat</w:t>
      </w:r>
      <w:r w:rsidR="000608D1">
        <w:rPr>
          <w:rFonts w:ascii="Times New Roman" w:hAnsi="Times New Roman"/>
          <w:sz w:val="24"/>
          <w:szCs w:val="24"/>
        </w:rPr>
        <w:t xml:space="preserve">es for </w:t>
      </w:r>
      <w:r>
        <w:rPr>
          <w:rFonts w:ascii="Times New Roman" w:hAnsi="Times New Roman"/>
          <w:sz w:val="24"/>
          <w:szCs w:val="24"/>
        </w:rPr>
        <w:t>GARCH(1,1)</w:t>
      </w:r>
      <w:r w:rsidR="000608D1">
        <w:rPr>
          <w:rFonts w:ascii="Times New Roman" w:hAnsi="Times New Roman"/>
          <w:sz w:val="24"/>
          <w:szCs w:val="24"/>
        </w:rPr>
        <w:t xml:space="preserve"> and EGARCH(1,1)</w:t>
      </w:r>
      <w:r>
        <w:rPr>
          <w:rFonts w:ascii="Times New Roman" w:hAnsi="Times New Roman"/>
          <w:sz w:val="24"/>
          <w:szCs w:val="24"/>
        </w:rPr>
        <w:t xml:space="preserve"> </w:t>
      </w:r>
      <w:r w:rsidRPr="00F471C0">
        <w:rPr>
          <w:rFonts w:ascii="Times New Roman" w:hAnsi="Times New Roman"/>
          <w:sz w:val="24"/>
          <w:szCs w:val="24"/>
        </w:rPr>
        <w:t>exchange rate model</w:t>
      </w:r>
      <w:r>
        <w:rPr>
          <w:rFonts w:ascii="Times New Roman" w:hAnsi="Times New Roman"/>
          <w:sz w:val="24"/>
          <w:szCs w:val="24"/>
        </w:rPr>
        <w:t xml:space="preserve"> for</w:t>
      </w:r>
      <w:r w:rsidR="00A619E1">
        <w:rPr>
          <w:rFonts w:ascii="Times New Roman" w:hAnsi="Times New Roman"/>
          <w:sz w:val="24"/>
          <w:szCs w:val="24"/>
        </w:rPr>
        <w:t xml:space="preserve"> 2006 – 2012 </w:t>
      </w:r>
      <w:r>
        <w:rPr>
          <w:rFonts w:ascii="Times New Roman" w:hAnsi="Times New Roman"/>
          <w:sz w:val="24"/>
          <w:szCs w:val="24"/>
        </w:rPr>
        <w:t xml:space="preserve">with the inclusion of variable coefficient </w:t>
      </w:r>
      <w:r w:rsidRPr="008E590C">
        <w:rPr>
          <w:rFonts w:ascii="Times New Roman" w:hAnsi="Times New Roman" w:cs="Times New Roman"/>
          <w:b/>
          <w:position w:val="-6"/>
        </w:rPr>
        <w:object w:dxaOrig="200" w:dyaOrig="279">
          <v:shape id="_x0000_i1073" type="#_x0000_t75" style="width:9.75pt;height:14.25pt" o:ole="">
            <v:imagedata r:id="rId99" o:title=""/>
          </v:shape>
          <o:OLEObject Type="Embed" ProgID="Equation.3" ShapeID="_x0000_i1073" DrawAspect="Content" ObjectID="_1493477201" r:id="rId100"/>
        </w:object>
      </w:r>
      <w:r>
        <w:rPr>
          <w:rFonts w:ascii="Times New Roman" w:hAnsi="Times New Roman" w:cs="Times New Roman"/>
          <w:b/>
          <w:position w:val="-6"/>
        </w:rPr>
        <w:t xml:space="preserve"> </w:t>
      </w:r>
      <w:r>
        <w:rPr>
          <w:rFonts w:ascii="Times New Roman" w:hAnsi="Times New Roman"/>
          <w:sz w:val="24"/>
          <w:szCs w:val="24"/>
        </w:rPr>
        <w:t xml:space="preserve"> </w:t>
      </w:r>
      <w:r w:rsidR="00A619E1">
        <w:rPr>
          <w:rFonts w:ascii="Times New Roman" w:hAnsi="Times New Roman"/>
          <w:sz w:val="24"/>
          <w:szCs w:val="24"/>
        </w:rPr>
        <w:t>measuring the presence</w:t>
      </w:r>
      <w:r w:rsidR="00CC4A21">
        <w:rPr>
          <w:rFonts w:ascii="Times New Roman" w:hAnsi="Times New Roman"/>
          <w:sz w:val="24"/>
          <w:szCs w:val="24"/>
        </w:rPr>
        <w:t xml:space="preserve"> (or </w:t>
      </w:r>
      <w:r w:rsidR="00A619E1">
        <w:rPr>
          <w:rFonts w:ascii="Times New Roman" w:hAnsi="Times New Roman"/>
          <w:sz w:val="24"/>
          <w:szCs w:val="24"/>
        </w:rPr>
        <w:t>absence</w:t>
      </w:r>
      <w:r w:rsidR="00CC4A21">
        <w:rPr>
          <w:rFonts w:ascii="Times New Roman" w:hAnsi="Times New Roman"/>
          <w:sz w:val="24"/>
          <w:szCs w:val="24"/>
        </w:rPr>
        <w:t>)</w:t>
      </w:r>
      <w:r w:rsidR="00A619E1">
        <w:rPr>
          <w:rFonts w:ascii="Times New Roman" w:hAnsi="Times New Roman"/>
          <w:sz w:val="24"/>
          <w:szCs w:val="24"/>
        </w:rPr>
        <w:t xml:space="preserve"> of the effect of both</w:t>
      </w:r>
      <w:r>
        <w:rPr>
          <w:rFonts w:ascii="Times New Roman" w:hAnsi="Times New Roman"/>
          <w:sz w:val="24"/>
          <w:szCs w:val="24"/>
        </w:rPr>
        <w:t xml:space="preserve"> Kenyan election violence and the 2008-09 financial crisis.</w:t>
      </w:r>
      <w:r w:rsidR="002E14C1">
        <w:rPr>
          <w:rFonts w:ascii="Times New Roman" w:hAnsi="Times New Roman"/>
          <w:sz w:val="24"/>
          <w:szCs w:val="24"/>
        </w:rPr>
        <w:t xml:space="preserve"> </w:t>
      </w:r>
    </w:p>
    <w:p w:rsidR="00937912" w:rsidRDefault="004E1AB0" w:rsidP="00BD2665">
      <w:pPr>
        <w:spacing w:line="480" w:lineRule="auto"/>
        <w:jc w:val="both"/>
        <w:rPr>
          <w:rFonts w:ascii="Times New Roman" w:hAnsi="Times New Roman"/>
          <w:sz w:val="24"/>
          <w:szCs w:val="24"/>
        </w:rPr>
      </w:pPr>
      <w:r>
        <w:rPr>
          <w:rFonts w:ascii="Times New Roman" w:hAnsi="Times New Roman"/>
          <w:sz w:val="24"/>
          <w:szCs w:val="24"/>
        </w:rPr>
        <w:t>Next we examine the empirical issues raised earlier in the section:</w:t>
      </w:r>
    </w:p>
    <w:p w:rsidR="00466BBC" w:rsidRDefault="00937912" w:rsidP="00BD2665">
      <w:pPr>
        <w:spacing w:line="480" w:lineRule="auto"/>
        <w:jc w:val="both"/>
        <w:rPr>
          <w:rFonts w:ascii="Times New Roman" w:hAnsi="Times New Roman"/>
          <w:sz w:val="24"/>
          <w:szCs w:val="24"/>
        </w:rPr>
      </w:pPr>
      <w:r>
        <w:rPr>
          <w:rFonts w:ascii="Times New Roman" w:hAnsi="Times New Roman"/>
          <w:sz w:val="24"/>
          <w:szCs w:val="24"/>
        </w:rPr>
        <w:t>EGARCH model (though unstable)</w:t>
      </w:r>
      <w:r w:rsidR="00BC6EA0">
        <w:rPr>
          <w:rFonts w:ascii="Times New Roman" w:hAnsi="Times New Roman"/>
          <w:sz w:val="24"/>
          <w:szCs w:val="24"/>
        </w:rPr>
        <w:t xml:space="preserve"> detected asymmetric volatility</w:t>
      </w:r>
      <w:r>
        <w:rPr>
          <w:rFonts w:ascii="Times New Roman" w:hAnsi="Times New Roman"/>
          <w:sz w:val="24"/>
          <w:szCs w:val="24"/>
        </w:rPr>
        <w:t xml:space="preserve"> in Kenyan shillings: </w:t>
      </w:r>
      <w:r w:rsidRPr="00D32972">
        <w:rPr>
          <w:position w:val="-10"/>
        </w:rPr>
        <w:object w:dxaOrig="200" w:dyaOrig="260">
          <v:shape id="_x0000_i1074" type="#_x0000_t75" style="width:9.75pt;height:12.75pt" o:ole="">
            <v:imagedata r:id="rId101" o:title=""/>
          </v:shape>
          <o:OLEObject Type="Embed" ProgID="Equation.3" ShapeID="_x0000_i1074" DrawAspect="Content" ObjectID="_1493477202" r:id="rId102"/>
        </w:object>
      </w:r>
      <w:r>
        <w:rPr>
          <w:rFonts w:ascii="Times New Roman" w:hAnsi="Times New Roman"/>
          <w:sz w:val="24"/>
          <w:szCs w:val="24"/>
        </w:rPr>
        <w:t xml:space="preserve"> wa</w:t>
      </w:r>
      <w:r w:rsidR="004E1AB0" w:rsidRPr="00CF337D">
        <w:rPr>
          <w:rFonts w:ascii="Times New Roman" w:hAnsi="Times New Roman"/>
          <w:sz w:val="24"/>
          <w:szCs w:val="24"/>
        </w:rPr>
        <w:t>s</w:t>
      </w:r>
      <w:r w:rsidR="00C51185">
        <w:rPr>
          <w:rFonts w:ascii="Times New Roman" w:hAnsi="Times New Roman"/>
          <w:sz w:val="24"/>
          <w:szCs w:val="24"/>
        </w:rPr>
        <w:t xml:space="preserve"> positive and</w:t>
      </w:r>
      <w:r w:rsidR="000608D1">
        <w:rPr>
          <w:rFonts w:ascii="Times New Roman" w:hAnsi="Times New Roman"/>
          <w:sz w:val="24"/>
          <w:szCs w:val="24"/>
        </w:rPr>
        <w:t xml:space="preserve"> highly significant</w:t>
      </w:r>
      <w:r>
        <w:rPr>
          <w:rFonts w:ascii="Times New Roman" w:hAnsi="Times New Roman"/>
          <w:sz w:val="24"/>
          <w:szCs w:val="24"/>
        </w:rPr>
        <w:t xml:space="preserve"> (</w:t>
      </w:r>
      <w:r w:rsidRPr="00D32972">
        <w:rPr>
          <w:position w:val="-10"/>
        </w:rPr>
        <w:object w:dxaOrig="880" w:dyaOrig="320">
          <v:shape id="_x0000_i1075" type="#_x0000_t75" style="width:42.75pt;height:15.75pt" o:ole="">
            <v:imagedata r:id="rId103" o:title=""/>
          </v:shape>
          <o:OLEObject Type="Embed" ProgID="Equation.3" ShapeID="_x0000_i1075" DrawAspect="Content" ObjectID="_1493477203" r:id="rId104"/>
        </w:object>
      </w:r>
      <w:r>
        <w:rPr>
          <w:rFonts w:ascii="Times New Roman" w:hAnsi="Times New Roman"/>
          <w:sz w:val="24"/>
          <w:szCs w:val="24"/>
        </w:rPr>
        <w:t>).</w:t>
      </w:r>
      <w:r w:rsidR="000608D1">
        <w:rPr>
          <w:rFonts w:ascii="Times New Roman" w:hAnsi="Times New Roman"/>
          <w:sz w:val="24"/>
          <w:szCs w:val="24"/>
        </w:rPr>
        <w:t xml:space="preserve"> </w:t>
      </w:r>
      <w:r>
        <w:rPr>
          <w:rFonts w:ascii="Times New Roman" w:hAnsi="Times New Roman"/>
          <w:sz w:val="24"/>
          <w:szCs w:val="24"/>
        </w:rPr>
        <w:t xml:space="preserve">However, </w:t>
      </w:r>
      <w:proofErr w:type="gramStart"/>
      <w:r>
        <w:rPr>
          <w:rFonts w:ascii="Times New Roman" w:hAnsi="Times New Roman"/>
          <w:sz w:val="24"/>
          <w:szCs w:val="24"/>
        </w:rPr>
        <w:t xml:space="preserve">with </w:t>
      </w:r>
      <w:r w:rsidRPr="00937912">
        <w:rPr>
          <w:rFonts w:ascii="Times New Roman" w:hAnsi="Times New Roman"/>
          <w:position w:val="-10"/>
          <w:sz w:val="24"/>
          <w:szCs w:val="24"/>
        </w:rPr>
        <w:object w:dxaOrig="1760" w:dyaOrig="380">
          <v:shape id="_x0000_i1076" type="#_x0000_t75" style="width:87.75pt;height:18.75pt" o:ole="">
            <v:imagedata r:id="rId105" o:title=""/>
          </v:shape>
          <o:OLEObject Type="Embed" ProgID="Equation.3" ShapeID="_x0000_i1076" DrawAspect="Content" ObjectID="_1493477204" r:id="rId106"/>
        </w:object>
      </w:r>
      <w:proofErr w:type="gramEnd"/>
      <w:r>
        <w:rPr>
          <w:rFonts w:ascii="Times New Roman" w:hAnsi="Times New Roman"/>
          <w:sz w:val="24"/>
          <w:szCs w:val="24"/>
        </w:rPr>
        <w:t>, one</w:t>
      </w:r>
      <w:r w:rsidR="000608D1">
        <w:rPr>
          <w:rFonts w:ascii="Times New Roman" w:hAnsi="Times New Roman"/>
          <w:sz w:val="24"/>
          <w:szCs w:val="24"/>
        </w:rPr>
        <w:t xml:space="preserve"> cannot rely on </w:t>
      </w:r>
      <w:r>
        <w:rPr>
          <w:rFonts w:ascii="Times New Roman" w:hAnsi="Times New Roman"/>
          <w:sz w:val="24"/>
          <w:szCs w:val="24"/>
        </w:rPr>
        <w:t>estimated values given</w:t>
      </w:r>
      <w:r w:rsidR="000608D1">
        <w:rPr>
          <w:rFonts w:ascii="Times New Roman" w:hAnsi="Times New Roman"/>
          <w:sz w:val="24"/>
          <w:szCs w:val="24"/>
        </w:rPr>
        <w:t xml:space="preserve"> by EGARCH</w:t>
      </w:r>
      <w:r>
        <w:rPr>
          <w:rFonts w:ascii="Times New Roman" w:hAnsi="Times New Roman"/>
          <w:sz w:val="24"/>
          <w:szCs w:val="24"/>
        </w:rPr>
        <w:t>.</w:t>
      </w:r>
      <w:r w:rsidR="000608D1">
        <w:rPr>
          <w:rFonts w:ascii="Times New Roman" w:hAnsi="Times New Roman"/>
          <w:sz w:val="24"/>
          <w:szCs w:val="24"/>
        </w:rPr>
        <w:t xml:space="preserve"> </w:t>
      </w:r>
      <w:r w:rsidR="00BC6EA0">
        <w:rPr>
          <w:rFonts w:ascii="Times New Roman" w:hAnsi="Times New Roman"/>
          <w:sz w:val="24"/>
          <w:szCs w:val="24"/>
        </w:rPr>
        <w:t>(</w:t>
      </w:r>
      <w:r w:rsidR="00C678D1">
        <w:rPr>
          <w:rFonts w:ascii="Times New Roman" w:hAnsi="Times New Roman"/>
          <w:sz w:val="24"/>
          <w:szCs w:val="24"/>
        </w:rPr>
        <w:t>For robustne</w:t>
      </w:r>
      <w:r w:rsidR="00BC6EA0">
        <w:rPr>
          <w:rFonts w:ascii="Times New Roman" w:hAnsi="Times New Roman"/>
          <w:sz w:val="24"/>
          <w:szCs w:val="24"/>
        </w:rPr>
        <w:t>ss of results, we also obtained</w:t>
      </w:r>
      <w:r w:rsidR="00C678D1">
        <w:rPr>
          <w:rFonts w:ascii="Times New Roman" w:hAnsi="Times New Roman"/>
          <w:sz w:val="24"/>
          <w:szCs w:val="24"/>
        </w:rPr>
        <w:t xml:space="preserve"> parameter </w:t>
      </w:r>
      <w:r w:rsidR="00C678D1">
        <w:rPr>
          <w:rFonts w:ascii="Times New Roman" w:hAnsi="Times New Roman"/>
          <w:sz w:val="24"/>
          <w:szCs w:val="24"/>
        </w:rPr>
        <w:lastRenderedPageBreak/>
        <w:t>estimates under the t-distribution assumpt</w:t>
      </w:r>
      <w:r w:rsidR="00BC6EA0">
        <w:rPr>
          <w:rFonts w:ascii="Times New Roman" w:hAnsi="Times New Roman"/>
          <w:sz w:val="24"/>
          <w:szCs w:val="24"/>
        </w:rPr>
        <w:t>ion, EGARCH was also not stable.)</w:t>
      </w:r>
      <w:r w:rsidR="000608D1">
        <w:rPr>
          <w:rFonts w:ascii="Times New Roman" w:hAnsi="Times New Roman"/>
          <w:sz w:val="24"/>
          <w:szCs w:val="24"/>
        </w:rPr>
        <w:t xml:space="preserve"> </w:t>
      </w:r>
      <w:r w:rsidR="002E14C1">
        <w:rPr>
          <w:rFonts w:ascii="Times New Roman" w:hAnsi="Times New Roman"/>
          <w:sz w:val="24"/>
          <w:szCs w:val="24"/>
        </w:rPr>
        <w:t xml:space="preserve">The </w:t>
      </w:r>
      <w:r>
        <w:rPr>
          <w:rFonts w:ascii="Times New Roman" w:hAnsi="Times New Roman"/>
          <w:sz w:val="24"/>
          <w:szCs w:val="24"/>
        </w:rPr>
        <w:t>present study however, has succeeded in establishing the possibility of asymmetry in Kenyan shillings</w:t>
      </w:r>
      <w:r w:rsidR="00320489">
        <w:rPr>
          <w:rFonts w:ascii="Times New Roman" w:hAnsi="Times New Roman"/>
          <w:sz w:val="24"/>
          <w:szCs w:val="24"/>
        </w:rPr>
        <w:t>; suggesting that volatility tends to rise when return surprises are positive.</w:t>
      </w:r>
      <w:r>
        <w:rPr>
          <w:rFonts w:ascii="Times New Roman" w:hAnsi="Times New Roman"/>
          <w:sz w:val="24"/>
          <w:szCs w:val="24"/>
        </w:rPr>
        <w:t xml:space="preserve"> This research may therefore be pursued further using some other variants of asymmetric models like GJR-GARCH, TGARCH, etc.</w:t>
      </w:r>
      <w:r w:rsidR="00466BBC">
        <w:rPr>
          <w:rFonts w:ascii="Times New Roman" w:hAnsi="Times New Roman"/>
          <w:sz w:val="24"/>
          <w:szCs w:val="24"/>
        </w:rPr>
        <w:t xml:space="preserve"> </w:t>
      </w:r>
    </w:p>
    <w:p w:rsidR="00052A8A" w:rsidRPr="00CF337D" w:rsidRDefault="00466BBC" w:rsidP="00BD2665">
      <w:pPr>
        <w:spacing w:line="480" w:lineRule="auto"/>
        <w:jc w:val="both"/>
        <w:rPr>
          <w:rFonts w:ascii="Times New Roman" w:hAnsi="Times New Roman"/>
          <w:sz w:val="24"/>
          <w:szCs w:val="24"/>
        </w:rPr>
      </w:pPr>
      <w:r>
        <w:rPr>
          <w:rFonts w:ascii="Times New Roman" w:hAnsi="Times New Roman"/>
          <w:sz w:val="24"/>
          <w:szCs w:val="24"/>
        </w:rPr>
        <w:t>Fo</w:t>
      </w:r>
      <w:r w:rsidR="00320489">
        <w:rPr>
          <w:rFonts w:ascii="Times New Roman" w:hAnsi="Times New Roman"/>
          <w:sz w:val="24"/>
          <w:szCs w:val="24"/>
        </w:rPr>
        <w:t xml:space="preserve">r </w:t>
      </w:r>
      <w:r w:rsidR="00937912">
        <w:rPr>
          <w:rFonts w:ascii="Times New Roman" w:hAnsi="Times New Roman"/>
          <w:sz w:val="24"/>
          <w:szCs w:val="24"/>
        </w:rPr>
        <w:t>purpose</w:t>
      </w:r>
      <w:r w:rsidR="00320489">
        <w:rPr>
          <w:rFonts w:ascii="Times New Roman" w:hAnsi="Times New Roman"/>
          <w:sz w:val="24"/>
          <w:szCs w:val="24"/>
        </w:rPr>
        <w:t>s</w:t>
      </w:r>
      <w:r w:rsidR="00937912">
        <w:rPr>
          <w:rFonts w:ascii="Times New Roman" w:hAnsi="Times New Roman"/>
          <w:sz w:val="24"/>
          <w:szCs w:val="24"/>
        </w:rPr>
        <w:t xml:space="preserve"> of interpretation,</w:t>
      </w:r>
      <w:r w:rsidR="007800D9">
        <w:rPr>
          <w:rFonts w:ascii="Times New Roman" w:hAnsi="Times New Roman"/>
          <w:sz w:val="24"/>
          <w:szCs w:val="24"/>
        </w:rPr>
        <w:t xml:space="preserve"> </w:t>
      </w:r>
      <w:r w:rsidR="00BC6EA0">
        <w:rPr>
          <w:rFonts w:ascii="Times New Roman" w:hAnsi="Times New Roman"/>
          <w:sz w:val="24"/>
          <w:szCs w:val="24"/>
        </w:rPr>
        <w:t>t</w:t>
      </w:r>
      <w:r w:rsidR="00C05E49">
        <w:rPr>
          <w:rFonts w:ascii="Times New Roman" w:hAnsi="Times New Roman"/>
          <w:sz w:val="24"/>
          <w:szCs w:val="24"/>
        </w:rPr>
        <w:t xml:space="preserve">he following discussion is based on the estimated </w:t>
      </w:r>
      <w:proofErr w:type="gramStart"/>
      <w:r w:rsidR="00C05E49">
        <w:rPr>
          <w:rFonts w:ascii="Times New Roman" w:hAnsi="Times New Roman"/>
          <w:sz w:val="24"/>
          <w:szCs w:val="24"/>
        </w:rPr>
        <w:t>GARCH(</w:t>
      </w:r>
      <w:proofErr w:type="gramEnd"/>
      <w:r w:rsidR="00C05E49">
        <w:rPr>
          <w:rFonts w:ascii="Times New Roman" w:hAnsi="Times New Roman"/>
          <w:sz w:val="24"/>
          <w:szCs w:val="24"/>
        </w:rPr>
        <w:t>1,1) model only.</w:t>
      </w:r>
    </w:p>
    <w:p w:rsidR="00C05E49" w:rsidRPr="00C05E49" w:rsidRDefault="00271517" w:rsidP="00BD2665">
      <w:pPr>
        <w:pStyle w:val="ListParagraph"/>
        <w:numPr>
          <w:ilvl w:val="0"/>
          <w:numId w:val="9"/>
        </w:numPr>
        <w:spacing w:line="480" w:lineRule="auto"/>
        <w:ind w:left="630" w:hanging="630"/>
        <w:jc w:val="both"/>
        <w:rPr>
          <w:rFonts w:ascii="Times New Roman" w:hAnsi="Times New Roman" w:cs="Times New Roman"/>
          <w:sz w:val="24"/>
        </w:rPr>
      </w:pPr>
      <w:r>
        <w:rPr>
          <w:rFonts w:ascii="Times New Roman" w:hAnsi="Times New Roman" w:cs="Times New Roman"/>
          <w:sz w:val="24"/>
        </w:rPr>
        <w:t>While t</w:t>
      </w:r>
      <w:r w:rsidR="00C05E49" w:rsidRPr="00C05E49">
        <w:rPr>
          <w:rFonts w:ascii="Times New Roman" w:hAnsi="Times New Roman" w:cs="Times New Roman"/>
          <w:sz w:val="24"/>
        </w:rPr>
        <w:t xml:space="preserve">he estimated effect of the crises on </w:t>
      </w:r>
      <w:r>
        <w:rPr>
          <w:rFonts w:ascii="Times New Roman" w:hAnsi="Times New Roman" w:cs="Times New Roman"/>
          <w:sz w:val="24"/>
        </w:rPr>
        <w:t xml:space="preserve">returns is positive but insignificant, that of </w:t>
      </w:r>
      <w:r w:rsidR="00C05E49" w:rsidRPr="00C05E49">
        <w:rPr>
          <w:rFonts w:ascii="Times New Roman" w:hAnsi="Times New Roman" w:cs="Times New Roman"/>
          <w:sz w:val="24"/>
        </w:rPr>
        <w:t>conditional variance i</w:t>
      </w:r>
      <w:r w:rsidR="00C05E49">
        <w:rPr>
          <w:rFonts w:ascii="Times New Roman" w:hAnsi="Times New Roman" w:cs="Times New Roman"/>
          <w:sz w:val="24"/>
        </w:rPr>
        <w:t xml:space="preserve">s </w:t>
      </w:r>
      <w:r>
        <w:rPr>
          <w:rFonts w:ascii="Times New Roman" w:hAnsi="Times New Roman" w:cs="Times New Roman"/>
          <w:sz w:val="24"/>
        </w:rPr>
        <w:t>about</w:t>
      </w:r>
      <w:r w:rsidRPr="00C05E49">
        <w:rPr>
          <w:rFonts w:ascii="Times New Roman" w:hAnsi="Times New Roman" w:cs="Times New Roman"/>
          <w:sz w:val="24"/>
        </w:rPr>
        <w:t xml:space="preserve"> </w:t>
      </w:r>
      <w:r w:rsidRPr="00271517">
        <w:rPr>
          <w:position w:val="-6"/>
        </w:rPr>
        <w:object w:dxaOrig="1200" w:dyaOrig="320">
          <v:shape id="_x0000_i1077" type="#_x0000_t75" style="width:58.5pt;height:15.75pt" o:ole="">
            <v:imagedata r:id="rId107" o:title=""/>
          </v:shape>
          <o:OLEObject Type="Embed" ProgID="Equation.3" ShapeID="_x0000_i1077" DrawAspect="Content" ObjectID="_1493477205" r:id="rId108"/>
        </w:object>
      </w:r>
      <w:r>
        <w:rPr>
          <w:rFonts w:ascii="Times New Roman" w:hAnsi="Times New Roman" w:cs="Times New Roman"/>
          <w:sz w:val="24"/>
        </w:rPr>
        <w:t>with a s</w:t>
      </w:r>
      <w:r w:rsidRPr="00C05E49">
        <w:rPr>
          <w:rFonts w:ascii="Times New Roman" w:hAnsi="Times New Roman" w:cs="Times New Roman"/>
          <w:sz w:val="24"/>
        </w:rPr>
        <w:t xml:space="preserve">tandard error </w:t>
      </w:r>
      <w:proofErr w:type="gramStart"/>
      <w:r w:rsidRPr="00C05E49">
        <w:rPr>
          <w:rFonts w:ascii="Times New Roman" w:hAnsi="Times New Roman" w:cs="Times New Roman"/>
          <w:sz w:val="24"/>
        </w:rPr>
        <w:t xml:space="preserve">of </w:t>
      </w:r>
      <w:r w:rsidRPr="00271517">
        <w:rPr>
          <w:position w:val="-6"/>
        </w:rPr>
        <w:object w:dxaOrig="1080" w:dyaOrig="320">
          <v:shape id="_x0000_i1078" type="#_x0000_t75" style="width:52.5pt;height:15.75pt" o:ole="">
            <v:imagedata r:id="rId109" o:title=""/>
          </v:shape>
          <o:OLEObject Type="Embed" ProgID="Equation.3" ShapeID="_x0000_i1078" DrawAspect="Content" ObjectID="_1493477206" r:id="rId110"/>
        </w:object>
      </w:r>
      <w:proofErr w:type="gramEnd"/>
      <w:r>
        <w:rPr>
          <w:rFonts w:ascii="Times New Roman" w:hAnsi="Times New Roman" w:cs="Times New Roman"/>
          <w:sz w:val="24"/>
        </w:rPr>
        <w:t>. Comparing w</w:t>
      </w:r>
      <w:r w:rsidR="00EB136C">
        <w:rPr>
          <w:rFonts w:ascii="Times New Roman" w:hAnsi="Times New Roman" w:cs="Times New Roman"/>
          <w:sz w:val="24"/>
        </w:rPr>
        <w:t xml:space="preserve">ith earlier result, </w:t>
      </w:r>
      <w:proofErr w:type="spellStart"/>
      <w:r w:rsidR="00EB136C">
        <w:rPr>
          <w:rFonts w:ascii="Times New Roman" w:hAnsi="Times New Roman" w:cs="Times New Roman"/>
          <w:sz w:val="24"/>
        </w:rPr>
        <w:t>Olowe</w:t>
      </w:r>
      <w:proofErr w:type="spellEnd"/>
      <w:r w:rsidR="00EB136C">
        <w:rPr>
          <w:rFonts w:ascii="Times New Roman" w:hAnsi="Times New Roman" w:cs="Times New Roman"/>
          <w:sz w:val="24"/>
        </w:rPr>
        <w:t xml:space="preserve"> [11]</w:t>
      </w:r>
      <w:r>
        <w:rPr>
          <w:rFonts w:ascii="Times New Roman" w:hAnsi="Times New Roman" w:cs="Times New Roman"/>
          <w:sz w:val="24"/>
        </w:rPr>
        <w:t xml:space="preserve"> also reported a p</w:t>
      </w:r>
      <w:r w:rsidR="00E05495">
        <w:rPr>
          <w:rFonts w:ascii="Times New Roman" w:hAnsi="Times New Roman" w:cs="Times New Roman"/>
          <w:sz w:val="24"/>
        </w:rPr>
        <w:t>ositive insignificant effect of the global financial crisis on the</w:t>
      </w:r>
      <w:r>
        <w:rPr>
          <w:rFonts w:ascii="Times New Roman" w:hAnsi="Times New Roman" w:cs="Times New Roman"/>
          <w:sz w:val="24"/>
        </w:rPr>
        <w:t xml:space="preserve"> Nigerian FOREX returns</w:t>
      </w:r>
      <w:r w:rsidR="00E05495">
        <w:rPr>
          <w:rFonts w:ascii="Times New Roman" w:hAnsi="Times New Roman" w:cs="Times New Roman"/>
          <w:sz w:val="24"/>
        </w:rPr>
        <w:t xml:space="preserve"> but</w:t>
      </w:r>
      <w:r>
        <w:rPr>
          <w:rFonts w:ascii="Times New Roman" w:hAnsi="Times New Roman" w:cs="Times New Roman"/>
          <w:sz w:val="24"/>
        </w:rPr>
        <w:t xml:space="preserve"> a significant</w:t>
      </w:r>
      <w:r w:rsidR="00E05495">
        <w:rPr>
          <w:rFonts w:ascii="Times New Roman" w:hAnsi="Times New Roman" w:cs="Times New Roman"/>
          <w:sz w:val="24"/>
        </w:rPr>
        <w:t xml:space="preserve"> negative estimate for the variance equation</w:t>
      </w:r>
      <w:r w:rsidR="00C05E49" w:rsidRPr="00C05E49">
        <w:rPr>
          <w:rFonts w:ascii="Times New Roman" w:hAnsi="Times New Roman" w:cs="Times New Roman"/>
          <w:sz w:val="24"/>
        </w:rPr>
        <w:t xml:space="preserve">. </w:t>
      </w:r>
      <w:r w:rsidR="00E05495">
        <w:rPr>
          <w:rFonts w:ascii="Times New Roman" w:hAnsi="Times New Roman" w:cs="Times New Roman"/>
          <w:sz w:val="24"/>
        </w:rPr>
        <w:t xml:space="preserve">In a nutshell, the inference here is that </w:t>
      </w:r>
      <w:r w:rsidR="00E05495">
        <w:rPr>
          <w:rFonts w:ascii="Times New Roman" w:hAnsi="Times New Roman" w:cs="Times New Roman"/>
          <w:bCs/>
          <w:sz w:val="24"/>
          <w:szCs w:val="24"/>
        </w:rPr>
        <w:t>both election and the global crises</w:t>
      </w:r>
      <w:r w:rsidR="00E05495" w:rsidRPr="00C05E49">
        <w:rPr>
          <w:rFonts w:ascii="Times New Roman" w:hAnsi="Times New Roman" w:cs="Times New Roman"/>
          <w:bCs/>
          <w:sz w:val="24"/>
          <w:szCs w:val="24"/>
        </w:rPr>
        <w:t xml:space="preserve"> </w:t>
      </w:r>
      <w:r w:rsidR="00E05495">
        <w:rPr>
          <w:rFonts w:ascii="Times New Roman" w:hAnsi="Times New Roman" w:cs="Times New Roman"/>
          <w:bCs/>
          <w:sz w:val="24"/>
          <w:szCs w:val="24"/>
        </w:rPr>
        <w:t xml:space="preserve">had </w:t>
      </w:r>
      <w:r w:rsidR="00466BBC">
        <w:rPr>
          <w:rFonts w:ascii="Times New Roman" w:hAnsi="Times New Roman" w:cs="Times New Roman"/>
          <w:bCs/>
          <w:sz w:val="24"/>
          <w:szCs w:val="24"/>
        </w:rPr>
        <w:t xml:space="preserve">significant </w:t>
      </w:r>
      <w:r w:rsidR="00E05495">
        <w:rPr>
          <w:rFonts w:ascii="Times New Roman" w:hAnsi="Times New Roman" w:cs="Times New Roman"/>
          <w:bCs/>
          <w:sz w:val="24"/>
          <w:szCs w:val="24"/>
        </w:rPr>
        <w:t xml:space="preserve">effects on the conditional volatility and the </w:t>
      </w:r>
      <w:r w:rsidR="00E05495" w:rsidRPr="00C05E49">
        <w:rPr>
          <w:rFonts w:ascii="Times New Roman" w:hAnsi="Times New Roman" w:cs="Times New Roman"/>
          <w:bCs/>
          <w:sz w:val="24"/>
          <w:szCs w:val="24"/>
        </w:rPr>
        <w:t xml:space="preserve">estimated effect is </w:t>
      </w:r>
      <w:proofErr w:type="gramStart"/>
      <w:r w:rsidR="00E05495" w:rsidRPr="00C05E49">
        <w:rPr>
          <w:rFonts w:ascii="Times New Roman" w:hAnsi="Times New Roman" w:cs="Times New Roman"/>
          <w:bCs/>
          <w:sz w:val="24"/>
          <w:szCs w:val="24"/>
        </w:rPr>
        <w:t xml:space="preserve">about </w:t>
      </w:r>
      <w:r w:rsidRPr="00271517">
        <w:rPr>
          <w:position w:val="-6"/>
        </w:rPr>
        <w:object w:dxaOrig="1420" w:dyaOrig="320">
          <v:shape id="_x0000_i1079" type="#_x0000_t75" style="width:69pt;height:15.75pt" o:ole="">
            <v:imagedata r:id="rId111" o:title=""/>
          </v:shape>
          <o:OLEObject Type="Embed" ProgID="Equation.3" ShapeID="_x0000_i1079" DrawAspect="Content" ObjectID="_1493477207" r:id="rId112"/>
        </w:object>
      </w:r>
      <w:proofErr w:type="gramEnd"/>
      <w:r w:rsidR="00C05E49" w:rsidRPr="00C05E49">
        <w:rPr>
          <w:rFonts w:ascii="Times New Roman" w:hAnsi="Times New Roman" w:cs="Times New Roman"/>
          <w:bCs/>
          <w:sz w:val="24"/>
          <w:szCs w:val="24"/>
        </w:rPr>
        <w:t>.</w:t>
      </w:r>
      <w:r w:rsidR="00466BBC">
        <w:rPr>
          <w:rFonts w:ascii="Times New Roman" w:hAnsi="Times New Roman" w:cs="Times New Roman"/>
          <w:bCs/>
          <w:sz w:val="24"/>
          <w:szCs w:val="24"/>
        </w:rPr>
        <w:t xml:space="preserve"> T</w:t>
      </w:r>
      <w:r w:rsidR="007D7287" w:rsidRPr="007D7287">
        <w:rPr>
          <w:rFonts w:ascii="Times New Roman" w:hAnsi="Times New Roman" w:cs="Times New Roman"/>
          <w:bCs/>
          <w:sz w:val="24"/>
          <w:szCs w:val="24"/>
        </w:rPr>
        <w:t>his provides additional evidence that Africa is not insulated from the rippling effects of the US-triggered crisis.</w:t>
      </w:r>
    </w:p>
    <w:p w:rsidR="004C0338" w:rsidRDefault="004C0338" w:rsidP="00BD2665">
      <w:pPr>
        <w:pStyle w:val="ListParagraph"/>
        <w:numPr>
          <w:ilvl w:val="0"/>
          <w:numId w:val="9"/>
        </w:numPr>
        <w:spacing w:line="480" w:lineRule="auto"/>
        <w:ind w:left="630" w:hanging="630"/>
        <w:jc w:val="both"/>
        <w:rPr>
          <w:rFonts w:ascii="Times New Roman" w:hAnsi="Times New Roman" w:cs="Times New Roman"/>
          <w:sz w:val="24"/>
        </w:rPr>
      </w:pPr>
      <w:r>
        <w:rPr>
          <w:rFonts w:ascii="Times New Roman" w:hAnsi="Times New Roman" w:cs="Times New Roman"/>
          <w:sz w:val="24"/>
        </w:rPr>
        <w:t xml:space="preserve">The estimated value of </w:t>
      </w:r>
      <w:r w:rsidRPr="00271517">
        <w:rPr>
          <w:position w:val="-6"/>
        </w:rPr>
        <w:object w:dxaOrig="240" w:dyaOrig="220">
          <v:shape id="_x0000_i1080" type="#_x0000_t75" style="width:12pt;height:10.5pt" o:ole="">
            <v:imagedata r:id="rId113" o:title=""/>
          </v:shape>
          <o:OLEObject Type="Embed" ProgID="Equation.3" ShapeID="_x0000_i1080" DrawAspect="Content" ObjectID="_1493477208" r:id="rId114"/>
        </w:object>
      </w:r>
      <w:r w:rsidR="00466BBC">
        <w:rPr>
          <w:rFonts w:ascii="Times New Roman" w:hAnsi="Times New Roman" w:cs="Times New Roman"/>
          <w:sz w:val="24"/>
        </w:rPr>
        <w:t>in Table 3 seems to show</w:t>
      </w:r>
      <w:r>
        <w:rPr>
          <w:rFonts w:ascii="Times New Roman" w:hAnsi="Times New Roman" w:cs="Times New Roman"/>
          <w:sz w:val="24"/>
        </w:rPr>
        <w:t xml:space="preserve"> that</w:t>
      </w:r>
      <w:r w:rsidR="0080590A">
        <w:rPr>
          <w:rFonts w:ascii="Times New Roman" w:hAnsi="Times New Roman" w:cs="Times New Roman"/>
          <w:sz w:val="24"/>
        </w:rPr>
        <w:t xml:space="preserve"> aggregate</w:t>
      </w:r>
      <w:r>
        <w:rPr>
          <w:rFonts w:ascii="Times New Roman" w:hAnsi="Times New Roman" w:cs="Times New Roman"/>
          <w:sz w:val="24"/>
        </w:rPr>
        <w:t xml:space="preserve"> </w:t>
      </w:r>
      <w:r w:rsidRPr="004C0338">
        <w:rPr>
          <w:rFonts w:ascii="Times New Roman" w:hAnsi="Times New Roman" w:cs="Times New Roman"/>
          <w:sz w:val="24"/>
        </w:rPr>
        <w:t>ARCH effects are not well pronounced</w:t>
      </w:r>
      <w:r>
        <w:rPr>
          <w:rFonts w:ascii="Times New Roman" w:hAnsi="Times New Roman" w:cs="Times New Roman"/>
          <w:sz w:val="24"/>
        </w:rPr>
        <w:t xml:space="preserve">, however </w:t>
      </w:r>
      <w:r w:rsidRPr="00D043BC">
        <w:rPr>
          <w:position w:val="-10"/>
        </w:rPr>
        <w:object w:dxaOrig="1120" w:dyaOrig="380">
          <v:shape id="_x0000_i1081" type="#_x0000_t75" style="width:56.25pt;height:18.75pt" o:ole="">
            <v:imagedata r:id="rId115" o:title=""/>
          </v:shape>
          <o:OLEObject Type="Embed" ProgID="Equation.3" ShapeID="_x0000_i1081" DrawAspect="Content" ObjectID="_1493477209" r:id="rId116"/>
        </w:object>
      </w:r>
      <w:r>
        <w:rPr>
          <w:rFonts w:ascii="Times New Roman" w:hAnsi="Times New Roman" w:cs="Times New Roman"/>
          <w:sz w:val="24"/>
        </w:rPr>
        <w:t xml:space="preserve"> clearly indicates strong volatility </w:t>
      </w:r>
      <w:r w:rsidR="003054A7">
        <w:rPr>
          <w:rFonts w:ascii="Times New Roman" w:hAnsi="Times New Roman" w:cs="Times New Roman"/>
          <w:sz w:val="24"/>
        </w:rPr>
        <w:t>persistence</w:t>
      </w:r>
      <w:r w:rsidR="0080590A">
        <w:rPr>
          <w:rFonts w:ascii="Times New Roman" w:hAnsi="Times New Roman" w:cs="Times New Roman"/>
          <w:sz w:val="24"/>
        </w:rPr>
        <w:t>. This is expected since, on aggregate, the crises lasted for over a year consequently;</w:t>
      </w:r>
      <w:r>
        <w:rPr>
          <w:rFonts w:ascii="Times New Roman" w:hAnsi="Times New Roman" w:cs="Times New Roman"/>
          <w:sz w:val="24"/>
        </w:rPr>
        <w:t xml:space="preserve"> </w:t>
      </w:r>
      <w:r w:rsidR="0080590A">
        <w:rPr>
          <w:rFonts w:ascii="Times New Roman" w:hAnsi="Times New Roman" w:cs="Times New Roman"/>
          <w:sz w:val="24"/>
        </w:rPr>
        <w:t>the condi</w:t>
      </w:r>
      <w:r w:rsidR="00A223D7">
        <w:rPr>
          <w:rFonts w:ascii="Times New Roman" w:hAnsi="Times New Roman" w:cs="Times New Roman"/>
          <w:sz w:val="24"/>
        </w:rPr>
        <w:t xml:space="preserve">tional volatility will </w:t>
      </w:r>
      <w:r w:rsidR="007D7287">
        <w:rPr>
          <w:rFonts w:ascii="Times New Roman" w:hAnsi="Times New Roman" w:cs="Times New Roman"/>
          <w:sz w:val="24"/>
        </w:rPr>
        <w:t xml:space="preserve">(on the aggregate) </w:t>
      </w:r>
      <w:r w:rsidR="00A223D7">
        <w:rPr>
          <w:rFonts w:ascii="Times New Roman" w:hAnsi="Times New Roman" w:cs="Times New Roman"/>
          <w:sz w:val="24"/>
        </w:rPr>
        <w:t>be driven</w:t>
      </w:r>
      <w:r w:rsidR="0080590A">
        <w:rPr>
          <w:rFonts w:ascii="Times New Roman" w:hAnsi="Times New Roman" w:cs="Times New Roman"/>
          <w:sz w:val="24"/>
        </w:rPr>
        <w:t xml:space="preserve"> more by shocks </w:t>
      </w:r>
      <w:r w:rsidR="00A223D7">
        <w:rPr>
          <w:rFonts w:ascii="Times New Roman" w:hAnsi="Times New Roman" w:cs="Times New Roman"/>
          <w:sz w:val="24"/>
        </w:rPr>
        <w:t xml:space="preserve">from the crises </w:t>
      </w:r>
      <w:r w:rsidR="0080590A">
        <w:rPr>
          <w:rFonts w:ascii="Times New Roman" w:hAnsi="Times New Roman" w:cs="Times New Roman"/>
          <w:sz w:val="24"/>
        </w:rPr>
        <w:t>than</w:t>
      </w:r>
      <w:r w:rsidR="007D7287">
        <w:rPr>
          <w:rFonts w:ascii="Times New Roman" w:hAnsi="Times New Roman" w:cs="Times New Roman"/>
          <w:sz w:val="24"/>
        </w:rPr>
        <w:t xml:space="preserve"> by the market movement</w:t>
      </w:r>
      <w:r w:rsidR="00A223D7">
        <w:rPr>
          <w:rFonts w:ascii="Times New Roman" w:hAnsi="Times New Roman" w:cs="Times New Roman"/>
          <w:sz w:val="24"/>
        </w:rPr>
        <w:t>s.</w:t>
      </w:r>
    </w:p>
    <w:p w:rsidR="00C05E49" w:rsidRDefault="00C05E49" w:rsidP="00BD2665">
      <w:pPr>
        <w:pStyle w:val="ListParagraph"/>
        <w:numPr>
          <w:ilvl w:val="0"/>
          <w:numId w:val="9"/>
        </w:numPr>
        <w:spacing w:line="480" w:lineRule="auto"/>
        <w:ind w:left="630" w:hanging="630"/>
        <w:jc w:val="both"/>
        <w:rPr>
          <w:rFonts w:ascii="Times New Roman" w:hAnsi="Times New Roman" w:cs="Times New Roman"/>
          <w:sz w:val="24"/>
        </w:rPr>
      </w:pPr>
      <w:r w:rsidRPr="00C05E49">
        <w:rPr>
          <w:rFonts w:ascii="Times New Roman" w:hAnsi="Times New Roman" w:cs="Times New Roman"/>
          <w:sz w:val="24"/>
        </w:rPr>
        <w:t>Figures 1 and 2</w:t>
      </w:r>
      <w:r w:rsidR="00CF337D" w:rsidRPr="00C05E49">
        <w:rPr>
          <w:rFonts w:ascii="Times New Roman" w:hAnsi="Times New Roman" w:cs="Times New Roman"/>
          <w:sz w:val="24"/>
        </w:rPr>
        <w:t xml:space="preserve"> plot </w:t>
      </w:r>
      <w:r w:rsidRPr="00C05E49">
        <w:rPr>
          <w:position w:val="-12"/>
        </w:rPr>
        <w:object w:dxaOrig="279" w:dyaOrig="360">
          <v:shape id="_x0000_i1082" type="#_x0000_t75" style="width:13.5pt;height:18pt" o:ole="">
            <v:imagedata r:id="rId117" o:title=""/>
          </v:shape>
          <o:OLEObject Type="Embed" ProgID="Equation.3" ShapeID="_x0000_i1082" DrawAspect="Content" ObjectID="_1493477210" r:id="rId118"/>
        </w:object>
      </w:r>
      <w:r w:rsidRPr="00C05E49">
        <w:rPr>
          <w:rFonts w:ascii="Times New Roman" w:hAnsi="Times New Roman" w:cs="Times New Roman"/>
          <w:sz w:val="24"/>
        </w:rPr>
        <w:t xml:space="preserve"> (the conditional volatility </w:t>
      </w:r>
      <w:r w:rsidR="00126F0E">
        <w:rPr>
          <w:rFonts w:ascii="Times New Roman" w:hAnsi="Times New Roman" w:cs="Times New Roman"/>
          <w:sz w:val="24"/>
        </w:rPr>
        <w:t>of returns) and the Kenyan FOREX rates for the period January 1, 2006 to July 13, 2012</w:t>
      </w:r>
      <w:r w:rsidR="00CF337D" w:rsidRPr="00C05E49">
        <w:rPr>
          <w:rFonts w:ascii="Times New Roman" w:hAnsi="Times New Roman" w:cs="Times New Roman"/>
          <w:sz w:val="24"/>
        </w:rPr>
        <w:t xml:space="preserve">, respectively. </w:t>
      </w:r>
      <w:r w:rsidRPr="00C05E49">
        <w:rPr>
          <w:position w:val="-12"/>
        </w:rPr>
        <w:object w:dxaOrig="279" w:dyaOrig="360">
          <v:shape id="_x0000_i1083" type="#_x0000_t75" style="width:13.5pt;height:18pt" o:ole="">
            <v:imagedata r:id="rId119" o:title=""/>
          </v:shape>
          <o:OLEObject Type="Embed" ProgID="Equation.3" ShapeID="_x0000_i1083" DrawAspect="Content" ObjectID="_1493477211" r:id="rId120"/>
        </w:object>
      </w:r>
      <w:r w:rsidR="00E05495">
        <w:rPr>
          <w:position w:val="-12"/>
        </w:rPr>
        <w:t xml:space="preserve"> </w:t>
      </w:r>
      <w:proofErr w:type="gramStart"/>
      <w:r w:rsidR="00CF337D" w:rsidRPr="00C05E49">
        <w:rPr>
          <w:rFonts w:ascii="Times New Roman" w:hAnsi="Times New Roman" w:cs="Times New Roman"/>
          <w:sz w:val="24"/>
        </w:rPr>
        <w:t>exhibits</w:t>
      </w:r>
      <w:proofErr w:type="gramEnd"/>
      <w:r w:rsidR="00CF337D" w:rsidRPr="00C05E49">
        <w:rPr>
          <w:rFonts w:ascii="Times New Roman" w:hAnsi="Times New Roman" w:cs="Times New Roman"/>
          <w:sz w:val="24"/>
        </w:rPr>
        <w:t xml:space="preserve"> variations </w:t>
      </w:r>
      <w:r w:rsidR="00CF337D" w:rsidRPr="00C05E49">
        <w:rPr>
          <w:rFonts w:ascii="Times New Roman" w:hAnsi="Times New Roman" w:cs="Times New Roman"/>
          <w:sz w:val="24"/>
        </w:rPr>
        <w:lastRenderedPageBreak/>
        <w:t>with lows</w:t>
      </w:r>
      <w:r w:rsidR="007D6D9C" w:rsidRPr="00C05E49">
        <w:rPr>
          <w:rFonts w:ascii="Times New Roman" w:hAnsi="Times New Roman" w:cs="Times New Roman"/>
          <w:sz w:val="24"/>
        </w:rPr>
        <w:t xml:space="preserve"> of less than one-half and highs over ten. Notice that major episodes of high volatility are associated with market rise.</w:t>
      </w:r>
    </w:p>
    <w:p w:rsidR="00C229F0" w:rsidRDefault="004926D2" w:rsidP="00BD2665">
      <w:pPr>
        <w:autoSpaceDE w:val="0"/>
        <w:autoSpaceDN w:val="0"/>
        <w:adjustRightInd w:val="0"/>
        <w:spacing w:line="480" w:lineRule="auto"/>
        <w:jc w:val="both"/>
        <w:rPr>
          <w:rFonts w:ascii="Times New Roman" w:hAnsi="Times New Roman" w:cs="Times New Roman"/>
          <w:sz w:val="24"/>
          <w:szCs w:val="20"/>
        </w:rPr>
      </w:pPr>
      <w:r w:rsidRPr="004926D2">
        <w:rPr>
          <w:rFonts w:ascii="Times New Roman" w:hAnsi="Times New Roman" w:cs="Times New Roman"/>
          <w:b/>
          <w:sz w:val="24"/>
          <w:szCs w:val="20"/>
        </w:rPr>
        <w:t xml:space="preserve">Specification Tests: </w:t>
      </w:r>
      <w:r>
        <w:rPr>
          <w:rFonts w:ascii="Times New Roman" w:hAnsi="Times New Roman" w:cs="Times New Roman"/>
          <w:sz w:val="24"/>
          <w:szCs w:val="20"/>
        </w:rPr>
        <w:t>Correct spe</w:t>
      </w:r>
      <w:r w:rsidR="00A223D7">
        <w:rPr>
          <w:rFonts w:ascii="Times New Roman" w:hAnsi="Times New Roman" w:cs="Times New Roman"/>
          <w:sz w:val="24"/>
          <w:szCs w:val="20"/>
        </w:rPr>
        <w:t xml:space="preserve">cification of </w:t>
      </w:r>
      <w:r w:rsidR="00C229F0">
        <w:rPr>
          <w:rFonts w:ascii="Times New Roman" w:hAnsi="Times New Roman" w:cs="Times New Roman"/>
          <w:sz w:val="24"/>
          <w:szCs w:val="20"/>
        </w:rPr>
        <w:t>GARCH</w:t>
      </w:r>
      <w:r w:rsidR="00A223D7">
        <w:rPr>
          <w:rFonts w:ascii="Times New Roman" w:hAnsi="Times New Roman" w:cs="Times New Roman"/>
          <w:sz w:val="24"/>
          <w:szCs w:val="20"/>
        </w:rPr>
        <w:t>-type</w:t>
      </w:r>
      <w:r w:rsidR="00C229F0">
        <w:rPr>
          <w:rFonts w:ascii="Times New Roman" w:hAnsi="Times New Roman" w:cs="Times New Roman"/>
          <w:sz w:val="24"/>
          <w:szCs w:val="20"/>
        </w:rPr>
        <w:t xml:space="preserve"> model</w:t>
      </w:r>
      <w:r w:rsidR="00A223D7">
        <w:rPr>
          <w:rFonts w:ascii="Times New Roman" w:hAnsi="Times New Roman" w:cs="Times New Roman"/>
          <w:sz w:val="24"/>
          <w:szCs w:val="20"/>
        </w:rPr>
        <w:t>s</w:t>
      </w:r>
      <w:r w:rsidR="00C229F0">
        <w:rPr>
          <w:rFonts w:ascii="Times New Roman" w:hAnsi="Times New Roman" w:cs="Times New Roman"/>
          <w:sz w:val="24"/>
          <w:szCs w:val="20"/>
        </w:rPr>
        <w:t xml:space="preserve"> has implicatio</w:t>
      </w:r>
      <w:r w:rsidR="00EB136C">
        <w:rPr>
          <w:rFonts w:ascii="Times New Roman" w:hAnsi="Times New Roman" w:cs="Times New Roman"/>
          <w:sz w:val="24"/>
          <w:szCs w:val="20"/>
        </w:rPr>
        <w:t>ns for the returns (Nelson [15]</w:t>
      </w:r>
      <w:r w:rsidR="00C229F0">
        <w:rPr>
          <w:rFonts w:ascii="Times New Roman" w:hAnsi="Times New Roman" w:cs="Times New Roman"/>
          <w:sz w:val="24"/>
          <w:szCs w:val="20"/>
        </w:rPr>
        <w:t xml:space="preserve">). Accordingly, we test for serial correlation in the </w:t>
      </w:r>
      <w:r w:rsidR="00C229F0" w:rsidRPr="00072B5A">
        <w:rPr>
          <w:rFonts w:ascii="Times New Roman" w:hAnsi="Times New Roman" w:cs="Times New Roman"/>
          <w:sz w:val="24"/>
          <w:szCs w:val="20"/>
        </w:rPr>
        <w:t xml:space="preserve">standardized residuals </w:t>
      </w:r>
      <w:r w:rsidR="00C229F0">
        <w:rPr>
          <w:rFonts w:ascii="Times New Roman" w:hAnsi="Times New Roman" w:cs="Times New Roman"/>
          <w:sz w:val="24"/>
          <w:szCs w:val="20"/>
        </w:rPr>
        <w:t xml:space="preserve">and </w:t>
      </w:r>
      <w:r w:rsidR="00C229F0" w:rsidRPr="00072B5A">
        <w:rPr>
          <w:rFonts w:ascii="Times New Roman" w:hAnsi="Times New Roman" w:cs="Times New Roman"/>
          <w:sz w:val="24"/>
          <w:szCs w:val="20"/>
        </w:rPr>
        <w:t>the squared standardized residuals</w:t>
      </w:r>
      <w:r w:rsidR="00C229F0">
        <w:rPr>
          <w:rFonts w:ascii="Times New Roman" w:hAnsi="Times New Roman" w:cs="Times New Roman"/>
          <w:sz w:val="24"/>
          <w:szCs w:val="20"/>
        </w:rPr>
        <w:t xml:space="preserve"> at lags one through twenty.</w:t>
      </w:r>
    </w:p>
    <w:p w:rsidR="006B1B55" w:rsidRDefault="002A5158" w:rsidP="00BD2665">
      <w:pPr>
        <w:autoSpaceDE w:val="0"/>
        <w:autoSpaceDN w:val="0"/>
        <w:adjustRightInd w:val="0"/>
        <w:spacing w:line="480" w:lineRule="auto"/>
        <w:jc w:val="both"/>
        <w:rPr>
          <w:rFonts w:ascii="Times New Roman" w:hAnsi="Times New Roman" w:cs="Times New Roman"/>
          <w:sz w:val="24"/>
          <w:szCs w:val="20"/>
        </w:rPr>
      </w:pPr>
      <w:r>
        <w:rPr>
          <w:rFonts w:ascii="Times New Roman" w:hAnsi="Times New Roman" w:cs="Times New Roman"/>
          <w:sz w:val="24"/>
          <w:szCs w:val="20"/>
        </w:rPr>
        <w:t>Table 3</w:t>
      </w:r>
      <w:r w:rsidR="00A87198">
        <w:rPr>
          <w:rFonts w:ascii="Times New Roman" w:hAnsi="Times New Roman" w:cs="Times New Roman"/>
          <w:sz w:val="24"/>
          <w:szCs w:val="20"/>
        </w:rPr>
        <w:t xml:space="preserve"> also</w:t>
      </w:r>
      <w:r w:rsidR="00C229F0">
        <w:rPr>
          <w:rFonts w:ascii="Times New Roman" w:hAnsi="Times New Roman" w:cs="Times New Roman"/>
          <w:sz w:val="24"/>
          <w:szCs w:val="20"/>
        </w:rPr>
        <w:t xml:space="preserve"> reports the </w:t>
      </w:r>
      <w:proofErr w:type="spellStart"/>
      <w:r w:rsidR="00C229F0">
        <w:rPr>
          <w:rFonts w:ascii="Times New Roman" w:hAnsi="Times New Roman" w:cs="Times New Roman"/>
          <w:sz w:val="24"/>
          <w:szCs w:val="20"/>
        </w:rPr>
        <w:t>L</w:t>
      </w:r>
      <w:r w:rsidR="00C229F0" w:rsidRPr="00072B5A">
        <w:rPr>
          <w:rFonts w:ascii="Times New Roman" w:hAnsi="Times New Roman" w:cs="Times New Roman"/>
          <w:sz w:val="24"/>
          <w:szCs w:val="20"/>
        </w:rPr>
        <w:t>jung</w:t>
      </w:r>
      <w:proofErr w:type="spellEnd"/>
      <w:r w:rsidR="00C229F0" w:rsidRPr="00072B5A">
        <w:rPr>
          <w:rFonts w:ascii="Times New Roman" w:hAnsi="Times New Roman" w:cs="Times New Roman"/>
          <w:sz w:val="24"/>
          <w:szCs w:val="20"/>
        </w:rPr>
        <w:t>-Box Q-statistic with 20 lags</w:t>
      </w:r>
      <w:r w:rsidR="00C229F0">
        <w:rPr>
          <w:rFonts w:ascii="Times New Roman" w:hAnsi="Times New Roman" w:cs="Times New Roman"/>
          <w:sz w:val="24"/>
          <w:szCs w:val="20"/>
        </w:rPr>
        <w:t xml:space="preserve"> (denoted </w:t>
      </w:r>
      <w:proofErr w:type="gramStart"/>
      <w:r w:rsidR="00C229F0">
        <w:rPr>
          <w:rFonts w:ascii="Times New Roman" w:hAnsi="Times New Roman" w:cs="Times New Roman"/>
          <w:sz w:val="24"/>
          <w:szCs w:val="20"/>
        </w:rPr>
        <w:t>Q(</w:t>
      </w:r>
      <w:proofErr w:type="gramEnd"/>
      <w:r w:rsidR="00C229F0">
        <w:rPr>
          <w:rFonts w:ascii="Times New Roman" w:hAnsi="Times New Roman" w:cs="Times New Roman"/>
          <w:sz w:val="24"/>
          <w:szCs w:val="20"/>
        </w:rPr>
        <w:t>20) and</w:t>
      </w:r>
      <w:r w:rsidR="00C229F0" w:rsidRPr="00072B5A">
        <w:rPr>
          <w:rFonts w:ascii="Times New Roman" w:hAnsi="Times New Roman" w:cs="Times New Roman"/>
          <w:sz w:val="24"/>
          <w:szCs w:val="20"/>
        </w:rPr>
        <w:t xml:space="preserve"> Q</w:t>
      </w:r>
      <w:r w:rsidR="00C229F0" w:rsidRPr="00072B5A">
        <w:rPr>
          <w:rFonts w:ascii="Times New Roman" w:hAnsi="Times New Roman" w:cs="Times New Roman"/>
          <w:sz w:val="24"/>
          <w:szCs w:val="20"/>
          <w:vertAlign w:val="superscript"/>
        </w:rPr>
        <w:t>2</w:t>
      </w:r>
      <w:r w:rsidR="00C229F0">
        <w:rPr>
          <w:rFonts w:ascii="Times New Roman" w:hAnsi="Times New Roman" w:cs="Times New Roman"/>
          <w:sz w:val="24"/>
          <w:szCs w:val="20"/>
        </w:rPr>
        <w:t xml:space="preserve">(20)) for </w:t>
      </w:r>
      <w:r w:rsidR="00C229F0" w:rsidRPr="00C229F0">
        <w:rPr>
          <w:rFonts w:ascii="Times New Roman" w:hAnsi="Times New Roman" w:cs="Times New Roman"/>
          <w:b/>
          <w:position w:val="-12"/>
          <w:sz w:val="24"/>
        </w:rPr>
        <w:object w:dxaOrig="240" w:dyaOrig="360">
          <v:shape id="_x0000_i1084" type="#_x0000_t75" style="width:12pt;height:18.75pt" o:ole="">
            <v:imagedata r:id="rId121" o:title=""/>
          </v:shape>
          <o:OLEObject Type="Embed" ProgID="Equation.3" ShapeID="_x0000_i1084" DrawAspect="Content" ObjectID="_1493477212" r:id="rId122"/>
        </w:object>
      </w:r>
      <w:r w:rsidR="004C0338">
        <w:rPr>
          <w:rFonts w:ascii="Times New Roman" w:hAnsi="Times New Roman" w:cs="Times New Roman"/>
          <w:sz w:val="24"/>
          <w:szCs w:val="20"/>
        </w:rPr>
        <w:t xml:space="preserve"> and</w:t>
      </w:r>
      <w:r w:rsidR="00C229F0">
        <w:rPr>
          <w:rFonts w:ascii="Times New Roman" w:hAnsi="Times New Roman" w:cs="Times New Roman"/>
          <w:sz w:val="24"/>
          <w:szCs w:val="20"/>
        </w:rPr>
        <w:t xml:space="preserve"> their associated p-values</w:t>
      </w:r>
      <w:r w:rsidR="004C0338">
        <w:rPr>
          <w:rFonts w:ascii="Times New Roman" w:hAnsi="Times New Roman" w:cs="Times New Roman"/>
          <w:sz w:val="24"/>
          <w:szCs w:val="20"/>
        </w:rPr>
        <w:t xml:space="preserve">; and in addition, </w:t>
      </w:r>
      <w:r w:rsidR="00A63C64">
        <w:rPr>
          <w:rFonts w:ascii="Times New Roman" w:hAnsi="Times New Roman" w:cs="Times New Roman"/>
          <w:sz w:val="24"/>
          <w:szCs w:val="20"/>
        </w:rPr>
        <w:t>ARCH ML test statistic with 20 lags (denoted</w:t>
      </w:r>
      <w:r w:rsidR="00A63C64" w:rsidRPr="00A63C64">
        <w:rPr>
          <w:rFonts w:ascii="Times New Roman" w:hAnsi="Times New Roman" w:cs="Times New Roman"/>
          <w:sz w:val="24"/>
          <w:szCs w:val="20"/>
        </w:rPr>
        <w:t xml:space="preserve"> </w:t>
      </w:r>
      <w:r w:rsidR="00A63C64">
        <w:rPr>
          <w:rFonts w:ascii="Times New Roman" w:hAnsi="Times New Roman" w:cs="Times New Roman"/>
          <w:sz w:val="24"/>
          <w:szCs w:val="20"/>
        </w:rPr>
        <w:t>ML(20</w:t>
      </w:r>
      <w:r w:rsidR="00C678D1">
        <w:rPr>
          <w:rFonts w:ascii="Times New Roman" w:hAnsi="Times New Roman" w:cs="Times New Roman"/>
          <w:sz w:val="24"/>
          <w:szCs w:val="20"/>
        </w:rPr>
        <w:t xml:space="preserve">)). In the </w:t>
      </w:r>
      <w:proofErr w:type="spellStart"/>
      <w:r w:rsidR="00C678D1">
        <w:rPr>
          <w:rFonts w:ascii="Times New Roman" w:hAnsi="Times New Roman" w:cs="Times New Roman"/>
          <w:sz w:val="24"/>
          <w:szCs w:val="20"/>
        </w:rPr>
        <w:t>Ljung</w:t>
      </w:r>
      <w:proofErr w:type="spellEnd"/>
      <w:r w:rsidR="00C678D1">
        <w:rPr>
          <w:rFonts w:ascii="Times New Roman" w:hAnsi="Times New Roman" w:cs="Times New Roman"/>
          <w:sz w:val="24"/>
          <w:szCs w:val="20"/>
        </w:rPr>
        <w:t>-Box test, GARCH model did</w:t>
      </w:r>
      <w:r w:rsidR="00A63C64">
        <w:rPr>
          <w:rFonts w:ascii="Times New Roman" w:hAnsi="Times New Roman" w:cs="Times New Roman"/>
          <w:sz w:val="24"/>
          <w:szCs w:val="20"/>
        </w:rPr>
        <w:t xml:space="preserve"> well, with probability values of 0.</w:t>
      </w:r>
      <w:r w:rsidR="00C678D1">
        <w:rPr>
          <w:rFonts w:ascii="Times New Roman" w:hAnsi="Times New Roman" w:cs="Times New Roman"/>
          <w:sz w:val="24"/>
          <w:szCs w:val="20"/>
        </w:rPr>
        <w:t>099 and 0.949</w:t>
      </w:r>
      <w:r w:rsidR="00A63C64">
        <w:rPr>
          <w:rFonts w:ascii="Times New Roman" w:hAnsi="Times New Roman" w:cs="Times New Roman"/>
          <w:sz w:val="24"/>
          <w:szCs w:val="20"/>
        </w:rPr>
        <w:t xml:space="preserve"> for </w:t>
      </w:r>
      <w:proofErr w:type="gramStart"/>
      <w:r w:rsidR="00F83A79" w:rsidRPr="00072B5A">
        <w:rPr>
          <w:rFonts w:ascii="Times New Roman" w:hAnsi="Times New Roman" w:cs="Times New Roman"/>
          <w:sz w:val="24"/>
          <w:szCs w:val="20"/>
        </w:rPr>
        <w:t>Q(</w:t>
      </w:r>
      <w:proofErr w:type="gramEnd"/>
      <w:r w:rsidR="00F83A79" w:rsidRPr="00072B5A">
        <w:rPr>
          <w:rFonts w:ascii="Times New Roman" w:hAnsi="Times New Roman" w:cs="Times New Roman"/>
          <w:sz w:val="24"/>
          <w:szCs w:val="20"/>
        </w:rPr>
        <w:t>20) and Q</w:t>
      </w:r>
      <w:r w:rsidR="00F83A79" w:rsidRPr="00072B5A">
        <w:rPr>
          <w:rFonts w:ascii="Times New Roman" w:hAnsi="Times New Roman" w:cs="Times New Roman"/>
          <w:sz w:val="24"/>
          <w:szCs w:val="20"/>
          <w:vertAlign w:val="superscript"/>
        </w:rPr>
        <w:t>2</w:t>
      </w:r>
      <w:r w:rsidR="00F83A79" w:rsidRPr="00072B5A">
        <w:rPr>
          <w:rFonts w:ascii="Times New Roman" w:hAnsi="Times New Roman" w:cs="Times New Roman"/>
          <w:sz w:val="24"/>
          <w:szCs w:val="20"/>
        </w:rPr>
        <w:t>(20)</w:t>
      </w:r>
      <w:r w:rsidR="00C678D1">
        <w:rPr>
          <w:rFonts w:ascii="Times New Roman" w:hAnsi="Times New Roman" w:cs="Times New Roman"/>
          <w:sz w:val="24"/>
          <w:szCs w:val="20"/>
        </w:rPr>
        <w:t>, respectively</w:t>
      </w:r>
      <w:r w:rsidR="002A3D22">
        <w:rPr>
          <w:rFonts w:ascii="Times New Roman" w:hAnsi="Times New Roman" w:cs="Times New Roman"/>
          <w:sz w:val="24"/>
          <w:szCs w:val="20"/>
        </w:rPr>
        <w:t xml:space="preserve">. </w:t>
      </w:r>
      <w:r w:rsidR="0028220E">
        <w:rPr>
          <w:rFonts w:ascii="Times New Roman" w:hAnsi="Times New Roman" w:cs="Times New Roman"/>
          <w:sz w:val="24"/>
          <w:szCs w:val="20"/>
        </w:rPr>
        <w:t xml:space="preserve">Meaning that the serial correlation found in the datasets earlier (See Table 2) has been significantly reduced and ARCH effect removed </w:t>
      </w:r>
      <w:r w:rsidR="00A223D7">
        <w:rPr>
          <w:rFonts w:ascii="Times New Roman" w:hAnsi="Times New Roman" w:cs="Times New Roman"/>
          <w:sz w:val="24"/>
          <w:szCs w:val="20"/>
        </w:rPr>
        <w:t xml:space="preserve">(almost) </w:t>
      </w:r>
      <w:r w:rsidR="0028220E">
        <w:rPr>
          <w:rFonts w:ascii="Times New Roman" w:hAnsi="Times New Roman" w:cs="Times New Roman"/>
          <w:sz w:val="24"/>
          <w:szCs w:val="20"/>
        </w:rPr>
        <w:t xml:space="preserve">entirely; giving justification for the specified model. </w:t>
      </w:r>
      <w:r w:rsidR="00C678D1">
        <w:rPr>
          <w:rFonts w:ascii="Times New Roman" w:hAnsi="Times New Roman" w:cs="Times New Roman"/>
          <w:sz w:val="24"/>
          <w:szCs w:val="20"/>
        </w:rPr>
        <w:t xml:space="preserve">We note here that the serial correlation level (measured by </w:t>
      </w:r>
      <w:proofErr w:type="gramStart"/>
      <w:r w:rsidR="00C678D1">
        <w:rPr>
          <w:rFonts w:ascii="Times New Roman" w:hAnsi="Times New Roman" w:cs="Times New Roman"/>
          <w:sz w:val="24"/>
          <w:szCs w:val="20"/>
        </w:rPr>
        <w:t>Q(</w:t>
      </w:r>
      <w:proofErr w:type="gramEnd"/>
      <w:r w:rsidR="00C678D1">
        <w:rPr>
          <w:rFonts w:ascii="Times New Roman" w:hAnsi="Times New Roman" w:cs="Times New Roman"/>
          <w:sz w:val="24"/>
          <w:szCs w:val="20"/>
        </w:rPr>
        <w:t>20)) could</w:t>
      </w:r>
      <w:r w:rsidR="0028220E">
        <w:rPr>
          <w:rFonts w:ascii="Times New Roman" w:hAnsi="Times New Roman" w:cs="Times New Roman"/>
          <w:sz w:val="24"/>
          <w:szCs w:val="20"/>
        </w:rPr>
        <w:t xml:space="preserve"> be</w:t>
      </w:r>
      <w:r w:rsidR="00C678D1">
        <w:rPr>
          <w:rFonts w:ascii="Times New Roman" w:hAnsi="Times New Roman" w:cs="Times New Roman"/>
          <w:sz w:val="24"/>
          <w:szCs w:val="20"/>
        </w:rPr>
        <w:t xml:space="preserve"> reduced</w:t>
      </w:r>
      <w:r w:rsidR="0028220E">
        <w:rPr>
          <w:rFonts w:ascii="Times New Roman" w:hAnsi="Times New Roman" w:cs="Times New Roman"/>
          <w:sz w:val="24"/>
          <w:szCs w:val="20"/>
        </w:rPr>
        <w:t xml:space="preserve"> further</w:t>
      </w:r>
      <w:r w:rsidR="00C678D1">
        <w:rPr>
          <w:rFonts w:ascii="Times New Roman" w:hAnsi="Times New Roman" w:cs="Times New Roman"/>
          <w:sz w:val="24"/>
          <w:szCs w:val="20"/>
        </w:rPr>
        <w:t xml:space="preserve"> with the inclusion of lags 6, 10 and 14</w:t>
      </w:r>
      <w:r w:rsidR="0028220E">
        <w:rPr>
          <w:rFonts w:ascii="Times New Roman" w:hAnsi="Times New Roman" w:cs="Times New Roman"/>
          <w:sz w:val="24"/>
          <w:szCs w:val="20"/>
        </w:rPr>
        <w:t xml:space="preserve"> in the mean equation</w:t>
      </w:r>
      <w:r w:rsidR="00C678D1">
        <w:rPr>
          <w:rFonts w:ascii="Times New Roman" w:hAnsi="Times New Roman" w:cs="Times New Roman"/>
          <w:sz w:val="24"/>
          <w:szCs w:val="20"/>
        </w:rPr>
        <w:t>. However, we did not include them in this computatio</w:t>
      </w:r>
      <w:r w:rsidR="0028220E">
        <w:rPr>
          <w:rFonts w:ascii="Times New Roman" w:hAnsi="Times New Roman" w:cs="Times New Roman"/>
          <w:sz w:val="24"/>
          <w:szCs w:val="20"/>
        </w:rPr>
        <w:t xml:space="preserve">n because such inclusion </w:t>
      </w:r>
      <w:r w:rsidR="00C678D1">
        <w:rPr>
          <w:rFonts w:ascii="Times New Roman" w:hAnsi="Times New Roman" w:cs="Times New Roman"/>
          <w:sz w:val="24"/>
          <w:szCs w:val="20"/>
        </w:rPr>
        <w:t>did not</w:t>
      </w:r>
      <w:r w:rsidR="0028220E">
        <w:rPr>
          <w:rFonts w:ascii="Times New Roman" w:hAnsi="Times New Roman" w:cs="Times New Roman"/>
          <w:sz w:val="24"/>
          <w:szCs w:val="20"/>
        </w:rPr>
        <w:t xml:space="preserve"> alter (significantly)</w:t>
      </w:r>
      <w:r w:rsidR="00C678D1">
        <w:rPr>
          <w:rFonts w:ascii="Times New Roman" w:hAnsi="Times New Roman" w:cs="Times New Roman"/>
          <w:sz w:val="24"/>
          <w:szCs w:val="20"/>
        </w:rPr>
        <w:t xml:space="preserve"> the </w:t>
      </w:r>
      <w:r w:rsidR="0028220E">
        <w:rPr>
          <w:rFonts w:ascii="Times New Roman" w:hAnsi="Times New Roman" w:cs="Times New Roman"/>
          <w:sz w:val="24"/>
          <w:szCs w:val="20"/>
        </w:rPr>
        <w:t>estimated values; hence, they would only reduce the degrees of freedom with no added ‘advantages’.</w:t>
      </w:r>
    </w:p>
    <w:p w:rsidR="002A3D22" w:rsidRPr="002A3D22" w:rsidRDefault="002A3D22" w:rsidP="00BD2665">
      <w:pPr>
        <w:autoSpaceDE w:val="0"/>
        <w:autoSpaceDN w:val="0"/>
        <w:adjustRightInd w:val="0"/>
        <w:spacing w:line="480" w:lineRule="auto"/>
        <w:jc w:val="both"/>
        <w:rPr>
          <w:rFonts w:ascii="Times New Roman" w:hAnsi="Times New Roman" w:cs="Times New Roman"/>
          <w:b/>
          <w:sz w:val="18"/>
        </w:rPr>
      </w:pPr>
      <w:r>
        <w:rPr>
          <w:rFonts w:ascii="Times New Roman" w:hAnsi="Times New Roman" w:cs="Times New Roman"/>
          <w:b/>
          <w:sz w:val="24"/>
          <w:szCs w:val="20"/>
        </w:rPr>
        <w:t>5.2 Second Part</w:t>
      </w:r>
    </w:p>
    <w:p w:rsidR="008611AB" w:rsidRDefault="00E93C6F"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This section provides in-depth analysis of the crises, in the sense that the ent</w:t>
      </w:r>
      <w:r w:rsidR="0028220E">
        <w:rPr>
          <w:rFonts w:ascii="Times New Roman" w:hAnsi="Times New Roman" w:cs="Times New Roman"/>
          <w:sz w:val="24"/>
          <w:szCs w:val="24"/>
        </w:rPr>
        <w:t>ire period is divided into</w:t>
      </w:r>
      <w:r>
        <w:rPr>
          <w:rFonts w:ascii="Times New Roman" w:hAnsi="Times New Roman" w:cs="Times New Roman"/>
          <w:sz w:val="24"/>
          <w:szCs w:val="24"/>
        </w:rPr>
        <w:t xml:space="preserve"> </w:t>
      </w:r>
      <w:proofErr w:type="spellStart"/>
      <w:r>
        <w:rPr>
          <w:rFonts w:ascii="Times New Roman" w:hAnsi="Times New Roman" w:cs="Times New Roman"/>
          <w:sz w:val="24"/>
          <w:szCs w:val="24"/>
        </w:rPr>
        <w:t>subperiods</w:t>
      </w:r>
      <w:proofErr w:type="spellEnd"/>
      <w:r>
        <w:rPr>
          <w:rFonts w:ascii="Times New Roman" w:hAnsi="Times New Roman" w:cs="Times New Roman"/>
          <w:sz w:val="24"/>
          <w:szCs w:val="24"/>
        </w:rPr>
        <w:t>: pre-crises, crises</w:t>
      </w:r>
      <w:r w:rsidR="008611AB">
        <w:rPr>
          <w:rFonts w:ascii="Times New Roman" w:hAnsi="Times New Roman" w:cs="Times New Roman"/>
          <w:sz w:val="24"/>
          <w:szCs w:val="24"/>
        </w:rPr>
        <w:t xml:space="preserve">. </w:t>
      </w:r>
      <w:r w:rsidR="0028220E">
        <w:rPr>
          <w:rFonts w:ascii="Times New Roman" w:hAnsi="Times New Roman" w:cs="Times New Roman"/>
          <w:sz w:val="24"/>
          <w:szCs w:val="24"/>
        </w:rPr>
        <w:t xml:space="preserve">The attention here is actually on the individual impact of the election violence and the global financial crisis on Kenyan FOREX volatility. </w:t>
      </w:r>
      <w:r w:rsidR="008611AB">
        <w:rPr>
          <w:rFonts w:ascii="Times New Roman" w:hAnsi="Times New Roman" w:cs="Times New Roman"/>
          <w:sz w:val="24"/>
          <w:szCs w:val="24"/>
        </w:rPr>
        <w:t xml:space="preserve">The essential parameters of the volatility equations shall be analyzed for possible changes. Table </w:t>
      </w:r>
      <w:r w:rsidR="002A5158">
        <w:rPr>
          <w:rFonts w:ascii="Times New Roman" w:hAnsi="Times New Roman" w:cs="Times New Roman"/>
          <w:sz w:val="24"/>
          <w:szCs w:val="24"/>
        </w:rPr>
        <w:t>4</w:t>
      </w:r>
      <w:r w:rsidR="00F83A79" w:rsidRPr="00F33B4A">
        <w:rPr>
          <w:rFonts w:ascii="Times New Roman" w:hAnsi="Times New Roman" w:cs="Times New Roman"/>
          <w:sz w:val="24"/>
          <w:szCs w:val="24"/>
        </w:rPr>
        <w:t xml:space="preserve"> presents the parameter estimates</w:t>
      </w:r>
      <w:r w:rsidR="0028220E">
        <w:rPr>
          <w:rFonts w:ascii="Times New Roman" w:hAnsi="Times New Roman" w:cs="Times New Roman"/>
          <w:sz w:val="24"/>
          <w:szCs w:val="24"/>
        </w:rPr>
        <w:t xml:space="preserve"> for the</w:t>
      </w:r>
      <w:r w:rsidR="008611AB">
        <w:rPr>
          <w:rFonts w:ascii="Times New Roman" w:hAnsi="Times New Roman" w:cs="Times New Roman"/>
          <w:sz w:val="24"/>
          <w:szCs w:val="24"/>
        </w:rPr>
        <w:t xml:space="preserve"> subsamples</w:t>
      </w:r>
      <w:r w:rsidR="00F83A79" w:rsidRPr="00F33B4A">
        <w:rPr>
          <w:rFonts w:ascii="Times New Roman" w:hAnsi="Times New Roman" w:cs="Times New Roman"/>
          <w:sz w:val="24"/>
          <w:szCs w:val="24"/>
        </w:rPr>
        <w:t>.</w:t>
      </w:r>
    </w:p>
    <w:p w:rsidR="0079683C" w:rsidRDefault="0079683C" w:rsidP="00BD266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3054A7">
        <w:rPr>
          <w:rFonts w:ascii="Times New Roman" w:hAnsi="Times New Roman" w:cs="Times New Roman"/>
          <w:sz w:val="24"/>
          <w:szCs w:val="24"/>
        </w:rPr>
        <w:t>stimates of</w:t>
      </w:r>
      <w:r w:rsidR="00095369" w:rsidRPr="00A96538">
        <w:rPr>
          <w:rFonts w:ascii="Times New Roman" w:hAnsi="Times New Roman" w:cs="Times New Roman"/>
          <w:position w:val="-12"/>
        </w:rPr>
        <w:t xml:space="preserve"> </w:t>
      </w:r>
      <w:r w:rsidR="00116640" w:rsidRPr="00116640">
        <w:rPr>
          <w:rFonts w:ascii="Times New Roman" w:hAnsi="Times New Roman" w:cs="Times New Roman"/>
          <w:position w:val="-6"/>
        </w:rPr>
        <w:object w:dxaOrig="240" w:dyaOrig="220">
          <v:shape id="_x0000_i1085" type="#_x0000_t75" style="width:12pt;height:11.25pt" o:ole="">
            <v:imagedata r:id="rId123" o:title=""/>
          </v:shape>
          <o:OLEObject Type="Embed" ProgID="Equation.3" ShapeID="_x0000_i1085" DrawAspect="Content" ObjectID="_1493477213" r:id="rId124"/>
        </w:object>
      </w:r>
      <w:r w:rsidR="00095369" w:rsidRPr="00D74E63">
        <w:rPr>
          <w:rFonts w:ascii="Times New Roman" w:hAnsi="Times New Roman" w:cs="Times New Roman"/>
          <w:sz w:val="24"/>
          <w:szCs w:val="24"/>
        </w:rPr>
        <w:t xml:space="preserve"> </w:t>
      </w:r>
      <w:r w:rsidR="00095369">
        <w:rPr>
          <w:rFonts w:ascii="Times New Roman" w:hAnsi="Times New Roman" w:cs="Times New Roman"/>
          <w:sz w:val="24"/>
          <w:szCs w:val="24"/>
        </w:rPr>
        <w:t>suggested</w:t>
      </w:r>
      <w:r w:rsidR="00095369" w:rsidRPr="00D74E63">
        <w:rPr>
          <w:rFonts w:ascii="Times New Roman" w:hAnsi="Times New Roman" w:cs="Times New Roman"/>
          <w:sz w:val="24"/>
          <w:szCs w:val="24"/>
        </w:rPr>
        <w:t xml:space="preserve"> that volatility react</w:t>
      </w:r>
      <w:r w:rsidR="00095369">
        <w:rPr>
          <w:rFonts w:ascii="Times New Roman" w:hAnsi="Times New Roman" w:cs="Times New Roman"/>
          <w:sz w:val="24"/>
          <w:szCs w:val="24"/>
        </w:rPr>
        <w:t>ed</w:t>
      </w:r>
      <w:r w:rsidR="003054A7">
        <w:rPr>
          <w:rFonts w:ascii="Times New Roman" w:hAnsi="Times New Roman" w:cs="Times New Roman"/>
          <w:sz w:val="24"/>
          <w:szCs w:val="24"/>
        </w:rPr>
        <w:t xml:space="preserve"> more</w:t>
      </w:r>
      <w:r w:rsidR="00095369" w:rsidRPr="00D74E63">
        <w:rPr>
          <w:rFonts w:ascii="Times New Roman" w:hAnsi="Times New Roman" w:cs="Times New Roman"/>
          <w:sz w:val="24"/>
          <w:szCs w:val="24"/>
        </w:rPr>
        <w:t xml:space="preserve"> intensely to market movements</w:t>
      </w:r>
      <w:r w:rsidR="003054A7">
        <w:rPr>
          <w:rFonts w:ascii="Times New Roman" w:hAnsi="Times New Roman" w:cs="Times New Roman"/>
          <w:sz w:val="24"/>
          <w:szCs w:val="24"/>
        </w:rPr>
        <w:t xml:space="preserve"> </w:t>
      </w:r>
      <w:r w:rsidR="00CA4436">
        <w:rPr>
          <w:rFonts w:ascii="Times New Roman" w:hAnsi="Times New Roman" w:cs="Times New Roman"/>
          <w:sz w:val="24"/>
          <w:szCs w:val="24"/>
        </w:rPr>
        <w:t xml:space="preserve">than to shocks </w:t>
      </w:r>
      <w:r w:rsidR="003054A7">
        <w:rPr>
          <w:rFonts w:ascii="Times New Roman" w:hAnsi="Times New Roman" w:cs="Times New Roman"/>
          <w:sz w:val="24"/>
          <w:szCs w:val="24"/>
        </w:rPr>
        <w:t>during the pre-crises and election violence periods</w:t>
      </w:r>
      <w:r w:rsidR="00095369" w:rsidRPr="00D74E63">
        <w:rPr>
          <w:rFonts w:ascii="Times New Roman" w:hAnsi="Times New Roman" w:cs="Times New Roman"/>
          <w:sz w:val="24"/>
          <w:szCs w:val="24"/>
        </w:rPr>
        <w:t xml:space="preserve">. </w:t>
      </w:r>
      <w:r>
        <w:rPr>
          <w:rFonts w:ascii="Times New Roman" w:hAnsi="Times New Roman" w:cs="Times New Roman"/>
          <w:sz w:val="24"/>
          <w:szCs w:val="24"/>
        </w:rPr>
        <w:t>This is expected since t</w:t>
      </w:r>
      <w:r w:rsidR="007D7287">
        <w:rPr>
          <w:rFonts w:ascii="Times New Roman" w:hAnsi="Times New Roman" w:cs="Times New Roman"/>
          <w:sz w:val="24"/>
          <w:szCs w:val="24"/>
        </w:rPr>
        <w:t>he market was (averagely) less volatile</w:t>
      </w:r>
      <w:r>
        <w:rPr>
          <w:rFonts w:ascii="Times New Roman" w:hAnsi="Times New Roman" w:cs="Times New Roman"/>
          <w:sz w:val="24"/>
          <w:szCs w:val="24"/>
        </w:rPr>
        <w:t xml:space="preserve"> during the pre-crises period (See Figure 2) and the election shocks lasted for just two months. </w:t>
      </w:r>
      <w:r w:rsidR="00B91E2D">
        <w:rPr>
          <w:rFonts w:ascii="Times New Roman" w:hAnsi="Times New Roman" w:cs="Times New Roman"/>
          <w:sz w:val="24"/>
          <w:szCs w:val="24"/>
        </w:rPr>
        <w:t>Consequently</w:t>
      </w:r>
      <w:r>
        <w:rPr>
          <w:rFonts w:ascii="Times New Roman" w:hAnsi="Times New Roman" w:cs="Times New Roman"/>
          <w:sz w:val="24"/>
          <w:szCs w:val="24"/>
        </w:rPr>
        <w:t xml:space="preserve">, </w:t>
      </w:r>
      <w:r w:rsidR="00B91E2D">
        <w:rPr>
          <w:rFonts w:ascii="Times New Roman" w:hAnsi="Times New Roman" w:cs="Times New Roman"/>
          <w:sz w:val="24"/>
          <w:szCs w:val="24"/>
        </w:rPr>
        <w:t>during these periods, conditional volatility</w:t>
      </w:r>
      <w:r>
        <w:rPr>
          <w:rFonts w:ascii="Times New Roman" w:hAnsi="Times New Roman" w:cs="Times New Roman"/>
          <w:sz w:val="24"/>
          <w:szCs w:val="24"/>
        </w:rPr>
        <w:t xml:space="preserve"> is expected to be</w:t>
      </w:r>
      <w:r w:rsidR="00B91E2D">
        <w:rPr>
          <w:rFonts w:ascii="Times New Roman" w:hAnsi="Times New Roman" w:cs="Times New Roman"/>
          <w:sz w:val="24"/>
          <w:szCs w:val="24"/>
        </w:rPr>
        <w:t xml:space="preserve"> more</w:t>
      </w:r>
      <w:r>
        <w:rPr>
          <w:rFonts w:ascii="Times New Roman" w:hAnsi="Times New Roman" w:cs="Times New Roman"/>
          <w:sz w:val="24"/>
          <w:szCs w:val="24"/>
        </w:rPr>
        <w:t xml:space="preserve"> influenced by </w:t>
      </w:r>
      <w:r w:rsidR="00B91E2D">
        <w:rPr>
          <w:rFonts w:ascii="Times New Roman" w:hAnsi="Times New Roman" w:cs="Times New Roman"/>
          <w:sz w:val="24"/>
          <w:szCs w:val="24"/>
        </w:rPr>
        <w:t>market movements than</w:t>
      </w:r>
      <w:r w:rsidR="007D7287">
        <w:rPr>
          <w:rFonts w:ascii="Times New Roman" w:hAnsi="Times New Roman" w:cs="Times New Roman"/>
          <w:sz w:val="24"/>
          <w:szCs w:val="24"/>
        </w:rPr>
        <w:t xml:space="preserve"> by</w:t>
      </w:r>
      <w:r w:rsidR="00B91E2D">
        <w:rPr>
          <w:rFonts w:ascii="Times New Roman" w:hAnsi="Times New Roman" w:cs="Times New Roman"/>
          <w:sz w:val="24"/>
          <w:szCs w:val="24"/>
        </w:rPr>
        <w:t xml:space="preserve"> shocks.</w:t>
      </w:r>
    </w:p>
    <w:p w:rsidR="00116640" w:rsidRDefault="003054A7" w:rsidP="00BD2665">
      <w:pPr>
        <w:autoSpaceDE w:val="0"/>
        <w:autoSpaceDN w:val="0"/>
        <w:adjustRightInd w:val="0"/>
        <w:spacing w:line="480" w:lineRule="auto"/>
        <w:jc w:val="both"/>
        <w:rPr>
          <w:rFonts w:ascii="Times New Roman" w:hAnsi="Times New Roman" w:cs="Times New Roman"/>
          <w:sz w:val="24"/>
          <w:szCs w:val="24"/>
        </w:rPr>
      </w:pPr>
      <w:r w:rsidRPr="00116640">
        <w:rPr>
          <w:rFonts w:ascii="Times New Roman" w:hAnsi="Times New Roman" w:cs="Times New Roman"/>
          <w:position w:val="-10"/>
        </w:rPr>
        <w:object w:dxaOrig="240" w:dyaOrig="380">
          <v:shape id="_x0000_i1086" type="#_x0000_t75" style="width:12pt;height:18.75pt" o:ole="">
            <v:imagedata r:id="rId125" o:title=""/>
          </v:shape>
          <o:OLEObject Type="Embed" ProgID="Equation.3" ShapeID="_x0000_i1086" DrawAspect="Content" ObjectID="_1493477214" r:id="rId126"/>
        </w:object>
      </w:r>
      <w:r w:rsidR="00095369" w:rsidRPr="00D74E63">
        <w:rPr>
          <w:rFonts w:ascii="Times New Roman" w:hAnsi="Times New Roman" w:cs="Times New Roman"/>
          <w:sz w:val="24"/>
          <w:szCs w:val="24"/>
        </w:rPr>
        <w:t xml:space="preserve"> </w:t>
      </w:r>
      <w:r w:rsidR="0079683C">
        <w:rPr>
          <w:rFonts w:ascii="Times New Roman" w:hAnsi="Times New Roman" w:cs="Times New Roman"/>
          <w:sz w:val="24"/>
          <w:szCs w:val="24"/>
        </w:rPr>
        <w:t xml:space="preserve">, on the other hand, </w:t>
      </w:r>
      <w:r w:rsidR="00095369" w:rsidRPr="00D74E63">
        <w:rPr>
          <w:rFonts w:ascii="Times New Roman" w:hAnsi="Times New Roman" w:cs="Times New Roman"/>
          <w:sz w:val="24"/>
          <w:szCs w:val="24"/>
        </w:rPr>
        <w:t>indicate</w:t>
      </w:r>
      <w:r w:rsidR="00095369">
        <w:rPr>
          <w:rFonts w:ascii="Times New Roman" w:hAnsi="Times New Roman" w:cs="Times New Roman"/>
          <w:sz w:val="24"/>
          <w:szCs w:val="24"/>
        </w:rPr>
        <w:t>d</w:t>
      </w:r>
      <w:r w:rsidR="00095369" w:rsidRPr="00D74E63">
        <w:rPr>
          <w:rFonts w:ascii="Times New Roman" w:hAnsi="Times New Roman" w:cs="Times New Roman"/>
          <w:sz w:val="24"/>
          <w:szCs w:val="24"/>
        </w:rPr>
        <w:t xml:space="preserve"> that sho</w:t>
      </w:r>
      <w:r w:rsidR="00095369">
        <w:rPr>
          <w:rFonts w:ascii="Times New Roman" w:hAnsi="Times New Roman" w:cs="Times New Roman"/>
          <w:sz w:val="24"/>
          <w:szCs w:val="24"/>
        </w:rPr>
        <w:t>cks to conditional variance took</w:t>
      </w:r>
      <w:r w:rsidR="00095369" w:rsidRPr="00D74E63">
        <w:rPr>
          <w:rFonts w:ascii="Times New Roman" w:hAnsi="Times New Roman" w:cs="Times New Roman"/>
          <w:sz w:val="24"/>
          <w:szCs w:val="24"/>
        </w:rPr>
        <w:t xml:space="preserve"> long</w:t>
      </w:r>
      <w:r>
        <w:rPr>
          <w:rFonts w:ascii="Times New Roman" w:hAnsi="Times New Roman" w:cs="Times New Roman"/>
          <w:sz w:val="24"/>
          <w:szCs w:val="24"/>
        </w:rPr>
        <w:t>er</w:t>
      </w:r>
      <w:r w:rsidR="00095369" w:rsidRPr="00D74E63">
        <w:rPr>
          <w:rFonts w:ascii="Times New Roman" w:hAnsi="Times New Roman" w:cs="Times New Roman"/>
          <w:sz w:val="24"/>
          <w:szCs w:val="24"/>
        </w:rPr>
        <w:t xml:space="preserve"> time </w:t>
      </w:r>
      <w:r w:rsidR="00095369">
        <w:rPr>
          <w:rFonts w:ascii="Times New Roman" w:hAnsi="Times New Roman" w:cs="Times New Roman"/>
          <w:sz w:val="24"/>
          <w:szCs w:val="24"/>
        </w:rPr>
        <w:t xml:space="preserve">to </w:t>
      </w:r>
      <w:r w:rsidR="00095369" w:rsidRPr="00D74E63">
        <w:rPr>
          <w:rFonts w:ascii="Times New Roman" w:hAnsi="Times New Roman" w:cs="Times New Roman"/>
          <w:sz w:val="24"/>
          <w:szCs w:val="24"/>
        </w:rPr>
        <w:t>die ou</w:t>
      </w:r>
      <w:r>
        <w:rPr>
          <w:rFonts w:ascii="Times New Roman" w:hAnsi="Times New Roman" w:cs="Times New Roman"/>
          <w:sz w:val="24"/>
          <w:szCs w:val="24"/>
        </w:rPr>
        <w:t xml:space="preserve">t during the US-induced </w:t>
      </w:r>
      <w:r w:rsidR="0079683C">
        <w:rPr>
          <w:rFonts w:ascii="Times New Roman" w:hAnsi="Times New Roman" w:cs="Times New Roman"/>
          <w:sz w:val="24"/>
          <w:szCs w:val="24"/>
        </w:rPr>
        <w:t>global crisis period</w:t>
      </w:r>
      <w:r w:rsidR="007D7287">
        <w:rPr>
          <w:rFonts w:ascii="Times New Roman" w:hAnsi="Times New Roman" w:cs="Times New Roman"/>
          <w:sz w:val="24"/>
          <w:szCs w:val="24"/>
        </w:rPr>
        <w:t xml:space="preserve"> compared to other periods</w:t>
      </w:r>
      <w:r w:rsidR="00095369" w:rsidRPr="00D74E63">
        <w:rPr>
          <w:rFonts w:ascii="Times New Roman" w:hAnsi="Times New Roman" w:cs="Times New Roman"/>
          <w:sz w:val="24"/>
          <w:szCs w:val="24"/>
        </w:rPr>
        <w:t>.</w:t>
      </w:r>
      <w:r>
        <w:rPr>
          <w:rFonts w:ascii="Times New Roman" w:hAnsi="Times New Roman" w:cs="Times New Roman"/>
          <w:sz w:val="24"/>
          <w:szCs w:val="24"/>
        </w:rPr>
        <w:t xml:space="preserve"> </w:t>
      </w:r>
      <w:r w:rsidR="00C852CE">
        <w:rPr>
          <w:rFonts w:ascii="Times New Roman" w:hAnsi="Times New Roman" w:cs="Times New Roman"/>
          <w:sz w:val="24"/>
          <w:szCs w:val="24"/>
        </w:rPr>
        <w:t>More to the point, volatility was more</w:t>
      </w:r>
      <w:r>
        <w:rPr>
          <w:rFonts w:ascii="Times New Roman" w:hAnsi="Times New Roman" w:cs="Times New Roman"/>
          <w:sz w:val="24"/>
          <w:szCs w:val="24"/>
        </w:rPr>
        <w:t xml:space="preserve"> persistent in the global crisis period than that of election</w:t>
      </w:r>
      <w:r w:rsidR="00C852CE">
        <w:rPr>
          <w:rFonts w:ascii="Times New Roman" w:hAnsi="Times New Roman" w:cs="Times New Roman"/>
          <w:sz w:val="24"/>
          <w:szCs w:val="24"/>
        </w:rPr>
        <w:t xml:space="preserve"> with a difference </w:t>
      </w:r>
      <w:r w:rsidR="007D7287">
        <w:rPr>
          <w:rFonts w:ascii="Times New Roman" w:hAnsi="Times New Roman" w:cs="Times New Roman"/>
          <w:sz w:val="24"/>
          <w:szCs w:val="24"/>
        </w:rPr>
        <w:t>of</w:t>
      </w:r>
      <w:r w:rsidR="00C852CE" w:rsidRPr="00C852CE">
        <w:rPr>
          <w:rFonts w:ascii="Times New Roman" w:hAnsi="Times New Roman" w:cs="Times New Roman"/>
          <w:position w:val="-6"/>
        </w:rPr>
        <w:object w:dxaOrig="2520" w:dyaOrig="279">
          <v:shape id="_x0000_i1087" type="#_x0000_t75" style="width:126pt;height:14.25pt" o:ole="">
            <v:imagedata r:id="rId127" o:title=""/>
          </v:shape>
          <o:OLEObject Type="Embed" ProgID="Equation.3" ShapeID="_x0000_i1087" DrawAspect="Content" ObjectID="_1493477215" r:id="rId128"/>
        </w:object>
      </w:r>
      <w:r w:rsidR="007D7287">
        <w:rPr>
          <w:rFonts w:ascii="Times New Roman" w:hAnsi="Times New Roman" w:cs="Times New Roman"/>
          <w:sz w:val="24"/>
          <w:szCs w:val="24"/>
        </w:rPr>
        <w:t>, or equivalently, 44.19%:</w:t>
      </w:r>
      <w:r w:rsidR="00C852CE">
        <w:rPr>
          <w:rFonts w:ascii="Times New Roman" w:hAnsi="Times New Roman" w:cs="Times New Roman"/>
          <w:sz w:val="24"/>
          <w:szCs w:val="24"/>
        </w:rPr>
        <w:t xml:space="preserve">  </w:t>
      </w:r>
      <w:r w:rsidR="007D7287">
        <w:rPr>
          <w:rFonts w:ascii="Times New Roman" w:hAnsi="Times New Roman" w:cs="Times New Roman"/>
          <w:sz w:val="24"/>
          <w:szCs w:val="24"/>
        </w:rPr>
        <w:t>E</w:t>
      </w:r>
      <w:r w:rsidR="0079683C">
        <w:rPr>
          <w:rFonts w:ascii="Times New Roman" w:hAnsi="Times New Roman" w:cs="Times New Roman"/>
          <w:sz w:val="24"/>
          <w:szCs w:val="24"/>
        </w:rPr>
        <w:t>lection violence started in Janu</w:t>
      </w:r>
      <w:r w:rsidR="00B91E2D">
        <w:rPr>
          <w:rFonts w:ascii="Times New Roman" w:hAnsi="Times New Roman" w:cs="Times New Roman"/>
          <w:sz w:val="24"/>
          <w:szCs w:val="24"/>
        </w:rPr>
        <w:t>ary 2008 and ended a month after,</w:t>
      </w:r>
      <w:r w:rsidR="0079683C">
        <w:rPr>
          <w:rFonts w:ascii="Times New Roman" w:hAnsi="Times New Roman" w:cs="Times New Roman"/>
          <w:sz w:val="24"/>
          <w:szCs w:val="24"/>
        </w:rPr>
        <w:t xml:space="preserve"> when the warring parties signed the peace agreement on 28</w:t>
      </w:r>
      <w:r w:rsidR="0079683C" w:rsidRPr="0079683C">
        <w:rPr>
          <w:rFonts w:ascii="Times New Roman" w:hAnsi="Times New Roman" w:cs="Times New Roman"/>
          <w:sz w:val="24"/>
          <w:szCs w:val="24"/>
          <w:vertAlign w:val="superscript"/>
        </w:rPr>
        <w:t>th</w:t>
      </w:r>
      <w:r w:rsidR="0079683C">
        <w:rPr>
          <w:rFonts w:ascii="Times New Roman" w:hAnsi="Times New Roman" w:cs="Times New Roman"/>
          <w:sz w:val="24"/>
          <w:szCs w:val="24"/>
        </w:rPr>
        <w:t xml:space="preserve"> February</w:t>
      </w:r>
      <w:r w:rsidR="00B91E2D">
        <w:rPr>
          <w:rFonts w:ascii="Times New Roman" w:hAnsi="Times New Roman" w:cs="Times New Roman"/>
          <w:sz w:val="24"/>
          <w:szCs w:val="24"/>
        </w:rPr>
        <w:t>, 2008.</w:t>
      </w:r>
      <w:r w:rsidR="0079683C">
        <w:rPr>
          <w:rFonts w:ascii="Times New Roman" w:hAnsi="Times New Roman" w:cs="Times New Roman"/>
          <w:sz w:val="24"/>
          <w:szCs w:val="24"/>
        </w:rPr>
        <w:t xml:space="preserve"> Thus </w:t>
      </w:r>
      <w:r w:rsidR="00B91E2D">
        <w:rPr>
          <w:rFonts w:ascii="Times New Roman" w:hAnsi="Times New Roman" w:cs="Times New Roman"/>
          <w:sz w:val="24"/>
          <w:szCs w:val="24"/>
        </w:rPr>
        <w:t>one would expect</w:t>
      </w:r>
      <w:r w:rsidR="007F61F6">
        <w:rPr>
          <w:rFonts w:ascii="Times New Roman" w:hAnsi="Times New Roman" w:cs="Times New Roman"/>
          <w:sz w:val="24"/>
          <w:szCs w:val="24"/>
        </w:rPr>
        <w:t xml:space="preserve"> that</w:t>
      </w:r>
      <w:r w:rsidR="0079683C">
        <w:rPr>
          <w:rFonts w:ascii="Times New Roman" w:hAnsi="Times New Roman" w:cs="Times New Roman"/>
          <w:sz w:val="24"/>
          <w:szCs w:val="24"/>
        </w:rPr>
        <w:t xml:space="preserve"> shocks </w:t>
      </w:r>
      <w:r w:rsidR="007F61F6">
        <w:rPr>
          <w:rFonts w:ascii="Times New Roman" w:hAnsi="Times New Roman" w:cs="Times New Roman"/>
          <w:sz w:val="24"/>
          <w:szCs w:val="24"/>
        </w:rPr>
        <w:t xml:space="preserve">from election violence </w:t>
      </w:r>
      <w:r w:rsidR="0079683C">
        <w:rPr>
          <w:rFonts w:ascii="Times New Roman" w:hAnsi="Times New Roman" w:cs="Times New Roman"/>
          <w:sz w:val="24"/>
          <w:szCs w:val="24"/>
        </w:rPr>
        <w:t>will be</w:t>
      </w:r>
      <w:r w:rsidR="00B91E2D">
        <w:rPr>
          <w:rFonts w:ascii="Times New Roman" w:hAnsi="Times New Roman" w:cs="Times New Roman"/>
          <w:sz w:val="24"/>
          <w:szCs w:val="24"/>
        </w:rPr>
        <w:t xml:space="preserve"> short-lasting compared to</w:t>
      </w:r>
      <w:r w:rsidR="0079683C">
        <w:rPr>
          <w:rFonts w:ascii="Times New Roman" w:hAnsi="Times New Roman" w:cs="Times New Roman"/>
          <w:sz w:val="24"/>
          <w:szCs w:val="24"/>
        </w:rPr>
        <w:t xml:space="preserve"> that of g</w:t>
      </w:r>
      <w:r w:rsidR="00B91E2D">
        <w:rPr>
          <w:rFonts w:ascii="Times New Roman" w:hAnsi="Times New Roman" w:cs="Times New Roman"/>
          <w:sz w:val="24"/>
          <w:szCs w:val="24"/>
        </w:rPr>
        <w:t>lob</w:t>
      </w:r>
      <w:r w:rsidR="0080590A">
        <w:rPr>
          <w:rFonts w:ascii="Times New Roman" w:hAnsi="Times New Roman" w:cs="Times New Roman"/>
          <w:sz w:val="24"/>
          <w:szCs w:val="24"/>
        </w:rPr>
        <w:t>al crisis which went on for almost</w:t>
      </w:r>
      <w:r w:rsidR="00B91E2D">
        <w:rPr>
          <w:rFonts w:ascii="Times New Roman" w:hAnsi="Times New Roman" w:cs="Times New Roman"/>
          <w:sz w:val="24"/>
          <w:szCs w:val="24"/>
        </w:rPr>
        <w:t xml:space="preserve"> a year. Consequently, </w:t>
      </w:r>
      <w:r w:rsidR="00A223D7">
        <w:rPr>
          <w:rFonts w:ascii="Times New Roman" w:hAnsi="Times New Roman" w:cs="Times New Roman"/>
          <w:sz w:val="24"/>
          <w:szCs w:val="24"/>
        </w:rPr>
        <w:t>conditional volatility will be driven more by shocks than by market movements</w:t>
      </w:r>
      <w:r w:rsidR="00B91E2D">
        <w:rPr>
          <w:rFonts w:ascii="Times New Roman" w:hAnsi="Times New Roman" w:cs="Times New Roman"/>
          <w:sz w:val="24"/>
          <w:szCs w:val="24"/>
        </w:rPr>
        <w:t xml:space="preserve"> in the global crisis period.</w:t>
      </w:r>
    </w:p>
    <w:p w:rsidR="00F83A79" w:rsidRDefault="00F83A79" w:rsidP="00BD2665">
      <w:pPr>
        <w:autoSpaceDE w:val="0"/>
        <w:autoSpaceDN w:val="0"/>
        <w:adjustRightInd w:val="0"/>
        <w:spacing w:before="200" w:line="480" w:lineRule="auto"/>
        <w:jc w:val="both"/>
        <w:rPr>
          <w:rFonts w:ascii="Times New Roman" w:hAnsi="Times New Roman" w:cs="Times New Roman"/>
          <w:b/>
          <w:sz w:val="28"/>
          <w:szCs w:val="24"/>
        </w:rPr>
      </w:pPr>
      <w:r>
        <w:rPr>
          <w:rFonts w:ascii="Times New Roman" w:hAnsi="Times New Roman" w:cs="Times New Roman"/>
          <w:b/>
          <w:sz w:val="28"/>
          <w:szCs w:val="24"/>
        </w:rPr>
        <w:t>6. Conclusion and Recommendations</w:t>
      </w:r>
    </w:p>
    <w:p w:rsidR="00EF31B5" w:rsidRDefault="00320489" w:rsidP="00BD2665">
      <w:pPr>
        <w:pStyle w:val="Default"/>
        <w:spacing w:after="200" w:line="480" w:lineRule="auto"/>
        <w:jc w:val="both"/>
        <w:rPr>
          <w:rFonts w:ascii="Times New Roman" w:hAnsi="Times New Roman" w:cs="Times New Roman"/>
          <w:szCs w:val="22"/>
        </w:rPr>
      </w:pPr>
      <w:r>
        <w:rPr>
          <w:rFonts w:ascii="Times New Roman" w:hAnsi="Times New Roman" w:cs="Times New Roman"/>
          <w:szCs w:val="22"/>
        </w:rPr>
        <w:t xml:space="preserve">The </w:t>
      </w:r>
      <w:r w:rsidRPr="009671FA">
        <w:rPr>
          <w:rFonts w:ascii="Times New Roman" w:hAnsi="Times New Roman" w:cs="Times New Roman"/>
          <w:szCs w:val="22"/>
        </w:rPr>
        <w:t>s</w:t>
      </w:r>
      <w:r>
        <w:rPr>
          <w:rFonts w:ascii="Times New Roman" w:hAnsi="Times New Roman" w:cs="Times New Roman"/>
          <w:szCs w:val="22"/>
        </w:rPr>
        <w:t xml:space="preserve">tudy investigates the </w:t>
      </w:r>
      <w:r w:rsidRPr="009671FA">
        <w:rPr>
          <w:rFonts w:ascii="Times New Roman" w:hAnsi="Times New Roman" w:cs="Times New Roman"/>
          <w:szCs w:val="22"/>
        </w:rPr>
        <w:t>effect of the</w:t>
      </w:r>
      <w:r>
        <w:rPr>
          <w:rFonts w:ascii="Times New Roman" w:hAnsi="Times New Roman" w:cs="Times New Roman"/>
          <w:szCs w:val="22"/>
        </w:rPr>
        <w:t xml:space="preserve"> election violence and the</w:t>
      </w:r>
      <w:r w:rsidRPr="009671FA">
        <w:rPr>
          <w:rFonts w:ascii="Times New Roman" w:hAnsi="Times New Roman" w:cs="Times New Roman"/>
          <w:szCs w:val="22"/>
        </w:rPr>
        <w:t xml:space="preserve"> recent global crisis on the exchange rate volatilities of </w:t>
      </w:r>
      <w:r>
        <w:rPr>
          <w:rFonts w:ascii="Times New Roman" w:hAnsi="Times New Roman" w:cs="Times New Roman"/>
          <w:szCs w:val="22"/>
        </w:rPr>
        <w:t>Kenyan shillings using symmetric and asymmetric volatility</w:t>
      </w:r>
      <w:r w:rsidRPr="009671FA">
        <w:rPr>
          <w:rFonts w:ascii="Times New Roman" w:hAnsi="Times New Roman" w:cs="Times New Roman"/>
          <w:szCs w:val="22"/>
        </w:rPr>
        <w:t xml:space="preserve"> m</w:t>
      </w:r>
      <w:r>
        <w:rPr>
          <w:rFonts w:ascii="Times New Roman" w:hAnsi="Times New Roman" w:cs="Times New Roman"/>
          <w:szCs w:val="22"/>
        </w:rPr>
        <w:t xml:space="preserve">odels. Though test of diagnostics </w:t>
      </w:r>
      <w:proofErr w:type="spellStart"/>
      <w:r>
        <w:rPr>
          <w:rFonts w:ascii="Times New Roman" w:hAnsi="Times New Roman" w:cs="Times New Roman"/>
          <w:szCs w:val="22"/>
        </w:rPr>
        <w:t>favoured</w:t>
      </w:r>
      <w:proofErr w:type="spellEnd"/>
      <w:r>
        <w:rPr>
          <w:rFonts w:ascii="Times New Roman" w:hAnsi="Times New Roman" w:cs="Times New Roman"/>
          <w:szCs w:val="22"/>
        </w:rPr>
        <w:t xml:space="preserve"> GARCH model, EGARCH suggested the possibility of asymmetric volatility in Kenyan shillings in which volatility tends to rise when return surprises are positive. Other major findings include the following: First, </w:t>
      </w:r>
      <w:r w:rsidR="00EF31B5">
        <w:rPr>
          <w:rFonts w:ascii="Times New Roman" w:hAnsi="Times New Roman" w:cs="Times New Roman"/>
        </w:rPr>
        <w:t xml:space="preserve">the election violence and the global </w:t>
      </w:r>
      <w:r w:rsidR="00EF31B5" w:rsidRPr="00284A89">
        <w:rPr>
          <w:rFonts w:ascii="Times New Roman" w:hAnsi="Times New Roman" w:cs="Times New Roman"/>
        </w:rPr>
        <w:t xml:space="preserve">crisis both had impact on the returns and the conditional volatility; </w:t>
      </w:r>
      <w:r>
        <w:rPr>
          <w:rFonts w:ascii="Times New Roman" w:hAnsi="Times New Roman" w:cs="Times New Roman"/>
        </w:rPr>
        <w:t xml:space="preserve">(on aggregate) </w:t>
      </w:r>
      <w:r w:rsidR="00EF31B5" w:rsidRPr="00284A89">
        <w:rPr>
          <w:rFonts w:ascii="Times New Roman" w:hAnsi="Times New Roman" w:cs="Times New Roman"/>
        </w:rPr>
        <w:t xml:space="preserve">estimated effect of both crises on returns is about </w:t>
      </w:r>
      <w:r w:rsidR="00EF31B5" w:rsidRPr="00284A89">
        <w:rPr>
          <w:rFonts w:ascii="Times New Roman" w:hAnsi="Times New Roman" w:cs="Times New Roman"/>
          <w:position w:val="-6"/>
        </w:rPr>
        <w:object w:dxaOrig="840" w:dyaOrig="279">
          <v:shape id="_x0000_i1088" type="#_x0000_t75" style="width:41.25pt;height:13.5pt" o:ole="">
            <v:imagedata r:id="rId129" o:title=""/>
          </v:shape>
          <o:OLEObject Type="Embed" ProgID="Equation.3" ShapeID="_x0000_i1088" DrawAspect="Content" ObjectID="_1493477216" r:id="rId130"/>
        </w:object>
      </w:r>
      <w:r w:rsidR="00EF31B5" w:rsidRPr="00284A89">
        <w:rPr>
          <w:rFonts w:ascii="Times New Roman" w:hAnsi="Times New Roman" w:cs="Times New Roman"/>
        </w:rPr>
        <w:t xml:space="preserve"> (though insignificant), and that of conditional variance is about </w:t>
      </w:r>
      <w:r w:rsidR="00EF31B5" w:rsidRPr="00284A89">
        <w:rPr>
          <w:rFonts w:ascii="Times New Roman" w:hAnsi="Times New Roman" w:cs="Times New Roman"/>
          <w:position w:val="-6"/>
        </w:rPr>
        <w:object w:dxaOrig="1200" w:dyaOrig="320">
          <v:shape id="_x0000_i1089" type="#_x0000_t75" style="width:58.5pt;height:15.75pt" o:ole="">
            <v:imagedata r:id="rId107" o:title=""/>
          </v:shape>
          <o:OLEObject Type="Embed" ProgID="Equation.3" ShapeID="_x0000_i1089" DrawAspect="Content" ObjectID="_1493477217" r:id="rId131"/>
        </w:object>
      </w:r>
      <w:r w:rsidR="00EF31B5" w:rsidRPr="00284A89">
        <w:rPr>
          <w:rFonts w:ascii="Times New Roman" w:hAnsi="Times New Roman" w:cs="Times New Roman"/>
          <w:szCs w:val="22"/>
        </w:rPr>
        <w:t xml:space="preserve">with p &lt; 0.01. Second, the estimated values of the </w:t>
      </w:r>
      <w:r w:rsidR="00EF31B5" w:rsidRPr="00284A89">
        <w:rPr>
          <w:rFonts w:ascii="Times New Roman" w:hAnsi="Times New Roman" w:cs="Times New Roman"/>
          <w:szCs w:val="22"/>
        </w:rPr>
        <w:lastRenderedPageBreak/>
        <w:t>ARCH and GARCH effects clearly indicated</w:t>
      </w:r>
      <w:r w:rsidR="00EF31B5">
        <w:rPr>
          <w:rFonts w:ascii="Times New Roman" w:hAnsi="Times New Roman" w:cs="Times New Roman"/>
          <w:szCs w:val="22"/>
        </w:rPr>
        <w:t xml:space="preserve"> that the conditional volatility (on aggregate) reacted more intensely to shocks than to the market movements. Third, the subsample comparisons showed that while the conditional volatility reacted more intensely to market movements (than to shocks) during the pre-crises and election periods, it was more influenced by the shocks in the global crisis period. </w:t>
      </w:r>
    </w:p>
    <w:p w:rsidR="00EF31B5" w:rsidRDefault="00EF31B5" w:rsidP="00BD2665">
      <w:pPr>
        <w:pStyle w:val="Default"/>
        <w:spacing w:after="200" w:line="480" w:lineRule="auto"/>
        <w:jc w:val="both"/>
        <w:rPr>
          <w:rFonts w:ascii="Times New Roman" w:hAnsi="Times New Roman" w:cs="Times New Roman"/>
        </w:rPr>
      </w:pPr>
      <w:r>
        <w:rPr>
          <w:rFonts w:ascii="Times New Roman" w:hAnsi="Times New Roman" w:cs="Times New Roman"/>
        </w:rPr>
        <w:t xml:space="preserve">It should be noted that one of the major benefits of a study like this is to provide policy makers and investors in Kenya with country-specific information on the state of the currency market so that adequate mechanism can be put in place with a view to restoring and sustaining the </w:t>
      </w:r>
      <w:r w:rsidRPr="00FD62B2">
        <w:rPr>
          <w:rFonts w:ascii="Times New Roman" w:hAnsi="Times New Roman" w:cs="Times New Roman"/>
        </w:rPr>
        <w:t>consistent regional</w:t>
      </w:r>
      <w:r>
        <w:rPr>
          <w:rFonts w:ascii="Times New Roman" w:hAnsi="Times New Roman" w:cs="Times New Roman"/>
        </w:rPr>
        <w:t xml:space="preserve"> and </w:t>
      </w:r>
      <w:r w:rsidRPr="00FD62B2">
        <w:rPr>
          <w:rFonts w:ascii="Times New Roman" w:hAnsi="Times New Roman" w:cs="Times New Roman"/>
        </w:rPr>
        <w:t xml:space="preserve">economic growth </w:t>
      </w:r>
      <w:r w:rsidR="007F61F6">
        <w:rPr>
          <w:rFonts w:ascii="Times New Roman" w:hAnsi="Times New Roman" w:cs="Times New Roman"/>
        </w:rPr>
        <w:t>that Keny</w:t>
      </w:r>
      <w:r>
        <w:rPr>
          <w:rFonts w:ascii="Times New Roman" w:hAnsi="Times New Roman" w:cs="Times New Roman"/>
        </w:rPr>
        <w:t xml:space="preserve">a had experienced </w:t>
      </w:r>
      <w:r w:rsidRPr="00FD62B2">
        <w:rPr>
          <w:rFonts w:ascii="Times New Roman" w:hAnsi="Times New Roman" w:cs="Times New Roman"/>
        </w:rPr>
        <w:t>prior to the crash</w:t>
      </w:r>
      <w:r w:rsidR="00EB136C">
        <w:rPr>
          <w:rFonts w:ascii="Times New Roman" w:hAnsi="Times New Roman" w:cs="Times New Roman"/>
        </w:rPr>
        <w:t xml:space="preserve"> (IMF [53]</w:t>
      </w:r>
      <w:r>
        <w:rPr>
          <w:rFonts w:ascii="Times New Roman" w:hAnsi="Times New Roman" w:cs="Times New Roman"/>
        </w:rPr>
        <w:t>). The following are some recommendations:</w:t>
      </w:r>
    </w:p>
    <w:p w:rsidR="00EF31B5" w:rsidRPr="00DC14F6" w:rsidRDefault="00EF31B5" w:rsidP="00BD2665">
      <w:pPr>
        <w:pStyle w:val="Default"/>
        <w:spacing w:after="200" w:line="480" w:lineRule="auto"/>
        <w:jc w:val="both"/>
        <w:rPr>
          <w:rFonts w:ascii="Times New Roman" w:hAnsi="Times New Roman" w:cs="Times New Roman"/>
        </w:rPr>
      </w:pPr>
      <w:r>
        <w:rPr>
          <w:rFonts w:ascii="Times New Roman" w:hAnsi="Times New Roman" w:cs="Times New Roman"/>
        </w:rPr>
        <w:t>D</w:t>
      </w:r>
      <w:r w:rsidRPr="00DC14F6">
        <w:rPr>
          <w:rFonts w:ascii="Times New Roman" w:hAnsi="Times New Roman" w:cs="Times New Roman"/>
        </w:rPr>
        <w:t>espite the f</w:t>
      </w:r>
      <w:r>
        <w:rPr>
          <w:rFonts w:ascii="Times New Roman" w:hAnsi="Times New Roman" w:cs="Times New Roman"/>
        </w:rPr>
        <w:t>act that the fundamentals of</w:t>
      </w:r>
      <w:r w:rsidRPr="00DC14F6">
        <w:rPr>
          <w:rFonts w:ascii="Times New Roman" w:hAnsi="Times New Roman" w:cs="Times New Roman"/>
        </w:rPr>
        <w:t xml:space="preserve"> companies and banking system </w:t>
      </w:r>
      <w:r>
        <w:rPr>
          <w:rFonts w:ascii="Times New Roman" w:hAnsi="Times New Roman" w:cs="Times New Roman"/>
        </w:rPr>
        <w:t xml:space="preserve">in Kenya </w:t>
      </w:r>
      <w:r w:rsidRPr="00DC14F6">
        <w:rPr>
          <w:rFonts w:ascii="Times New Roman" w:hAnsi="Times New Roman" w:cs="Times New Roman"/>
        </w:rPr>
        <w:t>remained strong</w:t>
      </w:r>
      <w:r w:rsidR="00BD2665">
        <w:rPr>
          <w:rFonts w:ascii="Times New Roman" w:hAnsi="Times New Roman" w:cs="Times New Roman"/>
        </w:rPr>
        <w:t xml:space="preserve"> (See </w:t>
      </w:r>
      <w:proofErr w:type="spellStart"/>
      <w:r w:rsidR="00BD2665">
        <w:rPr>
          <w:rFonts w:ascii="Times New Roman" w:hAnsi="Times New Roman" w:cs="Times New Roman"/>
        </w:rPr>
        <w:t>Mwega</w:t>
      </w:r>
      <w:proofErr w:type="spellEnd"/>
      <w:r w:rsidR="00BD2665">
        <w:rPr>
          <w:rFonts w:ascii="Times New Roman" w:hAnsi="Times New Roman" w:cs="Times New Roman"/>
        </w:rPr>
        <w:t xml:space="preserve"> </w:t>
      </w:r>
      <w:r w:rsidR="00EB136C">
        <w:rPr>
          <w:rFonts w:ascii="Times New Roman" w:hAnsi="Times New Roman" w:cs="Times New Roman"/>
        </w:rPr>
        <w:t>[16]</w:t>
      </w:r>
      <w:r w:rsidR="00BD2665">
        <w:rPr>
          <w:rFonts w:ascii="Times New Roman" w:hAnsi="Times New Roman" w:cs="Times New Roman"/>
        </w:rPr>
        <w:t>)</w:t>
      </w:r>
      <w:r>
        <w:rPr>
          <w:rFonts w:ascii="Times New Roman" w:hAnsi="Times New Roman" w:cs="Times New Roman"/>
        </w:rPr>
        <w:t>, yet most foreign and domestic investors opted out of the market owing to the news they received on credit crisis in U</w:t>
      </w:r>
      <w:r w:rsidR="007F61F6">
        <w:rPr>
          <w:rFonts w:ascii="Times New Roman" w:hAnsi="Times New Roman" w:cs="Times New Roman"/>
        </w:rPr>
        <w:t>S, UK, etc. This provides additional evidence</w:t>
      </w:r>
      <w:r>
        <w:rPr>
          <w:rFonts w:ascii="Times New Roman" w:hAnsi="Times New Roman" w:cs="Times New Roman"/>
        </w:rPr>
        <w:t xml:space="preserve"> that investors usually make decisions based on what they hear. Therefore, c</w:t>
      </w:r>
      <w:r w:rsidRPr="00DC14F6">
        <w:rPr>
          <w:rFonts w:ascii="Times New Roman" w:hAnsi="Times New Roman" w:cs="Times New Roman"/>
        </w:rPr>
        <w:t>ontinuous communication to public, through media, by regulators, related government officials to provide position on the ground, shape</w:t>
      </w:r>
      <w:r>
        <w:rPr>
          <w:rFonts w:ascii="Times New Roman" w:hAnsi="Times New Roman" w:cs="Times New Roman"/>
        </w:rPr>
        <w:t>,</w:t>
      </w:r>
      <w:r w:rsidRPr="00DC14F6">
        <w:rPr>
          <w:rFonts w:ascii="Times New Roman" w:hAnsi="Times New Roman" w:cs="Times New Roman"/>
        </w:rPr>
        <w:t xml:space="preserve"> opinion and perception</w:t>
      </w:r>
      <w:r>
        <w:rPr>
          <w:rFonts w:ascii="Times New Roman" w:hAnsi="Times New Roman" w:cs="Times New Roman"/>
        </w:rPr>
        <w:t xml:space="preserve"> of the market is very important in order </w:t>
      </w:r>
      <w:r w:rsidRPr="00234DD6">
        <w:rPr>
          <w:rFonts w:ascii="Times New Roman" w:hAnsi="Times New Roman" w:cs="Times New Roman"/>
        </w:rPr>
        <w:t>to restore market confidence, attract FDI/ Private capital inflows and investme</w:t>
      </w:r>
      <w:r>
        <w:rPr>
          <w:rFonts w:ascii="Times New Roman" w:hAnsi="Times New Roman" w:cs="Times New Roman"/>
        </w:rPr>
        <w:t>nts and promote economic growth. In other words, m</w:t>
      </w:r>
      <w:r w:rsidRPr="00DC14F6">
        <w:rPr>
          <w:rFonts w:ascii="Times New Roman" w:hAnsi="Times New Roman" w:cs="Times New Roman"/>
        </w:rPr>
        <w:t>easures to make the publi</w:t>
      </w:r>
      <w:r>
        <w:rPr>
          <w:rFonts w:ascii="Times New Roman" w:hAnsi="Times New Roman" w:cs="Times New Roman"/>
        </w:rPr>
        <w:t>c more knowledgeable should be adopted</w:t>
      </w:r>
      <w:r w:rsidRPr="00DC14F6">
        <w:rPr>
          <w:rFonts w:ascii="Times New Roman" w:hAnsi="Times New Roman" w:cs="Times New Roman"/>
        </w:rPr>
        <w:t xml:space="preserve"> so that they make informed investment decision</w:t>
      </w:r>
      <w:r>
        <w:rPr>
          <w:rFonts w:ascii="Times New Roman" w:hAnsi="Times New Roman" w:cs="Times New Roman"/>
        </w:rPr>
        <w:t>.</w:t>
      </w:r>
      <w:r w:rsidRPr="00DC14F6">
        <w:rPr>
          <w:rFonts w:ascii="Times New Roman" w:hAnsi="Times New Roman" w:cs="Times New Roman"/>
        </w:rPr>
        <w:t xml:space="preserve"> An informed investor is a protected investor</w:t>
      </w:r>
      <w:r>
        <w:rPr>
          <w:rFonts w:ascii="Times New Roman" w:hAnsi="Times New Roman" w:cs="Times New Roman"/>
        </w:rPr>
        <w:t>.</w:t>
      </w:r>
    </w:p>
    <w:p w:rsidR="00EF31B5" w:rsidRDefault="00F63849" w:rsidP="00BD2665">
      <w:pPr>
        <w:pStyle w:val="Default"/>
        <w:spacing w:after="200" w:line="480" w:lineRule="auto"/>
        <w:jc w:val="both"/>
        <w:rPr>
          <w:rFonts w:ascii="Times New Roman" w:hAnsi="Times New Roman" w:cs="Times New Roman"/>
        </w:rPr>
      </w:pPr>
      <w:r>
        <w:rPr>
          <w:rFonts w:ascii="Times New Roman" w:hAnsi="Times New Roman" w:cs="Times New Roman"/>
        </w:rPr>
        <w:t xml:space="preserve">Second, according to the Ben </w:t>
      </w:r>
      <w:proofErr w:type="spellStart"/>
      <w:r>
        <w:rPr>
          <w:rFonts w:ascii="Times New Roman" w:hAnsi="Times New Roman" w:cs="Times New Roman"/>
        </w:rPr>
        <w:t>Ltaifa</w:t>
      </w:r>
      <w:proofErr w:type="spellEnd"/>
      <w:r>
        <w:rPr>
          <w:rFonts w:ascii="Times New Roman" w:hAnsi="Times New Roman" w:cs="Times New Roman"/>
        </w:rPr>
        <w:t xml:space="preserve"> </w:t>
      </w:r>
      <w:r>
        <w:rPr>
          <w:rFonts w:ascii="Times New Roman" w:hAnsi="Times New Roman" w:cs="Times New Roman"/>
          <w:i/>
        </w:rPr>
        <w:t>et al.</w:t>
      </w:r>
      <w:r w:rsidR="00EF31B5">
        <w:rPr>
          <w:rFonts w:ascii="Times New Roman" w:hAnsi="Times New Roman" w:cs="Times New Roman"/>
        </w:rPr>
        <w:t xml:space="preserve"> </w:t>
      </w:r>
      <w:r w:rsidR="00EB136C">
        <w:rPr>
          <w:rFonts w:ascii="Times New Roman" w:hAnsi="Times New Roman" w:cs="Times New Roman"/>
        </w:rPr>
        <w:t>[17]</w:t>
      </w:r>
      <w:r w:rsidR="00EF31B5" w:rsidRPr="007A4891">
        <w:rPr>
          <w:rFonts w:ascii="Times New Roman" w:hAnsi="Times New Roman" w:cs="Times New Roman"/>
        </w:rPr>
        <w:t xml:space="preserve">, the key lessons that would reduce future risks and </w:t>
      </w:r>
      <w:proofErr w:type="gramStart"/>
      <w:r w:rsidR="00EF31B5" w:rsidRPr="007A4891">
        <w:rPr>
          <w:rFonts w:ascii="Times New Roman" w:hAnsi="Times New Roman" w:cs="Times New Roman"/>
        </w:rPr>
        <w:t>vulnerabilities</w:t>
      </w:r>
      <w:proofErr w:type="gramEnd"/>
      <w:r w:rsidR="00EF31B5" w:rsidRPr="007A4891">
        <w:rPr>
          <w:rFonts w:ascii="Times New Roman" w:hAnsi="Times New Roman" w:cs="Times New Roman"/>
        </w:rPr>
        <w:t xml:space="preserve"> to finan</w:t>
      </w:r>
      <w:r w:rsidR="00EF31B5">
        <w:rPr>
          <w:rFonts w:ascii="Times New Roman" w:hAnsi="Times New Roman" w:cs="Times New Roman"/>
        </w:rPr>
        <w:t>cial crisis are recogniz</w:t>
      </w:r>
      <w:r w:rsidR="00EF31B5" w:rsidRPr="007A4891">
        <w:rPr>
          <w:rFonts w:ascii="Times New Roman" w:hAnsi="Times New Roman" w:cs="Times New Roman"/>
        </w:rPr>
        <w:t xml:space="preserve">ing the importance of the credibility of the exchange policy, adequacy of reserves, sound debt management, proactive bank supervision and </w:t>
      </w:r>
      <w:r w:rsidR="00EF31B5" w:rsidRPr="007A4891">
        <w:rPr>
          <w:rFonts w:ascii="Times New Roman" w:hAnsi="Times New Roman" w:cs="Times New Roman"/>
        </w:rPr>
        <w:lastRenderedPageBreak/>
        <w:t xml:space="preserve">regulation and sound macroeconomic policies in response to cyclical developments. </w:t>
      </w:r>
      <w:r w:rsidR="00EF31B5">
        <w:rPr>
          <w:rFonts w:ascii="Times New Roman" w:hAnsi="Times New Roman" w:cs="Times New Roman"/>
        </w:rPr>
        <w:t xml:space="preserve">Recall that </w:t>
      </w:r>
      <w:r w:rsidR="00EF31B5" w:rsidRPr="007C54D2">
        <w:rPr>
          <w:rFonts w:ascii="Times New Roman" w:hAnsi="Times New Roman" w:cs="Times New Roman"/>
        </w:rPr>
        <w:t xml:space="preserve">Asian banks escaped </w:t>
      </w:r>
      <w:r w:rsidR="00EF31B5">
        <w:rPr>
          <w:rFonts w:ascii="Times New Roman" w:hAnsi="Times New Roman" w:cs="Times New Roman"/>
        </w:rPr>
        <w:t>significant impact of crisis (</w:t>
      </w:r>
      <w:r w:rsidR="00EF31B5" w:rsidRPr="007C54D2">
        <w:rPr>
          <w:rFonts w:ascii="Times New Roman" w:hAnsi="Times New Roman" w:cs="Times New Roman"/>
        </w:rPr>
        <w:t>largely</w:t>
      </w:r>
      <w:r w:rsidR="00EF31B5">
        <w:rPr>
          <w:rFonts w:ascii="Times New Roman" w:hAnsi="Times New Roman" w:cs="Times New Roman"/>
        </w:rPr>
        <w:t>)</w:t>
      </w:r>
      <w:r w:rsidR="00EF31B5" w:rsidRPr="007C54D2">
        <w:rPr>
          <w:rFonts w:ascii="Times New Roman" w:hAnsi="Times New Roman" w:cs="Times New Roman"/>
        </w:rPr>
        <w:t xml:space="preserve"> due to well capitalized banks, cautious regulation and huge </w:t>
      </w:r>
      <w:r w:rsidR="00320489" w:rsidRPr="007C54D2">
        <w:rPr>
          <w:rFonts w:ascii="Times New Roman" w:hAnsi="Times New Roman" w:cs="Times New Roman"/>
        </w:rPr>
        <w:t>FOREX</w:t>
      </w:r>
      <w:r w:rsidR="00EF31B5" w:rsidRPr="007C54D2">
        <w:rPr>
          <w:rFonts w:ascii="Times New Roman" w:hAnsi="Times New Roman" w:cs="Times New Roman"/>
        </w:rPr>
        <w:t xml:space="preserve"> reserves</w:t>
      </w:r>
      <w:r w:rsidR="00EB136C">
        <w:rPr>
          <w:rFonts w:ascii="Times New Roman" w:hAnsi="Times New Roman" w:cs="Times New Roman"/>
        </w:rPr>
        <w:t xml:space="preserve"> (</w:t>
      </w:r>
      <w:proofErr w:type="spellStart"/>
      <w:r w:rsidR="00EB136C">
        <w:rPr>
          <w:rFonts w:ascii="Times New Roman" w:hAnsi="Times New Roman" w:cs="Times New Roman"/>
        </w:rPr>
        <w:t>Baharumshah</w:t>
      </w:r>
      <w:proofErr w:type="spellEnd"/>
      <w:r w:rsidR="00EB136C">
        <w:rPr>
          <w:rFonts w:ascii="Times New Roman" w:hAnsi="Times New Roman" w:cs="Times New Roman"/>
        </w:rPr>
        <w:t xml:space="preserve"> and </w:t>
      </w:r>
      <w:proofErr w:type="spellStart"/>
      <w:r w:rsidR="00EB136C">
        <w:rPr>
          <w:rFonts w:ascii="Times New Roman" w:hAnsi="Times New Roman" w:cs="Times New Roman"/>
        </w:rPr>
        <w:t>Hooi</w:t>
      </w:r>
      <w:proofErr w:type="spellEnd"/>
      <w:r w:rsidR="00EB136C">
        <w:rPr>
          <w:rFonts w:ascii="Times New Roman" w:hAnsi="Times New Roman" w:cs="Times New Roman"/>
        </w:rPr>
        <w:t xml:space="preserve"> [28]</w:t>
      </w:r>
      <w:r w:rsidR="00EF31B5">
        <w:rPr>
          <w:rFonts w:ascii="Times New Roman" w:hAnsi="Times New Roman" w:cs="Times New Roman"/>
        </w:rPr>
        <w:t>).</w:t>
      </w:r>
      <w:r w:rsidR="00EF31B5" w:rsidRPr="007C54D2">
        <w:rPr>
          <w:rFonts w:ascii="Times New Roman" w:hAnsi="Times New Roman" w:cs="Times New Roman"/>
        </w:rPr>
        <w:t xml:space="preserve"> </w:t>
      </w:r>
    </w:p>
    <w:p w:rsidR="00EF31B5" w:rsidRPr="007A4891" w:rsidRDefault="00EF31B5" w:rsidP="00BD2665">
      <w:pPr>
        <w:pStyle w:val="Default"/>
        <w:spacing w:after="200" w:line="480" w:lineRule="auto"/>
        <w:jc w:val="both"/>
        <w:rPr>
          <w:rFonts w:ascii="Times New Roman" w:hAnsi="Times New Roman" w:cs="Times New Roman"/>
        </w:rPr>
      </w:pPr>
      <w:r>
        <w:rPr>
          <w:rFonts w:ascii="Times New Roman" w:hAnsi="Times New Roman" w:cs="Times New Roman"/>
          <w:szCs w:val="22"/>
        </w:rPr>
        <w:t>T</w:t>
      </w:r>
      <w:r w:rsidRPr="00552E55">
        <w:rPr>
          <w:rFonts w:ascii="Times New Roman" w:hAnsi="Times New Roman" w:cs="Times New Roman"/>
          <w:szCs w:val="22"/>
        </w:rPr>
        <w:t>his present lull in the economy provides an</w:t>
      </w:r>
      <w:r>
        <w:rPr>
          <w:rFonts w:ascii="Times New Roman" w:hAnsi="Times New Roman" w:cs="Times New Roman"/>
          <w:szCs w:val="22"/>
        </w:rPr>
        <w:t xml:space="preserve"> </w:t>
      </w:r>
      <w:r>
        <w:rPr>
          <w:rFonts w:ascii="Times New Roman" w:hAnsi="Times New Roman" w:cs="Times New Roman"/>
        </w:rPr>
        <w:t xml:space="preserve">opportunity </w:t>
      </w:r>
      <w:r w:rsidR="007F61F6">
        <w:rPr>
          <w:rFonts w:ascii="Times New Roman" w:hAnsi="Times New Roman" w:cs="Times New Roman"/>
        </w:rPr>
        <w:t xml:space="preserve">for CBK and other relevant bodies </w:t>
      </w:r>
      <w:r w:rsidRPr="00552E55">
        <w:rPr>
          <w:rFonts w:ascii="Times New Roman" w:hAnsi="Times New Roman" w:cs="Times New Roman"/>
        </w:rPr>
        <w:t>to implement e</w:t>
      </w:r>
      <w:r>
        <w:rPr>
          <w:rFonts w:ascii="Times New Roman" w:hAnsi="Times New Roman" w:cs="Times New Roman"/>
        </w:rPr>
        <w:t>ffective economic policies</w:t>
      </w:r>
      <w:r w:rsidRPr="00552E55">
        <w:rPr>
          <w:rFonts w:ascii="Times New Roman" w:hAnsi="Times New Roman" w:cs="Times New Roman"/>
        </w:rPr>
        <w:t xml:space="preserve"> in order to ensure internal </w:t>
      </w:r>
      <w:r>
        <w:rPr>
          <w:rFonts w:ascii="Times New Roman" w:hAnsi="Times New Roman" w:cs="Times New Roman"/>
        </w:rPr>
        <w:t xml:space="preserve">short-term and </w:t>
      </w:r>
      <w:r w:rsidRPr="00552E55">
        <w:rPr>
          <w:rFonts w:ascii="Times New Roman" w:hAnsi="Times New Roman" w:cs="Times New Roman"/>
        </w:rPr>
        <w:t>long-term economic</w:t>
      </w:r>
      <w:r>
        <w:rPr>
          <w:rFonts w:ascii="Times New Roman" w:hAnsi="Times New Roman" w:cs="Times New Roman"/>
        </w:rPr>
        <w:t xml:space="preserve"> </w:t>
      </w:r>
      <w:r w:rsidRPr="00552E55">
        <w:rPr>
          <w:rFonts w:ascii="Times New Roman" w:hAnsi="Times New Roman" w:cs="Times New Roman"/>
          <w:szCs w:val="22"/>
        </w:rPr>
        <w:t>growth.</w:t>
      </w:r>
      <w:r>
        <w:rPr>
          <w:rFonts w:ascii="Times New Roman" w:hAnsi="Times New Roman" w:cs="Times New Roman"/>
          <w:szCs w:val="22"/>
        </w:rPr>
        <w:t xml:space="preserve"> </w:t>
      </w:r>
      <w:r w:rsidR="007F61F6">
        <w:rPr>
          <w:rFonts w:ascii="Times New Roman" w:hAnsi="Times New Roman" w:cs="Times New Roman"/>
          <w:szCs w:val="22"/>
        </w:rPr>
        <w:t xml:space="preserve">Kenya and </w:t>
      </w:r>
      <w:r>
        <w:rPr>
          <w:rFonts w:ascii="Times New Roman" w:hAnsi="Times New Roman" w:cs="Times New Roman"/>
        </w:rPr>
        <w:t xml:space="preserve">Sub-Saharan </w:t>
      </w:r>
      <w:r w:rsidRPr="00552E55">
        <w:rPr>
          <w:rFonts w:ascii="Times New Roman" w:hAnsi="Times New Roman" w:cs="Times New Roman"/>
        </w:rPr>
        <w:t>Africa</w:t>
      </w:r>
      <w:r w:rsidR="007F61F6">
        <w:rPr>
          <w:rFonts w:ascii="Times New Roman" w:hAnsi="Times New Roman" w:cs="Times New Roman"/>
        </w:rPr>
        <w:t>, in general,</w:t>
      </w:r>
      <w:r w:rsidRPr="00552E55">
        <w:rPr>
          <w:rFonts w:ascii="Times New Roman" w:hAnsi="Times New Roman" w:cs="Times New Roman"/>
        </w:rPr>
        <w:t xml:space="preserve"> had experienced relatively</w:t>
      </w:r>
      <w:r>
        <w:rPr>
          <w:rFonts w:ascii="Times New Roman" w:hAnsi="Times New Roman" w:cs="Times New Roman"/>
        </w:rPr>
        <w:t xml:space="preserve"> </w:t>
      </w:r>
      <w:r w:rsidRPr="00552E55">
        <w:rPr>
          <w:rFonts w:ascii="Times New Roman" w:hAnsi="Times New Roman" w:cs="Times New Roman"/>
        </w:rPr>
        <w:t>substantial economic growth before the global financial crisis, and it is</w:t>
      </w:r>
      <w:r>
        <w:rPr>
          <w:rFonts w:ascii="Times New Roman" w:hAnsi="Times New Roman" w:cs="Times New Roman"/>
        </w:rPr>
        <w:t xml:space="preserve"> </w:t>
      </w:r>
      <w:r w:rsidRPr="00552E55">
        <w:rPr>
          <w:rFonts w:ascii="Times New Roman" w:hAnsi="Times New Roman" w:cs="Times New Roman"/>
        </w:rPr>
        <w:t xml:space="preserve">important that </w:t>
      </w:r>
      <w:r>
        <w:rPr>
          <w:rFonts w:ascii="Times New Roman" w:hAnsi="Times New Roman" w:cs="Times New Roman"/>
        </w:rPr>
        <w:t>it</w:t>
      </w:r>
      <w:r w:rsidRPr="00552E55">
        <w:rPr>
          <w:rFonts w:ascii="Times New Roman" w:hAnsi="Times New Roman" w:cs="Times New Roman"/>
        </w:rPr>
        <w:t xml:space="preserve"> continue</w:t>
      </w:r>
      <w:r>
        <w:rPr>
          <w:rFonts w:ascii="Times New Roman" w:hAnsi="Times New Roman" w:cs="Times New Roman"/>
        </w:rPr>
        <w:t>s</w:t>
      </w:r>
      <w:r w:rsidRPr="00552E55">
        <w:rPr>
          <w:rFonts w:ascii="Times New Roman" w:hAnsi="Times New Roman" w:cs="Times New Roman"/>
        </w:rPr>
        <w:t xml:space="preserve"> to grow in order to meet M</w:t>
      </w:r>
      <w:r>
        <w:rPr>
          <w:rFonts w:ascii="Times New Roman" w:hAnsi="Times New Roman" w:cs="Times New Roman"/>
        </w:rPr>
        <w:t xml:space="preserve">illennium </w:t>
      </w:r>
      <w:r w:rsidRPr="00552E55">
        <w:rPr>
          <w:rFonts w:ascii="Times New Roman" w:hAnsi="Times New Roman" w:cs="Times New Roman"/>
        </w:rPr>
        <w:t>D</w:t>
      </w:r>
      <w:r>
        <w:rPr>
          <w:rFonts w:ascii="Times New Roman" w:hAnsi="Times New Roman" w:cs="Times New Roman"/>
        </w:rPr>
        <w:t xml:space="preserve">evelopment </w:t>
      </w:r>
      <w:r w:rsidRPr="00552E55">
        <w:rPr>
          <w:rFonts w:ascii="Times New Roman" w:hAnsi="Times New Roman" w:cs="Times New Roman"/>
        </w:rPr>
        <w:t>G</w:t>
      </w:r>
      <w:r>
        <w:rPr>
          <w:rFonts w:ascii="Times New Roman" w:hAnsi="Times New Roman" w:cs="Times New Roman"/>
        </w:rPr>
        <w:t>oals</w:t>
      </w:r>
      <w:r w:rsidRPr="00552E55">
        <w:rPr>
          <w:rFonts w:ascii="Times New Roman" w:hAnsi="Times New Roman" w:cs="Times New Roman"/>
        </w:rPr>
        <w:t xml:space="preserve"> and further</w:t>
      </w:r>
      <w:r>
        <w:rPr>
          <w:rFonts w:ascii="Times New Roman" w:hAnsi="Times New Roman" w:cs="Times New Roman"/>
        </w:rPr>
        <w:t xml:space="preserve"> alleviate poverty.</w:t>
      </w:r>
    </w:p>
    <w:p w:rsidR="00EF31B5" w:rsidRDefault="00EF31B5" w:rsidP="00BD2665">
      <w:pPr>
        <w:autoSpaceDE w:val="0"/>
        <w:autoSpaceDN w:val="0"/>
        <w:adjustRightInd w:val="0"/>
        <w:spacing w:line="480" w:lineRule="auto"/>
        <w:jc w:val="both"/>
        <w:rPr>
          <w:rFonts w:ascii="Times New Roman" w:hAnsi="Times New Roman" w:cs="Times New Roman"/>
          <w:b/>
          <w:sz w:val="28"/>
          <w:szCs w:val="24"/>
        </w:rPr>
      </w:pPr>
    </w:p>
    <w:p w:rsidR="00320489" w:rsidRDefault="00320489" w:rsidP="00BD2665">
      <w:pPr>
        <w:autoSpaceDE w:val="0"/>
        <w:autoSpaceDN w:val="0"/>
        <w:adjustRightInd w:val="0"/>
        <w:spacing w:line="480" w:lineRule="auto"/>
        <w:jc w:val="both"/>
        <w:rPr>
          <w:rFonts w:ascii="Times New Roman" w:hAnsi="Times New Roman" w:cs="Times New Roman"/>
          <w:b/>
          <w:sz w:val="28"/>
          <w:szCs w:val="24"/>
        </w:rPr>
      </w:pPr>
    </w:p>
    <w:p w:rsidR="00320489" w:rsidRDefault="00320489" w:rsidP="00BD2665">
      <w:pPr>
        <w:autoSpaceDE w:val="0"/>
        <w:autoSpaceDN w:val="0"/>
        <w:adjustRightInd w:val="0"/>
        <w:spacing w:line="480" w:lineRule="auto"/>
        <w:jc w:val="both"/>
        <w:rPr>
          <w:rFonts w:ascii="Times New Roman" w:hAnsi="Times New Roman" w:cs="Times New Roman"/>
          <w:b/>
          <w:sz w:val="28"/>
          <w:szCs w:val="24"/>
        </w:rPr>
      </w:pPr>
    </w:p>
    <w:p w:rsidR="003734E3" w:rsidRDefault="003734E3" w:rsidP="00BD2665">
      <w:pPr>
        <w:autoSpaceDE w:val="0"/>
        <w:autoSpaceDN w:val="0"/>
        <w:adjustRightInd w:val="0"/>
        <w:spacing w:line="480" w:lineRule="auto"/>
        <w:jc w:val="both"/>
        <w:rPr>
          <w:rFonts w:ascii="Times New Roman" w:hAnsi="Times New Roman" w:cs="Times New Roman"/>
          <w:b/>
          <w:sz w:val="28"/>
          <w:szCs w:val="24"/>
        </w:rPr>
      </w:pPr>
    </w:p>
    <w:p w:rsidR="003734E3" w:rsidRDefault="003734E3" w:rsidP="00BD2665">
      <w:pPr>
        <w:autoSpaceDE w:val="0"/>
        <w:autoSpaceDN w:val="0"/>
        <w:adjustRightInd w:val="0"/>
        <w:spacing w:line="480" w:lineRule="auto"/>
        <w:jc w:val="both"/>
        <w:rPr>
          <w:rFonts w:ascii="Times New Roman" w:hAnsi="Times New Roman" w:cs="Times New Roman"/>
          <w:b/>
          <w:sz w:val="28"/>
          <w:szCs w:val="24"/>
        </w:rPr>
      </w:pPr>
    </w:p>
    <w:p w:rsidR="003734E3" w:rsidRDefault="003734E3" w:rsidP="00BD2665">
      <w:pPr>
        <w:autoSpaceDE w:val="0"/>
        <w:autoSpaceDN w:val="0"/>
        <w:adjustRightInd w:val="0"/>
        <w:spacing w:line="480" w:lineRule="auto"/>
        <w:jc w:val="both"/>
        <w:rPr>
          <w:rFonts w:ascii="Times New Roman" w:hAnsi="Times New Roman" w:cs="Times New Roman"/>
          <w:b/>
          <w:sz w:val="28"/>
          <w:szCs w:val="24"/>
        </w:rPr>
      </w:pPr>
    </w:p>
    <w:p w:rsidR="003734E3" w:rsidRDefault="003734E3" w:rsidP="00BD2665">
      <w:pPr>
        <w:autoSpaceDE w:val="0"/>
        <w:autoSpaceDN w:val="0"/>
        <w:adjustRightInd w:val="0"/>
        <w:spacing w:line="480" w:lineRule="auto"/>
        <w:jc w:val="both"/>
        <w:rPr>
          <w:rFonts w:ascii="Times New Roman" w:hAnsi="Times New Roman" w:cs="Times New Roman"/>
          <w:b/>
          <w:sz w:val="28"/>
          <w:szCs w:val="24"/>
        </w:rPr>
      </w:pPr>
    </w:p>
    <w:p w:rsidR="003734E3" w:rsidRDefault="003734E3" w:rsidP="00BD2665">
      <w:pPr>
        <w:autoSpaceDE w:val="0"/>
        <w:autoSpaceDN w:val="0"/>
        <w:adjustRightInd w:val="0"/>
        <w:spacing w:line="480" w:lineRule="auto"/>
        <w:jc w:val="both"/>
        <w:rPr>
          <w:rFonts w:ascii="Times New Roman" w:hAnsi="Times New Roman" w:cs="Times New Roman"/>
          <w:b/>
          <w:sz w:val="28"/>
          <w:szCs w:val="24"/>
        </w:rPr>
      </w:pPr>
    </w:p>
    <w:p w:rsidR="003734E3" w:rsidRDefault="003734E3" w:rsidP="00BD2665">
      <w:pPr>
        <w:autoSpaceDE w:val="0"/>
        <w:autoSpaceDN w:val="0"/>
        <w:adjustRightInd w:val="0"/>
        <w:spacing w:line="480" w:lineRule="auto"/>
        <w:jc w:val="both"/>
        <w:rPr>
          <w:rFonts w:ascii="Times New Roman" w:hAnsi="Times New Roman" w:cs="Times New Roman"/>
          <w:b/>
          <w:sz w:val="28"/>
          <w:szCs w:val="24"/>
        </w:rPr>
      </w:pPr>
    </w:p>
    <w:p w:rsidR="00EB136C" w:rsidRDefault="00EB136C" w:rsidP="00BD2665">
      <w:pPr>
        <w:autoSpaceDE w:val="0"/>
        <w:autoSpaceDN w:val="0"/>
        <w:adjustRightInd w:val="0"/>
        <w:spacing w:line="480" w:lineRule="auto"/>
        <w:jc w:val="both"/>
        <w:rPr>
          <w:rFonts w:ascii="Times New Roman" w:hAnsi="Times New Roman" w:cs="Times New Roman"/>
          <w:b/>
          <w:sz w:val="28"/>
          <w:szCs w:val="24"/>
        </w:rPr>
      </w:pPr>
    </w:p>
    <w:p w:rsidR="00F83A79" w:rsidRPr="00C0702B" w:rsidRDefault="00F83A79" w:rsidP="00BD2665">
      <w:pPr>
        <w:autoSpaceDE w:val="0"/>
        <w:autoSpaceDN w:val="0"/>
        <w:adjustRightInd w:val="0"/>
        <w:spacing w:line="480" w:lineRule="auto"/>
        <w:jc w:val="both"/>
        <w:rPr>
          <w:rFonts w:ascii="Times New Roman" w:hAnsi="Times New Roman" w:cs="Times New Roman"/>
          <w:b/>
          <w:sz w:val="28"/>
          <w:szCs w:val="18"/>
        </w:rPr>
      </w:pPr>
      <w:r>
        <w:rPr>
          <w:rFonts w:ascii="Times New Roman" w:hAnsi="Times New Roman" w:cs="Times New Roman"/>
          <w:b/>
          <w:sz w:val="28"/>
          <w:szCs w:val="24"/>
        </w:rPr>
        <w:lastRenderedPageBreak/>
        <w:t>References</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 xml:space="preserve">[1] R. </w:t>
      </w:r>
      <w:r w:rsidRPr="007C6D26">
        <w:rPr>
          <w:rFonts w:ascii="Times New Roman" w:hAnsi="Times New Roman" w:cs="Times New Roman"/>
          <w:sz w:val="24"/>
          <w:szCs w:val="24"/>
        </w:rPr>
        <w:t xml:space="preserve">Engle, ‘Risk and Volatility: Econometric Models and Financial Practice’, </w:t>
      </w:r>
      <w:r w:rsidRPr="007C6D26">
        <w:rPr>
          <w:rFonts w:ascii="Times New Roman" w:hAnsi="Times New Roman" w:cs="Times New Roman"/>
          <w:iCs/>
          <w:sz w:val="24"/>
          <w:szCs w:val="24"/>
        </w:rPr>
        <w:t>American Economic Review</w:t>
      </w:r>
      <w:r>
        <w:rPr>
          <w:rFonts w:ascii="Times New Roman" w:hAnsi="Times New Roman" w:cs="Times New Roman"/>
          <w:iCs/>
          <w:sz w:val="24"/>
          <w:szCs w:val="24"/>
        </w:rPr>
        <w:t>,</w:t>
      </w:r>
      <w:r w:rsidRPr="007C6D26">
        <w:rPr>
          <w:rFonts w:ascii="Times New Roman" w:hAnsi="Times New Roman" w:cs="Times New Roman"/>
          <w:iCs/>
          <w:sz w:val="24"/>
          <w:szCs w:val="24"/>
        </w:rPr>
        <w:t xml:space="preserve"> </w:t>
      </w:r>
      <w:r>
        <w:rPr>
          <w:rFonts w:ascii="Times New Roman" w:hAnsi="Times New Roman" w:cs="Times New Roman"/>
          <w:iCs/>
          <w:sz w:val="24"/>
          <w:szCs w:val="24"/>
        </w:rPr>
        <w:t xml:space="preserve">Volume </w:t>
      </w:r>
      <w:r w:rsidRPr="007C6D26">
        <w:rPr>
          <w:rFonts w:ascii="Times New Roman" w:hAnsi="Times New Roman" w:cs="Times New Roman"/>
          <w:sz w:val="24"/>
          <w:szCs w:val="24"/>
        </w:rPr>
        <w:t>94</w:t>
      </w:r>
      <w:r>
        <w:rPr>
          <w:rFonts w:ascii="Times New Roman" w:hAnsi="Times New Roman" w:cs="Times New Roman"/>
          <w:sz w:val="24"/>
          <w:szCs w:val="24"/>
        </w:rPr>
        <w:t>, 2004,</w:t>
      </w:r>
      <w:r w:rsidRPr="007C6D26">
        <w:rPr>
          <w:rFonts w:ascii="Times New Roman" w:hAnsi="Times New Roman" w:cs="Times New Roman"/>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sz w:val="24"/>
          <w:szCs w:val="24"/>
        </w:rPr>
        <w:t>405 - 420.</w:t>
      </w:r>
    </w:p>
    <w:p w:rsidR="00EB136C"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[2] M. Garman and S. </w:t>
      </w:r>
      <w:proofErr w:type="spellStart"/>
      <w:r>
        <w:rPr>
          <w:rFonts w:ascii="Times New Roman" w:hAnsi="Times New Roman" w:cs="Times New Roman"/>
          <w:bCs/>
          <w:iCs/>
          <w:sz w:val="24"/>
          <w:szCs w:val="24"/>
        </w:rPr>
        <w:t>Kohlhagen</w:t>
      </w:r>
      <w:proofErr w:type="spellEnd"/>
      <w:r>
        <w:rPr>
          <w:rFonts w:ascii="Times New Roman" w:hAnsi="Times New Roman" w:cs="Times New Roman"/>
          <w:bCs/>
          <w:iCs/>
          <w:sz w:val="24"/>
          <w:szCs w:val="24"/>
        </w:rPr>
        <w:t>, ‘</w:t>
      </w:r>
      <w:r w:rsidRPr="0010205D">
        <w:rPr>
          <w:rFonts w:ascii="Times New Roman" w:hAnsi="Times New Roman" w:cs="Times New Roman"/>
          <w:bCs/>
          <w:iCs/>
          <w:sz w:val="24"/>
          <w:szCs w:val="24"/>
        </w:rPr>
        <w:t>Foreign Currency Options Value</w:t>
      </w:r>
      <w:r>
        <w:rPr>
          <w:rFonts w:ascii="Times New Roman" w:hAnsi="Times New Roman" w:cs="Times New Roman"/>
          <w:bCs/>
          <w:iCs/>
          <w:sz w:val="24"/>
          <w:szCs w:val="24"/>
        </w:rPr>
        <w:t>’</w:t>
      </w:r>
      <w:r w:rsidRPr="0010205D">
        <w:rPr>
          <w:rFonts w:ascii="Times New Roman" w:hAnsi="Times New Roman" w:cs="Times New Roman"/>
          <w:bCs/>
          <w:iCs/>
          <w:sz w:val="24"/>
          <w:szCs w:val="24"/>
        </w:rPr>
        <w:t>, Journal</w:t>
      </w:r>
      <w:r>
        <w:rPr>
          <w:rFonts w:ascii="Times New Roman" w:hAnsi="Times New Roman" w:cs="Times New Roman"/>
          <w:bCs/>
          <w:iCs/>
          <w:sz w:val="24"/>
          <w:szCs w:val="24"/>
        </w:rPr>
        <w:t xml:space="preserve"> </w:t>
      </w:r>
      <w:r w:rsidRPr="0010205D">
        <w:rPr>
          <w:rFonts w:ascii="Times New Roman" w:hAnsi="Times New Roman" w:cs="Times New Roman"/>
          <w:bCs/>
          <w:iCs/>
          <w:sz w:val="24"/>
          <w:szCs w:val="24"/>
        </w:rPr>
        <w:t>of Int</w:t>
      </w:r>
      <w:r>
        <w:rPr>
          <w:rFonts w:ascii="Times New Roman" w:hAnsi="Times New Roman" w:cs="Times New Roman"/>
          <w:bCs/>
          <w:iCs/>
          <w:sz w:val="24"/>
          <w:szCs w:val="24"/>
        </w:rPr>
        <w:t>ernational Money and Finance, Volume 2, 1983, pp.</w:t>
      </w:r>
      <w:r w:rsidRPr="0010205D">
        <w:rPr>
          <w:rFonts w:ascii="Times New Roman" w:hAnsi="Times New Roman" w:cs="Times New Roman"/>
          <w:bCs/>
          <w:iCs/>
          <w:sz w:val="24"/>
          <w:szCs w:val="24"/>
        </w:rPr>
        <w:t xml:space="preserve"> 231-237.</w:t>
      </w:r>
    </w:p>
    <w:p w:rsidR="00EB136C" w:rsidRDefault="00EB136C" w:rsidP="00EB136C">
      <w:pPr>
        <w:autoSpaceDE w:val="0"/>
        <w:autoSpaceDN w:val="0"/>
        <w:adjustRightInd w:val="0"/>
        <w:spacing w:line="480" w:lineRule="auto"/>
        <w:jc w:val="both"/>
        <w:rPr>
          <w:rFonts w:ascii="Times New Roman" w:hAnsi="Times New Roman" w:cs="Times New Roman"/>
          <w:sz w:val="24"/>
          <w:szCs w:val="24"/>
        </w:rPr>
      </w:pPr>
      <w:proofErr w:type="gramStart"/>
      <w:r>
        <w:rPr>
          <w:rFonts w:ascii="Times New Roman" w:hAnsi="Times New Roman" w:cs="Times New Roman"/>
          <w:bCs/>
          <w:iCs/>
          <w:sz w:val="24"/>
          <w:szCs w:val="24"/>
        </w:rPr>
        <w:t xml:space="preserve">[3] J. </w:t>
      </w:r>
      <w:r>
        <w:rPr>
          <w:rFonts w:ascii="Times New Roman" w:hAnsi="Times New Roman" w:cs="Times New Roman"/>
          <w:sz w:val="24"/>
          <w:szCs w:val="24"/>
        </w:rPr>
        <w:t>Hull,</w:t>
      </w:r>
      <w:r w:rsidRPr="0010205D">
        <w:rPr>
          <w:rFonts w:ascii="Times New Roman" w:hAnsi="Times New Roman" w:cs="Times New Roman"/>
          <w:sz w:val="24"/>
          <w:szCs w:val="24"/>
        </w:rPr>
        <w:t xml:space="preserve"> </w:t>
      </w:r>
      <w:r>
        <w:rPr>
          <w:rFonts w:ascii="Times New Roman" w:hAnsi="Times New Roman" w:cs="Times New Roman"/>
          <w:sz w:val="24"/>
          <w:szCs w:val="24"/>
        </w:rPr>
        <w:t>“</w:t>
      </w:r>
      <w:r w:rsidRPr="0010205D">
        <w:rPr>
          <w:rFonts w:ascii="Times New Roman" w:hAnsi="Times New Roman" w:cs="Times New Roman"/>
          <w:sz w:val="24"/>
          <w:szCs w:val="24"/>
        </w:rPr>
        <w:t>Options, Futures and Other Derivatives</w:t>
      </w:r>
      <w:r>
        <w:rPr>
          <w:rFonts w:ascii="Times New Roman" w:hAnsi="Times New Roman" w:cs="Times New Roman"/>
          <w:sz w:val="24"/>
          <w:szCs w:val="24"/>
        </w:rPr>
        <w:t>”</w:t>
      </w:r>
      <w:r w:rsidRPr="0010205D">
        <w:rPr>
          <w:rFonts w:ascii="Times New Roman" w:hAnsi="Times New Roman" w:cs="Times New Roman"/>
          <w:sz w:val="24"/>
          <w:szCs w:val="24"/>
        </w:rPr>
        <w:t>, 6th Ed.</w:t>
      </w:r>
      <w:proofErr w:type="gramEnd"/>
      <w:r w:rsidRPr="0010205D">
        <w:rPr>
          <w:rFonts w:ascii="Times New Roman" w:hAnsi="Times New Roman" w:cs="Times New Roman"/>
          <w:sz w:val="24"/>
          <w:szCs w:val="24"/>
        </w:rPr>
        <w:t xml:space="preserve"> New Jersey: Pearson</w:t>
      </w:r>
      <w:r>
        <w:rPr>
          <w:rFonts w:ascii="Times New Roman" w:hAnsi="Times New Roman" w:cs="Times New Roman"/>
          <w:sz w:val="24"/>
          <w:szCs w:val="24"/>
        </w:rPr>
        <w:t xml:space="preserve"> Prentice Hall, 2006.</w:t>
      </w:r>
    </w:p>
    <w:p w:rsidR="00EB136C" w:rsidRDefault="00EB136C" w:rsidP="00EB136C">
      <w:pPr>
        <w:autoSpaceDE w:val="0"/>
        <w:autoSpaceDN w:val="0"/>
        <w:adjustRightInd w:val="0"/>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[4] E. </w:t>
      </w:r>
      <w:proofErr w:type="spellStart"/>
      <w:r>
        <w:rPr>
          <w:rFonts w:ascii="Times New Roman" w:hAnsi="Times New Roman" w:cs="Times New Roman"/>
          <w:sz w:val="24"/>
          <w:szCs w:val="24"/>
        </w:rPr>
        <w:t>Kahya</w:t>
      </w:r>
      <w:proofErr w:type="spellEnd"/>
      <w:r w:rsidRPr="007C6D26">
        <w:rPr>
          <w:rFonts w:ascii="Times New Roman" w:hAnsi="Times New Roman" w:cs="Times New Roman"/>
          <w:sz w:val="24"/>
          <w:szCs w:val="24"/>
        </w:rPr>
        <w:t>,</w:t>
      </w:r>
      <w:r>
        <w:rPr>
          <w:rFonts w:ascii="Times New Roman" w:hAnsi="Times New Roman" w:cs="Times New Roman"/>
          <w:sz w:val="24"/>
          <w:szCs w:val="24"/>
        </w:rPr>
        <w:t xml:space="preserve"> G.</w:t>
      </w:r>
      <w:r w:rsidRPr="007C6D26">
        <w:rPr>
          <w:rFonts w:ascii="Times New Roman" w:hAnsi="Times New Roman" w:cs="Times New Roman"/>
          <w:sz w:val="24"/>
          <w:szCs w:val="24"/>
        </w:rPr>
        <w:t xml:space="preserve"> </w:t>
      </w:r>
      <w:proofErr w:type="spellStart"/>
      <w:r w:rsidRPr="007C6D26">
        <w:rPr>
          <w:rFonts w:ascii="Times New Roman" w:hAnsi="Times New Roman" w:cs="Times New Roman"/>
          <w:sz w:val="24"/>
          <w:szCs w:val="24"/>
        </w:rPr>
        <w:t>Koutmos</w:t>
      </w:r>
      <w:proofErr w:type="spellEnd"/>
      <w:r w:rsidRPr="007C6D26">
        <w:rPr>
          <w:rFonts w:ascii="Times New Roman" w:hAnsi="Times New Roman" w:cs="Times New Roman"/>
          <w:sz w:val="24"/>
          <w:szCs w:val="24"/>
        </w:rPr>
        <w:t xml:space="preserve"> and </w:t>
      </w:r>
      <w:r>
        <w:rPr>
          <w:rFonts w:ascii="Times New Roman" w:hAnsi="Times New Roman" w:cs="Times New Roman"/>
          <w:sz w:val="24"/>
          <w:szCs w:val="24"/>
        </w:rPr>
        <w:t xml:space="preserve">D. </w:t>
      </w:r>
      <w:proofErr w:type="spellStart"/>
      <w:r w:rsidRPr="007C6D26">
        <w:rPr>
          <w:rFonts w:ascii="Times New Roman" w:hAnsi="Times New Roman" w:cs="Times New Roman"/>
          <w:sz w:val="24"/>
          <w:szCs w:val="24"/>
        </w:rPr>
        <w:t>Nuven</w:t>
      </w:r>
      <w:proofErr w:type="spellEnd"/>
      <w:r>
        <w:rPr>
          <w:rFonts w:ascii="Times New Roman" w:hAnsi="Times New Roman" w:cs="Times New Roman"/>
          <w:sz w:val="24"/>
          <w:szCs w:val="24"/>
        </w:rPr>
        <w:t>,</w:t>
      </w:r>
      <w:r w:rsidRPr="007C6D26">
        <w:rPr>
          <w:rFonts w:ascii="Times New Roman" w:hAnsi="Times New Roman" w:cs="Times New Roman"/>
          <w:sz w:val="24"/>
          <w:szCs w:val="24"/>
        </w:rPr>
        <w:t xml:space="preserve"> ‘Modeling volatility of foreign exchange price changes’, Managerial Finance</w:t>
      </w:r>
      <w:r>
        <w:rPr>
          <w:rFonts w:ascii="Times New Roman" w:hAnsi="Times New Roman" w:cs="Times New Roman"/>
          <w:sz w:val="24"/>
          <w:szCs w:val="24"/>
        </w:rPr>
        <w:t xml:space="preserve">, </w:t>
      </w:r>
      <w:r w:rsidRPr="007C6D26">
        <w:rPr>
          <w:rFonts w:ascii="Times New Roman" w:hAnsi="Times New Roman" w:cs="Times New Roman"/>
          <w:sz w:val="24"/>
          <w:szCs w:val="24"/>
        </w:rPr>
        <w:t>20, No. 5/6</w:t>
      </w:r>
      <w:r>
        <w:rPr>
          <w:rFonts w:ascii="Times New Roman" w:hAnsi="Times New Roman" w:cs="Times New Roman"/>
          <w:sz w:val="24"/>
          <w:szCs w:val="24"/>
        </w:rPr>
        <w:t>, 1994</w:t>
      </w:r>
      <w:r w:rsidRPr="007C6D26">
        <w:rPr>
          <w:rFonts w:ascii="Times New Roman" w:hAnsi="Times New Roman" w:cs="Times New Roman"/>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E. </w:t>
      </w:r>
      <w:proofErr w:type="spellStart"/>
      <w:r w:rsidRPr="007C6D26">
        <w:rPr>
          <w:rFonts w:ascii="Times New Roman" w:hAnsi="Times New Roman" w:cs="Times New Roman"/>
          <w:sz w:val="24"/>
          <w:szCs w:val="24"/>
        </w:rPr>
        <w:t>Ko</w:t>
      </w:r>
      <w:r>
        <w:rPr>
          <w:rFonts w:ascii="Times New Roman" w:hAnsi="Times New Roman" w:cs="Times New Roman"/>
          <w:sz w:val="24"/>
          <w:szCs w:val="24"/>
        </w:rPr>
        <w:t>cenda</w:t>
      </w:r>
      <w:proofErr w:type="spellEnd"/>
      <w:r>
        <w:rPr>
          <w:rFonts w:ascii="Times New Roman" w:hAnsi="Times New Roman" w:cs="Times New Roman"/>
          <w:sz w:val="24"/>
          <w:szCs w:val="24"/>
        </w:rPr>
        <w:t xml:space="preserve"> </w:t>
      </w:r>
      <w:r w:rsidRPr="007C6D26">
        <w:rPr>
          <w:rFonts w:ascii="Times New Roman" w:hAnsi="Times New Roman" w:cs="Times New Roman"/>
          <w:sz w:val="24"/>
          <w:szCs w:val="24"/>
        </w:rPr>
        <w:t xml:space="preserve">and </w:t>
      </w:r>
      <w:r>
        <w:rPr>
          <w:rFonts w:ascii="Times New Roman" w:hAnsi="Times New Roman" w:cs="Times New Roman"/>
          <w:sz w:val="24"/>
          <w:szCs w:val="24"/>
        </w:rPr>
        <w:t xml:space="preserve">J. </w:t>
      </w:r>
      <w:proofErr w:type="spellStart"/>
      <w:r w:rsidRPr="007C6D26">
        <w:rPr>
          <w:rFonts w:ascii="Times New Roman" w:hAnsi="Times New Roman" w:cs="Times New Roman"/>
          <w:sz w:val="24"/>
          <w:szCs w:val="24"/>
        </w:rPr>
        <w:t>Valachy</w:t>
      </w:r>
      <w:proofErr w:type="spellEnd"/>
      <w:r w:rsidRPr="007C6D26">
        <w:rPr>
          <w:rFonts w:ascii="Times New Roman" w:hAnsi="Times New Roman" w:cs="Times New Roman"/>
          <w:sz w:val="24"/>
          <w:szCs w:val="24"/>
        </w:rPr>
        <w:t xml:space="preserve">, ‘Exchange Rate Volatility and Regime Change: A </w:t>
      </w:r>
      <w:proofErr w:type="spellStart"/>
      <w:r w:rsidRPr="007C6D26">
        <w:rPr>
          <w:rFonts w:ascii="Times New Roman" w:hAnsi="Times New Roman" w:cs="Times New Roman"/>
          <w:sz w:val="24"/>
          <w:szCs w:val="24"/>
        </w:rPr>
        <w:t>Visegrad</w:t>
      </w:r>
      <w:proofErr w:type="spellEnd"/>
      <w:r w:rsidRPr="007C6D26">
        <w:rPr>
          <w:rFonts w:ascii="Times New Roman" w:hAnsi="Times New Roman" w:cs="Times New Roman"/>
          <w:sz w:val="24"/>
          <w:szCs w:val="24"/>
        </w:rPr>
        <w:t xml:space="preserve"> Comparison’, </w:t>
      </w:r>
      <w:r w:rsidRPr="007C6D26">
        <w:rPr>
          <w:rFonts w:ascii="Times New Roman" w:hAnsi="Times New Roman" w:cs="Times New Roman"/>
          <w:iCs/>
          <w:sz w:val="24"/>
          <w:szCs w:val="24"/>
        </w:rPr>
        <w:t>Journal of Comparative Economics</w:t>
      </w:r>
      <w:r w:rsidRPr="007C6D26">
        <w:rPr>
          <w:rFonts w:ascii="Times New Roman" w:hAnsi="Times New Roman" w:cs="Times New Roman"/>
          <w:sz w:val="24"/>
          <w:szCs w:val="24"/>
        </w:rPr>
        <w:t xml:space="preserve">, </w:t>
      </w:r>
      <w:r>
        <w:rPr>
          <w:rFonts w:ascii="Times New Roman" w:hAnsi="Times New Roman" w:cs="Times New Roman"/>
          <w:sz w:val="24"/>
          <w:szCs w:val="24"/>
        </w:rPr>
        <w:t xml:space="preserve">Volume </w:t>
      </w:r>
      <w:r w:rsidRPr="007C6D26">
        <w:rPr>
          <w:rFonts w:ascii="Times New Roman" w:hAnsi="Times New Roman" w:cs="Times New Roman"/>
          <w:sz w:val="24"/>
          <w:szCs w:val="24"/>
        </w:rPr>
        <w:t>34</w:t>
      </w:r>
      <w:r>
        <w:rPr>
          <w:rFonts w:ascii="Times New Roman" w:hAnsi="Times New Roman" w:cs="Times New Roman"/>
          <w:sz w:val="24"/>
          <w:szCs w:val="24"/>
        </w:rPr>
        <w:t>, 2006,</w:t>
      </w:r>
      <w:r w:rsidRPr="007C6D26">
        <w:rPr>
          <w:rFonts w:ascii="Times New Roman" w:hAnsi="Times New Roman" w:cs="Times New Roman"/>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sz w:val="24"/>
          <w:szCs w:val="24"/>
        </w:rPr>
        <w:t>727 - 753.</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xml:space="preserve">[6] T. </w:t>
      </w:r>
      <w:proofErr w:type="spellStart"/>
      <w:r w:rsidRPr="007C6D26">
        <w:rPr>
          <w:rFonts w:ascii="Times New Roman" w:hAnsi="Times New Roman" w:cs="Times New Roman"/>
          <w:bCs/>
          <w:iCs/>
          <w:sz w:val="24"/>
          <w:szCs w:val="24"/>
        </w:rPr>
        <w:t>Bollerslev</w:t>
      </w:r>
      <w:proofErr w:type="spellEnd"/>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R. </w:t>
      </w:r>
      <w:r w:rsidRPr="007C6D26">
        <w:rPr>
          <w:rFonts w:ascii="Times New Roman" w:hAnsi="Times New Roman" w:cs="Times New Roman"/>
          <w:bCs/>
          <w:iCs/>
          <w:sz w:val="24"/>
          <w:szCs w:val="24"/>
        </w:rPr>
        <w:t xml:space="preserve">Chou and </w:t>
      </w:r>
      <w:r>
        <w:rPr>
          <w:rFonts w:ascii="Times New Roman" w:hAnsi="Times New Roman" w:cs="Times New Roman"/>
          <w:bCs/>
          <w:iCs/>
          <w:sz w:val="24"/>
          <w:szCs w:val="24"/>
        </w:rPr>
        <w:t xml:space="preserve">K. </w:t>
      </w:r>
      <w:r w:rsidRPr="007C6D26">
        <w:rPr>
          <w:rFonts w:ascii="Times New Roman" w:hAnsi="Times New Roman" w:cs="Times New Roman"/>
          <w:bCs/>
          <w:iCs/>
          <w:sz w:val="24"/>
          <w:szCs w:val="24"/>
        </w:rPr>
        <w:t xml:space="preserve">Kroner, ‘ARCH </w:t>
      </w:r>
      <w:proofErr w:type="spellStart"/>
      <w:r w:rsidRPr="007C6D26">
        <w:rPr>
          <w:rFonts w:ascii="Times New Roman" w:hAnsi="Times New Roman" w:cs="Times New Roman"/>
          <w:bCs/>
          <w:iCs/>
          <w:sz w:val="24"/>
          <w:szCs w:val="24"/>
        </w:rPr>
        <w:t>Modelling</w:t>
      </w:r>
      <w:proofErr w:type="spellEnd"/>
      <w:r w:rsidRPr="007C6D26">
        <w:rPr>
          <w:rFonts w:ascii="Times New Roman" w:hAnsi="Times New Roman" w:cs="Times New Roman"/>
          <w:bCs/>
          <w:iCs/>
          <w:sz w:val="24"/>
          <w:szCs w:val="24"/>
        </w:rPr>
        <w:t xml:space="preserve"> in Finance’, Journal of Econometrics, </w:t>
      </w:r>
      <w:r>
        <w:rPr>
          <w:rFonts w:ascii="Times New Roman" w:hAnsi="Times New Roman" w:cs="Times New Roman"/>
          <w:bCs/>
          <w:iCs/>
          <w:sz w:val="24"/>
          <w:szCs w:val="24"/>
        </w:rPr>
        <w:t>Volume 52, 1992,</w:t>
      </w:r>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iCs/>
          <w:sz w:val="24"/>
          <w:szCs w:val="24"/>
        </w:rPr>
        <w:t>5 – 59.</w:t>
      </w:r>
      <w:proofErr w:type="gramEnd"/>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[7] J. </w:t>
      </w:r>
      <w:r w:rsidRPr="007C6D26">
        <w:rPr>
          <w:rFonts w:ascii="Times New Roman" w:hAnsi="Times New Roman" w:cs="Times New Roman"/>
          <w:bCs/>
          <w:iCs/>
          <w:sz w:val="24"/>
          <w:szCs w:val="24"/>
        </w:rPr>
        <w:t xml:space="preserve">Byers and </w:t>
      </w:r>
      <w:r>
        <w:rPr>
          <w:rFonts w:ascii="Times New Roman" w:hAnsi="Times New Roman" w:cs="Times New Roman"/>
          <w:bCs/>
          <w:iCs/>
          <w:sz w:val="24"/>
          <w:szCs w:val="24"/>
        </w:rPr>
        <w:t xml:space="preserve">D. </w:t>
      </w:r>
      <w:r w:rsidRPr="007C6D26">
        <w:rPr>
          <w:rFonts w:ascii="Times New Roman" w:hAnsi="Times New Roman" w:cs="Times New Roman"/>
          <w:bCs/>
          <w:iCs/>
          <w:sz w:val="24"/>
          <w:szCs w:val="24"/>
        </w:rPr>
        <w:t>Peel</w:t>
      </w:r>
      <w:r>
        <w:rPr>
          <w:rFonts w:ascii="Times New Roman" w:hAnsi="Times New Roman" w:cs="Times New Roman"/>
          <w:bCs/>
          <w:iCs/>
          <w:sz w:val="24"/>
          <w:szCs w:val="24"/>
        </w:rPr>
        <w:t>,</w:t>
      </w:r>
      <w:r w:rsidRPr="007C6D26">
        <w:rPr>
          <w:rFonts w:ascii="Times New Roman" w:hAnsi="Times New Roman" w:cs="Times New Roman"/>
          <w:bCs/>
          <w:iCs/>
          <w:sz w:val="24"/>
          <w:szCs w:val="24"/>
        </w:rPr>
        <w:t xml:space="preserve"> ‘Evidence on Volatility Spillovers in the Interwar Floating Exchange Rate Period Based on High/Low Prices’, Applied Economics Letters, </w:t>
      </w:r>
      <w:r>
        <w:rPr>
          <w:rFonts w:ascii="Times New Roman" w:hAnsi="Times New Roman" w:cs="Times New Roman"/>
          <w:bCs/>
          <w:iCs/>
          <w:sz w:val="24"/>
          <w:szCs w:val="24"/>
        </w:rPr>
        <w:t xml:space="preserve">Volume </w:t>
      </w:r>
      <w:r w:rsidRPr="007C6D26">
        <w:rPr>
          <w:rFonts w:ascii="Times New Roman" w:hAnsi="Times New Roman" w:cs="Times New Roman"/>
          <w:bCs/>
          <w:iCs/>
          <w:sz w:val="24"/>
          <w:szCs w:val="24"/>
        </w:rPr>
        <w:t>2</w:t>
      </w:r>
      <w:r>
        <w:rPr>
          <w:rFonts w:ascii="Times New Roman" w:hAnsi="Times New Roman" w:cs="Times New Roman"/>
          <w:bCs/>
          <w:iCs/>
          <w:sz w:val="24"/>
          <w:szCs w:val="24"/>
        </w:rPr>
        <w:t>, 1995,</w:t>
      </w:r>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iCs/>
          <w:sz w:val="24"/>
          <w:szCs w:val="24"/>
        </w:rPr>
        <w:t>394 - 396.</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[8] Y. </w:t>
      </w:r>
      <w:proofErr w:type="spellStart"/>
      <w:r>
        <w:rPr>
          <w:rFonts w:ascii="Times New Roman" w:hAnsi="Times New Roman" w:cs="Times New Roman"/>
          <w:bCs/>
          <w:iCs/>
          <w:sz w:val="24"/>
          <w:szCs w:val="24"/>
        </w:rPr>
        <w:t>Tse</w:t>
      </w:r>
      <w:proofErr w:type="spellEnd"/>
      <w:r w:rsidRPr="007C6D26">
        <w:rPr>
          <w:rFonts w:ascii="Times New Roman" w:hAnsi="Times New Roman" w:cs="Times New Roman"/>
          <w:bCs/>
          <w:iCs/>
          <w:sz w:val="24"/>
          <w:szCs w:val="24"/>
        </w:rPr>
        <w:t xml:space="preserve"> and</w:t>
      </w:r>
      <w:r>
        <w:rPr>
          <w:rFonts w:ascii="Times New Roman" w:hAnsi="Times New Roman" w:cs="Times New Roman"/>
          <w:bCs/>
          <w:iCs/>
          <w:sz w:val="24"/>
          <w:szCs w:val="24"/>
        </w:rPr>
        <w:t xml:space="preserve"> A.</w:t>
      </w:r>
      <w:r w:rsidRPr="007C6D26">
        <w:rPr>
          <w:rFonts w:ascii="Times New Roman" w:hAnsi="Times New Roman" w:cs="Times New Roman"/>
          <w:bCs/>
          <w:iCs/>
          <w:sz w:val="24"/>
          <w:szCs w:val="24"/>
        </w:rPr>
        <w:t xml:space="preserve"> </w:t>
      </w:r>
      <w:proofErr w:type="spellStart"/>
      <w:r w:rsidRPr="007C6D26">
        <w:rPr>
          <w:rFonts w:ascii="Times New Roman" w:hAnsi="Times New Roman" w:cs="Times New Roman"/>
          <w:bCs/>
          <w:iCs/>
          <w:sz w:val="24"/>
          <w:szCs w:val="24"/>
        </w:rPr>
        <w:t>Tsui</w:t>
      </w:r>
      <w:proofErr w:type="spellEnd"/>
      <w:r w:rsidRPr="007C6D26">
        <w:rPr>
          <w:rFonts w:ascii="Times New Roman" w:hAnsi="Times New Roman" w:cs="Times New Roman"/>
          <w:bCs/>
          <w:iCs/>
          <w:sz w:val="24"/>
          <w:szCs w:val="24"/>
        </w:rPr>
        <w:t xml:space="preserve">, ‘Conditional Volatility in Foreign Exchange Rates: Evidence from the Malaysian Ringgit and Singapore Dollar’, Pacific Basin Finance Journal, </w:t>
      </w:r>
      <w:r>
        <w:rPr>
          <w:rFonts w:ascii="Times New Roman" w:hAnsi="Times New Roman" w:cs="Times New Roman"/>
          <w:bCs/>
          <w:iCs/>
          <w:sz w:val="24"/>
          <w:szCs w:val="24"/>
        </w:rPr>
        <w:t>Volume 5, 1997,</w:t>
      </w:r>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iCs/>
          <w:sz w:val="24"/>
          <w:szCs w:val="24"/>
        </w:rPr>
        <w:t>345 - 356.</w:t>
      </w:r>
    </w:p>
    <w:p w:rsidR="00EB136C"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[9] M. </w:t>
      </w:r>
      <w:r w:rsidRPr="007C6D26">
        <w:rPr>
          <w:rFonts w:ascii="Times New Roman" w:hAnsi="Times New Roman" w:cs="Times New Roman"/>
          <w:bCs/>
          <w:iCs/>
          <w:sz w:val="24"/>
          <w:szCs w:val="24"/>
        </w:rPr>
        <w:t xml:space="preserve">McKenzie, ‘The Economics of Exchange Rate Volatility Asymmetry’, International Journal of Finance and Economics, </w:t>
      </w:r>
      <w:r>
        <w:rPr>
          <w:rFonts w:ascii="Times New Roman" w:hAnsi="Times New Roman" w:cs="Times New Roman"/>
          <w:bCs/>
          <w:iCs/>
          <w:sz w:val="24"/>
          <w:szCs w:val="24"/>
        </w:rPr>
        <w:t>Volume 7, 2002,</w:t>
      </w:r>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iCs/>
          <w:sz w:val="24"/>
          <w:szCs w:val="24"/>
        </w:rPr>
        <w:t>247 - 260.</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[10] M. </w:t>
      </w:r>
      <w:r>
        <w:rPr>
          <w:rFonts w:ascii="Times New Roman" w:hAnsi="Times New Roman" w:cs="Times New Roman"/>
          <w:bCs/>
          <w:iCs/>
          <w:sz w:val="24"/>
          <w:szCs w:val="24"/>
        </w:rPr>
        <w:t>Adler</w:t>
      </w:r>
      <w:r w:rsidRPr="007C6D26">
        <w:rPr>
          <w:rFonts w:ascii="Times New Roman" w:hAnsi="Times New Roman" w:cs="Times New Roman"/>
          <w:bCs/>
          <w:iCs/>
          <w:sz w:val="24"/>
          <w:szCs w:val="24"/>
        </w:rPr>
        <w:t xml:space="preserve"> and</w:t>
      </w:r>
      <w:r>
        <w:rPr>
          <w:rFonts w:ascii="Times New Roman" w:hAnsi="Times New Roman" w:cs="Times New Roman"/>
          <w:bCs/>
          <w:iCs/>
          <w:sz w:val="24"/>
          <w:szCs w:val="24"/>
        </w:rPr>
        <w:t xml:space="preserve"> R.</w:t>
      </w:r>
      <w:r w:rsidRPr="007C6D26">
        <w:rPr>
          <w:rFonts w:ascii="Times New Roman" w:hAnsi="Times New Roman" w:cs="Times New Roman"/>
          <w:bCs/>
          <w:iCs/>
          <w:sz w:val="24"/>
          <w:szCs w:val="24"/>
        </w:rPr>
        <w:t xml:space="preserve"> Qi, </w:t>
      </w:r>
      <w:r>
        <w:rPr>
          <w:rFonts w:ascii="Times New Roman" w:hAnsi="Times New Roman" w:cs="Times New Roman"/>
          <w:bCs/>
          <w:iCs/>
          <w:sz w:val="24"/>
          <w:szCs w:val="24"/>
        </w:rPr>
        <w:t>‘</w:t>
      </w:r>
      <w:r w:rsidRPr="007C6D26">
        <w:rPr>
          <w:rFonts w:ascii="Times New Roman" w:hAnsi="Times New Roman" w:cs="Times New Roman"/>
          <w:bCs/>
          <w:iCs/>
          <w:sz w:val="24"/>
          <w:szCs w:val="24"/>
        </w:rPr>
        <w:t xml:space="preserve">Mexico's Integration into the North American Capital Market’, Emerging Markets Review, </w:t>
      </w:r>
      <w:r>
        <w:rPr>
          <w:rFonts w:ascii="Times New Roman" w:hAnsi="Times New Roman" w:cs="Times New Roman"/>
          <w:bCs/>
          <w:iCs/>
          <w:sz w:val="24"/>
          <w:szCs w:val="24"/>
        </w:rPr>
        <w:t>Volume 4, 2003,</w:t>
      </w:r>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iCs/>
          <w:sz w:val="24"/>
          <w:szCs w:val="24"/>
        </w:rPr>
        <w:t>91 - 120.</w:t>
      </w:r>
    </w:p>
    <w:p w:rsidR="00EB136C" w:rsidRPr="007C6D26" w:rsidRDefault="00EB136C" w:rsidP="00EB136C">
      <w:pPr>
        <w:autoSpaceDE w:val="0"/>
        <w:autoSpaceDN w:val="0"/>
        <w:adjustRightInd w:val="0"/>
        <w:spacing w:line="480" w:lineRule="auto"/>
        <w:jc w:val="both"/>
        <w:rPr>
          <w:rFonts w:ascii="Times New Roman" w:hAnsi="Times New Roman" w:cs="Times New Roman"/>
          <w:bCs/>
          <w:color w:val="000000"/>
          <w:sz w:val="24"/>
          <w:szCs w:val="24"/>
        </w:rPr>
      </w:pPr>
      <w:r>
        <w:rPr>
          <w:rFonts w:ascii="Times New Roman" w:hAnsi="Times New Roman" w:cs="Times New Roman"/>
          <w:iCs/>
          <w:sz w:val="24"/>
          <w:szCs w:val="24"/>
        </w:rPr>
        <w:t xml:space="preserve">[11] R. </w:t>
      </w:r>
      <w:proofErr w:type="spellStart"/>
      <w:r w:rsidRPr="007C6D26">
        <w:rPr>
          <w:rFonts w:ascii="Times New Roman" w:hAnsi="Times New Roman" w:cs="Times New Roman"/>
          <w:bCs/>
          <w:color w:val="000000"/>
          <w:sz w:val="24"/>
          <w:szCs w:val="24"/>
        </w:rPr>
        <w:t>Olowe</w:t>
      </w:r>
      <w:proofErr w:type="spellEnd"/>
      <w:r w:rsidRPr="007C6D26">
        <w:rPr>
          <w:rFonts w:ascii="Times New Roman" w:hAnsi="Times New Roman" w:cs="Times New Roman"/>
          <w:bCs/>
          <w:color w:val="000000"/>
          <w:sz w:val="24"/>
          <w:szCs w:val="24"/>
        </w:rPr>
        <w:t>, ‘Exchange Rate Volatility, Global Financial Crisis and the Day-of-the-Week Effect’, KCA Journal of Business Management</w:t>
      </w:r>
      <w:r>
        <w:rPr>
          <w:rFonts w:ascii="Times New Roman" w:hAnsi="Times New Roman" w:cs="Times New Roman"/>
          <w:bCs/>
          <w:color w:val="000000"/>
          <w:sz w:val="24"/>
          <w:szCs w:val="24"/>
        </w:rPr>
        <w:t xml:space="preserve">, Volume 3, no. </w:t>
      </w:r>
      <w:r w:rsidRPr="007C6D26">
        <w:rPr>
          <w:rFonts w:ascii="Times New Roman" w:hAnsi="Times New Roman" w:cs="Times New Roman"/>
          <w:bCs/>
          <w:color w:val="000000"/>
          <w:sz w:val="24"/>
          <w:szCs w:val="24"/>
        </w:rPr>
        <w:t>3</w:t>
      </w:r>
      <w:r>
        <w:rPr>
          <w:rFonts w:ascii="Times New Roman" w:hAnsi="Times New Roman" w:cs="Times New Roman"/>
          <w:bCs/>
          <w:color w:val="000000"/>
          <w:sz w:val="24"/>
          <w:szCs w:val="24"/>
        </w:rPr>
        <w:t>, 2011,</w:t>
      </w:r>
      <w:r w:rsidRPr="007C6D26">
        <w:rPr>
          <w:rFonts w:ascii="Times New Roman" w:hAnsi="Times New Roman" w:cs="Times New Roman"/>
          <w:bCs/>
          <w:color w:val="000000"/>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color w:val="000000"/>
          <w:sz w:val="24"/>
          <w:szCs w:val="24"/>
        </w:rPr>
        <w:t>138-149.</w:t>
      </w:r>
    </w:p>
    <w:p w:rsidR="00EB136C" w:rsidRPr="007C6D26" w:rsidRDefault="00EB136C" w:rsidP="00EB136C">
      <w:pPr>
        <w:autoSpaceDE w:val="0"/>
        <w:autoSpaceDN w:val="0"/>
        <w:adjustRightInd w:val="0"/>
        <w:spacing w:line="480" w:lineRule="auto"/>
        <w:jc w:val="both"/>
        <w:rPr>
          <w:rFonts w:ascii="Times New Roman" w:hAnsi="Times New Roman" w:cs="Times New Roman"/>
          <w:color w:val="231F20"/>
          <w:sz w:val="24"/>
          <w:szCs w:val="24"/>
        </w:rPr>
      </w:pPr>
      <w:r>
        <w:rPr>
          <w:rFonts w:ascii="Times New Roman" w:hAnsi="Times New Roman" w:cs="Times New Roman"/>
          <w:iCs/>
          <w:sz w:val="24"/>
          <w:szCs w:val="24"/>
        </w:rPr>
        <w:t xml:space="preserve">[12] J. </w:t>
      </w:r>
      <w:proofErr w:type="spellStart"/>
      <w:r w:rsidRPr="007C6D26">
        <w:rPr>
          <w:rFonts w:ascii="Times New Roman" w:hAnsi="Times New Roman" w:cs="Times New Roman"/>
          <w:color w:val="231F20"/>
          <w:sz w:val="24"/>
          <w:szCs w:val="24"/>
        </w:rPr>
        <w:t>Bouoiyour</w:t>
      </w:r>
      <w:proofErr w:type="spellEnd"/>
      <w:r w:rsidRPr="007C6D26">
        <w:rPr>
          <w:rFonts w:ascii="Times New Roman" w:hAnsi="Times New Roman" w:cs="Times New Roman"/>
          <w:color w:val="231F20"/>
          <w:sz w:val="24"/>
          <w:szCs w:val="24"/>
        </w:rPr>
        <w:t xml:space="preserve"> and </w:t>
      </w:r>
      <w:r>
        <w:rPr>
          <w:rFonts w:ascii="Times New Roman" w:hAnsi="Times New Roman" w:cs="Times New Roman"/>
          <w:color w:val="231F20"/>
          <w:sz w:val="24"/>
          <w:szCs w:val="24"/>
        </w:rPr>
        <w:t xml:space="preserve">R. </w:t>
      </w:r>
      <w:proofErr w:type="spellStart"/>
      <w:r w:rsidRPr="007C6D26">
        <w:rPr>
          <w:rFonts w:ascii="Times New Roman" w:hAnsi="Times New Roman" w:cs="Times New Roman"/>
          <w:color w:val="231F20"/>
          <w:sz w:val="24"/>
          <w:szCs w:val="24"/>
        </w:rPr>
        <w:t>Selmi</w:t>
      </w:r>
      <w:proofErr w:type="spellEnd"/>
      <w:r>
        <w:rPr>
          <w:rFonts w:ascii="Times New Roman" w:hAnsi="Times New Roman" w:cs="Times New Roman"/>
          <w:color w:val="231F20"/>
          <w:sz w:val="24"/>
          <w:szCs w:val="24"/>
        </w:rPr>
        <w:t xml:space="preserve">, </w:t>
      </w:r>
      <w:r w:rsidRPr="007C6D26">
        <w:rPr>
          <w:rFonts w:ascii="Times New Roman" w:hAnsi="Times New Roman" w:cs="Times New Roman"/>
          <w:color w:val="231F20"/>
          <w:sz w:val="24"/>
          <w:szCs w:val="24"/>
        </w:rPr>
        <w:t xml:space="preserve">‘Modeling </w:t>
      </w:r>
      <w:proofErr w:type="gramStart"/>
      <w:r w:rsidRPr="007C6D26">
        <w:rPr>
          <w:rFonts w:ascii="Times New Roman" w:hAnsi="Times New Roman" w:cs="Times New Roman"/>
          <w:color w:val="231F20"/>
          <w:sz w:val="24"/>
          <w:szCs w:val="24"/>
        </w:rPr>
        <w:t>exchange</w:t>
      </w:r>
      <w:proofErr w:type="gramEnd"/>
      <w:r w:rsidRPr="007C6D26">
        <w:rPr>
          <w:rFonts w:ascii="Times New Roman" w:hAnsi="Times New Roman" w:cs="Times New Roman"/>
          <w:color w:val="231F20"/>
          <w:sz w:val="24"/>
          <w:szCs w:val="24"/>
        </w:rPr>
        <w:t xml:space="preserve"> volatility in Egypt using GARCH models’</w:t>
      </w:r>
      <w:r>
        <w:rPr>
          <w:rFonts w:ascii="Times New Roman" w:hAnsi="Times New Roman" w:cs="Times New Roman"/>
          <w:color w:val="231F20"/>
          <w:sz w:val="24"/>
          <w:szCs w:val="24"/>
        </w:rPr>
        <w:t>, 2002,</w:t>
      </w:r>
      <w:r w:rsidRPr="007C6D26">
        <w:rPr>
          <w:rFonts w:ascii="Times New Roman" w:hAnsi="Times New Roman" w:cs="Times New Roman"/>
          <w:color w:val="231F20"/>
          <w:sz w:val="24"/>
          <w:szCs w:val="24"/>
        </w:rPr>
        <w:t xml:space="preserve"> </w:t>
      </w:r>
      <w:hyperlink r:id="rId132" w:history="1">
        <w:r w:rsidRPr="007C6D26">
          <w:rPr>
            <w:rStyle w:val="Hyperlink"/>
            <w:rFonts w:ascii="Times New Roman" w:hAnsi="Times New Roman" w:cs="Times New Roman"/>
            <w:sz w:val="24"/>
            <w:szCs w:val="24"/>
          </w:rPr>
          <w:t>http://mpra.ub.uni-muenchen.de/49131/</w:t>
        </w:r>
      </w:hyperlink>
      <w:r w:rsidRPr="007C6D26">
        <w:rPr>
          <w:rFonts w:ascii="Times New Roman" w:hAnsi="Times New Roman" w:cs="Times New Roman"/>
          <w:color w:val="231F20"/>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bCs/>
          <w:color w:val="231F20"/>
          <w:sz w:val="24"/>
          <w:szCs w:val="24"/>
        </w:rPr>
      </w:pPr>
      <w:r>
        <w:rPr>
          <w:rFonts w:ascii="Times New Roman" w:hAnsi="Times New Roman" w:cs="Times New Roman"/>
          <w:iCs/>
          <w:sz w:val="24"/>
          <w:szCs w:val="24"/>
        </w:rPr>
        <w:t xml:space="preserve">[13] E. </w:t>
      </w:r>
      <w:proofErr w:type="spellStart"/>
      <w:r w:rsidRPr="007C6D26">
        <w:rPr>
          <w:rFonts w:ascii="Times New Roman" w:hAnsi="Times New Roman" w:cs="Times New Roman"/>
          <w:color w:val="231F20"/>
          <w:sz w:val="24"/>
          <w:szCs w:val="24"/>
        </w:rPr>
        <w:t>Okyere</w:t>
      </w:r>
      <w:proofErr w:type="spellEnd"/>
      <w:r w:rsidRPr="007C6D26">
        <w:rPr>
          <w:rFonts w:ascii="Times New Roman" w:hAnsi="Times New Roman" w:cs="Times New Roman"/>
          <w:color w:val="231F20"/>
          <w:sz w:val="24"/>
          <w:szCs w:val="24"/>
        </w:rPr>
        <w:t>,</w:t>
      </w:r>
      <w:r>
        <w:rPr>
          <w:rFonts w:ascii="Times New Roman" w:hAnsi="Times New Roman" w:cs="Times New Roman"/>
          <w:color w:val="231F20"/>
          <w:sz w:val="24"/>
          <w:szCs w:val="24"/>
        </w:rPr>
        <w:t xml:space="preserve"> A.</w:t>
      </w:r>
      <w:r w:rsidRPr="007C6D26">
        <w:rPr>
          <w:rFonts w:ascii="Times New Roman" w:hAnsi="Times New Roman" w:cs="Times New Roman"/>
          <w:color w:val="231F20"/>
          <w:sz w:val="24"/>
          <w:szCs w:val="24"/>
        </w:rPr>
        <w:t xml:space="preserve"> </w:t>
      </w:r>
      <w:proofErr w:type="spellStart"/>
      <w:r w:rsidRPr="007C6D26">
        <w:rPr>
          <w:rFonts w:ascii="Times New Roman" w:hAnsi="Times New Roman" w:cs="Times New Roman"/>
          <w:color w:val="231F20"/>
          <w:sz w:val="24"/>
          <w:szCs w:val="24"/>
        </w:rPr>
        <w:t>Mensah</w:t>
      </w:r>
      <w:proofErr w:type="spellEnd"/>
      <w:r>
        <w:rPr>
          <w:rFonts w:ascii="Times New Roman" w:hAnsi="Times New Roman" w:cs="Times New Roman"/>
          <w:color w:val="231F20"/>
          <w:sz w:val="24"/>
          <w:szCs w:val="24"/>
        </w:rPr>
        <w:t>,</w:t>
      </w:r>
      <w:r w:rsidRPr="007C6D26">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O. </w:t>
      </w:r>
      <w:proofErr w:type="spellStart"/>
      <w:r w:rsidRPr="007C6D26">
        <w:rPr>
          <w:rFonts w:ascii="Times New Roman" w:hAnsi="Times New Roman" w:cs="Times New Roman"/>
          <w:color w:val="231F20"/>
          <w:sz w:val="24"/>
          <w:szCs w:val="24"/>
        </w:rPr>
        <w:t>Antwi</w:t>
      </w:r>
      <w:proofErr w:type="spellEnd"/>
      <w:r w:rsidRPr="007C6D26">
        <w:rPr>
          <w:rFonts w:ascii="Times New Roman" w:hAnsi="Times New Roman" w:cs="Times New Roman"/>
          <w:color w:val="231F20"/>
          <w:sz w:val="24"/>
          <w:szCs w:val="24"/>
        </w:rPr>
        <w:t xml:space="preserve"> and </w:t>
      </w:r>
      <w:r>
        <w:rPr>
          <w:rFonts w:ascii="Times New Roman" w:hAnsi="Times New Roman" w:cs="Times New Roman"/>
          <w:color w:val="231F20"/>
          <w:sz w:val="24"/>
          <w:szCs w:val="24"/>
        </w:rPr>
        <w:t xml:space="preserve">P. </w:t>
      </w:r>
      <w:proofErr w:type="spellStart"/>
      <w:r w:rsidRPr="007C6D26">
        <w:rPr>
          <w:rFonts w:ascii="Times New Roman" w:hAnsi="Times New Roman" w:cs="Times New Roman"/>
          <w:color w:val="231F20"/>
          <w:sz w:val="24"/>
          <w:szCs w:val="24"/>
        </w:rPr>
        <w:t>Kumi</w:t>
      </w:r>
      <w:proofErr w:type="spellEnd"/>
      <w:r>
        <w:rPr>
          <w:rFonts w:ascii="Times New Roman" w:hAnsi="Times New Roman" w:cs="Times New Roman"/>
          <w:color w:val="231F20"/>
          <w:sz w:val="24"/>
          <w:szCs w:val="24"/>
        </w:rPr>
        <w:t>,</w:t>
      </w:r>
      <w:r w:rsidRPr="007C6D26">
        <w:rPr>
          <w:rFonts w:ascii="Times New Roman" w:hAnsi="Times New Roman" w:cs="Times New Roman"/>
          <w:color w:val="231F20"/>
          <w:sz w:val="24"/>
          <w:szCs w:val="24"/>
        </w:rPr>
        <w:t xml:space="preserve"> ‘</w:t>
      </w:r>
      <w:r w:rsidRPr="007C6D26">
        <w:rPr>
          <w:rFonts w:ascii="Times New Roman" w:hAnsi="Times New Roman" w:cs="Times New Roman"/>
          <w:bCs/>
          <w:color w:val="231F20"/>
          <w:sz w:val="24"/>
          <w:szCs w:val="24"/>
        </w:rPr>
        <w:t>Modeling the Volatility of GHC_USD Exchange Rate Using GARCH Model’, European Journal of Business and Management</w:t>
      </w:r>
      <w:r>
        <w:rPr>
          <w:rFonts w:ascii="Times New Roman" w:hAnsi="Times New Roman" w:cs="Times New Roman"/>
          <w:bCs/>
          <w:color w:val="231F20"/>
          <w:sz w:val="24"/>
          <w:szCs w:val="24"/>
        </w:rPr>
        <w:t>, Volume 5, no. 32, 2013,</w:t>
      </w:r>
      <w:r w:rsidRPr="007C6D26">
        <w:rPr>
          <w:rFonts w:ascii="Times New Roman" w:hAnsi="Times New Roman" w:cs="Times New Roman"/>
          <w:bCs/>
          <w:color w:val="231F20"/>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color w:val="231F20"/>
          <w:sz w:val="24"/>
          <w:szCs w:val="24"/>
        </w:rPr>
        <w:t>140 – 147.</w:t>
      </w:r>
    </w:p>
    <w:p w:rsidR="00EB136C" w:rsidRPr="007C6D26" w:rsidRDefault="00EB136C" w:rsidP="00EB136C">
      <w:pPr>
        <w:autoSpaceDE w:val="0"/>
        <w:autoSpaceDN w:val="0"/>
        <w:adjustRightInd w:val="0"/>
        <w:spacing w:line="480" w:lineRule="auto"/>
        <w:jc w:val="both"/>
        <w:rPr>
          <w:rFonts w:ascii="Times New Roman" w:hAnsi="Times New Roman" w:cs="Times New Roman"/>
          <w:bCs/>
          <w:color w:val="231F20"/>
          <w:sz w:val="24"/>
          <w:szCs w:val="24"/>
        </w:rPr>
      </w:pPr>
      <w:r>
        <w:rPr>
          <w:rFonts w:ascii="Times New Roman" w:hAnsi="Times New Roman" w:cs="Times New Roman"/>
          <w:iCs/>
          <w:sz w:val="24"/>
          <w:szCs w:val="24"/>
        </w:rPr>
        <w:t xml:space="preserve">[14] D. </w:t>
      </w:r>
      <w:proofErr w:type="spellStart"/>
      <w:r>
        <w:rPr>
          <w:rFonts w:ascii="Times New Roman" w:hAnsi="Times New Roman" w:cs="Times New Roman"/>
          <w:bCs/>
          <w:color w:val="231F20"/>
          <w:sz w:val="24"/>
          <w:szCs w:val="24"/>
        </w:rPr>
        <w:t>Ntwiga</w:t>
      </w:r>
      <w:proofErr w:type="spellEnd"/>
      <w:r>
        <w:rPr>
          <w:rFonts w:ascii="Times New Roman" w:hAnsi="Times New Roman" w:cs="Times New Roman"/>
          <w:bCs/>
          <w:color w:val="231F20"/>
          <w:sz w:val="24"/>
          <w:szCs w:val="24"/>
        </w:rPr>
        <w:t>,</w:t>
      </w:r>
      <w:r w:rsidRPr="007C6D26">
        <w:rPr>
          <w:rFonts w:ascii="Times New Roman" w:hAnsi="Times New Roman" w:cs="Times New Roman"/>
          <w:bCs/>
          <w:color w:val="231F20"/>
          <w:sz w:val="24"/>
          <w:szCs w:val="24"/>
        </w:rPr>
        <w:t xml:space="preserve"> ‘Election Violence Shocks in Kenya and its Effect on Foreign Currency Exchange Rates’, KJBM, </w:t>
      </w:r>
      <w:r>
        <w:rPr>
          <w:rFonts w:ascii="Times New Roman" w:hAnsi="Times New Roman" w:cs="Times New Roman"/>
          <w:bCs/>
          <w:color w:val="231F20"/>
          <w:sz w:val="24"/>
          <w:szCs w:val="24"/>
        </w:rPr>
        <w:t xml:space="preserve">Volume 4, no. </w:t>
      </w:r>
      <w:r w:rsidRPr="007C6D26">
        <w:rPr>
          <w:rFonts w:ascii="Times New Roman" w:hAnsi="Times New Roman" w:cs="Times New Roman"/>
          <w:bCs/>
          <w:color w:val="231F20"/>
          <w:sz w:val="24"/>
          <w:szCs w:val="24"/>
        </w:rPr>
        <w:t>1</w:t>
      </w:r>
      <w:r>
        <w:rPr>
          <w:rFonts w:ascii="Times New Roman" w:hAnsi="Times New Roman" w:cs="Times New Roman"/>
          <w:bCs/>
          <w:color w:val="231F20"/>
          <w:sz w:val="24"/>
          <w:szCs w:val="24"/>
        </w:rPr>
        <w:t>, 2012,</w:t>
      </w:r>
      <w:r w:rsidRPr="007C6D26">
        <w:rPr>
          <w:rFonts w:ascii="Times New Roman" w:hAnsi="Times New Roman" w:cs="Times New Roman"/>
          <w:bCs/>
          <w:color w:val="231F20"/>
          <w:sz w:val="24"/>
          <w:szCs w:val="24"/>
        </w:rPr>
        <w:t xml:space="preserve"> </w:t>
      </w:r>
      <w:r>
        <w:rPr>
          <w:rFonts w:ascii="Times New Roman" w:hAnsi="Times New Roman" w:cs="Times New Roman"/>
          <w:bCs/>
          <w:iCs/>
          <w:sz w:val="24"/>
          <w:szCs w:val="24"/>
        </w:rPr>
        <w:t xml:space="preserve">pp. </w:t>
      </w:r>
      <w:r w:rsidRPr="007C6D26">
        <w:rPr>
          <w:rFonts w:ascii="Times New Roman" w:hAnsi="Times New Roman" w:cs="Times New Roman"/>
          <w:bCs/>
          <w:color w:val="231F20"/>
          <w:sz w:val="24"/>
          <w:szCs w:val="24"/>
        </w:rPr>
        <w:t>1 – 10.</w:t>
      </w:r>
    </w:p>
    <w:p w:rsidR="00EB136C" w:rsidRPr="007C6D26" w:rsidRDefault="00EB136C" w:rsidP="00EB136C">
      <w:pPr>
        <w:autoSpaceDE w:val="0"/>
        <w:autoSpaceDN w:val="0"/>
        <w:adjustRightInd w:val="0"/>
        <w:spacing w:before="200" w:line="480" w:lineRule="auto"/>
        <w:jc w:val="both"/>
        <w:rPr>
          <w:rFonts w:ascii="Times New Roman" w:hAnsi="Times New Roman" w:cs="Times New Roman"/>
          <w:sz w:val="24"/>
          <w:szCs w:val="24"/>
        </w:rPr>
      </w:pPr>
      <w:r>
        <w:rPr>
          <w:rFonts w:ascii="Times New Roman" w:hAnsi="Times New Roman" w:cs="Times New Roman"/>
          <w:iCs/>
          <w:sz w:val="24"/>
          <w:szCs w:val="24"/>
        </w:rPr>
        <w:t xml:space="preserve">[15] D. </w:t>
      </w:r>
      <w:proofErr w:type="spellStart"/>
      <w:r w:rsidRPr="007C6D26">
        <w:rPr>
          <w:rFonts w:ascii="Times New Roman" w:hAnsi="Times New Roman" w:cs="Times New Roman"/>
          <w:sz w:val="24"/>
          <w:szCs w:val="24"/>
        </w:rPr>
        <w:t>Nelson</w:t>
      </w:r>
      <w:proofErr w:type="gramStart"/>
      <w:r w:rsidRPr="007C6D26">
        <w:rPr>
          <w:rFonts w:ascii="Times New Roman" w:hAnsi="Times New Roman" w:cs="Times New Roman"/>
          <w:sz w:val="24"/>
          <w:szCs w:val="24"/>
        </w:rPr>
        <w:t>,‘Conditional</w:t>
      </w:r>
      <w:proofErr w:type="spellEnd"/>
      <w:proofErr w:type="gramEnd"/>
      <w:r w:rsidRPr="007C6D26">
        <w:rPr>
          <w:rFonts w:ascii="Times New Roman" w:hAnsi="Times New Roman" w:cs="Times New Roman"/>
          <w:sz w:val="24"/>
          <w:szCs w:val="24"/>
        </w:rPr>
        <w:t xml:space="preserve"> </w:t>
      </w:r>
      <w:proofErr w:type="spellStart"/>
      <w:r w:rsidRPr="007C6D26">
        <w:rPr>
          <w:rFonts w:ascii="Times New Roman" w:hAnsi="Times New Roman" w:cs="Times New Roman"/>
          <w:sz w:val="24"/>
          <w:szCs w:val="24"/>
        </w:rPr>
        <w:t>heteroskedasticity</w:t>
      </w:r>
      <w:proofErr w:type="spellEnd"/>
      <w:r w:rsidRPr="007C6D26">
        <w:rPr>
          <w:rFonts w:ascii="Times New Roman" w:hAnsi="Times New Roman" w:cs="Times New Roman"/>
          <w:sz w:val="24"/>
          <w:szCs w:val="24"/>
        </w:rPr>
        <w:t xml:space="preserve"> in Asset Returns, A New Approach’, </w:t>
      </w:r>
      <w:proofErr w:type="spellStart"/>
      <w:r w:rsidRPr="007C6D26">
        <w:rPr>
          <w:rFonts w:ascii="Times New Roman" w:hAnsi="Times New Roman" w:cs="Times New Roman"/>
          <w:sz w:val="24"/>
          <w:szCs w:val="24"/>
        </w:rPr>
        <w:t>Econometrica</w:t>
      </w:r>
      <w:proofErr w:type="spellEnd"/>
      <w:r w:rsidRPr="007C6D26">
        <w:rPr>
          <w:rFonts w:ascii="Times New Roman" w:hAnsi="Times New Roman" w:cs="Times New Roman"/>
          <w:sz w:val="24"/>
          <w:szCs w:val="24"/>
        </w:rPr>
        <w:t xml:space="preserve">, </w:t>
      </w:r>
      <w:r>
        <w:rPr>
          <w:rFonts w:ascii="Times New Roman" w:hAnsi="Times New Roman" w:cs="Times New Roman"/>
          <w:sz w:val="24"/>
          <w:szCs w:val="24"/>
        </w:rPr>
        <w:t xml:space="preserve">Volume </w:t>
      </w:r>
      <w:r w:rsidRPr="007C6D26">
        <w:rPr>
          <w:rFonts w:ascii="Times New Roman" w:hAnsi="Times New Roman" w:cs="Times New Roman"/>
          <w:sz w:val="24"/>
          <w:szCs w:val="24"/>
        </w:rPr>
        <w:t>59</w:t>
      </w:r>
      <w:r>
        <w:rPr>
          <w:rFonts w:ascii="Times New Roman" w:hAnsi="Times New Roman" w:cs="Times New Roman"/>
          <w:sz w:val="24"/>
          <w:szCs w:val="24"/>
        </w:rPr>
        <w:t xml:space="preserve">, 1991, </w:t>
      </w:r>
      <w:r>
        <w:rPr>
          <w:rFonts w:ascii="Times New Roman" w:hAnsi="Times New Roman" w:cs="Times New Roman"/>
          <w:bCs/>
          <w:iCs/>
          <w:sz w:val="24"/>
          <w:szCs w:val="24"/>
        </w:rPr>
        <w:t xml:space="preserve">pp. </w:t>
      </w:r>
      <w:r w:rsidRPr="007C6D26">
        <w:rPr>
          <w:rFonts w:ascii="Times New Roman" w:hAnsi="Times New Roman" w:cs="Times New Roman"/>
          <w:sz w:val="24"/>
          <w:szCs w:val="24"/>
        </w:rPr>
        <w:t>347-370.</w:t>
      </w:r>
    </w:p>
    <w:p w:rsidR="00EB136C" w:rsidRPr="007C6D26" w:rsidRDefault="00EB136C" w:rsidP="00EB136C">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[16] F. </w:t>
      </w:r>
      <w:proofErr w:type="spellStart"/>
      <w:r>
        <w:rPr>
          <w:rFonts w:ascii="Times New Roman" w:hAnsi="Times New Roman" w:cs="Times New Roman"/>
          <w:sz w:val="24"/>
          <w:szCs w:val="24"/>
        </w:rPr>
        <w:t>Mwega</w:t>
      </w:r>
      <w:proofErr w:type="spellEnd"/>
      <w:r>
        <w:rPr>
          <w:rFonts w:ascii="Times New Roman" w:hAnsi="Times New Roman" w:cs="Times New Roman"/>
          <w:sz w:val="24"/>
          <w:szCs w:val="24"/>
        </w:rPr>
        <w:t xml:space="preserve">, </w:t>
      </w:r>
      <w:r w:rsidRPr="007C6D26">
        <w:rPr>
          <w:rFonts w:ascii="Times New Roman" w:hAnsi="Times New Roman" w:cs="Times New Roman"/>
          <w:sz w:val="24"/>
          <w:szCs w:val="24"/>
        </w:rPr>
        <w:t xml:space="preserve">‘Global Financial Crisis Discussion Series Paper 17: Kenya Phase 2’, </w:t>
      </w:r>
      <w:proofErr w:type="gramStart"/>
      <w:r w:rsidRPr="007C6D26">
        <w:rPr>
          <w:rFonts w:ascii="Times New Roman" w:hAnsi="Times New Roman" w:cs="Times New Roman"/>
          <w:sz w:val="24"/>
          <w:szCs w:val="24"/>
        </w:rPr>
        <w:t>A</w:t>
      </w:r>
      <w:proofErr w:type="gramEnd"/>
      <w:r w:rsidRPr="007C6D26">
        <w:rPr>
          <w:rFonts w:ascii="Times New Roman" w:hAnsi="Times New Roman" w:cs="Times New Roman"/>
          <w:sz w:val="24"/>
          <w:szCs w:val="24"/>
        </w:rPr>
        <w:t xml:space="preserve"> publication of the Overseas Development Institute</w:t>
      </w:r>
      <w:r>
        <w:rPr>
          <w:rFonts w:ascii="Times New Roman" w:hAnsi="Times New Roman" w:cs="Times New Roman"/>
          <w:sz w:val="24"/>
          <w:szCs w:val="24"/>
        </w:rPr>
        <w:t>, 2010</w:t>
      </w:r>
      <w:r w:rsidRPr="007C6D26">
        <w:rPr>
          <w:rFonts w:ascii="Times New Roman" w:hAnsi="Times New Roman" w:cs="Times New Roman"/>
          <w:sz w:val="24"/>
          <w:szCs w:val="24"/>
        </w:rPr>
        <w:t>.</w:t>
      </w:r>
    </w:p>
    <w:p w:rsidR="00EB136C" w:rsidRDefault="00EB136C" w:rsidP="00EB136C">
      <w:p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[17] N. </w:t>
      </w:r>
      <w:r w:rsidRPr="007C6D26">
        <w:rPr>
          <w:rFonts w:ascii="Times New Roman" w:hAnsi="Times New Roman" w:cs="Times New Roman"/>
          <w:iCs/>
          <w:sz w:val="24"/>
          <w:szCs w:val="24"/>
        </w:rPr>
        <w:t xml:space="preserve">Ben </w:t>
      </w:r>
      <w:proofErr w:type="spellStart"/>
      <w:r w:rsidRPr="007C6D26">
        <w:rPr>
          <w:rFonts w:ascii="Times New Roman" w:hAnsi="Times New Roman" w:cs="Times New Roman"/>
          <w:iCs/>
          <w:sz w:val="24"/>
          <w:szCs w:val="24"/>
        </w:rPr>
        <w:t>Ltaifa</w:t>
      </w:r>
      <w:proofErr w:type="spellEnd"/>
      <w:r w:rsidRPr="007C6D26">
        <w:rPr>
          <w:rFonts w:ascii="Times New Roman" w:hAnsi="Times New Roman" w:cs="Times New Roman"/>
          <w:iCs/>
          <w:sz w:val="24"/>
          <w:szCs w:val="24"/>
        </w:rPr>
        <w:t>,</w:t>
      </w:r>
      <w:r>
        <w:rPr>
          <w:rFonts w:ascii="Times New Roman" w:hAnsi="Times New Roman" w:cs="Times New Roman"/>
          <w:iCs/>
          <w:sz w:val="24"/>
          <w:szCs w:val="24"/>
        </w:rPr>
        <w:t xml:space="preserve"> S. </w:t>
      </w:r>
      <w:proofErr w:type="spellStart"/>
      <w:r>
        <w:rPr>
          <w:rFonts w:ascii="Times New Roman" w:hAnsi="Times New Roman" w:cs="Times New Roman"/>
          <w:iCs/>
          <w:sz w:val="24"/>
          <w:szCs w:val="24"/>
        </w:rPr>
        <w:t>Kaendera</w:t>
      </w:r>
      <w:proofErr w:type="spellEnd"/>
      <w:r w:rsidRPr="007C6D26">
        <w:rPr>
          <w:rFonts w:ascii="Times New Roman" w:hAnsi="Times New Roman" w:cs="Times New Roman"/>
          <w:iCs/>
          <w:sz w:val="24"/>
          <w:szCs w:val="24"/>
        </w:rPr>
        <w:t xml:space="preserve"> and</w:t>
      </w:r>
      <w:r>
        <w:rPr>
          <w:rFonts w:ascii="Times New Roman" w:hAnsi="Times New Roman" w:cs="Times New Roman"/>
          <w:iCs/>
          <w:sz w:val="24"/>
          <w:szCs w:val="24"/>
        </w:rPr>
        <w:t xml:space="preserve"> S.</w:t>
      </w:r>
      <w:r w:rsidRPr="007C6D26">
        <w:rPr>
          <w:rFonts w:ascii="Times New Roman" w:hAnsi="Times New Roman" w:cs="Times New Roman"/>
          <w:iCs/>
          <w:sz w:val="24"/>
          <w:szCs w:val="24"/>
        </w:rPr>
        <w:t xml:space="preserve"> Dixit</w:t>
      </w:r>
      <w:r>
        <w:rPr>
          <w:rFonts w:ascii="Times New Roman" w:hAnsi="Times New Roman" w:cs="Times New Roman"/>
          <w:iCs/>
          <w:sz w:val="24"/>
          <w:szCs w:val="24"/>
        </w:rPr>
        <w:t>,</w:t>
      </w:r>
      <w:r w:rsidRPr="007C6D26">
        <w:rPr>
          <w:rFonts w:ascii="Times New Roman" w:hAnsi="Times New Roman" w:cs="Times New Roman"/>
          <w:iCs/>
          <w:sz w:val="24"/>
          <w:szCs w:val="24"/>
        </w:rPr>
        <w:t xml:space="preserve"> </w:t>
      </w:r>
      <w:r w:rsidRPr="007C6D26">
        <w:rPr>
          <w:rFonts w:ascii="Times New Roman" w:hAnsi="Times New Roman" w:cs="Times New Roman"/>
          <w:sz w:val="24"/>
          <w:szCs w:val="24"/>
        </w:rPr>
        <w:t xml:space="preserve">‘Impact of the global financial crisis on exchange rates and policies in Sub-Saharan Africa’, </w:t>
      </w:r>
      <w:r w:rsidRPr="007C6D26">
        <w:rPr>
          <w:rFonts w:ascii="Times New Roman" w:hAnsi="Times New Roman" w:cs="Times New Roman"/>
          <w:iCs/>
          <w:sz w:val="24"/>
          <w:szCs w:val="24"/>
        </w:rPr>
        <w:t>International Monetary Fund (IMF), African Department</w:t>
      </w:r>
      <w:r>
        <w:rPr>
          <w:rFonts w:ascii="Times New Roman" w:hAnsi="Times New Roman" w:cs="Times New Roman"/>
          <w:iCs/>
          <w:sz w:val="24"/>
          <w:szCs w:val="24"/>
        </w:rPr>
        <w:t>, 2009,</w:t>
      </w:r>
      <w:r w:rsidRPr="007C6D26">
        <w:rPr>
          <w:rFonts w:ascii="Times New Roman" w:hAnsi="Times New Roman" w:cs="Times New Roman"/>
          <w:sz w:val="24"/>
          <w:szCs w:val="24"/>
        </w:rPr>
        <w:t xml:space="preserve"> </w:t>
      </w:r>
      <w:hyperlink r:id="rId133" w:history="1">
        <w:r w:rsidRPr="007C6D26">
          <w:rPr>
            <w:rStyle w:val="Hyperlink"/>
            <w:rFonts w:ascii="Times New Roman" w:hAnsi="Times New Roman" w:cs="Times New Roman"/>
            <w:sz w:val="24"/>
            <w:szCs w:val="24"/>
          </w:rPr>
          <w:t>www.imf.org/external/pubs/ft/dp/2009/afr0903.pdf</w:t>
        </w:r>
      </w:hyperlink>
      <w:r w:rsidRPr="007C6D26">
        <w:rPr>
          <w:rFonts w:ascii="Times New Roman" w:hAnsi="Times New Roman" w:cs="Times New Roman"/>
          <w:sz w:val="24"/>
          <w:szCs w:val="24"/>
        </w:rPr>
        <w:t>.</w:t>
      </w:r>
    </w:p>
    <w:p w:rsidR="00EB136C" w:rsidRPr="007C6D26" w:rsidRDefault="00EB136C" w:rsidP="00EB136C">
      <w:pPr>
        <w:spacing w:line="480" w:lineRule="auto"/>
        <w:jc w:val="both"/>
        <w:rPr>
          <w:rFonts w:ascii="Times New Roman" w:hAnsi="Times New Roman" w:cs="Times New Roman"/>
          <w:sz w:val="24"/>
          <w:szCs w:val="24"/>
        </w:rPr>
      </w:pPr>
      <w:r>
        <w:rPr>
          <w:rFonts w:ascii="Times New Roman" w:hAnsi="Times New Roman" w:cs="Times New Roman"/>
          <w:iCs/>
          <w:sz w:val="24"/>
          <w:szCs w:val="24"/>
        </w:rPr>
        <w:lastRenderedPageBreak/>
        <w:t xml:space="preserve">[18] S. </w:t>
      </w:r>
      <w:proofErr w:type="spellStart"/>
      <w:r>
        <w:rPr>
          <w:rFonts w:ascii="Times New Roman" w:hAnsi="Times New Roman" w:cs="Times New Roman"/>
          <w:sz w:val="24"/>
          <w:szCs w:val="24"/>
        </w:rPr>
        <w:t>Kilonzo</w:t>
      </w:r>
      <w:proofErr w:type="spellEnd"/>
      <w:r>
        <w:rPr>
          <w:rFonts w:ascii="Times New Roman" w:hAnsi="Times New Roman" w:cs="Times New Roman"/>
          <w:sz w:val="24"/>
          <w:szCs w:val="24"/>
        </w:rPr>
        <w:t>,</w:t>
      </w:r>
      <w:r w:rsidRPr="007C6D26">
        <w:rPr>
          <w:rFonts w:ascii="Times New Roman" w:hAnsi="Times New Roman" w:cs="Times New Roman"/>
          <w:sz w:val="24"/>
          <w:szCs w:val="24"/>
        </w:rPr>
        <w:t xml:space="preserve"> ‘The Global Financial Crisis: </w:t>
      </w:r>
      <w:proofErr w:type="gramStart"/>
      <w:r w:rsidRPr="007C6D26">
        <w:rPr>
          <w:rFonts w:ascii="Times New Roman" w:hAnsi="Times New Roman" w:cs="Times New Roman"/>
          <w:sz w:val="24"/>
          <w:szCs w:val="24"/>
        </w:rPr>
        <w:t>Its</w:t>
      </w:r>
      <w:proofErr w:type="gramEnd"/>
      <w:r w:rsidRPr="007C6D26">
        <w:rPr>
          <w:rFonts w:ascii="Times New Roman" w:hAnsi="Times New Roman" w:cs="Times New Roman"/>
          <w:sz w:val="24"/>
          <w:szCs w:val="24"/>
        </w:rPr>
        <w:t xml:space="preserve"> Impact on Kenya and Possible Strategies to Mitigate the Effects’, Presentation, 14 November</w:t>
      </w:r>
      <w:r>
        <w:rPr>
          <w:rFonts w:ascii="Times New Roman" w:hAnsi="Times New Roman" w:cs="Times New Roman"/>
          <w:sz w:val="24"/>
          <w:szCs w:val="24"/>
        </w:rPr>
        <w:t>, 2008</w:t>
      </w:r>
      <w:r w:rsidRPr="007C6D26">
        <w:rPr>
          <w:rFonts w:ascii="Times New Roman" w:hAnsi="Times New Roman" w:cs="Times New Roman"/>
          <w:sz w:val="24"/>
          <w:szCs w:val="24"/>
        </w:rPr>
        <w:t>.</w:t>
      </w:r>
    </w:p>
    <w:p w:rsidR="00EB136C" w:rsidRPr="007C6D26" w:rsidRDefault="00EB136C" w:rsidP="00EB136C">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[19] O. </w:t>
      </w:r>
      <w:proofErr w:type="spellStart"/>
      <w:r>
        <w:rPr>
          <w:rFonts w:ascii="Times New Roman" w:hAnsi="Times New Roman" w:cs="Times New Roman"/>
          <w:sz w:val="24"/>
          <w:szCs w:val="24"/>
        </w:rPr>
        <w:t>Anyanwu</w:t>
      </w:r>
      <w:proofErr w:type="spellEnd"/>
      <w:r>
        <w:rPr>
          <w:rFonts w:ascii="Times New Roman" w:hAnsi="Times New Roman" w:cs="Times New Roman"/>
          <w:sz w:val="24"/>
          <w:szCs w:val="24"/>
        </w:rPr>
        <w:t xml:space="preserve">, </w:t>
      </w:r>
      <w:r w:rsidRPr="007C6D26">
        <w:rPr>
          <w:rFonts w:ascii="Times New Roman" w:hAnsi="Times New Roman" w:cs="Times New Roman"/>
          <w:sz w:val="24"/>
          <w:szCs w:val="24"/>
        </w:rPr>
        <w:t>‘The Impact of the Global Financial Crisis on Sub-Saharan Africa’, Pepperdine Policy Review</w:t>
      </w:r>
      <w:r>
        <w:rPr>
          <w:rFonts w:ascii="Times New Roman" w:hAnsi="Times New Roman" w:cs="Times New Roman"/>
          <w:sz w:val="24"/>
          <w:szCs w:val="24"/>
        </w:rPr>
        <w:t xml:space="preserve">, Volume </w:t>
      </w:r>
      <w:r w:rsidRPr="007C6D26">
        <w:rPr>
          <w:rFonts w:ascii="Times New Roman" w:hAnsi="Times New Roman" w:cs="Times New Roman"/>
          <w:sz w:val="24"/>
          <w:szCs w:val="24"/>
        </w:rPr>
        <w:t>4, Article 6</w:t>
      </w:r>
      <w:r>
        <w:rPr>
          <w:rFonts w:ascii="Times New Roman" w:hAnsi="Times New Roman" w:cs="Times New Roman"/>
          <w:sz w:val="24"/>
          <w:szCs w:val="24"/>
        </w:rPr>
        <w:t>, 2011</w:t>
      </w:r>
      <w:r w:rsidRPr="007C6D26">
        <w:rPr>
          <w:rFonts w:ascii="Times New Roman" w:hAnsi="Times New Roman" w:cs="Times New Roman"/>
          <w:sz w:val="24"/>
          <w:szCs w:val="24"/>
        </w:rPr>
        <w:t>.</w:t>
      </w:r>
    </w:p>
    <w:p w:rsidR="00EB136C"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[20] J. </w:t>
      </w:r>
      <w:r>
        <w:rPr>
          <w:rFonts w:ascii="Times New Roman" w:hAnsi="Times New Roman" w:cs="Times New Roman"/>
          <w:sz w:val="24"/>
          <w:szCs w:val="24"/>
        </w:rPr>
        <w:t>Wang and M. Yang,</w:t>
      </w:r>
      <w:r w:rsidRPr="00CE6AB8">
        <w:rPr>
          <w:rFonts w:ascii="Times New Roman" w:hAnsi="Times New Roman" w:cs="Times New Roman"/>
          <w:sz w:val="24"/>
          <w:szCs w:val="24"/>
        </w:rPr>
        <w:t xml:space="preserve"> </w:t>
      </w:r>
      <w:r>
        <w:rPr>
          <w:rFonts w:ascii="Times New Roman" w:hAnsi="Times New Roman" w:cs="Times New Roman"/>
          <w:sz w:val="24"/>
          <w:szCs w:val="24"/>
        </w:rPr>
        <w:t>‘Asymmetric Volatility in the Foreign Exchange M</w:t>
      </w:r>
      <w:r w:rsidRPr="00CE6AB8">
        <w:rPr>
          <w:rFonts w:ascii="Times New Roman" w:hAnsi="Times New Roman" w:cs="Times New Roman"/>
          <w:sz w:val="24"/>
          <w:szCs w:val="24"/>
        </w:rPr>
        <w:t>arkets</w:t>
      </w:r>
      <w:r>
        <w:rPr>
          <w:rFonts w:ascii="Times New Roman" w:hAnsi="Times New Roman" w:cs="Times New Roman"/>
          <w:sz w:val="24"/>
          <w:szCs w:val="24"/>
        </w:rPr>
        <w:t>’,</w:t>
      </w:r>
      <w:r w:rsidRPr="00CE6AB8">
        <w:rPr>
          <w:rFonts w:ascii="Times New Roman" w:hAnsi="Times New Roman" w:cs="Times New Roman"/>
          <w:sz w:val="24"/>
          <w:szCs w:val="24"/>
        </w:rPr>
        <w:t xml:space="preserve"> Working</w:t>
      </w:r>
      <w:r>
        <w:rPr>
          <w:rFonts w:ascii="Times New Roman" w:hAnsi="Times New Roman" w:cs="Times New Roman"/>
          <w:sz w:val="24"/>
          <w:szCs w:val="24"/>
        </w:rPr>
        <w:t xml:space="preserve"> </w:t>
      </w:r>
      <w:r w:rsidRPr="00CE6AB8">
        <w:rPr>
          <w:rFonts w:ascii="Times New Roman" w:hAnsi="Times New Roman" w:cs="Times New Roman"/>
          <w:sz w:val="24"/>
          <w:szCs w:val="24"/>
        </w:rPr>
        <w:t>Paper, Faculty of Commerce and Economics, University of New South Wales, Sydney,</w:t>
      </w:r>
      <w:r>
        <w:rPr>
          <w:rFonts w:ascii="Times New Roman" w:hAnsi="Times New Roman" w:cs="Times New Roman"/>
          <w:sz w:val="24"/>
          <w:szCs w:val="24"/>
        </w:rPr>
        <w:t xml:space="preserve"> </w:t>
      </w:r>
      <w:r w:rsidRPr="00CE6AB8">
        <w:rPr>
          <w:rFonts w:ascii="Times New Roman" w:hAnsi="Times New Roman" w:cs="Times New Roman"/>
          <w:sz w:val="24"/>
          <w:szCs w:val="24"/>
        </w:rPr>
        <w:t xml:space="preserve"> Australia</w:t>
      </w:r>
      <w:r>
        <w:rPr>
          <w:rFonts w:ascii="Times New Roman" w:hAnsi="Times New Roman" w:cs="Times New Roman"/>
          <w:sz w:val="24"/>
          <w:szCs w:val="24"/>
        </w:rPr>
        <w:t>, 2006.</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sz w:val="24"/>
          <w:szCs w:val="24"/>
        </w:rPr>
        <w:t xml:space="preserve">[21] D. </w:t>
      </w:r>
      <w:proofErr w:type="spellStart"/>
      <w:r w:rsidRPr="007C6D26">
        <w:rPr>
          <w:rFonts w:ascii="Times New Roman" w:hAnsi="Times New Roman" w:cs="Times New Roman"/>
          <w:bCs/>
          <w:iCs/>
          <w:sz w:val="24"/>
          <w:szCs w:val="24"/>
        </w:rPr>
        <w:t>Avramov</w:t>
      </w:r>
      <w:proofErr w:type="spellEnd"/>
      <w:r w:rsidRPr="007C6D26">
        <w:rPr>
          <w:rFonts w:ascii="Times New Roman" w:hAnsi="Times New Roman" w:cs="Times New Roman"/>
          <w:bCs/>
          <w:iCs/>
          <w:sz w:val="24"/>
          <w:szCs w:val="24"/>
        </w:rPr>
        <w:t>,</w:t>
      </w:r>
      <w:r>
        <w:rPr>
          <w:rFonts w:ascii="Times New Roman" w:hAnsi="Times New Roman" w:cs="Times New Roman"/>
          <w:bCs/>
          <w:iCs/>
          <w:sz w:val="24"/>
          <w:szCs w:val="24"/>
        </w:rPr>
        <w:t xml:space="preserve"> T.</w:t>
      </w:r>
      <w:r w:rsidRPr="007C6D26">
        <w:rPr>
          <w:rFonts w:ascii="Times New Roman" w:hAnsi="Times New Roman" w:cs="Times New Roman"/>
          <w:bCs/>
          <w:iCs/>
          <w:sz w:val="24"/>
          <w:szCs w:val="24"/>
        </w:rPr>
        <w:t xml:space="preserve"> </w:t>
      </w:r>
      <w:proofErr w:type="spellStart"/>
      <w:r w:rsidRPr="007C6D26">
        <w:rPr>
          <w:rFonts w:ascii="Times New Roman" w:hAnsi="Times New Roman" w:cs="Times New Roman"/>
          <w:bCs/>
          <w:iCs/>
          <w:sz w:val="24"/>
          <w:szCs w:val="24"/>
        </w:rPr>
        <w:t>Chordia</w:t>
      </w:r>
      <w:proofErr w:type="spellEnd"/>
      <w:r w:rsidRPr="007C6D26">
        <w:rPr>
          <w:rFonts w:ascii="Times New Roman" w:hAnsi="Times New Roman" w:cs="Times New Roman"/>
          <w:bCs/>
          <w:iCs/>
          <w:sz w:val="24"/>
          <w:szCs w:val="24"/>
        </w:rPr>
        <w:t xml:space="preserve"> and</w:t>
      </w:r>
      <w:r>
        <w:rPr>
          <w:rFonts w:ascii="Times New Roman" w:hAnsi="Times New Roman" w:cs="Times New Roman"/>
          <w:bCs/>
          <w:iCs/>
          <w:sz w:val="24"/>
          <w:szCs w:val="24"/>
        </w:rPr>
        <w:t xml:space="preserve"> A.</w:t>
      </w:r>
      <w:r w:rsidRPr="007C6D26">
        <w:rPr>
          <w:rFonts w:ascii="Times New Roman" w:hAnsi="Times New Roman" w:cs="Times New Roman"/>
          <w:bCs/>
          <w:iCs/>
          <w:sz w:val="24"/>
          <w:szCs w:val="24"/>
        </w:rPr>
        <w:t xml:space="preserve"> </w:t>
      </w:r>
      <w:proofErr w:type="spellStart"/>
      <w:r w:rsidRPr="007C6D26">
        <w:rPr>
          <w:rFonts w:ascii="Times New Roman" w:hAnsi="Times New Roman" w:cs="Times New Roman"/>
          <w:bCs/>
          <w:iCs/>
          <w:sz w:val="24"/>
          <w:szCs w:val="24"/>
        </w:rPr>
        <w:t>Goyal</w:t>
      </w:r>
      <w:proofErr w:type="spellEnd"/>
      <w:r w:rsidRPr="007C6D26">
        <w:rPr>
          <w:rFonts w:ascii="Times New Roman" w:hAnsi="Times New Roman" w:cs="Times New Roman"/>
          <w:bCs/>
          <w:iCs/>
          <w:sz w:val="24"/>
          <w:szCs w:val="24"/>
        </w:rPr>
        <w:t>, ‘The Impact of Trades on Daily Volatility’, Review of Financial Studies</w:t>
      </w:r>
      <w:r>
        <w:rPr>
          <w:rFonts w:ascii="Times New Roman" w:hAnsi="Times New Roman" w:cs="Times New Roman"/>
          <w:bCs/>
          <w:iCs/>
          <w:sz w:val="24"/>
          <w:szCs w:val="24"/>
        </w:rPr>
        <w:t>,</w:t>
      </w:r>
      <w:r w:rsidRPr="007C6D26">
        <w:t xml:space="preserve"> </w:t>
      </w:r>
      <w:r w:rsidRPr="0040265B">
        <w:rPr>
          <w:rFonts w:ascii="Times New Roman" w:hAnsi="Times New Roman" w:cs="Times New Roman"/>
          <w:sz w:val="24"/>
        </w:rPr>
        <w:t xml:space="preserve">Volume </w:t>
      </w:r>
      <w:r>
        <w:rPr>
          <w:rFonts w:ascii="Times New Roman" w:hAnsi="Times New Roman" w:cs="Times New Roman"/>
          <w:bCs/>
          <w:iCs/>
          <w:sz w:val="24"/>
          <w:szCs w:val="24"/>
        </w:rPr>
        <w:t>19, 2006, pp.</w:t>
      </w:r>
      <w:r w:rsidRPr="007C6D26">
        <w:rPr>
          <w:rFonts w:ascii="Times New Roman" w:hAnsi="Times New Roman" w:cs="Times New Roman"/>
          <w:bCs/>
          <w:iCs/>
          <w:sz w:val="24"/>
          <w:szCs w:val="24"/>
        </w:rPr>
        <w:t xml:space="preserve"> 1241-1278</w:t>
      </w:r>
    </w:p>
    <w:p w:rsidR="00EB136C" w:rsidRDefault="00EB136C" w:rsidP="00EB136C">
      <w:p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[22] R. </w:t>
      </w:r>
      <w:proofErr w:type="spellStart"/>
      <w:r w:rsidRPr="007C6D26">
        <w:rPr>
          <w:rFonts w:ascii="Times New Roman" w:hAnsi="Times New Roman" w:cs="Times New Roman"/>
          <w:bCs/>
          <w:iCs/>
          <w:sz w:val="24"/>
          <w:szCs w:val="24"/>
        </w:rPr>
        <w:t>Gen</w:t>
      </w:r>
      <w:r>
        <w:rPr>
          <w:rFonts w:ascii="Times New Roman" w:hAnsi="Times New Roman" w:cs="Times New Roman"/>
          <w:bCs/>
          <w:iCs/>
          <w:sz w:val="24"/>
          <w:szCs w:val="24"/>
        </w:rPr>
        <w:t>c</w:t>
      </w:r>
      <w:r w:rsidRPr="007C6D26">
        <w:rPr>
          <w:rFonts w:ascii="Times New Roman" w:hAnsi="Times New Roman" w:cs="Times New Roman"/>
          <w:bCs/>
          <w:iCs/>
          <w:sz w:val="24"/>
          <w:szCs w:val="24"/>
        </w:rPr>
        <w:t>ay</w:t>
      </w:r>
      <w:proofErr w:type="spellEnd"/>
      <w:r w:rsidRPr="007C6D26">
        <w:rPr>
          <w:rFonts w:ascii="Times New Roman" w:hAnsi="Times New Roman" w:cs="Times New Roman"/>
          <w:bCs/>
          <w:iCs/>
          <w:sz w:val="24"/>
          <w:szCs w:val="24"/>
        </w:rPr>
        <w:t>,</w:t>
      </w:r>
      <w:r>
        <w:rPr>
          <w:rFonts w:ascii="Times New Roman" w:hAnsi="Times New Roman" w:cs="Times New Roman"/>
          <w:bCs/>
          <w:iCs/>
          <w:sz w:val="24"/>
          <w:szCs w:val="24"/>
        </w:rPr>
        <w:t xml:space="preserve"> M.</w:t>
      </w:r>
      <w:r w:rsidRPr="007C6D26">
        <w:rPr>
          <w:rFonts w:ascii="Times New Roman" w:hAnsi="Times New Roman" w:cs="Times New Roman"/>
          <w:bCs/>
          <w:iCs/>
          <w:sz w:val="24"/>
          <w:szCs w:val="24"/>
        </w:rPr>
        <w:t xml:space="preserve"> </w:t>
      </w:r>
      <w:proofErr w:type="spellStart"/>
      <w:r w:rsidRPr="007C6D26">
        <w:rPr>
          <w:rFonts w:ascii="Times New Roman" w:hAnsi="Times New Roman" w:cs="Times New Roman"/>
          <w:bCs/>
          <w:iCs/>
          <w:sz w:val="24"/>
          <w:szCs w:val="24"/>
        </w:rPr>
        <w:t>Dacorogna</w:t>
      </w:r>
      <w:proofErr w:type="spellEnd"/>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R. Olsen and O. </w:t>
      </w:r>
      <w:proofErr w:type="spellStart"/>
      <w:r>
        <w:rPr>
          <w:rFonts w:ascii="Times New Roman" w:hAnsi="Times New Roman" w:cs="Times New Roman"/>
          <w:bCs/>
          <w:iCs/>
          <w:sz w:val="24"/>
          <w:szCs w:val="24"/>
        </w:rPr>
        <w:t>Pictet</w:t>
      </w:r>
      <w:proofErr w:type="spellEnd"/>
      <w:r>
        <w:rPr>
          <w:rFonts w:ascii="Times New Roman" w:hAnsi="Times New Roman" w:cs="Times New Roman"/>
          <w:bCs/>
          <w:iCs/>
          <w:sz w:val="24"/>
          <w:szCs w:val="24"/>
        </w:rPr>
        <w:t xml:space="preserve">, </w:t>
      </w:r>
      <w:r w:rsidRPr="007C6D26">
        <w:rPr>
          <w:rFonts w:ascii="Times New Roman" w:hAnsi="Times New Roman" w:cs="Times New Roman"/>
          <w:bCs/>
          <w:iCs/>
          <w:sz w:val="24"/>
          <w:szCs w:val="24"/>
        </w:rPr>
        <w:t>‘Foreign Exchange Trading Models and Market Behavior’, Journal of Economic Dynamics &amp; Control,</w:t>
      </w:r>
      <w:r>
        <w:rPr>
          <w:rFonts w:ascii="Times New Roman" w:hAnsi="Times New Roman" w:cs="Times New Roman"/>
          <w:bCs/>
          <w:iCs/>
          <w:sz w:val="24"/>
          <w:szCs w:val="24"/>
        </w:rPr>
        <w:t xml:space="preserve"> Volume </w:t>
      </w:r>
      <w:r w:rsidRPr="007C6D26">
        <w:rPr>
          <w:rFonts w:ascii="Times New Roman" w:hAnsi="Times New Roman" w:cs="Times New Roman"/>
          <w:bCs/>
          <w:iCs/>
          <w:sz w:val="24"/>
          <w:szCs w:val="24"/>
        </w:rPr>
        <w:t>27</w:t>
      </w:r>
      <w:r>
        <w:rPr>
          <w:rFonts w:ascii="Times New Roman" w:hAnsi="Times New Roman" w:cs="Times New Roman"/>
          <w:bCs/>
          <w:iCs/>
          <w:sz w:val="24"/>
          <w:szCs w:val="24"/>
        </w:rPr>
        <w:t>, 2003, pp.</w:t>
      </w:r>
      <w:r w:rsidRPr="007C6D26">
        <w:rPr>
          <w:rFonts w:ascii="Times New Roman" w:hAnsi="Times New Roman" w:cs="Times New Roman"/>
          <w:bCs/>
          <w:iCs/>
          <w:sz w:val="24"/>
          <w:szCs w:val="24"/>
        </w:rPr>
        <w:t xml:space="preserve"> 909 – 935.</w:t>
      </w:r>
    </w:p>
    <w:p w:rsidR="00EB136C"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[23] A. </w:t>
      </w:r>
      <w:r>
        <w:rPr>
          <w:rFonts w:ascii="Times New Roman" w:hAnsi="Times New Roman" w:cs="Times New Roman"/>
          <w:sz w:val="24"/>
          <w:szCs w:val="24"/>
        </w:rPr>
        <w:t>Carpenter and J.</w:t>
      </w:r>
      <w:r w:rsidRPr="00CE6AB8">
        <w:rPr>
          <w:rFonts w:ascii="Times New Roman" w:hAnsi="Times New Roman" w:cs="Times New Roman"/>
          <w:sz w:val="24"/>
          <w:szCs w:val="24"/>
        </w:rPr>
        <w:t xml:space="preserve"> Wang,</w:t>
      </w:r>
      <w:r>
        <w:rPr>
          <w:rFonts w:ascii="Times New Roman" w:hAnsi="Times New Roman" w:cs="Times New Roman"/>
          <w:sz w:val="24"/>
          <w:szCs w:val="24"/>
        </w:rPr>
        <w:t xml:space="preserve"> ‘</w:t>
      </w:r>
      <w:r w:rsidRPr="00CE6AB8">
        <w:rPr>
          <w:rFonts w:ascii="Times New Roman" w:hAnsi="Times New Roman" w:cs="Times New Roman"/>
          <w:sz w:val="24"/>
          <w:szCs w:val="24"/>
        </w:rPr>
        <w:t>Herding and the Information Content of Trades in</w:t>
      </w:r>
      <w:r>
        <w:rPr>
          <w:rFonts w:ascii="Times New Roman" w:hAnsi="Times New Roman" w:cs="Times New Roman"/>
          <w:sz w:val="24"/>
          <w:szCs w:val="24"/>
        </w:rPr>
        <w:t xml:space="preserve"> the Australian Dollar Market’,</w:t>
      </w:r>
      <w:r w:rsidRPr="00CE6AB8">
        <w:rPr>
          <w:rFonts w:ascii="Times New Roman" w:hAnsi="Times New Roman" w:cs="Times New Roman"/>
          <w:sz w:val="24"/>
          <w:szCs w:val="24"/>
        </w:rPr>
        <w:t xml:space="preserve"> Pacific-Basin Finance Journal</w:t>
      </w:r>
      <w:r>
        <w:rPr>
          <w:rFonts w:ascii="Times New Roman" w:hAnsi="Times New Roman" w:cs="Times New Roman"/>
          <w:sz w:val="24"/>
          <w:szCs w:val="24"/>
        </w:rPr>
        <w:t>, 2006.</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[24] G. </w:t>
      </w:r>
      <w:proofErr w:type="spellStart"/>
      <w:r w:rsidRPr="007C6D26">
        <w:rPr>
          <w:rFonts w:ascii="Times New Roman" w:hAnsi="Times New Roman" w:cs="Times New Roman"/>
          <w:bCs/>
          <w:iCs/>
          <w:sz w:val="24"/>
          <w:szCs w:val="24"/>
        </w:rPr>
        <w:t>Bekaert</w:t>
      </w:r>
      <w:proofErr w:type="spellEnd"/>
      <w:r w:rsidRPr="007C6D26">
        <w:rPr>
          <w:rFonts w:ascii="Times New Roman" w:hAnsi="Times New Roman" w:cs="Times New Roman"/>
          <w:bCs/>
          <w:iCs/>
          <w:sz w:val="24"/>
          <w:szCs w:val="24"/>
        </w:rPr>
        <w:t xml:space="preserve"> and</w:t>
      </w:r>
      <w:r>
        <w:rPr>
          <w:rFonts w:ascii="Times New Roman" w:hAnsi="Times New Roman" w:cs="Times New Roman"/>
          <w:bCs/>
          <w:iCs/>
          <w:sz w:val="24"/>
          <w:szCs w:val="24"/>
        </w:rPr>
        <w:t xml:space="preserve"> G.</w:t>
      </w:r>
      <w:r w:rsidRPr="007C6D26">
        <w:rPr>
          <w:rFonts w:ascii="Times New Roman" w:hAnsi="Times New Roman" w:cs="Times New Roman"/>
          <w:bCs/>
          <w:iCs/>
          <w:sz w:val="24"/>
          <w:szCs w:val="24"/>
        </w:rPr>
        <w:t xml:space="preserve"> Wu, ‘Asymmetric Volatility and Risk in Equity Markets’, The Review of Financial Studies</w:t>
      </w:r>
      <w:r>
        <w:rPr>
          <w:rFonts w:ascii="Times New Roman" w:hAnsi="Times New Roman" w:cs="Times New Roman"/>
          <w:bCs/>
          <w:iCs/>
          <w:sz w:val="24"/>
          <w:szCs w:val="24"/>
        </w:rPr>
        <w:t xml:space="preserve">, Volume 13, no. </w:t>
      </w:r>
      <w:r w:rsidRPr="007C6D26">
        <w:rPr>
          <w:rFonts w:ascii="Times New Roman" w:hAnsi="Times New Roman" w:cs="Times New Roman"/>
          <w:bCs/>
          <w:iCs/>
          <w:sz w:val="24"/>
          <w:szCs w:val="24"/>
        </w:rPr>
        <w:t>1</w:t>
      </w:r>
      <w:r>
        <w:rPr>
          <w:rFonts w:ascii="Times New Roman" w:hAnsi="Times New Roman" w:cs="Times New Roman"/>
          <w:bCs/>
          <w:iCs/>
          <w:sz w:val="24"/>
          <w:szCs w:val="24"/>
        </w:rPr>
        <w:t>, 2000, pp.</w:t>
      </w:r>
      <w:r w:rsidRPr="007C6D26">
        <w:rPr>
          <w:rFonts w:ascii="Times New Roman" w:hAnsi="Times New Roman" w:cs="Times New Roman"/>
          <w:bCs/>
          <w:iCs/>
          <w:sz w:val="24"/>
          <w:szCs w:val="24"/>
        </w:rPr>
        <w:t xml:space="preserve"> 1 – 42.</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[25] M. </w:t>
      </w:r>
      <w:r w:rsidRPr="007C6D26">
        <w:rPr>
          <w:rFonts w:ascii="Times New Roman" w:hAnsi="Times New Roman" w:cs="Times New Roman"/>
          <w:sz w:val="24"/>
          <w:szCs w:val="24"/>
        </w:rPr>
        <w:t>Melvin and</w:t>
      </w:r>
      <w:r>
        <w:rPr>
          <w:rFonts w:ascii="Times New Roman" w:hAnsi="Times New Roman" w:cs="Times New Roman"/>
          <w:sz w:val="24"/>
          <w:szCs w:val="24"/>
        </w:rPr>
        <w:t xml:space="preserve"> M.</w:t>
      </w:r>
      <w:r w:rsidRPr="007C6D26">
        <w:rPr>
          <w:rFonts w:ascii="Times New Roman" w:hAnsi="Times New Roman" w:cs="Times New Roman"/>
          <w:sz w:val="24"/>
          <w:szCs w:val="24"/>
        </w:rPr>
        <w:t xml:space="preserve"> Taylor, ‘The Crisis in the Foreign Exchange Market’ </w:t>
      </w:r>
      <w:r w:rsidRPr="007C6D26">
        <w:rPr>
          <w:rFonts w:ascii="Times New Roman" w:hAnsi="Times New Roman" w:cs="Times New Roman"/>
          <w:iCs/>
          <w:sz w:val="24"/>
          <w:szCs w:val="24"/>
        </w:rPr>
        <w:t>CEPR Discussion Papers</w:t>
      </w:r>
      <w:r w:rsidRPr="007C6D26">
        <w:rPr>
          <w:rFonts w:ascii="Times New Roman" w:hAnsi="Times New Roman" w:cs="Times New Roman"/>
          <w:sz w:val="24"/>
          <w:szCs w:val="24"/>
        </w:rPr>
        <w:t>, no 7472, September</w:t>
      </w:r>
      <w:r>
        <w:rPr>
          <w:rFonts w:ascii="Times New Roman" w:hAnsi="Times New Roman" w:cs="Times New Roman"/>
          <w:sz w:val="24"/>
          <w:szCs w:val="24"/>
        </w:rPr>
        <w:t>, 2009</w:t>
      </w:r>
      <w:r w:rsidRPr="007C6D26">
        <w:rPr>
          <w:rFonts w:ascii="Times New Roman" w:hAnsi="Times New Roman" w:cs="Times New Roman"/>
          <w:sz w:val="24"/>
          <w:szCs w:val="24"/>
        </w:rPr>
        <w:t>.</w:t>
      </w:r>
    </w:p>
    <w:p w:rsidR="00EB136C" w:rsidRDefault="00EB136C" w:rsidP="00EB136C">
      <w:p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[26] K. </w:t>
      </w:r>
      <w:r w:rsidRPr="007C6D26">
        <w:rPr>
          <w:rFonts w:ascii="Times New Roman" w:hAnsi="Times New Roman" w:cs="Times New Roman"/>
          <w:sz w:val="24"/>
          <w:szCs w:val="24"/>
        </w:rPr>
        <w:t>Forbes and</w:t>
      </w:r>
      <w:r>
        <w:rPr>
          <w:rFonts w:ascii="Times New Roman" w:hAnsi="Times New Roman" w:cs="Times New Roman"/>
          <w:sz w:val="24"/>
          <w:szCs w:val="24"/>
        </w:rPr>
        <w:t xml:space="preserve"> R.</w:t>
      </w:r>
      <w:r w:rsidRPr="007C6D26">
        <w:rPr>
          <w:rFonts w:ascii="Times New Roman" w:hAnsi="Times New Roman" w:cs="Times New Roman"/>
          <w:sz w:val="24"/>
          <w:szCs w:val="24"/>
        </w:rPr>
        <w:t xml:space="preserve"> </w:t>
      </w:r>
      <w:proofErr w:type="spellStart"/>
      <w:r w:rsidRPr="007C6D26">
        <w:rPr>
          <w:rFonts w:ascii="Times New Roman" w:hAnsi="Times New Roman" w:cs="Times New Roman"/>
          <w:sz w:val="24"/>
          <w:szCs w:val="24"/>
        </w:rPr>
        <w:t>Rigobon</w:t>
      </w:r>
      <w:proofErr w:type="spellEnd"/>
      <w:r w:rsidRPr="007C6D26">
        <w:rPr>
          <w:rFonts w:ascii="Times New Roman" w:hAnsi="Times New Roman" w:cs="Times New Roman"/>
          <w:sz w:val="24"/>
          <w:szCs w:val="24"/>
        </w:rPr>
        <w:t>,</w:t>
      </w:r>
      <w:r>
        <w:rPr>
          <w:rFonts w:ascii="Times New Roman" w:hAnsi="Times New Roman" w:cs="Times New Roman"/>
          <w:sz w:val="24"/>
          <w:szCs w:val="24"/>
        </w:rPr>
        <w:t xml:space="preserve"> </w:t>
      </w:r>
      <w:r w:rsidRPr="007C6D26">
        <w:rPr>
          <w:rFonts w:ascii="Times New Roman" w:hAnsi="Times New Roman" w:cs="Times New Roman"/>
          <w:sz w:val="24"/>
          <w:szCs w:val="24"/>
        </w:rPr>
        <w:t>‘</w:t>
      </w:r>
      <w:proofErr w:type="gramStart"/>
      <w:r w:rsidRPr="007C6D26">
        <w:rPr>
          <w:rFonts w:ascii="Times New Roman" w:hAnsi="Times New Roman" w:cs="Times New Roman"/>
          <w:sz w:val="24"/>
          <w:szCs w:val="24"/>
        </w:rPr>
        <w:t>Measuring</w:t>
      </w:r>
      <w:proofErr w:type="gramEnd"/>
      <w:r w:rsidRPr="007C6D26">
        <w:rPr>
          <w:rFonts w:ascii="Times New Roman" w:hAnsi="Times New Roman" w:cs="Times New Roman"/>
          <w:sz w:val="24"/>
          <w:szCs w:val="24"/>
        </w:rPr>
        <w:t xml:space="preserve"> contagion: conceptual and empirical issues’, Massachusetts Institute of Technology, Sloan School of Management, </w:t>
      </w:r>
      <w:r w:rsidRPr="007C6D26">
        <w:rPr>
          <w:rFonts w:ascii="Times New Roman" w:hAnsi="Times New Roman" w:cs="Times New Roman"/>
          <w:iCs/>
          <w:sz w:val="24"/>
          <w:szCs w:val="24"/>
        </w:rPr>
        <w:t>Working Paper</w:t>
      </w:r>
      <w:r>
        <w:rPr>
          <w:rFonts w:ascii="Times New Roman" w:hAnsi="Times New Roman" w:cs="Times New Roman"/>
          <w:iCs/>
          <w:sz w:val="24"/>
          <w:szCs w:val="24"/>
        </w:rPr>
        <w:t>, 1999</w:t>
      </w:r>
      <w:r w:rsidRPr="007C6D26">
        <w:rPr>
          <w:rFonts w:ascii="Times New Roman" w:hAnsi="Times New Roman" w:cs="Times New Roman"/>
          <w:iCs/>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lastRenderedPageBreak/>
        <w:t xml:space="preserve">[27] R. </w:t>
      </w:r>
      <w:r w:rsidRPr="007C6D26">
        <w:rPr>
          <w:rFonts w:ascii="Times New Roman" w:hAnsi="Times New Roman" w:cs="Times New Roman"/>
          <w:sz w:val="24"/>
          <w:szCs w:val="24"/>
        </w:rPr>
        <w:t>Glick and</w:t>
      </w:r>
      <w:r>
        <w:rPr>
          <w:rFonts w:ascii="Times New Roman" w:hAnsi="Times New Roman" w:cs="Times New Roman"/>
          <w:sz w:val="24"/>
          <w:szCs w:val="24"/>
        </w:rPr>
        <w:t xml:space="preserve"> A.</w:t>
      </w:r>
      <w:r w:rsidRPr="007C6D26">
        <w:rPr>
          <w:rFonts w:ascii="Times New Roman" w:hAnsi="Times New Roman" w:cs="Times New Roman"/>
          <w:sz w:val="24"/>
          <w:szCs w:val="24"/>
        </w:rPr>
        <w:t xml:space="preserve"> Rose, ‘Contagion and trade: why are currency crises regional?</w:t>
      </w:r>
      <w:proofErr w:type="gramStart"/>
      <w:r w:rsidRPr="007C6D26">
        <w:rPr>
          <w:rFonts w:ascii="Times New Roman" w:hAnsi="Times New Roman" w:cs="Times New Roman"/>
          <w:sz w:val="24"/>
          <w:szCs w:val="24"/>
        </w:rPr>
        <w:t>’,</w:t>
      </w:r>
      <w:proofErr w:type="gramEnd"/>
      <w:r w:rsidRPr="007C6D26">
        <w:rPr>
          <w:rFonts w:ascii="Times New Roman" w:hAnsi="Times New Roman" w:cs="Times New Roman"/>
          <w:sz w:val="24"/>
          <w:szCs w:val="24"/>
        </w:rPr>
        <w:t xml:space="preserve"> </w:t>
      </w:r>
      <w:r w:rsidRPr="007C6D26">
        <w:rPr>
          <w:rFonts w:ascii="Times New Roman" w:hAnsi="Times New Roman" w:cs="Times New Roman"/>
          <w:iCs/>
          <w:sz w:val="24"/>
          <w:szCs w:val="24"/>
        </w:rPr>
        <w:t>Journal of International Money and Finance</w:t>
      </w:r>
      <w:r w:rsidRPr="007C6D26">
        <w:rPr>
          <w:rFonts w:ascii="Times New Roman" w:hAnsi="Times New Roman" w:cs="Times New Roman"/>
          <w:sz w:val="24"/>
          <w:szCs w:val="24"/>
        </w:rPr>
        <w:t xml:space="preserve">, </w:t>
      </w:r>
      <w:r>
        <w:rPr>
          <w:rFonts w:ascii="Times New Roman" w:hAnsi="Times New Roman" w:cs="Times New Roman"/>
          <w:sz w:val="24"/>
          <w:szCs w:val="24"/>
        </w:rPr>
        <w:t xml:space="preserve">Volume </w:t>
      </w:r>
      <w:r w:rsidRPr="007C6D26">
        <w:rPr>
          <w:rFonts w:ascii="Times New Roman" w:hAnsi="Times New Roman" w:cs="Times New Roman"/>
          <w:sz w:val="24"/>
          <w:szCs w:val="24"/>
        </w:rPr>
        <w:t>18</w:t>
      </w:r>
      <w:r>
        <w:rPr>
          <w:rFonts w:ascii="Times New Roman" w:hAnsi="Times New Roman" w:cs="Times New Roman"/>
          <w:sz w:val="24"/>
          <w:szCs w:val="24"/>
        </w:rPr>
        <w:t>, 1999, pp.</w:t>
      </w:r>
      <w:r w:rsidRPr="007C6D26">
        <w:rPr>
          <w:rFonts w:ascii="Times New Roman" w:hAnsi="Times New Roman" w:cs="Times New Roman"/>
          <w:sz w:val="24"/>
          <w:szCs w:val="24"/>
        </w:rPr>
        <w:t xml:space="preserve"> 603 – 617.</w:t>
      </w:r>
    </w:p>
    <w:p w:rsidR="00EB136C" w:rsidRDefault="00EB136C" w:rsidP="00EB136C">
      <w:p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[28] A. </w:t>
      </w:r>
      <w:proofErr w:type="spellStart"/>
      <w:r w:rsidRPr="007C6D26">
        <w:rPr>
          <w:rFonts w:ascii="Times New Roman" w:hAnsi="Times New Roman" w:cs="Times New Roman"/>
          <w:sz w:val="24"/>
          <w:szCs w:val="24"/>
        </w:rPr>
        <w:t>Baharumshah</w:t>
      </w:r>
      <w:proofErr w:type="spellEnd"/>
      <w:r w:rsidRPr="007C6D26">
        <w:rPr>
          <w:rFonts w:ascii="Times New Roman" w:hAnsi="Times New Roman" w:cs="Times New Roman"/>
          <w:sz w:val="24"/>
          <w:szCs w:val="24"/>
        </w:rPr>
        <w:t xml:space="preserve"> and </w:t>
      </w:r>
      <w:r>
        <w:rPr>
          <w:rFonts w:ascii="Times New Roman" w:hAnsi="Times New Roman" w:cs="Times New Roman"/>
          <w:sz w:val="24"/>
          <w:szCs w:val="24"/>
        </w:rPr>
        <w:t xml:space="preserve">C. </w:t>
      </w:r>
      <w:proofErr w:type="spellStart"/>
      <w:r w:rsidRPr="007C6D26">
        <w:rPr>
          <w:rFonts w:ascii="Times New Roman" w:hAnsi="Times New Roman" w:cs="Times New Roman"/>
          <w:sz w:val="24"/>
          <w:szCs w:val="24"/>
        </w:rPr>
        <w:t>Hooi</w:t>
      </w:r>
      <w:proofErr w:type="spellEnd"/>
      <w:r>
        <w:rPr>
          <w:rFonts w:ascii="Times New Roman" w:hAnsi="Times New Roman" w:cs="Times New Roman"/>
          <w:sz w:val="24"/>
          <w:szCs w:val="24"/>
        </w:rPr>
        <w:t>,</w:t>
      </w:r>
      <w:r w:rsidRPr="007C6D26">
        <w:rPr>
          <w:rFonts w:ascii="Times New Roman" w:hAnsi="Times New Roman" w:cs="Times New Roman"/>
          <w:sz w:val="24"/>
          <w:szCs w:val="24"/>
        </w:rPr>
        <w:t xml:space="preserve"> ‘Exchange Rate Volatility and the Asian Financial Crisis: Evidence from South Korea and ASEAN-5’, Review of Pacific Basin Financial Markets and Policies,</w:t>
      </w:r>
      <w:r>
        <w:rPr>
          <w:rFonts w:ascii="Times New Roman" w:hAnsi="Times New Roman" w:cs="Times New Roman"/>
          <w:sz w:val="24"/>
          <w:szCs w:val="24"/>
        </w:rPr>
        <w:t xml:space="preserve"> Volume </w:t>
      </w:r>
      <w:r w:rsidRPr="007C6D26">
        <w:rPr>
          <w:rFonts w:ascii="Times New Roman" w:hAnsi="Times New Roman" w:cs="Times New Roman"/>
          <w:sz w:val="24"/>
          <w:szCs w:val="24"/>
        </w:rPr>
        <w:t>10</w:t>
      </w:r>
      <w:r>
        <w:rPr>
          <w:rFonts w:ascii="Times New Roman" w:hAnsi="Times New Roman" w:cs="Times New Roman"/>
          <w:sz w:val="24"/>
          <w:szCs w:val="24"/>
        </w:rPr>
        <w:t xml:space="preserve"> no. </w:t>
      </w:r>
      <w:r w:rsidRPr="007C6D26">
        <w:rPr>
          <w:rFonts w:ascii="Times New Roman" w:hAnsi="Times New Roman" w:cs="Times New Roman"/>
          <w:sz w:val="24"/>
          <w:szCs w:val="24"/>
        </w:rPr>
        <w:t>2</w:t>
      </w:r>
      <w:r>
        <w:rPr>
          <w:rFonts w:ascii="Times New Roman" w:hAnsi="Times New Roman" w:cs="Times New Roman"/>
          <w:sz w:val="24"/>
          <w:szCs w:val="24"/>
        </w:rPr>
        <w:t>, 1997, pp.</w:t>
      </w:r>
      <w:r w:rsidRPr="007C6D26">
        <w:rPr>
          <w:rFonts w:ascii="Times New Roman" w:hAnsi="Times New Roman" w:cs="Times New Roman"/>
          <w:sz w:val="24"/>
          <w:szCs w:val="24"/>
        </w:rPr>
        <w:t xml:space="preserve"> 237-264.</w:t>
      </w:r>
    </w:p>
    <w:p w:rsidR="00EB136C" w:rsidRDefault="00EB136C" w:rsidP="00EB136C">
      <w:pPr>
        <w:autoSpaceDE w:val="0"/>
        <w:autoSpaceDN w:val="0"/>
        <w:adjustRightInd w:val="0"/>
        <w:spacing w:line="480" w:lineRule="auto"/>
        <w:jc w:val="both"/>
        <w:rPr>
          <w:rFonts w:ascii="Times New Roman" w:hAnsi="Times New Roman" w:cs="Times New Roman"/>
          <w:iCs/>
          <w:sz w:val="24"/>
          <w:szCs w:val="24"/>
        </w:rPr>
      </w:pP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[29] T. </w:t>
      </w:r>
      <w:proofErr w:type="spellStart"/>
      <w:r w:rsidRPr="007C6D26">
        <w:rPr>
          <w:rFonts w:ascii="Times New Roman" w:hAnsi="Times New Roman" w:cs="Times New Roman"/>
          <w:sz w:val="24"/>
          <w:szCs w:val="24"/>
        </w:rPr>
        <w:t>Oga</w:t>
      </w:r>
      <w:proofErr w:type="spellEnd"/>
      <w:r w:rsidRPr="007C6D26">
        <w:rPr>
          <w:rFonts w:ascii="Times New Roman" w:hAnsi="Times New Roman" w:cs="Times New Roman"/>
          <w:sz w:val="24"/>
          <w:szCs w:val="24"/>
        </w:rPr>
        <w:t xml:space="preserve"> and</w:t>
      </w:r>
      <w:r>
        <w:rPr>
          <w:rFonts w:ascii="Times New Roman" w:hAnsi="Times New Roman" w:cs="Times New Roman"/>
          <w:sz w:val="24"/>
          <w:szCs w:val="24"/>
        </w:rPr>
        <w:t xml:space="preserve"> W.</w:t>
      </w:r>
      <w:r w:rsidRPr="007C6D26">
        <w:rPr>
          <w:rFonts w:ascii="Times New Roman" w:hAnsi="Times New Roman" w:cs="Times New Roman"/>
          <w:sz w:val="24"/>
          <w:szCs w:val="24"/>
        </w:rPr>
        <w:t xml:space="preserve"> </w:t>
      </w:r>
      <w:proofErr w:type="spellStart"/>
      <w:r w:rsidRPr="007C6D26">
        <w:rPr>
          <w:rFonts w:ascii="Times New Roman" w:hAnsi="Times New Roman" w:cs="Times New Roman"/>
          <w:sz w:val="24"/>
          <w:szCs w:val="24"/>
        </w:rPr>
        <w:t>Polasek</w:t>
      </w:r>
      <w:proofErr w:type="spellEnd"/>
      <w:r w:rsidRPr="007C6D26">
        <w:rPr>
          <w:rFonts w:ascii="Times New Roman" w:hAnsi="Times New Roman" w:cs="Times New Roman"/>
          <w:sz w:val="24"/>
          <w:szCs w:val="24"/>
        </w:rPr>
        <w:t xml:space="preserve"> ‘The Asia Financial Crises and Exchange Rates: Had There Been Volatility Shifts for Asian Currencies?</w:t>
      </w:r>
      <w:proofErr w:type="gramStart"/>
      <w:r w:rsidRPr="007C6D26">
        <w:rPr>
          <w:rFonts w:ascii="Times New Roman" w:hAnsi="Times New Roman" w:cs="Times New Roman"/>
          <w:sz w:val="24"/>
          <w:szCs w:val="24"/>
        </w:rPr>
        <w:t>’,</w:t>
      </w:r>
      <w:proofErr w:type="gramEnd"/>
      <w:r w:rsidRPr="007C6D26">
        <w:rPr>
          <w:rFonts w:ascii="Times New Roman" w:hAnsi="Times New Roman" w:cs="Times New Roman"/>
          <w:sz w:val="24"/>
          <w:szCs w:val="24"/>
        </w:rPr>
        <w:t xml:space="preserve"> WP Series from The Rimini Centre for Economic Analysis</w:t>
      </w:r>
      <w:r>
        <w:rPr>
          <w:rFonts w:ascii="Times New Roman" w:hAnsi="Times New Roman" w:cs="Times New Roman"/>
          <w:sz w:val="24"/>
          <w:szCs w:val="24"/>
        </w:rPr>
        <w:t>, 2010</w:t>
      </w:r>
      <w:r w:rsidRPr="007C6D26">
        <w:rPr>
          <w:rFonts w:ascii="Times New Roman" w:hAnsi="Times New Roman" w:cs="Times New Roman"/>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[30] M. </w:t>
      </w:r>
      <w:r>
        <w:rPr>
          <w:rFonts w:ascii="Times New Roman" w:hAnsi="Times New Roman" w:cs="Times New Roman"/>
          <w:sz w:val="24"/>
          <w:szCs w:val="24"/>
        </w:rPr>
        <w:t>Kohler,</w:t>
      </w:r>
      <w:r w:rsidRPr="007C6D26">
        <w:rPr>
          <w:rFonts w:ascii="Times New Roman" w:hAnsi="Times New Roman" w:cs="Times New Roman"/>
          <w:sz w:val="24"/>
          <w:szCs w:val="24"/>
        </w:rPr>
        <w:t xml:space="preserve"> ‘Exchange rates during financial crises’, BIS Quarterly Review, March</w:t>
      </w:r>
      <w:r>
        <w:rPr>
          <w:rFonts w:ascii="Times New Roman" w:hAnsi="Times New Roman" w:cs="Times New Roman"/>
          <w:sz w:val="24"/>
          <w:szCs w:val="24"/>
        </w:rPr>
        <w:t xml:space="preserve"> 2010</w:t>
      </w:r>
      <w:r w:rsidRPr="007C6D26">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7C6D26">
        <w:rPr>
          <w:rFonts w:ascii="Times New Roman" w:hAnsi="Times New Roman" w:cs="Times New Roman"/>
          <w:sz w:val="24"/>
          <w:szCs w:val="24"/>
        </w:rPr>
        <w:t>39 – 50.</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[31] P. </w:t>
      </w:r>
      <w:proofErr w:type="spellStart"/>
      <w:r w:rsidRPr="007C6D26">
        <w:rPr>
          <w:rFonts w:ascii="Times New Roman" w:hAnsi="Times New Roman" w:cs="Times New Roman"/>
          <w:sz w:val="24"/>
          <w:szCs w:val="24"/>
        </w:rPr>
        <w:t>Horhota</w:t>
      </w:r>
      <w:proofErr w:type="spellEnd"/>
      <w:r w:rsidRPr="007C6D26">
        <w:rPr>
          <w:rFonts w:ascii="Times New Roman" w:hAnsi="Times New Roman" w:cs="Times New Roman"/>
          <w:sz w:val="24"/>
          <w:szCs w:val="24"/>
        </w:rPr>
        <w:t xml:space="preserve"> and</w:t>
      </w:r>
      <w:r>
        <w:rPr>
          <w:rFonts w:ascii="Times New Roman" w:hAnsi="Times New Roman" w:cs="Times New Roman"/>
          <w:sz w:val="24"/>
          <w:szCs w:val="24"/>
        </w:rPr>
        <w:t xml:space="preserve"> C.</w:t>
      </w:r>
      <w:r w:rsidRPr="007C6D26">
        <w:rPr>
          <w:rFonts w:ascii="Times New Roman" w:hAnsi="Times New Roman" w:cs="Times New Roman"/>
          <w:sz w:val="24"/>
          <w:szCs w:val="24"/>
        </w:rPr>
        <w:t xml:space="preserve"> </w:t>
      </w:r>
      <w:proofErr w:type="spellStart"/>
      <w:r w:rsidRPr="007C6D26">
        <w:rPr>
          <w:rFonts w:ascii="Times New Roman" w:hAnsi="Times New Roman" w:cs="Times New Roman"/>
          <w:sz w:val="24"/>
          <w:szCs w:val="24"/>
        </w:rPr>
        <w:t>Matei</w:t>
      </w:r>
      <w:proofErr w:type="spellEnd"/>
      <w:r>
        <w:rPr>
          <w:rFonts w:ascii="Times New Roman" w:hAnsi="Times New Roman" w:cs="Times New Roman"/>
          <w:sz w:val="24"/>
          <w:szCs w:val="24"/>
        </w:rPr>
        <w:t xml:space="preserve"> </w:t>
      </w:r>
      <w:r w:rsidRPr="007C6D26">
        <w:rPr>
          <w:rFonts w:ascii="Times New Roman" w:hAnsi="Times New Roman" w:cs="Times New Roman"/>
          <w:sz w:val="24"/>
          <w:szCs w:val="24"/>
        </w:rPr>
        <w:t>‘Impact of Financial Crisis on Developing Countries’,</w:t>
      </w:r>
      <w:r w:rsidRPr="007C6D26">
        <w:rPr>
          <w:rFonts w:ascii="Times New Roman" w:hAnsi="Times New Roman" w:cs="Times New Roman"/>
          <w:iCs/>
          <w:sz w:val="24"/>
          <w:szCs w:val="24"/>
        </w:rPr>
        <w:t xml:space="preserve"> </w:t>
      </w:r>
      <w:proofErr w:type="spellStart"/>
      <w:r w:rsidRPr="007C6D26">
        <w:rPr>
          <w:rFonts w:ascii="Times New Roman" w:hAnsi="Times New Roman" w:cs="Times New Roman"/>
          <w:iCs/>
          <w:sz w:val="24"/>
          <w:szCs w:val="24"/>
        </w:rPr>
        <w:t>Revista</w:t>
      </w:r>
      <w:proofErr w:type="spellEnd"/>
      <w:r w:rsidRPr="007C6D26">
        <w:rPr>
          <w:rFonts w:ascii="Times New Roman" w:hAnsi="Times New Roman" w:cs="Times New Roman"/>
          <w:iCs/>
          <w:sz w:val="24"/>
          <w:szCs w:val="24"/>
        </w:rPr>
        <w:t xml:space="preserve"> </w:t>
      </w:r>
      <w:proofErr w:type="spellStart"/>
      <w:r w:rsidRPr="007C6D26">
        <w:rPr>
          <w:rFonts w:ascii="Times New Roman" w:hAnsi="Times New Roman" w:cs="Times New Roman"/>
          <w:iCs/>
          <w:sz w:val="24"/>
          <w:szCs w:val="24"/>
        </w:rPr>
        <w:t>Tinerilor</w:t>
      </w:r>
      <w:proofErr w:type="spellEnd"/>
      <w:r w:rsidRPr="007C6D26">
        <w:rPr>
          <w:rFonts w:ascii="Times New Roman" w:hAnsi="Times New Roman" w:cs="Times New Roman"/>
          <w:iCs/>
          <w:sz w:val="24"/>
          <w:szCs w:val="24"/>
        </w:rPr>
        <w:t xml:space="preserve"> </w:t>
      </w:r>
      <w:proofErr w:type="spellStart"/>
      <w:r w:rsidRPr="007C6D26">
        <w:rPr>
          <w:rFonts w:ascii="Times New Roman" w:hAnsi="Times New Roman" w:cs="Times New Roman"/>
          <w:iCs/>
          <w:sz w:val="24"/>
          <w:szCs w:val="24"/>
        </w:rPr>
        <w:t>Economisti</w:t>
      </w:r>
      <w:proofErr w:type="spellEnd"/>
      <w:r w:rsidRPr="007C6D26">
        <w:rPr>
          <w:rFonts w:ascii="Times New Roman" w:hAnsi="Times New Roman" w:cs="Times New Roman"/>
          <w:iCs/>
          <w:sz w:val="24"/>
          <w:szCs w:val="24"/>
        </w:rPr>
        <w:t xml:space="preserve"> (The Young Economists Journal), </w:t>
      </w:r>
      <w:r>
        <w:rPr>
          <w:rFonts w:ascii="Times New Roman" w:hAnsi="Times New Roman" w:cs="Times New Roman"/>
          <w:iCs/>
          <w:sz w:val="24"/>
          <w:szCs w:val="24"/>
        </w:rPr>
        <w:t xml:space="preserve">Volume </w:t>
      </w:r>
      <w:r>
        <w:rPr>
          <w:rFonts w:ascii="Times New Roman" w:hAnsi="Times New Roman" w:cs="Times New Roman"/>
          <w:sz w:val="24"/>
          <w:szCs w:val="24"/>
        </w:rPr>
        <w:t>1, 2009, pp.</w:t>
      </w:r>
      <w:r w:rsidRPr="007C6D26">
        <w:rPr>
          <w:rFonts w:ascii="Times New Roman" w:hAnsi="Times New Roman" w:cs="Times New Roman"/>
          <w:sz w:val="24"/>
          <w:szCs w:val="24"/>
        </w:rPr>
        <w:t xml:space="preserve"> 7-14.</w:t>
      </w:r>
    </w:p>
    <w:p w:rsidR="00EB136C"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[32] </w:t>
      </w:r>
      <w:r w:rsidRPr="007C6D26">
        <w:rPr>
          <w:rFonts w:ascii="Times New Roman" w:hAnsi="Times New Roman" w:cs="Times New Roman"/>
          <w:sz w:val="24"/>
          <w:szCs w:val="24"/>
        </w:rPr>
        <w:t>Internati</w:t>
      </w:r>
      <w:r>
        <w:rPr>
          <w:rFonts w:ascii="Times New Roman" w:hAnsi="Times New Roman" w:cs="Times New Roman"/>
          <w:sz w:val="24"/>
          <w:szCs w:val="24"/>
        </w:rPr>
        <w:t>onal Monetary Fund (IMF),</w:t>
      </w:r>
      <w:r w:rsidRPr="007C6D26">
        <w:rPr>
          <w:rFonts w:ascii="Times New Roman" w:hAnsi="Times New Roman" w:cs="Times New Roman"/>
          <w:sz w:val="24"/>
          <w:szCs w:val="24"/>
        </w:rPr>
        <w:t xml:space="preserve"> ‘The Implications of the Global Financial Crisis for Low-Income Co</w:t>
      </w:r>
      <w:r>
        <w:rPr>
          <w:rFonts w:ascii="Times New Roman" w:hAnsi="Times New Roman" w:cs="Times New Roman"/>
          <w:sz w:val="24"/>
          <w:szCs w:val="24"/>
        </w:rPr>
        <w:t xml:space="preserve">untries’,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publication of IMF, </w:t>
      </w:r>
      <w:r w:rsidRPr="007C6D26">
        <w:rPr>
          <w:rFonts w:ascii="Times New Roman" w:hAnsi="Times New Roman" w:cs="Times New Roman"/>
          <w:sz w:val="24"/>
          <w:szCs w:val="24"/>
        </w:rPr>
        <w:t>March</w:t>
      </w:r>
      <w:r>
        <w:rPr>
          <w:rFonts w:ascii="Times New Roman" w:hAnsi="Times New Roman" w:cs="Times New Roman"/>
          <w:sz w:val="24"/>
          <w:szCs w:val="24"/>
        </w:rPr>
        <w:t>, 2009</w:t>
      </w:r>
      <w:r w:rsidRPr="007C6D26">
        <w:rPr>
          <w:rFonts w:ascii="Times New Roman" w:hAnsi="Times New Roman" w:cs="Times New Roman"/>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[33] </w:t>
      </w:r>
      <w:r w:rsidRPr="007C6D26">
        <w:rPr>
          <w:rFonts w:ascii="Times New Roman" w:hAnsi="Times New Roman" w:cs="Times New Roman"/>
          <w:sz w:val="24"/>
          <w:szCs w:val="24"/>
        </w:rPr>
        <w:t>CBK</w:t>
      </w:r>
      <w:r>
        <w:rPr>
          <w:rFonts w:ascii="Times New Roman" w:hAnsi="Times New Roman" w:cs="Times New Roman"/>
          <w:sz w:val="24"/>
          <w:szCs w:val="24"/>
        </w:rPr>
        <w:t xml:space="preserve"> ANNUAL REPORT,</w:t>
      </w:r>
      <w:r w:rsidRPr="007C6D26">
        <w:rPr>
          <w:rFonts w:ascii="Times New Roman" w:hAnsi="Times New Roman" w:cs="Times New Roman"/>
          <w:sz w:val="24"/>
          <w:szCs w:val="24"/>
        </w:rPr>
        <w:t xml:space="preserve"> ‘The Annual Report of the Central Bank of Kenya Fiscal Year </w:t>
      </w:r>
      <w:r w:rsidRPr="007C6D26">
        <w:rPr>
          <w:rFonts w:ascii="Times New Roman" w:hAnsi="Times New Roman" w:cs="Times New Roman"/>
          <w:iCs/>
          <w:sz w:val="24"/>
          <w:szCs w:val="24"/>
        </w:rPr>
        <w:t>2009/10’,</w:t>
      </w:r>
      <w:r>
        <w:rPr>
          <w:rFonts w:ascii="Times New Roman" w:hAnsi="Times New Roman" w:cs="Times New Roman"/>
          <w:iCs/>
          <w:sz w:val="24"/>
          <w:szCs w:val="24"/>
        </w:rPr>
        <w:t xml:space="preserve"> 2009,</w:t>
      </w:r>
      <w:r w:rsidRPr="007C6D26">
        <w:rPr>
          <w:rFonts w:ascii="Times New Roman" w:hAnsi="Times New Roman" w:cs="Times New Roman"/>
          <w:iCs/>
          <w:sz w:val="24"/>
          <w:szCs w:val="24"/>
        </w:rPr>
        <w:t xml:space="preserve"> </w:t>
      </w:r>
      <w:hyperlink r:id="rId134" w:history="1">
        <w:r w:rsidRPr="007C6D26">
          <w:rPr>
            <w:rStyle w:val="Hyperlink"/>
            <w:rFonts w:ascii="Times New Roman" w:hAnsi="Times New Roman" w:cs="Times New Roman"/>
            <w:sz w:val="24"/>
            <w:szCs w:val="24"/>
          </w:rPr>
          <w:t>www.centralbank.go.ke/Publications/default.aspx</w:t>
        </w:r>
      </w:hyperlink>
      <w:r w:rsidRPr="007C6D26">
        <w:rPr>
          <w:rFonts w:ascii="Times New Roman" w:hAnsi="Times New Roman" w:cs="Times New Roman"/>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[34] </w:t>
      </w:r>
      <w:r w:rsidRPr="007C6D26">
        <w:rPr>
          <w:rFonts w:ascii="Times New Roman" w:hAnsi="Times New Roman" w:cs="Times New Roman"/>
          <w:iCs/>
          <w:sz w:val="24"/>
          <w:szCs w:val="24"/>
        </w:rPr>
        <w:t>African Development Bank</w:t>
      </w:r>
      <w:r>
        <w:rPr>
          <w:rFonts w:ascii="Times New Roman" w:hAnsi="Times New Roman" w:cs="Times New Roman"/>
          <w:sz w:val="24"/>
          <w:szCs w:val="24"/>
        </w:rPr>
        <w:t>,</w:t>
      </w:r>
      <w:r w:rsidRPr="007C6D26">
        <w:rPr>
          <w:rFonts w:ascii="Times New Roman" w:hAnsi="Times New Roman" w:cs="Times New Roman"/>
          <w:sz w:val="24"/>
          <w:szCs w:val="24"/>
        </w:rPr>
        <w:t xml:space="preserve"> ‘</w:t>
      </w:r>
      <w:r w:rsidRPr="007C6D26">
        <w:rPr>
          <w:rFonts w:ascii="Times New Roman" w:hAnsi="Times New Roman" w:cs="Times New Roman"/>
          <w:iCs/>
          <w:sz w:val="24"/>
          <w:szCs w:val="24"/>
        </w:rPr>
        <w:t>The Impact of the Global Economic Crisis on Africa’,</w:t>
      </w:r>
      <w:r w:rsidRPr="007C6D26">
        <w:rPr>
          <w:rFonts w:ascii="Times New Roman" w:hAnsi="Times New Roman" w:cs="Times New Roman"/>
          <w:sz w:val="24"/>
          <w:szCs w:val="24"/>
        </w:rPr>
        <w:t xml:space="preserve"> A Publication of the African Development Bank (</w:t>
      </w:r>
      <w:proofErr w:type="spellStart"/>
      <w:r w:rsidRPr="007C6D26">
        <w:rPr>
          <w:rFonts w:ascii="Times New Roman" w:hAnsi="Times New Roman" w:cs="Times New Roman"/>
          <w:sz w:val="24"/>
          <w:szCs w:val="24"/>
        </w:rPr>
        <w:t>AfDB</w:t>
      </w:r>
      <w:proofErr w:type="spellEnd"/>
      <w:r w:rsidRPr="007C6D26">
        <w:rPr>
          <w:rFonts w:ascii="Times New Roman" w:hAnsi="Times New Roman" w:cs="Times New Roman"/>
          <w:sz w:val="24"/>
          <w:szCs w:val="24"/>
        </w:rPr>
        <w:t>) and African Development Fund (ADF), February</w:t>
      </w:r>
      <w:r>
        <w:rPr>
          <w:rFonts w:ascii="Times New Roman" w:hAnsi="Times New Roman" w:cs="Times New Roman"/>
          <w:sz w:val="24"/>
          <w:szCs w:val="24"/>
        </w:rPr>
        <w:t xml:space="preserve"> 2009</w:t>
      </w:r>
      <w:r w:rsidRPr="007C6D26">
        <w:rPr>
          <w:rFonts w:ascii="Times New Roman" w:hAnsi="Times New Roman" w:cs="Times New Roman"/>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[35] V. </w:t>
      </w:r>
      <w:proofErr w:type="spellStart"/>
      <w:r>
        <w:rPr>
          <w:rFonts w:ascii="Times New Roman" w:hAnsi="Times New Roman" w:cs="Times New Roman"/>
          <w:iCs/>
          <w:sz w:val="24"/>
          <w:szCs w:val="24"/>
        </w:rPr>
        <w:t>Coudert</w:t>
      </w:r>
      <w:proofErr w:type="spellEnd"/>
      <w:r w:rsidRPr="007C6D26">
        <w:rPr>
          <w:rFonts w:ascii="Times New Roman" w:hAnsi="Times New Roman" w:cs="Times New Roman"/>
          <w:iCs/>
          <w:sz w:val="24"/>
          <w:szCs w:val="24"/>
        </w:rPr>
        <w:t xml:space="preserve">, </w:t>
      </w:r>
      <w:r>
        <w:rPr>
          <w:rFonts w:ascii="Times New Roman" w:hAnsi="Times New Roman" w:cs="Times New Roman"/>
          <w:iCs/>
          <w:sz w:val="24"/>
          <w:szCs w:val="24"/>
        </w:rPr>
        <w:t xml:space="preserve">V. </w:t>
      </w:r>
      <w:proofErr w:type="spellStart"/>
      <w:r w:rsidRPr="007C6D26">
        <w:rPr>
          <w:rFonts w:ascii="Times New Roman" w:hAnsi="Times New Roman" w:cs="Times New Roman"/>
          <w:iCs/>
          <w:sz w:val="24"/>
          <w:szCs w:val="24"/>
        </w:rPr>
        <w:t>Co</w:t>
      </w:r>
      <w:r>
        <w:rPr>
          <w:rFonts w:ascii="Times New Roman" w:hAnsi="Times New Roman" w:cs="Times New Roman"/>
          <w:iCs/>
          <w:sz w:val="24"/>
          <w:szCs w:val="24"/>
        </w:rPr>
        <w:t>uharde</w:t>
      </w:r>
      <w:proofErr w:type="spellEnd"/>
      <w:r>
        <w:rPr>
          <w:rFonts w:ascii="Times New Roman" w:hAnsi="Times New Roman" w:cs="Times New Roman"/>
          <w:iCs/>
          <w:sz w:val="24"/>
          <w:szCs w:val="24"/>
        </w:rPr>
        <w:t xml:space="preserve"> and M. Valerie,</w:t>
      </w:r>
      <w:r w:rsidRPr="007C6D26">
        <w:rPr>
          <w:rFonts w:ascii="Times New Roman" w:hAnsi="Times New Roman" w:cs="Times New Roman"/>
          <w:iCs/>
          <w:sz w:val="24"/>
          <w:szCs w:val="24"/>
        </w:rPr>
        <w:t xml:space="preserve"> ‘Exchange Rate Flexibility across Financial </w:t>
      </w:r>
      <w:r>
        <w:rPr>
          <w:rFonts w:ascii="Times New Roman" w:hAnsi="Times New Roman" w:cs="Times New Roman"/>
          <w:iCs/>
          <w:sz w:val="24"/>
          <w:szCs w:val="24"/>
        </w:rPr>
        <w:t>Crises’, CEPII, Working Paper, n</w:t>
      </w:r>
      <w:r w:rsidRPr="007C6D26">
        <w:rPr>
          <w:rFonts w:ascii="Times New Roman" w:hAnsi="Times New Roman" w:cs="Times New Roman"/>
          <w:iCs/>
          <w:sz w:val="24"/>
          <w:szCs w:val="24"/>
        </w:rPr>
        <w:t>o</w:t>
      </w:r>
      <w:r>
        <w:rPr>
          <w:rFonts w:ascii="Times New Roman" w:hAnsi="Times New Roman" w:cs="Times New Roman"/>
          <w:iCs/>
          <w:sz w:val="24"/>
          <w:szCs w:val="24"/>
        </w:rPr>
        <w:t>.</w:t>
      </w:r>
      <w:r w:rsidRPr="007C6D26">
        <w:rPr>
          <w:rFonts w:ascii="Times New Roman" w:hAnsi="Times New Roman" w:cs="Times New Roman"/>
          <w:iCs/>
          <w:sz w:val="24"/>
          <w:szCs w:val="24"/>
        </w:rPr>
        <w:t xml:space="preserve"> 2010-10</w:t>
      </w:r>
      <w:r>
        <w:rPr>
          <w:rFonts w:ascii="Times New Roman" w:hAnsi="Times New Roman" w:cs="Times New Roman"/>
          <w:iCs/>
          <w:sz w:val="24"/>
          <w:szCs w:val="24"/>
        </w:rPr>
        <w:t>, 2010</w:t>
      </w:r>
      <w:r w:rsidRPr="007C6D26">
        <w:rPr>
          <w:rFonts w:ascii="Times New Roman" w:hAnsi="Times New Roman" w:cs="Times New Roman"/>
          <w:iCs/>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[36] N. </w:t>
      </w:r>
      <w:proofErr w:type="spellStart"/>
      <w:r w:rsidRPr="007C6D26">
        <w:rPr>
          <w:rFonts w:ascii="Times New Roman" w:hAnsi="Times New Roman" w:cs="Times New Roman"/>
          <w:sz w:val="24"/>
          <w:szCs w:val="24"/>
        </w:rPr>
        <w:t>Ndung'u</w:t>
      </w:r>
      <w:proofErr w:type="spellEnd"/>
      <w:r w:rsidRPr="007C6D26">
        <w:rPr>
          <w:rFonts w:ascii="Times New Roman" w:hAnsi="Times New Roman" w:cs="Times New Roman"/>
          <w:sz w:val="24"/>
          <w:szCs w:val="24"/>
        </w:rPr>
        <w:t>,</w:t>
      </w:r>
      <w:r>
        <w:rPr>
          <w:rFonts w:ascii="Times New Roman" w:hAnsi="Times New Roman" w:cs="Times New Roman"/>
          <w:sz w:val="24"/>
          <w:szCs w:val="24"/>
        </w:rPr>
        <w:t xml:space="preserve"> </w:t>
      </w:r>
      <w:r w:rsidRPr="007C6D26">
        <w:rPr>
          <w:rFonts w:ascii="Times New Roman" w:hAnsi="Times New Roman" w:cs="Times New Roman"/>
          <w:sz w:val="24"/>
          <w:szCs w:val="24"/>
        </w:rPr>
        <w:t>‘Monetary and Exchange rate policy in Kenya’, Executive Summary, African Economic Research Consortium (AERC),</w:t>
      </w:r>
      <w:r>
        <w:rPr>
          <w:rFonts w:ascii="Times New Roman" w:hAnsi="Times New Roman" w:cs="Times New Roman"/>
          <w:sz w:val="24"/>
          <w:szCs w:val="24"/>
        </w:rPr>
        <w:t xml:space="preserve"> 2000, </w:t>
      </w:r>
      <w:r w:rsidRPr="007C6D26">
        <w:rPr>
          <w:rFonts w:ascii="Times New Roman" w:hAnsi="Times New Roman" w:cs="Times New Roman"/>
          <w:sz w:val="24"/>
          <w:szCs w:val="24"/>
        </w:rPr>
        <w:t xml:space="preserve">www.unpan1.un.org/intradoc/ groups/public/documents/IDEP/UNP </w:t>
      </w:r>
      <w:proofErr w:type="gramStart"/>
      <w:r w:rsidRPr="007C6D26">
        <w:rPr>
          <w:rFonts w:ascii="Times New Roman" w:hAnsi="Times New Roman" w:cs="Times New Roman"/>
          <w:sz w:val="24"/>
          <w:szCs w:val="24"/>
        </w:rPr>
        <w:t>AN</w:t>
      </w:r>
      <w:proofErr w:type="gramEnd"/>
      <w:r w:rsidRPr="007C6D26">
        <w:rPr>
          <w:rFonts w:ascii="Times New Roman" w:hAnsi="Times New Roman" w:cs="Times New Roman"/>
          <w:sz w:val="24"/>
          <w:szCs w:val="24"/>
        </w:rPr>
        <w:t xml:space="preserve"> 003 896.pdf. </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[37] R. </w:t>
      </w:r>
      <w:proofErr w:type="spellStart"/>
      <w:r>
        <w:rPr>
          <w:rFonts w:ascii="Times New Roman" w:hAnsi="Times New Roman" w:cs="Times New Roman"/>
          <w:sz w:val="24"/>
          <w:szCs w:val="24"/>
        </w:rPr>
        <w:t>Mnjama</w:t>
      </w:r>
      <w:proofErr w:type="spellEnd"/>
      <w:r w:rsidRPr="007C6D26">
        <w:rPr>
          <w:rFonts w:ascii="Times New Roman" w:hAnsi="Times New Roman" w:cs="Times New Roman"/>
          <w:sz w:val="24"/>
          <w:szCs w:val="24"/>
        </w:rPr>
        <w:t xml:space="preserve"> ‘</w:t>
      </w:r>
      <w:r w:rsidRPr="007C6D26">
        <w:rPr>
          <w:rFonts w:ascii="Times New Roman" w:hAnsi="Times New Roman" w:cs="Times New Roman"/>
          <w:bCs/>
          <w:sz w:val="24"/>
          <w:szCs w:val="24"/>
        </w:rPr>
        <w:t>Exchange Rate Pass-Through to Domestic Prices In Kenya</w:t>
      </w:r>
      <w:r w:rsidRPr="007C6D26">
        <w:rPr>
          <w:rFonts w:ascii="Times New Roman" w:hAnsi="Times New Roman" w:cs="Times New Roman"/>
          <w:sz w:val="24"/>
          <w:szCs w:val="24"/>
        </w:rPr>
        <w:t xml:space="preserve">’, Unpublished M.Sc. Dissertation, Rhodes University, </w:t>
      </w:r>
      <w:proofErr w:type="spellStart"/>
      <w:r w:rsidRPr="007C6D26">
        <w:rPr>
          <w:rFonts w:ascii="Times New Roman" w:hAnsi="Times New Roman" w:cs="Times New Roman"/>
          <w:sz w:val="24"/>
          <w:szCs w:val="24"/>
        </w:rPr>
        <w:t>Grahamstown</w:t>
      </w:r>
      <w:proofErr w:type="spellEnd"/>
      <w:r w:rsidRPr="007C6D26">
        <w:rPr>
          <w:rFonts w:ascii="Times New Roman" w:hAnsi="Times New Roman" w:cs="Times New Roman"/>
          <w:sz w:val="24"/>
          <w:szCs w:val="24"/>
        </w:rPr>
        <w:t>.</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proofErr w:type="gramStart"/>
      <w:r>
        <w:rPr>
          <w:rFonts w:ascii="Times New Roman" w:hAnsi="Times New Roman" w:cs="Times New Roman"/>
          <w:iCs/>
          <w:sz w:val="24"/>
          <w:szCs w:val="24"/>
        </w:rPr>
        <w:t xml:space="preserve">[38] M. </w:t>
      </w:r>
      <w:proofErr w:type="spellStart"/>
      <w:r>
        <w:rPr>
          <w:rFonts w:ascii="Times New Roman" w:hAnsi="Times New Roman" w:cs="Times New Roman"/>
          <w:sz w:val="24"/>
          <w:szCs w:val="24"/>
        </w:rPr>
        <w:t>Kiptui</w:t>
      </w:r>
      <w:proofErr w:type="spellEnd"/>
      <w:r>
        <w:rPr>
          <w:rFonts w:ascii="Times New Roman" w:hAnsi="Times New Roman" w:cs="Times New Roman"/>
          <w:sz w:val="24"/>
          <w:szCs w:val="24"/>
        </w:rPr>
        <w:t xml:space="preserve"> </w:t>
      </w:r>
      <w:r w:rsidRPr="007C6D26">
        <w:rPr>
          <w:rFonts w:ascii="Times New Roman" w:hAnsi="Times New Roman" w:cs="Times New Roman"/>
          <w:sz w:val="24"/>
          <w:szCs w:val="24"/>
        </w:rPr>
        <w:t>and</w:t>
      </w:r>
      <w:r>
        <w:rPr>
          <w:rFonts w:ascii="Times New Roman" w:hAnsi="Times New Roman" w:cs="Times New Roman"/>
          <w:sz w:val="24"/>
          <w:szCs w:val="24"/>
        </w:rPr>
        <w:t xml:space="preserve"> L.</w:t>
      </w:r>
      <w:r w:rsidRPr="007C6D26">
        <w:rPr>
          <w:rFonts w:ascii="Times New Roman" w:hAnsi="Times New Roman" w:cs="Times New Roman"/>
          <w:sz w:val="24"/>
          <w:szCs w:val="24"/>
        </w:rPr>
        <w:t xml:space="preserve"> </w:t>
      </w:r>
      <w:proofErr w:type="spellStart"/>
      <w:r w:rsidRPr="007C6D26">
        <w:rPr>
          <w:rFonts w:ascii="Times New Roman" w:hAnsi="Times New Roman" w:cs="Times New Roman"/>
          <w:sz w:val="24"/>
          <w:szCs w:val="24"/>
        </w:rPr>
        <w:t>Kipyegon</w:t>
      </w:r>
      <w:proofErr w:type="spellEnd"/>
      <w:r>
        <w:rPr>
          <w:rFonts w:ascii="Times New Roman" w:hAnsi="Times New Roman" w:cs="Times New Roman"/>
          <w:sz w:val="24"/>
          <w:szCs w:val="24"/>
        </w:rPr>
        <w:t>,</w:t>
      </w:r>
      <w:r w:rsidRPr="007C6D26">
        <w:rPr>
          <w:rFonts w:ascii="Times New Roman" w:hAnsi="Times New Roman" w:cs="Times New Roman"/>
          <w:sz w:val="24"/>
          <w:szCs w:val="24"/>
        </w:rPr>
        <w:t xml:space="preserve"> ‘External Shocks and Real Exchange Rate Movements in Kenya’,</w:t>
      </w:r>
      <w:r>
        <w:rPr>
          <w:rFonts w:ascii="Times New Roman" w:hAnsi="Times New Roman" w:cs="Times New Roman"/>
          <w:sz w:val="24"/>
          <w:szCs w:val="24"/>
        </w:rPr>
        <w:t xml:space="preserve"> 2008,</w:t>
      </w:r>
      <w:r w:rsidRPr="007C6D26">
        <w:rPr>
          <w:rFonts w:ascii="Times New Roman" w:hAnsi="Times New Roman" w:cs="Times New Roman"/>
          <w:sz w:val="24"/>
          <w:szCs w:val="24"/>
        </w:rPr>
        <w:t xml:space="preserve"> www.africametrics.org/documents/conference08/day2/session4/kiptui </w:t>
      </w:r>
      <w:proofErr w:type="spellStart"/>
      <w:r w:rsidRPr="007C6D26">
        <w:rPr>
          <w:rFonts w:ascii="Times New Roman" w:hAnsi="Times New Roman" w:cs="Times New Roman"/>
          <w:sz w:val="24"/>
          <w:szCs w:val="24"/>
        </w:rPr>
        <w:t>kipvegon</w:t>
      </w:r>
      <w:proofErr w:type="spellEnd"/>
      <w:r w:rsidRPr="007C6D26">
        <w:rPr>
          <w:rFonts w:ascii="Times New Roman" w:hAnsi="Times New Roman" w:cs="Times New Roman"/>
          <w:sz w:val="24"/>
          <w:szCs w:val="24"/>
        </w:rPr>
        <w:t>.</w:t>
      </w:r>
      <w:proofErr w:type="gramEnd"/>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[39] A. </w:t>
      </w:r>
      <w:proofErr w:type="spellStart"/>
      <w:r w:rsidRPr="007C6D26">
        <w:rPr>
          <w:rFonts w:ascii="Times New Roman" w:hAnsi="Times New Roman" w:cs="Times New Roman"/>
          <w:sz w:val="24"/>
          <w:szCs w:val="24"/>
        </w:rPr>
        <w:t>Men</w:t>
      </w:r>
      <w:r>
        <w:rPr>
          <w:rFonts w:ascii="Times New Roman" w:hAnsi="Times New Roman" w:cs="Times New Roman"/>
          <w:sz w:val="24"/>
          <w:szCs w:val="24"/>
        </w:rPr>
        <w:t>de</w:t>
      </w:r>
      <w:proofErr w:type="spellEnd"/>
      <w:r>
        <w:rPr>
          <w:rFonts w:ascii="Times New Roman" w:hAnsi="Times New Roman" w:cs="Times New Roman"/>
          <w:sz w:val="24"/>
          <w:szCs w:val="24"/>
        </w:rPr>
        <w:t xml:space="preserve">, </w:t>
      </w:r>
      <w:r w:rsidRPr="007C6D26">
        <w:rPr>
          <w:rFonts w:ascii="Times New Roman" w:hAnsi="Times New Roman" w:cs="Times New Roman"/>
          <w:sz w:val="24"/>
          <w:szCs w:val="24"/>
        </w:rPr>
        <w:t>‘</w:t>
      </w:r>
      <w:r w:rsidRPr="007C6D26">
        <w:rPr>
          <w:rFonts w:ascii="Times New Roman" w:hAnsi="Times New Roman" w:cs="Times New Roman"/>
          <w:bCs/>
          <w:iCs/>
          <w:sz w:val="24"/>
          <w:szCs w:val="24"/>
        </w:rPr>
        <w:t>09/11 on the USD/EUR foreign exchange market</w:t>
      </w:r>
      <w:r>
        <w:rPr>
          <w:rFonts w:ascii="Times New Roman" w:hAnsi="Times New Roman" w:cs="Times New Roman"/>
          <w:sz w:val="24"/>
          <w:szCs w:val="24"/>
        </w:rPr>
        <w:t>’, Working Paper n</w:t>
      </w:r>
      <w:r w:rsidRPr="007C6D26">
        <w:rPr>
          <w:rFonts w:ascii="Times New Roman" w:hAnsi="Times New Roman" w:cs="Times New Roman"/>
          <w:sz w:val="24"/>
          <w:szCs w:val="24"/>
        </w:rPr>
        <w:t>o. 312</w:t>
      </w:r>
      <w:proofErr w:type="gramStart"/>
      <w:r w:rsidRPr="007C6D26">
        <w:rPr>
          <w:rFonts w:ascii="Times New Roman" w:hAnsi="Times New Roman" w:cs="Times New Roman"/>
          <w:sz w:val="24"/>
          <w:szCs w:val="24"/>
        </w:rPr>
        <w:t xml:space="preserve">,  </w:t>
      </w:r>
      <w:r>
        <w:rPr>
          <w:rFonts w:ascii="Times New Roman" w:hAnsi="Times New Roman" w:cs="Times New Roman"/>
          <w:sz w:val="24"/>
          <w:szCs w:val="24"/>
        </w:rPr>
        <w:t>2005</w:t>
      </w:r>
      <w:proofErr w:type="gramEnd"/>
      <w:r>
        <w:rPr>
          <w:rFonts w:ascii="Times New Roman" w:hAnsi="Times New Roman" w:cs="Times New Roman"/>
          <w:sz w:val="24"/>
          <w:szCs w:val="24"/>
        </w:rPr>
        <w:t xml:space="preserve">, </w:t>
      </w:r>
      <w:r w:rsidRPr="007C6D26">
        <w:rPr>
          <w:rFonts w:ascii="Times New Roman" w:hAnsi="Times New Roman" w:cs="Times New Roman"/>
          <w:sz w:val="24"/>
          <w:szCs w:val="24"/>
        </w:rPr>
        <w:t>University of Hannover, Germany.</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[40] R. </w:t>
      </w:r>
      <w:proofErr w:type="spellStart"/>
      <w:r w:rsidRPr="007C6D26">
        <w:rPr>
          <w:rFonts w:ascii="Times New Roman" w:hAnsi="Times New Roman" w:cs="Times New Roman"/>
          <w:sz w:val="24"/>
          <w:szCs w:val="24"/>
        </w:rPr>
        <w:t>Goyal</w:t>
      </w:r>
      <w:proofErr w:type="spellEnd"/>
      <w:r w:rsidRPr="007C6D26">
        <w:rPr>
          <w:rFonts w:ascii="Times New Roman" w:hAnsi="Times New Roman" w:cs="Times New Roman"/>
          <w:sz w:val="24"/>
          <w:szCs w:val="24"/>
        </w:rPr>
        <w:t>, ‘</w:t>
      </w:r>
      <w:r w:rsidRPr="007C6D26">
        <w:rPr>
          <w:rFonts w:ascii="Times New Roman" w:hAnsi="Times New Roman" w:cs="Times New Roman"/>
          <w:bCs/>
          <w:iCs/>
          <w:sz w:val="24"/>
          <w:szCs w:val="24"/>
        </w:rPr>
        <w:t>Investment risk management and portfolio optimization in emerging Markets’,</w:t>
      </w:r>
      <w:r w:rsidRPr="007C6D26">
        <w:rPr>
          <w:rFonts w:ascii="Times New Roman" w:hAnsi="Times New Roman" w:cs="Times New Roman"/>
          <w:iCs/>
          <w:sz w:val="24"/>
          <w:szCs w:val="24"/>
        </w:rPr>
        <w:t xml:space="preserve"> </w:t>
      </w:r>
      <w:r w:rsidRPr="007C6D26">
        <w:rPr>
          <w:rFonts w:ascii="Times New Roman" w:hAnsi="Times New Roman" w:cs="Times New Roman"/>
          <w:sz w:val="24"/>
          <w:szCs w:val="24"/>
        </w:rPr>
        <w:t>Unpublished MBA Thesis, University of Wales Institute Cardiff, United Kingdom</w:t>
      </w:r>
      <w:r>
        <w:rPr>
          <w:rFonts w:ascii="Times New Roman" w:hAnsi="Times New Roman" w:cs="Times New Roman"/>
          <w:sz w:val="24"/>
          <w:szCs w:val="24"/>
        </w:rPr>
        <w:t>, 2007</w:t>
      </w:r>
      <w:r w:rsidRPr="007C6D26">
        <w:rPr>
          <w:rFonts w:ascii="Times New Roman" w:hAnsi="Times New Roman" w:cs="Times New Roman"/>
          <w:sz w:val="24"/>
          <w:szCs w:val="24"/>
        </w:rPr>
        <w:t>.</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[41] S. </w:t>
      </w:r>
      <w:proofErr w:type="spellStart"/>
      <w:r w:rsidRPr="007C6D26">
        <w:rPr>
          <w:rFonts w:ascii="Times New Roman" w:hAnsi="Times New Roman" w:cs="Times New Roman"/>
          <w:bCs/>
          <w:iCs/>
          <w:sz w:val="24"/>
          <w:szCs w:val="24"/>
        </w:rPr>
        <w:t>Rahman</w:t>
      </w:r>
      <w:proofErr w:type="spellEnd"/>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C. Lee</w:t>
      </w:r>
      <w:r w:rsidRPr="007C6D26">
        <w:rPr>
          <w:rFonts w:ascii="Times New Roman" w:hAnsi="Times New Roman" w:cs="Times New Roman"/>
          <w:bCs/>
          <w:iCs/>
          <w:sz w:val="24"/>
          <w:szCs w:val="24"/>
        </w:rPr>
        <w:t xml:space="preserve"> and </w:t>
      </w:r>
      <w:r>
        <w:rPr>
          <w:rFonts w:ascii="Times New Roman" w:hAnsi="Times New Roman" w:cs="Times New Roman"/>
          <w:bCs/>
          <w:iCs/>
          <w:sz w:val="24"/>
          <w:szCs w:val="24"/>
        </w:rPr>
        <w:t xml:space="preserve">K. </w:t>
      </w:r>
      <w:proofErr w:type="spellStart"/>
      <w:r w:rsidRPr="007C6D26">
        <w:rPr>
          <w:rFonts w:ascii="Times New Roman" w:hAnsi="Times New Roman" w:cs="Times New Roman"/>
          <w:bCs/>
          <w:iCs/>
          <w:sz w:val="24"/>
          <w:szCs w:val="24"/>
        </w:rPr>
        <w:t>Ang</w:t>
      </w:r>
      <w:proofErr w:type="spellEnd"/>
      <w:r>
        <w:rPr>
          <w:rFonts w:ascii="Times New Roman" w:hAnsi="Times New Roman" w:cs="Times New Roman"/>
          <w:bCs/>
          <w:iCs/>
          <w:sz w:val="24"/>
          <w:szCs w:val="24"/>
        </w:rPr>
        <w:t>,</w:t>
      </w:r>
      <w:r w:rsidRPr="007C6D26">
        <w:rPr>
          <w:rFonts w:ascii="Times New Roman" w:hAnsi="Times New Roman" w:cs="Times New Roman"/>
          <w:bCs/>
          <w:iCs/>
          <w:sz w:val="24"/>
          <w:szCs w:val="24"/>
        </w:rPr>
        <w:t xml:space="preserve"> ‘Intraday Return Volatility Process: Evidence from NASDAQ Stocks’, Review of Quantitative Finance and Accounting</w:t>
      </w:r>
      <w:r>
        <w:rPr>
          <w:rFonts w:ascii="Times New Roman" w:hAnsi="Times New Roman" w:cs="Times New Roman"/>
          <w:bCs/>
          <w:iCs/>
          <w:sz w:val="24"/>
          <w:szCs w:val="24"/>
        </w:rPr>
        <w:t xml:space="preserve">, Volume </w:t>
      </w:r>
      <w:r w:rsidRPr="007C6D26">
        <w:rPr>
          <w:rFonts w:ascii="Times New Roman" w:hAnsi="Times New Roman" w:cs="Times New Roman"/>
          <w:bCs/>
          <w:iCs/>
          <w:sz w:val="24"/>
          <w:szCs w:val="24"/>
        </w:rPr>
        <w:t>19</w:t>
      </w:r>
      <w:r>
        <w:rPr>
          <w:rFonts w:ascii="Times New Roman" w:hAnsi="Times New Roman" w:cs="Times New Roman"/>
          <w:bCs/>
          <w:iCs/>
          <w:sz w:val="24"/>
          <w:szCs w:val="24"/>
        </w:rPr>
        <w:t xml:space="preserve">, 2002, </w:t>
      </w:r>
      <w:proofErr w:type="gramStart"/>
      <w:r>
        <w:rPr>
          <w:rFonts w:ascii="Times New Roman" w:hAnsi="Times New Roman" w:cs="Times New Roman"/>
          <w:bCs/>
          <w:iCs/>
          <w:sz w:val="24"/>
          <w:szCs w:val="24"/>
        </w:rPr>
        <w:t>pp</w:t>
      </w:r>
      <w:proofErr w:type="gramEnd"/>
      <w:r>
        <w:rPr>
          <w:rFonts w:ascii="Times New Roman" w:hAnsi="Times New Roman" w:cs="Times New Roman"/>
          <w:bCs/>
          <w:iCs/>
          <w:sz w:val="24"/>
          <w:szCs w:val="24"/>
        </w:rPr>
        <w:t>.</w:t>
      </w:r>
      <w:r w:rsidRPr="007C6D26">
        <w:rPr>
          <w:rFonts w:ascii="Times New Roman" w:hAnsi="Times New Roman" w:cs="Times New Roman"/>
          <w:bCs/>
          <w:iCs/>
          <w:sz w:val="24"/>
          <w:szCs w:val="24"/>
        </w:rPr>
        <w:t xml:space="preserve"> 155- 180.</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[42] I. </w:t>
      </w:r>
      <w:proofErr w:type="spellStart"/>
      <w:r w:rsidRPr="007C6D26">
        <w:rPr>
          <w:rFonts w:ascii="Times New Roman" w:hAnsi="Times New Roman" w:cs="Times New Roman"/>
          <w:sz w:val="24"/>
          <w:szCs w:val="24"/>
        </w:rPr>
        <w:t>Maana</w:t>
      </w:r>
      <w:proofErr w:type="spellEnd"/>
      <w:r w:rsidRPr="007C6D26">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sidRPr="007C6D26">
        <w:rPr>
          <w:rFonts w:ascii="Times New Roman" w:hAnsi="Times New Roman" w:cs="Times New Roman"/>
          <w:sz w:val="24"/>
          <w:szCs w:val="24"/>
        </w:rPr>
        <w:t>Nwita</w:t>
      </w:r>
      <w:proofErr w:type="spellEnd"/>
      <w:r w:rsidRPr="007C6D26">
        <w:rPr>
          <w:rFonts w:ascii="Times New Roman" w:hAnsi="Times New Roman" w:cs="Times New Roman"/>
          <w:sz w:val="24"/>
          <w:szCs w:val="24"/>
        </w:rPr>
        <w:t xml:space="preserve"> and </w:t>
      </w:r>
      <w:r>
        <w:rPr>
          <w:rFonts w:ascii="Times New Roman" w:hAnsi="Times New Roman" w:cs="Times New Roman"/>
          <w:sz w:val="24"/>
          <w:szCs w:val="24"/>
        </w:rPr>
        <w:t xml:space="preserve">R. </w:t>
      </w:r>
      <w:proofErr w:type="spellStart"/>
      <w:r w:rsidRPr="007C6D26">
        <w:rPr>
          <w:rFonts w:ascii="Times New Roman" w:hAnsi="Times New Roman" w:cs="Times New Roman"/>
          <w:sz w:val="24"/>
          <w:szCs w:val="24"/>
        </w:rPr>
        <w:t>Odhiambo</w:t>
      </w:r>
      <w:proofErr w:type="spellEnd"/>
      <w:r>
        <w:rPr>
          <w:rFonts w:ascii="Times New Roman" w:hAnsi="Times New Roman" w:cs="Times New Roman"/>
          <w:sz w:val="24"/>
          <w:szCs w:val="24"/>
        </w:rPr>
        <w:t>,</w:t>
      </w:r>
      <w:r w:rsidRPr="007C6D26">
        <w:rPr>
          <w:rFonts w:ascii="Times New Roman" w:hAnsi="Times New Roman" w:cs="Times New Roman"/>
          <w:sz w:val="24"/>
          <w:szCs w:val="24"/>
        </w:rPr>
        <w:t xml:space="preserve"> ‘Modeling the Volatility of Exchange Rates in the Kenyan Market’, African Journal of Business Management</w:t>
      </w:r>
      <w:r>
        <w:rPr>
          <w:rFonts w:ascii="Times New Roman" w:hAnsi="Times New Roman" w:cs="Times New Roman"/>
          <w:sz w:val="24"/>
          <w:szCs w:val="24"/>
        </w:rPr>
        <w:t>,</w:t>
      </w:r>
      <w:r w:rsidRPr="007C6D26">
        <w:rPr>
          <w:rFonts w:ascii="Times New Roman" w:hAnsi="Times New Roman" w:cs="Times New Roman"/>
          <w:sz w:val="24"/>
          <w:szCs w:val="24"/>
        </w:rPr>
        <w:t xml:space="preserve"> </w:t>
      </w:r>
      <w:r>
        <w:rPr>
          <w:rFonts w:ascii="Times New Roman" w:hAnsi="Times New Roman" w:cs="Times New Roman"/>
          <w:sz w:val="24"/>
          <w:szCs w:val="24"/>
        </w:rPr>
        <w:t xml:space="preserve">Volume </w:t>
      </w:r>
      <w:r w:rsidRPr="007C6D26">
        <w:rPr>
          <w:rFonts w:ascii="Times New Roman" w:hAnsi="Times New Roman" w:cs="Times New Roman"/>
          <w:sz w:val="24"/>
          <w:szCs w:val="24"/>
        </w:rPr>
        <w:t>4</w:t>
      </w:r>
      <w:r>
        <w:rPr>
          <w:rFonts w:ascii="Times New Roman" w:hAnsi="Times New Roman" w:cs="Times New Roman"/>
          <w:sz w:val="24"/>
          <w:szCs w:val="24"/>
        </w:rPr>
        <w:t xml:space="preserve"> no. </w:t>
      </w:r>
      <w:r w:rsidRPr="007C6D26">
        <w:rPr>
          <w:rFonts w:ascii="Times New Roman" w:hAnsi="Times New Roman" w:cs="Times New Roman"/>
          <w:sz w:val="24"/>
          <w:szCs w:val="24"/>
        </w:rPr>
        <w:t>7</w:t>
      </w:r>
      <w:r>
        <w:rPr>
          <w:rFonts w:ascii="Times New Roman" w:hAnsi="Times New Roman" w:cs="Times New Roman"/>
          <w:sz w:val="24"/>
          <w:szCs w:val="24"/>
        </w:rPr>
        <w:t>, 2010, pp.</w:t>
      </w:r>
      <w:r w:rsidRPr="007C6D26">
        <w:rPr>
          <w:rFonts w:ascii="Times New Roman" w:hAnsi="Times New Roman" w:cs="Times New Roman"/>
          <w:sz w:val="24"/>
          <w:szCs w:val="24"/>
        </w:rPr>
        <w:t xml:space="preserve"> 1401 - 1408. </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iCs/>
          <w:sz w:val="24"/>
          <w:szCs w:val="24"/>
        </w:rPr>
        <w:lastRenderedPageBreak/>
        <w:t xml:space="preserve">[43] T. </w:t>
      </w:r>
      <w:proofErr w:type="spellStart"/>
      <w:r w:rsidRPr="007C6D26">
        <w:rPr>
          <w:rFonts w:ascii="Times New Roman" w:hAnsi="Times New Roman" w:cs="Times New Roman"/>
          <w:bCs/>
          <w:iCs/>
          <w:sz w:val="24"/>
          <w:szCs w:val="24"/>
        </w:rPr>
        <w:t>Bollerslev</w:t>
      </w:r>
      <w:proofErr w:type="spellEnd"/>
      <w:r w:rsidRPr="007C6D2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7C6D26">
        <w:rPr>
          <w:rFonts w:ascii="Times New Roman" w:hAnsi="Times New Roman" w:cs="Times New Roman"/>
          <w:bCs/>
          <w:iCs/>
          <w:sz w:val="24"/>
          <w:szCs w:val="24"/>
        </w:rPr>
        <w:t xml:space="preserve">‘Generalized Autoregressive Conditional </w:t>
      </w:r>
      <w:proofErr w:type="spellStart"/>
      <w:r w:rsidRPr="007C6D26">
        <w:rPr>
          <w:rFonts w:ascii="Times New Roman" w:hAnsi="Times New Roman" w:cs="Times New Roman"/>
          <w:bCs/>
          <w:iCs/>
          <w:sz w:val="24"/>
          <w:szCs w:val="24"/>
        </w:rPr>
        <w:t>Heteroskedasticity</w:t>
      </w:r>
      <w:proofErr w:type="spellEnd"/>
      <w:r w:rsidRPr="007C6D26">
        <w:rPr>
          <w:rFonts w:ascii="Times New Roman" w:hAnsi="Times New Roman" w:cs="Times New Roman"/>
          <w:bCs/>
          <w:iCs/>
          <w:sz w:val="24"/>
          <w:szCs w:val="24"/>
        </w:rPr>
        <w:t xml:space="preserve">’, Journal of Econometrics, </w:t>
      </w:r>
      <w:r>
        <w:rPr>
          <w:rFonts w:ascii="Times New Roman" w:hAnsi="Times New Roman" w:cs="Times New Roman"/>
          <w:bCs/>
          <w:iCs/>
          <w:sz w:val="24"/>
          <w:szCs w:val="24"/>
        </w:rPr>
        <w:t xml:space="preserve">Volume </w:t>
      </w:r>
      <w:r w:rsidRPr="007C6D26">
        <w:rPr>
          <w:rFonts w:ascii="Times New Roman" w:hAnsi="Times New Roman" w:cs="Times New Roman"/>
          <w:bCs/>
          <w:iCs/>
          <w:sz w:val="24"/>
          <w:szCs w:val="24"/>
        </w:rPr>
        <w:t>31</w:t>
      </w:r>
      <w:r>
        <w:rPr>
          <w:rFonts w:ascii="Times New Roman" w:hAnsi="Times New Roman" w:cs="Times New Roman"/>
          <w:bCs/>
          <w:iCs/>
          <w:sz w:val="24"/>
          <w:szCs w:val="24"/>
        </w:rPr>
        <w:t>, 1986, pp.</w:t>
      </w:r>
      <w:r w:rsidRPr="007C6D26">
        <w:rPr>
          <w:rFonts w:ascii="Times New Roman" w:hAnsi="Times New Roman" w:cs="Times New Roman"/>
          <w:bCs/>
          <w:iCs/>
          <w:sz w:val="24"/>
          <w:szCs w:val="24"/>
        </w:rPr>
        <w:t xml:space="preserve"> 307 - 327.</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[44] R. </w:t>
      </w:r>
      <w:r>
        <w:rPr>
          <w:rFonts w:ascii="Times New Roman" w:hAnsi="Times New Roman" w:cs="Times New Roman"/>
          <w:bCs/>
          <w:iCs/>
          <w:sz w:val="24"/>
          <w:szCs w:val="24"/>
        </w:rPr>
        <w:t xml:space="preserve">Engle, </w:t>
      </w:r>
      <w:r w:rsidRPr="007C6D26">
        <w:rPr>
          <w:rFonts w:ascii="Times New Roman" w:hAnsi="Times New Roman" w:cs="Times New Roman"/>
          <w:bCs/>
          <w:iCs/>
          <w:sz w:val="24"/>
          <w:szCs w:val="24"/>
        </w:rPr>
        <w:t xml:space="preserve">‘Discussion: Stock market volatility and the crash of 87’, Review of Financial Studies, </w:t>
      </w:r>
      <w:r>
        <w:rPr>
          <w:rFonts w:ascii="Times New Roman" w:hAnsi="Times New Roman" w:cs="Times New Roman"/>
          <w:bCs/>
          <w:iCs/>
          <w:sz w:val="24"/>
          <w:szCs w:val="24"/>
        </w:rPr>
        <w:t>Volume 3, 1990, pp.</w:t>
      </w:r>
      <w:r w:rsidRPr="007C6D26">
        <w:rPr>
          <w:rFonts w:ascii="Times New Roman" w:hAnsi="Times New Roman" w:cs="Times New Roman"/>
          <w:bCs/>
          <w:iCs/>
          <w:sz w:val="24"/>
          <w:szCs w:val="24"/>
        </w:rPr>
        <w:t xml:space="preserve"> 103 – 106.</w:t>
      </w:r>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proofErr w:type="gramStart"/>
      <w:r>
        <w:rPr>
          <w:rFonts w:ascii="Times New Roman" w:hAnsi="Times New Roman" w:cs="Times New Roman"/>
          <w:iCs/>
          <w:sz w:val="24"/>
          <w:szCs w:val="24"/>
        </w:rPr>
        <w:t xml:space="preserve">[45] Z. </w:t>
      </w:r>
      <w:r>
        <w:rPr>
          <w:rFonts w:ascii="Times New Roman" w:hAnsi="Times New Roman" w:cs="Times New Roman"/>
          <w:bCs/>
          <w:iCs/>
          <w:sz w:val="24"/>
          <w:szCs w:val="24"/>
        </w:rPr>
        <w:t>Ding,</w:t>
      </w:r>
      <w:r w:rsidRPr="007C6D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 </w:t>
      </w:r>
      <w:r w:rsidRPr="007C6D26">
        <w:rPr>
          <w:rFonts w:ascii="Times New Roman" w:hAnsi="Times New Roman" w:cs="Times New Roman"/>
          <w:bCs/>
          <w:iCs/>
          <w:sz w:val="24"/>
          <w:szCs w:val="24"/>
        </w:rPr>
        <w:t>Granger</w:t>
      </w:r>
      <w:r>
        <w:rPr>
          <w:rFonts w:ascii="Times New Roman" w:hAnsi="Times New Roman" w:cs="Times New Roman"/>
          <w:bCs/>
          <w:iCs/>
          <w:sz w:val="24"/>
          <w:szCs w:val="24"/>
        </w:rPr>
        <w:t xml:space="preserve"> </w:t>
      </w:r>
      <w:r w:rsidRPr="007C6D26">
        <w:rPr>
          <w:rFonts w:ascii="Times New Roman" w:hAnsi="Times New Roman" w:cs="Times New Roman"/>
          <w:bCs/>
          <w:iCs/>
          <w:sz w:val="24"/>
          <w:szCs w:val="24"/>
        </w:rPr>
        <w:t>and</w:t>
      </w:r>
      <w:r>
        <w:rPr>
          <w:rFonts w:ascii="Times New Roman" w:hAnsi="Times New Roman" w:cs="Times New Roman"/>
          <w:bCs/>
          <w:iCs/>
          <w:sz w:val="24"/>
          <w:szCs w:val="24"/>
        </w:rPr>
        <w:t xml:space="preserve"> R.</w:t>
      </w:r>
      <w:r w:rsidRPr="007C6D26">
        <w:rPr>
          <w:rFonts w:ascii="Times New Roman" w:hAnsi="Times New Roman" w:cs="Times New Roman"/>
          <w:bCs/>
          <w:iCs/>
          <w:sz w:val="24"/>
          <w:szCs w:val="24"/>
        </w:rPr>
        <w:t xml:space="preserve"> Engle, ‘A long memory property of stock market returns and a new model’, Journal of Empirical Finance, </w:t>
      </w:r>
      <w:r>
        <w:rPr>
          <w:rFonts w:ascii="Times New Roman" w:hAnsi="Times New Roman" w:cs="Times New Roman"/>
          <w:bCs/>
          <w:iCs/>
          <w:sz w:val="24"/>
          <w:szCs w:val="24"/>
        </w:rPr>
        <w:t xml:space="preserve">Volume </w:t>
      </w:r>
      <w:r w:rsidRPr="007C6D26">
        <w:rPr>
          <w:rFonts w:ascii="Times New Roman" w:hAnsi="Times New Roman" w:cs="Times New Roman"/>
          <w:bCs/>
          <w:iCs/>
          <w:sz w:val="24"/>
          <w:szCs w:val="24"/>
        </w:rPr>
        <w:t>1</w:t>
      </w:r>
      <w:r>
        <w:rPr>
          <w:rFonts w:ascii="Times New Roman" w:hAnsi="Times New Roman" w:cs="Times New Roman"/>
          <w:bCs/>
          <w:iCs/>
          <w:sz w:val="24"/>
          <w:szCs w:val="24"/>
        </w:rPr>
        <w:t>, 1993, pp.</w:t>
      </w:r>
      <w:r w:rsidRPr="007C6D26">
        <w:rPr>
          <w:rFonts w:ascii="Times New Roman" w:hAnsi="Times New Roman" w:cs="Times New Roman"/>
          <w:bCs/>
          <w:iCs/>
          <w:sz w:val="24"/>
          <w:szCs w:val="24"/>
        </w:rPr>
        <w:t xml:space="preserve"> 83 – 106.</w:t>
      </w:r>
      <w:proofErr w:type="gramEnd"/>
    </w:p>
    <w:p w:rsidR="00EB136C" w:rsidRPr="007C6D26" w:rsidRDefault="00EB136C" w:rsidP="00EB136C">
      <w:pPr>
        <w:autoSpaceDE w:val="0"/>
        <w:autoSpaceDN w:val="0"/>
        <w:adjustRightInd w:val="0"/>
        <w:spacing w:before="100" w:beforeAutospacing="1" w:line="48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[46] L. </w:t>
      </w:r>
      <w:proofErr w:type="spellStart"/>
      <w:r w:rsidRPr="007C6D26">
        <w:rPr>
          <w:rFonts w:ascii="Times New Roman" w:hAnsi="Times New Roman" w:cs="Times New Roman"/>
          <w:bCs/>
          <w:iCs/>
          <w:sz w:val="24"/>
          <w:szCs w:val="24"/>
        </w:rPr>
        <w:t>Glosten</w:t>
      </w:r>
      <w:proofErr w:type="spellEnd"/>
      <w:r w:rsidRPr="007C6D26">
        <w:rPr>
          <w:rFonts w:ascii="Times New Roman" w:hAnsi="Times New Roman" w:cs="Times New Roman"/>
          <w:bCs/>
          <w:iCs/>
          <w:sz w:val="24"/>
          <w:szCs w:val="24"/>
        </w:rPr>
        <w:t>,</w:t>
      </w:r>
      <w:r>
        <w:rPr>
          <w:rFonts w:ascii="Times New Roman" w:hAnsi="Times New Roman" w:cs="Times New Roman"/>
          <w:bCs/>
          <w:iCs/>
          <w:sz w:val="24"/>
          <w:szCs w:val="24"/>
        </w:rPr>
        <w:t xml:space="preserve"> R. </w:t>
      </w:r>
      <w:proofErr w:type="spellStart"/>
      <w:r>
        <w:rPr>
          <w:rFonts w:ascii="Times New Roman" w:hAnsi="Times New Roman" w:cs="Times New Roman"/>
          <w:bCs/>
          <w:iCs/>
          <w:sz w:val="24"/>
          <w:szCs w:val="24"/>
        </w:rPr>
        <w:t>Jaganathan</w:t>
      </w:r>
      <w:proofErr w:type="spellEnd"/>
      <w:r w:rsidRPr="007C6D26">
        <w:rPr>
          <w:rFonts w:ascii="Times New Roman" w:hAnsi="Times New Roman" w:cs="Times New Roman"/>
          <w:bCs/>
          <w:iCs/>
          <w:sz w:val="24"/>
          <w:szCs w:val="24"/>
        </w:rPr>
        <w:t xml:space="preserve"> and</w:t>
      </w:r>
      <w:r>
        <w:rPr>
          <w:rFonts w:ascii="Times New Roman" w:hAnsi="Times New Roman" w:cs="Times New Roman"/>
          <w:bCs/>
          <w:iCs/>
          <w:sz w:val="24"/>
          <w:szCs w:val="24"/>
        </w:rPr>
        <w:t xml:space="preserve"> D.</w:t>
      </w:r>
      <w:r w:rsidRPr="007C6D26">
        <w:rPr>
          <w:rFonts w:ascii="Times New Roman" w:hAnsi="Times New Roman" w:cs="Times New Roman"/>
          <w:bCs/>
          <w:iCs/>
          <w:sz w:val="24"/>
          <w:szCs w:val="24"/>
        </w:rPr>
        <w:t xml:space="preserve"> </w:t>
      </w:r>
      <w:proofErr w:type="spellStart"/>
      <w:r w:rsidRPr="007C6D26">
        <w:rPr>
          <w:rFonts w:ascii="Times New Roman" w:hAnsi="Times New Roman" w:cs="Times New Roman"/>
          <w:bCs/>
          <w:iCs/>
          <w:sz w:val="24"/>
          <w:szCs w:val="24"/>
        </w:rPr>
        <w:t>Runkle</w:t>
      </w:r>
      <w:proofErr w:type="spellEnd"/>
      <w:r w:rsidRPr="007C6D26">
        <w:rPr>
          <w:rFonts w:ascii="Times New Roman" w:hAnsi="Times New Roman" w:cs="Times New Roman"/>
          <w:bCs/>
          <w:iCs/>
          <w:sz w:val="24"/>
          <w:szCs w:val="24"/>
        </w:rPr>
        <w:t xml:space="preserve">, ‘On the Relation between the Expected Value and the Volatility of the Normal Excess Return on Stocks’, Journal of Finance, </w:t>
      </w:r>
      <w:r>
        <w:rPr>
          <w:rFonts w:ascii="Times New Roman" w:hAnsi="Times New Roman" w:cs="Times New Roman"/>
          <w:bCs/>
          <w:iCs/>
          <w:sz w:val="24"/>
          <w:szCs w:val="24"/>
        </w:rPr>
        <w:t>Volume 48, 1993, pp.</w:t>
      </w:r>
      <w:r w:rsidRPr="007C6D26">
        <w:rPr>
          <w:rFonts w:ascii="Times New Roman" w:hAnsi="Times New Roman" w:cs="Times New Roman"/>
          <w:bCs/>
          <w:iCs/>
          <w:sz w:val="24"/>
          <w:szCs w:val="24"/>
        </w:rPr>
        <w:t xml:space="preserve"> 1779 - 1801.</w:t>
      </w:r>
    </w:p>
    <w:p w:rsidR="00EB136C"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[47] J. </w:t>
      </w:r>
      <w:proofErr w:type="spellStart"/>
      <w:r w:rsidRPr="007C6D26">
        <w:rPr>
          <w:rFonts w:ascii="Times New Roman" w:hAnsi="Times New Roman" w:cs="Times New Roman"/>
          <w:sz w:val="24"/>
          <w:szCs w:val="24"/>
        </w:rPr>
        <w:t>Zak</w:t>
      </w:r>
      <w:r>
        <w:rPr>
          <w:rFonts w:ascii="Times New Roman" w:hAnsi="Times New Roman" w:cs="Times New Roman"/>
          <w:sz w:val="24"/>
          <w:szCs w:val="24"/>
        </w:rPr>
        <w:t>oian</w:t>
      </w:r>
      <w:proofErr w:type="spellEnd"/>
      <w:r>
        <w:rPr>
          <w:rFonts w:ascii="Times New Roman" w:hAnsi="Times New Roman" w:cs="Times New Roman"/>
          <w:sz w:val="24"/>
          <w:szCs w:val="24"/>
        </w:rPr>
        <w:t>,</w:t>
      </w:r>
      <w:r w:rsidRPr="007C6D26">
        <w:rPr>
          <w:rFonts w:ascii="Times New Roman" w:hAnsi="Times New Roman" w:cs="Times New Roman"/>
          <w:sz w:val="24"/>
          <w:szCs w:val="24"/>
        </w:rPr>
        <w:t xml:space="preserve"> ‘Threshold </w:t>
      </w:r>
      <w:proofErr w:type="spellStart"/>
      <w:r w:rsidRPr="007C6D26">
        <w:rPr>
          <w:rFonts w:ascii="Times New Roman" w:hAnsi="Times New Roman" w:cs="Times New Roman"/>
          <w:sz w:val="24"/>
          <w:szCs w:val="24"/>
        </w:rPr>
        <w:t>heteroskedastic</w:t>
      </w:r>
      <w:proofErr w:type="spellEnd"/>
      <w:r w:rsidRPr="007C6D26">
        <w:rPr>
          <w:rFonts w:ascii="Times New Roman" w:hAnsi="Times New Roman" w:cs="Times New Roman"/>
          <w:sz w:val="24"/>
          <w:szCs w:val="24"/>
        </w:rPr>
        <w:t xml:space="preserve"> models’, </w:t>
      </w:r>
      <w:r w:rsidRPr="007C6D26">
        <w:rPr>
          <w:rFonts w:ascii="Times New Roman" w:hAnsi="Times New Roman" w:cs="Times New Roman"/>
          <w:iCs/>
          <w:sz w:val="24"/>
          <w:szCs w:val="24"/>
        </w:rPr>
        <w:t>Journal of Economic Dynamics and Control</w:t>
      </w:r>
      <w:r w:rsidRPr="007C6D26">
        <w:rPr>
          <w:rFonts w:ascii="Times New Roman" w:hAnsi="Times New Roman" w:cs="Times New Roman"/>
          <w:sz w:val="24"/>
          <w:szCs w:val="24"/>
        </w:rPr>
        <w:t xml:space="preserve">, </w:t>
      </w:r>
      <w:r>
        <w:rPr>
          <w:rFonts w:ascii="Times New Roman" w:hAnsi="Times New Roman" w:cs="Times New Roman"/>
          <w:sz w:val="24"/>
          <w:szCs w:val="24"/>
        </w:rPr>
        <w:t xml:space="preserve">Volume </w:t>
      </w:r>
      <w:r w:rsidRPr="007C6D26">
        <w:rPr>
          <w:rFonts w:ascii="Times New Roman" w:hAnsi="Times New Roman" w:cs="Times New Roman"/>
          <w:sz w:val="24"/>
          <w:szCs w:val="24"/>
        </w:rPr>
        <w:t>18</w:t>
      </w:r>
      <w:r>
        <w:rPr>
          <w:rFonts w:ascii="Times New Roman" w:hAnsi="Times New Roman" w:cs="Times New Roman"/>
          <w:sz w:val="24"/>
          <w:szCs w:val="24"/>
        </w:rPr>
        <w:t>, 1994, pp.</w:t>
      </w:r>
      <w:r w:rsidRPr="007C6D26">
        <w:rPr>
          <w:rFonts w:ascii="Times New Roman" w:hAnsi="Times New Roman" w:cs="Times New Roman"/>
          <w:sz w:val="24"/>
          <w:szCs w:val="24"/>
        </w:rPr>
        <w:t xml:space="preserve"> 931 – 955.</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[48] H. </w:t>
      </w:r>
      <w:r w:rsidRPr="007C6D26">
        <w:rPr>
          <w:rFonts w:ascii="Times New Roman" w:hAnsi="Times New Roman" w:cs="Times New Roman"/>
          <w:sz w:val="24"/>
          <w:szCs w:val="24"/>
        </w:rPr>
        <w:t xml:space="preserve">Anderson, </w:t>
      </w:r>
      <w:r>
        <w:rPr>
          <w:rFonts w:ascii="Times New Roman" w:hAnsi="Times New Roman" w:cs="Times New Roman"/>
          <w:sz w:val="24"/>
          <w:szCs w:val="24"/>
        </w:rPr>
        <w:t xml:space="preserve">K. </w:t>
      </w:r>
      <w:r w:rsidRPr="007C6D26">
        <w:rPr>
          <w:rFonts w:ascii="Times New Roman" w:hAnsi="Times New Roman" w:cs="Times New Roman"/>
          <w:sz w:val="24"/>
          <w:szCs w:val="24"/>
        </w:rPr>
        <w:t xml:space="preserve">Nam and </w:t>
      </w:r>
      <w:r>
        <w:rPr>
          <w:rFonts w:ascii="Times New Roman" w:hAnsi="Times New Roman" w:cs="Times New Roman"/>
          <w:sz w:val="24"/>
          <w:szCs w:val="24"/>
        </w:rPr>
        <w:t xml:space="preserve">F. </w:t>
      </w:r>
      <w:proofErr w:type="spellStart"/>
      <w:r w:rsidRPr="007C6D26">
        <w:rPr>
          <w:rFonts w:ascii="Times New Roman" w:hAnsi="Times New Roman" w:cs="Times New Roman"/>
          <w:sz w:val="24"/>
          <w:szCs w:val="24"/>
        </w:rPr>
        <w:t>Vahid</w:t>
      </w:r>
      <w:proofErr w:type="spellEnd"/>
      <w:r w:rsidRPr="007C6D26">
        <w:rPr>
          <w:rFonts w:ascii="Times New Roman" w:hAnsi="Times New Roman" w:cs="Times New Roman"/>
          <w:sz w:val="24"/>
          <w:szCs w:val="24"/>
        </w:rPr>
        <w:t xml:space="preserve"> </w:t>
      </w:r>
      <w:r>
        <w:rPr>
          <w:rFonts w:ascii="Times New Roman" w:hAnsi="Times New Roman" w:cs="Times New Roman"/>
          <w:sz w:val="24"/>
          <w:szCs w:val="24"/>
        </w:rPr>
        <w:t>‘A</w:t>
      </w:r>
      <w:r w:rsidRPr="007C6D26">
        <w:rPr>
          <w:rFonts w:ascii="Times New Roman" w:hAnsi="Times New Roman" w:cs="Times New Roman"/>
          <w:iCs/>
          <w:sz w:val="24"/>
          <w:szCs w:val="24"/>
        </w:rPr>
        <w:t>symmetric Nonlinear Smooth Transition GARCH Model with Nonlinear Time Series Analysis of Economic and Financial data in Dynamic Modeling and Econometrics in Economics and Finance</w:t>
      </w:r>
      <w:r>
        <w:rPr>
          <w:rFonts w:ascii="Times New Roman" w:hAnsi="Times New Roman" w:cs="Times New Roman"/>
          <w:iCs/>
          <w:sz w:val="24"/>
          <w:szCs w:val="24"/>
        </w:rPr>
        <w:t>’</w:t>
      </w:r>
      <w:r w:rsidRPr="007C6D26">
        <w:rPr>
          <w:rFonts w:ascii="Times New Roman" w:hAnsi="Times New Roman" w:cs="Times New Roman"/>
          <w:sz w:val="24"/>
          <w:szCs w:val="24"/>
        </w:rPr>
        <w:t>, Vol</w:t>
      </w:r>
      <w:r>
        <w:rPr>
          <w:rFonts w:ascii="Times New Roman" w:hAnsi="Times New Roman" w:cs="Times New Roman"/>
          <w:sz w:val="24"/>
          <w:szCs w:val="24"/>
        </w:rPr>
        <w:t>ume</w:t>
      </w:r>
      <w:r w:rsidRPr="007C6D26">
        <w:rPr>
          <w:rFonts w:ascii="Times New Roman" w:hAnsi="Times New Roman" w:cs="Times New Roman"/>
          <w:sz w:val="24"/>
          <w:szCs w:val="24"/>
        </w:rPr>
        <w:t xml:space="preserve"> 1, Rothman, P. (ed.), </w:t>
      </w:r>
      <w:r>
        <w:rPr>
          <w:rFonts w:ascii="Times New Roman" w:hAnsi="Times New Roman" w:cs="Times New Roman"/>
          <w:sz w:val="24"/>
          <w:szCs w:val="24"/>
        </w:rPr>
        <w:t xml:space="preserve">pp. </w:t>
      </w:r>
      <w:r w:rsidRPr="007C6D26">
        <w:rPr>
          <w:rFonts w:ascii="Times New Roman" w:hAnsi="Times New Roman" w:cs="Times New Roman"/>
          <w:sz w:val="24"/>
          <w:szCs w:val="24"/>
        </w:rPr>
        <w:t xml:space="preserve">191–207. </w:t>
      </w:r>
      <w:proofErr w:type="gramStart"/>
      <w:r w:rsidRPr="007C6D26">
        <w:rPr>
          <w:rFonts w:ascii="Times New Roman" w:hAnsi="Times New Roman" w:cs="Times New Roman"/>
          <w:sz w:val="24"/>
          <w:szCs w:val="24"/>
        </w:rPr>
        <w:t>The Kluwer Academic Publishers</w:t>
      </w:r>
      <w:r>
        <w:rPr>
          <w:rFonts w:ascii="Times New Roman" w:hAnsi="Times New Roman" w:cs="Times New Roman"/>
          <w:sz w:val="24"/>
          <w:szCs w:val="24"/>
        </w:rPr>
        <w:t>, 1999</w:t>
      </w:r>
      <w:r w:rsidRPr="007C6D26">
        <w:rPr>
          <w:rFonts w:ascii="Times New Roman" w:hAnsi="Times New Roman" w:cs="Times New Roman"/>
          <w:sz w:val="24"/>
          <w:szCs w:val="24"/>
        </w:rPr>
        <w:t>.</w:t>
      </w:r>
      <w:proofErr w:type="gramEnd"/>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[49] D. </w:t>
      </w:r>
      <w:r w:rsidRPr="007C6D26">
        <w:rPr>
          <w:rFonts w:ascii="Times New Roman" w:hAnsi="Times New Roman" w:cs="Times New Roman"/>
          <w:sz w:val="24"/>
          <w:szCs w:val="24"/>
        </w:rPr>
        <w:t>Hsieh,</w:t>
      </w:r>
      <w:r>
        <w:rPr>
          <w:rFonts w:ascii="Times New Roman" w:hAnsi="Times New Roman" w:cs="Times New Roman"/>
          <w:sz w:val="24"/>
          <w:szCs w:val="24"/>
        </w:rPr>
        <w:t xml:space="preserve"> </w:t>
      </w:r>
      <w:r w:rsidRPr="007C6D26">
        <w:rPr>
          <w:rFonts w:ascii="Times New Roman" w:hAnsi="Times New Roman" w:cs="Times New Roman"/>
          <w:sz w:val="24"/>
          <w:szCs w:val="24"/>
        </w:rPr>
        <w:t xml:space="preserve">‘Modeling </w:t>
      </w:r>
      <w:proofErr w:type="spellStart"/>
      <w:r w:rsidRPr="007C6D26">
        <w:rPr>
          <w:rFonts w:ascii="Times New Roman" w:hAnsi="Times New Roman" w:cs="Times New Roman"/>
          <w:sz w:val="24"/>
          <w:szCs w:val="24"/>
        </w:rPr>
        <w:t>heteroskedasticity</w:t>
      </w:r>
      <w:proofErr w:type="spellEnd"/>
      <w:r w:rsidRPr="007C6D26">
        <w:rPr>
          <w:rFonts w:ascii="Times New Roman" w:hAnsi="Times New Roman" w:cs="Times New Roman"/>
          <w:sz w:val="24"/>
          <w:szCs w:val="24"/>
        </w:rPr>
        <w:t xml:space="preserve"> in Daily Foreign Exchange Rates’, </w:t>
      </w:r>
      <w:r w:rsidRPr="007C6D26">
        <w:rPr>
          <w:rFonts w:ascii="Times New Roman" w:hAnsi="Times New Roman" w:cs="Times New Roman"/>
          <w:iCs/>
          <w:sz w:val="24"/>
          <w:szCs w:val="24"/>
        </w:rPr>
        <w:t>Journal of Business and Economic Statistics,</w:t>
      </w:r>
      <w:r>
        <w:rPr>
          <w:rFonts w:ascii="Times New Roman" w:hAnsi="Times New Roman" w:cs="Times New Roman"/>
          <w:iCs/>
          <w:sz w:val="24"/>
          <w:szCs w:val="24"/>
        </w:rPr>
        <w:t xml:space="preserve"> Volume </w:t>
      </w:r>
      <w:r w:rsidRPr="007C6D26">
        <w:rPr>
          <w:rFonts w:ascii="Times New Roman" w:hAnsi="Times New Roman" w:cs="Times New Roman"/>
          <w:sz w:val="24"/>
          <w:szCs w:val="24"/>
        </w:rPr>
        <w:t>7</w:t>
      </w:r>
      <w:r>
        <w:rPr>
          <w:rFonts w:ascii="Times New Roman" w:hAnsi="Times New Roman" w:cs="Times New Roman"/>
          <w:sz w:val="24"/>
          <w:szCs w:val="24"/>
        </w:rPr>
        <w:t xml:space="preserve">, no. </w:t>
      </w:r>
      <w:r w:rsidRPr="007C6D26">
        <w:rPr>
          <w:rFonts w:ascii="Times New Roman" w:hAnsi="Times New Roman" w:cs="Times New Roman"/>
          <w:sz w:val="24"/>
          <w:szCs w:val="24"/>
        </w:rPr>
        <w:t>3</w:t>
      </w:r>
      <w:r>
        <w:rPr>
          <w:rFonts w:ascii="Times New Roman" w:hAnsi="Times New Roman" w:cs="Times New Roman"/>
          <w:sz w:val="24"/>
          <w:szCs w:val="24"/>
        </w:rPr>
        <w:t>, 1989, pp.</w:t>
      </w:r>
      <w:r w:rsidRPr="007C6D26">
        <w:rPr>
          <w:rFonts w:ascii="Times New Roman" w:hAnsi="Times New Roman" w:cs="Times New Roman"/>
          <w:sz w:val="24"/>
          <w:szCs w:val="24"/>
        </w:rPr>
        <w:t xml:space="preserve"> 307 - 317.</w:t>
      </w:r>
    </w:p>
    <w:p w:rsidR="00EB136C"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[50] J. Hamilton, ‘Time Series Analysis’, Princeton: Princeton University Press, 1994.</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A. </w:t>
      </w:r>
      <w:r w:rsidRPr="007C6D26">
        <w:rPr>
          <w:rFonts w:ascii="Times New Roman" w:hAnsi="Times New Roman" w:cs="Times New Roman"/>
          <w:sz w:val="24"/>
          <w:szCs w:val="24"/>
        </w:rPr>
        <w:t xml:space="preserve">Malik, ‘European Exchange Rate Volatility Dynamics: An empirical investigation’, </w:t>
      </w:r>
      <w:r>
        <w:rPr>
          <w:rFonts w:ascii="Times New Roman" w:hAnsi="Times New Roman" w:cs="Times New Roman"/>
          <w:iCs/>
          <w:sz w:val="24"/>
          <w:szCs w:val="24"/>
        </w:rPr>
        <w:t xml:space="preserve">Journal of Empirical Finance, Volume </w:t>
      </w:r>
      <w:r w:rsidRPr="007C6D26">
        <w:rPr>
          <w:rFonts w:ascii="Times New Roman" w:hAnsi="Times New Roman" w:cs="Times New Roman"/>
          <w:sz w:val="24"/>
          <w:szCs w:val="24"/>
        </w:rPr>
        <w:t>1</w:t>
      </w:r>
      <w:r>
        <w:rPr>
          <w:rFonts w:ascii="Times New Roman" w:hAnsi="Times New Roman" w:cs="Times New Roman"/>
          <w:sz w:val="24"/>
          <w:szCs w:val="24"/>
        </w:rPr>
        <w:t>2, 2005, pp.</w:t>
      </w:r>
      <w:r w:rsidRPr="007C6D26">
        <w:rPr>
          <w:rFonts w:ascii="Times New Roman" w:hAnsi="Times New Roman" w:cs="Times New Roman"/>
          <w:sz w:val="24"/>
          <w:szCs w:val="24"/>
        </w:rPr>
        <w:t xml:space="preserve"> 187 – 215.</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[52] N. </w:t>
      </w:r>
      <w:proofErr w:type="spellStart"/>
      <w:r w:rsidRPr="007C6D26">
        <w:rPr>
          <w:rFonts w:ascii="Times New Roman" w:hAnsi="Times New Roman" w:cs="Times New Roman"/>
          <w:sz w:val="24"/>
          <w:szCs w:val="24"/>
        </w:rPr>
        <w:t>Harrathi</w:t>
      </w:r>
      <w:proofErr w:type="spellEnd"/>
      <w:r w:rsidRPr="007C6D26">
        <w:rPr>
          <w:rFonts w:ascii="Times New Roman" w:hAnsi="Times New Roman" w:cs="Times New Roman"/>
          <w:sz w:val="24"/>
          <w:szCs w:val="24"/>
        </w:rPr>
        <w:t xml:space="preserve"> and</w:t>
      </w:r>
      <w:r>
        <w:rPr>
          <w:rFonts w:ascii="Times New Roman" w:hAnsi="Times New Roman" w:cs="Times New Roman"/>
          <w:sz w:val="24"/>
          <w:szCs w:val="24"/>
        </w:rPr>
        <w:t xml:space="preserve"> M.</w:t>
      </w:r>
      <w:r w:rsidRPr="007C6D26">
        <w:rPr>
          <w:rFonts w:ascii="Times New Roman" w:hAnsi="Times New Roman" w:cs="Times New Roman"/>
          <w:sz w:val="24"/>
          <w:szCs w:val="24"/>
        </w:rPr>
        <w:t xml:space="preserve"> </w:t>
      </w:r>
      <w:proofErr w:type="spellStart"/>
      <w:r w:rsidRPr="007C6D26">
        <w:rPr>
          <w:rFonts w:ascii="Times New Roman" w:hAnsi="Times New Roman" w:cs="Times New Roman"/>
          <w:sz w:val="24"/>
          <w:szCs w:val="24"/>
        </w:rPr>
        <w:t>Darmoul</w:t>
      </w:r>
      <w:proofErr w:type="spellEnd"/>
      <w:r w:rsidRPr="007C6D26">
        <w:rPr>
          <w:rFonts w:ascii="Times New Roman" w:hAnsi="Times New Roman" w:cs="Times New Roman"/>
          <w:sz w:val="24"/>
          <w:szCs w:val="24"/>
        </w:rPr>
        <w:t>,</w:t>
      </w:r>
      <w:r>
        <w:rPr>
          <w:rFonts w:ascii="Times New Roman" w:hAnsi="Times New Roman" w:cs="Times New Roman"/>
          <w:sz w:val="24"/>
          <w:szCs w:val="24"/>
        </w:rPr>
        <w:t xml:space="preserve"> </w:t>
      </w:r>
      <w:r w:rsidRPr="007C6D26">
        <w:rPr>
          <w:rFonts w:ascii="Times New Roman" w:hAnsi="Times New Roman" w:cs="Times New Roman"/>
          <w:sz w:val="24"/>
          <w:szCs w:val="24"/>
        </w:rPr>
        <w:t>‘Monetary Information Arrivals and Intraday Exchange Rate Volatility: A Comparison of the GARCH and the EGARCH models’, CES Working Papers</w:t>
      </w:r>
      <w:r>
        <w:rPr>
          <w:rFonts w:ascii="Times New Roman" w:hAnsi="Times New Roman" w:cs="Times New Roman"/>
          <w:sz w:val="24"/>
          <w:szCs w:val="24"/>
        </w:rPr>
        <w:t>, 2007, n</w:t>
      </w:r>
      <w:r w:rsidRPr="007C6D26">
        <w:rPr>
          <w:rFonts w:ascii="Times New Roman" w:hAnsi="Times New Roman" w:cs="Times New Roman"/>
          <w:sz w:val="24"/>
          <w:szCs w:val="24"/>
        </w:rPr>
        <w:t>o.35.</w:t>
      </w:r>
    </w:p>
    <w:p w:rsidR="00EB136C" w:rsidRPr="007C6D26" w:rsidRDefault="00EB136C" w:rsidP="00EB136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F63849">
        <w:rPr>
          <w:rFonts w:ascii="Times New Roman" w:hAnsi="Times New Roman" w:cs="Times New Roman"/>
          <w:sz w:val="24"/>
          <w:szCs w:val="24"/>
        </w:rPr>
        <w:t>International Monetary Fund</w:t>
      </w:r>
      <w:r>
        <w:rPr>
          <w:rFonts w:ascii="Times New Roman" w:hAnsi="Times New Roman" w:cs="Times New Roman"/>
          <w:sz w:val="24"/>
          <w:szCs w:val="24"/>
        </w:rPr>
        <w:t xml:space="preserve"> (IMF), ‘Regional Economic O</w:t>
      </w:r>
      <w:r w:rsidRPr="00F63849">
        <w:rPr>
          <w:rFonts w:ascii="Times New Roman" w:hAnsi="Times New Roman" w:cs="Times New Roman"/>
          <w:sz w:val="24"/>
          <w:szCs w:val="24"/>
        </w:rPr>
        <w:t>utlook: Sub-Saharan Africa:</w:t>
      </w:r>
      <w:r>
        <w:rPr>
          <w:rFonts w:ascii="Times New Roman" w:hAnsi="Times New Roman" w:cs="Times New Roman"/>
          <w:sz w:val="24"/>
          <w:szCs w:val="24"/>
        </w:rPr>
        <w:t xml:space="preserve"> Resilience and Risks’,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Publication of IMF, </w:t>
      </w:r>
      <w:r w:rsidRPr="00F63849">
        <w:rPr>
          <w:rFonts w:ascii="Times New Roman" w:hAnsi="Times New Roman" w:cs="Times New Roman"/>
          <w:sz w:val="24"/>
          <w:szCs w:val="24"/>
        </w:rPr>
        <w:t>October</w:t>
      </w:r>
      <w:r>
        <w:rPr>
          <w:rFonts w:ascii="Times New Roman" w:hAnsi="Times New Roman" w:cs="Times New Roman"/>
          <w:sz w:val="24"/>
          <w:szCs w:val="24"/>
        </w:rPr>
        <w:t xml:space="preserve"> 2010</w:t>
      </w:r>
      <w:r w:rsidRPr="00F63849">
        <w:rPr>
          <w:rFonts w:ascii="Times New Roman" w:hAnsi="Times New Roman" w:cs="Times New Roman"/>
          <w:sz w:val="24"/>
          <w:szCs w:val="24"/>
        </w:rPr>
        <w:t>.</w:t>
      </w:r>
    </w:p>
    <w:p w:rsidR="00937F8E" w:rsidRDefault="00937F8E" w:rsidP="00BD2665">
      <w:pPr>
        <w:autoSpaceDE w:val="0"/>
        <w:autoSpaceDN w:val="0"/>
        <w:adjustRightInd w:val="0"/>
        <w:spacing w:line="480" w:lineRule="auto"/>
        <w:jc w:val="both"/>
        <w:rPr>
          <w:rFonts w:ascii="Times New Roman" w:hAnsi="Times New Roman" w:cs="Times New Roman"/>
          <w:sz w:val="24"/>
          <w:szCs w:val="24"/>
        </w:rPr>
      </w:pPr>
    </w:p>
    <w:p w:rsidR="00937F8E" w:rsidRDefault="00937F8E">
      <w:pPr>
        <w:rPr>
          <w:rFonts w:ascii="Times New Roman" w:hAnsi="Times New Roman" w:cs="Times New Roman"/>
          <w:sz w:val="24"/>
          <w:szCs w:val="24"/>
        </w:rPr>
      </w:pPr>
      <w:r>
        <w:rPr>
          <w:rFonts w:ascii="Times New Roman" w:hAnsi="Times New Roman" w:cs="Times New Roman"/>
          <w:sz w:val="24"/>
          <w:szCs w:val="24"/>
        </w:rPr>
        <w:br w:type="page"/>
      </w:r>
    </w:p>
    <w:p w:rsidR="00B74258" w:rsidRPr="00B74258" w:rsidRDefault="00B74258" w:rsidP="00B74258">
      <w:pPr>
        <w:jc w:val="center"/>
        <w:rPr>
          <w:rFonts w:ascii="Times New Roman" w:hAnsi="Times New Roman" w:cs="Times New Roman"/>
          <w:b/>
          <w:sz w:val="24"/>
          <w:szCs w:val="24"/>
        </w:rPr>
      </w:pPr>
      <w:r>
        <w:rPr>
          <w:rFonts w:ascii="Times New Roman" w:hAnsi="Times New Roman" w:cs="Times New Roman"/>
          <w:b/>
          <w:sz w:val="24"/>
          <w:szCs w:val="24"/>
        </w:rPr>
        <w:lastRenderedPageBreak/>
        <w:t>APPENDICES</w:t>
      </w:r>
    </w:p>
    <w:p w:rsidR="00937F8E" w:rsidRPr="003B6334" w:rsidRDefault="00937F8E" w:rsidP="00937F8E">
      <w:pPr>
        <w:spacing w:after="120"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Table 1</w:t>
      </w:r>
      <w:r>
        <w:rPr>
          <w:rFonts w:ascii="Times New Roman" w:hAnsi="Times New Roman" w:cs="Times New Roman"/>
          <w:b/>
          <w:sz w:val="24"/>
          <w:szCs w:val="24"/>
        </w:rPr>
        <w:t xml:space="preserve">: </w:t>
      </w:r>
      <w:r w:rsidRPr="003B6334">
        <w:rPr>
          <w:rFonts w:ascii="Times New Roman" w:hAnsi="Times New Roman" w:cs="Times New Roman"/>
          <w:b/>
          <w:sz w:val="24"/>
          <w:szCs w:val="24"/>
        </w:rPr>
        <w:t xml:space="preserve">KOF Globalization </w:t>
      </w:r>
      <w:r>
        <w:rPr>
          <w:rFonts w:ascii="Times New Roman" w:hAnsi="Times New Roman" w:cs="Times New Roman"/>
          <w:b/>
          <w:sz w:val="24"/>
          <w:szCs w:val="24"/>
        </w:rPr>
        <w:t>Index for Africa</w:t>
      </w:r>
      <w:r w:rsidRPr="003B6334">
        <w:rPr>
          <w:rFonts w:ascii="Times New Roman" w:hAnsi="Times New Roman" w:cs="Times New Roman"/>
          <w:b/>
          <w:sz w:val="24"/>
          <w:szCs w:val="24"/>
        </w:rPr>
        <w:t xml:space="preserve"> (Average)</w:t>
      </w:r>
    </w:p>
    <w:tbl>
      <w:tblPr>
        <w:tblStyle w:val="TableGrid"/>
        <w:tblW w:w="0" w:type="auto"/>
        <w:tblLook w:val="04A0" w:firstRow="1" w:lastRow="0" w:firstColumn="1" w:lastColumn="0" w:noHBand="0" w:noVBand="1"/>
      </w:tblPr>
      <w:tblGrid>
        <w:gridCol w:w="2268"/>
        <w:gridCol w:w="1562"/>
        <w:gridCol w:w="1915"/>
        <w:gridCol w:w="1915"/>
        <w:gridCol w:w="1916"/>
      </w:tblGrid>
      <w:tr w:rsidR="00937F8E" w:rsidRPr="003B6334" w:rsidTr="00937F8E">
        <w:tc>
          <w:tcPr>
            <w:tcW w:w="2268" w:type="dxa"/>
            <w:tcBorders>
              <w:bottom w:val="single" w:sz="4" w:space="0" w:color="000000" w:themeColor="text1"/>
            </w:tcBorders>
          </w:tcPr>
          <w:p w:rsidR="00937F8E" w:rsidRPr="003B6334" w:rsidRDefault="00937F8E" w:rsidP="00937F8E">
            <w:pPr>
              <w:spacing w:line="480" w:lineRule="auto"/>
              <w:jc w:val="center"/>
              <w:rPr>
                <w:rFonts w:ascii="Times New Roman" w:hAnsi="Times New Roman" w:cs="Times New Roman"/>
                <w:b/>
                <w:sz w:val="24"/>
                <w:szCs w:val="24"/>
              </w:rPr>
            </w:pPr>
          </w:p>
        </w:tc>
        <w:tc>
          <w:tcPr>
            <w:tcW w:w="1562" w:type="dxa"/>
            <w:tcBorders>
              <w:bottom w:val="single" w:sz="4" w:space="0" w:color="000000" w:themeColor="text1"/>
              <w:right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1970-79</w:t>
            </w:r>
          </w:p>
        </w:tc>
        <w:tc>
          <w:tcPr>
            <w:tcW w:w="1915" w:type="dxa"/>
            <w:tcBorders>
              <w:left w:val="nil"/>
              <w:bottom w:val="single" w:sz="4" w:space="0" w:color="000000" w:themeColor="text1"/>
              <w:right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1980-89</w:t>
            </w:r>
          </w:p>
        </w:tc>
        <w:tc>
          <w:tcPr>
            <w:tcW w:w="1915" w:type="dxa"/>
            <w:tcBorders>
              <w:left w:val="nil"/>
              <w:bottom w:val="single" w:sz="4" w:space="0" w:color="000000" w:themeColor="text1"/>
              <w:right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1990-99</w:t>
            </w:r>
          </w:p>
        </w:tc>
        <w:tc>
          <w:tcPr>
            <w:tcW w:w="1916" w:type="dxa"/>
            <w:tcBorders>
              <w:left w:val="nil"/>
              <w:bottom w:val="single" w:sz="4" w:space="0" w:color="000000" w:themeColor="text1"/>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2000-09</w:t>
            </w:r>
          </w:p>
        </w:tc>
      </w:tr>
      <w:tr w:rsidR="00937F8E" w:rsidRPr="003B6334" w:rsidTr="00937F8E">
        <w:tc>
          <w:tcPr>
            <w:tcW w:w="2268" w:type="dxa"/>
            <w:tcBorders>
              <w:top w:val="single" w:sz="4" w:space="0" w:color="000000" w:themeColor="text1"/>
              <w:bottom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Central Africa</w:t>
            </w:r>
          </w:p>
        </w:tc>
        <w:tc>
          <w:tcPr>
            <w:tcW w:w="1562" w:type="dxa"/>
            <w:tcBorders>
              <w:top w:val="single" w:sz="4" w:space="0" w:color="000000" w:themeColor="text1"/>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24.07</w:t>
            </w:r>
          </w:p>
        </w:tc>
        <w:tc>
          <w:tcPr>
            <w:tcW w:w="1915" w:type="dxa"/>
            <w:tcBorders>
              <w:top w:val="single" w:sz="4" w:space="0" w:color="000000" w:themeColor="text1"/>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29.11</w:t>
            </w:r>
          </w:p>
        </w:tc>
        <w:tc>
          <w:tcPr>
            <w:tcW w:w="1915" w:type="dxa"/>
            <w:tcBorders>
              <w:top w:val="single" w:sz="4" w:space="0" w:color="000000" w:themeColor="text1"/>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32.09</w:t>
            </w:r>
          </w:p>
        </w:tc>
        <w:tc>
          <w:tcPr>
            <w:tcW w:w="1916" w:type="dxa"/>
            <w:tcBorders>
              <w:top w:val="single" w:sz="4" w:space="0" w:color="000000" w:themeColor="text1"/>
              <w:left w:val="nil"/>
              <w:bottom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39.93</w:t>
            </w:r>
          </w:p>
        </w:tc>
      </w:tr>
      <w:tr w:rsidR="00937F8E" w:rsidRPr="003B6334" w:rsidTr="00937F8E">
        <w:tc>
          <w:tcPr>
            <w:tcW w:w="2268" w:type="dxa"/>
            <w:tcBorders>
              <w:top w:val="nil"/>
              <w:bottom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East Africa</w:t>
            </w:r>
          </w:p>
        </w:tc>
        <w:tc>
          <w:tcPr>
            <w:tcW w:w="1562" w:type="dxa"/>
            <w:tcBorders>
              <w:top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22.22</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24.66</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33.18</w:t>
            </w:r>
          </w:p>
        </w:tc>
        <w:tc>
          <w:tcPr>
            <w:tcW w:w="1916" w:type="dxa"/>
            <w:tcBorders>
              <w:top w:val="nil"/>
              <w:left w:val="nil"/>
              <w:bottom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43.07</w:t>
            </w:r>
          </w:p>
        </w:tc>
      </w:tr>
      <w:tr w:rsidR="00937F8E" w:rsidRPr="003B6334" w:rsidTr="00937F8E">
        <w:tc>
          <w:tcPr>
            <w:tcW w:w="2268" w:type="dxa"/>
            <w:tcBorders>
              <w:top w:val="nil"/>
              <w:bottom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South Africa</w:t>
            </w:r>
          </w:p>
        </w:tc>
        <w:tc>
          <w:tcPr>
            <w:tcW w:w="1562" w:type="dxa"/>
            <w:tcBorders>
              <w:top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48.86</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51.63</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54.43</w:t>
            </w:r>
          </w:p>
        </w:tc>
        <w:tc>
          <w:tcPr>
            <w:tcW w:w="1916" w:type="dxa"/>
            <w:tcBorders>
              <w:top w:val="nil"/>
              <w:left w:val="nil"/>
              <w:bottom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59.10</w:t>
            </w:r>
          </w:p>
        </w:tc>
      </w:tr>
      <w:tr w:rsidR="00937F8E" w:rsidRPr="003B6334" w:rsidTr="00937F8E">
        <w:tc>
          <w:tcPr>
            <w:tcW w:w="2268" w:type="dxa"/>
            <w:tcBorders>
              <w:top w:val="nil"/>
              <w:bottom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West Africa</w:t>
            </w:r>
          </w:p>
        </w:tc>
        <w:tc>
          <w:tcPr>
            <w:tcW w:w="1562" w:type="dxa"/>
            <w:tcBorders>
              <w:top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24.16</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29.25</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35.84</w:t>
            </w:r>
          </w:p>
        </w:tc>
        <w:tc>
          <w:tcPr>
            <w:tcW w:w="1916" w:type="dxa"/>
            <w:tcBorders>
              <w:top w:val="nil"/>
              <w:left w:val="nil"/>
              <w:bottom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44.16</w:t>
            </w:r>
          </w:p>
        </w:tc>
      </w:tr>
      <w:tr w:rsidR="00937F8E" w:rsidRPr="003B6334" w:rsidTr="00937F8E">
        <w:tc>
          <w:tcPr>
            <w:tcW w:w="2268" w:type="dxa"/>
            <w:tcBorders>
              <w:top w:val="nil"/>
              <w:bottom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Sub-Sahara Africa</w:t>
            </w:r>
          </w:p>
        </w:tc>
        <w:tc>
          <w:tcPr>
            <w:tcW w:w="1562" w:type="dxa"/>
            <w:tcBorders>
              <w:top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29.83</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33.66</w:t>
            </w:r>
          </w:p>
        </w:tc>
        <w:tc>
          <w:tcPr>
            <w:tcW w:w="1915" w:type="dxa"/>
            <w:tcBorders>
              <w:top w:val="nil"/>
              <w:left w:val="nil"/>
              <w:bottom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38.88</w:t>
            </w:r>
          </w:p>
        </w:tc>
        <w:tc>
          <w:tcPr>
            <w:tcW w:w="1916" w:type="dxa"/>
            <w:tcBorders>
              <w:top w:val="nil"/>
              <w:left w:val="nil"/>
              <w:bottom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46.57</w:t>
            </w:r>
          </w:p>
        </w:tc>
      </w:tr>
      <w:tr w:rsidR="00937F8E" w:rsidRPr="003B6334" w:rsidTr="00937F8E">
        <w:tc>
          <w:tcPr>
            <w:tcW w:w="2268" w:type="dxa"/>
            <w:tcBorders>
              <w:top w:val="nil"/>
            </w:tcBorders>
          </w:tcPr>
          <w:p w:rsidR="00937F8E" w:rsidRPr="003B6334" w:rsidRDefault="00937F8E" w:rsidP="00937F8E">
            <w:pPr>
              <w:spacing w:line="480" w:lineRule="auto"/>
              <w:jc w:val="center"/>
              <w:rPr>
                <w:rFonts w:ascii="Times New Roman" w:hAnsi="Times New Roman" w:cs="Times New Roman"/>
                <w:b/>
                <w:sz w:val="24"/>
                <w:szCs w:val="24"/>
              </w:rPr>
            </w:pPr>
            <w:r w:rsidRPr="003B6334">
              <w:rPr>
                <w:rFonts w:ascii="Times New Roman" w:hAnsi="Times New Roman" w:cs="Times New Roman"/>
                <w:b/>
                <w:sz w:val="24"/>
                <w:szCs w:val="24"/>
              </w:rPr>
              <w:t>World</w:t>
            </w:r>
          </w:p>
        </w:tc>
        <w:tc>
          <w:tcPr>
            <w:tcW w:w="1562" w:type="dxa"/>
            <w:tcBorders>
              <w:top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41.09</w:t>
            </w:r>
          </w:p>
        </w:tc>
        <w:tc>
          <w:tcPr>
            <w:tcW w:w="1915" w:type="dxa"/>
            <w:tcBorders>
              <w:top w:val="nil"/>
              <w:left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44.26</w:t>
            </w:r>
          </w:p>
        </w:tc>
        <w:tc>
          <w:tcPr>
            <w:tcW w:w="1915" w:type="dxa"/>
            <w:tcBorders>
              <w:top w:val="nil"/>
              <w:left w:val="nil"/>
              <w:righ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51.33</w:t>
            </w:r>
          </w:p>
        </w:tc>
        <w:tc>
          <w:tcPr>
            <w:tcW w:w="1916" w:type="dxa"/>
            <w:tcBorders>
              <w:top w:val="nil"/>
              <w:left w:val="nil"/>
            </w:tcBorders>
          </w:tcPr>
          <w:p w:rsidR="00937F8E" w:rsidRPr="003B6334" w:rsidRDefault="00937F8E" w:rsidP="00937F8E">
            <w:pPr>
              <w:spacing w:line="480" w:lineRule="auto"/>
              <w:jc w:val="center"/>
              <w:rPr>
                <w:rFonts w:ascii="Times New Roman" w:hAnsi="Times New Roman" w:cs="Times New Roman"/>
                <w:sz w:val="24"/>
                <w:szCs w:val="24"/>
              </w:rPr>
            </w:pPr>
            <w:r w:rsidRPr="003B6334">
              <w:rPr>
                <w:rFonts w:ascii="Times New Roman" w:hAnsi="Times New Roman" w:cs="Times New Roman"/>
                <w:sz w:val="24"/>
                <w:szCs w:val="24"/>
              </w:rPr>
              <w:t>60.48</w:t>
            </w:r>
          </w:p>
        </w:tc>
      </w:tr>
    </w:tbl>
    <w:p w:rsidR="00937F8E" w:rsidRPr="004C21D6" w:rsidRDefault="00937F8E" w:rsidP="00937F8E">
      <w:pPr>
        <w:spacing w:line="480" w:lineRule="auto"/>
        <w:rPr>
          <w:rFonts w:ascii="Times New Roman" w:hAnsi="Times New Roman" w:cs="Times New Roman"/>
          <w:sz w:val="20"/>
          <w:szCs w:val="24"/>
        </w:rPr>
      </w:pPr>
      <w:r w:rsidRPr="004C21D6">
        <w:rPr>
          <w:rFonts w:ascii="Times New Roman" w:hAnsi="Times New Roman" w:cs="Times New Roman"/>
          <w:sz w:val="20"/>
          <w:szCs w:val="24"/>
        </w:rPr>
        <w:t xml:space="preserve">Source: </w:t>
      </w:r>
      <w:proofErr w:type="spellStart"/>
      <w:r w:rsidRPr="004C21D6">
        <w:rPr>
          <w:rFonts w:ascii="Times New Roman" w:hAnsi="Times New Roman" w:cs="Times New Roman"/>
          <w:sz w:val="20"/>
          <w:szCs w:val="24"/>
        </w:rPr>
        <w:t>konjunkturforschungsstelle</w:t>
      </w:r>
      <w:proofErr w:type="spellEnd"/>
      <w:r w:rsidRPr="004C21D6">
        <w:rPr>
          <w:rFonts w:ascii="Times New Roman" w:hAnsi="Times New Roman" w:cs="Times New Roman"/>
          <w:sz w:val="20"/>
          <w:szCs w:val="24"/>
        </w:rPr>
        <w:t xml:space="preserve"> (KOF), Swiss Economic Institute Database 2010, ETH, Zurich, Germany.</w:t>
      </w:r>
    </w:p>
    <w:p w:rsidR="00937F8E" w:rsidRDefault="00937F8E" w:rsidP="00BD2665">
      <w:pPr>
        <w:autoSpaceDE w:val="0"/>
        <w:autoSpaceDN w:val="0"/>
        <w:adjustRightInd w:val="0"/>
        <w:spacing w:line="480" w:lineRule="auto"/>
        <w:jc w:val="both"/>
        <w:rPr>
          <w:rFonts w:ascii="Times New Roman" w:hAnsi="Times New Roman" w:cs="Times New Roman"/>
          <w:sz w:val="24"/>
          <w:szCs w:val="24"/>
        </w:rPr>
      </w:pPr>
    </w:p>
    <w:p w:rsidR="00937F8E" w:rsidRDefault="00937F8E">
      <w:pPr>
        <w:rPr>
          <w:rFonts w:ascii="Times New Roman" w:hAnsi="Times New Roman" w:cs="Times New Roman"/>
          <w:sz w:val="24"/>
          <w:szCs w:val="24"/>
        </w:rPr>
      </w:pPr>
      <w:r>
        <w:rPr>
          <w:rFonts w:ascii="Times New Roman" w:hAnsi="Times New Roman" w:cs="Times New Roman"/>
          <w:sz w:val="24"/>
          <w:szCs w:val="24"/>
        </w:rPr>
        <w:br w:type="page"/>
      </w:r>
    </w:p>
    <w:p w:rsidR="00937F8E" w:rsidRPr="00710A4B" w:rsidRDefault="00937F8E" w:rsidP="00937F8E">
      <w:pPr>
        <w:autoSpaceDE w:val="0"/>
        <w:autoSpaceDN w:val="0"/>
        <w:adjustRightInd w:val="0"/>
        <w:spacing w:after="0" w:line="480" w:lineRule="auto"/>
        <w:jc w:val="center"/>
        <w:rPr>
          <w:rFonts w:ascii="Times New Roman" w:hAnsi="Times New Roman" w:cs="Times New Roman"/>
          <w:b/>
          <w:sz w:val="24"/>
        </w:rPr>
      </w:pPr>
      <w:r>
        <w:rPr>
          <w:rFonts w:ascii="Times New Roman" w:hAnsi="Times New Roman" w:cs="Times New Roman"/>
          <w:b/>
          <w:sz w:val="24"/>
        </w:rPr>
        <w:lastRenderedPageBreak/>
        <w:t>Table 2</w:t>
      </w:r>
      <w:r w:rsidRPr="00710A4B">
        <w:rPr>
          <w:rFonts w:ascii="Times New Roman" w:hAnsi="Times New Roman" w:cs="Times New Roman"/>
          <w:b/>
          <w:sz w:val="24"/>
        </w:rPr>
        <w:t>:</w:t>
      </w:r>
      <w:r w:rsidRPr="00710A4B">
        <w:rPr>
          <w:rFonts w:ascii="Times New Roman" w:hAnsi="Times New Roman" w:cs="Times New Roman"/>
          <w:b/>
          <w:bCs/>
          <w:color w:val="000000"/>
          <w:sz w:val="24"/>
        </w:rPr>
        <w:t xml:space="preserve"> </w:t>
      </w:r>
      <w:r>
        <w:rPr>
          <w:rFonts w:ascii="Times New Roman" w:hAnsi="Times New Roman" w:cs="Times New Roman"/>
          <w:b/>
          <w:bCs/>
          <w:sz w:val="24"/>
        </w:rPr>
        <w:t xml:space="preserve">Summary Statistics of Kenyan </w:t>
      </w:r>
      <w:r w:rsidRPr="00710A4B">
        <w:rPr>
          <w:rFonts w:ascii="Times New Roman" w:hAnsi="Times New Roman" w:cs="Times New Roman"/>
          <w:b/>
          <w:bCs/>
          <w:sz w:val="24"/>
        </w:rPr>
        <w:t>Exchange Rate Return</w:t>
      </w:r>
      <w:r>
        <w:rPr>
          <w:rFonts w:ascii="Times New Roman" w:hAnsi="Times New Roman" w:cs="Times New Roman"/>
          <w:b/>
          <w:bCs/>
          <w:sz w:val="24"/>
        </w:rPr>
        <w:t xml:space="preserve"> (January 1, 2006 – July 13, 2012</w:t>
      </w:r>
      <w:r w:rsidRPr="00710A4B">
        <w:rPr>
          <w:rFonts w:ascii="Times New Roman" w:hAnsi="Times New Roman" w:cs="Times New Roman"/>
          <w:b/>
          <w:bCs/>
          <w:sz w:val="24"/>
        </w:rPr>
        <w:t>)</w:t>
      </w:r>
    </w:p>
    <w:tbl>
      <w:tblPr>
        <w:tblStyle w:val="TableGrid"/>
        <w:tblW w:w="4788" w:type="dxa"/>
        <w:jc w:val="center"/>
        <w:tblInd w:w="108" w:type="dxa"/>
        <w:tblBorders>
          <w:insideH w:val="none" w:sz="0" w:space="0" w:color="auto"/>
          <w:insideV w:val="none" w:sz="0" w:space="0" w:color="auto"/>
        </w:tblBorders>
        <w:tblLook w:val="04A0" w:firstRow="1" w:lastRow="0" w:firstColumn="1" w:lastColumn="0" w:noHBand="0" w:noVBand="1"/>
      </w:tblPr>
      <w:tblGrid>
        <w:gridCol w:w="2394"/>
        <w:gridCol w:w="2394"/>
      </w:tblGrid>
      <w:tr w:rsidR="00937F8E" w:rsidRPr="00710A4B" w:rsidTr="00937F8E">
        <w:trPr>
          <w:jc w:val="center"/>
        </w:trPr>
        <w:tc>
          <w:tcPr>
            <w:tcW w:w="2394" w:type="dxa"/>
            <w:tcBorders>
              <w:top w:val="single" w:sz="4" w:space="0" w:color="000000" w:themeColor="text1"/>
              <w:bottom w:val="single" w:sz="4" w:space="0" w:color="000000" w:themeColor="text1"/>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Pr>
                <w:rFonts w:ascii="Times New Roman" w:hAnsi="Times New Roman" w:cs="Times New Roman"/>
                <w:b/>
                <w:sz w:val="24"/>
              </w:rPr>
              <w:t>Statistics</w:t>
            </w:r>
          </w:p>
        </w:tc>
        <w:tc>
          <w:tcPr>
            <w:tcW w:w="2394" w:type="dxa"/>
            <w:tcBorders>
              <w:top w:val="single" w:sz="4" w:space="0" w:color="000000" w:themeColor="text1"/>
              <w:left w:val="single" w:sz="4" w:space="0" w:color="000000" w:themeColor="text1"/>
              <w:bottom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Pr>
                <w:rFonts w:ascii="Times New Roman" w:hAnsi="Times New Roman" w:cs="Times New Roman"/>
                <w:b/>
                <w:sz w:val="24"/>
              </w:rPr>
              <w:t>Values</w:t>
            </w:r>
          </w:p>
        </w:tc>
      </w:tr>
      <w:tr w:rsidR="00937F8E" w:rsidRPr="00710A4B" w:rsidTr="00937F8E">
        <w:trPr>
          <w:jc w:val="center"/>
        </w:trPr>
        <w:tc>
          <w:tcPr>
            <w:tcW w:w="2394" w:type="dxa"/>
            <w:tcBorders>
              <w:top w:val="single" w:sz="4" w:space="0" w:color="000000" w:themeColor="text1"/>
              <w:bottom w:val="nil"/>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sidRPr="00710A4B">
              <w:rPr>
                <w:rFonts w:ascii="Times New Roman" w:hAnsi="Times New Roman" w:cs="Times New Roman"/>
                <w:b/>
                <w:sz w:val="24"/>
              </w:rPr>
              <w:t>Mean</w:t>
            </w:r>
          </w:p>
        </w:tc>
        <w:tc>
          <w:tcPr>
            <w:tcW w:w="2394" w:type="dxa"/>
            <w:tcBorders>
              <w:top w:val="single" w:sz="4" w:space="0" w:color="000000" w:themeColor="text1"/>
              <w:lef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sz w:val="24"/>
              </w:rPr>
            </w:pPr>
            <w:r w:rsidRPr="00171262">
              <w:rPr>
                <w:rFonts w:ascii="Times New Roman" w:hAnsi="Times New Roman" w:cs="Times New Roman"/>
                <w:sz w:val="24"/>
              </w:rPr>
              <w:t>0.009133</w:t>
            </w:r>
          </w:p>
        </w:tc>
      </w:tr>
      <w:tr w:rsidR="00937F8E" w:rsidRPr="00710A4B" w:rsidTr="00937F8E">
        <w:trPr>
          <w:jc w:val="center"/>
        </w:trPr>
        <w:tc>
          <w:tcPr>
            <w:tcW w:w="2394" w:type="dxa"/>
            <w:tcBorders>
              <w:top w:val="nil"/>
              <w:bottom w:val="nil"/>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sidRPr="00710A4B">
              <w:rPr>
                <w:rFonts w:ascii="Times New Roman" w:hAnsi="Times New Roman" w:cs="Times New Roman"/>
                <w:b/>
                <w:sz w:val="24"/>
              </w:rPr>
              <w:t>Standard Deviation</w:t>
            </w:r>
          </w:p>
        </w:tc>
        <w:tc>
          <w:tcPr>
            <w:tcW w:w="2394" w:type="dxa"/>
            <w:tcBorders>
              <w:lef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sz w:val="24"/>
              </w:rPr>
            </w:pPr>
            <w:r w:rsidRPr="00171262">
              <w:rPr>
                <w:rFonts w:ascii="Times New Roman" w:hAnsi="Times New Roman" w:cs="Times New Roman"/>
                <w:sz w:val="24"/>
              </w:rPr>
              <w:t>0.590059</w:t>
            </w:r>
          </w:p>
        </w:tc>
      </w:tr>
      <w:tr w:rsidR="00937F8E" w:rsidRPr="00710A4B" w:rsidTr="00937F8E">
        <w:trPr>
          <w:jc w:val="center"/>
        </w:trPr>
        <w:tc>
          <w:tcPr>
            <w:tcW w:w="2394" w:type="dxa"/>
            <w:tcBorders>
              <w:top w:val="nil"/>
              <w:bottom w:val="nil"/>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proofErr w:type="spellStart"/>
            <w:r w:rsidRPr="00710A4B">
              <w:rPr>
                <w:rFonts w:ascii="Times New Roman" w:hAnsi="Times New Roman" w:cs="Times New Roman"/>
                <w:b/>
                <w:sz w:val="24"/>
              </w:rPr>
              <w:t>Skewness</w:t>
            </w:r>
            <w:proofErr w:type="spellEnd"/>
          </w:p>
        </w:tc>
        <w:tc>
          <w:tcPr>
            <w:tcW w:w="2394" w:type="dxa"/>
            <w:tcBorders>
              <w:lef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sz w:val="24"/>
              </w:rPr>
            </w:pPr>
            <w:r w:rsidRPr="00171262">
              <w:rPr>
                <w:rFonts w:ascii="Times New Roman" w:hAnsi="Times New Roman" w:cs="Times New Roman"/>
                <w:sz w:val="24"/>
              </w:rPr>
              <w:t>0.012617</w:t>
            </w:r>
          </w:p>
        </w:tc>
      </w:tr>
      <w:tr w:rsidR="00937F8E" w:rsidRPr="00710A4B" w:rsidTr="00937F8E">
        <w:trPr>
          <w:jc w:val="center"/>
        </w:trPr>
        <w:tc>
          <w:tcPr>
            <w:tcW w:w="2394" w:type="dxa"/>
            <w:tcBorders>
              <w:top w:val="nil"/>
              <w:bottom w:val="nil"/>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sidRPr="00710A4B">
              <w:rPr>
                <w:rFonts w:ascii="Times New Roman" w:hAnsi="Times New Roman" w:cs="Times New Roman"/>
                <w:b/>
                <w:sz w:val="24"/>
              </w:rPr>
              <w:t>Kurtosis</w:t>
            </w:r>
          </w:p>
        </w:tc>
        <w:tc>
          <w:tcPr>
            <w:tcW w:w="2394" w:type="dxa"/>
            <w:tcBorders>
              <w:lef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sz w:val="24"/>
              </w:rPr>
            </w:pPr>
            <w:r w:rsidRPr="00171262">
              <w:rPr>
                <w:rFonts w:ascii="Times New Roman" w:hAnsi="Times New Roman" w:cs="Times New Roman"/>
                <w:sz w:val="24"/>
              </w:rPr>
              <w:t>17.41909</w:t>
            </w:r>
          </w:p>
        </w:tc>
      </w:tr>
      <w:tr w:rsidR="00937F8E" w:rsidRPr="00710A4B" w:rsidTr="00937F8E">
        <w:trPr>
          <w:jc w:val="center"/>
        </w:trPr>
        <w:tc>
          <w:tcPr>
            <w:tcW w:w="2394" w:type="dxa"/>
            <w:tcBorders>
              <w:top w:val="nil"/>
              <w:bottom w:val="nil"/>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proofErr w:type="spellStart"/>
            <w:r w:rsidRPr="00710A4B">
              <w:rPr>
                <w:rFonts w:ascii="Times New Roman" w:hAnsi="Times New Roman" w:cs="Times New Roman"/>
                <w:b/>
                <w:sz w:val="24"/>
              </w:rPr>
              <w:t>Jarque-Bera</w:t>
            </w:r>
            <w:proofErr w:type="spellEnd"/>
          </w:p>
        </w:tc>
        <w:tc>
          <w:tcPr>
            <w:tcW w:w="2394" w:type="dxa"/>
            <w:tcBorders>
              <w:left w:val="single" w:sz="4" w:space="0" w:color="000000" w:themeColor="text1"/>
              <w:bottom w:val="nil"/>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sz w:val="24"/>
              </w:rPr>
            </w:pPr>
            <w:r w:rsidRPr="00171262">
              <w:rPr>
                <w:rFonts w:ascii="Times New Roman" w:hAnsi="Times New Roman" w:cs="Times New Roman"/>
                <w:sz w:val="24"/>
              </w:rPr>
              <w:t>14111.95</w:t>
            </w:r>
            <w:r>
              <w:rPr>
                <w:rFonts w:ascii="Times New Roman" w:hAnsi="Times New Roman" w:cs="Times New Roman"/>
                <w:sz w:val="24"/>
              </w:rPr>
              <w:t xml:space="preserve"> (0.00)</w:t>
            </w:r>
          </w:p>
        </w:tc>
      </w:tr>
      <w:tr w:rsidR="00937F8E" w:rsidRPr="00710A4B" w:rsidTr="00937F8E">
        <w:trPr>
          <w:jc w:val="center"/>
        </w:trPr>
        <w:tc>
          <w:tcPr>
            <w:tcW w:w="2394" w:type="dxa"/>
            <w:tcBorders>
              <w:top w:val="single" w:sz="4" w:space="0" w:color="auto"/>
              <w:bottom w:val="nil"/>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sidRPr="00710A4B">
              <w:rPr>
                <w:rFonts w:ascii="Times New Roman" w:hAnsi="Times New Roman" w:cs="Times New Roman"/>
                <w:b/>
                <w:sz w:val="24"/>
              </w:rPr>
              <w:t>Q(20)</w:t>
            </w:r>
          </w:p>
        </w:tc>
        <w:tc>
          <w:tcPr>
            <w:tcW w:w="2394" w:type="dxa"/>
            <w:tcBorders>
              <w:top w:val="single" w:sz="4" w:space="0" w:color="auto"/>
              <w:lef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sz w:val="24"/>
              </w:rPr>
            </w:pPr>
            <w:r w:rsidRPr="000F5B23">
              <w:rPr>
                <w:rFonts w:ascii="Times New Roman" w:hAnsi="Times New Roman" w:cs="Times New Roman"/>
                <w:sz w:val="24"/>
              </w:rPr>
              <w:t>69.886</w:t>
            </w:r>
            <w:r w:rsidRPr="00521B79">
              <w:rPr>
                <w:rFonts w:ascii="Times New Roman" w:hAnsi="Times New Roman" w:cs="Times New Roman"/>
                <w:sz w:val="24"/>
              </w:rPr>
              <w:t xml:space="preserve"> </w:t>
            </w:r>
            <w:r w:rsidRPr="00710A4B">
              <w:rPr>
                <w:rFonts w:ascii="Times New Roman" w:hAnsi="Times New Roman" w:cs="Times New Roman"/>
                <w:sz w:val="24"/>
              </w:rPr>
              <w:t>(0.00)</w:t>
            </w:r>
          </w:p>
        </w:tc>
      </w:tr>
      <w:tr w:rsidR="00937F8E" w:rsidRPr="00710A4B" w:rsidTr="00937F8E">
        <w:trPr>
          <w:jc w:val="center"/>
        </w:trPr>
        <w:tc>
          <w:tcPr>
            <w:tcW w:w="2394" w:type="dxa"/>
            <w:tcBorders>
              <w:top w:val="nil"/>
              <w:bottom w:val="single" w:sz="4" w:space="0" w:color="000000" w:themeColor="text1"/>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sidRPr="00710A4B">
              <w:rPr>
                <w:rFonts w:ascii="Times New Roman" w:hAnsi="Times New Roman" w:cs="Times New Roman"/>
                <w:b/>
                <w:sz w:val="24"/>
              </w:rPr>
              <w:t>Q</w:t>
            </w:r>
            <w:r w:rsidRPr="00710A4B">
              <w:rPr>
                <w:rFonts w:ascii="Times New Roman" w:hAnsi="Times New Roman" w:cs="Times New Roman"/>
                <w:b/>
                <w:sz w:val="24"/>
                <w:vertAlign w:val="superscript"/>
              </w:rPr>
              <w:t>2</w:t>
            </w:r>
            <w:r w:rsidRPr="00710A4B">
              <w:rPr>
                <w:rFonts w:ascii="Times New Roman" w:hAnsi="Times New Roman" w:cs="Times New Roman"/>
                <w:b/>
                <w:sz w:val="24"/>
              </w:rPr>
              <w:t>(20)</w:t>
            </w:r>
          </w:p>
        </w:tc>
        <w:tc>
          <w:tcPr>
            <w:tcW w:w="2394" w:type="dxa"/>
            <w:tcBorders>
              <w:lef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sz w:val="24"/>
              </w:rPr>
            </w:pPr>
            <w:r w:rsidRPr="000F5B23">
              <w:rPr>
                <w:rFonts w:ascii="Times New Roman" w:hAnsi="Times New Roman" w:cs="Times New Roman"/>
                <w:sz w:val="24"/>
              </w:rPr>
              <w:t xml:space="preserve">998.60 </w:t>
            </w:r>
            <w:r w:rsidRPr="00710A4B">
              <w:rPr>
                <w:rFonts w:ascii="Times New Roman" w:hAnsi="Times New Roman" w:cs="Times New Roman"/>
                <w:sz w:val="24"/>
              </w:rPr>
              <w:t>(0.00)</w:t>
            </w:r>
          </w:p>
        </w:tc>
      </w:tr>
    </w:tbl>
    <w:p w:rsidR="00937F8E" w:rsidRPr="00F471C0" w:rsidRDefault="00937F8E" w:rsidP="00937F8E">
      <w:pPr>
        <w:autoSpaceDE w:val="0"/>
        <w:autoSpaceDN w:val="0"/>
        <w:adjustRightInd w:val="0"/>
        <w:spacing w:line="480" w:lineRule="auto"/>
        <w:rPr>
          <w:rFonts w:ascii="Times New Roman" w:hAnsi="Times New Roman" w:cs="Times New Roman"/>
          <w:sz w:val="24"/>
          <w:szCs w:val="24"/>
        </w:rPr>
      </w:pPr>
      <w:proofErr w:type="gramStart"/>
      <w:r w:rsidRPr="00A6789F">
        <w:rPr>
          <w:rFonts w:ascii="Times New Roman" w:hAnsi="Times New Roman" w:cs="Times New Roman"/>
          <w:sz w:val="20"/>
          <w:szCs w:val="20"/>
        </w:rPr>
        <w:t>Q(</w:t>
      </w:r>
      <w:proofErr w:type="gramEnd"/>
      <w:r w:rsidRPr="00A6789F">
        <w:rPr>
          <w:rFonts w:ascii="Times New Roman" w:hAnsi="Times New Roman" w:cs="Times New Roman"/>
          <w:sz w:val="20"/>
          <w:szCs w:val="20"/>
        </w:rPr>
        <w:t>20) and Q</w:t>
      </w:r>
      <w:r w:rsidRPr="00A6789F">
        <w:rPr>
          <w:rFonts w:ascii="Times New Roman" w:hAnsi="Times New Roman" w:cs="Times New Roman"/>
          <w:sz w:val="20"/>
          <w:szCs w:val="20"/>
          <w:vertAlign w:val="superscript"/>
        </w:rPr>
        <w:t>2</w:t>
      </w:r>
      <w:r w:rsidRPr="00A6789F">
        <w:rPr>
          <w:rFonts w:ascii="Times New Roman" w:hAnsi="Times New Roman" w:cs="Times New Roman"/>
          <w:sz w:val="20"/>
          <w:szCs w:val="20"/>
        </w:rPr>
        <w:t xml:space="preserve">(20) denote the </w:t>
      </w:r>
      <w:proofErr w:type="spellStart"/>
      <w:r w:rsidRPr="00A6789F">
        <w:rPr>
          <w:rFonts w:ascii="Times New Roman" w:hAnsi="Times New Roman" w:cs="Times New Roman"/>
          <w:sz w:val="20"/>
          <w:szCs w:val="20"/>
        </w:rPr>
        <w:t>Ljung</w:t>
      </w:r>
      <w:proofErr w:type="spellEnd"/>
      <w:r w:rsidRPr="00A6789F">
        <w:rPr>
          <w:rFonts w:ascii="Times New Roman" w:hAnsi="Times New Roman" w:cs="Times New Roman"/>
          <w:sz w:val="20"/>
          <w:szCs w:val="20"/>
        </w:rPr>
        <w:t>-Box Q-statistic with 20 lags for the standardized residuals and the squared standardized residuals, respectively.</w:t>
      </w:r>
      <w:r>
        <w:rPr>
          <w:rFonts w:ascii="Times New Roman" w:hAnsi="Times New Roman" w:cs="Times New Roman"/>
          <w:sz w:val="20"/>
          <w:szCs w:val="20"/>
        </w:rPr>
        <w:t xml:space="preserve"> P-values are in parentheses.</w:t>
      </w:r>
    </w:p>
    <w:p w:rsidR="00937F8E" w:rsidRDefault="00937F8E" w:rsidP="00BD2665">
      <w:pPr>
        <w:autoSpaceDE w:val="0"/>
        <w:autoSpaceDN w:val="0"/>
        <w:adjustRightInd w:val="0"/>
        <w:spacing w:line="480" w:lineRule="auto"/>
        <w:jc w:val="both"/>
        <w:rPr>
          <w:rFonts w:ascii="Times New Roman" w:hAnsi="Times New Roman" w:cs="Times New Roman"/>
          <w:sz w:val="24"/>
          <w:szCs w:val="24"/>
        </w:rPr>
      </w:pPr>
    </w:p>
    <w:p w:rsidR="00937F8E" w:rsidRDefault="00937F8E">
      <w:pPr>
        <w:rPr>
          <w:rFonts w:ascii="Times New Roman" w:hAnsi="Times New Roman" w:cs="Times New Roman"/>
          <w:sz w:val="24"/>
          <w:szCs w:val="24"/>
        </w:rPr>
      </w:pPr>
      <w:r>
        <w:rPr>
          <w:rFonts w:ascii="Times New Roman" w:hAnsi="Times New Roman" w:cs="Times New Roman"/>
          <w:sz w:val="24"/>
          <w:szCs w:val="24"/>
        </w:rPr>
        <w:br w:type="page"/>
      </w:r>
    </w:p>
    <w:p w:rsidR="00937F8E" w:rsidRPr="00710A4B" w:rsidRDefault="00937F8E" w:rsidP="00937F8E">
      <w:pPr>
        <w:autoSpaceDE w:val="0"/>
        <w:autoSpaceDN w:val="0"/>
        <w:adjustRightInd w:val="0"/>
        <w:spacing w:after="120"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Table 3: Parameter Estimates of </w:t>
      </w:r>
      <w:r w:rsidRPr="00710A4B">
        <w:rPr>
          <w:rFonts w:ascii="Times New Roman" w:hAnsi="Times New Roman" w:cs="Times New Roman"/>
          <w:b/>
          <w:sz w:val="24"/>
        </w:rPr>
        <w:t xml:space="preserve">GARCH-GED </w:t>
      </w:r>
      <w:r>
        <w:rPr>
          <w:rFonts w:ascii="Times New Roman" w:hAnsi="Times New Roman" w:cs="Times New Roman"/>
          <w:b/>
          <w:sz w:val="24"/>
        </w:rPr>
        <w:t>and E</w:t>
      </w:r>
      <w:r w:rsidRPr="00710A4B">
        <w:rPr>
          <w:rFonts w:ascii="Times New Roman" w:hAnsi="Times New Roman" w:cs="Times New Roman"/>
          <w:b/>
          <w:sz w:val="24"/>
        </w:rPr>
        <w:t>GARCH-GED</w:t>
      </w:r>
      <w:r>
        <w:rPr>
          <w:rFonts w:ascii="Times New Roman" w:hAnsi="Times New Roman" w:cs="Times New Roman"/>
          <w:b/>
          <w:sz w:val="24"/>
        </w:rPr>
        <w:t xml:space="preserve"> </w:t>
      </w:r>
      <w:r w:rsidRPr="00710A4B">
        <w:rPr>
          <w:rFonts w:ascii="Times New Roman" w:hAnsi="Times New Roman" w:cs="Times New Roman"/>
          <w:b/>
          <w:sz w:val="24"/>
        </w:rPr>
        <w:t>model</w:t>
      </w:r>
      <w:r>
        <w:rPr>
          <w:rFonts w:ascii="Times New Roman" w:hAnsi="Times New Roman" w:cs="Times New Roman"/>
          <w:b/>
          <w:sz w:val="24"/>
        </w:rPr>
        <w:t>s</w:t>
      </w:r>
      <w:r w:rsidRPr="00710A4B">
        <w:rPr>
          <w:rFonts w:ascii="Times New Roman" w:hAnsi="Times New Roman" w:cs="Times New Roman"/>
          <w:b/>
          <w:sz w:val="24"/>
        </w:rPr>
        <w:t xml:space="preserve"> </w:t>
      </w:r>
      <w:r>
        <w:rPr>
          <w:rFonts w:ascii="Times New Roman" w:hAnsi="Times New Roman" w:cs="Times New Roman"/>
          <w:b/>
          <w:sz w:val="24"/>
        </w:rPr>
        <w:t xml:space="preserve">with </w:t>
      </w:r>
      <w:r w:rsidRPr="00710A4B">
        <w:rPr>
          <w:rFonts w:ascii="Times New Roman" w:hAnsi="Times New Roman" w:cs="Times New Roman"/>
          <w:b/>
          <w:sz w:val="24"/>
        </w:rPr>
        <w:t xml:space="preserve">dummy </w:t>
      </w:r>
      <w:proofErr w:type="gramStart"/>
      <w:r w:rsidRPr="00710A4B">
        <w:rPr>
          <w:rFonts w:ascii="Times New Roman" w:hAnsi="Times New Roman" w:cs="Times New Roman"/>
          <w:b/>
          <w:sz w:val="24"/>
        </w:rPr>
        <w:t>variable</w:t>
      </w:r>
      <w:r>
        <w:rPr>
          <w:rFonts w:ascii="Times New Roman" w:hAnsi="Times New Roman" w:cs="Times New Roman"/>
          <w:b/>
          <w:sz w:val="24"/>
        </w:rPr>
        <w:t xml:space="preserve"> </w:t>
      </w:r>
      <w:proofErr w:type="gramEnd"/>
      <w:r w:rsidRPr="00710A4B">
        <w:rPr>
          <w:rFonts w:ascii="Times New Roman" w:hAnsi="Times New Roman" w:cs="Times New Roman"/>
          <w:b/>
          <w:position w:val="-6"/>
          <w:sz w:val="24"/>
        </w:rPr>
        <w:object w:dxaOrig="200" w:dyaOrig="279">
          <v:shape id="_x0000_i1090" type="#_x0000_t75" style="width:9.75pt;height:14.25pt" o:ole="">
            <v:imagedata r:id="rId99" o:title=""/>
          </v:shape>
          <o:OLEObject Type="Embed" ProgID="Equation.3" ShapeID="_x0000_i1090" DrawAspect="Content" ObjectID="_1493477218" r:id="rId135"/>
        </w:object>
      </w:r>
      <w:r w:rsidRPr="00710A4B">
        <w:rPr>
          <w:rFonts w:ascii="Times New Roman" w:hAnsi="Times New Roman" w:cs="Times New Roman"/>
          <w:b/>
          <w:sz w:val="24"/>
        </w:rPr>
        <w:t xml:space="preserve">, </w:t>
      </w:r>
      <w:r>
        <w:rPr>
          <w:rFonts w:ascii="Times New Roman" w:hAnsi="Times New Roman" w:cs="Times New Roman"/>
          <w:b/>
          <w:bCs/>
          <w:sz w:val="24"/>
          <w:szCs w:val="24"/>
        </w:rPr>
        <w:t>(January 1, 2006 – July 13, 2012</w:t>
      </w:r>
      <w:r w:rsidRPr="00710A4B">
        <w:rPr>
          <w:rFonts w:ascii="Times New Roman" w:hAnsi="Times New Roman" w:cs="Times New Roman"/>
          <w:b/>
          <w:bCs/>
          <w:sz w:val="24"/>
          <w:szCs w:val="24"/>
        </w:rPr>
        <w:t>).</w:t>
      </w:r>
    </w:p>
    <w:tbl>
      <w:tblPr>
        <w:tblStyle w:val="TableGrid"/>
        <w:tblW w:w="7425" w:type="dxa"/>
        <w:jc w:val="center"/>
        <w:tblInd w:w="108" w:type="dxa"/>
        <w:tblBorders>
          <w:insideH w:val="none" w:sz="0" w:space="0" w:color="auto"/>
          <w:insideV w:val="none" w:sz="0" w:space="0" w:color="auto"/>
        </w:tblBorders>
        <w:tblLook w:val="04A0" w:firstRow="1" w:lastRow="0" w:firstColumn="1" w:lastColumn="0" w:noHBand="0" w:noVBand="1"/>
      </w:tblPr>
      <w:tblGrid>
        <w:gridCol w:w="2376"/>
        <w:gridCol w:w="2374"/>
        <w:gridCol w:w="2675"/>
      </w:tblGrid>
      <w:tr w:rsidR="00937F8E" w:rsidRPr="00710A4B" w:rsidTr="00937F8E">
        <w:trPr>
          <w:jc w:val="center"/>
        </w:trPr>
        <w:tc>
          <w:tcPr>
            <w:tcW w:w="2376" w:type="dxa"/>
            <w:tcBorders>
              <w:top w:val="single" w:sz="4" w:space="0" w:color="000000" w:themeColor="text1"/>
              <w:bottom w:val="single" w:sz="4" w:space="0" w:color="auto"/>
              <w:right w:val="single" w:sz="4" w:space="0" w:color="000000" w:themeColor="text1"/>
            </w:tcBorders>
            <w:vAlign w:val="center"/>
          </w:tcPr>
          <w:p w:rsidR="00937F8E" w:rsidRPr="00B83335" w:rsidRDefault="00937F8E" w:rsidP="00937F8E">
            <w:pPr>
              <w:autoSpaceDE w:val="0"/>
              <w:autoSpaceDN w:val="0"/>
              <w:adjustRightInd w:val="0"/>
              <w:spacing w:line="480" w:lineRule="auto"/>
              <w:rPr>
                <w:rFonts w:ascii="Times New Roman" w:hAnsi="Times New Roman" w:cs="Times New Roman"/>
                <w:b/>
                <w:sz w:val="24"/>
              </w:rPr>
            </w:pPr>
            <w:r w:rsidRPr="00B83335">
              <w:rPr>
                <w:rFonts w:ascii="Times New Roman" w:hAnsi="Times New Roman" w:cs="Times New Roman"/>
                <w:b/>
                <w:sz w:val="24"/>
              </w:rPr>
              <w:t>Parameter</w:t>
            </w:r>
          </w:p>
        </w:tc>
        <w:tc>
          <w:tcPr>
            <w:tcW w:w="2374" w:type="dxa"/>
            <w:tcBorders>
              <w:top w:val="single" w:sz="4" w:space="0" w:color="000000" w:themeColor="text1"/>
              <w:left w:val="single" w:sz="4" w:space="0" w:color="000000" w:themeColor="text1"/>
              <w:bottom w:val="single" w:sz="4" w:space="0" w:color="auto"/>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Pr>
                <w:rFonts w:ascii="Times New Roman" w:hAnsi="Times New Roman" w:cs="Times New Roman"/>
                <w:b/>
                <w:sz w:val="24"/>
              </w:rPr>
              <w:t>GARCH</w:t>
            </w:r>
          </w:p>
        </w:tc>
        <w:tc>
          <w:tcPr>
            <w:tcW w:w="2675" w:type="dxa"/>
            <w:tcBorders>
              <w:top w:val="single" w:sz="4" w:space="0" w:color="000000" w:themeColor="text1"/>
              <w:left w:val="single" w:sz="4" w:space="0" w:color="000000" w:themeColor="text1"/>
              <w:bottom w:val="single" w:sz="4" w:space="0" w:color="auto"/>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rPr>
            </w:pPr>
            <w:r>
              <w:rPr>
                <w:rFonts w:ascii="Times New Roman" w:hAnsi="Times New Roman" w:cs="Times New Roman"/>
                <w:b/>
                <w:sz w:val="24"/>
              </w:rPr>
              <w:t>EGARCH</w:t>
            </w:r>
          </w:p>
        </w:tc>
      </w:tr>
      <w:tr w:rsidR="00937F8E" w:rsidRPr="0028723A" w:rsidTr="00937F8E">
        <w:trPr>
          <w:jc w:val="center"/>
        </w:trPr>
        <w:tc>
          <w:tcPr>
            <w:tcW w:w="2376" w:type="dxa"/>
            <w:tcBorders>
              <w:top w:val="single" w:sz="4" w:space="0" w:color="auto"/>
              <w:left w:val="single" w:sz="4" w:space="0" w:color="auto"/>
              <w:bottom w:val="nil"/>
              <w:right w:val="single" w:sz="4" w:space="0" w:color="auto"/>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position w:val="-6"/>
              </w:rPr>
            </w:pPr>
            <w:r w:rsidRPr="0028723A">
              <w:rPr>
                <w:rFonts w:ascii="Times New Roman" w:hAnsi="Times New Roman" w:cs="Times New Roman"/>
                <w:b/>
                <w:position w:val="-6"/>
              </w:rPr>
              <w:t>c</w:t>
            </w:r>
          </w:p>
        </w:tc>
        <w:tc>
          <w:tcPr>
            <w:tcW w:w="2374" w:type="dxa"/>
            <w:tcBorders>
              <w:top w:val="single" w:sz="4" w:space="0" w:color="auto"/>
              <w:left w:val="single" w:sz="4" w:space="0" w:color="auto"/>
              <w:bottom w:val="nil"/>
              <w:right w:val="single" w:sz="4" w:space="0" w:color="auto"/>
            </w:tcBorders>
            <w:vAlign w:val="center"/>
          </w:tcPr>
          <w:p w:rsidR="00937F8E" w:rsidRPr="0028723A" w:rsidRDefault="00937F8E" w:rsidP="00937F8E">
            <w:pPr>
              <w:spacing w:line="480" w:lineRule="auto"/>
              <w:rPr>
                <w:rFonts w:ascii="Times New Roman" w:hAnsi="Times New Roman" w:cs="Times New Roman"/>
              </w:rPr>
            </w:pPr>
            <w:r w:rsidRPr="0028723A">
              <w:rPr>
                <w:rFonts w:ascii="Times New Roman" w:hAnsi="Times New Roman" w:cs="Times New Roman"/>
              </w:rPr>
              <w:t>-1.67E-05 (0.8124)</w:t>
            </w:r>
          </w:p>
        </w:tc>
        <w:tc>
          <w:tcPr>
            <w:tcW w:w="2675" w:type="dxa"/>
            <w:tcBorders>
              <w:top w:val="single" w:sz="4" w:space="0" w:color="auto"/>
              <w:left w:val="single" w:sz="4" w:space="0" w:color="auto"/>
              <w:bottom w:val="nil"/>
              <w:right w:val="single" w:sz="4" w:space="0" w:color="auto"/>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4.55E-05</w:t>
            </w:r>
            <w:r>
              <w:rPr>
                <w:rFonts w:ascii="Times New Roman" w:hAnsi="Times New Roman" w:cs="Times New Roman"/>
                <w:color w:val="000000"/>
              </w:rPr>
              <w:t xml:space="preserve"> (0.5239)</w:t>
            </w:r>
          </w:p>
        </w:tc>
      </w:tr>
      <w:tr w:rsidR="00937F8E" w:rsidRPr="0028723A" w:rsidTr="00937F8E">
        <w:trPr>
          <w:jc w:val="center"/>
        </w:trPr>
        <w:tc>
          <w:tcPr>
            <w:tcW w:w="2376" w:type="dxa"/>
            <w:tcBorders>
              <w:top w:val="nil"/>
              <w:left w:val="single" w:sz="4" w:space="0" w:color="auto"/>
              <w:bottom w:val="nil"/>
              <w:right w:val="single" w:sz="4" w:space="0" w:color="auto"/>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position w:val="-6"/>
              </w:rPr>
            </w:pPr>
            <w:r w:rsidRPr="0028723A">
              <w:rPr>
                <w:rFonts w:ascii="Times New Roman" w:hAnsi="Times New Roman" w:cs="Times New Roman"/>
                <w:b/>
                <w:position w:val="-6"/>
              </w:rPr>
              <w:t>Lag1</w:t>
            </w:r>
          </w:p>
        </w:tc>
        <w:tc>
          <w:tcPr>
            <w:tcW w:w="2374" w:type="dxa"/>
            <w:tcBorders>
              <w:top w:val="nil"/>
              <w:left w:val="single" w:sz="4" w:space="0" w:color="auto"/>
              <w:bottom w:val="nil"/>
              <w:right w:val="single" w:sz="4" w:space="0" w:color="auto"/>
            </w:tcBorders>
            <w:vAlign w:val="center"/>
          </w:tcPr>
          <w:p w:rsidR="00937F8E" w:rsidRPr="0028723A" w:rsidRDefault="00937F8E" w:rsidP="00937F8E">
            <w:pPr>
              <w:spacing w:line="480" w:lineRule="auto"/>
              <w:rPr>
                <w:rFonts w:ascii="Times New Roman" w:hAnsi="Times New Roman" w:cs="Times New Roman"/>
              </w:rPr>
            </w:pPr>
            <w:r w:rsidRPr="0028723A">
              <w:rPr>
                <w:rFonts w:ascii="Times New Roman" w:hAnsi="Times New Roman" w:cs="Times New Roman"/>
              </w:rPr>
              <w:t>0.144121 (0.00)</w:t>
            </w:r>
          </w:p>
        </w:tc>
        <w:tc>
          <w:tcPr>
            <w:tcW w:w="2675" w:type="dxa"/>
            <w:tcBorders>
              <w:top w:val="nil"/>
              <w:left w:val="single" w:sz="4" w:space="0" w:color="auto"/>
              <w:bottom w:val="nil"/>
              <w:right w:val="single" w:sz="4" w:space="0" w:color="auto"/>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0.150553</w:t>
            </w:r>
            <w:r>
              <w:rPr>
                <w:rFonts w:ascii="Times New Roman" w:hAnsi="Times New Roman" w:cs="Times New Roman"/>
                <w:color w:val="000000"/>
              </w:rPr>
              <w:t xml:space="preserve"> (0.150553)</w:t>
            </w:r>
          </w:p>
        </w:tc>
      </w:tr>
      <w:tr w:rsidR="00937F8E" w:rsidRPr="0028723A" w:rsidTr="00937F8E">
        <w:trPr>
          <w:jc w:val="center"/>
        </w:trPr>
        <w:tc>
          <w:tcPr>
            <w:tcW w:w="2376" w:type="dxa"/>
            <w:tcBorders>
              <w:top w:val="nil"/>
              <w:left w:val="single" w:sz="4" w:space="0" w:color="auto"/>
              <w:bottom w:val="nil"/>
              <w:right w:val="single" w:sz="4" w:space="0" w:color="auto"/>
            </w:tcBorders>
            <w:vAlign w:val="center"/>
          </w:tcPr>
          <w:p w:rsidR="00937F8E" w:rsidRPr="0028723A" w:rsidRDefault="00937F8E" w:rsidP="00937F8E">
            <w:pPr>
              <w:autoSpaceDE w:val="0"/>
              <w:autoSpaceDN w:val="0"/>
              <w:adjustRightInd w:val="0"/>
              <w:spacing w:line="480" w:lineRule="auto"/>
              <w:jc w:val="both"/>
              <w:rPr>
                <w:rFonts w:ascii="Times New Roman" w:hAnsi="Times New Roman" w:cs="Times New Roman"/>
                <w:b/>
                <w:position w:val="-6"/>
              </w:rPr>
            </w:pPr>
            <w:r w:rsidRPr="0028723A">
              <w:rPr>
                <w:rFonts w:ascii="Times New Roman" w:hAnsi="Times New Roman" w:cs="Times New Roman"/>
                <w:b/>
                <w:position w:val="-6"/>
              </w:rPr>
              <w:t>Lag 2</w:t>
            </w:r>
          </w:p>
        </w:tc>
        <w:tc>
          <w:tcPr>
            <w:tcW w:w="2374" w:type="dxa"/>
            <w:tcBorders>
              <w:top w:val="nil"/>
              <w:left w:val="single" w:sz="4" w:space="0" w:color="auto"/>
              <w:bottom w:val="nil"/>
              <w:right w:val="single" w:sz="4" w:space="0" w:color="auto"/>
            </w:tcBorders>
            <w:vAlign w:val="center"/>
          </w:tcPr>
          <w:p w:rsidR="00937F8E" w:rsidRPr="0028723A" w:rsidRDefault="00937F8E" w:rsidP="00937F8E">
            <w:pPr>
              <w:spacing w:line="480" w:lineRule="auto"/>
              <w:rPr>
                <w:rFonts w:ascii="Times New Roman" w:hAnsi="Times New Roman" w:cs="Times New Roman"/>
              </w:rPr>
            </w:pPr>
            <w:r w:rsidRPr="0028723A">
              <w:rPr>
                <w:rFonts w:ascii="Times New Roman" w:hAnsi="Times New Roman" w:cs="Times New Roman"/>
              </w:rPr>
              <w:t>-0.084323 (0.0045)</w:t>
            </w:r>
          </w:p>
        </w:tc>
        <w:tc>
          <w:tcPr>
            <w:tcW w:w="2675" w:type="dxa"/>
            <w:tcBorders>
              <w:top w:val="nil"/>
              <w:left w:val="single" w:sz="4" w:space="0" w:color="auto"/>
              <w:bottom w:val="nil"/>
              <w:right w:val="single" w:sz="4" w:space="0" w:color="auto"/>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-0.070238</w:t>
            </w:r>
            <w:r>
              <w:rPr>
                <w:rFonts w:ascii="Times New Roman" w:hAnsi="Times New Roman" w:cs="Times New Roman"/>
                <w:color w:val="000000"/>
              </w:rPr>
              <w:t xml:space="preserve"> (0.0107)</w:t>
            </w:r>
          </w:p>
        </w:tc>
      </w:tr>
      <w:tr w:rsidR="00937F8E" w:rsidRPr="0028723A" w:rsidTr="00937F8E">
        <w:trPr>
          <w:jc w:val="center"/>
        </w:trPr>
        <w:tc>
          <w:tcPr>
            <w:tcW w:w="2376" w:type="dxa"/>
            <w:tcBorders>
              <w:top w:val="nil"/>
              <w:left w:val="single" w:sz="4" w:space="0" w:color="auto"/>
              <w:bottom w:val="nil"/>
              <w:right w:val="single" w:sz="4" w:space="0" w:color="auto"/>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rPr>
              <w:t>Lag 4</w:t>
            </w:r>
          </w:p>
        </w:tc>
        <w:tc>
          <w:tcPr>
            <w:tcW w:w="2374" w:type="dxa"/>
            <w:tcBorders>
              <w:top w:val="nil"/>
              <w:left w:val="single" w:sz="4" w:space="0" w:color="auto"/>
              <w:bottom w:val="nil"/>
              <w:right w:val="single" w:sz="4" w:space="0" w:color="auto"/>
            </w:tcBorders>
            <w:vAlign w:val="center"/>
          </w:tcPr>
          <w:p w:rsidR="00937F8E" w:rsidRPr="0028723A" w:rsidRDefault="00937F8E" w:rsidP="00937F8E">
            <w:pPr>
              <w:spacing w:line="480" w:lineRule="auto"/>
              <w:rPr>
                <w:rFonts w:ascii="Times New Roman" w:hAnsi="Times New Roman" w:cs="Times New Roman"/>
              </w:rPr>
            </w:pPr>
            <w:r w:rsidRPr="0028723A">
              <w:rPr>
                <w:rFonts w:ascii="Times New Roman" w:hAnsi="Times New Roman" w:cs="Times New Roman"/>
              </w:rPr>
              <w:t>0.021367 (0.4098)</w:t>
            </w:r>
          </w:p>
        </w:tc>
        <w:tc>
          <w:tcPr>
            <w:tcW w:w="2675" w:type="dxa"/>
            <w:tcBorders>
              <w:top w:val="nil"/>
              <w:left w:val="single" w:sz="4" w:space="0" w:color="auto"/>
              <w:bottom w:val="nil"/>
              <w:right w:val="single" w:sz="4" w:space="0" w:color="auto"/>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0.023897</w:t>
            </w:r>
            <w:r>
              <w:rPr>
                <w:rFonts w:ascii="Times New Roman" w:hAnsi="Times New Roman" w:cs="Times New Roman"/>
                <w:color w:val="000000"/>
              </w:rPr>
              <w:t xml:space="preserve"> (0.3215)</w:t>
            </w:r>
          </w:p>
        </w:tc>
      </w:tr>
      <w:tr w:rsidR="00937F8E" w:rsidRPr="0028723A" w:rsidTr="00937F8E">
        <w:trPr>
          <w:jc w:val="center"/>
        </w:trPr>
        <w:tc>
          <w:tcPr>
            <w:tcW w:w="2376" w:type="dxa"/>
            <w:tcBorders>
              <w:top w:val="nil"/>
              <w:left w:val="single" w:sz="4" w:space="0" w:color="auto"/>
              <w:bottom w:val="single" w:sz="4" w:space="0" w:color="auto"/>
              <w:right w:val="single" w:sz="4" w:space="0" w:color="auto"/>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position w:val="-6"/>
              </w:rPr>
            </w:pPr>
            <w:r w:rsidRPr="0028723A">
              <w:rPr>
                <w:rFonts w:ascii="Times New Roman" w:hAnsi="Times New Roman" w:cs="Times New Roman"/>
                <w:b/>
                <w:position w:val="-6"/>
              </w:rPr>
              <w:object w:dxaOrig="200" w:dyaOrig="279">
                <v:shape id="_x0000_i1091" type="#_x0000_t75" style="width:9.75pt;height:14.25pt" o:ole="">
                  <v:imagedata r:id="rId99" o:title=""/>
                </v:shape>
                <o:OLEObject Type="Embed" ProgID="Equation.3" ShapeID="_x0000_i1091" DrawAspect="Content" ObjectID="_1493477219" r:id="rId136"/>
              </w:object>
            </w:r>
          </w:p>
        </w:tc>
        <w:tc>
          <w:tcPr>
            <w:tcW w:w="2374" w:type="dxa"/>
            <w:tcBorders>
              <w:top w:val="nil"/>
              <w:left w:val="single" w:sz="4" w:space="0" w:color="auto"/>
              <w:bottom w:val="single" w:sz="4" w:space="0" w:color="auto"/>
              <w:right w:val="single" w:sz="4" w:space="0" w:color="auto"/>
            </w:tcBorders>
            <w:vAlign w:val="center"/>
          </w:tcPr>
          <w:p w:rsidR="00937F8E" w:rsidRPr="0028723A" w:rsidRDefault="00937F8E" w:rsidP="00937F8E">
            <w:pPr>
              <w:spacing w:line="480" w:lineRule="auto"/>
              <w:rPr>
                <w:rFonts w:ascii="Times New Roman" w:hAnsi="Times New Roman" w:cs="Times New Roman"/>
              </w:rPr>
            </w:pPr>
            <w:r w:rsidRPr="0028723A">
              <w:rPr>
                <w:rFonts w:ascii="Times New Roman" w:hAnsi="Times New Roman" w:cs="Times New Roman"/>
              </w:rPr>
              <w:t>0.000432 (0.1940)</w:t>
            </w:r>
          </w:p>
        </w:tc>
        <w:tc>
          <w:tcPr>
            <w:tcW w:w="2675" w:type="dxa"/>
            <w:tcBorders>
              <w:top w:val="nil"/>
              <w:left w:val="single" w:sz="4" w:space="0" w:color="auto"/>
              <w:bottom w:val="single" w:sz="4" w:space="0" w:color="auto"/>
              <w:right w:val="single" w:sz="4" w:space="0" w:color="auto"/>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0.000490</w:t>
            </w:r>
            <w:r>
              <w:rPr>
                <w:rFonts w:ascii="Times New Roman" w:hAnsi="Times New Roman" w:cs="Times New Roman"/>
                <w:color w:val="000000"/>
              </w:rPr>
              <w:t xml:space="preserve"> (0.1235)</w:t>
            </w:r>
          </w:p>
        </w:tc>
      </w:tr>
      <w:tr w:rsidR="00937F8E" w:rsidRPr="0028723A" w:rsidTr="00937F8E">
        <w:trPr>
          <w:jc w:val="center"/>
        </w:trPr>
        <w:tc>
          <w:tcPr>
            <w:tcW w:w="2376" w:type="dxa"/>
            <w:tcBorders>
              <w:top w:val="single" w:sz="4" w:space="0" w:color="auto"/>
              <w:bottom w:val="nil"/>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position w:val="-6"/>
              </w:rPr>
              <w:object w:dxaOrig="240" w:dyaOrig="220">
                <v:shape id="_x0000_i1092" type="#_x0000_t75" style="width:12pt;height:11.25pt" o:ole="">
                  <v:imagedata r:id="rId137" o:title=""/>
                </v:shape>
                <o:OLEObject Type="Embed" ProgID="Equation.3" ShapeID="_x0000_i1092" DrawAspect="Content" ObjectID="_1493477220" r:id="rId138"/>
              </w:object>
            </w:r>
          </w:p>
        </w:tc>
        <w:tc>
          <w:tcPr>
            <w:tcW w:w="2374" w:type="dxa"/>
            <w:tcBorders>
              <w:top w:val="single" w:sz="4" w:space="0" w:color="auto"/>
              <w:left w:val="single" w:sz="4" w:space="0" w:color="000000" w:themeColor="text1"/>
            </w:tcBorders>
          </w:tcPr>
          <w:p w:rsidR="00937F8E" w:rsidRPr="0028723A" w:rsidRDefault="00937F8E" w:rsidP="00937F8E">
            <w:pPr>
              <w:spacing w:line="480" w:lineRule="auto"/>
              <w:rPr>
                <w:rFonts w:ascii="Times New Roman" w:hAnsi="Times New Roman" w:cs="Times New Roman"/>
              </w:rPr>
            </w:pPr>
            <w:r w:rsidRPr="0028723A">
              <w:rPr>
                <w:rFonts w:ascii="Times New Roman" w:hAnsi="Times New Roman" w:cs="Times New Roman"/>
              </w:rPr>
              <w:t>7.40E-07 (0.00)</w:t>
            </w:r>
          </w:p>
        </w:tc>
        <w:tc>
          <w:tcPr>
            <w:tcW w:w="2675" w:type="dxa"/>
            <w:tcBorders>
              <w:top w:val="single" w:sz="4" w:space="0" w:color="auto"/>
              <w:left w:val="single" w:sz="4" w:space="0" w:color="000000" w:themeColor="text1"/>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-1.326990</w:t>
            </w:r>
            <w:r>
              <w:rPr>
                <w:rFonts w:ascii="Times New Roman" w:hAnsi="Times New Roman" w:cs="Times New Roman"/>
                <w:color w:val="000000"/>
              </w:rPr>
              <w:t xml:space="preserve"> (0.00)</w:t>
            </w:r>
          </w:p>
        </w:tc>
      </w:tr>
      <w:tr w:rsidR="00937F8E" w:rsidRPr="0028723A" w:rsidTr="00937F8E">
        <w:trPr>
          <w:jc w:val="center"/>
        </w:trPr>
        <w:tc>
          <w:tcPr>
            <w:tcW w:w="2376" w:type="dxa"/>
            <w:tcBorders>
              <w:top w:val="nil"/>
              <w:bottom w:val="nil"/>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position w:val="-6"/>
              </w:rPr>
              <w:object w:dxaOrig="240" w:dyaOrig="220">
                <v:shape id="_x0000_i1093" type="#_x0000_t75" style="width:12pt;height:11.25pt" o:ole="">
                  <v:imagedata r:id="rId139" o:title=""/>
                </v:shape>
                <o:OLEObject Type="Embed" ProgID="Equation.3" ShapeID="_x0000_i1093" DrawAspect="Content" ObjectID="_1493477221" r:id="rId140"/>
              </w:object>
            </w:r>
          </w:p>
        </w:tc>
        <w:tc>
          <w:tcPr>
            <w:tcW w:w="2374" w:type="dxa"/>
            <w:tcBorders>
              <w:left w:val="single" w:sz="4" w:space="0" w:color="000000" w:themeColor="text1"/>
            </w:tcBorders>
          </w:tcPr>
          <w:p w:rsidR="00937F8E" w:rsidRPr="0028723A" w:rsidRDefault="00937F8E" w:rsidP="00937F8E">
            <w:pPr>
              <w:spacing w:line="480" w:lineRule="auto"/>
              <w:rPr>
                <w:rFonts w:ascii="Times New Roman" w:hAnsi="Times New Roman" w:cs="Times New Roman"/>
              </w:rPr>
            </w:pPr>
            <w:r w:rsidRPr="0028723A">
              <w:rPr>
                <w:rFonts w:ascii="Times New Roman" w:hAnsi="Times New Roman" w:cs="Times New Roman"/>
              </w:rPr>
              <w:t>0.261782 (0.00)</w:t>
            </w:r>
          </w:p>
        </w:tc>
        <w:tc>
          <w:tcPr>
            <w:tcW w:w="2675" w:type="dxa"/>
            <w:tcBorders>
              <w:left w:val="single" w:sz="4" w:space="0" w:color="000000" w:themeColor="text1"/>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0.469293</w:t>
            </w:r>
            <w:r>
              <w:rPr>
                <w:rFonts w:ascii="Times New Roman" w:hAnsi="Times New Roman" w:cs="Times New Roman"/>
                <w:color w:val="000000"/>
              </w:rPr>
              <w:t xml:space="preserve"> (0.00)</w:t>
            </w:r>
          </w:p>
        </w:tc>
      </w:tr>
      <w:tr w:rsidR="00937F8E" w:rsidRPr="0028723A" w:rsidTr="00937F8E">
        <w:trPr>
          <w:jc w:val="center"/>
        </w:trPr>
        <w:tc>
          <w:tcPr>
            <w:tcW w:w="2376" w:type="dxa"/>
            <w:tcBorders>
              <w:top w:val="nil"/>
              <w:bottom w:val="nil"/>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position w:val="-10"/>
              </w:rPr>
              <w:object w:dxaOrig="200" w:dyaOrig="260">
                <v:shape id="_x0000_i1094" type="#_x0000_t75" style="width:9.75pt;height:12.75pt" o:ole="">
                  <v:imagedata r:id="rId141" o:title=""/>
                </v:shape>
                <o:OLEObject Type="Embed" ProgID="Equation.3" ShapeID="_x0000_i1094" DrawAspect="Content" ObjectID="_1493477222" r:id="rId142"/>
              </w:object>
            </w:r>
          </w:p>
        </w:tc>
        <w:tc>
          <w:tcPr>
            <w:tcW w:w="2374" w:type="dxa"/>
            <w:tcBorders>
              <w:top w:val="nil"/>
              <w:left w:val="single" w:sz="4" w:space="0" w:color="000000" w:themeColor="text1"/>
              <w:bottom w:val="nil"/>
            </w:tcBorders>
            <w:vAlign w:val="center"/>
          </w:tcPr>
          <w:p w:rsidR="00937F8E" w:rsidRPr="0028723A" w:rsidRDefault="00937F8E" w:rsidP="00937F8E">
            <w:pPr>
              <w:autoSpaceDE w:val="0"/>
              <w:autoSpaceDN w:val="0"/>
              <w:adjustRightInd w:val="0"/>
              <w:spacing w:line="480" w:lineRule="auto"/>
              <w:ind w:right="10"/>
              <w:rPr>
                <w:rFonts w:ascii="Times New Roman" w:hAnsi="Times New Roman" w:cs="Times New Roman"/>
                <w:color w:val="000000"/>
              </w:rPr>
            </w:pPr>
            <w:r>
              <w:rPr>
                <w:rFonts w:ascii="Times New Roman" w:hAnsi="Times New Roman" w:cs="Times New Roman"/>
                <w:color w:val="000000"/>
              </w:rPr>
              <w:t xml:space="preserve">      </w:t>
            </w:r>
            <w:r w:rsidRPr="0028723A">
              <w:rPr>
                <w:rFonts w:ascii="Times New Roman" w:hAnsi="Times New Roman" w:cs="Times New Roman"/>
                <w:color w:val="000000"/>
              </w:rPr>
              <w:t>NA</w:t>
            </w:r>
          </w:p>
        </w:tc>
        <w:tc>
          <w:tcPr>
            <w:tcW w:w="2675" w:type="dxa"/>
            <w:tcBorders>
              <w:top w:val="nil"/>
              <w:left w:val="single" w:sz="4" w:space="0" w:color="000000" w:themeColor="text1"/>
              <w:bottom w:val="nil"/>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0.043791</w:t>
            </w:r>
            <w:r>
              <w:rPr>
                <w:rFonts w:ascii="Times New Roman" w:hAnsi="Times New Roman" w:cs="Times New Roman"/>
                <w:color w:val="000000"/>
              </w:rPr>
              <w:t xml:space="preserve"> (0.0123)</w:t>
            </w:r>
          </w:p>
        </w:tc>
      </w:tr>
      <w:tr w:rsidR="00937F8E" w:rsidRPr="0028723A" w:rsidTr="00937F8E">
        <w:trPr>
          <w:jc w:val="center"/>
        </w:trPr>
        <w:tc>
          <w:tcPr>
            <w:tcW w:w="2376" w:type="dxa"/>
            <w:tcBorders>
              <w:top w:val="nil"/>
              <w:bottom w:val="nil"/>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position w:val="-10"/>
              </w:rPr>
              <w:object w:dxaOrig="240" w:dyaOrig="320">
                <v:shape id="_x0000_i1095" type="#_x0000_t75" style="width:12pt;height:15.75pt" o:ole="">
                  <v:imagedata r:id="rId143" o:title=""/>
                </v:shape>
                <o:OLEObject Type="Embed" ProgID="Equation.3" ShapeID="_x0000_i1095" DrawAspect="Content" ObjectID="_1493477223" r:id="rId144"/>
              </w:object>
            </w:r>
          </w:p>
        </w:tc>
        <w:tc>
          <w:tcPr>
            <w:tcW w:w="2374" w:type="dxa"/>
            <w:tcBorders>
              <w:top w:val="nil"/>
              <w:left w:val="single" w:sz="4" w:space="0" w:color="000000" w:themeColor="text1"/>
              <w:bottom w:val="nil"/>
            </w:tcBorders>
            <w:vAlign w:val="center"/>
          </w:tcPr>
          <w:p w:rsidR="00937F8E" w:rsidRPr="0028723A" w:rsidRDefault="00937F8E" w:rsidP="00937F8E">
            <w:pPr>
              <w:autoSpaceDE w:val="0"/>
              <w:autoSpaceDN w:val="0"/>
              <w:adjustRightInd w:val="0"/>
              <w:spacing w:line="480" w:lineRule="auto"/>
              <w:ind w:right="10"/>
              <w:rPr>
                <w:rFonts w:ascii="Times New Roman" w:hAnsi="Times New Roman" w:cs="Times New Roman"/>
                <w:color w:val="000000"/>
              </w:rPr>
            </w:pPr>
            <w:r w:rsidRPr="0028723A">
              <w:rPr>
                <w:rFonts w:ascii="Times New Roman" w:hAnsi="Times New Roman" w:cs="Times New Roman"/>
                <w:color w:val="000000"/>
              </w:rPr>
              <w:t>0.710609 (0.00)</w:t>
            </w:r>
          </w:p>
        </w:tc>
        <w:tc>
          <w:tcPr>
            <w:tcW w:w="2675" w:type="dxa"/>
            <w:tcBorders>
              <w:top w:val="nil"/>
              <w:left w:val="single" w:sz="4" w:space="0" w:color="000000" w:themeColor="text1"/>
              <w:bottom w:val="nil"/>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0.913473</w:t>
            </w:r>
            <w:r>
              <w:rPr>
                <w:rFonts w:ascii="Times New Roman" w:hAnsi="Times New Roman" w:cs="Times New Roman"/>
                <w:color w:val="000000"/>
              </w:rPr>
              <w:t xml:space="preserve"> (0.00)</w:t>
            </w:r>
          </w:p>
        </w:tc>
      </w:tr>
      <w:tr w:rsidR="00937F8E" w:rsidRPr="0028723A" w:rsidTr="00937F8E">
        <w:trPr>
          <w:jc w:val="center"/>
        </w:trPr>
        <w:tc>
          <w:tcPr>
            <w:tcW w:w="2376" w:type="dxa"/>
            <w:tcBorders>
              <w:top w:val="nil"/>
              <w:bottom w:val="single" w:sz="4" w:space="0" w:color="auto"/>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position w:val="-10"/>
              </w:rPr>
            </w:pPr>
            <w:r w:rsidRPr="0028723A">
              <w:rPr>
                <w:rFonts w:ascii="Times New Roman" w:hAnsi="Times New Roman" w:cs="Times New Roman"/>
                <w:b/>
                <w:position w:val="-6"/>
              </w:rPr>
              <w:object w:dxaOrig="200" w:dyaOrig="279">
                <v:shape id="_x0000_i1096" type="#_x0000_t75" style="width:9.75pt;height:14.25pt" o:ole="">
                  <v:imagedata r:id="rId99" o:title=""/>
                </v:shape>
                <o:OLEObject Type="Embed" ProgID="Equation.3" ShapeID="_x0000_i1096" DrawAspect="Content" ObjectID="_1493477224" r:id="rId145"/>
              </w:object>
            </w:r>
          </w:p>
        </w:tc>
        <w:tc>
          <w:tcPr>
            <w:tcW w:w="2374" w:type="dxa"/>
            <w:tcBorders>
              <w:top w:val="nil"/>
              <w:left w:val="single" w:sz="4" w:space="0" w:color="000000" w:themeColor="text1"/>
              <w:bottom w:val="single" w:sz="4" w:space="0" w:color="auto"/>
            </w:tcBorders>
            <w:vAlign w:val="center"/>
          </w:tcPr>
          <w:p w:rsidR="00937F8E" w:rsidRPr="0028723A" w:rsidRDefault="00937F8E" w:rsidP="00937F8E">
            <w:pPr>
              <w:autoSpaceDE w:val="0"/>
              <w:autoSpaceDN w:val="0"/>
              <w:adjustRightInd w:val="0"/>
              <w:spacing w:line="480" w:lineRule="auto"/>
              <w:ind w:right="10"/>
              <w:rPr>
                <w:rFonts w:ascii="Times New Roman" w:hAnsi="Times New Roman" w:cs="Times New Roman"/>
                <w:color w:val="000000"/>
              </w:rPr>
            </w:pPr>
            <w:r w:rsidRPr="0028723A">
              <w:rPr>
                <w:rFonts w:ascii="Times New Roman" w:hAnsi="Times New Roman" w:cs="Times New Roman"/>
                <w:color w:val="000000"/>
              </w:rPr>
              <w:t>2.19E-06 (0.0012)</w:t>
            </w:r>
          </w:p>
        </w:tc>
        <w:tc>
          <w:tcPr>
            <w:tcW w:w="2675" w:type="dxa"/>
            <w:tcBorders>
              <w:top w:val="nil"/>
              <w:left w:val="single" w:sz="4" w:space="0" w:color="000000" w:themeColor="text1"/>
              <w:bottom w:val="single" w:sz="4" w:space="0" w:color="auto"/>
            </w:tcBorders>
            <w:vAlign w:val="center"/>
          </w:tcPr>
          <w:p w:rsidR="00937F8E" w:rsidRPr="002E13C3" w:rsidRDefault="00937F8E" w:rsidP="00937F8E">
            <w:pPr>
              <w:autoSpaceDE w:val="0"/>
              <w:autoSpaceDN w:val="0"/>
              <w:adjustRightInd w:val="0"/>
              <w:spacing w:line="480" w:lineRule="auto"/>
              <w:ind w:right="10"/>
              <w:rPr>
                <w:rFonts w:ascii="Times New Roman" w:hAnsi="Times New Roman" w:cs="Times New Roman"/>
                <w:color w:val="000000"/>
              </w:rPr>
            </w:pPr>
            <w:r w:rsidRPr="002E13C3">
              <w:rPr>
                <w:rFonts w:ascii="Times New Roman" w:hAnsi="Times New Roman" w:cs="Times New Roman"/>
                <w:color w:val="000000"/>
              </w:rPr>
              <w:t>0.124766</w:t>
            </w:r>
            <w:r>
              <w:rPr>
                <w:rFonts w:ascii="Times New Roman" w:hAnsi="Times New Roman" w:cs="Times New Roman"/>
                <w:color w:val="000000"/>
              </w:rPr>
              <w:t xml:space="preserve"> (0.00)</w:t>
            </w:r>
          </w:p>
        </w:tc>
      </w:tr>
      <w:tr w:rsidR="00937F8E" w:rsidRPr="0028723A" w:rsidTr="00937F8E">
        <w:trPr>
          <w:jc w:val="center"/>
        </w:trPr>
        <w:tc>
          <w:tcPr>
            <w:tcW w:w="2376" w:type="dxa"/>
            <w:tcBorders>
              <w:top w:val="single" w:sz="4" w:space="0" w:color="auto"/>
              <w:bottom w:val="single" w:sz="4" w:space="0" w:color="auto"/>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position w:val="-6"/>
              </w:rPr>
            </w:pPr>
            <w:r w:rsidRPr="0028723A">
              <w:rPr>
                <w:rFonts w:ascii="Times New Roman" w:hAnsi="Times New Roman" w:cs="Times New Roman"/>
                <w:b/>
                <w:position w:val="-10"/>
              </w:rPr>
              <w:object w:dxaOrig="639" w:dyaOrig="320">
                <v:shape id="_x0000_i1097" type="#_x0000_t75" style="width:31.5pt;height:16.5pt" o:ole="">
                  <v:imagedata r:id="rId146" o:title=""/>
                </v:shape>
                <o:OLEObject Type="Embed" ProgID="Equation.3" ShapeID="_x0000_i1097" DrawAspect="Content" ObjectID="_1493477225" r:id="rId147"/>
              </w:object>
            </w:r>
          </w:p>
        </w:tc>
        <w:tc>
          <w:tcPr>
            <w:tcW w:w="2374" w:type="dxa"/>
            <w:tcBorders>
              <w:top w:val="single" w:sz="4" w:space="0" w:color="auto"/>
              <w:left w:val="single" w:sz="4" w:space="0" w:color="000000" w:themeColor="text1"/>
              <w:bottom w:val="single" w:sz="4" w:space="0" w:color="auto"/>
            </w:tcBorders>
            <w:vAlign w:val="center"/>
          </w:tcPr>
          <w:p w:rsidR="00937F8E" w:rsidRPr="00353E7B" w:rsidRDefault="00937F8E" w:rsidP="00937F8E">
            <w:pPr>
              <w:autoSpaceDE w:val="0"/>
              <w:autoSpaceDN w:val="0"/>
              <w:adjustRightInd w:val="0"/>
              <w:spacing w:line="480" w:lineRule="auto"/>
              <w:ind w:right="10"/>
              <w:rPr>
                <w:rFonts w:ascii="Times New Roman" w:hAnsi="Times New Roman" w:cs="Times New Roman"/>
                <w:b/>
                <w:color w:val="000000"/>
              </w:rPr>
            </w:pPr>
            <w:r w:rsidRPr="00353E7B">
              <w:rPr>
                <w:rFonts w:ascii="Times New Roman" w:hAnsi="Times New Roman" w:cs="Times New Roman"/>
                <w:b/>
                <w:color w:val="000000"/>
              </w:rPr>
              <w:t>0.972391</w:t>
            </w:r>
          </w:p>
        </w:tc>
        <w:tc>
          <w:tcPr>
            <w:tcW w:w="2675" w:type="dxa"/>
            <w:tcBorders>
              <w:top w:val="single" w:sz="4" w:space="0" w:color="auto"/>
              <w:left w:val="single" w:sz="4" w:space="0" w:color="000000" w:themeColor="text1"/>
              <w:bottom w:val="single" w:sz="4" w:space="0" w:color="auto"/>
            </w:tcBorders>
            <w:vAlign w:val="center"/>
          </w:tcPr>
          <w:p w:rsidR="00937F8E" w:rsidRPr="00353E7B" w:rsidRDefault="00937F8E" w:rsidP="00937F8E">
            <w:pPr>
              <w:autoSpaceDE w:val="0"/>
              <w:autoSpaceDN w:val="0"/>
              <w:adjustRightInd w:val="0"/>
              <w:spacing w:line="480" w:lineRule="auto"/>
              <w:ind w:right="10"/>
              <w:rPr>
                <w:rFonts w:ascii="Times New Roman" w:hAnsi="Times New Roman" w:cs="Times New Roman"/>
                <w:b/>
                <w:color w:val="000000"/>
              </w:rPr>
            </w:pPr>
            <w:r w:rsidRPr="00353E7B">
              <w:rPr>
                <w:rFonts w:ascii="Times New Roman" w:hAnsi="Times New Roman" w:cs="Times New Roman"/>
                <w:b/>
                <w:color w:val="000000"/>
              </w:rPr>
              <w:t>1.382766</w:t>
            </w:r>
          </w:p>
        </w:tc>
      </w:tr>
      <w:tr w:rsidR="00937F8E" w:rsidRPr="0028723A" w:rsidTr="00937F8E">
        <w:trPr>
          <w:jc w:val="center"/>
        </w:trPr>
        <w:tc>
          <w:tcPr>
            <w:tcW w:w="2376" w:type="dxa"/>
            <w:tcBorders>
              <w:top w:val="single" w:sz="4" w:space="0" w:color="auto"/>
              <w:bottom w:val="nil"/>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rPr>
              <w:t>Q(20)</w:t>
            </w:r>
          </w:p>
        </w:tc>
        <w:tc>
          <w:tcPr>
            <w:tcW w:w="2374" w:type="dxa"/>
            <w:tcBorders>
              <w:top w:val="single" w:sz="4" w:space="0" w:color="auto"/>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sidRPr="0028723A">
              <w:rPr>
                <w:rFonts w:ascii="Times New Roman" w:hAnsi="Times New Roman" w:cs="Times New Roman"/>
              </w:rPr>
              <w:t>28.448 (0.099)</w:t>
            </w:r>
          </w:p>
        </w:tc>
        <w:tc>
          <w:tcPr>
            <w:tcW w:w="2675" w:type="dxa"/>
            <w:tcBorders>
              <w:top w:val="single" w:sz="4" w:space="0" w:color="auto"/>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p>
        </w:tc>
      </w:tr>
      <w:tr w:rsidR="00937F8E" w:rsidRPr="0028723A" w:rsidTr="00937F8E">
        <w:trPr>
          <w:jc w:val="center"/>
        </w:trPr>
        <w:tc>
          <w:tcPr>
            <w:tcW w:w="2376" w:type="dxa"/>
            <w:tcBorders>
              <w:top w:val="nil"/>
              <w:bottom w:val="nil"/>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rPr>
              <w:t>Q</w:t>
            </w:r>
            <w:r w:rsidRPr="0028723A">
              <w:rPr>
                <w:rFonts w:ascii="Times New Roman" w:hAnsi="Times New Roman" w:cs="Times New Roman"/>
                <w:b/>
                <w:vertAlign w:val="superscript"/>
              </w:rPr>
              <w:t>2</w:t>
            </w:r>
            <w:r w:rsidRPr="0028723A">
              <w:rPr>
                <w:rFonts w:ascii="Times New Roman" w:hAnsi="Times New Roman" w:cs="Times New Roman"/>
                <w:b/>
              </w:rPr>
              <w:t>(20)</w:t>
            </w:r>
          </w:p>
        </w:tc>
        <w:tc>
          <w:tcPr>
            <w:tcW w:w="2374" w:type="dxa"/>
            <w:tcBorders>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sidRPr="0028723A">
              <w:rPr>
                <w:rFonts w:ascii="Times New Roman" w:hAnsi="Times New Roman" w:cs="Times New Roman"/>
              </w:rPr>
              <w:t>10.892 (0.949)</w:t>
            </w:r>
          </w:p>
        </w:tc>
        <w:tc>
          <w:tcPr>
            <w:tcW w:w="2675" w:type="dxa"/>
            <w:tcBorders>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p>
        </w:tc>
      </w:tr>
      <w:tr w:rsidR="00937F8E" w:rsidRPr="0028723A" w:rsidTr="00937F8E">
        <w:trPr>
          <w:jc w:val="center"/>
        </w:trPr>
        <w:tc>
          <w:tcPr>
            <w:tcW w:w="2376" w:type="dxa"/>
            <w:tcBorders>
              <w:top w:val="nil"/>
              <w:bottom w:val="nil"/>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rPr>
              <w:t>J-B</w:t>
            </w:r>
          </w:p>
        </w:tc>
        <w:tc>
          <w:tcPr>
            <w:tcW w:w="2374" w:type="dxa"/>
            <w:tcBorders>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sidRPr="0028723A">
              <w:rPr>
                <w:rFonts w:ascii="Times New Roman" w:hAnsi="Times New Roman" w:cs="Times New Roman"/>
              </w:rPr>
              <w:t>2332.087 (0.00)</w:t>
            </w:r>
          </w:p>
        </w:tc>
        <w:tc>
          <w:tcPr>
            <w:tcW w:w="2675" w:type="dxa"/>
            <w:tcBorders>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p>
        </w:tc>
      </w:tr>
      <w:tr w:rsidR="00937F8E" w:rsidRPr="0028723A" w:rsidTr="00937F8E">
        <w:trPr>
          <w:jc w:val="center"/>
        </w:trPr>
        <w:tc>
          <w:tcPr>
            <w:tcW w:w="2376" w:type="dxa"/>
            <w:tcBorders>
              <w:top w:val="nil"/>
              <w:bottom w:val="single" w:sz="4" w:space="0" w:color="000000" w:themeColor="text1"/>
              <w:righ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b/>
              </w:rPr>
            </w:pPr>
            <w:r w:rsidRPr="0028723A">
              <w:rPr>
                <w:rFonts w:ascii="Times New Roman" w:hAnsi="Times New Roman" w:cs="Times New Roman"/>
                <w:b/>
              </w:rPr>
              <w:t>ML(20)</w:t>
            </w:r>
          </w:p>
        </w:tc>
        <w:tc>
          <w:tcPr>
            <w:tcW w:w="2374" w:type="dxa"/>
            <w:tcBorders>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sidRPr="0028723A">
              <w:rPr>
                <w:rFonts w:ascii="Times New Roman" w:hAnsi="Times New Roman" w:cs="Times New Roman"/>
                <w:color w:val="000000"/>
              </w:rPr>
              <w:t>10.16510 (0.9651)</w:t>
            </w:r>
          </w:p>
        </w:tc>
        <w:tc>
          <w:tcPr>
            <w:tcW w:w="2675" w:type="dxa"/>
            <w:tcBorders>
              <w:left w:val="single" w:sz="4" w:space="0" w:color="000000" w:themeColor="text1"/>
            </w:tcBorders>
            <w:vAlign w:val="center"/>
          </w:tcPr>
          <w:p w:rsidR="00937F8E" w:rsidRPr="0028723A" w:rsidRDefault="00937F8E" w:rsidP="00937F8E">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p>
        </w:tc>
      </w:tr>
    </w:tbl>
    <w:p w:rsidR="00937F8E" w:rsidRDefault="00937F8E" w:rsidP="00937F8E">
      <w:pPr>
        <w:autoSpaceDE w:val="0"/>
        <w:autoSpaceDN w:val="0"/>
        <w:adjustRightInd w:val="0"/>
        <w:spacing w:line="480" w:lineRule="auto"/>
        <w:rPr>
          <w:rFonts w:ascii="Times New Roman" w:hAnsi="Times New Roman" w:cs="Times New Roman"/>
          <w:sz w:val="20"/>
          <w:szCs w:val="20"/>
        </w:rPr>
      </w:pPr>
      <w:proofErr w:type="gramStart"/>
      <w:r w:rsidRPr="00A6789F">
        <w:rPr>
          <w:rFonts w:ascii="Times New Roman" w:hAnsi="Times New Roman" w:cs="Times New Roman"/>
          <w:sz w:val="20"/>
          <w:szCs w:val="20"/>
        </w:rPr>
        <w:t>Q(</w:t>
      </w:r>
      <w:proofErr w:type="gramEnd"/>
      <w:r w:rsidRPr="00A6789F">
        <w:rPr>
          <w:rFonts w:ascii="Times New Roman" w:hAnsi="Times New Roman" w:cs="Times New Roman"/>
          <w:sz w:val="20"/>
          <w:szCs w:val="20"/>
        </w:rPr>
        <w:t>20) and Q</w:t>
      </w:r>
      <w:r w:rsidRPr="00A6789F">
        <w:rPr>
          <w:rFonts w:ascii="Times New Roman" w:hAnsi="Times New Roman" w:cs="Times New Roman"/>
          <w:sz w:val="20"/>
          <w:szCs w:val="20"/>
          <w:vertAlign w:val="superscript"/>
        </w:rPr>
        <w:t>2</w:t>
      </w:r>
      <w:r w:rsidRPr="00A6789F">
        <w:rPr>
          <w:rFonts w:ascii="Times New Roman" w:hAnsi="Times New Roman" w:cs="Times New Roman"/>
          <w:sz w:val="20"/>
          <w:szCs w:val="20"/>
        </w:rPr>
        <w:t xml:space="preserve">(20) denote the </w:t>
      </w:r>
      <w:proofErr w:type="spellStart"/>
      <w:r w:rsidRPr="00A6789F">
        <w:rPr>
          <w:rFonts w:ascii="Times New Roman" w:hAnsi="Times New Roman" w:cs="Times New Roman"/>
          <w:sz w:val="20"/>
          <w:szCs w:val="20"/>
        </w:rPr>
        <w:t>Ljung</w:t>
      </w:r>
      <w:proofErr w:type="spellEnd"/>
      <w:r w:rsidRPr="00A6789F">
        <w:rPr>
          <w:rFonts w:ascii="Times New Roman" w:hAnsi="Times New Roman" w:cs="Times New Roman"/>
          <w:sz w:val="20"/>
          <w:szCs w:val="20"/>
        </w:rPr>
        <w:t xml:space="preserve">-Box Q-statistic with 20 lags for the standardized residuals and the squared standardized residuals, respectively. </w:t>
      </w:r>
      <w:proofErr w:type="spellStart"/>
      <w:r>
        <w:rPr>
          <w:rFonts w:ascii="Times New Roman" w:hAnsi="Times New Roman" w:cs="Times New Roman"/>
          <w:sz w:val="20"/>
          <w:szCs w:val="20"/>
        </w:rPr>
        <w:t>LogL</w:t>
      </w:r>
      <w:proofErr w:type="spellEnd"/>
      <w:r>
        <w:rPr>
          <w:rFonts w:ascii="Times New Roman" w:hAnsi="Times New Roman" w:cs="Times New Roman"/>
          <w:sz w:val="20"/>
          <w:szCs w:val="20"/>
        </w:rPr>
        <w:t xml:space="preserve"> is the </w:t>
      </w:r>
      <w:proofErr w:type="spellStart"/>
      <w:r>
        <w:rPr>
          <w:rFonts w:ascii="Times New Roman" w:hAnsi="Times New Roman" w:cs="Times New Roman"/>
          <w:sz w:val="20"/>
          <w:szCs w:val="20"/>
        </w:rPr>
        <w:t>loglikelihood</w:t>
      </w:r>
      <w:proofErr w:type="spellEnd"/>
      <w:r>
        <w:rPr>
          <w:rFonts w:ascii="Times New Roman" w:hAnsi="Times New Roman" w:cs="Times New Roman"/>
          <w:sz w:val="20"/>
          <w:szCs w:val="20"/>
        </w:rPr>
        <w:t xml:space="preserve">, J-B denotes </w:t>
      </w:r>
      <w:proofErr w:type="spellStart"/>
      <w:r>
        <w:rPr>
          <w:rFonts w:ascii="Times New Roman" w:hAnsi="Times New Roman" w:cs="Times New Roman"/>
          <w:sz w:val="20"/>
          <w:szCs w:val="20"/>
        </w:rPr>
        <w:t>Jarque-Bera</w:t>
      </w:r>
      <w:proofErr w:type="spellEnd"/>
      <w:r>
        <w:rPr>
          <w:rFonts w:ascii="Times New Roman" w:hAnsi="Times New Roman" w:cs="Times New Roman"/>
          <w:sz w:val="20"/>
          <w:szCs w:val="20"/>
        </w:rPr>
        <w:t xml:space="preserve">, </w:t>
      </w:r>
      <w:proofErr w:type="gramStart"/>
      <w:r w:rsidRPr="00A6789F">
        <w:rPr>
          <w:rFonts w:ascii="Times New Roman" w:hAnsi="Times New Roman" w:cs="Times New Roman"/>
          <w:sz w:val="20"/>
          <w:szCs w:val="20"/>
        </w:rPr>
        <w:t>ML(</w:t>
      </w:r>
      <w:proofErr w:type="gramEnd"/>
      <w:r w:rsidRPr="00A6789F">
        <w:rPr>
          <w:rFonts w:ascii="Times New Roman" w:hAnsi="Times New Roman" w:cs="Times New Roman"/>
          <w:sz w:val="20"/>
          <w:szCs w:val="20"/>
        </w:rPr>
        <w:t>20) denotes the ARCH ML test statistic with 20 lags.</w:t>
      </w:r>
      <w:r>
        <w:rPr>
          <w:rFonts w:ascii="Times New Roman" w:hAnsi="Times New Roman" w:cs="Times New Roman"/>
          <w:sz w:val="20"/>
          <w:szCs w:val="20"/>
        </w:rPr>
        <w:t xml:space="preserve"> </w:t>
      </w:r>
      <w:proofErr w:type="gramStart"/>
      <w:r>
        <w:rPr>
          <w:rFonts w:ascii="Times New Roman" w:hAnsi="Times New Roman" w:cs="Times New Roman"/>
          <w:sz w:val="20"/>
          <w:szCs w:val="20"/>
        </w:rPr>
        <w:t>p-values</w:t>
      </w:r>
      <w:proofErr w:type="gramEnd"/>
      <w:r>
        <w:rPr>
          <w:rFonts w:ascii="Times New Roman" w:hAnsi="Times New Roman" w:cs="Times New Roman"/>
          <w:sz w:val="20"/>
          <w:szCs w:val="20"/>
        </w:rPr>
        <w:t xml:space="preserve"> are in parentheses. NA means Not Applicable.</w:t>
      </w:r>
    </w:p>
    <w:p w:rsidR="00937F8E" w:rsidRDefault="00937F8E" w:rsidP="00BD2665">
      <w:pPr>
        <w:autoSpaceDE w:val="0"/>
        <w:autoSpaceDN w:val="0"/>
        <w:adjustRightInd w:val="0"/>
        <w:spacing w:line="480" w:lineRule="auto"/>
        <w:jc w:val="both"/>
        <w:rPr>
          <w:rFonts w:ascii="Times New Roman" w:hAnsi="Times New Roman" w:cs="Times New Roman"/>
          <w:sz w:val="24"/>
          <w:szCs w:val="24"/>
        </w:rPr>
      </w:pPr>
    </w:p>
    <w:p w:rsidR="00937F8E" w:rsidRDefault="00937F8E">
      <w:pPr>
        <w:rPr>
          <w:rFonts w:ascii="Times New Roman" w:hAnsi="Times New Roman" w:cs="Times New Roman"/>
          <w:sz w:val="24"/>
          <w:szCs w:val="24"/>
        </w:rPr>
      </w:pPr>
      <w:r>
        <w:rPr>
          <w:rFonts w:ascii="Times New Roman" w:hAnsi="Times New Roman" w:cs="Times New Roman"/>
          <w:sz w:val="24"/>
          <w:szCs w:val="24"/>
        </w:rPr>
        <w:br w:type="page"/>
      </w:r>
    </w:p>
    <w:p w:rsidR="00937F8E" w:rsidRPr="00710A4B" w:rsidRDefault="00937F8E" w:rsidP="00937F8E">
      <w:pPr>
        <w:autoSpaceDE w:val="0"/>
        <w:autoSpaceDN w:val="0"/>
        <w:adjustRightInd w:val="0"/>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4</w:t>
      </w:r>
      <w:r w:rsidRPr="00710A4B">
        <w:rPr>
          <w:rFonts w:ascii="Times New Roman" w:hAnsi="Times New Roman" w:cs="Times New Roman"/>
          <w:b/>
          <w:sz w:val="24"/>
          <w:szCs w:val="24"/>
        </w:rPr>
        <w:t>: Parameter Estimates o</w:t>
      </w:r>
      <w:r>
        <w:rPr>
          <w:rFonts w:ascii="Times New Roman" w:hAnsi="Times New Roman" w:cs="Times New Roman"/>
          <w:b/>
          <w:sz w:val="24"/>
          <w:szCs w:val="24"/>
        </w:rPr>
        <w:t>f GARCH-GED model: Pre-crise</w:t>
      </w:r>
      <w:r w:rsidRPr="00710A4B">
        <w:rPr>
          <w:rFonts w:ascii="Times New Roman" w:hAnsi="Times New Roman" w:cs="Times New Roman"/>
          <w:b/>
          <w:sz w:val="24"/>
          <w:szCs w:val="24"/>
        </w:rPr>
        <w:t>s</w:t>
      </w:r>
      <w:r>
        <w:rPr>
          <w:rFonts w:ascii="Times New Roman" w:hAnsi="Times New Roman" w:cs="Times New Roman"/>
          <w:b/>
          <w:sz w:val="24"/>
          <w:szCs w:val="24"/>
        </w:rPr>
        <w:t xml:space="preserve"> and Crises (Election and Global)</w:t>
      </w:r>
      <w:r w:rsidRPr="00710A4B">
        <w:rPr>
          <w:rFonts w:ascii="Times New Roman" w:hAnsi="Times New Roman" w:cs="Times New Roman"/>
          <w:b/>
          <w:sz w:val="24"/>
          <w:szCs w:val="24"/>
        </w:rPr>
        <w:t xml:space="preserve"> </w:t>
      </w:r>
      <w:proofErr w:type="spellStart"/>
      <w:r>
        <w:rPr>
          <w:rFonts w:ascii="Times New Roman" w:hAnsi="Times New Roman" w:cs="Times New Roman"/>
          <w:b/>
          <w:sz w:val="24"/>
          <w:szCs w:val="24"/>
        </w:rPr>
        <w:t>Subperiods</w:t>
      </w:r>
      <w:proofErr w:type="spellEnd"/>
      <w:r>
        <w:rPr>
          <w:rFonts w:ascii="Times New Roman" w:hAnsi="Times New Roman" w:cs="Times New Roman"/>
          <w:b/>
          <w:sz w:val="24"/>
          <w:szCs w:val="24"/>
        </w:rPr>
        <w:t>.</w:t>
      </w:r>
    </w:p>
    <w:tbl>
      <w:tblPr>
        <w:tblStyle w:val="TableGrid"/>
        <w:tblW w:w="7537" w:type="dxa"/>
        <w:jc w:val="center"/>
        <w:tblInd w:w="108" w:type="dxa"/>
        <w:tblBorders>
          <w:insideH w:val="none" w:sz="0" w:space="0" w:color="auto"/>
          <w:insideV w:val="none" w:sz="0" w:space="0" w:color="auto"/>
        </w:tblBorders>
        <w:tblLook w:val="04A0" w:firstRow="1" w:lastRow="0" w:firstColumn="1" w:lastColumn="0" w:noHBand="0" w:noVBand="1"/>
      </w:tblPr>
      <w:tblGrid>
        <w:gridCol w:w="1402"/>
        <w:gridCol w:w="2016"/>
        <w:gridCol w:w="2055"/>
        <w:gridCol w:w="2064"/>
      </w:tblGrid>
      <w:tr w:rsidR="00937F8E" w:rsidRPr="00710A4B" w:rsidTr="00937F8E">
        <w:trPr>
          <w:jc w:val="center"/>
        </w:trPr>
        <w:tc>
          <w:tcPr>
            <w:tcW w:w="1402" w:type="dxa"/>
            <w:vMerge w:val="restart"/>
            <w:tcBorders>
              <w:top w:val="single" w:sz="4" w:space="0" w:color="000000" w:themeColor="text1"/>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szCs w:val="24"/>
              </w:rPr>
            </w:pPr>
            <w:r w:rsidRPr="00710A4B">
              <w:rPr>
                <w:rFonts w:ascii="Times New Roman" w:hAnsi="Times New Roman" w:cs="Times New Roman"/>
                <w:b/>
                <w:sz w:val="24"/>
                <w:szCs w:val="24"/>
              </w:rPr>
              <w:t>Parameters</w:t>
            </w:r>
          </w:p>
        </w:tc>
        <w:tc>
          <w:tcPr>
            <w:tcW w:w="2016" w:type="dxa"/>
            <w:tcBorders>
              <w:top w:val="single" w:sz="4" w:space="0" w:color="000000" w:themeColor="text1"/>
              <w:bottom w:val="single" w:sz="4" w:space="0" w:color="000000" w:themeColor="text1"/>
              <w:right w:val="single" w:sz="4" w:space="0" w:color="auto"/>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Pre-crises</w:t>
            </w:r>
          </w:p>
        </w:tc>
        <w:tc>
          <w:tcPr>
            <w:tcW w:w="4119"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937F8E" w:rsidRPr="00710A4B" w:rsidRDefault="00937F8E" w:rsidP="00937F8E">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Crises</w:t>
            </w:r>
          </w:p>
        </w:tc>
      </w:tr>
      <w:tr w:rsidR="00937F8E" w:rsidRPr="00710A4B" w:rsidTr="00937F8E">
        <w:trPr>
          <w:jc w:val="center"/>
        </w:trPr>
        <w:tc>
          <w:tcPr>
            <w:tcW w:w="1402" w:type="dxa"/>
            <w:vMerge/>
            <w:tcBorders>
              <w:bottom w:val="nil"/>
              <w:right w:val="single" w:sz="4" w:space="0" w:color="000000" w:themeColor="text1"/>
            </w:tcBorders>
            <w:vAlign w:val="center"/>
          </w:tcPr>
          <w:p w:rsidR="00937F8E" w:rsidRPr="00710A4B" w:rsidRDefault="00937F8E" w:rsidP="00937F8E">
            <w:pPr>
              <w:autoSpaceDE w:val="0"/>
              <w:autoSpaceDN w:val="0"/>
              <w:adjustRightInd w:val="0"/>
              <w:spacing w:line="480" w:lineRule="auto"/>
              <w:rPr>
                <w:rFonts w:ascii="Times New Roman" w:hAnsi="Times New Roman" w:cs="Times New Roman"/>
                <w:b/>
                <w:position w:val="-6"/>
                <w:sz w:val="24"/>
                <w:szCs w:val="24"/>
              </w:rPr>
            </w:pPr>
          </w:p>
        </w:tc>
        <w:tc>
          <w:tcPr>
            <w:tcW w:w="2016" w:type="dxa"/>
            <w:tcBorders>
              <w:top w:val="single" w:sz="4" w:space="0" w:color="000000" w:themeColor="text1"/>
              <w:right w:val="single" w:sz="4" w:space="0" w:color="auto"/>
            </w:tcBorders>
            <w:vAlign w:val="center"/>
          </w:tcPr>
          <w:p w:rsidR="00937F8E" w:rsidRPr="007C6D90" w:rsidRDefault="00937F8E" w:rsidP="00937F8E">
            <w:pPr>
              <w:spacing w:line="480" w:lineRule="auto"/>
            </w:pPr>
          </w:p>
        </w:tc>
        <w:tc>
          <w:tcPr>
            <w:tcW w:w="2055" w:type="dxa"/>
            <w:tcBorders>
              <w:top w:val="single" w:sz="4" w:space="0" w:color="000000" w:themeColor="text1"/>
              <w:left w:val="single" w:sz="4" w:space="0" w:color="auto"/>
              <w:right w:val="single" w:sz="4" w:space="0" w:color="auto"/>
            </w:tcBorders>
            <w:vAlign w:val="center"/>
          </w:tcPr>
          <w:p w:rsidR="00937F8E" w:rsidRPr="00EA6B83" w:rsidRDefault="00937F8E" w:rsidP="00937F8E">
            <w:pPr>
              <w:autoSpaceDE w:val="0"/>
              <w:autoSpaceDN w:val="0"/>
              <w:adjustRightInd w:val="0"/>
              <w:spacing w:line="480" w:lineRule="auto"/>
              <w:ind w:right="10"/>
              <w:rPr>
                <w:rFonts w:ascii="Times New Roman" w:hAnsi="Times New Roman" w:cs="Times New Roman"/>
                <w:b/>
                <w:color w:val="000000"/>
                <w:sz w:val="24"/>
                <w:szCs w:val="18"/>
              </w:rPr>
            </w:pPr>
            <w:r w:rsidRPr="00EA6B83">
              <w:rPr>
                <w:rFonts w:ascii="Times New Roman" w:hAnsi="Times New Roman" w:cs="Times New Roman"/>
                <w:b/>
                <w:color w:val="000000"/>
                <w:sz w:val="24"/>
                <w:szCs w:val="18"/>
              </w:rPr>
              <w:t>Election</w:t>
            </w:r>
          </w:p>
        </w:tc>
        <w:tc>
          <w:tcPr>
            <w:tcW w:w="2064" w:type="dxa"/>
            <w:tcBorders>
              <w:top w:val="single" w:sz="4" w:space="0" w:color="000000" w:themeColor="text1"/>
              <w:left w:val="single" w:sz="4" w:space="0" w:color="auto"/>
              <w:right w:val="single" w:sz="4" w:space="0" w:color="auto"/>
            </w:tcBorders>
            <w:vAlign w:val="center"/>
          </w:tcPr>
          <w:p w:rsidR="00937F8E" w:rsidRPr="00EA6B83" w:rsidRDefault="00937F8E" w:rsidP="00937F8E">
            <w:pPr>
              <w:autoSpaceDE w:val="0"/>
              <w:autoSpaceDN w:val="0"/>
              <w:adjustRightInd w:val="0"/>
              <w:spacing w:line="480" w:lineRule="auto"/>
              <w:ind w:right="10"/>
              <w:rPr>
                <w:rFonts w:ascii="Times New Roman" w:hAnsi="Times New Roman" w:cs="Times New Roman"/>
                <w:b/>
                <w:color w:val="000000"/>
                <w:sz w:val="24"/>
                <w:szCs w:val="18"/>
              </w:rPr>
            </w:pPr>
            <w:r w:rsidRPr="00EA6B83">
              <w:rPr>
                <w:rFonts w:ascii="Times New Roman" w:hAnsi="Times New Roman" w:cs="Times New Roman"/>
                <w:b/>
                <w:color w:val="000000"/>
                <w:sz w:val="24"/>
                <w:szCs w:val="18"/>
              </w:rPr>
              <w:t>Global</w:t>
            </w:r>
          </w:p>
        </w:tc>
      </w:tr>
      <w:tr w:rsidR="00937F8E" w:rsidRPr="00710A4B" w:rsidTr="00937F8E">
        <w:trPr>
          <w:jc w:val="center"/>
        </w:trPr>
        <w:tc>
          <w:tcPr>
            <w:tcW w:w="1402" w:type="dxa"/>
            <w:tcBorders>
              <w:top w:val="single" w:sz="4" w:space="0" w:color="000000" w:themeColor="text1"/>
              <w:bottom w:val="nil"/>
              <w:right w:val="single" w:sz="4" w:space="0" w:color="000000" w:themeColor="text1"/>
            </w:tcBorders>
            <w:vAlign w:val="center"/>
          </w:tcPr>
          <w:p w:rsidR="00937F8E" w:rsidRPr="000F7397" w:rsidRDefault="00937F8E" w:rsidP="00937F8E">
            <w:pPr>
              <w:autoSpaceDE w:val="0"/>
              <w:autoSpaceDN w:val="0"/>
              <w:adjustRightInd w:val="0"/>
              <w:spacing w:line="480" w:lineRule="auto"/>
              <w:rPr>
                <w:rFonts w:ascii="Times New Roman" w:hAnsi="Times New Roman" w:cs="Times New Roman"/>
                <w:b/>
              </w:rPr>
            </w:pPr>
            <w:r w:rsidRPr="000F7397">
              <w:rPr>
                <w:rFonts w:ascii="Times New Roman" w:hAnsi="Times New Roman" w:cs="Times New Roman"/>
                <w:b/>
                <w:position w:val="-6"/>
              </w:rPr>
              <w:object w:dxaOrig="240" w:dyaOrig="220">
                <v:shape id="_x0000_i1098" type="#_x0000_t75" style="width:12pt;height:11.25pt" o:ole="">
                  <v:imagedata r:id="rId137" o:title=""/>
                </v:shape>
                <o:OLEObject Type="Embed" ProgID="Equation.3" ShapeID="_x0000_i1098" DrawAspect="Content" ObjectID="_1493477226" r:id="rId148"/>
              </w:object>
            </w:r>
          </w:p>
        </w:tc>
        <w:tc>
          <w:tcPr>
            <w:tcW w:w="2016" w:type="dxa"/>
            <w:tcBorders>
              <w:top w:val="single" w:sz="4" w:space="0" w:color="000000" w:themeColor="text1"/>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2.11E-06 (0.00)</w:t>
            </w:r>
          </w:p>
        </w:tc>
        <w:tc>
          <w:tcPr>
            <w:tcW w:w="2055" w:type="dxa"/>
            <w:tcBorders>
              <w:top w:val="single" w:sz="4" w:space="0" w:color="000000" w:themeColor="text1"/>
              <w:left w:val="single" w:sz="4" w:space="0" w:color="auto"/>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5.09E-05 (0.3221)</w:t>
            </w:r>
          </w:p>
        </w:tc>
        <w:tc>
          <w:tcPr>
            <w:tcW w:w="2064" w:type="dxa"/>
            <w:tcBorders>
              <w:top w:val="single" w:sz="4" w:space="0" w:color="000000" w:themeColor="text1"/>
              <w:left w:val="single" w:sz="4" w:space="0" w:color="auto"/>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6.90E-07 (0.2640)</w:t>
            </w:r>
          </w:p>
        </w:tc>
      </w:tr>
      <w:tr w:rsidR="00937F8E" w:rsidRPr="00710A4B" w:rsidTr="00937F8E">
        <w:trPr>
          <w:jc w:val="center"/>
        </w:trPr>
        <w:tc>
          <w:tcPr>
            <w:tcW w:w="1402" w:type="dxa"/>
            <w:tcBorders>
              <w:top w:val="nil"/>
              <w:bottom w:val="nil"/>
              <w:right w:val="single" w:sz="4" w:space="0" w:color="000000" w:themeColor="text1"/>
            </w:tcBorders>
            <w:vAlign w:val="center"/>
          </w:tcPr>
          <w:p w:rsidR="00937F8E" w:rsidRPr="000F7397" w:rsidRDefault="00937F8E" w:rsidP="00937F8E">
            <w:pPr>
              <w:autoSpaceDE w:val="0"/>
              <w:autoSpaceDN w:val="0"/>
              <w:adjustRightInd w:val="0"/>
              <w:spacing w:line="480" w:lineRule="auto"/>
              <w:rPr>
                <w:rFonts w:ascii="Times New Roman" w:hAnsi="Times New Roman" w:cs="Times New Roman"/>
                <w:b/>
              </w:rPr>
            </w:pPr>
            <w:r w:rsidRPr="000F7397">
              <w:rPr>
                <w:rFonts w:ascii="Times New Roman" w:hAnsi="Times New Roman" w:cs="Times New Roman"/>
                <w:b/>
                <w:position w:val="-6"/>
              </w:rPr>
              <w:object w:dxaOrig="240" w:dyaOrig="220">
                <v:shape id="_x0000_i1099" type="#_x0000_t75" style="width:12pt;height:11.25pt" o:ole="">
                  <v:imagedata r:id="rId139" o:title=""/>
                </v:shape>
                <o:OLEObject Type="Embed" ProgID="Equation.3" ShapeID="_x0000_i1099" DrawAspect="Content" ObjectID="_1493477227" r:id="rId149"/>
              </w:object>
            </w:r>
          </w:p>
        </w:tc>
        <w:tc>
          <w:tcPr>
            <w:tcW w:w="2016" w:type="dxa"/>
            <w:tcBorders>
              <w:bottom w:val="nil"/>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0.304510 (0.00)</w:t>
            </w:r>
          </w:p>
        </w:tc>
        <w:tc>
          <w:tcPr>
            <w:tcW w:w="2055" w:type="dxa"/>
            <w:tcBorders>
              <w:left w:val="single" w:sz="4" w:space="0" w:color="auto"/>
              <w:bottom w:val="nil"/>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0.413203 (0.3211)</w:t>
            </w:r>
          </w:p>
        </w:tc>
        <w:tc>
          <w:tcPr>
            <w:tcW w:w="2064" w:type="dxa"/>
            <w:tcBorders>
              <w:left w:val="single" w:sz="4" w:space="0" w:color="auto"/>
              <w:bottom w:val="nil"/>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0.088133 (0.0241)</w:t>
            </w:r>
          </w:p>
        </w:tc>
      </w:tr>
      <w:tr w:rsidR="00937F8E" w:rsidRPr="00710A4B" w:rsidTr="00937F8E">
        <w:trPr>
          <w:jc w:val="center"/>
        </w:trPr>
        <w:tc>
          <w:tcPr>
            <w:tcW w:w="1402" w:type="dxa"/>
            <w:tcBorders>
              <w:top w:val="nil"/>
              <w:bottom w:val="single" w:sz="4" w:space="0" w:color="auto"/>
              <w:right w:val="single" w:sz="4" w:space="0" w:color="000000" w:themeColor="text1"/>
            </w:tcBorders>
            <w:vAlign w:val="center"/>
          </w:tcPr>
          <w:p w:rsidR="00937F8E" w:rsidRPr="000F7397" w:rsidRDefault="00937F8E" w:rsidP="00937F8E">
            <w:pPr>
              <w:autoSpaceDE w:val="0"/>
              <w:autoSpaceDN w:val="0"/>
              <w:adjustRightInd w:val="0"/>
              <w:spacing w:line="480" w:lineRule="auto"/>
              <w:rPr>
                <w:rFonts w:ascii="Times New Roman" w:hAnsi="Times New Roman" w:cs="Times New Roman"/>
                <w:b/>
              </w:rPr>
            </w:pPr>
            <w:r w:rsidRPr="000F7397">
              <w:rPr>
                <w:rFonts w:ascii="Times New Roman" w:hAnsi="Times New Roman" w:cs="Times New Roman"/>
                <w:b/>
                <w:position w:val="-10"/>
              </w:rPr>
              <w:object w:dxaOrig="240" w:dyaOrig="320">
                <v:shape id="_x0000_i1100" type="#_x0000_t75" style="width:12pt;height:15.75pt" o:ole="">
                  <v:imagedata r:id="rId143" o:title=""/>
                </v:shape>
                <o:OLEObject Type="Embed" ProgID="Equation.3" ShapeID="_x0000_i1100" DrawAspect="Content" ObjectID="_1493477228" r:id="rId150"/>
              </w:object>
            </w:r>
          </w:p>
        </w:tc>
        <w:tc>
          <w:tcPr>
            <w:tcW w:w="2016" w:type="dxa"/>
            <w:tcBorders>
              <w:top w:val="nil"/>
              <w:bottom w:val="single" w:sz="4" w:space="0" w:color="auto"/>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0.483416 (0.00)</w:t>
            </w:r>
          </w:p>
        </w:tc>
        <w:tc>
          <w:tcPr>
            <w:tcW w:w="2055" w:type="dxa"/>
            <w:tcBorders>
              <w:top w:val="nil"/>
              <w:left w:val="single" w:sz="4" w:space="0" w:color="auto"/>
              <w:bottom w:val="single" w:sz="4" w:space="0" w:color="auto"/>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0.477746 (0.2434)</w:t>
            </w:r>
          </w:p>
        </w:tc>
        <w:tc>
          <w:tcPr>
            <w:tcW w:w="2064" w:type="dxa"/>
            <w:tcBorders>
              <w:top w:val="nil"/>
              <w:left w:val="single" w:sz="4" w:space="0" w:color="auto"/>
              <w:bottom w:val="single" w:sz="4" w:space="0" w:color="auto"/>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0.889950 (0.00)</w:t>
            </w:r>
          </w:p>
        </w:tc>
      </w:tr>
      <w:tr w:rsidR="00937F8E" w:rsidRPr="00710A4B" w:rsidTr="00937F8E">
        <w:trPr>
          <w:jc w:val="center"/>
        </w:trPr>
        <w:tc>
          <w:tcPr>
            <w:tcW w:w="1402" w:type="dxa"/>
            <w:tcBorders>
              <w:top w:val="single" w:sz="4" w:space="0" w:color="auto"/>
              <w:bottom w:val="single" w:sz="4" w:space="0" w:color="auto"/>
              <w:right w:val="single" w:sz="4" w:space="0" w:color="000000" w:themeColor="text1"/>
            </w:tcBorders>
            <w:vAlign w:val="center"/>
          </w:tcPr>
          <w:p w:rsidR="00937F8E" w:rsidRPr="000F7397" w:rsidRDefault="00937F8E" w:rsidP="00937F8E">
            <w:pPr>
              <w:autoSpaceDE w:val="0"/>
              <w:autoSpaceDN w:val="0"/>
              <w:adjustRightInd w:val="0"/>
              <w:spacing w:line="480" w:lineRule="auto"/>
              <w:rPr>
                <w:rFonts w:ascii="Times New Roman" w:hAnsi="Times New Roman" w:cs="Times New Roman"/>
                <w:b/>
                <w:position w:val="-10"/>
              </w:rPr>
            </w:pPr>
            <w:r w:rsidRPr="000F7397">
              <w:rPr>
                <w:rFonts w:ascii="Times New Roman" w:hAnsi="Times New Roman" w:cs="Times New Roman"/>
                <w:b/>
                <w:position w:val="-10"/>
              </w:rPr>
              <w:object w:dxaOrig="639" w:dyaOrig="320">
                <v:shape id="_x0000_i1101" type="#_x0000_t75" style="width:32.25pt;height:16.5pt" o:ole="">
                  <v:imagedata r:id="rId151" o:title=""/>
                </v:shape>
                <o:OLEObject Type="Embed" ProgID="Equation.3" ShapeID="_x0000_i1101" DrawAspect="Content" ObjectID="_1493477229" r:id="rId152"/>
              </w:object>
            </w:r>
          </w:p>
        </w:tc>
        <w:tc>
          <w:tcPr>
            <w:tcW w:w="2016" w:type="dxa"/>
            <w:tcBorders>
              <w:top w:val="single" w:sz="4" w:space="0" w:color="auto"/>
              <w:bottom w:val="single" w:sz="4" w:space="0" w:color="auto"/>
              <w:right w:val="single" w:sz="4" w:space="0" w:color="auto"/>
            </w:tcBorders>
            <w:vAlign w:val="center"/>
          </w:tcPr>
          <w:p w:rsidR="00937F8E" w:rsidRPr="00353E7B" w:rsidRDefault="00937F8E" w:rsidP="00937F8E">
            <w:pPr>
              <w:spacing w:line="480" w:lineRule="auto"/>
              <w:rPr>
                <w:rFonts w:ascii="Times New Roman" w:hAnsi="Times New Roman" w:cs="Times New Roman"/>
                <w:b/>
              </w:rPr>
            </w:pPr>
            <w:r w:rsidRPr="00353E7B">
              <w:rPr>
                <w:rFonts w:ascii="Times New Roman" w:hAnsi="Times New Roman" w:cs="Times New Roman"/>
                <w:b/>
              </w:rPr>
              <w:t>0.787926</w:t>
            </w:r>
          </w:p>
        </w:tc>
        <w:tc>
          <w:tcPr>
            <w:tcW w:w="2055" w:type="dxa"/>
            <w:tcBorders>
              <w:top w:val="single" w:sz="4" w:space="0" w:color="auto"/>
              <w:left w:val="single" w:sz="4" w:space="0" w:color="auto"/>
              <w:bottom w:val="single" w:sz="4" w:space="0" w:color="auto"/>
              <w:right w:val="single" w:sz="4" w:space="0" w:color="auto"/>
            </w:tcBorders>
            <w:vAlign w:val="center"/>
          </w:tcPr>
          <w:p w:rsidR="00937F8E" w:rsidRPr="00353E7B" w:rsidRDefault="00937F8E" w:rsidP="00937F8E">
            <w:pPr>
              <w:autoSpaceDE w:val="0"/>
              <w:autoSpaceDN w:val="0"/>
              <w:adjustRightInd w:val="0"/>
              <w:spacing w:line="480" w:lineRule="auto"/>
              <w:ind w:right="10"/>
              <w:rPr>
                <w:rFonts w:ascii="Times New Roman" w:hAnsi="Times New Roman" w:cs="Times New Roman"/>
                <w:b/>
                <w:color w:val="000000"/>
              </w:rPr>
            </w:pPr>
            <w:r w:rsidRPr="00353E7B">
              <w:rPr>
                <w:rFonts w:ascii="Times New Roman" w:hAnsi="Times New Roman" w:cs="Times New Roman"/>
                <w:b/>
                <w:color w:val="000000"/>
              </w:rPr>
              <w:t>0.890949</w:t>
            </w:r>
          </w:p>
        </w:tc>
        <w:tc>
          <w:tcPr>
            <w:tcW w:w="2064" w:type="dxa"/>
            <w:tcBorders>
              <w:top w:val="single" w:sz="4" w:space="0" w:color="auto"/>
              <w:left w:val="single" w:sz="4" w:space="0" w:color="auto"/>
              <w:bottom w:val="single" w:sz="4" w:space="0" w:color="auto"/>
              <w:right w:val="single" w:sz="4" w:space="0" w:color="auto"/>
            </w:tcBorders>
            <w:vAlign w:val="center"/>
          </w:tcPr>
          <w:p w:rsidR="00937F8E" w:rsidRPr="00353E7B" w:rsidRDefault="00937F8E" w:rsidP="00937F8E">
            <w:pPr>
              <w:autoSpaceDE w:val="0"/>
              <w:autoSpaceDN w:val="0"/>
              <w:adjustRightInd w:val="0"/>
              <w:spacing w:line="480" w:lineRule="auto"/>
              <w:ind w:right="10"/>
              <w:rPr>
                <w:rFonts w:ascii="Times New Roman" w:hAnsi="Times New Roman" w:cs="Times New Roman"/>
                <w:b/>
                <w:color w:val="000000"/>
              </w:rPr>
            </w:pPr>
            <w:r w:rsidRPr="00353E7B">
              <w:rPr>
                <w:rFonts w:ascii="Times New Roman" w:hAnsi="Times New Roman" w:cs="Times New Roman"/>
                <w:b/>
                <w:color w:val="000000"/>
              </w:rPr>
              <w:t>0.978083</w:t>
            </w:r>
          </w:p>
        </w:tc>
      </w:tr>
      <w:tr w:rsidR="00937F8E" w:rsidRPr="00710A4B" w:rsidTr="00937F8E">
        <w:trPr>
          <w:jc w:val="center"/>
        </w:trPr>
        <w:tc>
          <w:tcPr>
            <w:tcW w:w="1402" w:type="dxa"/>
            <w:tcBorders>
              <w:top w:val="single" w:sz="4" w:space="0" w:color="auto"/>
              <w:bottom w:val="nil"/>
              <w:right w:val="single" w:sz="4" w:space="0" w:color="000000" w:themeColor="text1"/>
            </w:tcBorders>
            <w:vAlign w:val="center"/>
          </w:tcPr>
          <w:p w:rsidR="00937F8E" w:rsidRPr="000F7397" w:rsidRDefault="00937F8E" w:rsidP="00937F8E">
            <w:pPr>
              <w:autoSpaceDE w:val="0"/>
              <w:autoSpaceDN w:val="0"/>
              <w:adjustRightInd w:val="0"/>
              <w:spacing w:line="480" w:lineRule="auto"/>
              <w:rPr>
                <w:rFonts w:ascii="Times New Roman" w:hAnsi="Times New Roman" w:cs="Times New Roman"/>
                <w:b/>
                <w:position w:val="-10"/>
              </w:rPr>
            </w:pPr>
            <w:r w:rsidRPr="000F7397">
              <w:rPr>
                <w:rFonts w:ascii="Times New Roman" w:hAnsi="Times New Roman" w:cs="Times New Roman"/>
                <w:b/>
                <w:position w:val="-10"/>
              </w:rPr>
              <w:t>Q(20)</w:t>
            </w:r>
          </w:p>
        </w:tc>
        <w:tc>
          <w:tcPr>
            <w:tcW w:w="2016" w:type="dxa"/>
            <w:tcBorders>
              <w:top w:val="single" w:sz="4" w:space="0" w:color="auto"/>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color w:val="000000"/>
              </w:rPr>
              <w:t>25.710</w:t>
            </w:r>
            <w:r w:rsidRPr="000F7397">
              <w:rPr>
                <w:rFonts w:ascii="Times New Roman" w:hAnsi="Times New Roman" w:cs="Times New Roman"/>
              </w:rPr>
              <w:t xml:space="preserve"> (0.176)</w:t>
            </w:r>
          </w:p>
        </w:tc>
        <w:tc>
          <w:tcPr>
            <w:tcW w:w="2055" w:type="dxa"/>
            <w:tcBorders>
              <w:top w:val="single" w:sz="4" w:space="0" w:color="auto"/>
              <w:left w:val="single" w:sz="4" w:space="0" w:color="auto"/>
              <w:right w:val="single" w:sz="4" w:space="0" w:color="auto"/>
            </w:tcBorders>
            <w:vAlign w:val="center"/>
          </w:tcPr>
          <w:p w:rsidR="00937F8E" w:rsidRPr="000F7397" w:rsidRDefault="00937F8E" w:rsidP="00937F8E">
            <w:pPr>
              <w:autoSpaceDE w:val="0"/>
              <w:autoSpaceDN w:val="0"/>
              <w:adjustRightInd w:val="0"/>
              <w:spacing w:line="480" w:lineRule="auto"/>
              <w:ind w:right="10"/>
              <w:rPr>
                <w:rFonts w:ascii="Times New Roman" w:hAnsi="Times New Roman" w:cs="Times New Roman"/>
                <w:color w:val="000000"/>
              </w:rPr>
            </w:pPr>
            <w:r w:rsidRPr="000F7397">
              <w:rPr>
                <w:rFonts w:ascii="Times New Roman" w:hAnsi="Times New Roman" w:cs="Times New Roman"/>
                <w:color w:val="000000"/>
              </w:rPr>
              <w:t>8.3190</w:t>
            </w:r>
            <w:r>
              <w:rPr>
                <w:rFonts w:ascii="Times New Roman" w:hAnsi="Times New Roman" w:cs="Times New Roman"/>
                <w:color w:val="000000"/>
              </w:rPr>
              <w:t>*</w:t>
            </w:r>
            <w:r w:rsidRPr="000F7397">
              <w:rPr>
                <w:rFonts w:ascii="Times New Roman" w:hAnsi="Times New Roman" w:cs="Times New Roman"/>
                <w:color w:val="000000"/>
              </w:rPr>
              <w:t xml:space="preserve"> (0.598)</w:t>
            </w:r>
          </w:p>
        </w:tc>
        <w:tc>
          <w:tcPr>
            <w:tcW w:w="2064" w:type="dxa"/>
            <w:tcBorders>
              <w:top w:val="single" w:sz="4" w:space="0" w:color="auto"/>
              <w:left w:val="single" w:sz="4" w:space="0" w:color="auto"/>
              <w:right w:val="single" w:sz="4" w:space="0" w:color="auto"/>
            </w:tcBorders>
            <w:vAlign w:val="center"/>
          </w:tcPr>
          <w:p w:rsidR="00937F8E" w:rsidRPr="000F7397" w:rsidRDefault="00937F8E" w:rsidP="00937F8E">
            <w:pPr>
              <w:autoSpaceDE w:val="0"/>
              <w:autoSpaceDN w:val="0"/>
              <w:adjustRightInd w:val="0"/>
              <w:spacing w:line="480" w:lineRule="auto"/>
              <w:ind w:right="10"/>
              <w:rPr>
                <w:rFonts w:ascii="Times New Roman" w:hAnsi="Times New Roman" w:cs="Times New Roman"/>
                <w:color w:val="000000"/>
              </w:rPr>
            </w:pPr>
            <w:r>
              <w:rPr>
                <w:rFonts w:ascii="Times New Roman" w:hAnsi="Times New Roman" w:cs="Times New Roman"/>
                <w:color w:val="000000"/>
              </w:rPr>
              <w:t>2.8720*</w:t>
            </w:r>
            <w:r w:rsidRPr="000F7397">
              <w:rPr>
                <w:rFonts w:ascii="Times New Roman" w:hAnsi="Times New Roman" w:cs="Times New Roman"/>
                <w:color w:val="000000"/>
              </w:rPr>
              <w:t xml:space="preserve"> (</w:t>
            </w:r>
            <w:r>
              <w:rPr>
                <w:rFonts w:ascii="Times New Roman" w:hAnsi="Times New Roman" w:cs="Times New Roman"/>
                <w:color w:val="000000"/>
              </w:rPr>
              <w:t>0.984</w:t>
            </w:r>
            <w:r w:rsidRPr="000F7397">
              <w:rPr>
                <w:rFonts w:ascii="Times New Roman" w:hAnsi="Times New Roman" w:cs="Times New Roman"/>
                <w:color w:val="000000"/>
              </w:rPr>
              <w:t>)</w:t>
            </w:r>
          </w:p>
        </w:tc>
      </w:tr>
      <w:tr w:rsidR="00937F8E" w:rsidRPr="00710A4B" w:rsidTr="00937F8E">
        <w:trPr>
          <w:jc w:val="center"/>
        </w:trPr>
        <w:tc>
          <w:tcPr>
            <w:tcW w:w="1402" w:type="dxa"/>
            <w:tcBorders>
              <w:top w:val="nil"/>
              <w:bottom w:val="single" w:sz="4" w:space="0" w:color="000000" w:themeColor="text1"/>
              <w:right w:val="single" w:sz="4" w:space="0" w:color="000000" w:themeColor="text1"/>
            </w:tcBorders>
            <w:vAlign w:val="center"/>
          </w:tcPr>
          <w:p w:rsidR="00937F8E" w:rsidRPr="000F7397" w:rsidRDefault="00937F8E" w:rsidP="00937F8E">
            <w:pPr>
              <w:autoSpaceDE w:val="0"/>
              <w:autoSpaceDN w:val="0"/>
              <w:adjustRightInd w:val="0"/>
              <w:spacing w:line="480" w:lineRule="auto"/>
              <w:rPr>
                <w:rFonts w:ascii="Times New Roman" w:hAnsi="Times New Roman" w:cs="Times New Roman"/>
                <w:b/>
                <w:position w:val="-10"/>
              </w:rPr>
            </w:pPr>
            <w:r w:rsidRPr="000F7397">
              <w:rPr>
                <w:rFonts w:ascii="Times New Roman" w:hAnsi="Times New Roman" w:cs="Times New Roman"/>
                <w:b/>
                <w:position w:val="-10"/>
              </w:rPr>
              <w:t>ML(20)</w:t>
            </w:r>
          </w:p>
        </w:tc>
        <w:tc>
          <w:tcPr>
            <w:tcW w:w="2016" w:type="dxa"/>
            <w:tcBorders>
              <w:bottom w:val="single" w:sz="4" w:space="0" w:color="auto"/>
              <w:right w:val="single" w:sz="4" w:space="0" w:color="auto"/>
            </w:tcBorders>
            <w:vAlign w:val="center"/>
          </w:tcPr>
          <w:p w:rsidR="00937F8E" w:rsidRPr="000F7397" w:rsidRDefault="00937F8E" w:rsidP="00937F8E">
            <w:pPr>
              <w:spacing w:line="480" w:lineRule="auto"/>
              <w:rPr>
                <w:rFonts w:ascii="Times New Roman" w:hAnsi="Times New Roman" w:cs="Times New Roman"/>
              </w:rPr>
            </w:pPr>
            <w:r w:rsidRPr="000F7397">
              <w:rPr>
                <w:rFonts w:ascii="Times New Roman" w:hAnsi="Times New Roman" w:cs="Times New Roman"/>
              </w:rPr>
              <w:t>5.959042 (0.9990)</w:t>
            </w:r>
          </w:p>
        </w:tc>
        <w:tc>
          <w:tcPr>
            <w:tcW w:w="2055" w:type="dxa"/>
            <w:tcBorders>
              <w:left w:val="single" w:sz="4" w:space="0" w:color="auto"/>
              <w:bottom w:val="single" w:sz="4" w:space="0" w:color="000000" w:themeColor="text1"/>
              <w:right w:val="single" w:sz="4" w:space="0" w:color="auto"/>
            </w:tcBorders>
            <w:vAlign w:val="center"/>
          </w:tcPr>
          <w:p w:rsidR="00937F8E" w:rsidRPr="000F7397" w:rsidRDefault="00937F8E" w:rsidP="00937F8E">
            <w:pPr>
              <w:autoSpaceDE w:val="0"/>
              <w:autoSpaceDN w:val="0"/>
              <w:adjustRightInd w:val="0"/>
              <w:spacing w:line="480" w:lineRule="auto"/>
              <w:ind w:right="10"/>
              <w:rPr>
                <w:rFonts w:ascii="Times New Roman" w:hAnsi="Times New Roman" w:cs="Times New Roman"/>
                <w:color w:val="000000"/>
              </w:rPr>
            </w:pPr>
            <w:r w:rsidRPr="000F7397">
              <w:rPr>
                <w:rFonts w:ascii="Times New Roman" w:hAnsi="Times New Roman" w:cs="Times New Roman"/>
                <w:color w:val="000000"/>
              </w:rPr>
              <w:t>3.323534</w:t>
            </w:r>
            <w:r>
              <w:rPr>
                <w:rFonts w:ascii="Times New Roman" w:hAnsi="Times New Roman" w:cs="Times New Roman"/>
                <w:color w:val="000000"/>
              </w:rPr>
              <w:t>*</w:t>
            </w:r>
            <w:r w:rsidRPr="000F7397">
              <w:rPr>
                <w:rFonts w:ascii="Times New Roman" w:hAnsi="Times New Roman" w:cs="Times New Roman"/>
                <w:color w:val="000000"/>
              </w:rPr>
              <w:t xml:space="preserve"> (0.9728)</w:t>
            </w:r>
          </w:p>
        </w:tc>
        <w:tc>
          <w:tcPr>
            <w:tcW w:w="2064" w:type="dxa"/>
            <w:tcBorders>
              <w:left w:val="single" w:sz="4" w:space="0" w:color="auto"/>
              <w:bottom w:val="single" w:sz="4" w:space="0" w:color="000000" w:themeColor="text1"/>
              <w:right w:val="single" w:sz="4" w:space="0" w:color="auto"/>
            </w:tcBorders>
            <w:vAlign w:val="center"/>
          </w:tcPr>
          <w:p w:rsidR="00937F8E" w:rsidRPr="000F7397" w:rsidRDefault="00937F8E" w:rsidP="00937F8E">
            <w:pPr>
              <w:autoSpaceDE w:val="0"/>
              <w:autoSpaceDN w:val="0"/>
              <w:adjustRightInd w:val="0"/>
              <w:spacing w:line="480" w:lineRule="auto"/>
              <w:ind w:right="10"/>
              <w:rPr>
                <w:rFonts w:ascii="Times New Roman" w:hAnsi="Times New Roman" w:cs="Times New Roman"/>
                <w:color w:val="000000"/>
              </w:rPr>
            </w:pPr>
            <w:r>
              <w:rPr>
                <w:rFonts w:ascii="Times New Roman" w:hAnsi="Times New Roman" w:cs="Times New Roman"/>
                <w:color w:val="000000"/>
              </w:rPr>
              <w:t>14.70604* (0.1432)</w:t>
            </w:r>
          </w:p>
        </w:tc>
      </w:tr>
    </w:tbl>
    <w:p w:rsidR="00937F8E" w:rsidRDefault="00937F8E" w:rsidP="00937F8E">
      <w:pPr>
        <w:autoSpaceDE w:val="0"/>
        <w:autoSpaceDN w:val="0"/>
        <w:adjustRightInd w:val="0"/>
        <w:spacing w:after="0" w:line="480" w:lineRule="auto"/>
        <w:ind w:left="360"/>
        <w:contextualSpacing/>
        <w:jc w:val="center"/>
        <w:rPr>
          <w:rFonts w:ascii="Times New Roman" w:hAnsi="Times New Roman" w:cs="Times New Roman"/>
          <w:sz w:val="20"/>
          <w:szCs w:val="20"/>
        </w:rPr>
      </w:pPr>
      <w:r>
        <w:rPr>
          <w:rFonts w:ascii="Times New Roman" w:hAnsi="Times New Roman" w:cs="Times New Roman"/>
          <w:sz w:val="20"/>
          <w:szCs w:val="20"/>
        </w:rPr>
        <w:t>*</w:t>
      </w:r>
      <w:r w:rsidRPr="00353E7B">
        <w:rPr>
          <w:rFonts w:ascii="Times New Roman" w:hAnsi="Times New Roman" w:cs="Times New Roman"/>
          <w:sz w:val="20"/>
          <w:szCs w:val="20"/>
        </w:rPr>
        <w:t>denotes that</w:t>
      </w:r>
      <w:r>
        <w:rPr>
          <w:rFonts w:ascii="Times New Roman" w:hAnsi="Times New Roman" w:cs="Times New Roman"/>
          <w:sz w:val="20"/>
          <w:szCs w:val="20"/>
        </w:rPr>
        <w:t xml:space="preserve"> those values are evaluated at </w:t>
      </w:r>
      <w:proofErr w:type="gramStart"/>
      <w:r>
        <w:rPr>
          <w:rFonts w:ascii="Times New Roman" w:hAnsi="Times New Roman" w:cs="Times New Roman"/>
          <w:sz w:val="20"/>
          <w:szCs w:val="20"/>
        </w:rPr>
        <w:t>Q(</w:t>
      </w:r>
      <w:proofErr w:type="gramEnd"/>
      <w:r>
        <w:rPr>
          <w:rFonts w:ascii="Times New Roman" w:hAnsi="Times New Roman" w:cs="Times New Roman"/>
          <w:sz w:val="20"/>
          <w:szCs w:val="20"/>
        </w:rPr>
        <w:t>10) and ML (10) (due to sample size).</w:t>
      </w:r>
    </w:p>
    <w:p w:rsidR="00937F8E" w:rsidRDefault="00937F8E" w:rsidP="00937F8E">
      <w:pPr>
        <w:autoSpaceDE w:val="0"/>
        <w:autoSpaceDN w:val="0"/>
        <w:adjustRightInd w:val="0"/>
        <w:spacing w:line="480" w:lineRule="auto"/>
        <w:jc w:val="center"/>
        <w:rPr>
          <w:rFonts w:ascii="Times New Roman" w:hAnsi="Times New Roman" w:cs="Times New Roman"/>
          <w:sz w:val="20"/>
          <w:szCs w:val="20"/>
        </w:rPr>
      </w:pPr>
      <w:proofErr w:type="gramStart"/>
      <w:r>
        <w:rPr>
          <w:rFonts w:ascii="Times New Roman" w:hAnsi="Times New Roman" w:cs="Times New Roman"/>
          <w:sz w:val="20"/>
          <w:szCs w:val="20"/>
        </w:rPr>
        <w:t>p-values</w:t>
      </w:r>
      <w:proofErr w:type="gramEnd"/>
      <w:r w:rsidRPr="00353E7B">
        <w:rPr>
          <w:rFonts w:ascii="Times New Roman" w:hAnsi="Times New Roman" w:cs="Times New Roman"/>
          <w:sz w:val="20"/>
          <w:szCs w:val="20"/>
        </w:rPr>
        <w:t xml:space="preserve"> in parentheses</w:t>
      </w:r>
      <w:r>
        <w:rPr>
          <w:rFonts w:ascii="Times New Roman" w:hAnsi="Times New Roman" w:cs="Times New Roman"/>
          <w:sz w:val="20"/>
          <w:szCs w:val="20"/>
        </w:rPr>
        <w:t>.</w:t>
      </w:r>
    </w:p>
    <w:p w:rsidR="00937F8E" w:rsidRDefault="00937F8E">
      <w:pPr>
        <w:rPr>
          <w:rFonts w:ascii="Times New Roman" w:hAnsi="Times New Roman" w:cs="Times New Roman"/>
          <w:sz w:val="20"/>
          <w:szCs w:val="20"/>
        </w:rPr>
      </w:pPr>
      <w:r>
        <w:rPr>
          <w:rFonts w:ascii="Times New Roman" w:hAnsi="Times New Roman" w:cs="Times New Roman"/>
          <w:sz w:val="20"/>
          <w:szCs w:val="20"/>
        </w:rPr>
        <w:br w:type="page"/>
      </w: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spacing w:line="480" w:lineRule="auto"/>
        <w:jc w:val="center"/>
        <w:rPr>
          <w:rFonts w:ascii="Times New Roman" w:hAnsi="Times New Roman"/>
          <w:sz w:val="24"/>
          <w:szCs w:val="24"/>
        </w:rPr>
      </w:pPr>
      <w:r>
        <w:rPr>
          <w:noProof/>
        </w:rPr>
        <w:drawing>
          <wp:inline distT="0" distB="0" distL="0" distR="0" wp14:anchorId="41FBD88A" wp14:editId="75AEF268">
            <wp:extent cx="3457575" cy="2503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a:srcRect/>
                    <a:stretch>
                      <a:fillRect/>
                    </a:stretch>
                  </pic:blipFill>
                  <pic:spPr bwMode="auto">
                    <a:xfrm>
                      <a:off x="0" y="0"/>
                      <a:ext cx="3473890" cy="2515054"/>
                    </a:xfrm>
                    <a:prstGeom prst="rect">
                      <a:avLst/>
                    </a:prstGeom>
                    <a:noFill/>
                    <a:ln w="9525">
                      <a:noFill/>
                      <a:miter lim="800000"/>
                      <a:headEnd/>
                      <a:tailEnd/>
                    </a:ln>
                  </pic:spPr>
                </pic:pic>
              </a:graphicData>
            </a:graphic>
          </wp:inline>
        </w:drawing>
      </w:r>
    </w:p>
    <w:p w:rsidR="00937F8E" w:rsidRDefault="00937F8E" w:rsidP="00937F8E">
      <w:pPr>
        <w:spacing w:line="480" w:lineRule="auto"/>
        <w:jc w:val="center"/>
        <w:rPr>
          <w:rFonts w:ascii="Times New Roman" w:hAnsi="Times New Roman"/>
          <w:b/>
          <w:sz w:val="24"/>
          <w:szCs w:val="24"/>
        </w:rPr>
      </w:pPr>
      <w:r>
        <w:rPr>
          <w:rFonts w:ascii="Times New Roman" w:hAnsi="Times New Roman"/>
          <w:b/>
          <w:sz w:val="24"/>
          <w:szCs w:val="24"/>
        </w:rPr>
        <w:t>Figure 1</w:t>
      </w:r>
      <w:r w:rsidRPr="004926D2">
        <w:rPr>
          <w:rFonts w:ascii="Times New Roman" w:hAnsi="Times New Roman"/>
          <w:b/>
          <w:sz w:val="24"/>
          <w:szCs w:val="24"/>
        </w:rPr>
        <w:t>: Daily Volatility</w:t>
      </w:r>
    </w:p>
    <w:p w:rsidR="00937F8E" w:rsidRDefault="00937F8E" w:rsidP="00937F8E">
      <w:pPr>
        <w:autoSpaceDE w:val="0"/>
        <w:autoSpaceDN w:val="0"/>
        <w:adjustRightInd w:val="0"/>
        <w:spacing w:line="480" w:lineRule="auto"/>
        <w:jc w:val="both"/>
        <w:rPr>
          <w:rFonts w:ascii="Times New Roman" w:hAnsi="Times New Roman" w:cs="Times New Roman"/>
          <w:b/>
          <w:sz w:val="24"/>
          <w:szCs w:val="20"/>
        </w:rPr>
      </w:pP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pPr>
        <w:rPr>
          <w:rFonts w:ascii="Times New Roman" w:hAnsi="Times New Roman" w:cs="Times New Roman"/>
          <w:sz w:val="24"/>
          <w:szCs w:val="24"/>
        </w:rPr>
      </w:pPr>
      <w:r>
        <w:rPr>
          <w:rFonts w:ascii="Times New Roman" w:hAnsi="Times New Roman" w:cs="Times New Roman"/>
          <w:sz w:val="24"/>
          <w:szCs w:val="24"/>
        </w:rPr>
        <w:br w:type="page"/>
      </w: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autoSpaceDE w:val="0"/>
        <w:autoSpaceDN w:val="0"/>
        <w:adjustRightInd w:val="0"/>
        <w:spacing w:line="480" w:lineRule="auto"/>
        <w:jc w:val="center"/>
        <w:rPr>
          <w:rFonts w:ascii="Times New Roman" w:hAnsi="Times New Roman" w:cs="Times New Roman"/>
          <w:sz w:val="24"/>
          <w:szCs w:val="24"/>
        </w:rPr>
      </w:pPr>
    </w:p>
    <w:p w:rsidR="00937F8E" w:rsidRDefault="00937F8E" w:rsidP="00937F8E">
      <w:pPr>
        <w:autoSpaceDE w:val="0"/>
        <w:autoSpaceDN w:val="0"/>
        <w:adjustRightInd w:val="0"/>
        <w:spacing w:line="480" w:lineRule="auto"/>
        <w:jc w:val="both"/>
        <w:rPr>
          <w:rFonts w:ascii="Times New Roman" w:hAnsi="Times New Roman" w:cs="Times New Roman"/>
          <w:b/>
          <w:sz w:val="24"/>
          <w:szCs w:val="20"/>
        </w:rPr>
      </w:pPr>
    </w:p>
    <w:p w:rsidR="00937F8E" w:rsidRDefault="00937F8E" w:rsidP="00937F8E">
      <w:pPr>
        <w:spacing w:line="480" w:lineRule="auto"/>
        <w:jc w:val="center"/>
        <w:rPr>
          <w:rFonts w:ascii="Times New Roman" w:hAnsi="Times New Roman"/>
          <w:sz w:val="24"/>
          <w:szCs w:val="24"/>
        </w:rPr>
      </w:pPr>
      <w:r>
        <w:rPr>
          <w:noProof/>
        </w:rPr>
        <w:drawing>
          <wp:inline distT="0" distB="0" distL="0" distR="0" wp14:anchorId="334ADB6D" wp14:editId="59D0AC27">
            <wp:extent cx="3839658" cy="24098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4"/>
                    <a:srcRect/>
                    <a:stretch>
                      <a:fillRect/>
                    </a:stretch>
                  </pic:blipFill>
                  <pic:spPr bwMode="auto">
                    <a:xfrm>
                      <a:off x="0" y="0"/>
                      <a:ext cx="3861513" cy="2423542"/>
                    </a:xfrm>
                    <a:prstGeom prst="rect">
                      <a:avLst/>
                    </a:prstGeom>
                    <a:noFill/>
                    <a:ln w="9525">
                      <a:noFill/>
                      <a:miter lim="800000"/>
                      <a:headEnd/>
                      <a:tailEnd/>
                    </a:ln>
                  </pic:spPr>
                </pic:pic>
              </a:graphicData>
            </a:graphic>
          </wp:inline>
        </w:drawing>
      </w:r>
    </w:p>
    <w:p w:rsidR="00937F8E" w:rsidRDefault="00937F8E" w:rsidP="00937F8E">
      <w:pPr>
        <w:spacing w:line="480" w:lineRule="auto"/>
        <w:jc w:val="center"/>
        <w:rPr>
          <w:rFonts w:ascii="Times New Roman" w:hAnsi="Times New Roman" w:cs="Times New Roman"/>
          <w:b/>
          <w:sz w:val="24"/>
          <w:szCs w:val="20"/>
        </w:rPr>
      </w:pPr>
      <w:r>
        <w:rPr>
          <w:rFonts w:ascii="Times New Roman" w:hAnsi="Times New Roman"/>
          <w:b/>
          <w:sz w:val="24"/>
          <w:szCs w:val="24"/>
        </w:rPr>
        <w:t xml:space="preserve">Figure 2: </w:t>
      </w:r>
      <w:r w:rsidRPr="00126F0E">
        <w:rPr>
          <w:rFonts w:ascii="Times New Roman" w:hAnsi="Times New Roman"/>
          <w:b/>
          <w:sz w:val="24"/>
          <w:szCs w:val="24"/>
        </w:rPr>
        <w:t>K</w:t>
      </w:r>
      <w:r>
        <w:rPr>
          <w:rFonts w:ascii="Times New Roman" w:hAnsi="Times New Roman"/>
          <w:b/>
          <w:sz w:val="24"/>
          <w:szCs w:val="24"/>
        </w:rPr>
        <w:t>enyan FOREX rates</w:t>
      </w:r>
      <w:r w:rsidRPr="00126F0E">
        <w:rPr>
          <w:rFonts w:ascii="Times New Roman" w:hAnsi="Times New Roman"/>
          <w:b/>
          <w:sz w:val="24"/>
          <w:szCs w:val="24"/>
        </w:rPr>
        <w:t xml:space="preserve"> </w:t>
      </w:r>
      <w:r>
        <w:rPr>
          <w:rFonts w:ascii="Times New Roman" w:hAnsi="Times New Roman"/>
          <w:b/>
          <w:sz w:val="24"/>
          <w:szCs w:val="24"/>
        </w:rPr>
        <w:t>(</w:t>
      </w:r>
      <w:r w:rsidRPr="00126F0E">
        <w:rPr>
          <w:rFonts w:ascii="Times New Roman" w:hAnsi="Times New Roman"/>
          <w:b/>
          <w:sz w:val="24"/>
          <w:szCs w:val="24"/>
        </w:rPr>
        <w:t>January 1, 2006 to July 13, 2012</w:t>
      </w:r>
      <w:r>
        <w:rPr>
          <w:rFonts w:ascii="Times New Roman" w:hAnsi="Times New Roman"/>
          <w:b/>
          <w:sz w:val="24"/>
          <w:szCs w:val="24"/>
        </w:rPr>
        <w:t>)</w:t>
      </w:r>
    </w:p>
    <w:p w:rsidR="00937F8E" w:rsidRPr="007C6D26" w:rsidRDefault="00937F8E" w:rsidP="00937F8E">
      <w:pPr>
        <w:autoSpaceDE w:val="0"/>
        <w:autoSpaceDN w:val="0"/>
        <w:adjustRightInd w:val="0"/>
        <w:spacing w:line="480" w:lineRule="auto"/>
        <w:jc w:val="center"/>
        <w:rPr>
          <w:rFonts w:ascii="Times New Roman" w:hAnsi="Times New Roman" w:cs="Times New Roman"/>
          <w:sz w:val="24"/>
          <w:szCs w:val="24"/>
        </w:rPr>
      </w:pPr>
    </w:p>
    <w:sectPr w:rsidR="00937F8E" w:rsidRPr="007C6D26" w:rsidSect="003F2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74" w:rsidRDefault="00593174" w:rsidP="009536DB">
      <w:pPr>
        <w:spacing w:after="0" w:line="240" w:lineRule="auto"/>
      </w:pPr>
      <w:r>
        <w:separator/>
      </w:r>
    </w:p>
  </w:endnote>
  <w:endnote w:type="continuationSeparator" w:id="0">
    <w:p w:rsidR="00593174" w:rsidRDefault="00593174" w:rsidP="0095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74" w:rsidRDefault="00593174" w:rsidP="009536DB">
      <w:pPr>
        <w:spacing w:after="0" w:line="240" w:lineRule="auto"/>
      </w:pPr>
      <w:r>
        <w:separator/>
      </w:r>
    </w:p>
  </w:footnote>
  <w:footnote w:type="continuationSeparator" w:id="0">
    <w:p w:rsidR="00593174" w:rsidRDefault="00593174" w:rsidP="0095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248"/>
    <w:multiLevelType w:val="hybridMultilevel"/>
    <w:tmpl w:val="05A255C2"/>
    <w:lvl w:ilvl="0" w:tplc="FCA29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B07"/>
    <w:multiLevelType w:val="hybridMultilevel"/>
    <w:tmpl w:val="B2B2F4A4"/>
    <w:lvl w:ilvl="0" w:tplc="1C78A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85E21"/>
    <w:multiLevelType w:val="hybridMultilevel"/>
    <w:tmpl w:val="17DCCF4A"/>
    <w:lvl w:ilvl="0" w:tplc="CD803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21008"/>
    <w:multiLevelType w:val="hybridMultilevel"/>
    <w:tmpl w:val="66DECED8"/>
    <w:lvl w:ilvl="0" w:tplc="7620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7622A"/>
    <w:multiLevelType w:val="hybridMultilevel"/>
    <w:tmpl w:val="CBD8C752"/>
    <w:lvl w:ilvl="0" w:tplc="063A36D4">
      <w:start w:val="1"/>
      <w:numFmt w:val="low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26EA5"/>
    <w:multiLevelType w:val="hybridMultilevel"/>
    <w:tmpl w:val="85EC34DC"/>
    <w:lvl w:ilvl="0" w:tplc="5172E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412EF"/>
    <w:multiLevelType w:val="hybridMultilevel"/>
    <w:tmpl w:val="FAC62F2A"/>
    <w:lvl w:ilvl="0" w:tplc="D040B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97947"/>
    <w:multiLevelType w:val="hybridMultilevel"/>
    <w:tmpl w:val="40E290BC"/>
    <w:lvl w:ilvl="0" w:tplc="A6885E18">
      <w:start w:val="7"/>
      <w:numFmt w:val="bullet"/>
      <w:lvlText w:val=""/>
      <w:lvlJc w:val="left"/>
      <w:pPr>
        <w:ind w:left="720" w:hanging="360"/>
      </w:pPr>
      <w:rPr>
        <w:rFonts w:ascii="Symbol" w:eastAsiaTheme="minorEastAsia"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426D7"/>
    <w:multiLevelType w:val="hybridMultilevel"/>
    <w:tmpl w:val="30E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5"/>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79"/>
    <w:rsid w:val="00001E0F"/>
    <w:rsid w:val="00005DAF"/>
    <w:rsid w:val="00007D1B"/>
    <w:rsid w:val="00007EA6"/>
    <w:rsid w:val="000118DA"/>
    <w:rsid w:val="00022B04"/>
    <w:rsid w:val="00026F1B"/>
    <w:rsid w:val="00033BAE"/>
    <w:rsid w:val="00052A8A"/>
    <w:rsid w:val="00056F7A"/>
    <w:rsid w:val="000608D1"/>
    <w:rsid w:val="00061AEF"/>
    <w:rsid w:val="0006330D"/>
    <w:rsid w:val="00064AD0"/>
    <w:rsid w:val="0007362D"/>
    <w:rsid w:val="00073A1E"/>
    <w:rsid w:val="00080A6F"/>
    <w:rsid w:val="00081B45"/>
    <w:rsid w:val="000913A1"/>
    <w:rsid w:val="00095369"/>
    <w:rsid w:val="00096D63"/>
    <w:rsid w:val="000B1978"/>
    <w:rsid w:val="000B2266"/>
    <w:rsid w:val="000C3889"/>
    <w:rsid w:val="000D64E8"/>
    <w:rsid w:val="000E1899"/>
    <w:rsid w:val="000E5B91"/>
    <w:rsid w:val="000F06C1"/>
    <w:rsid w:val="000F4DB0"/>
    <w:rsid w:val="000F553D"/>
    <w:rsid w:val="000F5B23"/>
    <w:rsid w:val="000F6CF7"/>
    <w:rsid w:val="000F7397"/>
    <w:rsid w:val="0010205D"/>
    <w:rsid w:val="00116640"/>
    <w:rsid w:val="00116D61"/>
    <w:rsid w:val="00126F0E"/>
    <w:rsid w:val="00132C17"/>
    <w:rsid w:val="00137C6B"/>
    <w:rsid w:val="00156371"/>
    <w:rsid w:val="00157EC8"/>
    <w:rsid w:val="00160599"/>
    <w:rsid w:val="00170CE3"/>
    <w:rsid w:val="00170CFB"/>
    <w:rsid w:val="00171262"/>
    <w:rsid w:val="00173737"/>
    <w:rsid w:val="001755C7"/>
    <w:rsid w:val="00193C28"/>
    <w:rsid w:val="00195458"/>
    <w:rsid w:val="001A1CB0"/>
    <w:rsid w:val="001A1F0E"/>
    <w:rsid w:val="001A5595"/>
    <w:rsid w:val="001A5B61"/>
    <w:rsid w:val="001B6350"/>
    <w:rsid w:val="001B6B76"/>
    <w:rsid w:val="001C65CD"/>
    <w:rsid w:val="001C660F"/>
    <w:rsid w:val="001D0A63"/>
    <w:rsid w:val="001D5C8A"/>
    <w:rsid w:val="001F133C"/>
    <w:rsid w:val="002004C5"/>
    <w:rsid w:val="002035A7"/>
    <w:rsid w:val="0020686E"/>
    <w:rsid w:val="00210DC8"/>
    <w:rsid w:val="002140A6"/>
    <w:rsid w:val="00221D89"/>
    <w:rsid w:val="00234DD6"/>
    <w:rsid w:val="00240E07"/>
    <w:rsid w:val="002453D0"/>
    <w:rsid w:val="00245DD2"/>
    <w:rsid w:val="00247B3F"/>
    <w:rsid w:val="00256CFB"/>
    <w:rsid w:val="00257B4F"/>
    <w:rsid w:val="002620F1"/>
    <w:rsid w:val="002658DF"/>
    <w:rsid w:val="00271517"/>
    <w:rsid w:val="00271FC5"/>
    <w:rsid w:val="0028052E"/>
    <w:rsid w:val="0028220E"/>
    <w:rsid w:val="0028382F"/>
    <w:rsid w:val="00283EC2"/>
    <w:rsid w:val="002862D4"/>
    <w:rsid w:val="00286633"/>
    <w:rsid w:val="0028723A"/>
    <w:rsid w:val="002948C6"/>
    <w:rsid w:val="002975ED"/>
    <w:rsid w:val="002A3D22"/>
    <w:rsid w:val="002A5158"/>
    <w:rsid w:val="002B0B0B"/>
    <w:rsid w:val="002B2317"/>
    <w:rsid w:val="002B2A7F"/>
    <w:rsid w:val="002C40CA"/>
    <w:rsid w:val="002D087C"/>
    <w:rsid w:val="002D0D77"/>
    <w:rsid w:val="002D7F5D"/>
    <w:rsid w:val="002E014E"/>
    <w:rsid w:val="002E13C3"/>
    <w:rsid w:val="002E14C1"/>
    <w:rsid w:val="002E2661"/>
    <w:rsid w:val="002E467C"/>
    <w:rsid w:val="002E5203"/>
    <w:rsid w:val="003027CC"/>
    <w:rsid w:val="003037A9"/>
    <w:rsid w:val="003054A7"/>
    <w:rsid w:val="00314D9A"/>
    <w:rsid w:val="00320489"/>
    <w:rsid w:val="00322923"/>
    <w:rsid w:val="003257BC"/>
    <w:rsid w:val="00327586"/>
    <w:rsid w:val="00331830"/>
    <w:rsid w:val="003442A6"/>
    <w:rsid w:val="00353E7B"/>
    <w:rsid w:val="00360F06"/>
    <w:rsid w:val="00362221"/>
    <w:rsid w:val="003734E3"/>
    <w:rsid w:val="00380B10"/>
    <w:rsid w:val="00381443"/>
    <w:rsid w:val="003815A2"/>
    <w:rsid w:val="0038273B"/>
    <w:rsid w:val="00396B26"/>
    <w:rsid w:val="003977A5"/>
    <w:rsid w:val="00397B0C"/>
    <w:rsid w:val="003B0967"/>
    <w:rsid w:val="003B1DDB"/>
    <w:rsid w:val="003B2DCF"/>
    <w:rsid w:val="003C5B4F"/>
    <w:rsid w:val="003C5F48"/>
    <w:rsid w:val="003D215D"/>
    <w:rsid w:val="003D5955"/>
    <w:rsid w:val="003D7BE1"/>
    <w:rsid w:val="003E3113"/>
    <w:rsid w:val="003E71BF"/>
    <w:rsid w:val="003F1B7A"/>
    <w:rsid w:val="003F2CC0"/>
    <w:rsid w:val="003F66D6"/>
    <w:rsid w:val="003F6AA4"/>
    <w:rsid w:val="00402A5B"/>
    <w:rsid w:val="00403579"/>
    <w:rsid w:val="004057C6"/>
    <w:rsid w:val="00405D06"/>
    <w:rsid w:val="0041167F"/>
    <w:rsid w:val="00423193"/>
    <w:rsid w:val="00424619"/>
    <w:rsid w:val="004246CE"/>
    <w:rsid w:val="00425F22"/>
    <w:rsid w:val="004300AA"/>
    <w:rsid w:val="004309FC"/>
    <w:rsid w:val="004314B1"/>
    <w:rsid w:val="004403D7"/>
    <w:rsid w:val="00440BBB"/>
    <w:rsid w:val="00443335"/>
    <w:rsid w:val="00450320"/>
    <w:rsid w:val="00466BBC"/>
    <w:rsid w:val="00466E72"/>
    <w:rsid w:val="0047427C"/>
    <w:rsid w:val="00477E2F"/>
    <w:rsid w:val="0049186B"/>
    <w:rsid w:val="004926D2"/>
    <w:rsid w:val="004A0C97"/>
    <w:rsid w:val="004A3686"/>
    <w:rsid w:val="004A6FC3"/>
    <w:rsid w:val="004B4316"/>
    <w:rsid w:val="004C0338"/>
    <w:rsid w:val="004C21D6"/>
    <w:rsid w:val="004C6959"/>
    <w:rsid w:val="004D0123"/>
    <w:rsid w:val="004E1AB0"/>
    <w:rsid w:val="004F3133"/>
    <w:rsid w:val="004F3731"/>
    <w:rsid w:val="004F3BAD"/>
    <w:rsid w:val="005159A0"/>
    <w:rsid w:val="00521B79"/>
    <w:rsid w:val="00527A7E"/>
    <w:rsid w:val="0053272B"/>
    <w:rsid w:val="00544AA6"/>
    <w:rsid w:val="00546DB8"/>
    <w:rsid w:val="00552E55"/>
    <w:rsid w:val="00553E3C"/>
    <w:rsid w:val="005542C3"/>
    <w:rsid w:val="005545C4"/>
    <w:rsid w:val="00560CF6"/>
    <w:rsid w:val="005654EA"/>
    <w:rsid w:val="00566F6B"/>
    <w:rsid w:val="00574B9A"/>
    <w:rsid w:val="00575472"/>
    <w:rsid w:val="0057750E"/>
    <w:rsid w:val="00586185"/>
    <w:rsid w:val="0059078F"/>
    <w:rsid w:val="00590810"/>
    <w:rsid w:val="00593174"/>
    <w:rsid w:val="00595CF0"/>
    <w:rsid w:val="005A0124"/>
    <w:rsid w:val="005A0EAE"/>
    <w:rsid w:val="005A2E82"/>
    <w:rsid w:val="005B6CF8"/>
    <w:rsid w:val="005D1CA0"/>
    <w:rsid w:val="005D2596"/>
    <w:rsid w:val="005D3D91"/>
    <w:rsid w:val="005D55A9"/>
    <w:rsid w:val="005E03F7"/>
    <w:rsid w:val="005E3701"/>
    <w:rsid w:val="005E6252"/>
    <w:rsid w:val="005E7212"/>
    <w:rsid w:val="005F1DA6"/>
    <w:rsid w:val="005F6D83"/>
    <w:rsid w:val="00621551"/>
    <w:rsid w:val="0062287B"/>
    <w:rsid w:val="006258ED"/>
    <w:rsid w:val="00626F2F"/>
    <w:rsid w:val="00627880"/>
    <w:rsid w:val="006431F0"/>
    <w:rsid w:val="00643CB3"/>
    <w:rsid w:val="00646BEF"/>
    <w:rsid w:val="006514A1"/>
    <w:rsid w:val="006546EA"/>
    <w:rsid w:val="00675329"/>
    <w:rsid w:val="0067644B"/>
    <w:rsid w:val="00676E12"/>
    <w:rsid w:val="00684ABD"/>
    <w:rsid w:val="00687225"/>
    <w:rsid w:val="0069533F"/>
    <w:rsid w:val="006A0DA2"/>
    <w:rsid w:val="006A2558"/>
    <w:rsid w:val="006A328C"/>
    <w:rsid w:val="006A4644"/>
    <w:rsid w:val="006B0CC2"/>
    <w:rsid w:val="006B1B55"/>
    <w:rsid w:val="006C2E28"/>
    <w:rsid w:val="006C624E"/>
    <w:rsid w:val="006D27D5"/>
    <w:rsid w:val="006D39DA"/>
    <w:rsid w:val="006D3ADF"/>
    <w:rsid w:val="006E413E"/>
    <w:rsid w:val="006E562F"/>
    <w:rsid w:val="006E7F15"/>
    <w:rsid w:val="00702A67"/>
    <w:rsid w:val="00703BB5"/>
    <w:rsid w:val="00710A4B"/>
    <w:rsid w:val="00714DFC"/>
    <w:rsid w:val="007161A7"/>
    <w:rsid w:val="0071627B"/>
    <w:rsid w:val="00730BA0"/>
    <w:rsid w:val="00734BD7"/>
    <w:rsid w:val="007427CB"/>
    <w:rsid w:val="00744827"/>
    <w:rsid w:val="00745ACF"/>
    <w:rsid w:val="00746CCC"/>
    <w:rsid w:val="00752AE2"/>
    <w:rsid w:val="00752D78"/>
    <w:rsid w:val="00755439"/>
    <w:rsid w:val="00757880"/>
    <w:rsid w:val="0076264C"/>
    <w:rsid w:val="00765D72"/>
    <w:rsid w:val="00767AB6"/>
    <w:rsid w:val="007800D9"/>
    <w:rsid w:val="00781CA9"/>
    <w:rsid w:val="00784CA4"/>
    <w:rsid w:val="00790B10"/>
    <w:rsid w:val="00790B6A"/>
    <w:rsid w:val="00796017"/>
    <w:rsid w:val="00796343"/>
    <w:rsid w:val="0079683C"/>
    <w:rsid w:val="007A391F"/>
    <w:rsid w:val="007A60B8"/>
    <w:rsid w:val="007B2C9A"/>
    <w:rsid w:val="007B7365"/>
    <w:rsid w:val="007C54D2"/>
    <w:rsid w:val="007C6D26"/>
    <w:rsid w:val="007D1085"/>
    <w:rsid w:val="007D6D9C"/>
    <w:rsid w:val="007D7287"/>
    <w:rsid w:val="007E6484"/>
    <w:rsid w:val="007E69F5"/>
    <w:rsid w:val="007F61F6"/>
    <w:rsid w:val="007F6214"/>
    <w:rsid w:val="00800D79"/>
    <w:rsid w:val="00803638"/>
    <w:rsid w:val="00804B9D"/>
    <w:rsid w:val="0080590A"/>
    <w:rsid w:val="00810C10"/>
    <w:rsid w:val="00816CCD"/>
    <w:rsid w:val="00820E7E"/>
    <w:rsid w:val="00830E4E"/>
    <w:rsid w:val="008338B3"/>
    <w:rsid w:val="00837058"/>
    <w:rsid w:val="00847D0F"/>
    <w:rsid w:val="008535F4"/>
    <w:rsid w:val="008557B5"/>
    <w:rsid w:val="00856FA6"/>
    <w:rsid w:val="008611AB"/>
    <w:rsid w:val="00861AA1"/>
    <w:rsid w:val="00863E44"/>
    <w:rsid w:val="00866A5B"/>
    <w:rsid w:val="00867B38"/>
    <w:rsid w:val="0087133B"/>
    <w:rsid w:val="00885B55"/>
    <w:rsid w:val="00887FEC"/>
    <w:rsid w:val="008952EA"/>
    <w:rsid w:val="00895AF5"/>
    <w:rsid w:val="008B2A4E"/>
    <w:rsid w:val="008B3497"/>
    <w:rsid w:val="008B52ED"/>
    <w:rsid w:val="008C4C85"/>
    <w:rsid w:val="008C71AD"/>
    <w:rsid w:val="008C7434"/>
    <w:rsid w:val="008F1316"/>
    <w:rsid w:val="008F343A"/>
    <w:rsid w:val="00905144"/>
    <w:rsid w:val="00905602"/>
    <w:rsid w:val="00915FA7"/>
    <w:rsid w:val="00917676"/>
    <w:rsid w:val="009206B6"/>
    <w:rsid w:val="00920E21"/>
    <w:rsid w:val="009237FF"/>
    <w:rsid w:val="00930922"/>
    <w:rsid w:val="00933C48"/>
    <w:rsid w:val="00937912"/>
    <w:rsid w:val="00937F8E"/>
    <w:rsid w:val="009536DB"/>
    <w:rsid w:val="009612E2"/>
    <w:rsid w:val="00963EEC"/>
    <w:rsid w:val="00965A08"/>
    <w:rsid w:val="0097599A"/>
    <w:rsid w:val="00982D77"/>
    <w:rsid w:val="009839A3"/>
    <w:rsid w:val="0099476A"/>
    <w:rsid w:val="0099526E"/>
    <w:rsid w:val="009A02DC"/>
    <w:rsid w:val="009A3C5A"/>
    <w:rsid w:val="009A4DC6"/>
    <w:rsid w:val="009B564B"/>
    <w:rsid w:val="009B5A79"/>
    <w:rsid w:val="009B73EB"/>
    <w:rsid w:val="009C25AD"/>
    <w:rsid w:val="009C5A55"/>
    <w:rsid w:val="009C60F4"/>
    <w:rsid w:val="009D0105"/>
    <w:rsid w:val="009D45E3"/>
    <w:rsid w:val="009E1220"/>
    <w:rsid w:val="009E5A8D"/>
    <w:rsid w:val="009F4A25"/>
    <w:rsid w:val="00A01327"/>
    <w:rsid w:val="00A02FD5"/>
    <w:rsid w:val="00A10F62"/>
    <w:rsid w:val="00A1536A"/>
    <w:rsid w:val="00A1642F"/>
    <w:rsid w:val="00A2024D"/>
    <w:rsid w:val="00A223D7"/>
    <w:rsid w:val="00A31219"/>
    <w:rsid w:val="00A41158"/>
    <w:rsid w:val="00A413C7"/>
    <w:rsid w:val="00A51EB6"/>
    <w:rsid w:val="00A54DED"/>
    <w:rsid w:val="00A55A0F"/>
    <w:rsid w:val="00A55EE6"/>
    <w:rsid w:val="00A61159"/>
    <w:rsid w:val="00A61595"/>
    <w:rsid w:val="00A619E1"/>
    <w:rsid w:val="00A63C64"/>
    <w:rsid w:val="00A649ED"/>
    <w:rsid w:val="00A6789F"/>
    <w:rsid w:val="00A729C2"/>
    <w:rsid w:val="00A7793C"/>
    <w:rsid w:val="00A833B5"/>
    <w:rsid w:val="00A8622B"/>
    <w:rsid w:val="00A864CB"/>
    <w:rsid w:val="00A87198"/>
    <w:rsid w:val="00A96538"/>
    <w:rsid w:val="00A97EDF"/>
    <w:rsid w:val="00AA5927"/>
    <w:rsid w:val="00AC0826"/>
    <w:rsid w:val="00AC3D90"/>
    <w:rsid w:val="00AC41C9"/>
    <w:rsid w:val="00AC5A3C"/>
    <w:rsid w:val="00AC6798"/>
    <w:rsid w:val="00AD612E"/>
    <w:rsid w:val="00AD7DC7"/>
    <w:rsid w:val="00AE0872"/>
    <w:rsid w:val="00AE1442"/>
    <w:rsid w:val="00AE198B"/>
    <w:rsid w:val="00AE3294"/>
    <w:rsid w:val="00AE6DC4"/>
    <w:rsid w:val="00AE6F5A"/>
    <w:rsid w:val="00AE7B7F"/>
    <w:rsid w:val="00AF1315"/>
    <w:rsid w:val="00B03726"/>
    <w:rsid w:val="00B1015D"/>
    <w:rsid w:val="00B16F4F"/>
    <w:rsid w:val="00B22C42"/>
    <w:rsid w:val="00B24266"/>
    <w:rsid w:val="00B30F05"/>
    <w:rsid w:val="00B33851"/>
    <w:rsid w:val="00B37989"/>
    <w:rsid w:val="00B40910"/>
    <w:rsid w:val="00B4168E"/>
    <w:rsid w:val="00B43502"/>
    <w:rsid w:val="00B469DB"/>
    <w:rsid w:val="00B559B7"/>
    <w:rsid w:val="00B56F3D"/>
    <w:rsid w:val="00B60450"/>
    <w:rsid w:val="00B6236C"/>
    <w:rsid w:val="00B71A9F"/>
    <w:rsid w:val="00B71E5A"/>
    <w:rsid w:val="00B74258"/>
    <w:rsid w:val="00B76833"/>
    <w:rsid w:val="00B83335"/>
    <w:rsid w:val="00B850A5"/>
    <w:rsid w:val="00B91E2D"/>
    <w:rsid w:val="00BA00A9"/>
    <w:rsid w:val="00BA47CF"/>
    <w:rsid w:val="00BA79D5"/>
    <w:rsid w:val="00BC57D3"/>
    <w:rsid w:val="00BC6EA0"/>
    <w:rsid w:val="00BD2665"/>
    <w:rsid w:val="00BD7982"/>
    <w:rsid w:val="00BE0447"/>
    <w:rsid w:val="00BE3C86"/>
    <w:rsid w:val="00BF4462"/>
    <w:rsid w:val="00BF526F"/>
    <w:rsid w:val="00BF77C0"/>
    <w:rsid w:val="00C041C9"/>
    <w:rsid w:val="00C0523A"/>
    <w:rsid w:val="00C05E49"/>
    <w:rsid w:val="00C128D6"/>
    <w:rsid w:val="00C1434E"/>
    <w:rsid w:val="00C217C4"/>
    <w:rsid w:val="00C229F0"/>
    <w:rsid w:val="00C34117"/>
    <w:rsid w:val="00C3615D"/>
    <w:rsid w:val="00C45368"/>
    <w:rsid w:val="00C46DF7"/>
    <w:rsid w:val="00C51185"/>
    <w:rsid w:val="00C57E9B"/>
    <w:rsid w:val="00C6308A"/>
    <w:rsid w:val="00C63226"/>
    <w:rsid w:val="00C64A04"/>
    <w:rsid w:val="00C678D1"/>
    <w:rsid w:val="00C71C30"/>
    <w:rsid w:val="00C73AAC"/>
    <w:rsid w:val="00C75273"/>
    <w:rsid w:val="00C76A48"/>
    <w:rsid w:val="00C777AB"/>
    <w:rsid w:val="00C83DA6"/>
    <w:rsid w:val="00C852CE"/>
    <w:rsid w:val="00C86460"/>
    <w:rsid w:val="00C92796"/>
    <w:rsid w:val="00C94DB6"/>
    <w:rsid w:val="00C9679D"/>
    <w:rsid w:val="00C96B60"/>
    <w:rsid w:val="00C97B67"/>
    <w:rsid w:val="00CA0BED"/>
    <w:rsid w:val="00CA1238"/>
    <w:rsid w:val="00CA36E2"/>
    <w:rsid w:val="00CA377D"/>
    <w:rsid w:val="00CA4436"/>
    <w:rsid w:val="00CB1BAA"/>
    <w:rsid w:val="00CB1C8D"/>
    <w:rsid w:val="00CB6DE1"/>
    <w:rsid w:val="00CC1368"/>
    <w:rsid w:val="00CC4A21"/>
    <w:rsid w:val="00CC68DA"/>
    <w:rsid w:val="00CE0775"/>
    <w:rsid w:val="00CE2487"/>
    <w:rsid w:val="00CE6AB8"/>
    <w:rsid w:val="00CF1235"/>
    <w:rsid w:val="00CF337D"/>
    <w:rsid w:val="00CF61C1"/>
    <w:rsid w:val="00CF67F0"/>
    <w:rsid w:val="00D021EA"/>
    <w:rsid w:val="00D03BE3"/>
    <w:rsid w:val="00D05366"/>
    <w:rsid w:val="00D0584C"/>
    <w:rsid w:val="00D12F19"/>
    <w:rsid w:val="00D156AE"/>
    <w:rsid w:val="00D47F44"/>
    <w:rsid w:val="00D6756D"/>
    <w:rsid w:val="00D7137D"/>
    <w:rsid w:val="00D80190"/>
    <w:rsid w:val="00D80A53"/>
    <w:rsid w:val="00D91BA8"/>
    <w:rsid w:val="00D91D1C"/>
    <w:rsid w:val="00D924F8"/>
    <w:rsid w:val="00D93356"/>
    <w:rsid w:val="00D93889"/>
    <w:rsid w:val="00DA4F29"/>
    <w:rsid w:val="00DC0341"/>
    <w:rsid w:val="00DC2C6A"/>
    <w:rsid w:val="00DC551D"/>
    <w:rsid w:val="00DC5534"/>
    <w:rsid w:val="00DC76DB"/>
    <w:rsid w:val="00DD6DDF"/>
    <w:rsid w:val="00DE1037"/>
    <w:rsid w:val="00DE5449"/>
    <w:rsid w:val="00DE60C8"/>
    <w:rsid w:val="00DE652F"/>
    <w:rsid w:val="00DE7957"/>
    <w:rsid w:val="00DF0BC1"/>
    <w:rsid w:val="00DF1C9D"/>
    <w:rsid w:val="00DF61B3"/>
    <w:rsid w:val="00DF6788"/>
    <w:rsid w:val="00E044E5"/>
    <w:rsid w:val="00E05495"/>
    <w:rsid w:val="00E1270E"/>
    <w:rsid w:val="00E1364F"/>
    <w:rsid w:val="00E14E8B"/>
    <w:rsid w:val="00E2085F"/>
    <w:rsid w:val="00E23DDE"/>
    <w:rsid w:val="00E31531"/>
    <w:rsid w:val="00E36442"/>
    <w:rsid w:val="00E431DD"/>
    <w:rsid w:val="00E45EAB"/>
    <w:rsid w:val="00E508E0"/>
    <w:rsid w:val="00E53825"/>
    <w:rsid w:val="00E562B6"/>
    <w:rsid w:val="00E63149"/>
    <w:rsid w:val="00E76462"/>
    <w:rsid w:val="00E86BEA"/>
    <w:rsid w:val="00E93C6F"/>
    <w:rsid w:val="00EA0B66"/>
    <w:rsid w:val="00EA23F4"/>
    <w:rsid w:val="00EA6B83"/>
    <w:rsid w:val="00EA766A"/>
    <w:rsid w:val="00EA7C25"/>
    <w:rsid w:val="00EB136C"/>
    <w:rsid w:val="00EB2213"/>
    <w:rsid w:val="00EB2CF1"/>
    <w:rsid w:val="00EB4139"/>
    <w:rsid w:val="00EC7EE6"/>
    <w:rsid w:val="00EC7F5B"/>
    <w:rsid w:val="00EE4D63"/>
    <w:rsid w:val="00EE6A97"/>
    <w:rsid w:val="00EE7107"/>
    <w:rsid w:val="00EF1654"/>
    <w:rsid w:val="00EF31B5"/>
    <w:rsid w:val="00EF3D90"/>
    <w:rsid w:val="00F03DA0"/>
    <w:rsid w:val="00F1124B"/>
    <w:rsid w:val="00F138A2"/>
    <w:rsid w:val="00F320AB"/>
    <w:rsid w:val="00F33004"/>
    <w:rsid w:val="00F42592"/>
    <w:rsid w:val="00F44799"/>
    <w:rsid w:val="00F466ED"/>
    <w:rsid w:val="00F5016F"/>
    <w:rsid w:val="00F50EE4"/>
    <w:rsid w:val="00F53711"/>
    <w:rsid w:val="00F563D5"/>
    <w:rsid w:val="00F608A2"/>
    <w:rsid w:val="00F60EE6"/>
    <w:rsid w:val="00F63849"/>
    <w:rsid w:val="00F642AC"/>
    <w:rsid w:val="00F64FE6"/>
    <w:rsid w:val="00F70A74"/>
    <w:rsid w:val="00F773BF"/>
    <w:rsid w:val="00F820B9"/>
    <w:rsid w:val="00F83A79"/>
    <w:rsid w:val="00F841D4"/>
    <w:rsid w:val="00F85155"/>
    <w:rsid w:val="00F973FC"/>
    <w:rsid w:val="00FA01F0"/>
    <w:rsid w:val="00FA1CE5"/>
    <w:rsid w:val="00FA4481"/>
    <w:rsid w:val="00FB251B"/>
    <w:rsid w:val="00FC1669"/>
    <w:rsid w:val="00FC257C"/>
    <w:rsid w:val="00FC4415"/>
    <w:rsid w:val="00FD08D2"/>
    <w:rsid w:val="00FD1AAF"/>
    <w:rsid w:val="00FD301B"/>
    <w:rsid w:val="00FD372F"/>
    <w:rsid w:val="00FE0782"/>
    <w:rsid w:val="00FF019D"/>
    <w:rsid w:val="00FF4914"/>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79"/>
    <w:pPr>
      <w:ind w:left="720"/>
      <w:contextualSpacing/>
    </w:pPr>
  </w:style>
  <w:style w:type="paragraph" w:customStyle="1" w:styleId="Default">
    <w:name w:val="Default"/>
    <w:rsid w:val="00F83A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A79"/>
    <w:rPr>
      <w:rFonts w:ascii="Tahoma" w:hAnsi="Tahoma" w:cs="Tahoma"/>
      <w:sz w:val="16"/>
      <w:szCs w:val="16"/>
    </w:rPr>
  </w:style>
  <w:style w:type="character" w:styleId="PlaceholderText">
    <w:name w:val="Placeholder Text"/>
    <w:basedOn w:val="DefaultParagraphFont"/>
    <w:uiPriority w:val="99"/>
    <w:semiHidden/>
    <w:rsid w:val="00F83A79"/>
    <w:rPr>
      <w:color w:val="808080"/>
    </w:rPr>
  </w:style>
  <w:style w:type="table" w:styleId="TableGrid">
    <w:name w:val="Table Grid"/>
    <w:basedOn w:val="TableNormal"/>
    <w:uiPriority w:val="59"/>
    <w:rsid w:val="00F83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3A79"/>
    <w:rPr>
      <w:color w:val="0000FF" w:themeColor="hyperlink"/>
      <w:u w:val="single"/>
    </w:rPr>
  </w:style>
  <w:style w:type="paragraph" w:customStyle="1" w:styleId="FirstParagraph5">
    <w:name w:val="FirstParagraph+5"/>
    <w:basedOn w:val="Default"/>
    <w:next w:val="Default"/>
    <w:uiPriority w:val="99"/>
    <w:rsid w:val="00001E0F"/>
    <w:rPr>
      <w:color w:val="auto"/>
    </w:rPr>
  </w:style>
  <w:style w:type="paragraph" w:customStyle="1" w:styleId="Paragraph5">
    <w:name w:val="Paragraph+5"/>
    <w:basedOn w:val="Default"/>
    <w:next w:val="Default"/>
    <w:uiPriority w:val="99"/>
    <w:rsid w:val="00001E0F"/>
    <w:rPr>
      <w:color w:val="auto"/>
    </w:rPr>
  </w:style>
  <w:style w:type="paragraph" w:styleId="FootnoteText">
    <w:name w:val="footnote text"/>
    <w:basedOn w:val="Normal"/>
    <w:link w:val="FootnoteTextChar"/>
    <w:uiPriority w:val="99"/>
    <w:semiHidden/>
    <w:unhideWhenUsed/>
    <w:rsid w:val="00953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6DB"/>
    <w:rPr>
      <w:sz w:val="20"/>
      <w:szCs w:val="20"/>
    </w:rPr>
  </w:style>
  <w:style w:type="character" w:styleId="FootnoteReference">
    <w:name w:val="footnote reference"/>
    <w:basedOn w:val="DefaultParagraphFont"/>
    <w:uiPriority w:val="99"/>
    <w:semiHidden/>
    <w:unhideWhenUsed/>
    <w:rsid w:val="009536DB"/>
    <w:rPr>
      <w:vertAlign w:val="superscript"/>
    </w:rPr>
  </w:style>
  <w:style w:type="paragraph" w:styleId="Header">
    <w:name w:val="header"/>
    <w:basedOn w:val="Normal"/>
    <w:link w:val="HeaderChar"/>
    <w:uiPriority w:val="99"/>
    <w:semiHidden/>
    <w:unhideWhenUsed/>
    <w:rsid w:val="00CC6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8DA"/>
  </w:style>
  <w:style w:type="paragraph" w:styleId="Footer">
    <w:name w:val="footer"/>
    <w:basedOn w:val="Normal"/>
    <w:link w:val="FooterChar"/>
    <w:uiPriority w:val="99"/>
    <w:semiHidden/>
    <w:unhideWhenUsed/>
    <w:rsid w:val="00CC6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79"/>
    <w:pPr>
      <w:ind w:left="720"/>
      <w:contextualSpacing/>
    </w:pPr>
  </w:style>
  <w:style w:type="paragraph" w:customStyle="1" w:styleId="Default">
    <w:name w:val="Default"/>
    <w:rsid w:val="00F83A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A79"/>
    <w:rPr>
      <w:rFonts w:ascii="Tahoma" w:hAnsi="Tahoma" w:cs="Tahoma"/>
      <w:sz w:val="16"/>
      <w:szCs w:val="16"/>
    </w:rPr>
  </w:style>
  <w:style w:type="character" w:styleId="PlaceholderText">
    <w:name w:val="Placeholder Text"/>
    <w:basedOn w:val="DefaultParagraphFont"/>
    <w:uiPriority w:val="99"/>
    <w:semiHidden/>
    <w:rsid w:val="00F83A79"/>
    <w:rPr>
      <w:color w:val="808080"/>
    </w:rPr>
  </w:style>
  <w:style w:type="table" w:styleId="TableGrid">
    <w:name w:val="Table Grid"/>
    <w:basedOn w:val="TableNormal"/>
    <w:uiPriority w:val="59"/>
    <w:rsid w:val="00F83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3A79"/>
    <w:rPr>
      <w:color w:val="0000FF" w:themeColor="hyperlink"/>
      <w:u w:val="single"/>
    </w:rPr>
  </w:style>
  <w:style w:type="paragraph" w:customStyle="1" w:styleId="FirstParagraph5">
    <w:name w:val="FirstParagraph+5"/>
    <w:basedOn w:val="Default"/>
    <w:next w:val="Default"/>
    <w:uiPriority w:val="99"/>
    <w:rsid w:val="00001E0F"/>
    <w:rPr>
      <w:color w:val="auto"/>
    </w:rPr>
  </w:style>
  <w:style w:type="paragraph" w:customStyle="1" w:styleId="Paragraph5">
    <w:name w:val="Paragraph+5"/>
    <w:basedOn w:val="Default"/>
    <w:next w:val="Default"/>
    <w:uiPriority w:val="99"/>
    <w:rsid w:val="00001E0F"/>
    <w:rPr>
      <w:color w:val="auto"/>
    </w:rPr>
  </w:style>
  <w:style w:type="paragraph" w:styleId="FootnoteText">
    <w:name w:val="footnote text"/>
    <w:basedOn w:val="Normal"/>
    <w:link w:val="FootnoteTextChar"/>
    <w:uiPriority w:val="99"/>
    <w:semiHidden/>
    <w:unhideWhenUsed/>
    <w:rsid w:val="00953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6DB"/>
    <w:rPr>
      <w:sz w:val="20"/>
      <w:szCs w:val="20"/>
    </w:rPr>
  </w:style>
  <w:style w:type="character" w:styleId="FootnoteReference">
    <w:name w:val="footnote reference"/>
    <w:basedOn w:val="DefaultParagraphFont"/>
    <w:uiPriority w:val="99"/>
    <w:semiHidden/>
    <w:unhideWhenUsed/>
    <w:rsid w:val="009536DB"/>
    <w:rPr>
      <w:vertAlign w:val="superscript"/>
    </w:rPr>
  </w:style>
  <w:style w:type="paragraph" w:styleId="Header">
    <w:name w:val="header"/>
    <w:basedOn w:val="Normal"/>
    <w:link w:val="HeaderChar"/>
    <w:uiPriority w:val="99"/>
    <w:semiHidden/>
    <w:unhideWhenUsed/>
    <w:rsid w:val="00CC6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8DA"/>
  </w:style>
  <w:style w:type="paragraph" w:styleId="Footer">
    <w:name w:val="footer"/>
    <w:basedOn w:val="Normal"/>
    <w:link w:val="FooterChar"/>
    <w:uiPriority w:val="99"/>
    <w:semiHidden/>
    <w:unhideWhenUsed/>
    <w:rsid w:val="00CC6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554">
      <w:bodyDiv w:val="1"/>
      <w:marLeft w:val="0"/>
      <w:marRight w:val="0"/>
      <w:marTop w:val="0"/>
      <w:marBottom w:val="0"/>
      <w:divBdr>
        <w:top w:val="none" w:sz="0" w:space="0" w:color="auto"/>
        <w:left w:val="none" w:sz="0" w:space="0" w:color="auto"/>
        <w:bottom w:val="none" w:sz="0" w:space="0" w:color="auto"/>
        <w:right w:val="none" w:sz="0" w:space="0" w:color="auto"/>
      </w:divBdr>
      <w:divsChild>
        <w:div w:id="448741601">
          <w:marLeft w:val="547"/>
          <w:marRight w:val="0"/>
          <w:marTop w:val="125"/>
          <w:marBottom w:val="0"/>
          <w:divBdr>
            <w:top w:val="none" w:sz="0" w:space="0" w:color="auto"/>
            <w:left w:val="none" w:sz="0" w:space="0" w:color="auto"/>
            <w:bottom w:val="none" w:sz="0" w:space="0" w:color="auto"/>
            <w:right w:val="none" w:sz="0" w:space="0" w:color="auto"/>
          </w:divBdr>
        </w:div>
      </w:divsChild>
    </w:div>
    <w:div w:id="127821330">
      <w:bodyDiv w:val="1"/>
      <w:marLeft w:val="0"/>
      <w:marRight w:val="0"/>
      <w:marTop w:val="0"/>
      <w:marBottom w:val="0"/>
      <w:divBdr>
        <w:top w:val="none" w:sz="0" w:space="0" w:color="auto"/>
        <w:left w:val="none" w:sz="0" w:space="0" w:color="auto"/>
        <w:bottom w:val="none" w:sz="0" w:space="0" w:color="auto"/>
        <w:right w:val="none" w:sz="0" w:space="0" w:color="auto"/>
      </w:divBdr>
      <w:divsChild>
        <w:div w:id="73743294">
          <w:marLeft w:val="547"/>
          <w:marRight w:val="0"/>
          <w:marTop w:val="96"/>
          <w:marBottom w:val="0"/>
          <w:divBdr>
            <w:top w:val="none" w:sz="0" w:space="0" w:color="auto"/>
            <w:left w:val="none" w:sz="0" w:space="0" w:color="auto"/>
            <w:bottom w:val="none" w:sz="0" w:space="0" w:color="auto"/>
            <w:right w:val="none" w:sz="0" w:space="0" w:color="auto"/>
          </w:divBdr>
        </w:div>
      </w:divsChild>
    </w:div>
    <w:div w:id="249628402">
      <w:bodyDiv w:val="1"/>
      <w:marLeft w:val="0"/>
      <w:marRight w:val="0"/>
      <w:marTop w:val="0"/>
      <w:marBottom w:val="0"/>
      <w:divBdr>
        <w:top w:val="none" w:sz="0" w:space="0" w:color="auto"/>
        <w:left w:val="none" w:sz="0" w:space="0" w:color="auto"/>
        <w:bottom w:val="none" w:sz="0" w:space="0" w:color="auto"/>
        <w:right w:val="none" w:sz="0" w:space="0" w:color="auto"/>
      </w:divBdr>
    </w:div>
    <w:div w:id="424300401">
      <w:bodyDiv w:val="1"/>
      <w:marLeft w:val="0"/>
      <w:marRight w:val="0"/>
      <w:marTop w:val="0"/>
      <w:marBottom w:val="0"/>
      <w:divBdr>
        <w:top w:val="none" w:sz="0" w:space="0" w:color="auto"/>
        <w:left w:val="none" w:sz="0" w:space="0" w:color="auto"/>
        <w:bottom w:val="none" w:sz="0" w:space="0" w:color="auto"/>
        <w:right w:val="none" w:sz="0" w:space="0" w:color="auto"/>
      </w:divBdr>
      <w:divsChild>
        <w:div w:id="2129623599">
          <w:marLeft w:val="0"/>
          <w:marRight w:val="0"/>
          <w:marTop w:val="0"/>
          <w:marBottom w:val="120"/>
          <w:divBdr>
            <w:top w:val="none" w:sz="0" w:space="0" w:color="auto"/>
            <w:left w:val="none" w:sz="0" w:space="0" w:color="auto"/>
            <w:bottom w:val="none" w:sz="0" w:space="0" w:color="auto"/>
            <w:right w:val="none" w:sz="0" w:space="0" w:color="auto"/>
          </w:divBdr>
          <w:divsChild>
            <w:div w:id="518350255">
              <w:marLeft w:val="0"/>
              <w:marRight w:val="0"/>
              <w:marTop w:val="0"/>
              <w:marBottom w:val="0"/>
              <w:divBdr>
                <w:top w:val="none" w:sz="0" w:space="0" w:color="auto"/>
                <w:left w:val="none" w:sz="0" w:space="0" w:color="auto"/>
                <w:bottom w:val="none" w:sz="0" w:space="0" w:color="auto"/>
                <w:right w:val="none" w:sz="0" w:space="0" w:color="auto"/>
              </w:divBdr>
              <w:divsChild>
                <w:div w:id="1337075459">
                  <w:marLeft w:val="0"/>
                  <w:marRight w:val="0"/>
                  <w:marTop w:val="0"/>
                  <w:marBottom w:val="0"/>
                  <w:divBdr>
                    <w:top w:val="none" w:sz="0" w:space="0" w:color="auto"/>
                    <w:left w:val="none" w:sz="0" w:space="0" w:color="auto"/>
                    <w:bottom w:val="none" w:sz="0" w:space="0" w:color="auto"/>
                    <w:right w:val="none" w:sz="0" w:space="0" w:color="auto"/>
                  </w:divBdr>
                  <w:divsChild>
                    <w:div w:id="880674158">
                      <w:marLeft w:val="0"/>
                      <w:marRight w:val="0"/>
                      <w:marTop w:val="0"/>
                      <w:marBottom w:val="0"/>
                      <w:divBdr>
                        <w:top w:val="none" w:sz="0" w:space="0" w:color="auto"/>
                        <w:left w:val="none" w:sz="0" w:space="0" w:color="auto"/>
                        <w:bottom w:val="none" w:sz="0" w:space="0" w:color="auto"/>
                        <w:right w:val="none" w:sz="0" w:space="0" w:color="auto"/>
                      </w:divBdr>
                      <w:divsChild>
                        <w:div w:id="588468751">
                          <w:marLeft w:val="0"/>
                          <w:marRight w:val="0"/>
                          <w:marTop w:val="0"/>
                          <w:marBottom w:val="0"/>
                          <w:divBdr>
                            <w:top w:val="none" w:sz="0" w:space="0" w:color="auto"/>
                            <w:left w:val="none" w:sz="0" w:space="0" w:color="auto"/>
                            <w:bottom w:val="none" w:sz="0" w:space="0" w:color="auto"/>
                            <w:right w:val="none" w:sz="0" w:space="0" w:color="auto"/>
                          </w:divBdr>
                          <w:divsChild>
                            <w:div w:id="1610237471">
                              <w:marLeft w:val="0"/>
                              <w:marRight w:val="0"/>
                              <w:marTop w:val="0"/>
                              <w:marBottom w:val="0"/>
                              <w:divBdr>
                                <w:top w:val="none" w:sz="0" w:space="0" w:color="auto"/>
                                <w:left w:val="none" w:sz="0" w:space="0" w:color="auto"/>
                                <w:bottom w:val="none" w:sz="0" w:space="0" w:color="auto"/>
                                <w:right w:val="none" w:sz="0" w:space="0" w:color="auto"/>
                              </w:divBdr>
                              <w:divsChild>
                                <w:div w:id="1739593475">
                                  <w:marLeft w:val="0"/>
                                  <w:marRight w:val="0"/>
                                  <w:marTop w:val="0"/>
                                  <w:marBottom w:val="0"/>
                                  <w:divBdr>
                                    <w:top w:val="none" w:sz="0" w:space="0" w:color="auto"/>
                                    <w:left w:val="none" w:sz="0" w:space="0" w:color="auto"/>
                                    <w:bottom w:val="none" w:sz="0" w:space="0" w:color="auto"/>
                                    <w:right w:val="none" w:sz="0" w:space="0" w:color="auto"/>
                                  </w:divBdr>
                                  <w:divsChild>
                                    <w:div w:id="1812165062">
                                      <w:marLeft w:val="0"/>
                                      <w:marRight w:val="0"/>
                                      <w:marTop w:val="0"/>
                                      <w:marBottom w:val="120"/>
                                      <w:divBdr>
                                        <w:top w:val="none" w:sz="0" w:space="0" w:color="auto"/>
                                        <w:left w:val="none" w:sz="0" w:space="0" w:color="auto"/>
                                        <w:bottom w:val="none" w:sz="0" w:space="0" w:color="auto"/>
                                        <w:right w:val="none" w:sz="0" w:space="0" w:color="auto"/>
                                      </w:divBdr>
                                      <w:divsChild>
                                        <w:div w:id="541602906">
                                          <w:marLeft w:val="0"/>
                                          <w:marRight w:val="0"/>
                                          <w:marTop w:val="0"/>
                                          <w:marBottom w:val="0"/>
                                          <w:divBdr>
                                            <w:top w:val="none" w:sz="0" w:space="0" w:color="auto"/>
                                            <w:left w:val="none" w:sz="0" w:space="0" w:color="auto"/>
                                            <w:bottom w:val="none" w:sz="0" w:space="0" w:color="auto"/>
                                            <w:right w:val="none" w:sz="0" w:space="0" w:color="auto"/>
                                          </w:divBdr>
                                          <w:divsChild>
                                            <w:div w:id="282155142">
                                              <w:marLeft w:val="180"/>
                                              <w:marRight w:val="180"/>
                                              <w:marTop w:val="0"/>
                                              <w:marBottom w:val="0"/>
                                              <w:divBdr>
                                                <w:top w:val="none" w:sz="0" w:space="0" w:color="auto"/>
                                                <w:left w:val="none" w:sz="0" w:space="0" w:color="auto"/>
                                                <w:bottom w:val="none" w:sz="0" w:space="0" w:color="auto"/>
                                                <w:right w:val="none" w:sz="0" w:space="0" w:color="auto"/>
                                              </w:divBdr>
                                              <w:divsChild>
                                                <w:div w:id="173231904">
                                                  <w:marLeft w:val="0"/>
                                                  <w:marRight w:val="0"/>
                                                  <w:marTop w:val="0"/>
                                                  <w:marBottom w:val="360"/>
                                                  <w:divBdr>
                                                    <w:top w:val="none" w:sz="0" w:space="0" w:color="auto"/>
                                                    <w:left w:val="none" w:sz="0" w:space="0" w:color="auto"/>
                                                    <w:bottom w:val="none" w:sz="0" w:space="0" w:color="auto"/>
                                                    <w:right w:val="none" w:sz="0" w:space="0" w:color="auto"/>
                                                  </w:divBdr>
                                                  <w:divsChild>
                                                    <w:div w:id="35929473">
                                                      <w:marLeft w:val="0"/>
                                                      <w:marRight w:val="0"/>
                                                      <w:marTop w:val="0"/>
                                                      <w:marBottom w:val="0"/>
                                                      <w:divBdr>
                                                        <w:top w:val="none" w:sz="0" w:space="0" w:color="auto"/>
                                                        <w:left w:val="none" w:sz="0" w:space="0" w:color="auto"/>
                                                        <w:bottom w:val="none" w:sz="0" w:space="0" w:color="auto"/>
                                                        <w:right w:val="none" w:sz="0" w:space="0" w:color="auto"/>
                                                      </w:divBdr>
                                                      <w:divsChild>
                                                        <w:div w:id="18523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640915">
      <w:bodyDiv w:val="1"/>
      <w:marLeft w:val="0"/>
      <w:marRight w:val="0"/>
      <w:marTop w:val="0"/>
      <w:marBottom w:val="0"/>
      <w:divBdr>
        <w:top w:val="none" w:sz="0" w:space="0" w:color="auto"/>
        <w:left w:val="none" w:sz="0" w:space="0" w:color="auto"/>
        <w:bottom w:val="none" w:sz="0" w:space="0" w:color="auto"/>
        <w:right w:val="none" w:sz="0" w:space="0" w:color="auto"/>
      </w:divBdr>
      <w:divsChild>
        <w:div w:id="27875755">
          <w:marLeft w:val="547"/>
          <w:marRight w:val="0"/>
          <w:marTop w:val="134"/>
          <w:marBottom w:val="0"/>
          <w:divBdr>
            <w:top w:val="none" w:sz="0" w:space="0" w:color="auto"/>
            <w:left w:val="none" w:sz="0" w:space="0" w:color="auto"/>
            <w:bottom w:val="none" w:sz="0" w:space="0" w:color="auto"/>
            <w:right w:val="none" w:sz="0" w:space="0" w:color="auto"/>
          </w:divBdr>
        </w:div>
      </w:divsChild>
    </w:div>
    <w:div w:id="800735572">
      <w:bodyDiv w:val="1"/>
      <w:marLeft w:val="0"/>
      <w:marRight w:val="0"/>
      <w:marTop w:val="0"/>
      <w:marBottom w:val="0"/>
      <w:divBdr>
        <w:top w:val="none" w:sz="0" w:space="0" w:color="auto"/>
        <w:left w:val="none" w:sz="0" w:space="0" w:color="auto"/>
        <w:bottom w:val="none" w:sz="0" w:space="0" w:color="auto"/>
        <w:right w:val="none" w:sz="0" w:space="0" w:color="auto"/>
      </w:divBdr>
    </w:div>
    <w:div w:id="883905562">
      <w:bodyDiv w:val="1"/>
      <w:marLeft w:val="0"/>
      <w:marRight w:val="0"/>
      <w:marTop w:val="0"/>
      <w:marBottom w:val="0"/>
      <w:divBdr>
        <w:top w:val="none" w:sz="0" w:space="0" w:color="auto"/>
        <w:left w:val="none" w:sz="0" w:space="0" w:color="auto"/>
        <w:bottom w:val="none" w:sz="0" w:space="0" w:color="auto"/>
        <w:right w:val="none" w:sz="0" w:space="0" w:color="auto"/>
      </w:divBdr>
    </w:div>
    <w:div w:id="896739765">
      <w:bodyDiv w:val="1"/>
      <w:marLeft w:val="0"/>
      <w:marRight w:val="0"/>
      <w:marTop w:val="0"/>
      <w:marBottom w:val="0"/>
      <w:divBdr>
        <w:top w:val="none" w:sz="0" w:space="0" w:color="auto"/>
        <w:left w:val="none" w:sz="0" w:space="0" w:color="auto"/>
        <w:bottom w:val="none" w:sz="0" w:space="0" w:color="auto"/>
        <w:right w:val="none" w:sz="0" w:space="0" w:color="auto"/>
      </w:divBdr>
      <w:divsChild>
        <w:div w:id="748618593">
          <w:marLeft w:val="547"/>
          <w:marRight w:val="0"/>
          <w:marTop w:val="125"/>
          <w:marBottom w:val="0"/>
          <w:divBdr>
            <w:top w:val="none" w:sz="0" w:space="0" w:color="auto"/>
            <w:left w:val="none" w:sz="0" w:space="0" w:color="auto"/>
            <w:bottom w:val="none" w:sz="0" w:space="0" w:color="auto"/>
            <w:right w:val="none" w:sz="0" w:space="0" w:color="auto"/>
          </w:divBdr>
        </w:div>
      </w:divsChild>
    </w:div>
    <w:div w:id="897668719">
      <w:bodyDiv w:val="1"/>
      <w:marLeft w:val="0"/>
      <w:marRight w:val="0"/>
      <w:marTop w:val="0"/>
      <w:marBottom w:val="0"/>
      <w:divBdr>
        <w:top w:val="none" w:sz="0" w:space="0" w:color="auto"/>
        <w:left w:val="none" w:sz="0" w:space="0" w:color="auto"/>
        <w:bottom w:val="none" w:sz="0" w:space="0" w:color="auto"/>
        <w:right w:val="none" w:sz="0" w:space="0" w:color="auto"/>
      </w:divBdr>
      <w:divsChild>
        <w:div w:id="622807527">
          <w:marLeft w:val="547"/>
          <w:marRight w:val="0"/>
          <w:marTop w:val="115"/>
          <w:marBottom w:val="0"/>
          <w:divBdr>
            <w:top w:val="none" w:sz="0" w:space="0" w:color="auto"/>
            <w:left w:val="none" w:sz="0" w:space="0" w:color="auto"/>
            <w:bottom w:val="none" w:sz="0" w:space="0" w:color="auto"/>
            <w:right w:val="none" w:sz="0" w:space="0" w:color="auto"/>
          </w:divBdr>
        </w:div>
      </w:divsChild>
    </w:div>
    <w:div w:id="950817454">
      <w:bodyDiv w:val="1"/>
      <w:marLeft w:val="0"/>
      <w:marRight w:val="0"/>
      <w:marTop w:val="0"/>
      <w:marBottom w:val="0"/>
      <w:divBdr>
        <w:top w:val="none" w:sz="0" w:space="0" w:color="auto"/>
        <w:left w:val="none" w:sz="0" w:space="0" w:color="auto"/>
        <w:bottom w:val="none" w:sz="0" w:space="0" w:color="auto"/>
        <w:right w:val="none" w:sz="0" w:space="0" w:color="auto"/>
      </w:divBdr>
      <w:divsChild>
        <w:div w:id="1561092951">
          <w:marLeft w:val="547"/>
          <w:marRight w:val="0"/>
          <w:marTop w:val="134"/>
          <w:marBottom w:val="0"/>
          <w:divBdr>
            <w:top w:val="none" w:sz="0" w:space="0" w:color="auto"/>
            <w:left w:val="none" w:sz="0" w:space="0" w:color="auto"/>
            <w:bottom w:val="none" w:sz="0" w:space="0" w:color="auto"/>
            <w:right w:val="none" w:sz="0" w:space="0" w:color="auto"/>
          </w:divBdr>
        </w:div>
      </w:divsChild>
    </w:div>
    <w:div w:id="1029991949">
      <w:bodyDiv w:val="1"/>
      <w:marLeft w:val="0"/>
      <w:marRight w:val="0"/>
      <w:marTop w:val="0"/>
      <w:marBottom w:val="0"/>
      <w:divBdr>
        <w:top w:val="none" w:sz="0" w:space="0" w:color="auto"/>
        <w:left w:val="none" w:sz="0" w:space="0" w:color="auto"/>
        <w:bottom w:val="none" w:sz="0" w:space="0" w:color="auto"/>
        <w:right w:val="none" w:sz="0" w:space="0" w:color="auto"/>
      </w:divBdr>
      <w:divsChild>
        <w:div w:id="1547789064">
          <w:marLeft w:val="547"/>
          <w:marRight w:val="0"/>
          <w:marTop w:val="115"/>
          <w:marBottom w:val="0"/>
          <w:divBdr>
            <w:top w:val="none" w:sz="0" w:space="0" w:color="auto"/>
            <w:left w:val="none" w:sz="0" w:space="0" w:color="auto"/>
            <w:bottom w:val="none" w:sz="0" w:space="0" w:color="auto"/>
            <w:right w:val="none" w:sz="0" w:space="0" w:color="auto"/>
          </w:divBdr>
        </w:div>
      </w:divsChild>
    </w:div>
    <w:div w:id="1473595639">
      <w:bodyDiv w:val="1"/>
      <w:marLeft w:val="0"/>
      <w:marRight w:val="0"/>
      <w:marTop w:val="0"/>
      <w:marBottom w:val="0"/>
      <w:divBdr>
        <w:top w:val="none" w:sz="0" w:space="0" w:color="auto"/>
        <w:left w:val="none" w:sz="0" w:space="0" w:color="auto"/>
        <w:bottom w:val="none" w:sz="0" w:space="0" w:color="auto"/>
        <w:right w:val="none" w:sz="0" w:space="0" w:color="auto"/>
      </w:divBdr>
      <w:divsChild>
        <w:div w:id="471800502">
          <w:marLeft w:val="0"/>
          <w:marRight w:val="0"/>
          <w:marTop w:val="0"/>
          <w:marBottom w:val="120"/>
          <w:divBdr>
            <w:top w:val="none" w:sz="0" w:space="0" w:color="auto"/>
            <w:left w:val="none" w:sz="0" w:space="0" w:color="auto"/>
            <w:bottom w:val="none" w:sz="0" w:space="0" w:color="auto"/>
            <w:right w:val="none" w:sz="0" w:space="0" w:color="auto"/>
          </w:divBdr>
          <w:divsChild>
            <w:div w:id="1698002236">
              <w:marLeft w:val="0"/>
              <w:marRight w:val="0"/>
              <w:marTop w:val="0"/>
              <w:marBottom w:val="0"/>
              <w:divBdr>
                <w:top w:val="none" w:sz="0" w:space="0" w:color="auto"/>
                <w:left w:val="none" w:sz="0" w:space="0" w:color="auto"/>
                <w:bottom w:val="none" w:sz="0" w:space="0" w:color="auto"/>
                <w:right w:val="none" w:sz="0" w:space="0" w:color="auto"/>
              </w:divBdr>
              <w:divsChild>
                <w:div w:id="1939632352">
                  <w:marLeft w:val="0"/>
                  <w:marRight w:val="0"/>
                  <w:marTop w:val="0"/>
                  <w:marBottom w:val="0"/>
                  <w:divBdr>
                    <w:top w:val="none" w:sz="0" w:space="0" w:color="auto"/>
                    <w:left w:val="none" w:sz="0" w:space="0" w:color="auto"/>
                    <w:bottom w:val="none" w:sz="0" w:space="0" w:color="auto"/>
                    <w:right w:val="none" w:sz="0" w:space="0" w:color="auto"/>
                  </w:divBdr>
                  <w:divsChild>
                    <w:div w:id="1518427649">
                      <w:marLeft w:val="0"/>
                      <w:marRight w:val="0"/>
                      <w:marTop w:val="0"/>
                      <w:marBottom w:val="0"/>
                      <w:divBdr>
                        <w:top w:val="none" w:sz="0" w:space="0" w:color="auto"/>
                        <w:left w:val="none" w:sz="0" w:space="0" w:color="auto"/>
                        <w:bottom w:val="none" w:sz="0" w:space="0" w:color="auto"/>
                        <w:right w:val="none" w:sz="0" w:space="0" w:color="auto"/>
                      </w:divBdr>
                      <w:divsChild>
                        <w:div w:id="2113546715">
                          <w:marLeft w:val="0"/>
                          <w:marRight w:val="0"/>
                          <w:marTop w:val="0"/>
                          <w:marBottom w:val="0"/>
                          <w:divBdr>
                            <w:top w:val="none" w:sz="0" w:space="0" w:color="auto"/>
                            <w:left w:val="none" w:sz="0" w:space="0" w:color="auto"/>
                            <w:bottom w:val="none" w:sz="0" w:space="0" w:color="auto"/>
                            <w:right w:val="none" w:sz="0" w:space="0" w:color="auto"/>
                          </w:divBdr>
                          <w:divsChild>
                            <w:div w:id="1906913917">
                              <w:marLeft w:val="0"/>
                              <w:marRight w:val="0"/>
                              <w:marTop w:val="0"/>
                              <w:marBottom w:val="0"/>
                              <w:divBdr>
                                <w:top w:val="none" w:sz="0" w:space="0" w:color="auto"/>
                                <w:left w:val="none" w:sz="0" w:space="0" w:color="auto"/>
                                <w:bottom w:val="none" w:sz="0" w:space="0" w:color="auto"/>
                                <w:right w:val="none" w:sz="0" w:space="0" w:color="auto"/>
                              </w:divBdr>
                              <w:divsChild>
                                <w:div w:id="1495948868">
                                  <w:marLeft w:val="0"/>
                                  <w:marRight w:val="0"/>
                                  <w:marTop w:val="0"/>
                                  <w:marBottom w:val="0"/>
                                  <w:divBdr>
                                    <w:top w:val="none" w:sz="0" w:space="0" w:color="auto"/>
                                    <w:left w:val="none" w:sz="0" w:space="0" w:color="auto"/>
                                    <w:bottom w:val="none" w:sz="0" w:space="0" w:color="auto"/>
                                    <w:right w:val="none" w:sz="0" w:space="0" w:color="auto"/>
                                  </w:divBdr>
                                  <w:divsChild>
                                    <w:div w:id="569848164">
                                      <w:marLeft w:val="0"/>
                                      <w:marRight w:val="0"/>
                                      <w:marTop w:val="0"/>
                                      <w:marBottom w:val="120"/>
                                      <w:divBdr>
                                        <w:top w:val="none" w:sz="0" w:space="0" w:color="auto"/>
                                        <w:left w:val="none" w:sz="0" w:space="0" w:color="auto"/>
                                        <w:bottom w:val="none" w:sz="0" w:space="0" w:color="auto"/>
                                        <w:right w:val="none" w:sz="0" w:space="0" w:color="auto"/>
                                      </w:divBdr>
                                      <w:divsChild>
                                        <w:div w:id="1621568185">
                                          <w:marLeft w:val="0"/>
                                          <w:marRight w:val="0"/>
                                          <w:marTop w:val="0"/>
                                          <w:marBottom w:val="0"/>
                                          <w:divBdr>
                                            <w:top w:val="none" w:sz="0" w:space="0" w:color="auto"/>
                                            <w:left w:val="none" w:sz="0" w:space="0" w:color="auto"/>
                                            <w:bottom w:val="none" w:sz="0" w:space="0" w:color="auto"/>
                                            <w:right w:val="none" w:sz="0" w:space="0" w:color="auto"/>
                                          </w:divBdr>
                                          <w:divsChild>
                                            <w:div w:id="1017922297">
                                              <w:marLeft w:val="180"/>
                                              <w:marRight w:val="180"/>
                                              <w:marTop w:val="0"/>
                                              <w:marBottom w:val="0"/>
                                              <w:divBdr>
                                                <w:top w:val="none" w:sz="0" w:space="0" w:color="auto"/>
                                                <w:left w:val="none" w:sz="0" w:space="0" w:color="auto"/>
                                                <w:bottom w:val="none" w:sz="0" w:space="0" w:color="auto"/>
                                                <w:right w:val="none" w:sz="0" w:space="0" w:color="auto"/>
                                              </w:divBdr>
                                              <w:divsChild>
                                                <w:div w:id="1677685646">
                                                  <w:marLeft w:val="0"/>
                                                  <w:marRight w:val="0"/>
                                                  <w:marTop w:val="0"/>
                                                  <w:marBottom w:val="360"/>
                                                  <w:divBdr>
                                                    <w:top w:val="none" w:sz="0" w:space="0" w:color="auto"/>
                                                    <w:left w:val="none" w:sz="0" w:space="0" w:color="auto"/>
                                                    <w:bottom w:val="none" w:sz="0" w:space="0" w:color="auto"/>
                                                    <w:right w:val="none" w:sz="0" w:space="0" w:color="auto"/>
                                                  </w:divBdr>
                                                  <w:divsChild>
                                                    <w:div w:id="1468275486">
                                                      <w:marLeft w:val="0"/>
                                                      <w:marRight w:val="0"/>
                                                      <w:marTop w:val="0"/>
                                                      <w:marBottom w:val="0"/>
                                                      <w:divBdr>
                                                        <w:top w:val="none" w:sz="0" w:space="0" w:color="auto"/>
                                                        <w:left w:val="none" w:sz="0" w:space="0" w:color="auto"/>
                                                        <w:bottom w:val="none" w:sz="0" w:space="0" w:color="auto"/>
                                                        <w:right w:val="none" w:sz="0" w:space="0" w:color="auto"/>
                                                      </w:divBdr>
                                                      <w:divsChild>
                                                        <w:div w:id="6595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719314">
      <w:bodyDiv w:val="1"/>
      <w:marLeft w:val="0"/>
      <w:marRight w:val="0"/>
      <w:marTop w:val="0"/>
      <w:marBottom w:val="0"/>
      <w:divBdr>
        <w:top w:val="none" w:sz="0" w:space="0" w:color="auto"/>
        <w:left w:val="none" w:sz="0" w:space="0" w:color="auto"/>
        <w:bottom w:val="none" w:sz="0" w:space="0" w:color="auto"/>
        <w:right w:val="none" w:sz="0" w:space="0" w:color="auto"/>
      </w:divBdr>
      <w:divsChild>
        <w:div w:id="2022272730">
          <w:marLeft w:val="547"/>
          <w:marRight w:val="0"/>
          <w:marTop w:val="125"/>
          <w:marBottom w:val="0"/>
          <w:divBdr>
            <w:top w:val="none" w:sz="0" w:space="0" w:color="auto"/>
            <w:left w:val="none" w:sz="0" w:space="0" w:color="auto"/>
            <w:bottom w:val="none" w:sz="0" w:space="0" w:color="auto"/>
            <w:right w:val="none" w:sz="0" w:space="0" w:color="auto"/>
          </w:divBdr>
        </w:div>
      </w:divsChild>
    </w:div>
    <w:div w:id="19084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image" Target="media/image38.wmf"/><Relationship Id="rId112" Type="http://schemas.openxmlformats.org/officeDocument/2006/relationships/oleObject" Target="embeddings/oleObject55.bin"/><Relationship Id="rId133" Type="http://schemas.openxmlformats.org/officeDocument/2006/relationships/hyperlink" Target="http://www.imf.org/external/pubs/ft/dp/2009/afr0903.pdf" TargetMode="External"/><Relationship Id="rId138" Type="http://schemas.openxmlformats.org/officeDocument/2006/relationships/oleObject" Target="embeddings/oleObject68.bin"/><Relationship Id="rId154" Type="http://schemas.openxmlformats.org/officeDocument/2006/relationships/image" Target="media/image66.emf"/><Relationship Id="rId16" Type="http://schemas.openxmlformats.org/officeDocument/2006/relationships/oleObject" Target="embeddings/oleObject4.bin"/><Relationship Id="rId107" Type="http://schemas.openxmlformats.org/officeDocument/2006/relationships/image" Target="media/image47.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image" Target="media/image31.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5.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oleObject" Target="embeddings/oleObject75.bin"/><Relationship Id="rId5" Type="http://schemas.openxmlformats.org/officeDocument/2006/relationships/settings" Target="settings.xml"/><Relationship Id="rId90" Type="http://schemas.openxmlformats.org/officeDocument/2006/relationships/oleObject" Target="embeddings/oleObject44.bin"/><Relationship Id="rId95" Type="http://schemas.openxmlformats.org/officeDocument/2006/relationships/image" Target="media/image41.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image" Target="media/image26.wmf"/><Relationship Id="rId69" Type="http://schemas.openxmlformats.org/officeDocument/2006/relationships/oleObject" Target="embeddings/oleObject33.bin"/><Relationship Id="rId113" Type="http://schemas.openxmlformats.org/officeDocument/2006/relationships/image" Target="media/image50.wmf"/><Relationship Id="rId118" Type="http://schemas.openxmlformats.org/officeDocument/2006/relationships/oleObject" Target="embeddings/oleObject58.bin"/><Relationship Id="rId134" Type="http://schemas.openxmlformats.org/officeDocument/2006/relationships/hyperlink" Target="http://www.centralbank.go.ke/Publications/default.aspx" TargetMode="External"/><Relationship Id="rId139" Type="http://schemas.openxmlformats.org/officeDocument/2006/relationships/image" Target="media/image60.wmf"/><Relationship Id="rId80" Type="http://schemas.openxmlformats.org/officeDocument/2006/relationships/image" Target="media/image34.wmf"/><Relationship Id="rId85" Type="http://schemas.openxmlformats.org/officeDocument/2006/relationships/oleObject" Target="embeddings/oleObject41.bin"/><Relationship Id="rId150" Type="http://schemas.openxmlformats.org/officeDocument/2006/relationships/oleObject" Target="embeddings/oleObject76.bin"/><Relationship Id="rId155"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image" Target="media/image45.wmf"/><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oleObject" Target="embeddings/oleObject61.bin"/><Relationship Id="rId129" Type="http://schemas.openxmlformats.org/officeDocument/2006/relationships/image" Target="media/image58.wmf"/><Relationship Id="rId137" Type="http://schemas.openxmlformats.org/officeDocument/2006/relationships/image" Target="media/image59.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39.wmf"/><Relationship Id="rId96" Type="http://schemas.openxmlformats.org/officeDocument/2006/relationships/oleObject" Target="embeddings/oleObject47.bin"/><Relationship Id="rId111" Type="http://schemas.openxmlformats.org/officeDocument/2006/relationships/image" Target="media/image49.wmf"/><Relationship Id="rId132" Type="http://schemas.openxmlformats.org/officeDocument/2006/relationships/hyperlink" Target="http://mpra.ub.uni-muenchen.de/49131/" TargetMode="External"/><Relationship Id="rId140" Type="http://schemas.openxmlformats.org/officeDocument/2006/relationships/oleObject" Target="embeddings/oleObject69.bin"/><Relationship Id="rId145" Type="http://schemas.openxmlformats.org/officeDocument/2006/relationships/oleObject" Target="embeddings/oleObject72.bin"/><Relationship Id="rId153" Type="http://schemas.openxmlformats.org/officeDocument/2006/relationships/image" Target="media/image65.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4.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oleObject" Target="embeddings/oleObject66.bin"/><Relationship Id="rId143" Type="http://schemas.openxmlformats.org/officeDocument/2006/relationships/image" Target="media/image62.wmf"/><Relationship Id="rId148" Type="http://schemas.openxmlformats.org/officeDocument/2006/relationships/oleObject" Target="embeddings/oleObject74.bin"/><Relationship Id="rId151" Type="http://schemas.openxmlformats.org/officeDocument/2006/relationships/image" Target="media/image64.wmf"/><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6.wmf"/><Relationship Id="rId141" Type="http://schemas.openxmlformats.org/officeDocument/2006/relationships/image" Target="media/image61.wmf"/><Relationship Id="rId146" Type="http://schemas.openxmlformats.org/officeDocument/2006/relationships/image" Target="media/image63.wmf"/><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oleObject" Target="embeddings/oleObject54.bin"/><Relationship Id="rId115" Type="http://schemas.openxmlformats.org/officeDocument/2006/relationships/image" Target="media/image51.wmf"/><Relationship Id="rId131" Type="http://schemas.openxmlformats.org/officeDocument/2006/relationships/oleObject" Target="embeddings/oleObject65.bin"/><Relationship Id="rId136" Type="http://schemas.openxmlformats.org/officeDocument/2006/relationships/oleObject" Target="embeddings/oleObject67.bin"/><Relationship Id="rId61" Type="http://schemas.openxmlformats.org/officeDocument/2006/relationships/oleObject" Target="embeddings/oleObject29.bin"/><Relationship Id="rId82" Type="http://schemas.openxmlformats.org/officeDocument/2006/relationships/image" Target="media/image35.wmf"/><Relationship Id="rId152" Type="http://schemas.openxmlformats.org/officeDocument/2006/relationships/oleObject" Target="embeddings/oleObject77.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6.wmf"/><Relationship Id="rId126" Type="http://schemas.openxmlformats.org/officeDocument/2006/relationships/oleObject" Target="embeddings/oleObject62.bin"/><Relationship Id="rId147" Type="http://schemas.openxmlformats.org/officeDocument/2006/relationships/oleObject" Target="embeddings/oleObject73.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48.bin"/><Relationship Id="rId121" Type="http://schemas.openxmlformats.org/officeDocument/2006/relationships/image" Target="media/image54.wmf"/><Relationship Id="rId142" Type="http://schemas.openxmlformats.org/officeDocument/2006/relationships/oleObject" Target="embeddings/oleObject70.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C66D-8E1D-4114-916A-A2CAFD37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7822</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2012-03-17T12:06:00Z</cp:lastPrinted>
  <dcterms:created xsi:type="dcterms:W3CDTF">2015-05-18T15:25:00Z</dcterms:created>
  <dcterms:modified xsi:type="dcterms:W3CDTF">2015-05-18T16:54:00Z</dcterms:modified>
</cp:coreProperties>
</file>