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7E" w:rsidRDefault="00360829" w:rsidP="009D4A13">
      <w:pPr>
        <w:spacing w:after="0" w:line="240" w:lineRule="auto"/>
        <w:jc w:val="center"/>
        <w:rPr>
          <w:rFonts w:ascii="Times New Roman" w:hAnsi="Times New Roman" w:cs="Times New Roman"/>
          <w:b/>
          <w:sz w:val="32"/>
          <w:szCs w:val="32"/>
        </w:rPr>
      </w:pPr>
      <w:r w:rsidRPr="009D4A13">
        <w:rPr>
          <w:rFonts w:ascii="Times New Roman" w:hAnsi="Times New Roman" w:cs="Times New Roman"/>
          <w:b/>
          <w:sz w:val="32"/>
          <w:szCs w:val="32"/>
        </w:rPr>
        <w:t>An Evidence for Ineffectiveness of Central Bank Foreign E</w:t>
      </w:r>
      <w:r w:rsidR="00542A0F" w:rsidRPr="009D4A13">
        <w:rPr>
          <w:rFonts w:ascii="Times New Roman" w:hAnsi="Times New Roman" w:cs="Times New Roman"/>
          <w:b/>
          <w:sz w:val="32"/>
          <w:szCs w:val="32"/>
        </w:rPr>
        <w:t xml:space="preserve">xchange </w:t>
      </w:r>
      <w:r w:rsidRPr="009D4A13">
        <w:rPr>
          <w:rFonts w:ascii="Times New Roman" w:hAnsi="Times New Roman" w:cs="Times New Roman"/>
          <w:b/>
          <w:sz w:val="32"/>
          <w:szCs w:val="32"/>
        </w:rPr>
        <w:t>I</w:t>
      </w:r>
      <w:r w:rsidR="00542A0F" w:rsidRPr="009D4A13">
        <w:rPr>
          <w:rFonts w:ascii="Times New Roman" w:hAnsi="Times New Roman" w:cs="Times New Roman"/>
          <w:b/>
          <w:sz w:val="32"/>
          <w:szCs w:val="32"/>
        </w:rPr>
        <w:t xml:space="preserve">nterventions </w:t>
      </w:r>
      <w:r w:rsidRPr="009D4A13">
        <w:rPr>
          <w:rFonts w:ascii="Times New Roman" w:hAnsi="Times New Roman" w:cs="Times New Roman"/>
          <w:b/>
          <w:sz w:val="32"/>
          <w:szCs w:val="32"/>
        </w:rPr>
        <w:t>from Turkey</w:t>
      </w:r>
    </w:p>
    <w:p w:rsidR="009D4A13" w:rsidRPr="009D4A13" w:rsidRDefault="009D4A13" w:rsidP="009D4A13">
      <w:pPr>
        <w:spacing w:after="0" w:line="240" w:lineRule="auto"/>
        <w:jc w:val="center"/>
        <w:rPr>
          <w:rFonts w:ascii="Times New Roman" w:hAnsi="Times New Roman" w:cs="Times New Roman"/>
          <w:b/>
          <w:sz w:val="32"/>
          <w:szCs w:val="32"/>
        </w:rPr>
      </w:pPr>
    </w:p>
    <w:p w:rsidR="009C48C0" w:rsidRDefault="00BC0CB2" w:rsidP="009D4A13">
      <w:pPr>
        <w:spacing w:after="0" w:line="240" w:lineRule="auto"/>
        <w:jc w:val="center"/>
        <w:rPr>
          <w:rFonts w:ascii="Times New Roman" w:hAnsi="Times New Roman" w:cs="Times New Roman"/>
          <w:b/>
          <w:sz w:val="28"/>
          <w:szCs w:val="28"/>
        </w:rPr>
      </w:pPr>
      <w:r w:rsidRPr="009D4A13">
        <w:rPr>
          <w:rFonts w:ascii="Times New Roman" w:hAnsi="Times New Roman" w:cs="Times New Roman"/>
          <w:b/>
          <w:sz w:val="28"/>
          <w:szCs w:val="28"/>
        </w:rPr>
        <w:t>Abstract</w:t>
      </w:r>
    </w:p>
    <w:p w:rsidR="009D4A13" w:rsidRPr="009D4A13" w:rsidRDefault="009D4A13" w:rsidP="009D4A13">
      <w:pPr>
        <w:spacing w:after="0" w:line="240" w:lineRule="auto"/>
        <w:jc w:val="center"/>
        <w:rPr>
          <w:rFonts w:ascii="Times New Roman" w:hAnsi="Times New Roman" w:cs="Times New Roman"/>
          <w:b/>
          <w:sz w:val="28"/>
          <w:szCs w:val="28"/>
        </w:rPr>
      </w:pPr>
    </w:p>
    <w:p w:rsidR="00B44336" w:rsidRDefault="00660752" w:rsidP="009D4A13">
      <w:pPr>
        <w:pStyle w:val="NormalWeb"/>
        <w:spacing w:before="0" w:beforeAutospacing="0" w:after="0" w:afterAutospacing="0"/>
        <w:jc w:val="both"/>
      </w:pPr>
      <w:r>
        <w:t>This study</w:t>
      </w:r>
      <w:r w:rsidR="009C48C0" w:rsidRPr="009D4A13">
        <w:t xml:space="preserve"> examines </w:t>
      </w:r>
      <w:r w:rsidR="00512EAE" w:rsidRPr="009D4A13">
        <w:t>the effect</w:t>
      </w:r>
      <w:r w:rsidR="00B70A60">
        <w:t>s</w:t>
      </w:r>
      <w:r w:rsidR="00512EAE" w:rsidRPr="009D4A13">
        <w:t xml:space="preserve"> of the Central Bank of the Republic of Turkey’s foreign exchange</w:t>
      </w:r>
      <w:r w:rsidR="009C48C0" w:rsidRPr="009D4A13">
        <w:t xml:space="preserve"> interventions</w:t>
      </w:r>
      <w:r w:rsidR="00BC0CB2" w:rsidRPr="009D4A13">
        <w:t xml:space="preserve"> via</w:t>
      </w:r>
      <w:r w:rsidR="00B44336" w:rsidRPr="009D4A13">
        <w:t xml:space="preserve"> auction</w:t>
      </w:r>
      <w:r w:rsidR="00C97D26" w:rsidRPr="009D4A13">
        <w:t>s</w:t>
      </w:r>
      <w:r w:rsidR="009C48C0" w:rsidRPr="009D4A13">
        <w:t xml:space="preserve"> on the level and volatility of the </w:t>
      </w:r>
      <w:r w:rsidR="00512EAE" w:rsidRPr="009D4A13">
        <w:t>Turkish lira/US dollar</w:t>
      </w:r>
      <w:r w:rsidR="009C48C0" w:rsidRPr="009D4A13">
        <w:t xml:space="preserve"> exchange rate between </w:t>
      </w:r>
      <w:r w:rsidR="00512EAE" w:rsidRPr="009D4A13">
        <w:t xml:space="preserve">February 02, 2009 and January 31, 2014 with daily </w:t>
      </w:r>
      <w:proofErr w:type="gramStart"/>
      <w:r w:rsidR="00512EAE" w:rsidRPr="009D4A13">
        <w:t>data</w:t>
      </w:r>
      <w:proofErr w:type="gramEnd"/>
      <w:r w:rsidR="00512EAE" w:rsidRPr="009D4A13">
        <w:t xml:space="preserve">. </w:t>
      </w:r>
      <w:r w:rsidR="009C48C0" w:rsidRPr="009D4A13">
        <w:t>In order to study the impac</w:t>
      </w:r>
      <w:r w:rsidR="00512EAE" w:rsidRPr="009D4A13">
        <w:t>t of interventions on the Turkish lira, this study</w:t>
      </w:r>
      <w:r w:rsidR="009C48C0" w:rsidRPr="009D4A13">
        <w:t xml:space="preserve"> employs the Exponential GARCH</w:t>
      </w:r>
      <w:r w:rsidR="00512EAE" w:rsidRPr="009D4A13">
        <w:t xml:space="preserve"> (1,1) framework.</w:t>
      </w:r>
      <w:r w:rsidR="00E86763" w:rsidRPr="009D4A13">
        <w:t xml:space="preserve"> The results</w:t>
      </w:r>
      <w:r w:rsidR="009C48C0" w:rsidRPr="009D4A13">
        <w:t xml:space="preserve"> suggest that </w:t>
      </w:r>
      <w:r w:rsidR="00B44336" w:rsidRPr="009D4A13">
        <w:t>interventions have no significant impact on</w:t>
      </w:r>
      <w:r w:rsidR="00E86763" w:rsidRPr="009D4A13">
        <w:t xml:space="preserve"> the le</w:t>
      </w:r>
      <w:r w:rsidR="00E254EC" w:rsidRPr="009D4A13">
        <w:t>vel of the exchange rate, ever so leading</w:t>
      </w:r>
      <w:r w:rsidR="00E86763" w:rsidRPr="009D4A13">
        <w:t xml:space="preserve"> the Turkish lira to appreciate.</w:t>
      </w:r>
      <w:r w:rsidR="008D7961" w:rsidRPr="009D4A13">
        <w:t xml:space="preserve"> Regarding vola</w:t>
      </w:r>
      <w:r w:rsidR="00B70A60">
        <w:t>tility, the presence of the Central Bank</w:t>
      </w:r>
      <w:r w:rsidR="008D7961" w:rsidRPr="009D4A13">
        <w:t xml:space="preserve"> in the market alone is not </w:t>
      </w:r>
      <w:r w:rsidR="00C86626" w:rsidRPr="009D4A13">
        <w:t xml:space="preserve">statistically </w:t>
      </w:r>
      <w:r w:rsidR="008D7961" w:rsidRPr="009D4A13">
        <w:t>significant</w:t>
      </w:r>
      <w:r w:rsidR="00BC0CB2" w:rsidRPr="009D4A13">
        <w:t>, however,</w:t>
      </w:r>
      <w:r w:rsidR="008D7961" w:rsidRPr="009D4A13">
        <w:t xml:space="preserve"> intervention volume</w:t>
      </w:r>
      <w:r w:rsidR="00E254EC" w:rsidRPr="009D4A13">
        <w:t xml:space="preserve"> has a</w:t>
      </w:r>
      <w:r w:rsidR="00E86763" w:rsidRPr="009D4A13">
        <w:t xml:space="preserve"> </w:t>
      </w:r>
      <w:r w:rsidR="00E254EC" w:rsidRPr="009D4A13">
        <w:t xml:space="preserve">weak </w:t>
      </w:r>
      <w:r w:rsidR="008D7961" w:rsidRPr="009D4A13">
        <w:t>significant impact on the exchange rate volatility in negative direction</w:t>
      </w:r>
      <w:r w:rsidR="00F75059" w:rsidRPr="009D4A13">
        <w:t>,</w:t>
      </w:r>
      <w:r w:rsidR="008D7961" w:rsidRPr="009D4A13">
        <w:t xml:space="preserve"> although still </w:t>
      </w:r>
      <w:r w:rsidR="00E254EC" w:rsidRPr="009D4A13">
        <w:t xml:space="preserve">the </w:t>
      </w:r>
      <w:r w:rsidR="00BC0CB2" w:rsidRPr="009D4A13">
        <w:t xml:space="preserve">magnitude of </w:t>
      </w:r>
      <w:r w:rsidR="00E254EC" w:rsidRPr="009D4A13">
        <w:t xml:space="preserve">impact is </w:t>
      </w:r>
      <w:r w:rsidR="008D7961" w:rsidRPr="009D4A13">
        <w:t>indifferent from zero.</w:t>
      </w:r>
      <w:r w:rsidR="00E254EC" w:rsidRPr="009D4A13">
        <w:t xml:space="preserve"> </w:t>
      </w:r>
      <w:r w:rsidR="00F75059" w:rsidRPr="009D4A13">
        <w:t>Also, the leverage effect is found insignificant, may be referring to non</w:t>
      </w:r>
      <w:r w:rsidR="00B43C32">
        <w:t>–</w:t>
      </w:r>
      <w:r w:rsidR="00F75059" w:rsidRPr="009D4A13">
        <w:t>active central bank</w:t>
      </w:r>
      <w:r w:rsidR="00BC0CB2" w:rsidRPr="009D4A13">
        <w:t xml:space="preserve"> </w:t>
      </w:r>
      <w:r>
        <w:t>intervention</w:t>
      </w:r>
      <w:r w:rsidR="00F75059" w:rsidRPr="009D4A13">
        <w:t xml:space="preserve"> in the market during the period. </w:t>
      </w:r>
    </w:p>
    <w:p w:rsidR="009D4A13" w:rsidRPr="009D4A13" w:rsidRDefault="009D4A13" w:rsidP="009D4A13">
      <w:pPr>
        <w:pStyle w:val="NormalWeb"/>
        <w:spacing w:before="0" w:beforeAutospacing="0" w:after="0" w:afterAutospacing="0"/>
        <w:jc w:val="both"/>
      </w:pPr>
    </w:p>
    <w:p w:rsidR="009D4A13" w:rsidRDefault="009D4A13" w:rsidP="009D4A13">
      <w:pPr>
        <w:pStyle w:val="NormalWeb"/>
        <w:spacing w:before="0" w:beforeAutospacing="0" w:after="0" w:afterAutospacing="0"/>
        <w:jc w:val="both"/>
      </w:pPr>
      <w:r w:rsidRPr="009D4A13">
        <w:rPr>
          <w:b/>
        </w:rPr>
        <w:t>Keywords:</w:t>
      </w:r>
      <w:r w:rsidRPr="009D4A13">
        <w:t xml:space="preserve"> C</w:t>
      </w:r>
      <w:r>
        <w:t>entral bank intervention, F</w:t>
      </w:r>
      <w:r w:rsidRPr="009D4A13">
        <w:t>oreign exchange rate markets,</w:t>
      </w:r>
      <w:r>
        <w:t xml:space="preserve"> E</w:t>
      </w:r>
      <w:r w:rsidR="00660752">
        <w:t xml:space="preserve">xponential GARCH </w:t>
      </w:r>
      <w:r w:rsidRPr="009D4A13">
        <w:t xml:space="preserve">model, </w:t>
      </w:r>
      <w:r>
        <w:t>H</w:t>
      </w:r>
      <w:r w:rsidRPr="009D4A13">
        <w:t>eteroskedasticity</w:t>
      </w:r>
      <w:r>
        <w:t>.</w:t>
      </w:r>
    </w:p>
    <w:p w:rsidR="00F54AD1" w:rsidRPr="009D4A13" w:rsidRDefault="00F54AD1" w:rsidP="009D4A13">
      <w:pPr>
        <w:autoSpaceDE w:val="0"/>
        <w:autoSpaceDN w:val="0"/>
        <w:adjustRightInd w:val="0"/>
        <w:spacing w:after="0" w:line="240" w:lineRule="auto"/>
        <w:jc w:val="both"/>
        <w:rPr>
          <w:rFonts w:ascii="Times New Roman" w:hAnsi="Times New Roman" w:cs="Times New Roman"/>
          <w:sz w:val="24"/>
          <w:szCs w:val="24"/>
        </w:rPr>
      </w:pPr>
      <w:r w:rsidRPr="009D4A13">
        <w:rPr>
          <w:rFonts w:ascii="Times New Roman" w:hAnsi="Times New Roman" w:cs="Times New Roman"/>
          <w:b/>
          <w:sz w:val="24"/>
          <w:szCs w:val="24"/>
        </w:rPr>
        <w:t>JEL Classification Numbers:</w:t>
      </w:r>
      <w:r w:rsidRPr="009D4A13">
        <w:rPr>
          <w:rFonts w:ascii="Times New Roman" w:hAnsi="Times New Roman" w:cs="Times New Roman"/>
          <w:sz w:val="24"/>
          <w:szCs w:val="24"/>
        </w:rPr>
        <w:t xml:space="preserve"> </w:t>
      </w:r>
      <w:r w:rsidR="003A0F12" w:rsidRPr="009D4A13">
        <w:rPr>
          <w:rFonts w:ascii="Times New Roman" w:hAnsi="Times New Roman" w:cs="Times New Roman"/>
          <w:sz w:val="24"/>
          <w:szCs w:val="24"/>
        </w:rPr>
        <w:t xml:space="preserve">E58, </w:t>
      </w:r>
      <w:r w:rsidRPr="009D4A13">
        <w:rPr>
          <w:rFonts w:ascii="Times New Roman" w:hAnsi="Times New Roman" w:cs="Times New Roman"/>
          <w:sz w:val="24"/>
          <w:szCs w:val="24"/>
        </w:rPr>
        <w:t xml:space="preserve">F31, </w:t>
      </w:r>
      <w:r w:rsidR="003A0F12" w:rsidRPr="009D4A13">
        <w:rPr>
          <w:rFonts w:ascii="Times New Roman" w:hAnsi="Times New Roman" w:cs="Times New Roman"/>
          <w:sz w:val="24"/>
          <w:szCs w:val="24"/>
        </w:rPr>
        <w:t>G150</w:t>
      </w:r>
      <w:r w:rsidR="00256B0B" w:rsidRPr="009D4A13">
        <w:rPr>
          <w:rFonts w:ascii="Times New Roman" w:hAnsi="Times New Roman" w:cs="Times New Roman"/>
          <w:sz w:val="24"/>
          <w:szCs w:val="24"/>
        </w:rPr>
        <w:t>, C310</w:t>
      </w:r>
      <w:r w:rsidR="009D4A13">
        <w:rPr>
          <w:rFonts w:ascii="Times New Roman" w:hAnsi="Times New Roman" w:cs="Times New Roman"/>
          <w:sz w:val="24"/>
          <w:szCs w:val="24"/>
        </w:rPr>
        <w:t>.</w:t>
      </w:r>
    </w:p>
    <w:p w:rsidR="009D4A13" w:rsidRPr="009D4A13" w:rsidRDefault="009D4A13" w:rsidP="009D4A13">
      <w:pPr>
        <w:pStyle w:val="NormalWeb"/>
        <w:spacing w:before="0" w:beforeAutospacing="0" w:after="0" w:afterAutospacing="0"/>
        <w:jc w:val="both"/>
      </w:pPr>
    </w:p>
    <w:p w:rsidR="009C48C0" w:rsidRPr="009D4A13" w:rsidRDefault="009D4A13" w:rsidP="009D4A13">
      <w:pPr>
        <w:spacing w:after="0" w:line="240" w:lineRule="auto"/>
        <w:jc w:val="both"/>
        <w:rPr>
          <w:rFonts w:ascii="Times New Roman" w:hAnsi="Times New Roman" w:cs="Times New Roman"/>
          <w:b/>
          <w:sz w:val="28"/>
          <w:szCs w:val="28"/>
        </w:rPr>
      </w:pPr>
      <w:proofErr w:type="gramStart"/>
      <w:r w:rsidRPr="009D4A13">
        <w:rPr>
          <w:rFonts w:ascii="Times New Roman" w:hAnsi="Times New Roman" w:cs="Times New Roman"/>
          <w:b/>
          <w:sz w:val="28"/>
          <w:szCs w:val="28"/>
        </w:rPr>
        <w:t xml:space="preserve">1     </w:t>
      </w:r>
      <w:r w:rsidR="002C670F" w:rsidRPr="009D4A13">
        <w:rPr>
          <w:rFonts w:ascii="Times New Roman" w:hAnsi="Times New Roman" w:cs="Times New Roman"/>
          <w:b/>
          <w:sz w:val="28"/>
          <w:szCs w:val="28"/>
        </w:rPr>
        <w:t>Introduction</w:t>
      </w:r>
      <w:proofErr w:type="gramEnd"/>
    </w:p>
    <w:p w:rsidR="00BC5D91" w:rsidRPr="009D4A13" w:rsidRDefault="00BE3EF3" w:rsidP="009D4A13">
      <w:pPr>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 xml:space="preserve">After the collapse of Bretton Woods system, central banks intervened </w:t>
      </w:r>
      <w:r w:rsidR="00B02609" w:rsidRPr="009D4A13">
        <w:rPr>
          <w:rFonts w:ascii="Times New Roman" w:hAnsi="Times New Roman" w:cs="Times New Roman"/>
          <w:sz w:val="24"/>
          <w:szCs w:val="24"/>
        </w:rPr>
        <w:t xml:space="preserve">in the foreign exchange markets </w:t>
      </w:r>
      <w:r w:rsidRPr="009D4A13">
        <w:rPr>
          <w:rFonts w:ascii="Times New Roman" w:hAnsi="Times New Roman" w:cs="Times New Roman"/>
          <w:sz w:val="24"/>
          <w:szCs w:val="24"/>
        </w:rPr>
        <w:t xml:space="preserve">to calm disorderly market behaviour and </w:t>
      </w:r>
      <w:r w:rsidR="004E4964" w:rsidRPr="009D4A13">
        <w:rPr>
          <w:rFonts w:ascii="Times New Roman" w:hAnsi="Times New Roman" w:cs="Times New Roman"/>
          <w:sz w:val="24"/>
          <w:szCs w:val="24"/>
        </w:rPr>
        <w:t xml:space="preserve">since </w:t>
      </w:r>
      <w:r w:rsidR="00BC5D91" w:rsidRPr="009D4A13">
        <w:rPr>
          <w:rFonts w:ascii="Times New Roman" w:hAnsi="Times New Roman" w:cs="Times New Roman"/>
          <w:sz w:val="24"/>
          <w:szCs w:val="24"/>
        </w:rPr>
        <w:t xml:space="preserve">then </w:t>
      </w:r>
      <w:r w:rsidRPr="009D4A13">
        <w:rPr>
          <w:rFonts w:ascii="Times New Roman" w:hAnsi="Times New Roman" w:cs="Times New Roman"/>
          <w:sz w:val="24"/>
          <w:szCs w:val="24"/>
        </w:rPr>
        <w:t xml:space="preserve">an ongoing debate on the effectiveness of these </w:t>
      </w:r>
      <w:r w:rsidR="00832ED5" w:rsidRPr="009D4A13">
        <w:rPr>
          <w:rFonts w:ascii="Times New Roman" w:hAnsi="Times New Roman" w:cs="Times New Roman"/>
          <w:sz w:val="24"/>
          <w:szCs w:val="24"/>
        </w:rPr>
        <w:t xml:space="preserve">foreign exchange </w:t>
      </w:r>
      <w:r w:rsidRPr="009D4A13">
        <w:rPr>
          <w:rFonts w:ascii="Times New Roman" w:hAnsi="Times New Roman" w:cs="Times New Roman"/>
          <w:sz w:val="24"/>
          <w:szCs w:val="24"/>
        </w:rPr>
        <w:t xml:space="preserve">interventions started among academicians. </w:t>
      </w:r>
      <w:r w:rsidR="00BC5D91" w:rsidRPr="009D4A13">
        <w:rPr>
          <w:rFonts w:ascii="Times New Roman" w:hAnsi="Times New Roman" w:cs="Times New Roman"/>
          <w:sz w:val="24"/>
          <w:szCs w:val="24"/>
        </w:rPr>
        <w:t>A sizeable literature has tried to assess whether central bank interventions can affect the mean and volatility of exchange rate changes, however, the empirical findings seem to concur in no clear evidence can be found. Existing theoretical and empirical work is quite mixed especially in emerging markets</w:t>
      </w:r>
      <w:r w:rsidR="00BC5D91" w:rsidRPr="009D4A13">
        <w:rPr>
          <w:rStyle w:val="DipnotBavurusu"/>
          <w:rFonts w:ascii="Times New Roman" w:hAnsi="Times New Roman" w:cs="Times New Roman"/>
          <w:sz w:val="24"/>
          <w:szCs w:val="24"/>
        </w:rPr>
        <w:footnoteReference w:id="1"/>
      </w:r>
      <w:r w:rsidR="00BC5D91" w:rsidRPr="009D4A13">
        <w:rPr>
          <w:rFonts w:ascii="Times New Roman" w:hAnsi="Times New Roman" w:cs="Times New Roman"/>
          <w:sz w:val="24"/>
          <w:szCs w:val="24"/>
        </w:rPr>
        <w:t xml:space="preserve"> and suggest</w:t>
      </w:r>
      <w:r w:rsidR="00660752">
        <w:rPr>
          <w:rFonts w:ascii="Times New Roman" w:hAnsi="Times New Roman" w:cs="Times New Roman"/>
          <w:sz w:val="24"/>
          <w:szCs w:val="24"/>
        </w:rPr>
        <w:t>s</w:t>
      </w:r>
      <w:r w:rsidR="00BC5D91" w:rsidRPr="009D4A13">
        <w:rPr>
          <w:rFonts w:ascii="Times New Roman" w:hAnsi="Times New Roman" w:cs="Times New Roman"/>
          <w:sz w:val="24"/>
          <w:szCs w:val="24"/>
        </w:rPr>
        <w:t xml:space="preserve"> that the effects of interventions on the volatility of exchange rates are unambiguous</w:t>
      </w:r>
      <w:r w:rsidR="002408AA">
        <w:rPr>
          <w:rFonts w:ascii="Times New Roman" w:hAnsi="Times New Roman" w:cs="Times New Roman"/>
          <w:sz w:val="24"/>
          <w:szCs w:val="24"/>
        </w:rPr>
        <w:t>,</w:t>
      </w:r>
      <w:r w:rsidR="00BC5D91" w:rsidRPr="009D4A13">
        <w:rPr>
          <w:rFonts w:ascii="Times New Roman" w:hAnsi="Times New Roman" w:cs="Times New Roman"/>
          <w:sz w:val="24"/>
          <w:szCs w:val="24"/>
        </w:rPr>
        <w:t xml:space="preserve"> while the effects on the mean are still debatable. In general, central bank interventions are expected to reduce exchange rate volatility. But yet, some studies in the literature conclude that interventions either have a positive effect rather than to reduce volatili</w:t>
      </w:r>
      <w:r w:rsidR="00BC5AC5">
        <w:rPr>
          <w:rFonts w:ascii="Times New Roman" w:hAnsi="Times New Roman" w:cs="Times New Roman"/>
          <w:sz w:val="24"/>
          <w:szCs w:val="24"/>
        </w:rPr>
        <w:t>ty or have no impact, others</w:t>
      </w:r>
      <w:r w:rsidR="00BC5D91" w:rsidRPr="009D4A13">
        <w:rPr>
          <w:rFonts w:ascii="Times New Roman" w:hAnsi="Times New Roman" w:cs="Times New Roman"/>
          <w:sz w:val="24"/>
          <w:szCs w:val="24"/>
        </w:rPr>
        <w:t xml:space="preserve"> conclude that interventions have a negative im</w:t>
      </w:r>
      <w:r w:rsidR="007231F1" w:rsidRPr="009D4A13">
        <w:rPr>
          <w:rFonts w:ascii="Times New Roman" w:hAnsi="Times New Roman" w:cs="Times New Roman"/>
          <w:sz w:val="24"/>
          <w:szCs w:val="24"/>
        </w:rPr>
        <w:t>pact on volatility as expected.</w:t>
      </w:r>
      <w:r w:rsidR="00482793" w:rsidRPr="009D4A13">
        <w:rPr>
          <w:rFonts w:ascii="Times New Roman" w:hAnsi="Times New Roman" w:cs="Times New Roman"/>
          <w:sz w:val="24"/>
          <w:szCs w:val="24"/>
        </w:rPr>
        <w:t xml:space="preserve"> </w:t>
      </w:r>
      <w:r w:rsidR="007231F1" w:rsidRPr="009D4A13">
        <w:rPr>
          <w:rFonts w:ascii="Times New Roman" w:hAnsi="Times New Roman" w:cs="Times New Roman"/>
          <w:sz w:val="24"/>
          <w:szCs w:val="24"/>
        </w:rPr>
        <w:t>D</w:t>
      </w:r>
      <w:r w:rsidR="00BC5D91" w:rsidRPr="009D4A13">
        <w:rPr>
          <w:rFonts w:ascii="Times New Roman" w:hAnsi="Times New Roman" w:cs="Times New Roman"/>
          <w:sz w:val="24"/>
          <w:szCs w:val="24"/>
        </w:rPr>
        <w:t>espite the fact that there is a common skepticism among academicians about the effectiveness of interventions, central banks seem to regard intervention as an effe</w:t>
      </w:r>
      <w:r w:rsidR="00482793" w:rsidRPr="009D4A13">
        <w:rPr>
          <w:rFonts w:ascii="Times New Roman" w:hAnsi="Times New Roman" w:cs="Times New Roman"/>
          <w:sz w:val="24"/>
          <w:szCs w:val="24"/>
        </w:rPr>
        <w:t>ctive poli</w:t>
      </w:r>
      <w:r w:rsidR="007231F1" w:rsidRPr="009D4A13">
        <w:rPr>
          <w:rFonts w:ascii="Times New Roman" w:hAnsi="Times New Roman" w:cs="Times New Roman"/>
          <w:sz w:val="24"/>
          <w:szCs w:val="24"/>
        </w:rPr>
        <w:t xml:space="preserve">cy tool </w:t>
      </w:r>
      <w:r w:rsidR="00ED683D">
        <w:rPr>
          <w:rFonts w:ascii="Times New Roman" w:hAnsi="Times New Roman" w:cs="Times New Roman"/>
          <w:sz w:val="24"/>
          <w:szCs w:val="24"/>
        </w:rPr>
        <w:t>(</w:t>
      </w:r>
      <w:r w:rsidR="00F15C54">
        <w:rPr>
          <w:rFonts w:ascii="Times New Roman" w:hAnsi="Times New Roman" w:cs="Times New Roman"/>
          <w:sz w:val="24"/>
          <w:szCs w:val="24"/>
        </w:rPr>
        <w:t>[4</w:t>
      </w:r>
      <w:r w:rsidR="00ED683D">
        <w:rPr>
          <w:rFonts w:ascii="Times New Roman" w:hAnsi="Times New Roman" w:cs="Times New Roman"/>
          <w:sz w:val="24"/>
          <w:szCs w:val="24"/>
        </w:rPr>
        <w:t>]).</w:t>
      </w:r>
    </w:p>
    <w:p w:rsidR="004E4964" w:rsidRPr="009D4A13" w:rsidRDefault="00301961" w:rsidP="009D4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[5]</w:t>
      </w:r>
      <w:r w:rsidR="004E4964" w:rsidRPr="009D4A13">
        <w:rPr>
          <w:rFonts w:ascii="Times New Roman" w:hAnsi="Times New Roman" w:cs="Times New Roman"/>
          <w:sz w:val="24"/>
          <w:szCs w:val="24"/>
        </w:rPr>
        <w:t>, the effects of unsterilised interventions depend on the efﬁciency of the market; unsterilised interventions either have no effect or reduce the volatility in an efﬁcient market,  while interventions increase volatility and have signiﬁcant effects on the mean in an inefﬁcient market.</w:t>
      </w:r>
      <w:r w:rsidR="004E4964" w:rsidRPr="009D4A13">
        <w:rPr>
          <w:rStyle w:val="DipnotBavurusu"/>
          <w:rFonts w:ascii="Times New Roman" w:hAnsi="Times New Roman" w:cs="Times New Roman"/>
          <w:sz w:val="24"/>
          <w:szCs w:val="24"/>
        </w:rPr>
        <w:footnoteReference w:id="2"/>
      </w:r>
      <w:r w:rsidR="004E4964" w:rsidRPr="009D4A13">
        <w:rPr>
          <w:rFonts w:ascii="Times New Roman" w:hAnsi="Times New Roman" w:cs="Times New Roman"/>
          <w:sz w:val="24"/>
          <w:szCs w:val="24"/>
        </w:rPr>
        <w:t xml:space="preserve"> </w:t>
      </w:r>
      <w:proofErr w:type="gramStart"/>
      <w:r w:rsidR="004E4964" w:rsidRPr="009D4A13">
        <w:rPr>
          <w:rFonts w:ascii="Times New Roman" w:hAnsi="Times New Roman" w:cs="Times New Roman"/>
          <w:sz w:val="24"/>
          <w:szCs w:val="24"/>
        </w:rPr>
        <w:t>Also, the effects associated with secret and publicly known interventions (announced by central bank) are believed to be different; secret interventions have a significant positive effect on the mean and volatility and greater in magnitude than the effects of publicly known interventions, may be because of intensifying uncertainty</w:t>
      </w:r>
      <w:r w:rsidR="00660752">
        <w:rPr>
          <w:rFonts w:ascii="Times New Roman" w:hAnsi="Times New Roman" w:cs="Times New Roman"/>
          <w:sz w:val="24"/>
          <w:szCs w:val="24"/>
        </w:rPr>
        <w:t xml:space="preserve"> </w:t>
      </w:r>
      <w:r w:rsidR="004E4964" w:rsidRPr="009D4A13">
        <w:rPr>
          <w:rFonts w:ascii="Times New Roman" w:hAnsi="Times New Roman" w:cs="Times New Roman"/>
          <w:sz w:val="24"/>
          <w:szCs w:val="24"/>
        </w:rPr>
        <w:t xml:space="preserve">in the market. </w:t>
      </w:r>
      <w:proofErr w:type="gramEnd"/>
      <w:r w:rsidR="004E4964" w:rsidRPr="009D4A13">
        <w:rPr>
          <w:rFonts w:ascii="Times New Roman" w:hAnsi="Times New Roman" w:cs="Times New Roman"/>
          <w:sz w:val="24"/>
          <w:szCs w:val="24"/>
        </w:rPr>
        <w:lastRenderedPageBreak/>
        <w:t>Hence, secret interventions generally increase volatility and contribute to the inefficiency of the market.</w:t>
      </w:r>
      <w:r w:rsidR="004E4964" w:rsidRPr="009D4A13">
        <w:rPr>
          <w:rStyle w:val="DipnotBavurusu"/>
          <w:rFonts w:ascii="Times New Roman" w:hAnsi="Times New Roman" w:cs="Times New Roman"/>
          <w:sz w:val="24"/>
          <w:szCs w:val="24"/>
        </w:rPr>
        <w:footnoteReference w:id="3"/>
      </w:r>
    </w:p>
    <w:p w:rsidR="00695454" w:rsidRPr="009D4A13" w:rsidRDefault="00D06A42" w:rsidP="009D4A13">
      <w:pPr>
        <w:pStyle w:val="Default"/>
        <w:jc w:val="both"/>
        <w:rPr>
          <w:rFonts w:ascii="Times New Roman" w:hAnsi="Times New Roman" w:cs="Times New Roman"/>
          <w:color w:val="auto"/>
        </w:rPr>
      </w:pPr>
      <w:r w:rsidRPr="009D4A13">
        <w:rPr>
          <w:rFonts w:ascii="Times New Roman" w:hAnsi="Times New Roman" w:cs="Times New Roman"/>
          <w:color w:val="auto"/>
        </w:rPr>
        <w:t xml:space="preserve">After the crisis in 2001 in Turkey, the Central Bank of </w:t>
      </w:r>
      <w:r w:rsidR="00660752">
        <w:rPr>
          <w:rFonts w:ascii="Times New Roman" w:hAnsi="Times New Roman" w:cs="Times New Roman"/>
          <w:color w:val="auto"/>
        </w:rPr>
        <w:t xml:space="preserve">the </w:t>
      </w:r>
      <w:r w:rsidRPr="009D4A13">
        <w:rPr>
          <w:rFonts w:ascii="Times New Roman" w:hAnsi="Times New Roman" w:cs="Times New Roman"/>
          <w:color w:val="auto"/>
        </w:rPr>
        <w:t xml:space="preserve">Republic of Turkey (CBRT) announced a ﬂoating </w:t>
      </w:r>
      <w:r w:rsidR="00660752">
        <w:rPr>
          <w:rFonts w:ascii="Times New Roman" w:hAnsi="Times New Roman" w:cs="Times New Roman"/>
          <w:color w:val="auto"/>
        </w:rPr>
        <w:t xml:space="preserve">exchange </w:t>
      </w:r>
      <w:r w:rsidRPr="009D4A13">
        <w:rPr>
          <w:rFonts w:ascii="Times New Roman" w:hAnsi="Times New Roman" w:cs="Times New Roman"/>
          <w:color w:val="auto"/>
        </w:rPr>
        <w:t>rate regime</w:t>
      </w:r>
      <w:r w:rsidR="00B67E45" w:rsidRPr="009D4A13">
        <w:rPr>
          <w:rFonts w:ascii="Times New Roman" w:hAnsi="Times New Roman" w:cs="Times New Roman"/>
          <w:color w:val="auto"/>
        </w:rPr>
        <w:t xml:space="preserve"> </w:t>
      </w:r>
      <w:r w:rsidRPr="009D4A13">
        <w:rPr>
          <w:rFonts w:ascii="Times New Roman" w:hAnsi="Times New Roman" w:cs="Times New Roman"/>
          <w:color w:val="auto"/>
        </w:rPr>
        <w:t>and the foreign exchange rate is not a policy tool or target</w:t>
      </w:r>
      <w:r w:rsidR="00B67E45" w:rsidRPr="009D4A13">
        <w:rPr>
          <w:rFonts w:ascii="Times New Roman" w:hAnsi="Times New Roman" w:cs="Times New Roman"/>
          <w:color w:val="auto"/>
        </w:rPr>
        <w:t xml:space="preserve"> </w:t>
      </w:r>
      <w:r w:rsidR="004E4964" w:rsidRPr="009D4A13">
        <w:rPr>
          <w:rFonts w:ascii="Times New Roman" w:hAnsi="Times New Roman" w:cs="Times New Roman"/>
          <w:color w:val="auto"/>
        </w:rPr>
        <w:t>under inflation targeting</w:t>
      </w:r>
      <w:r w:rsidR="00B67E45" w:rsidRPr="009D4A13">
        <w:rPr>
          <w:rFonts w:ascii="Times New Roman" w:hAnsi="Times New Roman" w:cs="Times New Roman"/>
          <w:color w:val="auto"/>
        </w:rPr>
        <w:t>.</w:t>
      </w:r>
      <w:r w:rsidR="00A55279" w:rsidRPr="009D4A13">
        <w:rPr>
          <w:rFonts w:ascii="Times New Roman" w:hAnsi="Times New Roman" w:cs="Times New Roman"/>
          <w:color w:val="auto"/>
        </w:rPr>
        <w:t xml:space="preserve"> However, the CBRT has not been remaining unresponsive to the excessive appreciation or depreciation of the Turkish lira by takin</w:t>
      </w:r>
      <w:r w:rsidR="000B00F2" w:rsidRPr="009D4A13">
        <w:rPr>
          <w:rFonts w:ascii="Times New Roman" w:hAnsi="Times New Roman" w:cs="Times New Roman"/>
          <w:color w:val="auto"/>
        </w:rPr>
        <w:t>g</w:t>
      </w:r>
      <w:r w:rsidR="00A55279" w:rsidRPr="009D4A13">
        <w:rPr>
          <w:rFonts w:ascii="Times New Roman" w:hAnsi="Times New Roman" w:cs="Times New Roman"/>
          <w:color w:val="auto"/>
        </w:rPr>
        <w:t xml:space="preserve"> into consideration financial stabi</w:t>
      </w:r>
      <w:r w:rsidR="002C728B" w:rsidRPr="009D4A13">
        <w:rPr>
          <w:rFonts w:ascii="Times New Roman" w:hAnsi="Times New Roman" w:cs="Times New Roman"/>
          <w:color w:val="auto"/>
        </w:rPr>
        <w:t xml:space="preserve">lity is one of the preconditions </w:t>
      </w:r>
      <w:r w:rsidR="000B00F2" w:rsidRPr="009D4A13">
        <w:rPr>
          <w:rFonts w:ascii="Times New Roman" w:hAnsi="Times New Roman" w:cs="Times New Roman"/>
          <w:color w:val="auto"/>
        </w:rPr>
        <w:t>for the</w:t>
      </w:r>
      <w:r w:rsidR="00A55279" w:rsidRPr="009D4A13">
        <w:rPr>
          <w:rFonts w:ascii="Times New Roman" w:hAnsi="Times New Roman" w:cs="Times New Roman"/>
          <w:color w:val="auto"/>
        </w:rPr>
        <w:t xml:space="preserve"> </w:t>
      </w:r>
      <w:r w:rsidR="000B00F2" w:rsidRPr="009D4A13">
        <w:rPr>
          <w:rFonts w:ascii="Times New Roman" w:hAnsi="Times New Roman" w:cs="Times New Roman"/>
          <w:color w:val="auto"/>
        </w:rPr>
        <w:t xml:space="preserve">its objective of </w:t>
      </w:r>
      <w:r w:rsidR="00A55279" w:rsidRPr="009D4A13">
        <w:rPr>
          <w:rFonts w:ascii="Times New Roman" w:hAnsi="Times New Roman" w:cs="Times New Roman"/>
          <w:color w:val="auto"/>
        </w:rPr>
        <w:t>price stability</w:t>
      </w:r>
      <w:r w:rsidR="000B00F2" w:rsidRPr="009D4A13">
        <w:rPr>
          <w:rFonts w:ascii="Times New Roman" w:hAnsi="Times New Roman" w:cs="Times New Roman"/>
          <w:color w:val="auto"/>
        </w:rPr>
        <w:t xml:space="preserve">. </w:t>
      </w:r>
      <w:proofErr w:type="gramStart"/>
      <w:r w:rsidR="002C728B" w:rsidRPr="009D4A13">
        <w:rPr>
          <w:rFonts w:ascii="Times New Roman" w:hAnsi="Times New Roman" w:cs="Times New Roman"/>
          <w:color w:val="auto"/>
        </w:rPr>
        <w:t>In this context,</w:t>
      </w:r>
      <w:r w:rsidR="00B70A60">
        <w:rPr>
          <w:rFonts w:ascii="Times New Roman" w:hAnsi="Times New Roman" w:cs="Times New Roman"/>
          <w:color w:val="auto"/>
        </w:rPr>
        <w:t xml:space="preserve"> </w:t>
      </w:r>
      <w:r w:rsidR="002C728B" w:rsidRPr="009D4A13">
        <w:rPr>
          <w:rFonts w:ascii="Times New Roman" w:hAnsi="Times New Roman" w:cs="Times New Roman"/>
          <w:color w:val="auto"/>
        </w:rPr>
        <w:t>a</w:t>
      </w:r>
      <w:r w:rsidRPr="009D4A13">
        <w:rPr>
          <w:rFonts w:ascii="Times New Roman" w:hAnsi="Times New Roman" w:cs="Times New Roman"/>
          <w:color w:val="auto"/>
        </w:rPr>
        <w:t>lthough there is no exch</w:t>
      </w:r>
      <w:r w:rsidR="00863FE1" w:rsidRPr="009D4A13">
        <w:rPr>
          <w:rFonts w:ascii="Times New Roman" w:hAnsi="Times New Roman" w:cs="Times New Roman"/>
          <w:color w:val="auto"/>
        </w:rPr>
        <w:t>ange rate level target</w:t>
      </w:r>
      <w:r w:rsidRPr="009D4A13">
        <w:rPr>
          <w:rFonts w:ascii="Times New Roman" w:hAnsi="Times New Roman" w:cs="Times New Roman"/>
          <w:color w:val="auto"/>
        </w:rPr>
        <w:t xml:space="preserve">, </w:t>
      </w:r>
      <w:r w:rsidR="00844471" w:rsidRPr="009D4A13">
        <w:rPr>
          <w:rFonts w:ascii="Times New Roman" w:hAnsi="Times New Roman" w:cs="Times New Roman"/>
          <w:color w:val="auto"/>
        </w:rPr>
        <w:t xml:space="preserve">in case of any unhealthy </w:t>
      </w:r>
      <w:r w:rsidR="00420F15" w:rsidRPr="009D4A13">
        <w:rPr>
          <w:rFonts w:ascii="Times New Roman" w:hAnsi="Times New Roman" w:cs="Times New Roman"/>
          <w:color w:val="auto"/>
        </w:rPr>
        <w:t xml:space="preserve">price formations </w:t>
      </w:r>
      <w:r w:rsidR="004E4964" w:rsidRPr="009D4A13">
        <w:rPr>
          <w:rFonts w:ascii="Times New Roman" w:hAnsi="Times New Roman" w:cs="Times New Roman"/>
          <w:color w:val="auto"/>
        </w:rPr>
        <w:t xml:space="preserve">in </w:t>
      </w:r>
      <w:r w:rsidR="00844471" w:rsidRPr="009D4A13">
        <w:rPr>
          <w:rFonts w:ascii="Times New Roman" w:hAnsi="Times New Roman" w:cs="Times New Roman"/>
          <w:color w:val="auto"/>
        </w:rPr>
        <w:t>the exchange rates due to speculative behavior stemming from a loss in the market depth, the CBRT is intervening the market via flexible</w:t>
      </w:r>
      <w:r w:rsidR="004E4964" w:rsidRPr="009D4A13">
        <w:rPr>
          <w:rFonts w:ascii="Times New Roman" w:hAnsi="Times New Roman" w:cs="Times New Roman"/>
          <w:color w:val="auto"/>
        </w:rPr>
        <w:t xml:space="preserve"> and transparent </w:t>
      </w:r>
      <w:r w:rsidR="00420F15" w:rsidRPr="009D4A13">
        <w:rPr>
          <w:rFonts w:ascii="Times New Roman" w:hAnsi="Times New Roman" w:cs="Times New Roman"/>
          <w:color w:val="auto"/>
        </w:rPr>
        <w:t xml:space="preserve">buying and selling </w:t>
      </w:r>
      <w:r w:rsidR="00844471" w:rsidRPr="009D4A13">
        <w:rPr>
          <w:rFonts w:ascii="Times New Roman" w:hAnsi="Times New Roman" w:cs="Times New Roman"/>
          <w:color w:val="auto"/>
        </w:rPr>
        <w:t>auctions</w:t>
      </w:r>
      <w:r w:rsidR="00420F15" w:rsidRPr="009D4A13">
        <w:rPr>
          <w:rFonts w:ascii="Times New Roman" w:hAnsi="Times New Roman" w:cs="Times New Roman"/>
          <w:color w:val="auto"/>
        </w:rPr>
        <w:t xml:space="preserve"> with pre</w:t>
      </w:r>
      <w:r w:rsidR="00B43C32">
        <w:rPr>
          <w:rFonts w:ascii="Times New Roman" w:hAnsi="Times New Roman" w:cs="Times New Roman"/>
          <w:color w:val="auto"/>
        </w:rPr>
        <w:t>–</w:t>
      </w:r>
      <w:r w:rsidR="00420F15" w:rsidRPr="009D4A13">
        <w:rPr>
          <w:rFonts w:ascii="Times New Roman" w:hAnsi="Times New Roman" w:cs="Times New Roman"/>
          <w:color w:val="auto"/>
        </w:rPr>
        <w:t xml:space="preserve">announced program, or </w:t>
      </w:r>
      <w:r w:rsidR="004E4964" w:rsidRPr="009D4A13">
        <w:rPr>
          <w:rFonts w:ascii="Times New Roman" w:hAnsi="Times New Roman" w:cs="Times New Roman"/>
          <w:color w:val="auto"/>
        </w:rPr>
        <w:t xml:space="preserve">via </w:t>
      </w:r>
      <w:r w:rsidR="00420F15" w:rsidRPr="009D4A13">
        <w:rPr>
          <w:rFonts w:ascii="Times New Roman" w:hAnsi="Times New Roman" w:cs="Times New Roman"/>
          <w:color w:val="auto"/>
        </w:rPr>
        <w:t>directly interventions.</w:t>
      </w:r>
      <w:proofErr w:type="gramEnd"/>
      <w:r w:rsidR="00844471" w:rsidRPr="009D4A13">
        <w:rPr>
          <w:rStyle w:val="DipnotBavurusu"/>
          <w:rFonts w:ascii="Times New Roman" w:hAnsi="Times New Roman" w:cs="Times New Roman"/>
          <w:color w:val="auto"/>
        </w:rPr>
        <w:footnoteReference w:id="4"/>
      </w:r>
      <w:r w:rsidRPr="009D4A13">
        <w:rPr>
          <w:rFonts w:ascii="Times New Roman" w:hAnsi="Times New Roman" w:cs="Times New Roman"/>
          <w:color w:val="auto"/>
        </w:rPr>
        <w:t xml:space="preserve"> </w:t>
      </w:r>
      <w:r w:rsidR="00863FE1" w:rsidRPr="009D4A13">
        <w:rPr>
          <w:rFonts w:ascii="Times New Roman" w:hAnsi="Times New Roman" w:cs="Times New Roman"/>
          <w:color w:val="auto"/>
        </w:rPr>
        <w:t>If neccessary, the amount of d</w:t>
      </w:r>
      <w:r w:rsidRPr="009D4A13">
        <w:rPr>
          <w:rFonts w:ascii="Times New Roman" w:hAnsi="Times New Roman" w:cs="Times New Roman"/>
          <w:color w:val="auto"/>
        </w:rPr>
        <w:t>aily auction</w:t>
      </w:r>
      <w:r w:rsidR="00863FE1" w:rsidRPr="009D4A13">
        <w:rPr>
          <w:rFonts w:ascii="Times New Roman" w:hAnsi="Times New Roman" w:cs="Times New Roman"/>
          <w:color w:val="auto"/>
        </w:rPr>
        <w:t>s</w:t>
      </w:r>
      <w:r w:rsidRPr="009D4A13">
        <w:rPr>
          <w:rFonts w:ascii="Times New Roman" w:hAnsi="Times New Roman" w:cs="Times New Roman"/>
          <w:color w:val="auto"/>
        </w:rPr>
        <w:t xml:space="preserve"> might be changed and the au</w:t>
      </w:r>
      <w:r w:rsidR="00863FE1" w:rsidRPr="009D4A13">
        <w:rPr>
          <w:rFonts w:ascii="Times New Roman" w:hAnsi="Times New Roman" w:cs="Times New Roman"/>
          <w:color w:val="auto"/>
        </w:rPr>
        <w:t xml:space="preserve">ctions might also be suspended. </w:t>
      </w:r>
      <w:r w:rsidR="00150D42" w:rsidRPr="009D4A13">
        <w:rPr>
          <w:rFonts w:ascii="Times New Roman" w:hAnsi="Times New Roman" w:cs="Times New Roman"/>
          <w:color w:val="auto"/>
        </w:rPr>
        <w:t xml:space="preserve">In short, the CBRT is intervening in the foreign exchange market </w:t>
      </w:r>
      <w:r w:rsidR="00253407" w:rsidRPr="009D4A13">
        <w:rPr>
          <w:rFonts w:ascii="Times New Roman" w:hAnsi="Times New Roman" w:cs="Times New Roman"/>
          <w:color w:val="auto"/>
        </w:rPr>
        <w:t>to reduce</w:t>
      </w:r>
      <w:r w:rsidR="00150D42" w:rsidRPr="009D4A13">
        <w:rPr>
          <w:rFonts w:ascii="Times New Roman" w:hAnsi="Times New Roman" w:cs="Times New Roman"/>
          <w:color w:val="auto"/>
        </w:rPr>
        <w:t xml:space="preserve"> expected or actual volatility</w:t>
      </w:r>
      <w:r w:rsidR="00586AD4" w:rsidRPr="009D4A13">
        <w:rPr>
          <w:rFonts w:ascii="Times New Roman" w:hAnsi="Times New Roman" w:cs="Times New Roman"/>
          <w:color w:val="auto"/>
        </w:rPr>
        <w:t xml:space="preserve"> of the foreign exchange market,</w:t>
      </w:r>
      <w:r w:rsidR="00253407" w:rsidRPr="009D4A13">
        <w:rPr>
          <w:rFonts w:ascii="Times New Roman" w:hAnsi="Times New Roman" w:cs="Times New Roman"/>
          <w:color w:val="auto"/>
        </w:rPr>
        <w:t xml:space="preserve"> </w:t>
      </w:r>
      <w:r w:rsidR="00586AD4" w:rsidRPr="009D4A13">
        <w:rPr>
          <w:rFonts w:ascii="Times New Roman" w:hAnsi="Times New Roman" w:cs="Times New Roman"/>
          <w:color w:val="auto"/>
        </w:rPr>
        <w:t>while the exchange rate level is said to be market determined around fundamentals.</w:t>
      </w:r>
      <w:r w:rsidR="008F1199">
        <w:rPr>
          <w:rFonts w:ascii="Times New Roman" w:hAnsi="Times New Roman" w:cs="Times New Roman"/>
          <w:color w:val="auto"/>
        </w:rPr>
        <w:t xml:space="preserve"> </w:t>
      </w:r>
      <w:r w:rsidR="00200D90" w:rsidRPr="009D4A13">
        <w:rPr>
          <w:rFonts w:ascii="Times New Roman" w:hAnsi="Times New Roman" w:cs="Times New Roman"/>
          <w:color w:val="auto"/>
        </w:rPr>
        <w:t>The aim of this study is to test the effectiveness of the CBRT foreign exchange interventions on the level and volatility of exchange rates</w:t>
      </w:r>
      <w:r w:rsidR="00113B60" w:rsidRPr="009D4A13">
        <w:rPr>
          <w:rFonts w:ascii="Times New Roman" w:hAnsi="Times New Roman" w:cs="Times New Roman"/>
          <w:color w:val="auto"/>
        </w:rPr>
        <w:t xml:space="preserve">, </w:t>
      </w:r>
      <w:r w:rsidR="00B219E2" w:rsidRPr="009D4A13">
        <w:rPr>
          <w:rFonts w:ascii="Times New Roman" w:hAnsi="Times New Roman" w:cs="Times New Roman"/>
          <w:color w:val="auto"/>
        </w:rPr>
        <w:t>given the fact that large and volatile ca</w:t>
      </w:r>
      <w:r w:rsidR="001814C3" w:rsidRPr="009D4A13">
        <w:rPr>
          <w:rFonts w:ascii="Times New Roman" w:hAnsi="Times New Roman" w:cs="Times New Roman"/>
          <w:color w:val="auto"/>
        </w:rPr>
        <w:t>pital movements</w:t>
      </w:r>
      <w:r w:rsidR="00B219E2" w:rsidRPr="009D4A13">
        <w:rPr>
          <w:rFonts w:ascii="Times New Roman" w:hAnsi="Times New Roman" w:cs="Times New Roman"/>
          <w:color w:val="auto"/>
        </w:rPr>
        <w:t xml:space="preserve"> to emerging markets have put the pressure on exchange rates after the </w:t>
      </w:r>
      <w:proofErr w:type="gramStart"/>
      <w:r w:rsidR="00B219E2" w:rsidRPr="009D4A13">
        <w:rPr>
          <w:rFonts w:ascii="Times New Roman" w:hAnsi="Times New Roman" w:cs="Times New Roman"/>
          <w:color w:val="auto"/>
        </w:rPr>
        <w:t>global</w:t>
      </w:r>
      <w:proofErr w:type="gramEnd"/>
      <w:r w:rsidR="00B219E2" w:rsidRPr="009D4A13">
        <w:rPr>
          <w:rFonts w:ascii="Times New Roman" w:hAnsi="Times New Roman" w:cs="Times New Roman"/>
          <w:color w:val="auto"/>
        </w:rPr>
        <w:t xml:space="preserve"> financial crisis. </w:t>
      </w:r>
      <w:r w:rsidR="00200D90" w:rsidRPr="009D4A13">
        <w:rPr>
          <w:rFonts w:ascii="Times New Roman" w:hAnsi="Times New Roman" w:cs="Times New Roman"/>
          <w:color w:val="auto"/>
        </w:rPr>
        <w:t>This study investigates</w:t>
      </w:r>
      <w:r w:rsidR="001B47A4" w:rsidRPr="009D4A13">
        <w:rPr>
          <w:rFonts w:ascii="Times New Roman" w:hAnsi="Times New Roman" w:cs="Times New Roman"/>
          <w:color w:val="auto"/>
        </w:rPr>
        <w:t xml:space="preserve"> the impact of </w:t>
      </w:r>
      <w:r w:rsidR="00200D90" w:rsidRPr="009D4A13">
        <w:rPr>
          <w:rFonts w:ascii="Times New Roman" w:hAnsi="Times New Roman" w:cs="Times New Roman"/>
          <w:color w:val="auto"/>
        </w:rPr>
        <w:t>interventions via buying and selling auctions, not the impact of direct interventions.</w:t>
      </w:r>
    </w:p>
    <w:p w:rsidR="0059085F" w:rsidRPr="009D4A13" w:rsidRDefault="0059085F" w:rsidP="009D4A13">
      <w:pPr>
        <w:pStyle w:val="Default"/>
        <w:jc w:val="both"/>
        <w:rPr>
          <w:rFonts w:ascii="Times New Roman" w:hAnsi="Times New Roman" w:cs="Times New Roman"/>
          <w:color w:val="auto"/>
        </w:rPr>
      </w:pPr>
      <w:r w:rsidRPr="009D4A13">
        <w:rPr>
          <w:rFonts w:ascii="Times New Roman" w:hAnsi="Times New Roman" w:cs="Times New Roman"/>
          <w:color w:val="auto"/>
        </w:rPr>
        <w:t xml:space="preserve">The </w:t>
      </w:r>
      <w:r w:rsidR="00936AFD" w:rsidRPr="009D4A13">
        <w:rPr>
          <w:rFonts w:ascii="Times New Roman" w:hAnsi="Times New Roman" w:cs="Times New Roman"/>
          <w:color w:val="auto"/>
        </w:rPr>
        <w:t>rest</w:t>
      </w:r>
      <w:r w:rsidRPr="009D4A13">
        <w:rPr>
          <w:rFonts w:ascii="Times New Roman" w:hAnsi="Times New Roman" w:cs="Times New Roman"/>
          <w:color w:val="auto"/>
        </w:rPr>
        <w:t xml:space="preserve"> of </w:t>
      </w:r>
      <w:r w:rsidR="00936AFD" w:rsidRPr="009D4A13">
        <w:rPr>
          <w:rFonts w:ascii="Times New Roman" w:hAnsi="Times New Roman" w:cs="Times New Roman"/>
          <w:color w:val="auto"/>
        </w:rPr>
        <w:t>t</w:t>
      </w:r>
      <w:r w:rsidRPr="009D4A13">
        <w:rPr>
          <w:rFonts w:ascii="Times New Roman" w:hAnsi="Times New Roman" w:cs="Times New Roman"/>
          <w:color w:val="auto"/>
        </w:rPr>
        <w:t xml:space="preserve">his study </w:t>
      </w:r>
      <w:r w:rsidR="00CB378B" w:rsidRPr="009D4A13">
        <w:rPr>
          <w:rFonts w:ascii="Times New Roman" w:hAnsi="Times New Roman" w:cs="Times New Roman"/>
          <w:color w:val="auto"/>
        </w:rPr>
        <w:t xml:space="preserve">is </w:t>
      </w:r>
      <w:r w:rsidR="00936AFD" w:rsidRPr="009D4A13">
        <w:rPr>
          <w:rFonts w:ascii="Times New Roman" w:hAnsi="Times New Roman" w:cs="Times New Roman"/>
          <w:color w:val="auto"/>
        </w:rPr>
        <w:t xml:space="preserve">organized </w:t>
      </w:r>
      <w:r w:rsidRPr="009D4A13">
        <w:rPr>
          <w:rFonts w:ascii="Times New Roman" w:hAnsi="Times New Roman" w:cs="Times New Roman"/>
          <w:color w:val="auto"/>
        </w:rPr>
        <w:t>as follows.</w:t>
      </w:r>
      <w:r w:rsidR="006C61E4" w:rsidRPr="009D4A13">
        <w:rPr>
          <w:rFonts w:ascii="Times New Roman" w:hAnsi="Times New Roman" w:cs="Times New Roman"/>
          <w:color w:val="auto"/>
        </w:rPr>
        <w:t xml:space="preserve"> Section 2 reviews the literature on </w:t>
      </w:r>
      <w:r w:rsidR="00CB378B" w:rsidRPr="009D4A13">
        <w:rPr>
          <w:rFonts w:ascii="Times New Roman" w:hAnsi="Times New Roman" w:cs="Times New Roman"/>
          <w:color w:val="auto"/>
        </w:rPr>
        <w:t xml:space="preserve">the </w:t>
      </w:r>
      <w:r w:rsidR="006C61E4" w:rsidRPr="009D4A13">
        <w:rPr>
          <w:rFonts w:ascii="Times New Roman" w:hAnsi="Times New Roman" w:cs="Times New Roman"/>
          <w:color w:val="auto"/>
        </w:rPr>
        <w:t xml:space="preserve">effectiveness of central bank interventions. </w:t>
      </w:r>
      <w:r w:rsidR="00936AFD" w:rsidRPr="009D4A13">
        <w:rPr>
          <w:rFonts w:ascii="Times New Roman" w:hAnsi="Times New Roman" w:cs="Times New Roman"/>
          <w:color w:val="auto"/>
        </w:rPr>
        <w:t xml:space="preserve">Section </w:t>
      </w:r>
      <w:r w:rsidR="006C61E4" w:rsidRPr="009D4A13">
        <w:rPr>
          <w:rFonts w:ascii="Times New Roman" w:hAnsi="Times New Roman" w:cs="Times New Roman"/>
          <w:color w:val="auto"/>
        </w:rPr>
        <w:t>3 outlines the methodology used. Section 4</w:t>
      </w:r>
      <w:r w:rsidR="00936AFD" w:rsidRPr="009D4A13">
        <w:rPr>
          <w:rFonts w:ascii="Times New Roman" w:hAnsi="Times New Roman" w:cs="Times New Roman"/>
          <w:color w:val="auto"/>
        </w:rPr>
        <w:t xml:space="preserve"> </w:t>
      </w:r>
      <w:r w:rsidR="006C61E4" w:rsidRPr="009D4A13">
        <w:rPr>
          <w:rFonts w:ascii="Times New Roman" w:hAnsi="Times New Roman" w:cs="Times New Roman"/>
          <w:color w:val="auto"/>
        </w:rPr>
        <w:t xml:space="preserve">presents the </w:t>
      </w:r>
      <w:proofErr w:type="gramStart"/>
      <w:r w:rsidR="006C61E4" w:rsidRPr="009D4A13">
        <w:rPr>
          <w:rFonts w:ascii="Times New Roman" w:hAnsi="Times New Roman" w:cs="Times New Roman"/>
          <w:color w:val="auto"/>
        </w:rPr>
        <w:t>data</w:t>
      </w:r>
      <w:proofErr w:type="gramEnd"/>
      <w:r w:rsidR="006C61E4" w:rsidRPr="009D4A13">
        <w:rPr>
          <w:rFonts w:ascii="Times New Roman" w:hAnsi="Times New Roman" w:cs="Times New Roman"/>
          <w:color w:val="auto"/>
        </w:rPr>
        <w:t xml:space="preserve"> on </w:t>
      </w:r>
      <w:r w:rsidR="008C7629" w:rsidRPr="009D4A13">
        <w:rPr>
          <w:rFonts w:ascii="Times New Roman" w:hAnsi="Times New Roman" w:cs="Times New Roman"/>
          <w:color w:val="auto"/>
        </w:rPr>
        <w:t xml:space="preserve">the </w:t>
      </w:r>
      <w:r w:rsidR="006C61E4" w:rsidRPr="009D4A13">
        <w:rPr>
          <w:rFonts w:ascii="Times New Roman" w:hAnsi="Times New Roman" w:cs="Times New Roman"/>
          <w:color w:val="auto"/>
        </w:rPr>
        <w:t xml:space="preserve">interventions </w:t>
      </w:r>
      <w:r w:rsidR="008C7629" w:rsidRPr="009D4A13">
        <w:rPr>
          <w:rFonts w:ascii="Times New Roman" w:hAnsi="Times New Roman" w:cs="Times New Roman"/>
          <w:color w:val="auto"/>
        </w:rPr>
        <w:t xml:space="preserve">conducted by the CBRT, </w:t>
      </w:r>
      <w:r w:rsidR="006C61E4" w:rsidRPr="009D4A13">
        <w:rPr>
          <w:rFonts w:ascii="Times New Roman" w:hAnsi="Times New Roman" w:cs="Times New Roman"/>
          <w:color w:val="auto"/>
        </w:rPr>
        <w:t>with descriptive statistics.</w:t>
      </w:r>
      <w:r w:rsidR="00936AFD" w:rsidRPr="009D4A13">
        <w:rPr>
          <w:rFonts w:ascii="Times New Roman" w:hAnsi="Times New Roman" w:cs="Times New Roman"/>
          <w:color w:val="auto"/>
        </w:rPr>
        <w:t xml:space="preserve"> Section</w:t>
      </w:r>
      <w:r w:rsidR="006C61E4" w:rsidRPr="009D4A13">
        <w:rPr>
          <w:rFonts w:ascii="Times New Roman" w:hAnsi="Times New Roman" w:cs="Times New Roman"/>
          <w:color w:val="auto"/>
        </w:rPr>
        <w:t xml:space="preserve"> 5 presents the empiric</w:t>
      </w:r>
      <w:r w:rsidR="007C606A" w:rsidRPr="009D4A13">
        <w:rPr>
          <w:rFonts w:ascii="Times New Roman" w:hAnsi="Times New Roman" w:cs="Times New Roman"/>
          <w:color w:val="auto"/>
        </w:rPr>
        <w:t>al results. Section 6 is the conclusion.</w:t>
      </w:r>
      <w:r w:rsidR="006C61E4" w:rsidRPr="009D4A13">
        <w:rPr>
          <w:rFonts w:ascii="Times New Roman" w:hAnsi="Times New Roman" w:cs="Times New Roman"/>
          <w:color w:val="auto"/>
        </w:rPr>
        <w:t xml:space="preserve"> </w:t>
      </w:r>
    </w:p>
    <w:p w:rsidR="00BC5D91" w:rsidRPr="009D4A13" w:rsidRDefault="00BC5D91" w:rsidP="009D4A13">
      <w:pPr>
        <w:spacing w:after="0" w:line="240" w:lineRule="auto"/>
        <w:jc w:val="both"/>
        <w:rPr>
          <w:rFonts w:ascii="Times New Roman" w:hAnsi="Times New Roman" w:cs="Times New Roman"/>
          <w:sz w:val="24"/>
          <w:szCs w:val="24"/>
        </w:rPr>
      </w:pPr>
    </w:p>
    <w:p w:rsidR="009C48C0" w:rsidRPr="009D4A13" w:rsidRDefault="009D4A13" w:rsidP="009D4A13">
      <w:pPr>
        <w:spacing w:after="0" w:line="240" w:lineRule="auto"/>
        <w:jc w:val="both"/>
        <w:rPr>
          <w:rFonts w:ascii="Times New Roman" w:hAnsi="Times New Roman" w:cs="Times New Roman"/>
          <w:b/>
          <w:sz w:val="28"/>
          <w:szCs w:val="28"/>
        </w:rPr>
      </w:pPr>
      <w:proofErr w:type="gramStart"/>
      <w:r w:rsidRPr="009D4A13">
        <w:rPr>
          <w:rFonts w:ascii="Times New Roman" w:hAnsi="Times New Roman" w:cs="Times New Roman"/>
          <w:b/>
          <w:sz w:val="28"/>
          <w:szCs w:val="28"/>
        </w:rPr>
        <w:t xml:space="preserve">2     </w:t>
      </w:r>
      <w:r w:rsidR="002C670F" w:rsidRPr="009D4A13">
        <w:rPr>
          <w:rFonts w:ascii="Times New Roman" w:hAnsi="Times New Roman" w:cs="Times New Roman"/>
          <w:b/>
          <w:sz w:val="28"/>
          <w:szCs w:val="28"/>
        </w:rPr>
        <w:t>Literature</w:t>
      </w:r>
      <w:proofErr w:type="gramEnd"/>
    </w:p>
    <w:p w:rsidR="009C48C0" w:rsidRPr="009D4A13" w:rsidRDefault="007350DB" w:rsidP="009D4A13">
      <w:pPr>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 xml:space="preserve">As it is mentioned before, </w:t>
      </w:r>
      <w:r w:rsidR="008A6667" w:rsidRPr="009D4A13">
        <w:rPr>
          <w:rFonts w:ascii="Times New Roman" w:hAnsi="Times New Roman" w:cs="Times New Roman"/>
          <w:sz w:val="24"/>
          <w:szCs w:val="24"/>
        </w:rPr>
        <w:t>empirical literature</w:t>
      </w:r>
      <w:r w:rsidRPr="009D4A13">
        <w:rPr>
          <w:rFonts w:ascii="Times New Roman" w:hAnsi="Times New Roman" w:cs="Times New Roman"/>
          <w:sz w:val="24"/>
          <w:szCs w:val="24"/>
        </w:rPr>
        <w:t xml:space="preserve"> on the effectiveness of central bank interventions </w:t>
      </w:r>
      <w:r w:rsidR="008A6667" w:rsidRPr="009D4A13">
        <w:rPr>
          <w:rFonts w:ascii="Times New Roman" w:hAnsi="Times New Roman" w:cs="Times New Roman"/>
          <w:sz w:val="24"/>
          <w:szCs w:val="24"/>
        </w:rPr>
        <w:t xml:space="preserve">presents mixed results. </w:t>
      </w:r>
      <w:proofErr w:type="gramStart"/>
      <w:r w:rsidR="006B5A4A">
        <w:rPr>
          <w:rFonts w:ascii="Times New Roman" w:hAnsi="Times New Roman" w:cs="Times New Roman"/>
          <w:sz w:val="24"/>
          <w:szCs w:val="24"/>
        </w:rPr>
        <w:t>[8]</w:t>
      </w:r>
      <w:r w:rsidR="004E4964" w:rsidRPr="009D4A13">
        <w:rPr>
          <w:rFonts w:ascii="Times New Roman" w:hAnsi="Times New Roman" w:cs="Times New Roman"/>
          <w:sz w:val="24"/>
          <w:szCs w:val="24"/>
        </w:rPr>
        <w:t xml:space="preserve"> claim that official intervention did not smooth exchange rate volatility of Australian dollar during 1983</w:t>
      </w:r>
      <w:r w:rsidR="00B43C32">
        <w:rPr>
          <w:rFonts w:ascii="Times New Roman" w:hAnsi="Times New Roman" w:cs="Times New Roman"/>
          <w:sz w:val="24"/>
          <w:szCs w:val="24"/>
        </w:rPr>
        <w:t>–</w:t>
      </w:r>
      <w:r w:rsidR="004E4964" w:rsidRPr="009D4A13">
        <w:rPr>
          <w:rFonts w:ascii="Times New Roman" w:hAnsi="Times New Roman" w:cs="Times New Roman"/>
          <w:sz w:val="24"/>
          <w:szCs w:val="24"/>
        </w:rPr>
        <w:t xml:space="preserve">1993. </w:t>
      </w:r>
      <w:r w:rsidR="006B5A4A">
        <w:rPr>
          <w:rFonts w:ascii="Times New Roman" w:hAnsi="Times New Roman" w:cs="Times New Roman"/>
          <w:sz w:val="24"/>
          <w:szCs w:val="24"/>
        </w:rPr>
        <w:t>[5]</w:t>
      </w:r>
      <w:r w:rsidR="009C48C0" w:rsidRPr="009D4A13">
        <w:rPr>
          <w:rFonts w:ascii="Times New Roman" w:hAnsi="Times New Roman" w:cs="Times New Roman"/>
          <w:sz w:val="24"/>
          <w:szCs w:val="24"/>
        </w:rPr>
        <w:t xml:space="preserve"> examines the impact of interventions </w:t>
      </w:r>
      <w:r w:rsidR="008F1199">
        <w:rPr>
          <w:rFonts w:ascii="Times New Roman" w:hAnsi="Times New Roman" w:cs="Times New Roman"/>
          <w:sz w:val="24"/>
          <w:szCs w:val="24"/>
        </w:rPr>
        <w:t>on daily and short</w:t>
      </w:r>
      <w:r w:rsidR="00B43C32">
        <w:rPr>
          <w:rFonts w:ascii="Times New Roman" w:hAnsi="Times New Roman" w:cs="Times New Roman"/>
          <w:sz w:val="24"/>
          <w:szCs w:val="24"/>
        </w:rPr>
        <w:t>–</w:t>
      </w:r>
      <w:r w:rsidR="009C48C0" w:rsidRPr="009D4A13">
        <w:rPr>
          <w:rFonts w:ascii="Times New Roman" w:hAnsi="Times New Roman" w:cs="Times New Roman"/>
          <w:sz w:val="24"/>
          <w:szCs w:val="24"/>
        </w:rPr>
        <w:t>term behaviour of exchange rate volatility by the US, the Japanese and the German central banks using a GARCH model for the period ranged from 1977 to 1994 in the</w:t>
      </w:r>
      <w:r w:rsidR="00750947" w:rsidRPr="009D4A13">
        <w:rPr>
          <w:rFonts w:ascii="Times New Roman" w:hAnsi="Times New Roman" w:cs="Times New Roman"/>
          <w:sz w:val="24"/>
          <w:szCs w:val="24"/>
        </w:rPr>
        <w:t xml:space="preserve"> </w:t>
      </w:r>
      <w:r w:rsidR="009C48C0" w:rsidRPr="009D4A13">
        <w:rPr>
          <w:rFonts w:ascii="Times New Roman" w:hAnsi="Times New Roman" w:cs="Times New Roman"/>
          <w:sz w:val="24"/>
          <w:szCs w:val="24"/>
        </w:rPr>
        <w:t xml:space="preserve">USD/JPY and the USD/DM markets. </w:t>
      </w:r>
      <w:proofErr w:type="gramEnd"/>
      <w:r w:rsidR="009C48C0" w:rsidRPr="009D4A13">
        <w:rPr>
          <w:rFonts w:ascii="Times New Roman" w:hAnsi="Times New Roman" w:cs="Times New Roman"/>
          <w:sz w:val="24"/>
          <w:szCs w:val="24"/>
        </w:rPr>
        <w:t xml:space="preserve">She reveales that central banks’ interventions reduce exchange rate volatility </w:t>
      </w:r>
      <w:r w:rsidR="008F1199">
        <w:rPr>
          <w:rFonts w:ascii="Times New Roman" w:hAnsi="Times New Roman" w:cs="Times New Roman"/>
          <w:sz w:val="24"/>
          <w:szCs w:val="24"/>
        </w:rPr>
        <w:t xml:space="preserve">only </w:t>
      </w:r>
      <w:r w:rsidR="009C48C0" w:rsidRPr="009D4A13">
        <w:rPr>
          <w:rFonts w:ascii="Times New Roman" w:hAnsi="Times New Roman" w:cs="Times New Roman"/>
          <w:sz w:val="24"/>
          <w:szCs w:val="24"/>
        </w:rPr>
        <w:t>in the mid</w:t>
      </w:r>
      <w:r w:rsidR="00B43C32">
        <w:rPr>
          <w:rFonts w:ascii="Times New Roman" w:hAnsi="Times New Roman" w:cs="Times New Roman"/>
          <w:sz w:val="24"/>
          <w:szCs w:val="24"/>
        </w:rPr>
        <w:t>–</w:t>
      </w:r>
      <w:r w:rsidR="009C48C0" w:rsidRPr="009D4A13">
        <w:rPr>
          <w:rFonts w:ascii="Times New Roman" w:hAnsi="Times New Roman" w:cs="Times New Roman"/>
          <w:sz w:val="24"/>
          <w:szCs w:val="24"/>
        </w:rPr>
        <w:t>1980s</w:t>
      </w:r>
      <w:r w:rsidR="008F1199">
        <w:rPr>
          <w:rFonts w:ascii="Times New Roman" w:hAnsi="Times New Roman" w:cs="Times New Roman"/>
          <w:sz w:val="24"/>
          <w:szCs w:val="24"/>
        </w:rPr>
        <w:t xml:space="preserve"> subperiod, however,</w:t>
      </w:r>
      <w:r w:rsidR="009C48C0" w:rsidRPr="009D4A13">
        <w:rPr>
          <w:rFonts w:ascii="Times New Roman" w:hAnsi="Times New Roman" w:cs="Times New Roman"/>
          <w:sz w:val="24"/>
          <w:szCs w:val="24"/>
        </w:rPr>
        <w:t xml:space="preserve"> generally lead to higher exchange rate volatility for the full sample period. According to the results of this study, interventions need not be announced by central bank</w:t>
      </w:r>
      <w:r w:rsidR="008F1199">
        <w:rPr>
          <w:rFonts w:ascii="Times New Roman" w:hAnsi="Times New Roman" w:cs="Times New Roman"/>
          <w:sz w:val="24"/>
          <w:szCs w:val="24"/>
        </w:rPr>
        <w:t xml:space="preserve"> in order to be effective. </w:t>
      </w:r>
      <w:proofErr w:type="gramStart"/>
      <w:r w:rsidR="006B5A4A">
        <w:rPr>
          <w:rFonts w:ascii="Times New Roman" w:hAnsi="Times New Roman" w:cs="Times New Roman"/>
          <w:sz w:val="24"/>
          <w:szCs w:val="24"/>
        </w:rPr>
        <w:t>[6]</w:t>
      </w:r>
      <w:r w:rsidR="009C48C0" w:rsidRPr="009D4A13">
        <w:rPr>
          <w:rFonts w:ascii="Times New Roman" w:hAnsi="Times New Roman" w:cs="Times New Roman"/>
          <w:sz w:val="24"/>
          <w:szCs w:val="24"/>
        </w:rPr>
        <w:t xml:space="preserve"> investigate daily interventions undertaken by these three central banks over the period from August 1985 through March 1990 using a GARCH model and find no significant impact on the conditional mea</w:t>
      </w:r>
      <w:r w:rsidR="008F1199">
        <w:rPr>
          <w:rFonts w:ascii="Times New Roman" w:hAnsi="Times New Roman" w:cs="Times New Roman"/>
          <w:sz w:val="24"/>
          <w:szCs w:val="24"/>
        </w:rPr>
        <w:t xml:space="preserve">n and volatility in the spot </w:t>
      </w:r>
      <w:r w:rsidR="009C48C0" w:rsidRPr="009D4A13">
        <w:rPr>
          <w:rFonts w:ascii="Times New Roman" w:hAnsi="Times New Roman" w:cs="Times New Roman"/>
          <w:sz w:val="24"/>
          <w:szCs w:val="24"/>
        </w:rPr>
        <w:t>exchange rates generally, though purchases of US dollars by the FED are associated with dollar depreciation.</w:t>
      </w:r>
      <w:r w:rsidR="008F1199">
        <w:rPr>
          <w:rFonts w:ascii="Times New Roman" w:hAnsi="Times New Roman" w:cs="Times New Roman"/>
          <w:sz w:val="24"/>
          <w:szCs w:val="24"/>
        </w:rPr>
        <w:t xml:space="preserve"> </w:t>
      </w:r>
      <w:proofErr w:type="gramEnd"/>
      <w:r w:rsidR="006B5A4A">
        <w:rPr>
          <w:rFonts w:ascii="Times New Roman" w:hAnsi="Times New Roman" w:cs="Times New Roman"/>
          <w:sz w:val="24"/>
          <w:szCs w:val="24"/>
        </w:rPr>
        <w:t xml:space="preserve">[9], </w:t>
      </w:r>
      <w:r w:rsidR="009C48C0" w:rsidRPr="009D4A13">
        <w:rPr>
          <w:rFonts w:ascii="Times New Roman" w:hAnsi="Times New Roman" w:cs="Times New Roman"/>
          <w:sz w:val="24"/>
          <w:szCs w:val="24"/>
        </w:rPr>
        <w:t xml:space="preserve">applying a univariate regression approach to analyze effectiveness of interventions conducted by the FED and the Bundesbank, report that interventions might have influenced </w:t>
      </w:r>
      <w:r w:rsidR="00153696">
        <w:rPr>
          <w:rFonts w:ascii="Times New Roman" w:hAnsi="Times New Roman" w:cs="Times New Roman"/>
          <w:sz w:val="24"/>
          <w:szCs w:val="24"/>
        </w:rPr>
        <w:t>exchange rates during the mid</w:t>
      </w:r>
      <w:r w:rsidR="00B43C32">
        <w:rPr>
          <w:rFonts w:ascii="Times New Roman" w:hAnsi="Times New Roman" w:cs="Times New Roman"/>
          <w:sz w:val="24"/>
          <w:szCs w:val="24"/>
        </w:rPr>
        <w:t>–</w:t>
      </w:r>
      <w:r w:rsidR="009C48C0" w:rsidRPr="009D4A13">
        <w:rPr>
          <w:rFonts w:ascii="Times New Roman" w:hAnsi="Times New Roman" w:cs="Times New Roman"/>
          <w:sz w:val="24"/>
          <w:szCs w:val="24"/>
        </w:rPr>
        <w:t xml:space="preserve">1980s. </w:t>
      </w:r>
      <w:r w:rsidR="006B5A4A">
        <w:rPr>
          <w:rFonts w:ascii="Times New Roman" w:hAnsi="Times New Roman" w:cs="Times New Roman"/>
          <w:sz w:val="24"/>
          <w:szCs w:val="24"/>
        </w:rPr>
        <w:t>[10],</w:t>
      </w:r>
      <w:r w:rsidR="009C48C0" w:rsidRPr="009D4A13">
        <w:rPr>
          <w:rFonts w:ascii="Times New Roman" w:hAnsi="Times New Roman" w:cs="Times New Roman"/>
          <w:sz w:val="24"/>
          <w:szCs w:val="24"/>
        </w:rPr>
        <w:t xml:space="preserve"> analysing implied volatilities extracted from currency options </w:t>
      </w:r>
      <w:proofErr w:type="gramStart"/>
      <w:r w:rsidR="009C48C0" w:rsidRPr="009D4A13">
        <w:rPr>
          <w:rFonts w:ascii="Times New Roman" w:hAnsi="Times New Roman" w:cs="Times New Roman"/>
          <w:sz w:val="24"/>
          <w:szCs w:val="24"/>
        </w:rPr>
        <w:t>data</w:t>
      </w:r>
      <w:proofErr w:type="gramEnd"/>
      <w:r w:rsidR="009C48C0" w:rsidRPr="009D4A13">
        <w:rPr>
          <w:rFonts w:ascii="Times New Roman" w:hAnsi="Times New Roman" w:cs="Times New Roman"/>
          <w:sz w:val="24"/>
          <w:szCs w:val="24"/>
        </w:rPr>
        <w:t xml:space="preserve"> on the USD/DM and USD/JPY rates, find that interventions conducted by these two </w:t>
      </w:r>
      <w:r w:rsidR="009C48C0" w:rsidRPr="009D4A13">
        <w:rPr>
          <w:rFonts w:ascii="Times New Roman" w:hAnsi="Times New Roman" w:cs="Times New Roman"/>
          <w:sz w:val="24"/>
          <w:szCs w:val="24"/>
        </w:rPr>
        <w:lastRenderedPageBreak/>
        <w:t xml:space="preserve">central banks generally either show no significant impact or even increase expected exchange rate volatility for the period from 1985 to 1991. Authors find weak evidence for the hypothesis that intervention is associated with reduced exchange rate volatility only for the subperiod from 1990 to 1991. These findings are also confirmed by </w:t>
      </w:r>
      <w:r w:rsidR="006B5A4A">
        <w:rPr>
          <w:rFonts w:ascii="Times New Roman" w:hAnsi="Times New Roman" w:cs="Times New Roman"/>
          <w:sz w:val="24"/>
          <w:szCs w:val="24"/>
        </w:rPr>
        <w:t>[11]</w:t>
      </w:r>
      <w:r w:rsidR="009C48C0" w:rsidRPr="009D4A13">
        <w:rPr>
          <w:rFonts w:ascii="Times New Roman" w:hAnsi="Times New Roman" w:cs="Times New Roman"/>
          <w:sz w:val="24"/>
          <w:szCs w:val="24"/>
        </w:rPr>
        <w:t xml:space="preserve"> who find that interventions conducted during the years following the Louvre Accord were unsuccessful in reducing volatility. Similarly, </w:t>
      </w:r>
      <w:r w:rsidR="006B5A4A">
        <w:rPr>
          <w:rFonts w:ascii="Times New Roman" w:hAnsi="Times New Roman" w:cs="Times New Roman"/>
          <w:sz w:val="24"/>
          <w:szCs w:val="24"/>
        </w:rPr>
        <w:t>[12]</w:t>
      </w:r>
      <w:r w:rsidR="009C48C0" w:rsidRPr="009D4A13">
        <w:rPr>
          <w:rFonts w:ascii="Times New Roman" w:hAnsi="Times New Roman" w:cs="Times New Roman"/>
          <w:sz w:val="24"/>
          <w:szCs w:val="24"/>
        </w:rPr>
        <w:t xml:space="preserve"> report significant positive intervention effects on exchange rate volatilities, applying a Tobit analysis to the USD/DM rate for the period from 1985 to 1989. </w:t>
      </w:r>
      <w:r w:rsidR="000270E2">
        <w:rPr>
          <w:rFonts w:ascii="Times New Roman" w:hAnsi="Times New Roman" w:cs="Times New Roman"/>
          <w:sz w:val="24"/>
          <w:szCs w:val="24"/>
        </w:rPr>
        <w:t>[13]</w:t>
      </w:r>
      <w:r w:rsidR="009C48C0" w:rsidRPr="009D4A13">
        <w:rPr>
          <w:rFonts w:ascii="Times New Roman" w:hAnsi="Times New Roman" w:cs="Times New Roman"/>
          <w:sz w:val="24"/>
          <w:szCs w:val="24"/>
        </w:rPr>
        <w:t xml:space="preserve"> present an opinion that the finding of interventions were ineffective in the most researchs conducted in relation with the 1980s results from poor quality of the </w:t>
      </w:r>
      <w:proofErr w:type="gramStart"/>
      <w:r w:rsidR="009C48C0" w:rsidRPr="009D4A13">
        <w:rPr>
          <w:rFonts w:ascii="Times New Roman" w:hAnsi="Times New Roman" w:cs="Times New Roman"/>
          <w:sz w:val="24"/>
          <w:szCs w:val="24"/>
        </w:rPr>
        <w:t>data</w:t>
      </w:r>
      <w:proofErr w:type="gramEnd"/>
      <w:r w:rsidR="009C48C0" w:rsidRPr="009D4A13">
        <w:rPr>
          <w:rFonts w:ascii="Times New Roman" w:hAnsi="Times New Roman" w:cs="Times New Roman"/>
          <w:sz w:val="24"/>
          <w:szCs w:val="24"/>
        </w:rPr>
        <w:t xml:space="preserve"> used. </w:t>
      </w:r>
    </w:p>
    <w:p w:rsidR="009C48C0" w:rsidRPr="009D4A13" w:rsidRDefault="009C48C0" w:rsidP="009D4A13">
      <w:pPr>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 xml:space="preserve">Also, the studies conducted by </w:t>
      </w:r>
      <w:r w:rsidR="00D2426F">
        <w:rPr>
          <w:rFonts w:ascii="Times New Roman" w:hAnsi="Times New Roman" w:cs="Times New Roman"/>
          <w:sz w:val="24"/>
          <w:szCs w:val="24"/>
        </w:rPr>
        <w:t>[14],</w:t>
      </w:r>
      <w:r w:rsidRPr="009D4A13">
        <w:rPr>
          <w:rFonts w:ascii="Times New Roman" w:hAnsi="Times New Roman" w:cs="Times New Roman"/>
          <w:sz w:val="24"/>
          <w:szCs w:val="24"/>
        </w:rPr>
        <w:t xml:space="preserve"> </w:t>
      </w:r>
      <w:r w:rsidR="00D2426F">
        <w:rPr>
          <w:rFonts w:ascii="Times New Roman" w:hAnsi="Times New Roman" w:cs="Times New Roman"/>
          <w:sz w:val="24"/>
          <w:szCs w:val="24"/>
        </w:rPr>
        <w:t>[15]</w:t>
      </w:r>
      <w:r w:rsidRPr="009D4A13">
        <w:rPr>
          <w:rFonts w:ascii="Times New Roman" w:hAnsi="Times New Roman" w:cs="Times New Roman"/>
          <w:sz w:val="24"/>
          <w:szCs w:val="24"/>
        </w:rPr>
        <w:t xml:space="preserve"> and </w:t>
      </w:r>
      <w:r w:rsidR="00D2426F">
        <w:rPr>
          <w:rFonts w:ascii="Times New Roman" w:hAnsi="Times New Roman" w:cs="Times New Roman"/>
          <w:sz w:val="24"/>
          <w:szCs w:val="24"/>
        </w:rPr>
        <w:t>[16]</w:t>
      </w:r>
      <w:r w:rsidRPr="009D4A13">
        <w:rPr>
          <w:rFonts w:ascii="Times New Roman" w:hAnsi="Times New Roman" w:cs="Times New Roman"/>
          <w:sz w:val="24"/>
          <w:szCs w:val="24"/>
        </w:rPr>
        <w:t xml:space="preserve"> find that interventions generally increase foreign exchange volatility. Some studies, such as, </w:t>
      </w:r>
      <w:r w:rsidR="00D2426F">
        <w:rPr>
          <w:rFonts w:ascii="Times New Roman" w:hAnsi="Times New Roman" w:cs="Times New Roman"/>
          <w:sz w:val="24"/>
          <w:szCs w:val="24"/>
        </w:rPr>
        <w:t>[17]</w:t>
      </w:r>
      <w:r w:rsidRPr="009D4A13">
        <w:rPr>
          <w:rFonts w:ascii="Times New Roman" w:hAnsi="Times New Roman" w:cs="Times New Roman"/>
          <w:sz w:val="24"/>
          <w:szCs w:val="24"/>
        </w:rPr>
        <w:t xml:space="preserve"> and </w:t>
      </w:r>
      <w:r w:rsidR="00D01720">
        <w:rPr>
          <w:rFonts w:ascii="Times New Roman" w:hAnsi="Times New Roman" w:cs="Times New Roman"/>
          <w:sz w:val="24"/>
          <w:szCs w:val="24"/>
        </w:rPr>
        <w:t>[2]</w:t>
      </w:r>
      <w:r w:rsidRPr="009D4A13">
        <w:rPr>
          <w:rFonts w:ascii="Times New Roman" w:hAnsi="Times New Roman" w:cs="Times New Roman"/>
          <w:sz w:val="24"/>
          <w:szCs w:val="24"/>
        </w:rPr>
        <w:t xml:space="preserve"> find positive and significant impact </w:t>
      </w:r>
      <w:r w:rsidR="00D06A42" w:rsidRPr="009D4A13">
        <w:rPr>
          <w:rFonts w:ascii="Times New Roman" w:hAnsi="Times New Roman" w:cs="Times New Roman"/>
          <w:sz w:val="24"/>
          <w:szCs w:val="24"/>
        </w:rPr>
        <w:t xml:space="preserve">on exchange rate volatility, but </w:t>
      </w:r>
      <w:r w:rsidRPr="009D4A13">
        <w:rPr>
          <w:rFonts w:ascii="Times New Roman" w:hAnsi="Times New Roman" w:cs="Times New Roman"/>
          <w:sz w:val="24"/>
          <w:szCs w:val="24"/>
        </w:rPr>
        <w:t xml:space="preserve">no impact on exchange rate level. </w:t>
      </w:r>
      <w:proofErr w:type="gramStart"/>
      <w:r w:rsidR="00D01720">
        <w:rPr>
          <w:rFonts w:ascii="Times New Roman" w:hAnsi="Times New Roman" w:cs="Times New Roman"/>
          <w:sz w:val="24"/>
          <w:szCs w:val="24"/>
        </w:rPr>
        <w:t>[18]</w:t>
      </w:r>
      <w:r w:rsidRPr="009D4A13">
        <w:rPr>
          <w:rFonts w:ascii="Times New Roman" w:hAnsi="Times New Roman" w:cs="Times New Roman"/>
          <w:sz w:val="24"/>
          <w:szCs w:val="24"/>
        </w:rPr>
        <w:t xml:space="preserve"> find evidence that interventions tend to increase exchange rate volatility and exert an inccorrectly signed effect on the exchange rate level, testing the US, the German and the Japanese central bank interventions on the evolution and volatility of daily US</w:t>
      </w:r>
      <w:r w:rsidR="00146296">
        <w:rPr>
          <w:rFonts w:ascii="Times New Roman" w:hAnsi="Times New Roman" w:cs="Times New Roman"/>
          <w:sz w:val="24"/>
          <w:szCs w:val="24"/>
        </w:rPr>
        <w:t xml:space="preserve">D/DM and USD/JPY rates based on </w:t>
      </w:r>
      <w:r w:rsidRPr="009D4A13">
        <w:rPr>
          <w:rFonts w:ascii="Times New Roman" w:hAnsi="Times New Roman" w:cs="Times New Roman"/>
          <w:sz w:val="24"/>
          <w:szCs w:val="24"/>
        </w:rPr>
        <w:t>FIGARCH model.</w:t>
      </w:r>
      <w:proofErr w:type="gramEnd"/>
    </w:p>
    <w:p w:rsidR="008F1199" w:rsidRDefault="00D01720" w:rsidP="009D4A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C48C0" w:rsidRPr="009D4A13">
        <w:rPr>
          <w:rFonts w:ascii="Times New Roman" w:hAnsi="Times New Roman" w:cs="Times New Roman"/>
          <w:sz w:val="24"/>
          <w:szCs w:val="24"/>
        </w:rPr>
        <w:t xml:space="preserve"> suggests that interventions conducted by the FED for three years following the Louvre Accord effectively smoothed the USD/DM and the USD/JPY spot rates. In this study, intervention is defined as effective in terms of smoothing exchange rate movements. According to the results, the probability of success is higher when intervention is coordinated with other major central banks and when the dollar amount is large. </w:t>
      </w:r>
      <w:r w:rsidR="00C0428E">
        <w:rPr>
          <w:rFonts w:ascii="Times New Roman" w:hAnsi="Times New Roman" w:cs="Times New Roman"/>
          <w:sz w:val="24"/>
          <w:szCs w:val="24"/>
        </w:rPr>
        <w:t xml:space="preserve">[20] </w:t>
      </w:r>
      <w:r w:rsidR="009C48C0" w:rsidRPr="009D4A13">
        <w:rPr>
          <w:rFonts w:ascii="Times New Roman" w:hAnsi="Times New Roman" w:cs="Times New Roman"/>
          <w:sz w:val="24"/>
          <w:szCs w:val="24"/>
        </w:rPr>
        <w:t xml:space="preserve">report that interventions conducted by the FED affected exchange rates in the USD/DM and the USD/JPY markets during the period from 1985 to 1990, and also concluded that when intervention is followed by inconsistent monetary policy, exchange rate tend to move in the unexpected direction. </w:t>
      </w:r>
    </w:p>
    <w:p w:rsidR="004A525D" w:rsidRDefault="00C0428E" w:rsidP="009D4A1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[21]</w:t>
      </w:r>
      <w:r w:rsidR="009C48C0" w:rsidRPr="009D4A13">
        <w:rPr>
          <w:rFonts w:ascii="Times New Roman" w:hAnsi="Times New Roman" w:cs="Times New Roman"/>
          <w:sz w:val="24"/>
          <w:szCs w:val="24"/>
        </w:rPr>
        <w:t xml:space="preserve"> use the Exponential GARCH methodology to examine the effectiveness of daily reported interventions conducted by the Reserve Bank of Australia on the USD/AUD exchange rate for the period 1983</w:t>
      </w:r>
      <w:r w:rsidR="00B43C32">
        <w:rPr>
          <w:rFonts w:ascii="Times New Roman" w:hAnsi="Times New Roman" w:cs="Times New Roman"/>
          <w:sz w:val="24"/>
          <w:szCs w:val="24"/>
        </w:rPr>
        <w:t>–</w:t>
      </w:r>
      <w:r w:rsidR="009C48C0" w:rsidRPr="009D4A13">
        <w:rPr>
          <w:rFonts w:ascii="Times New Roman" w:hAnsi="Times New Roman" w:cs="Times New Roman"/>
          <w:sz w:val="24"/>
          <w:szCs w:val="24"/>
        </w:rPr>
        <w:t>1997. Authors find evidence of a stabilising influence of sustained and large</w:t>
      </w:r>
      <w:r w:rsidR="00B43C32">
        <w:rPr>
          <w:rFonts w:ascii="Times New Roman" w:hAnsi="Times New Roman" w:cs="Times New Roman"/>
          <w:sz w:val="24"/>
          <w:szCs w:val="24"/>
        </w:rPr>
        <w:t>–</w:t>
      </w:r>
      <w:r w:rsidR="009C48C0" w:rsidRPr="009D4A13">
        <w:rPr>
          <w:rFonts w:ascii="Times New Roman" w:hAnsi="Times New Roman" w:cs="Times New Roman"/>
          <w:sz w:val="24"/>
          <w:szCs w:val="24"/>
        </w:rPr>
        <w:t xml:space="preserve">scale interventions on the exchange rate in terms of the direction and volatility of exchange rate changes; purchases of Australian dollar tend to appreciate the currency and reduce its conditional volatility. </w:t>
      </w:r>
      <w:proofErr w:type="gramEnd"/>
      <w:r w:rsidR="009C48C0" w:rsidRPr="009D4A13">
        <w:rPr>
          <w:rFonts w:ascii="Times New Roman" w:hAnsi="Times New Roman" w:cs="Times New Roman"/>
          <w:sz w:val="24"/>
          <w:szCs w:val="24"/>
        </w:rPr>
        <w:t xml:space="preserve">The effect on the mean depends on the size of intervention; the larger is the size of intervention, the greater is the impact on the mean. Authors also find that official statements about intervention have little effect on the exchange rate in general, however, when there are some large swings in the exchange rate, the Reserve Bank of Australia’s official statements have a very significant destabilising effect. Thus, higher volatility is a result of interventions could be misleading. </w:t>
      </w:r>
      <w:r>
        <w:rPr>
          <w:rFonts w:ascii="Times New Roman" w:hAnsi="Times New Roman" w:cs="Times New Roman"/>
          <w:sz w:val="24"/>
          <w:szCs w:val="24"/>
        </w:rPr>
        <w:t>[22]</w:t>
      </w:r>
      <w:r w:rsidR="00B522EF" w:rsidRPr="009D4A13">
        <w:rPr>
          <w:rFonts w:ascii="Times New Roman" w:hAnsi="Times New Roman" w:cs="Times New Roman"/>
          <w:sz w:val="24"/>
          <w:szCs w:val="24"/>
        </w:rPr>
        <w:t xml:space="preserve"> document evidence for stabilizing effects of interventions over certain periods. </w:t>
      </w:r>
    </w:p>
    <w:p w:rsidR="009C48C0" w:rsidRPr="009D4A13" w:rsidRDefault="00C0428E" w:rsidP="009D4A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9C48C0" w:rsidRPr="009D4A13">
        <w:rPr>
          <w:rFonts w:ascii="Times New Roman" w:hAnsi="Times New Roman" w:cs="Times New Roman"/>
          <w:sz w:val="24"/>
          <w:szCs w:val="24"/>
        </w:rPr>
        <w:t xml:space="preserve"> and </w:t>
      </w:r>
      <w:r>
        <w:rPr>
          <w:rFonts w:ascii="Times New Roman" w:hAnsi="Times New Roman" w:cs="Times New Roman"/>
          <w:sz w:val="24"/>
          <w:szCs w:val="24"/>
        </w:rPr>
        <w:t>[24]</w:t>
      </w:r>
      <w:r w:rsidR="009C48C0" w:rsidRPr="009D4A13">
        <w:rPr>
          <w:rFonts w:ascii="Times New Roman" w:hAnsi="Times New Roman" w:cs="Times New Roman"/>
          <w:sz w:val="24"/>
          <w:szCs w:val="24"/>
        </w:rPr>
        <w:t xml:space="preserve"> report that interventions are e</w:t>
      </w:r>
      <w:r w:rsidR="009C48C0" w:rsidRPr="009D4A13">
        <w:rPr>
          <w:rFonts w:ascii="Cambria Math" w:hAnsi="Cambria Math" w:cs="Cambria Math"/>
          <w:sz w:val="24"/>
          <w:szCs w:val="24"/>
        </w:rPr>
        <w:t>ﬀ</w:t>
      </w:r>
      <w:r w:rsidR="009C48C0" w:rsidRPr="009D4A13">
        <w:rPr>
          <w:rFonts w:ascii="Times New Roman" w:hAnsi="Times New Roman" w:cs="Times New Roman"/>
          <w:sz w:val="24"/>
          <w:szCs w:val="24"/>
        </w:rPr>
        <w:t>ective to reduce the exchange rate volatility for the Reserve Bank of Australia and the Bank of Japan, respectively, while low frequency and o</w:t>
      </w:r>
      <w:r w:rsidR="009C48C0" w:rsidRPr="009D4A13">
        <w:rPr>
          <w:rFonts w:ascii="Cambria Math" w:hAnsi="Cambria Math" w:cs="Cambria Math"/>
          <w:sz w:val="24"/>
          <w:szCs w:val="24"/>
        </w:rPr>
        <w:t>ﬃ</w:t>
      </w:r>
      <w:r w:rsidR="009C48C0" w:rsidRPr="009D4A13">
        <w:rPr>
          <w:rFonts w:ascii="Times New Roman" w:hAnsi="Times New Roman" w:cs="Times New Roman"/>
          <w:sz w:val="24"/>
          <w:szCs w:val="24"/>
        </w:rPr>
        <w:t>cially announced interventions mainly a</w:t>
      </w:r>
      <w:r w:rsidR="009C48C0" w:rsidRPr="009D4A13">
        <w:rPr>
          <w:rFonts w:ascii="Cambria Math" w:hAnsi="Cambria Math" w:cs="Cambria Math"/>
          <w:sz w:val="24"/>
          <w:szCs w:val="24"/>
        </w:rPr>
        <w:t>ﬀ</w:t>
      </w:r>
      <w:r w:rsidR="009C48C0" w:rsidRPr="009D4A13">
        <w:rPr>
          <w:rFonts w:ascii="Times New Roman" w:hAnsi="Times New Roman" w:cs="Times New Roman"/>
          <w:sz w:val="24"/>
          <w:szCs w:val="24"/>
        </w:rPr>
        <w:t xml:space="preserve">ect the exchange rate level. Some studies, such as, </w:t>
      </w:r>
      <w:r>
        <w:rPr>
          <w:rFonts w:ascii="Times New Roman" w:hAnsi="Times New Roman" w:cs="Times New Roman"/>
          <w:sz w:val="24"/>
          <w:szCs w:val="24"/>
        </w:rPr>
        <w:t>[25], [26]</w:t>
      </w:r>
      <w:r w:rsidR="009C48C0" w:rsidRPr="009D4A13">
        <w:rPr>
          <w:rFonts w:ascii="Times New Roman" w:hAnsi="Times New Roman" w:cs="Times New Roman"/>
          <w:sz w:val="24"/>
          <w:szCs w:val="24"/>
        </w:rPr>
        <w:t xml:space="preserve">, and </w:t>
      </w:r>
      <w:r>
        <w:rPr>
          <w:rFonts w:ascii="Times New Roman" w:hAnsi="Times New Roman" w:cs="Times New Roman"/>
          <w:sz w:val="24"/>
          <w:szCs w:val="24"/>
        </w:rPr>
        <w:t xml:space="preserve">[27] </w:t>
      </w:r>
      <w:r w:rsidR="009C48C0" w:rsidRPr="009D4A13">
        <w:rPr>
          <w:rFonts w:ascii="Times New Roman" w:hAnsi="Times New Roman" w:cs="Times New Roman"/>
          <w:sz w:val="24"/>
          <w:szCs w:val="24"/>
        </w:rPr>
        <w:t xml:space="preserve">conclude that central bank interventions have a signiﬁcant impact on the exchange rate when it is coordinated, publicly announced, large and rare, at least in the short run. Some studies, such as, </w:t>
      </w:r>
      <w:r>
        <w:rPr>
          <w:rFonts w:ascii="Times New Roman" w:hAnsi="Times New Roman" w:cs="Times New Roman"/>
          <w:sz w:val="24"/>
          <w:szCs w:val="24"/>
        </w:rPr>
        <w:t>[28],</w:t>
      </w:r>
      <w:r w:rsidR="009C48C0" w:rsidRPr="009D4A13">
        <w:rPr>
          <w:rFonts w:ascii="Times New Roman" w:hAnsi="Times New Roman" w:cs="Times New Roman"/>
          <w:sz w:val="24"/>
          <w:szCs w:val="24"/>
        </w:rPr>
        <w:t xml:space="preserve"> </w:t>
      </w:r>
      <w:r>
        <w:rPr>
          <w:rFonts w:ascii="Times New Roman" w:hAnsi="Times New Roman" w:cs="Times New Roman"/>
          <w:sz w:val="24"/>
          <w:szCs w:val="24"/>
        </w:rPr>
        <w:t>[16] and [29]</w:t>
      </w:r>
      <w:r w:rsidR="009C48C0" w:rsidRPr="009D4A13">
        <w:rPr>
          <w:rFonts w:ascii="Times New Roman" w:hAnsi="Times New Roman" w:cs="Times New Roman"/>
          <w:sz w:val="24"/>
          <w:szCs w:val="24"/>
        </w:rPr>
        <w:t xml:space="preserve"> document that interventions affect the level of the exchange rate. Among these studies, for instance, </w:t>
      </w:r>
      <w:r>
        <w:rPr>
          <w:rFonts w:ascii="Times New Roman" w:hAnsi="Times New Roman" w:cs="Times New Roman"/>
          <w:sz w:val="24"/>
          <w:szCs w:val="24"/>
        </w:rPr>
        <w:t>[28]</w:t>
      </w:r>
      <w:r w:rsidR="00B522EF">
        <w:rPr>
          <w:rFonts w:ascii="Times New Roman" w:hAnsi="Times New Roman" w:cs="Times New Roman"/>
          <w:sz w:val="24"/>
          <w:szCs w:val="24"/>
        </w:rPr>
        <w:t xml:space="preserve"> confirm</w:t>
      </w:r>
      <w:r w:rsidR="009C48C0" w:rsidRPr="009D4A13">
        <w:rPr>
          <w:rFonts w:ascii="Times New Roman" w:hAnsi="Times New Roman" w:cs="Times New Roman"/>
          <w:sz w:val="24"/>
          <w:szCs w:val="24"/>
        </w:rPr>
        <w:t xml:space="preserve"> that the central banks typically lean against the wind, with the finding that </w:t>
      </w:r>
      <w:r w:rsidR="007C606A" w:rsidRPr="009D4A13">
        <w:rPr>
          <w:rFonts w:ascii="Times New Roman" w:hAnsi="Times New Roman" w:cs="Times New Roman"/>
          <w:sz w:val="24"/>
          <w:szCs w:val="24"/>
        </w:rPr>
        <w:t xml:space="preserve">a sterilised purchase of US$100 million of Australian dollars by the RBA </w:t>
      </w:r>
      <w:r w:rsidR="009C48C0" w:rsidRPr="009D4A13">
        <w:rPr>
          <w:rFonts w:ascii="Times New Roman" w:hAnsi="Times New Roman" w:cs="Times New Roman"/>
          <w:sz w:val="24"/>
          <w:szCs w:val="24"/>
        </w:rPr>
        <w:t xml:space="preserve">is associated with a </w:t>
      </w:r>
      <w:proofErr w:type="gramStart"/>
      <w:r w:rsidR="009C48C0" w:rsidRPr="009D4A13">
        <w:rPr>
          <w:rFonts w:ascii="Times New Roman" w:hAnsi="Times New Roman" w:cs="Times New Roman"/>
          <w:sz w:val="24"/>
          <w:szCs w:val="24"/>
        </w:rPr>
        <w:t>1.3</w:t>
      </w:r>
      <w:proofErr w:type="gramEnd"/>
      <w:r w:rsidR="00B43C32">
        <w:rPr>
          <w:rFonts w:ascii="Times New Roman" w:hAnsi="Times New Roman" w:cs="Times New Roman"/>
          <w:sz w:val="24"/>
          <w:szCs w:val="24"/>
        </w:rPr>
        <w:t>–</w:t>
      </w:r>
      <w:r w:rsidR="009C48C0" w:rsidRPr="009D4A13">
        <w:rPr>
          <w:rFonts w:ascii="Times New Roman" w:hAnsi="Times New Roman" w:cs="Times New Roman"/>
          <w:sz w:val="24"/>
          <w:szCs w:val="24"/>
        </w:rPr>
        <w:t>1.8% the Australian dollar appreciation but just a 0.2% the Japanese yen appreciation, estimating a nonlinear model</w:t>
      </w:r>
      <w:r w:rsidR="00B40A45">
        <w:rPr>
          <w:rFonts w:ascii="Times New Roman" w:hAnsi="Times New Roman" w:cs="Times New Roman"/>
          <w:sz w:val="24"/>
          <w:szCs w:val="24"/>
        </w:rPr>
        <w:t xml:space="preserve"> of intervention with daily AUD/USD and </w:t>
      </w:r>
      <w:r w:rsidR="009C48C0" w:rsidRPr="009D4A13">
        <w:rPr>
          <w:rFonts w:ascii="Times New Roman" w:hAnsi="Times New Roman" w:cs="Times New Roman"/>
          <w:sz w:val="24"/>
          <w:szCs w:val="24"/>
        </w:rPr>
        <w:t>JPY/USD rates. And, a</w:t>
      </w:r>
      <w:r w:rsidR="009C48C0" w:rsidRPr="009D4A13">
        <w:rPr>
          <w:rFonts w:ascii="Times New Roman" w:eastAsia="Arial Unicode MS" w:hAnsi="Times New Roman" w:cs="Times New Roman"/>
          <w:sz w:val="24"/>
          <w:szCs w:val="24"/>
        </w:rPr>
        <w:t>lmost all of the impact occurs during the day intervention is conducted</w:t>
      </w:r>
      <w:r w:rsidR="009C48C0" w:rsidRPr="009D4A13">
        <w:rPr>
          <w:rFonts w:ascii="Times New Roman" w:hAnsi="Times New Roman" w:cs="Times New Roman"/>
          <w:sz w:val="24"/>
          <w:szCs w:val="24"/>
        </w:rPr>
        <w:t xml:space="preserve">. Alike, </w:t>
      </w:r>
      <w:r w:rsidR="00B80252">
        <w:rPr>
          <w:rFonts w:ascii="Times New Roman" w:hAnsi="Times New Roman" w:cs="Times New Roman"/>
          <w:sz w:val="24"/>
          <w:szCs w:val="24"/>
        </w:rPr>
        <w:t>[30],</w:t>
      </w:r>
      <w:r w:rsidR="009C48C0" w:rsidRPr="009D4A13">
        <w:rPr>
          <w:rFonts w:ascii="Times New Roman" w:hAnsi="Times New Roman" w:cs="Times New Roman"/>
          <w:sz w:val="24"/>
          <w:szCs w:val="24"/>
        </w:rPr>
        <w:t xml:space="preserve"> analyzing intra</w:t>
      </w:r>
      <w:r w:rsidR="00B43C32">
        <w:rPr>
          <w:rFonts w:ascii="Times New Roman" w:hAnsi="Times New Roman" w:cs="Times New Roman"/>
          <w:sz w:val="24"/>
          <w:szCs w:val="24"/>
        </w:rPr>
        <w:t>–</w:t>
      </w:r>
      <w:r w:rsidR="009C48C0" w:rsidRPr="009D4A13">
        <w:rPr>
          <w:rFonts w:ascii="Times New Roman" w:hAnsi="Times New Roman" w:cs="Times New Roman"/>
          <w:sz w:val="24"/>
          <w:szCs w:val="24"/>
        </w:rPr>
        <w:t xml:space="preserve">daily and daily exchange rates of the G3, concludes that interventions have a negligible influence on the </w:t>
      </w:r>
      <w:r w:rsidR="009C48C0" w:rsidRPr="009D4A13">
        <w:rPr>
          <w:rFonts w:ascii="Times New Roman" w:hAnsi="Times New Roman" w:cs="Times New Roman"/>
          <w:sz w:val="24"/>
          <w:szCs w:val="24"/>
        </w:rPr>
        <w:lastRenderedPageBreak/>
        <w:t xml:space="preserve">exchange rate level and volatility only within the day. More recently, </w:t>
      </w:r>
      <w:r w:rsidR="00B80252">
        <w:rPr>
          <w:rFonts w:ascii="Times New Roman" w:hAnsi="Times New Roman" w:cs="Times New Roman"/>
          <w:sz w:val="24"/>
          <w:szCs w:val="24"/>
        </w:rPr>
        <w:t>[31],</w:t>
      </w:r>
      <w:r w:rsidR="009C48C0" w:rsidRPr="009D4A13">
        <w:rPr>
          <w:rFonts w:ascii="Times New Roman" w:hAnsi="Times New Roman" w:cs="Times New Roman"/>
          <w:sz w:val="24"/>
          <w:szCs w:val="24"/>
        </w:rPr>
        <w:t xml:space="preserve"> and </w:t>
      </w:r>
      <w:r w:rsidR="00B80252">
        <w:rPr>
          <w:rFonts w:ascii="Times New Roman" w:hAnsi="Times New Roman" w:cs="Times New Roman"/>
          <w:sz w:val="24"/>
          <w:szCs w:val="24"/>
        </w:rPr>
        <w:t>[32]</w:t>
      </w:r>
      <w:r w:rsidR="009C48C0" w:rsidRPr="009D4A13">
        <w:rPr>
          <w:rFonts w:ascii="Times New Roman" w:hAnsi="Times New Roman" w:cs="Times New Roman"/>
          <w:sz w:val="24"/>
          <w:szCs w:val="24"/>
        </w:rPr>
        <w:t xml:space="preserve"> suggest that interventions have been able to reduce volatility in some cases. </w:t>
      </w:r>
      <w:r w:rsidR="00B80252">
        <w:rPr>
          <w:rFonts w:ascii="Times New Roman" w:hAnsi="Times New Roman" w:cs="Times New Roman"/>
          <w:sz w:val="24"/>
          <w:szCs w:val="24"/>
        </w:rPr>
        <w:t>[33]</w:t>
      </w:r>
      <w:r w:rsidR="009C48C0" w:rsidRPr="009D4A13">
        <w:rPr>
          <w:rFonts w:ascii="Times New Roman" w:hAnsi="Times New Roman" w:cs="Times New Roman"/>
          <w:sz w:val="24"/>
          <w:szCs w:val="24"/>
        </w:rPr>
        <w:t xml:space="preserve"> examines the effect of intervention frequency on the JPY/USD market using daily intervention </w:t>
      </w:r>
      <w:proofErr w:type="gramStart"/>
      <w:r w:rsidR="009C48C0" w:rsidRPr="009D4A13">
        <w:rPr>
          <w:rFonts w:ascii="Times New Roman" w:hAnsi="Times New Roman" w:cs="Times New Roman"/>
          <w:sz w:val="24"/>
          <w:szCs w:val="24"/>
        </w:rPr>
        <w:t>data</w:t>
      </w:r>
      <w:proofErr w:type="gramEnd"/>
      <w:r w:rsidR="009C48C0" w:rsidRPr="009D4A13">
        <w:rPr>
          <w:rFonts w:ascii="Times New Roman" w:hAnsi="Times New Roman" w:cs="Times New Roman"/>
          <w:sz w:val="24"/>
          <w:szCs w:val="24"/>
        </w:rPr>
        <w:t xml:space="preserve"> from April 1991 to December 2005, estimating a nonlinear methodology. Author finds that a high </w:t>
      </w:r>
      <w:r w:rsidR="00B40A45">
        <w:rPr>
          <w:rFonts w:ascii="Times New Roman" w:hAnsi="Times New Roman" w:cs="Times New Roman"/>
          <w:sz w:val="24"/>
          <w:szCs w:val="24"/>
        </w:rPr>
        <w:t xml:space="preserve">frequency interventions </w:t>
      </w:r>
      <w:proofErr w:type="gramStart"/>
      <w:r w:rsidR="00B40A45">
        <w:rPr>
          <w:rFonts w:ascii="Times New Roman" w:hAnsi="Times New Roman" w:cs="Times New Roman"/>
          <w:sz w:val="24"/>
          <w:szCs w:val="24"/>
        </w:rPr>
        <w:t>stabilize</w:t>
      </w:r>
      <w:proofErr w:type="gramEnd"/>
      <w:r w:rsidR="009C48C0" w:rsidRPr="009D4A13">
        <w:rPr>
          <w:rFonts w:ascii="Times New Roman" w:hAnsi="Times New Roman" w:cs="Times New Roman"/>
          <w:sz w:val="24"/>
          <w:szCs w:val="24"/>
        </w:rPr>
        <w:t xml:space="preserve"> the exchange rate by reducing exchange rate volatility, especially when the yen appreciates. </w:t>
      </w:r>
      <w:r w:rsidR="00B80252">
        <w:rPr>
          <w:rFonts w:ascii="Times New Roman" w:hAnsi="Times New Roman" w:cs="Times New Roman"/>
          <w:sz w:val="24"/>
          <w:szCs w:val="24"/>
        </w:rPr>
        <w:t>[34]</w:t>
      </w:r>
      <w:r w:rsidR="009C48C0" w:rsidRPr="009D4A13">
        <w:rPr>
          <w:rFonts w:ascii="Times New Roman" w:hAnsi="Times New Roman" w:cs="Times New Roman"/>
          <w:sz w:val="24"/>
          <w:szCs w:val="24"/>
        </w:rPr>
        <w:t xml:space="preserve"> compares the effects of daily interventions in four Latin American countries with inflation targets, </w:t>
      </w:r>
      <w:r w:rsidR="00B40A45">
        <w:rPr>
          <w:rFonts w:ascii="Times New Roman" w:hAnsi="Times New Roman" w:cs="Times New Roman"/>
          <w:sz w:val="24"/>
          <w:szCs w:val="24"/>
        </w:rPr>
        <w:t>namely, Chile, Colombia, Mexico</w:t>
      </w:r>
      <w:r w:rsidR="009C48C0" w:rsidRPr="009D4A13">
        <w:rPr>
          <w:rFonts w:ascii="Times New Roman" w:hAnsi="Times New Roman" w:cs="Times New Roman"/>
          <w:sz w:val="24"/>
          <w:szCs w:val="24"/>
        </w:rPr>
        <w:t xml:space="preserve"> and Peru, using GARCH</w:t>
      </w:r>
      <w:r w:rsidR="00B43C32">
        <w:rPr>
          <w:rFonts w:ascii="Times New Roman" w:hAnsi="Times New Roman" w:cs="Times New Roman"/>
          <w:sz w:val="24"/>
          <w:szCs w:val="24"/>
        </w:rPr>
        <w:t>–</w:t>
      </w:r>
      <w:r w:rsidR="009C48C0" w:rsidRPr="009D4A13">
        <w:rPr>
          <w:rFonts w:ascii="Times New Roman" w:hAnsi="Times New Roman" w:cs="Times New Roman"/>
          <w:sz w:val="24"/>
          <w:szCs w:val="24"/>
        </w:rPr>
        <w:t>type models and finds that exchange rate volatility can be reduced by interventions</w:t>
      </w:r>
      <w:r w:rsidR="00B522EF">
        <w:rPr>
          <w:rFonts w:ascii="Times New Roman" w:hAnsi="Times New Roman" w:cs="Times New Roman"/>
          <w:sz w:val="24"/>
          <w:szCs w:val="24"/>
        </w:rPr>
        <w:t>,</w:t>
      </w:r>
      <w:r w:rsidR="009C48C0" w:rsidRPr="009D4A13">
        <w:rPr>
          <w:rFonts w:ascii="Times New Roman" w:hAnsi="Times New Roman" w:cs="Times New Roman"/>
          <w:sz w:val="24"/>
          <w:szCs w:val="24"/>
        </w:rPr>
        <w:t xml:space="preserve"> whereas their size plays a minor role. </w:t>
      </w:r>
    </w:p>
    <w:p w:rsidR="009C48C0" w:rsidRPr="009D4A13" w:rsidRDefault="009C48C0" w:rsidP="009D4A13">
      <w:pPr>
        <w:autoSpaceDE w:val="0"/>
        <w:autoSpaceDN w:val="0"/>
        <w:adjustRightInd w:val="0"/>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 xml:space="preserve">When the time comes to Turkey, </w:t>
      </w:r>
      <w:r w:rsidR="00B80252">
        <w:rPr>
          <w:rFonts w:ascii="Times New Roman" w:hAnsi="Times New Roman" w:cs="Times New Roman"/>
          <w:sz w:val="24"/>
          <w:szCs w:val="24"/>
        </w:rPr>
        <w:t>[35]</w:t>
      </w:r>
      <w:r w:rsidRPr="009D4A13">
        <w:rPr>
          <w:rFonts w:ascii="Times New Roman" w:hAnsi="Times New Roman" w:cs="Times New Roman"/>
          <w:sz w:val="24"/>
          <w:szCs w:val="24"/>
        </w:rPr>
        <w:t xml:space="preserve"> find a positive and significant impact of interventions on the level of exchange rate for Turkey and Mexico, employing an Exponential GARCH framework to daily intervention </w:t>
      </w:r>
      <w:proofErr w:type="gramStart"/>
      <w:r w:rsidRPr="009D4A13">
        <w:rPr>
          <w:rFonts w:ascii="Times New Roman" w:hAnsi="Times New Roman" w:cs="Times New Roman"/>
          <w:sz w:val="24"/>
          <w:szCs w:val="24"/>
        </w:rPr>
        <w:t>data</w:t>
      </w:r>
      <w:proofErr w:type="gramEnd"/>
      <w:r w:rsidRPr="009D4A13">
        <w:rPr>
          <w:rFonts w:ascii="Times New Roman" w:hAnsi="Times New Roman" w:cs="Times New Roman"/>
          <w:sz w:val="24"/>
          <w:szCs w:val="24"/>
        </w:rPr>
        <w:t xml:space="preserve"> (the sample period studied for Turkey is February 22, 2001</w:t>
      </w:r>
      <w:r w:rsidR="00B43C32">
        <w:rPr>
          <w:rFonts w:ascii="Times New Roman" w:hAnsi="Times New Roman" w:cs="Times New Roman"/>
          <w:sz w:val="24"/>
          <w:szCs w:val="24"/>
        </w:rPr>
        <w:t>–</w:t>
      </w:r>
      <w:r w:rsidRPr="009D4A13">
        <w:rPr>
          <w:rFonts w:ascii="Times New Roman" w:hAnsi="Times New Roman" w:cs="Times New Roman"/>
          <w:sz w:val="24"/>
          <w:szCs w:val="24"/>
        </w:rPr>
        <w:t xml:space="preserve">May 29, 2002). Regarding volatility, authors conclude that both the amount and frequency of interventions have decreased the exchange rate volatility in these countries, however, reduction of volatility is a direct result of sale interventions. </w:t>
      </w:r>
      <w:proofErr w:type="gramStart"/>
      <w:r w:rsidRPr="009D4A13">
        <w:rPr>
          <w:rFonts w:ascii="Times New Roman" w:hAnsi="Times New Roman" w:cs="Times New Roman"/>
          <w:sz w:val="24"/>
          <w:szCs w:val="24"/>
        </w:rPr>
        <w:t xml:space="preserve">Examining same countries by an asymmetric component GARCH model, </w:t>
      </w:r>
      <w:r w:rsidR="00B80252">
        <w:rPr>
          <w:rFonts w:ascii="Times New Roman" w:hAnsi="Times New Roman" w:cs="Times New Roman"/>
          <w:sz w:val="24"/>
          <w:szCs w:val="24"/>
        </w:rPr>
        <w:t>[36]</w:t>
      </w:r>
      <w:r w:rsidRPr="009D4A13">
        <w:rPr>
          <w:rFonts w:ascii="Times New Roman" w:hAnsi="Times New Roman" w:cs="Times New Roman"/>
          <w:sz w:val="24"/>
          <w:szCs w:val="24"/>
        </w:rPr>
        <w:t xml:space="preserve"> report that interventions do not appear to affect the level of exchange rate</w:t>
      </w:r>
      <w:r w:rsidR="00B522EF">
        <w:rPr>
          <w:rFonts w:ascii="Times New Roman" w:hAnsi="Times New Roman" w:cs="Times New Roman"/>
          <w:sz w:val="24"/>
          <w:szCs w:val="24"/>
        </w:rPr>
        <w:t>,</w:t>
      </w:r>
      <w:r w:rsidRPr="009D4A13">
        <w:rPr>
          <w:rFonts w:ascii="Times New Roman" w:hAnsi="Times New Roman" w:cs="Times New Roman"/>
          <w:sz w:val="24"/>
          <w:szCs w:val="24"/>
        </w:rPr>
        <w:t xml:space="preserve"> but reduce its short</w:t>
      </w:r>
      <w:r w:rsidR="00B43C32">
        <w:rPr>
          <w:rFonts w:ascii="Times New Roman" w:hAnsi="Times New Roman" w:cs="Times New Roman"/>
          <w:sz w:val="24"/>
          <w:szCs w:val="24"/>
        </w:rPr>
        <w:t>–</w:t>
      </w:r>
      <w:r w:rsidRPr="009D4A13">
        <w:rPr>
          <w:rFonts w:ascii="Times New Roman" w:hAnsi="Times New Roman" w:cs="Times New Roman"/>
          <w:sz w:val="24"/>
          <w:szCs w:val="24"/>
        </w:rPr>
        <w:t>term volatility</w:t>
      </w:r>
      <w:r w:rsidR="00B522EF">
        <w:rPr>
          <w:rFonts w:ascii="Times New Roman" w:hAnsi="Times New Roman" w:cs="Times New Roman"/>
          <w:sz w:val="24"/>
          <w:szCs w:val="24"/>
        </w:rPr>
        <w:t xml:space="preserve"> and</w:t>
      </w:r>
      <w:r w:rsidRPr="009D4A13">
        <w:rPr>
          <w:rFonts w:ascii="Times New Roman" w:hAnsi="Times New Roman" w:cs="Times New Roman"/>
          <w:sz w:val="24"/>
          <w:szCs w:val="24"/>
        </w:rPr>
        <w:t xml:space="preserve"> increase it over the long</w:t>
      </w:r>
      <w:r w:rsidR="00B43C32">
        <w:rPr>
          <w:rFonts w:ascii="Times New Roman" w:hAnsi="Times New Roman" w:cs="Times New Roman"/>
          <w:sz w:val="24"/>
          <w:szCs w:val="24"/>
        </w:rPr>
        <w:t>–</w:t>
      </w:r>
      <w:r w:rsidRPr="009D4A13">
        <w:rPr>
          <w:rFonts w:ascii="Times New Roman" w:hAnsi="Times New Roman" w:cs="Times New Roman"/>
          <w:sz w:val="24"/>
          <w:szCs w:val="24"/>
        </w:rPr>
        <w:t>term in case of Turkey, while foreign exchange sales have a small impact on the level of exchange rate and increase short</w:t>
      </w:r>
      <w:r w:rsidR="00B43C32">
        <w:rPr>
          <w:rFonts w:ascii="Times New Roman" w:hAnsi="Times New Roman" w:cs="Times New Roman"/>
          <w:sz w:val="24"/>
          <w:szCs w:val="24"/>
        </w:rPr>
        <w:t>–</w:t>
      </w:r>
      <w:r w:rsidRPr="009D4A13">
        <w:rPr>
          <w:rFonts w:ascii="Times New Roman" w:hAnsi="Times New Roman" w:cs="Times New Roman"/>
          <w:sz w:val="24"/>
          <w:szCs w:val="24"/>
        </w:rPr>
        <w:t xml:space="preserve">term volatility in case of Mexico. </w:t>
      </w:r>
      <w:r w:rsidR="00B80252">
        <w:rPr>
          <w:rFonts w:ascii="Times New Roman" w:hAnsi="Times New Roman" w:cs="Times New Roman"/>
          <w:sz w:val="24"/>
          <w:szCs w:val="24"/>
        </w:rPr>
        <w:t>[37]</w:t>
      </w:r>
      <w:r w:rsidRPr="009D4A13">
        <w:rPr>
          <w:rFonts w:ascii="Times New Roman" w:hAnsi="Times New Roman" w:cs="Times New Roman"/>
          <w:sz w:val="24"/>
          <w:szCs w:val="24"/>
        </w:rPr>
        <w:t xml:space="preserve"> sugge</w:t>
      </w:r>
      <w:r w:rsidR="00B522EF">
        <w:rPr>
          <w:rFonts w:ascii="Times New Roman" w:hAnsi="Times New Roman" w:cs="Times New Roman"/>
          <w:sz w:val="24"/>
          <w:szCs w:val="24"/>
        </w:rPr>
        <w:t>st that large and isolated</w:t>
      </w:r>
      <w:r w:rsidR="00B43C32">
        <w:rPr>
          <w:rFonts w:ascii="Times New Roman" w:hAnsi="Times New Roman" w:cs="Times New Roman"/>
          <w:sz w:val="24"/>
          <w:szCs w:val="24"/>
        </w:rPr>
        <w:t>–</w:t>
      </w:r>
      <w:r w:rsidR="00B522EF">
        <w:rPr>
          <w:rFonts w:ascii="Times New Roman" w:hAnsi="Times New Roman" w:cs="Times New Roman"/>
          <w:sz w:val="24"/>
          <w:szCs w:val="24"/>
        </w:rPr>
        <w:t xml:space="preserve">purchase </w:t>
      </w:r>
      <w:r w:rsidRPr="009D4A13">
        <w:rPr>
          <w:rFonts w:ascii="Times New Roman" w:hAnsi="Times New Roman" w:cs="Times New Roman"/>
          <w:sz w:val="24"/>
          <w:szCs w:val="24"/>
        </w:rPr>
        <w:t xml:space="preserve">interventions seem to be effective in reducing exchange rate volatility, fitting the purpose of the CBRT, for the post crisis period from 2001 to 2003. Authors state that this result can not be supported by sale interventions, based on Probit analysis, Granger causality tests and GARCH framework. Conversely, </w:t>
      </w:r>
      <w:r w:rsidR="00B80252">
        <w:rPr>
          <w:rFonts w:ascii="Times New Roman" w:hAnsi="Times New Roman" w:cs="Times New Roman"/>
          <w:sz w:val="24"/>
          <w:szCs w:val="24"/>
        </w:rPr>
        <w:t xml:space="preserve">[38] </w:t>
      </w:r>
      <w:r w:rsidRPr="009D4A13">
        <w:rPr>
          <w:rFonts w:ascii="Times New Roman" w:hAnsi="Times New Roman" w:cs="Times New Roman"/>
          <w:sz w:val="24"/>
          <w:szCs w:val="24"/>
        </w:rPr>
        <w:t xml:space="preserve">conclude that foreign exchange interventions have not been effective in altering the exchange rate level or in stabilizing its volatility, but a slight impact on increasing volatility in Turkey, using various tecniques for the period between November 1, 1993 and December 31, 2003. </w:t>
      </w:r>
      <w:r w:rsidR="00B80252">
        <w:rPr>
          <w:rFonts w:ascii="Times New Roman" w:hAnsi="Times New Roman" w:cs="Times New Roman"/>
          <w:sz w:val="24"/>
          <w:szCs w:val="24"/>
        </w:rPr>
        <w:t xml:space="preserve">[39] </w:t>
      </w:r>
      <w:r w:rsidRPr="009D4A13">
        <w:rPr>
          <w:rFonts w:ascii="Times New Roman" w:hAnsi="Times New Roman" w:cs="Times New Roman"/>
          <w:sz w:val="24"/>
          <w:szCs w:val="24"/>
        </w:rPr>
        <w:t>test the impact of direct CBRT interventions on the exchange rate volatility during the 2002</w:t>
      </w:r>
      <w:r w:rsidR="00B43C32">
        <w:rPr>
          <w:rFonts w:ascii="Times New Roman" w:hAnsi="Times New Roman" w:cs="Times New Roman"/>
          <w:sz w:val="24"/>
          <w:szCs w:val="24"/>
        </w:rPr>
        <w:t>–</w:t>
      </w:r>
      <w:r w:rsidRPr="009D4A13">
        <w:rPr>
          <w:rFonts w:ascii="Times New Roman" w:hAnsi="Times New Roman" w:cs="Times New Roman"/>
          <w:sz w:val="24"/>
          <w:szCs w:val="24"/>
        </w:rPr>
        <w:t xml:space="preserve">2005 period by GARCH framework. </w:t>
      </w:r>
      <w:proofErr w:type="gramEnd"/>
      <w:r w:rsidRPr="009D4A13">
        <w:rPr>
          <w:rFonts w:ascii="Times New Roman" w:hAnsi="Times New Roman" w:cs="Times New Roman"/>
          <w:sz w:val="24"/>
          <w:szCs w:val="24"/>
        </w:rPr>
        <w:t xml:space="preserve">According to the results of this study, direct interventions do not serve the purpose of decreasing volatility as announced by the CBRT. </w:t>
      </w:r>
      <w:r w:rsidR="008930FB">
        <w:rPr>
          <w:rFonts w:ascii="Times New Roman" w:hAnsi="Times New Roman" w:cs="Times New Roman"/>
          <w:sz w:val="24"/>
          <w:szCs w:val="24"/>
        </w:rPr>
        <w:t>[40]</w:t>
      </w:r>
      <w:r w:rsidRPr="009D4A13">
        <w:rPr>
          <w:rFonts w:ascii="Times New Roman" w:hAnsi="Times New Roman" w:cs="Times New Roman"/>
          <w:sz w:val="24"/>
          <w:szCs w:val="24"/>
        </w:rPr>
        <w:t xml:space="preserve"> examines the effects of the CBRT interventions on the exchange rate volatility for the period between January 4, 1999 and September 24, 2008 by ARFIMA</w:t>
      </w:r>
      <w:r w:rsidR="00B43C32">
        <w:rPr>
          <w:rFonts w:ascii="Times New Roman" w:hAnsi="Times New Roman" w:cs="Times New Roman"/>
          <w:sz w:val="24"/>
          <w:szCs w:val="24"/>
        </w:rPr>
        <w:t>–</w:t>
      </w:r>
      <w:r w:rsidRPr="009D4A13">
        <w:rPr>
          <w:rFonts w:ascii="Times New Roman" w:hAnsi="Times New Roman" w:cs="Times New Roman"/>
          <w:sz w:val="24"/>
          <w:szCs w:val="24"/>
        </w:rPr>
        <w:t>GARCH and ARFIMA</w:t>
      </w:r>
      <w:r w:rsidR="00B43C32">
        <w:rPr>
          <w:rFonts w:ascii="Times New Roman" w:hAnsi="Times New Roman" w:cs="Times New Roman"/>
          <w:sz w:val="24"/>
          <w:szCs w:val="24"/>
        </w:rPr>
        <w:t>–</w:t>
      </w:r>
      <w:r w:rsidRPr="009D4A13">
        <w:rPr>
          <w:rFonts w:ascii="Times New Roman" w:hAnsi="Times New Roman" w:cs="Times New Roman"/>
          <w:sz w:val="24"/>
          <w:szCs w:val="24"/>
        </w:rPr>
        <w:t xml:space="preserve">FIGARCH models. Author finds that interventions increase the volatility in Turkey, and suggest that due to currency shocks have no permanent characteristic, the CBRT should avoid intervening </w:t>
      </w:r>
      <w:r w:rsidR="00B70815">
        <w:rPr>
          <w:rFonts w:ascii="Times New Roman" w:hAnsi="Times New Roman" w:cs="Times New Roman"/>
          <w:sz w:val="24"/>
          <w:szCs w:val="24"/>
        </w:rPr>
        <w:t xml:space="preserve">in </w:t>
      </w:r>
      <w:r w:rsidRPr="009D4A13">
        <w:rPr>
          <w:rFonts w:ascii="Times New Roman" w:hAnsi="Times New Roman" w:cs="Times New Roman"/>
          <w:sz w:val="24"/>
          <w:szCs w:val="24"/>
        </w:rPr>
        <w:t xml:space="preserve">the foreign exchange markets. It looks like the empirical evidence on the effects of interventions on the Turkish foreign exchange dynamics is mixed, as is the case with the literature.  </w:t>
      </w:r>
    </w:p>
    <w:p w:rsidR="009C48C0" w:rsidRPr="009D4A13" w:rsidRDefault="009C48C0" w:rsidP="009D4A13">
      <w:pPr>
        <w:spacing w:after="0" w:line="240" w:lineRule="auto"/>
        <w:jc w:val="both"/>
        <w:rPr>
          <w:rFonts w:ascii="Times New Roman" w:hAnsi="Times New Roman" w:cs="Times New Roman"/>
          <w:sz w:val="24"/>
          <w:szCs w:val="24"/>
        </w:rPr>
      </w:pPr>
    </w:p>
    <w:p w:rsidR="0071344E" w:rsidRPr="00153696" w:rsidRDefault="00153696" w:rsidP="009D4A13">
      <w:pPr>
        <w:spacing w:after="0" w:line="240" w:lineRule="auto"/>
        <w:jc w:val="both"/>
        <w:rPr>
          <w:rFonts w:ascii="Times New Roman" w:hAnsi="Times New Roman" w:cs="Times New Roman"/>
          <w:b/>
          <w:sz w:val="28"/>
          <w:szCs w:val="28"/>
        </w:rPr>
      </w:pPr>
      <w:proofErr w:type="gramStart"/>
      <w:r w:rsidRPr="00153696">
        <w:rPr>
          <w:rFonts w:ascii="Times New Roman" w:hAnsi="Times New Roman" w:cs="Times New Roman"/>
          <w:b/>
          <w:sz w:val="28"/>
          <w:szCs w:val="28"/>
        </w:rPr>
        <w:t xml:space="preserve">3     </w:t>
      </w:r>
      <w:r w:rsidR="0071344E" w:rsidRPr="00153696">
        <w:rPr>
          <w:rFonts w:ascii="Times New Roman" w:hAnsi="Times New Roman" w:cs="Times New Roman"/>
          <w:b/>
          <w:sz w:val="28"/>
          <w:szCs w:val="28"/>
        </w:rPr>
        <w:t>Model</w:t>
      </w:r>
      <w:proofErr w:type="gramEnd"/>
    </w:p>
    <w:p w:rsidR="00063DA7" w:rsidRPr="009D4A13" w:rsidRDefault="0071344E" w:rsidP="009D4A13">
      <w:pPr>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 xml:space="preserve">In this study, the impact of the CBRT </w:t>
      </w:r>
      <w:r w:rsidR="00FE2946" w:rsidRPr="009D4A13">
        <w:rPr>
          <w:rFonts w:ascii="Times New Roman" w:hAnsi="Times New Roman" w:cs="Times New Roman"/>
          <w:sz w:val="24"/>
          <w:szCs w:val="24"/>
        </w:rPr>
        <w:t>foreign exchange</w:t>
      </w:r>
      <w:r w:rsidR="00EE3952" w:rsidRPr="009D4A13">
        <w:rPr>
          <w:rFonts w:ascii="Times New Roman" w:hAnsi="Times New Roman" w:cs="Times New Roman"/>
          <w:sz w:val="24"/>
          <w:szCs w:val="24"/>
        </w:rPr>
        <w:t xml:space="preserve"> </w:t>
      </w:r>
      <w:r w:rsidRPr="009D4A13">
        <w:rPr>
          <w:rFonts w:ascii="Times New Roman" w:hAnsi="Times New Roman" w:cs="Times New Roman"/>
          <w:sz w:val="24"/>
          <w:szCs w:val="24"/>
        </w:rPr>
        <w:t xml:space="preserve">interventions on the </w:t>
      </w:r>
      <w:r w:rsidR="00B40A45">
        <w:rPr>
          <w:rFonts w:ascii="Times New Roman" w:hAnsi="Times New Roman" w:cs="Times New Roman"/>
          <w:sz w:val="24"/>
          <w:szCs w:val="24"/>
        </w:rPr>
        <w:t>Turkish lira/US dollar (</w:t>
      </w:r>
      <w:r w:rsidRPr="009D4A13">
        <w:rPr>
          <w:rFonts w:ascii="Times New Roman" w:hAnsi="Times New Roman" w:cs="Times New Roman"/>
          <w:sz w:val="24"/>
          <w:szCs w:val="24"/>
        </w:rPr>
        <w:t>TRY/USD</w:t>
      </w:r>
      <w:r w:rsidR="00B40A45">
        <w:rPr>
          <w:rFonts w:ascii="Times New Roman" w:hAnsi="Times New Roman" w:cs="Times New Roman"/>
          <w:sz w:val="24"/>
          <w:szCs w:val="24"/>
        </w:rPr>
        <w:t>)</w:t>
      </w:r>
      <w:r w:rsidRPr="009D4A13">
        <w:rPr>
          <w:rFonts w:ascii="Times New Roman" w:hAnsi="Times New Roman" w:cs="Times New Roman"/>
          <w:sz w:val="24"/>
          <w:szCs w:val="24"/>
        </w:rPr>
        <w:t xml:space="preserve"> exchange rate returns and retur</w:t>
      </w:r>
      <w:r w:rsidR="00EE3952" w:rsidRPr="009D4A13">
        <w:rPr>
          <w:rFonts w:ascii="Times New Roman" w:hAnsi="Times New Roman" w:cs="Times New Roman"/>
          <w:sz w:val="24"/>
          <w:szCs w:val="24"/>
        </w:rPr>
        <w:t>n volatility is modelled as a</w:t>
      </w:r>
      <w:r w:rsidR="00F47C2A" w:rsidRPr="009D4A13">
        <w:rPr>
          <w:rFonts w:ascii="Times New Roman" w:hAnsi="Times New Roman" w:cs="Times New Roman"/>
          <w:sz w:val="24"/>
          <w:szCs w:val="24"/>
        </w:rPr>
        <w:t>n</w:t>
      </w:r>
      <w:r w:rsidR="00EE3952" w:rsidRPr="009D4A13">
        <w:rPr>
          <w:rFonts w:ascii="Times New Roman" w:hAnsi="Times New Roman" w:cs="Times New Roman"/>
          <w:sz w:val="24"/>
          <w:szCs w:val="24"/>
        </w:rPr>
        <w:t xml:space="preserve"> Exponential</w:t>
      </w:r>
      <w:r w:rsidRPr="009D4A13">
        <w:rPr>
          <w:rFonts w:ascii="Times New Roman" w:hAnsi="Times New Roman" w:cs="Times New Roman"/>
          <w:sz w:val="24"/>
          <w:szCs w:val="24"/>
        </w:rPr>
        <w:t xml:space="preserve"> GARCH (1,1) </w:t>
      </w:r>
      <w:r w:rsidR="00FE2946" w:rsidRPr="009D4A13">
        <w:rPr>
          <w:rFonts w:ascii="Times New Roman" w:hAnsi="Times New Roman" w:cs="Times New Roman"/>
          <w:sz w:val="24"/>
          <w:szCs w:val="24"/>
        </w:rPr>
        <w:t xml:space="preserve">with </w:t>
      </w:r>
      <w:r w:rsidR="00FE2946" w:rsidRPr="009D4A13">
        <w:rPr>
          <w:rFonts w:ascii="Times New Roman" w:hAnsi="Times New Roman" w:cs="Times New Roman"/>
          <w:sz w:val="24"/>
          <w:szCs w:val="24"/>
          <w:lang w:eastAsia="tr-TR"/>
        </w:rPr>
        <w:t>Student’s t</w:t>
      </w:r>
      <w:r w:rsidR="00B43C32">
        <w:rPr>
          <w:rFonts w:ascii="Times New Roman" w:hAnsi="Times New Roman" w:cs="Times New Roman"/>
          <w:sz w:val="24"/>
          <w:szCs w:val="24"/>
          <w:lang w:eastAsia="tr-TR"/>
        </w:rPr>
        <w:t>–</w:t>
      </w:r>
      <w:r w:rsidR="00FE2946" w:rsidRPr="009D4A13">
        <w:rPr>
          <w:rFonts w:ascii="Times New Roman" w:hAnsi="Times New Roman" w:cs="Times New Roman"/>
          <w:sz w:val="24"/>
          <w:szCs w:val="24"/>
          <w:lang w:eastAsia="tr-TR"/>
        </w:rPr>
        <w:t xml:space="preserve">distribution </w:t>
      </w:r>
      <w:r w:rsidRPr="009D4A13">
        <w:rPr>
          <w:rFonts w:ascii="Times New Roman" w:hAnsi="Times New Roman" w:cs="Times New Roman"/>
          <w:sz w:val="24"/>
          <w:szCs w:val="24"/>
        </w:rPr>
        <w:t>process</w:t>
      </w:r>
      <w:r w:rsidR="00FE2946" w:rsidRPr="009D4A13">
        <w:rPr>
          <w:rFonts w:ascii="Times New Roman" w:hAnsi="Times New Roman" w:cs="Times New Roman"/>
          <w:sz w:val="24"/>
          <w:szCs w:val="24"/>
        </w:rPr>
        <w:t>.</w:t>
      </w:r>
      <w:r w:rsidR="004D2EEB" w:rsidRPr="009D4A13">
        <w:rPr>
          <w:rFonts w:ascii="Times New Roman" w:hAnsi="Times New Roman" w:cs="Times New Roman"/>
          <w:sz w:val="24"/>
          <w:szCs w:val="24"/>
        </w:rPr>
        <w:t xml:space="preserve"> </w:t>
      </w:r>
      <w:r w:rsidR="008930FB">
        <w:rPr>
          <w:rFonts w:ascii="Times New Roman" w:hAnsi="Times New Roman" w:cs="Times New Roman"/>
          <w:sz w:val="24"/>
          <w:szCs w:val="24"/>
        </w:rPr>
        <w:t>[41]</w:t>
      </w:r>
      <w:r w:rsidR="004D2EEB" w:rsidRPr="009D4A13">
        <w:rPr>
          <w:rFonts w:ascii="Times New Roman" w:hAnsi="Times New Roman" w:cs="Times New Roman"/>
          <w:sz w:val="24"/>
          <w:szCs w:val="24"/>
        </w:rPr>
        <w:t xml:space="preserve"> shows that GARCH</w:t>
      </w:r>
      <w:r w:rsidR="00B43C32">
        <w:rPr>
          <w:rFonts w:ascii="Times New Roman" w:hAnsi="Times New Roman" w:cs="Times New Roman"/>
          <w:sz w:val="24"/>
          <w:szCs w:val="24"/>
        </w:rPr>
        <w:t>–</w:t>
      </w:r>
      <w:r w:rsidR="004D2EEB" w:rsidRPr="009D4A13">
        <w:rPr>
          <w:rFonts w:ascii="Times New Roman" w:hAnsi="Times New Roman" w:cs="Times New Roman"/>
          <w:sz w:val="24"/>
          <w:szCs w:val="24"/>
        </w:rPr>
        <w:t xml:space="preserve">type models </w:t>
      </w:r>
      <w:r w:rsidR="00D76C8C" w:rsidRPr="009D4A13">
        <w:rPr>
          <w:rFonts w:ascii="Times New Roman" w:hAnsi="Times New Roman" w:cs="Times New Roman"/>
          <w:sz w:val="24"/>
          <w:szCs w:val="24"/>
        </w:rPr>
        <w:t>are important</w:t>
      </w:r>
      <w:r w:rsidR="004D2EEB" w:rsidRPr="009D4A13">
        <w:rPr>
          <w:rFonts w:ascii="Times New Roman" w:hAnsi="Times New Roman" w:cs="Times New Roman"/>
          <w:sz w:val="24"/>
          <w:szCs w:val="24"/>
        </w:rPr>
        <w:t xml:space="preserve"> to capture the inherent features of exchange rate dynamics. </w:t>
      </w:r>
      <w:r w:rsidR="008930FB">
        <w:rPr>
          <w:rFonts w:ascii="Times New Roman" w:hAnsi="Times New Roman" w:cs="Times New Roman"/>
          <w:sz w:val="24"/>
          <w:szCs w:val="24"/>
        </w:rPr>
        <w:t>[42]</w:t>
      </w:r>
      <w:r w:rsidR="00006BD1" w:rsidRPr="009D4A13">
        <w:rPr>
          <w:rFonts w:ascii="Times New Roman" w:hAnsi="Times New Roman" w:cs="Times New Roman"/>
          <w:sz w:val="24"/>
          <w:szCs w:val="24"/>
        </w:rPr>
        <w:t xml:space="preserve"> introduces the Exponential GARCH model </w:t>
      </w:r>
      <w:r w:rsidR="00F47C2A" w:rsidRPr="009D4A13">
        <w:rPr>
          <w:rFonts w:ascii="Times New Roman" w:hAnsi="Times New Roman" w:cs="Times New Roman"/>
          <w:sz w:val="24"/>
          <w:szCs w:val="24"/>
        </w:rPr>
        <w:t>in order to model the asymmetric</w:t>
      </w:r>
      <w:r w:rsidR="001815BA" w:rsidRPr="009D4A13">
        <w:rPr>
          <w:rFonts w:ascii="Times New Roman" w:hAnsi="Times New Roman" w:cs="Times New Roman"/>
          <w:sz w:val="24"/>
          <w:szCs w:val="24"/>
        </w:rPr>
        <w:t xml:space="preserve"> behavior of volatility within the</w:t>
      </w:r>
      <w:r w:rsidR="00F47C2A" w:rsidRPr="009D4A13">
        <w:rPr>
          <w:rFonts w:ascii="Times New Roman" w:hAnsi="Times New Roman" w:cs="Times New Roman"/>
          <w:sz w:val="24"/>
          <w:szCs w:val="24"/>
        </w:rPr>
        <w:t xml:space="preserve"> GARCH</w:t>
      </w:r>
      <w:r w:rsidR="00B43C32">
        <w:rPr>
          <w:rFonts w:ascii="Times New Roman" w:hAnsi="Times New Roman" w:cs="Times New Roman"/>
          <w:sz w:val="24"/>
          <w:szCs w:val="24"/>
        </w:rPr>
        <w:t>–</w:t>
      </w:r>
      <w:r w:rsidR="00006BD1" w:rsidRPr="009D4A13">
        <w:rPr>
          <w:rFonts w:ascii="Times New Roman" w:hAnsi="Times New Roman" w:cs="Times New Roman"/>
          <w:sz w:val="24"/>
          <w:szCs w:val="24"/>
        </w:rPr>
        <w:t xml:space="preserve">type models. </w:t>
      </w:r>
      <w:r w:rsidR="001815BA" w:rsidRPr="009D4A13">
        <w:rPr>
          <w:rFonts w:ascii="Times New Roman" w:hAnsi="Times New Roman" w:cs="Times New Roman"/>
          <w:sz w:val="24"/>
          <w:szCs w:val="24"/>
        </w:rPr>
        <w:t>Taking into account asymmetries play a crucial role in volatility prediction,</w:t>
      </w:r>
      <w:r w:rsidR="003C24ED" w:rsidRPr="009D4A13">
        <w:rPr>
          <w:rFonts w:ascii="Times New Roman" w:hAnsi="Times New Roman" w:cs="Times New Roman"/>
          <w:sz w:val="24"/>
          <w:szCs w:val="24"/>
        </w:rPr>
        <w:t xml:space="preserve"> in order</w:t>
      </w:r>
      <w:r w:rsidR="001815BA" w:rsidRPr="009D4A13">
        <w:rPr>
          <w:rFonts w:ascii="Times New Roman" w:hAnsi="Times New Roman" w:cs="Times New Roman"/>
          <w:sz w:val="24"/>
          <w:szCs w:val="24"/>
        </w:rPr>
        <w:t xml:space="preserve"> t</w:t>
      </w:r>
      <w:r w:rsidR="00EE3952" w:rsidRPr="009D4A13">
        <w:rPr>
          <w:rFonts w:ascii="Times New Roman" w:hAnsi="Times New Roman" w:cs="Times New Roman"/>
          <w:sz w:val="24"/>
          <w:szCs w:val="24"/>
        </w:rPr>
        <w:t xml:space="preserve">o capture asymmetric impacts of negative </w:t>
      </w:r>
      <w:r w:rsidR="00F47C2A" w:rsidRPr="009D4A13">
        <w:rPr>
          <w:rFonts w:ascii="Times New Roman" w:hAnsi="Times New Roman" w:cs="Times New Roman"/>
          <w:sz w:val="24"/>
          <w:szCs w:val="24"/>
        </w:rPr>
        <w:t>vs. positive return innovati</w:t>
      </w:r>
      <w:r w:rsidR="001815BA" w:rsidRPr="009D4A13">
        <w:rPr>
          <w:rFonts w:ascii="Times New Roman" w:hAnsi="Times New Roman" w:cs="Times New Roman"/>
          <w:sz w:val="24"/>
          <w:szCs w:val="24"/>
        </w:rPr>
        <w:t>ons,</w:t>
      </w:r>
      <w:r w:rsidR="00F47C2A" w:rsidRPr="009D4A13">
        <w:rPr>
          <w:rFonts w:ascii="Times New Roman" w:hAnsi="Times New Roman" w:cs="Times New Roman"/>
          <w:sz w:val="24"/>
          <w:szCs w:val="24"/>
        </w:rPr>
        <w:t xml:space="preserve"> the </w:t>
      </w:r>
      <w:r w:rsidR="00006BD1" w:rsidRPr="009D4A13">
        <w:rPr>
          <w:rFonts w:ascii="Times New Roman" w:hAnsi="Times New Roman" w:cs="Times New Roman"/>
          <w:sz w:val="24"/>
          <w:szCs w:val="24"/>
        </w:rPr>
        <w:t xml:space="preserve">Exponential </w:t>
      </w:r>
      <w:r w:rsidR="00F47C2A" w:rsidRPr="009D4A13">
        <w:rPr>
          <w:rFonts w:ascii="Times New Roman" w:hAnsi="Times New Roman" w:cs="Times New Roman"/>
          <w:sz w:val="24"/>
          <w:szCs w:val="24"/>
        </w:rPr>
        <w:t>GARCH</w:t>
      </w:r>
      <w:r w:rsidR="001815BA" w:rsidRPr="009D4A13">
        <w:rPr>
          <w:rFonts w:ascii="Times New Roman" w:hAnsi="Times New Roman" w:cs="Times New Roman"/>
          <w:sz w:val="24"/>
          <w:szCs w:val="24"/>
        </w:rPr>
        <w:t xml:space="preserve"> model</w:t>
      </w:r>
      <w:r w:rsidR="00F47C2A" w:rsidRPr="009D4A13">
        <w:rPr>
          <w:rFonts w:ascii="Times New Roman" w:hAnsi="Times New Roman" w:cs="Times New Roman"/>
          <w:sz w:val="24"/>
          <w:szCs w:val="24"/>
        </w:rPr>
        <w:t xml:space="preserve"> </w:t>
      </w:r>
      <w:r w:rsidR="004420A2" w:rsidRPr="009D4A13">
        <w:rPr>
          <w:rFonts w:ascii="Times New Roman" w:hAnsi="Times New Roman" w:cs="Times New Roman"/>
          <w:sz w:val="24"/>
          <w:szCs w:val="24"/>
        </w:rPr>
        <w:t xml:space="preserve">might be the best choice for </w:t>
      </w:r>
      <w:r w:rsidR="00ED0624" w:rsidRPr="009D4A13">
        <w:rPr>
          <w:rFonts w:ascii="Times New Roman" w:hAnsi="Times New Roman" w:cs="Times New Roman"/>
          <w:sz w:val="24"/>
          <w:szCs w:val="24"/>
        </w:rPr>
        <w:t>this study, among the others.</w:t>
      </w:r>
      <w:r w:rsidR="00F47C2A" w:rsidRPr="009D4A13">
        <w:rPr>
          <w:rFonts w:ascii="Times New Roman" w:hAnsi="Times New Roman" w:cs="Times New Roman"/>
          <w:sz w:val="24"/>
          <w:szCs w:val="24"/>
        </w:rPr>
        <w:t xml:space="preserve"> </w:t>
      </w:r>
      <w:r w:rsidR="001815BA" w:rsidRPr="009D4A13">
        <w:rPr>
          <w:rFonts w:ascii="Times New Roman" w:hAnsi="Times New Roman" w:cs="Times New Roman"/>
          <w:sz w:val="24"/>
          <w:szCs w:val="24"/>
        </w:rPr>
        <w:t>T</w:t>
      </w:r>
      <w:r w:rsidR="00380C88" w:rsidRPr="009D4A13">
        <w:rPr>
          <w:rFonts w:ascii="Times New Roman" w:hAnsi="Times New Roman" w:cs="Times New Roman"/>
          <w:sz w:val="24"/>
          <w:szCs w:val="24"/>
        </w:rPr>
        <w:t xml:space="preserve">he </w:t>
      </w:r>
      <w:r w:rsidR="00B40A45">
        <w:rPr>
          <w:rFonts w:ascii="Times New Roman" w:hAnsi="Times New Roman" w:cs="Times New Roman"/>
          <w:sz w:val="24"/>
          <w:szCs w:val="24"/>
        </w:rPr>
        <w:t xml:space="preserve">estimated </w:t>
      </w:r>
      <w:r w:rsidR="000E1965" w:rsidRPr="009D4A13">
        <w:rPr>
          <w:rFonts w:ascii="Times New Roman" w:hAnsi="Times New Roman" w:cs="Times New Roman"/>
          <w:sz w:val="24"/>
          <w:szCs w:val="24"/>
        </w:rPr>
        <w:t xml:space="preserve">lower </w:t>
      </w:r>
      <w:r w:rsidR="003C24ED" w:rsidRPr="009D4A13">
        <w:rPr>
          <w:rFonts w:ascii="Times New Roman" w:hAnsi="Times New Roman" w:cs="Times New Roman"/>
          <w:sz w:val="24"/>
          <w:szCs w:val="24"/>
        </w:rPr>
        <w:t>Akaike Information C</w:t>
      </w:r>
      <w:r w:rsidR="00380C88" w:rsidRPr="009D4A13">
        <w:rPr>
          <w:rFonts w:ascii="Times New Roman" w:hAnsi="Times New Roman" w:cs="Times New Roman"/>
          <w:sz w:val="24"/>
          <w:szCs w:val="24"/>
        </w:rPr>
        <w:t xml:space="preserve">riterion and the </w:t>
      </w:r>
      <w:r w:rsidR="000E1965" w:rsidRPr="009D4A13">
        <w:rPr>
          <w:rFonts w:ascii="Times New Roman" w:hAnsi="Times New Roman" w:cs="Times New Roman"/>
          <w:sz w:val="24"/>
          <w:szCs w:val="24"/>
        </w:rPr>
        <w:t xml:space="preserve">higher </w:t>
      </w:r>
      <w:r w:rsidR="00380C88" w:rsidRPr="009D4A13">
        <w:rPr>
          <w:rFonts w:ascii="Times New Roman" w:hAnsi="Times New Roman" w:cs="Times New Roman"/>
          <w:sz w:val="24"/>
          <w:szCs w:val="24"/>
        </w:rPr>
        <w:t>Log</w:t>
      </w:r>
      <w:r w:rsidR="00B43C32">
        <w:rPr>
          <w:rFonts w:ascii="Times New Roman" w:hAnsi="Times New Roman" w:cs="Times New Roman"/>
          <w:sz w:val="24"/>
          <w:szCs w:val="24"/>
        </w:rPr>
        <w:t>–</w:t>
      </w:r>
      <w:r w:rsidR="00380C88" w:rsidRPr="009D4A13">
        <w:rPr>
          <w:rFonts w:ascii="Times New Roman" w:hAnsi="Times New Roman" w:cs="Times New Roman"/>
          <w:sz w:val="24"/>
          <w:szCs w:val="24"/>
        </w:rPr>
        <w:t xml:space="preserve">Likelihood values reveal that the </w:t>
      </w:r>
      <w:r w:rsidR="00006BD1" w:rsidRPr="009D4A13">
        <w:rPr>
          <w:rFonts w:ascii="Times New Roman" w:hAnsi="Times New Roman" w:cs="Times New Roman"/>
          <w:sz w:val="24"/>
          <w:szCs w:val="24"/>
        </w:rPr>
        <w:t xml:space="preserve">Exponential </w:t>
      </w:r>
      <w:r w:rsidR="00380C88" w:rsidRPr="009D4A13">
        <w:rPr>
          <w:rFonts w:ascii="Times New Roman" w:hAnsi="Times New Roman" w:cs="Times New Roman"/>
          <w:sz w:val="24"/>
          <w:szCs w:val="24"/>
        </w:rPr>
        <w:t xml:space="preserve">GARCH model </w:t>
      </w:r>
      <w:r w:rsidR="00BC5338" w:rsidRPr="009D4A13">
        <w:rPr>
          <w:rFonts w:ascii="Times New Roman" w:hAnsi="Times New Roman" w:cs="Times New Roman"/>
          <w:sz w:val="24"/>
          <w:szCs w:val="24"/>
        </w:rPr>
        <w:t xml:space="preserve">relatively </w:t>
      </w:r>
      <w:r w:rsidR="00380C88" w:rsidRPr="009D4A13">
        <w:rPr>
          <w:rFonts w:ascii="Times New Roman" w:hAnsi="Times New Roman" w:cs="Times New Roman"/>
          <w:sz w:val="24"/>
          <w:szCs w:val="24"/>
        </w:rPr>
        <w:t>gives better estimates</w:t>
      </w:r>
      <w:r w:rsidR="001815BA" w:rsidRPr="009D4A13">
        <w:rPr>
          <w:rFonts w:ascii="Times New Roman" w:hAnsi="Times New Roman" w:cs="Times New Roman"/>
          <w:sz w:val="24"/>
          <w:szCs w:val="24"/>
        </w:rPr>
        <w:t xml:space="preserve"> than another</w:t>
      </w:r>
      <w:r w:rsidR="00006BD1" w:rsidRPr="009D4A13">
        <w:rPr>
          <w:rFonts w:ascii="Times New Roman" w:hAnsi="Times New Roman" w:cs="Times New Roman"/>
          <w:sz w:val="24"/>
          <w:szCs w:val="24"/>
        </w:rPr>
        <w:t xml:space="preserve"> </w:t>
      </w:r>
      <w:r w:rsidR="001815BA" w:rsidRPr="009D4A13">
        <w:rPr>
          <w:rFonts w:ascii="Times New Roman" w:hAnsi="Times New Roman" w:cs="Times New Roman"/>
          <w:sz w:val="24"/>
          <w:szCs w:val="24"/>
        </w:rPr>
        <w:t xml:space="preserve">asymmetric model of </w:t>
      </w:r>
      <w:r w:rsidR="003C24ED" w:rsidRPr="009D4A13">
        <w:rPr>
          <w:rFonts w:ascii="Times New Roman" w:hAnsi="Times New Roman" w:cs="Times New Roman"/>
          <w:sz w:val="24"/>
          <w:szCs w:val="24"/>
        </w:rPr>
        <w:t xml:space="preserve">the </w:t>
      </w:r>
      <w:r w:rsidR="00006BD1" w:rsidRPr="009D4A13">
        <w:rPr>
          <w:rFonts w:ascii="Times New Roman" w:hAnsi="Times New Roman" w:cs="Times New Roman"/>
          <w:sz w:val="24"/>
          <w:szCs w:val="24"/>
        </w:rPr>
        <w:t xml:space="preserve">Threshold </w:t>
      </w:r>
      <w:r w:rsidR="00380C88" w:rsidRPr="009D4A13">
        <w:rPr>
          <w:rFonts w:ascii="Times New Roman" w:hAnsi="Times New Roman" w:cs="Times New Roman"/>
          <w:sz w:val="24"/>
          <w:szCs w:val="24"/>
        </w:rPr>
        <w:t>GARCH</w:t>
      </w:r>
      <w:r w:rsidR="001815BA" w:rsidRPr="009D4A13">
        <w:rPr>
          <w:rFonts w:ascii="Times New Roman" w:hAnsi="Times New Roman" w:cs="Times New Roman"/>
          <w:sz w:val="24"/>
          <w:szCs w:val="24"/>
        </w:rPr>
        <w:t>.</w:t>
      </w:r>
      <w:r w:rsidR="00380C88" w:rsidRPr="009D4A13">
        <w:rPr>
          <w:rFonts w:ascii="Times New Roman" w:hAnsi="Times New Roman" w:cs="Times New Roman"/>
          <w:sz w:val="24"/>
          <w:szCs w:val="24"/>
        </w:rPr>
        <w:t xml:space="preserve"> When </w:t>
      </w:r>
      <w:r w:rsidR="00006BD1" w:rsidRPr="009D4A13">
        <w:rPr>
          <w:rFonts w:ascii="Times New Roman" w:hAnsi="Times New Roman" w:cs="Times New Roman"/>
          <w:sz w:val="24"/>
          <w:szCs w:val="24"/>
        </w:rPr>
        <w:t xml:space="preserve">using the Exponential </w:t>
      </w:r>
      <w:r w:rsidR="00380C88" w:rsidRPr="009D4A13">
        <w:rPr>
          <w:rFonts w:ascii="Times New Roman" w:hAnsi="Times New Roman" w:cs="Times New Roman"/>
          <w:sz w:val="24"/>
          <w:szCs w:val="24"/>
        </w:rPr>
        <w:t>GARCH model, the Student’</w:t>
      </w:r>
      <w:r w:rsidR="00FE2946" w:rsidRPr="009D4A13">
        <w:rPr>
          <w:rFonts w:ascii="Times New Roman" w:hAnsi="Times New Roman" w:cs="Times New Roman"/>
          <w:sz w:val="24"/>
          <w:szCs w:val="24"/>
        </w:rPr>
        <w:t>s t</w:t>
      </w:r>
      <w:r w:rsidR="00B43C32">
        <w:rPr>
          <w:rFonts w:ascii="Times New Roman" w:hAnsi="Times New Roman" w:cs="Times New Roman"/>
          <w:sz w:val="24"/>
          <w:szCs w:val="24"/>
        </w:rPr>
        <w:t>–</w:t>
      </w:r>
      <w:r w:rsidR="00FE2946" w:rsidRPr="009D4A13">
        <w:rPr>
          <w:rFonts w:ascii="Times New Roman" w:hAnsi="Times New Roman" w:cs="Times New Roman"/>
          <w:sz w:val="24"/>
          <w:szCs w:val="24"/>
        </w:rPr>
        <w:t xml:space="preserve">distribution </w:t>
      </w:r>
      <w:r w:rsidR="00380C88" w:rsidRPr="009D4A13">
        <w:rPr>
          <w:rFonts w:ascii="Times New Roman" w:hAnsi="Times New Roman" w:cs="Times New Roman"/>
          <w:sz w:val="24"/>
          <w:szCs w:val="24"/>
        </w:rPr>
        <w:t>outperform</w:t>
      </w:r>
      <w:r w:rsidR="00F47C2A" w:rsidRPr="009D4A13">
        <w:rPr>
          <w:rFonts w:ascii="Times New Roman" w:hAnsi="Times New Roman" w:cs="Times New Roman"/>
          <w:sz w:val="24"/>
          <w:szCs w:val="24"/>
        </w:rPr>
        <w:t>s</w:t>
      </w:r>
      <w:r w:rsidR="00380C88" w:rsidRPr="009D4A13">
        <w:rPr>
          <w:rFonts w:ascii="Times New Roman" w:hAnsi="Times New Roman" w:cs="Times New Roman"/>
          <w:sz w:val="24"/>
          <w:szCs w:val="24"/>
        </w:rPr>
        <w:t xml:space="preserve"> the normal distribution</w:t>
      </w:r>
      <w:r w:rsidR="001815BA" w:rsidRPr="009D4A13">
        <w:rPr>
          <w:rFonts w:ascii="Times New Roman" w:hAnsi="Times New Roman" w:cs="Times New Roman"/>
          <w:sz w:val="24"/>
          <w:szCs w:val="24"/>
        </w:rPr>
        <w:t xml:space="preserve"> in this study</w:t>
      </w:r>
      <w:r w:rsidR="00380C88" w:rsidRPr="009D4A13">
        <w:rPr>
          <w:rFonts w:ascii="Times New Roman" w:hAnsi="Times New Roman" w:cs="Times New Roman"/>
          <w:sz w:val="24"/>
          <w:szCs w:val="24"/>
        </w:rPr>
        <w:t>, because the log</w:t>
      </w:r>
      <w:r w:rsidR="00B43C32">
        <w:rPr>
          <w:rFonts w:ascii="Times New Roman" w:hAnsi="Times New Roman" w:cs="Times New Roman"/>
          <w:sz w:val="24"/>
          <w:szCs w:val="24"/>
        </w:rPr>
        <w:t>–</w:t>
      </w:r>
      <w:r w:rsidR="00380C88" w:rsidRPr="009D4A13">
        <w:rPr>
          <w:rFonts w:ascii="Times New Roman" w:hAnsi="Times New Roman" w:cs="Times New Roman"/>
          <w:sz w:val="24"/>
          <w:szCs w:val="24"/>
        </w:rPr>
        <w:t xml:space="preserve">likelihood </w:t>
      </w:r>
      <w:r w:rsidR="00084030">
        <w:rPr>
          <w:rFonts w:ascii="Times New Roman" w:hAnsi="Times New Roman" w:cs="Times New Roman"/>
          <w:sz w:val="24"/>
          <w:szCs w:val="24"/>
        </w:rPr>
        <w:lastRenderedPageBreak/>
        <w:t>function increases when</w:t>
      </w:r>
      <w:r w:rsidR="00380C88" w:rsidRPr="009D4A13">
        <w:rPr>
          <w:rFonts w:ascii="Times New Roman" w:hAnsi="Times New Roman" w:cs="Times New Roman"/>
          <w:sz w:val="24"/>
          <w:szCs w:val="24"/>
        </w:rPr>
        <w:t xml:space="preserve"> the </w:t>
      </w:r>
      <w:r w:rsidR="00F47C2A" w:rsidRPr="009D4A13">
        <w:rPr>
          <w:rFonts w:ascii="Times New Roman" w:hAnsi="Times New Roman" w:cs="Times New Roman"/>
          <w:sz w:val="24"/>
          <w:szCs w:val="24"/>
        </w:rPr>
        <w:t>Student’s t</w:t>
      </w:r>
      <w:r w:rsidR="00B43C32">
        <w:rPr>
          <w:rFonts w:ascii="Times New Roman" w:hAnsi="Times New Roman" w:cs="Times New Roman"/>
          <w:sz w:val="24"/>
          <w:szCs w:val="24"/>
        </w:rPr>
        <w:t>–</w:t>
      </w:r>
      <w:r w:rsidR="00084030">
        <w:rPr>
          <w:rFonts w:ascii="Times New Roman" w:hAnsi="Times New Roman" w:cs="Times New Roman"/>
          <w:sz w:val="24"/>
          <w:szCs w:val="24"/>
        </w:rPr>
        <w:t>distribution is used.</w:t>
      </w:r>
      <w:r w:rsidR="00977CA6" w:rsidRPr="009D4A13">
        <w:rPr>
          <w:rFonts w:ascii="Times New Roman" w:hAnsi="Times New Roman" w:cs="Times New Roman"/>
          <w:sz w:val="24"/>
          <w:szCs w:val="24"/>
          <w:lang w:eastAsia="tr-TR"/>
        </w:rPr>
        <w:t xml:space="preserve"> It seems that the lag order (1,1) is sufficient to capture volatility clustering that is present in the </w:t>
      </w:r>
      <w:proofErr w:type="gramStart"/>
      <w:r w:rsidR="00977CA6" w:rsidRPr="009D4A13">
        <w:rPr>
          <w:rFonts w:ascii="Times New Roman" w:hAnsi="Times New Roman" w:cs="Times New Roman"/>
          <w:sz w:val="24"/>
          <w:szCs w:val="24"/>
          <w:lang w:eastAsia="tr-TR"/>
        </w:rPr>
        <w:t>data</w:t>
      </w:r>
      <w:proofErr w:type="gramEnd"/>
      <w:r w:rsidR="00977CA6" w:rsidRPr="009D4A13">
        <w:rPr>
          <w:rFonts w:ascii="Times New Roman" w:hAnsi="Times New Roman" w:cs="Times New Roman"/>
          <w:sz w:val="24"/>
          <w:szCs w:val="24"/>
          <w:lang w:eastAsia="tr-TR"/>
        </w:rPr>
        <w:t>.</w:t>
      </w:r>
      <w:r w:rsidR="00063DA7" w:rsidRPr="009D4A13">
        <w:rPr>
          <w:rFonts w:ascii="Times New Roman" w:hAnsi="Times New Roman" w:cs="Times New Roman"/>
          <w:sz w:val="24"/>
          <w:szCs w:val="24"/>
        </w:rPr>
        <w:t xml:space="preserve"> Maximum likelihood estimates of parameters are obtained using the quasi</w:t>
      </w:r>
      <w:r w:rsidR="00B43C32">
        <w:rPr>
          <w:rFonts w:ascii="Times New Roman" w:hAnsi="Times New Roman" w:cs="Times New Roman"/>
          <w:sz w:val="24"/>
          <w:szCs w:val="24"/>
        </w:rPr>
        <w:t>–</w:t>
      </w:r>
      <w:r w:rsidR="00063DA7" w:rsidRPr="009D4A13">
        <w:rPr>
          <w:rFonts w:ascii="Times New Roman" w:hAnsi="Times New Roman" w:cs="Times New Roman"/>
          <w:sz w:val="24"/>
          <w:szCs w:val="24"/>
        </w:rPr>
        <w:t>maximum likelihood estimator (QMLE).</w:t>
      </w:r>
    </w:p>
    <w:p w:rsidR="0071344E" w:rsidRPr="009D4A13" w:rsidRDefault="00FE2946" w:rsidP="009D4A13">
      <w:pPr>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lang w:eastAsia="tr-TR"/>
        </w:rPr>
        <w:t>The estimated model</w:t>
      </w:r>
      <w:r w:rsidR="00053625" w:rsidRPr="00053625">
        <w:rPr>
          <w:rFonts w:ascii="Times New Roman" w:eastAsiaTheme="minorEastAsia" w:hAnsi="Times New Roman" w:cs="Times New Roman"/>
          <w:sz w:val="24"/>
          <w:szCs w:val="24"/>
        </w:rPr>
        <w:t xml:space="preserve"> </w:t>
      </w:r>
      <w:r w:rsidR="00053625">
        <w:rPr>
          <w:rFonts w:ascii="Times New Roman" w:eastAsiaTheme="minorEastAsia" w:hAnsi="Times New Roman" w:cs="Times New Roman"/>
          <w:sz w:val="24"/>
          <w:szCs w:val="24"/>
        </w:rPr>
        <w:t xml:space="preserve">for </w:t>
      </w:r>
      <w:r w:rsidR="00053625" w:rsidRPr="009D4A13">
        <w:rPr>
          <w:rFonts w:ascii="Times New Roman" w:eastAsiaTheme="minorEastAsia" w:hAnsi="Times New Roman" w:cs="Times New Roman"/>
          <w:sz w:val="24"/>
          <w:szCs w:val="24"/>
        </w:rPr>
        <w:t>th</w:t>
      </w:r>
      <w:r w:rsidR="00053625">
        <w:rPr>
          <w:rFonts w:ascii="Times New Roman" w:eastAsiaTheme="minorEastAsia" w:hAnsi="Times New Roman" w:cs="Times New Roman"/>
          <w:sz w:val="24"/>
          <w:szCs w:val="24"/>
        </w:rPr>
        <w:t>e TRY/USD exchange rate returns</w:t>
      </w:r>
      <w:r w:rsidR="004D2EEB" w:rsidRPr="009D4A13">
        <w:rPr>
          <w:rFonts w:ascii="Times New Roman" w:hAnsi="Times New Roman" w:cs="Times New Roman"/>
          <w:sz w:val="24"/>
          <w:szCs w:val="24"/>
          <w:lang w:eastAsia="tr-TR"/>
        </w:rPr>
        <w:t xml:space="preserve"> is described by the following specification:</w:t>
      </w:r>
    </w:p>
    <w:p w:rsidR="00C2738C" w:rsidRPr="00C2738C" w:rsidRDefault="00C2738C" w:rsidP="00A55538">
      <w:pPr>
        <w:autoSpaceDE w:val="0"/>
        <w:autoSpaceDN w:val="0"/>
        <w:adjustRightInd w:val="0"/>
        <w:spacing w:after="0" w:line="240" w:lineRule="auto"/>
        <w:jc w:val="right"/>
        <w:rPr>
          <w:rFonts w:ascii="Times New Roman" w:hAnsi="Times New Roman" w:cs="Times New Roman"/>
          <w:sz w:val="24"/>
          <w:szCs w:val="24"/>
          <w:lang w:eastAsia="tr-TR"/>
        </w:rPr>
      </w:pPr>
      <w:r w:rsidRPr="00C2738C">
        <w:rPr>
          <w:rFonts w:ascii="Times New Roman" w:hAnsi="Times New Roman" w:cs="Times New Roman"/>
          <w:position w:val="-28"/>
          <w:sz w:val="24"/>
          <w:szCs w:val="24"/>
          <w:lang w:eastAsia="tr-TR"/>
        </w:rPr>
        <w:object w:dxaOrig="5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pt;height:34.8pt" o:ole="">
            <v:imagedata r:id="rId9" o:title=""/>
          </v:shape>
          <o:OLEObject Type="Embed" ProgID="Equation.3" ShapeID="_x0000_i1025" DrawAspect="Content" ObjectID="_1458128503" r:id="rId10"/>
        </w:object>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t>(1)</w:t>
      </w:r>
    </w:p>
    <w:p w:rsidR="00C2738C" w:rsidRPr="00C2738C" w:rsidRDefault="00C2738C" w:rsidP="00A55538">
      <w:pPr>
        <w:autoSpaceDE w:val="0"/>
        <w:autoSpaceDN w:val="0"/>
        <w:adjustRightInd w:val="0"/>
        <w:spacing w:after="0" w:line="240" w:lineRule="auto"/>
        <w:ind w:left="3540" w:firstLine="708"/>
        <w:jc w:val="right"/>
        <w:rPr>
          <w:rFonts w:ascii="Times New Roman" w:hAnsi="Times New Roman" w:cs="Times New Roman"/>
          <w:sz w:val="24"/>
          <w:szCs w:val="24"/>
          <w:lang w:eastAsia="tr-TR"/>
        </w:rPr>
      </w:pPr>
      <w:r w:rsidRPr="00C2738C">
        <w:rPr>
          <w:rFonts w:ascii="Times New Roman" w:hAnsi="Times New Roman" w:cs="Times New Roman"/>
          <w:position w:val="-12"/>
          <w:sz w:val="24"/>
          <w:szCs w:val="24"/>
          <w:lang w:eastAsia="tr-TR"/>
        </w:rPr>
        <w:object w:dxaOrig="900" w:dyaOrig="360">
          <v:shape id="_x0000_i1026" type="#_x0000_t75" style="width:45pt;height:18pt" o:ole="">
            <v:imagedata r:id="rId11" o:title=""/>
          </v:shape>
          <o:OLEObject Type="Embed" ProgID="Equation.3" ShapeID="_x0000_i1026" DrawAspect="Content" ObjectID="_1458128504" r:id="rId12"/>
        </w:object>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t>(2)</w:t>
      </w:r>
    </w:p>
    <w:p w:rsidR="00C2738C" w:rsidRPr="00C2738C" w:rsidRDefault="00C2738C" w:rsidP="00A55538">
      <w:pPr>
        <w:autoSpaceDE w:val="0"/>
        <w:autoSpaceDN w:val="0"/>
        <w:adjustRightInd w:val="0"/>
        <w:spacing w:after="0" w:line="240" w:lineRule="auto"/>
        <w:ind w:firstLine="708"/>
        <w:jc w:val="right"/>
        <w:rPr>
          <w:rFonts w:ascii="Times New Roman" w:hAnsi="Times New Roman" w:cs="Times New Roman"/>
          <w:sz w:val="24"/>
          <w:szCs w:val="24"/>
          <w:lang w:eastAsia="tr-TR"/>
        </w:rPr>
      </w:pPr>
      <w:r w:rsidRPr="00C2738C">
        <w:rPr>
          <w:rFonts w:ascii="Times New Roman" w:hAnsi="Times New Roman" w:cs="Times New Roman"/>
          <w:position w:val="-14"/>
          <w:sz w:val="24"/>
          <w:szCs w:val="24"/>
          <w:lang w:eastAsia="tr-TR"/>
        </w:rPr>
        <w:object w:dxaOrig="1740" w:dyaOrig="400">
          <v:shape id="_x0000_i1027" type="#_x0000_t75" style="width:87pt;height:19.8pt" o:ole="">
            <v:imagedata r:id="rId13" o:title=""/>
          </v:shape>
          <o:OLEObject Type="Embed" ProgID="Equation.3" ShapeID="_x0000_i1027" DrawAspect="Content" ObjectID="_1458128505" r:id="rId14"/>
        </w:object>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r>
      <w:r w:rsidRPr="00C2738C">
        <w:rPr>
          <w:rFonts w:ascii="Times New Roman" w:hAnsi="Times New Roman" w:cs="Times New Roman"/>
          <w:sz w:val="24"/>
          <w:szCs w:val="24"/>
          <w:lang w:eastAsia="tr-TR"/>
        </w:rPr>
        <w:tab/>
        <w:t>(3)</w:t>
      </w:r>
      <w:r w:rsidRPr="00C2738C">
        <w:rPr>
          <w:rFonts w:ascii="Times New Roman" w:hAnsi="Times New Roman" w:cs="Times New Roman"/>
          <w:position w:val="-30"/>
          <w:sz w:val="24"/>
          <w:szCs w:val="24"/>
          <w:lang w:eastAsia="tr-TR"/>
        </w:rPr>
        <w:object w:dxaOrig="9260" w:dyaOrig="720">
          <v:shape id="_x0000_i1028" type="#_x0000_t75" style="width:463.2pt;height:36pt" o:ole="">
            <v:imagedata r:id="rId15" o:title=""/>
          </v:shape>
          <o:OLEObject Type="Embed" ProgID="Equation.3" ShapeID="_x0000_i1028" DrawAspect="Content" ObjectID="_1458128506" r:id="rId16"/>
        </w:object>
      </w:r>
      <w:r w:rsidRPr="00C2738C">
        <w:rPr>
          <w:rFonts w:ascii="Times New Roman" w:hAnsi="Times New Roman" w:cs="Times New Roman"/>
          <w:sz w:val="24"/>
          <w:szCs w:val="24"/>
          <w:lang w:eastAsia="tr-TR"/>
        </w:rPr>
        <w:tab/>
        <w:t>(4)</w:t>
      </w:r>
    </w:p>
    <w:p w:rsidR="00C2738C" w:rsidRPr="00C2738C" w:rsidRDefault="00C2738C" w:rsidP="00A55538">
      <w:pPr>
        <w:autoSpaceDE w:val="0"/>
        <w:autoSpaceDN w:val="0"/>
        <w:adjustRightInd w:val="0"/>
        <w:spacing w:after="0" w:line="240" w:lineRule="auto"/>
        <w:jc w:val="center"/>
        <w:rPr>
          <w:rFonts w:ascii="Times New Roman" w:hAnsi="Times New Roman" w:cs="Times New Roman"/>
          <w:sz w:val="24"/>
          <w:szCs w:val="24"/>
          <w:lang w:eastAsia="tr-TR"/>
        </w:rPr>
      </w:pPr>
      <w:r w:rsidRPr="00C2738C">
        <w:rPr>
          <w:rFonts w:ascii="Times New Roman" w:hAnsi="Times New Roman" w:cs="Times New Roman"/>
          <w:sz w:val="24"/>
          <w:szCs w:val="24"/>
          <w:lang w:eastAsia="tr-TR"/>
        </w:rPr>
        <w:t xml:space="preserve">where </w:t>
      </w:r>
      <w:r w:rsidRPr="00C2738C">
        <w:rPr>
          <w:rFonts w:ascii="Times New Roman" w:hAnsi="Times New Roman" w:cs="Times New Roman"/>
          <w:position w:val="-30"/>
          <w:sz w:val="24"/>
          <w:szCs w:val="24"/>
          <w:lang w:eastAsia="tr-TR"/>
        </w:rPr>
        <w:object w:dxaOrig="1040" w:dyaOrig="680">
          <v:shape id="_x0000_i1029" type="#_x0000_t75" style="width:52.8pt;height:34.8pt" o:ole="">
            <v:imagedata r:id="rId17" o:title=""/>
          </v:shape>
          <o:OLEObject Type="Embed" ProgID="Equation.3" ShapeID="_x0000_i1029" DrawAspect="Content" ObjectID="_1458128507" r:id="rId18"/>
        </w:object>
      </w:r>
      <w:r w:rsidRPr="00C2738C">
        <w:rPr>
          <w:rFonts w:ascii="Times New Roman" w:hAnsi="Times New Roman" w:cs="Times New Roman"/>
          <w:sz w:val="24"/>
          <w:szCs w:val="24"/>
          <w:lang w:eastAsia="tr-TR"/>
        </w:rPr>
        <w:t>.</w:t>
      </w:r>
    </w:p>
    <w:p w:rsidR="00063DA7" w:rsidRPr="009D4A13" w:rsidRDefault="00B4601D" w:rsidP="009D4A13">
      <w:pPr>
        <w:autoSpaceDE w:val="0"/>
        <w:autoSpaceDN w:val="0"/>
        <w:adjustRightInd w:val="0"/>
        <w:spacing w:after="0" w:line="240" w:lineRule="auto"/>
        <w:jc w:val="both"/>
        <w:rPr>
          <w:rFonts w:ascii="Times New Roman" w:eastAsiaTheme="minorEastAsia" w:hAnsi="Times New Roman" w:cs="Times New Roman"/>
          <w:sz w:val="24"/>
          <w:szCs w:val="24"/>
        </w:rPr>
      </w:pPr>
      <w:proofErr w:type="gramStart"/>
      <w:r w:rsidRPr="009D4A13">
        <w:rPr>
          <w:rFonts w:ascii="Times New Roman" w:hAnsi="Times New Roman" w:cs="Times New Roman"/>
          <w:sz w:val="24"/>
          <w:szCs w:val="24"/>
        </w:rPr>
        <w:t xml:space="preserve">In equation 1, </w:t>
      </w: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0</m:t>
            </m:r>
          </m:sub>
        </m:sSub>
      </m:oMath>
      <w:r w:rsidRPr="009D4A13">
        <w:rPr>
          <w:rFonts w:ascii="Times New Roman" w:eastAsiaTheme="minorEastAsia" w:hAnsi="Times New Roman" w:cs="Times New Roman"/>
          <w:sz w:val="24"/>
          <w:szCs w:val="24"/>
        </w:rPr>
        <w:t xml:space="preserve"> is constant;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w:r w:rsidRPr="009D4A13">
        <w:rPr>
          <w:rFonts w:ascii="Times New Roman" w:eastAsiaTheme="minorEastAsia" w:hAnsi="Times New Roman" w:cs="Times New Roman"/>
          <w:sz w:val="24"/>
          <w:szCs w:val="24"/>
        </w:rPr>
        <w:t xml:space="preserve"> is the TRY/USD exchange rate returns, i.e. the first</w:t>
      </w:r>
      <w:r w:rsidR="00B43C32">
        <w:rPr>
          <w:rFonts w:ascii="Times New Roman" w:eastAsiaTheme="minorEastAsia" w:hAnsi="Times New Roman" w:cs="Times New Roman"/>
          <w:sz w:val="24"/>
          <w:szCs w:val="24"/>
        </w:rPr>
        <w:t>–</w:t>
      </w:r>
      <w:r w:rsidRPr="009D4A13">
        <w:rPr>
          <w:rFonts w:ascii="Times New Roman" w:eastAsiaTheme="minorEastAsia" w:hAnsi="Times New Roman" w:cs="Times New Roman"/>
          <w:sz w:val="24"/>
          <w:szCs w:val="24"/>
        </w:rPr>
        <w:t xml:space="preserve">difference </w:t>
      </w:r>
      <w:r w:rsidR="00B24089" w:rsidRPr="009D4A13">
        <w:rPr>
          <w:rFonts w:ascii="Times New Roman" w:eastAsiaTheme="minorEastAsia" w:hAnsi="Times New Roman" w:cs="Times New Roman"/>
          <w:sz w:val="24"/>
          <w:szCs w:val="24"/>
        </w:rPr>
        <w:t>of</w:t>
      </w:r>
      <w:r w:rsidRPr="009D4A13">
        <w:rPr>
          <w:rFonts w:ascii="Times New Roman" w:eastAsiaTheme="minorEastAsia" w:hAnsi="Times New Roman" w:cs="Times New Roman"/>
          <w:sz w:val="24"/>
          <w:szCs w:val="24"/>
        </w:rPr>
        <w:t xml:space="preserve"> the TRY/USD exchange rate</w:t>
      </w:r>
      <w:r w:rsidR="00B24089" w:rsidRPr="009D4A13">
        <w:rPr>
          <w:rFonts w:ascii="Times New Roman" w:eastAsiaTheme="minorEastAsia" w:hAnsi="Times New Roman" w:cs="Times New Roman"/>
          <w:sz w:val="24"/>
          <w:szCs w:val="24"/>
        </w:rPr>
        <w:t xml:space="preserve"> log levels</w:t>
      </w:r>
      <w:r w:rsidRPr="009D4A1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VOL</m:t>
            </m:r>
          </m:e>
          <m:sub>
            <m:r>
              <w:rPr>
                <w:rFonts w:ascii="Cambria Math" w:eastAsiaTheme="minorEastAsia" w:hAnsi="Cambria Math" w:cs="Times New Roman"/>
                <w:sz w:val="24"/>
                <w:szCs w:val="24"/>
              </w:rPr>
              <m:t>t</m:t>
            </m:r>
          </m:sub>
        </m:sSub>
      </m:oMath>
      <w:r w:rsidRPr="009D4A13">
        <w:rPr>
          <w:rFonts w:ascii="Times New Roman" w:eastAsiaTheme="minorEastAsia" w:hAnsi="Times New Roman" w:cs="Times New Roman"/>
          <w:sz w:val="24"/>
          <w:szCs w:val="24"/>
        </w:rPr>
        <w:t xml:space="preserve"> is the CBRT foreign exchange intervention volume</w:t>
      </w:r>
      <w:r w:rsidR="0012495D" w:rsidRPr="009D4A13">
        <w:rPr>
          <w:rFonts w:ascii="Times New Roman" w:eastAsiaTheme="minorEastAsia" w:hAnsi="Times New Roman" w:cs="Times New Roman"/>
          <w:sz w:val="24"/>
          <w:szCs w:val="24"/>
        </w:rPr>
        <w:t xml:space="preserve"> variable</w:t>
      </w:r>
      <w:r w:rsidRPr="009D4A13">
        <w:rPr>
          <w:rFonts w:ascii="Times New Roman" w:eastAsiaTheme="minorEastAsia" w:hAnsi="Times New Roman" w:cs="Times New Roman"/>
          <w:sz w:val="24"/>
          <w:szCs w:val="24"/>
        </w:rPr>
        <w:t xml:space="preserve"> (millions </w:t>
      </w:r>
      <w:r w:rsidR="00AF2168" w:rsidRPr="009D4A13">
        <w:rPr>
          <w:rFonts w:ascii="Times New Roman" w:eastAsiaTheme="minorEastAsia" w:hAnsi="Times New Roman" w:cs="Times New Roman"/>
          <w:sz w:val="24"/>
          <w:szCs w:val="24"/>
        </w:rPr>
        <w:t xml:space="preserve">of </w:t>
      </w:r>
      <w:r w:rsidRPr="009D4A13">
        <w:rPr>
          <w:rFonts w:ascii="Times New Roman" w:eastAsiaTheme="minorEastAsia" w:hAnsi="Times New Roman" w:cs="Times New Roman"/>
          <w:sz w:val="24"/>
          <w:szCs w:val="24"/>
        </w:rPr>
        <w:t xml:space="preserve">USD);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DUM</m:t>
            </m:r>
          </m:e>
          <m:sub>
            <m:r>
              <w:rPr>
                <w:rFonts w:ascii="Cambria Math" w:eastAsiaTheme="minorEastAsia" w:hAnsi="Cambria Math" w:cs="Times New Roman"/>
                <w:sz w:val="24"/>
                <w:szCs w:val="24"/>
              </w:rPr>
              <m:t>t</m:t>
            </m:r>
          </m:sub>
        </m:sSub>
      </m:oMath>
      <w:r w:rsidRPr="009D4A13">
        <w:rPr>
          <w:rFonts w:ascii="Times New Roman" w:eastAsiaTheme="minorEastAsia" w:hAnsi="Times New Roman" w:cs="Times New Roman"/>
          <w:sz w:val="24"/>
          <w:szCs w:val="24"/>
        </w:rPr>
        <w:t xml:space="preserve"> is dummy variable</w:t>
      </w:r>
      <w:r w:rsidR="00BE76E0" w:rsidRPr="009D4A13">
        <w:rPr>
          <w:rFonts w:ascii="Times New Roman" w:eastAsiaTheme="minorEastAsia" w:hAnsi="Times New Roman" w:cs="Times New Roman"/>
          <w:sz w:val="24"/>
          <w:szCs w:val="24"/>
        </w:rPr>
        <w:t xml:space="preserve"> representing intervention days</w:t>
      </w:r>
      <w:r w:rsidRPr="009D4A13">
        <w:rPr>
          <w:rFonts w:ascii="Times New Roman" w:eastAsiaTheme="minorEastAsia" w:hAnsi="Times New Roman" w:cs="Times New Roman"/>
          <w:sz w:val="24"/>
          <w:szCs w:val="24"/>
        </w:rPr>
        <w:t xml:space="preserve"> that </w:t>
      </w:r>
      <w:r w:rsidR="00435E4A" w:rsidRPr="009D4A13">
        <w:rPr>
          <w:rFonts w:ascii="Times New Roman" w:eastAsiaTheme="minorEastAsia" w:hAnsi="Times New Roman" w:cs="Times New Roman"/>
          <w:sz w:val="24"/>
          <w:szCs w:val="24"/>
        </w:rPr>
        <w:t>is equal to 1</w:t>
      </w:r>
      <w:r w:rsidR="006C185B" w:rsidRPr="009D4A13">
        <w:rPr>
          <w:rFonts w:ascii="Times New Roman" w:eastAsiaTheme="minorEastAsia" w:hAnsi="Times New Roman" w:cs="Times New Roman"/>
          <w:sz w:val="24"/>
          <w:szCs w:val="24"/>
        </w:rPr>
        <w:t xml:space="preserve"> on</w:t>
      </w:r>
      <w:r w:rsidRPr="009D4A13">
        <w:rPr>
          <w:rFonts w:ascii="Times New Roman" w:eastAsiaTheme="minorEastAsia" w:hAnsi="Times New Roman" w:cs="Times New Roman"/>
          <w:sz w:val="24"/>
          <w:szCs w:val="24"/>
        </w:rPr>
        <w:t xml:space="preserve"> days with dollar purchases, </w:t>
      </w:r>
      <w:r w:rsidR="00B43C32">
        <w:rPr>
          <w:rFonts w:ascii="Times New Roman" w:eastAsiaTheme="minorEastAsia" w:hAnsi="Times New Roman" w:cs="Times New Roman"/>
          <w:sz w:val="24"/>
          <w:szCs w:val="24"/>
        </w:rPr>
        <w:t>–</w:t>
      </w:r>
      <w:r w:rsidRPr="009D4A13">
        <w:rPr>
          <w:rFonts w:ascii="Times New Roman" w:eastAsiaTheme="minorEastAsia" w:hAnsi="Times New Roman" w:cs="Times New Roman"/>
          <w:sz w:val="24"/>
          <w:szCs w:val="24"/>
        </w:rPr>
        <w:t>1 on days with dollar sales, and 0 otherwise</w:t>
      </w:r>
      <w:r w:rsidR="005E7DE5" w:rsidRPr="009D4A13">
        <w:rPr>
          <w:rFonts w:ascii="Times New Roman" w:eastAsiaTheme="minorEastAsia" w:hAnsi="Times New Roman" w:cs="Times New Roman"/>
          <w:sz w:val="24"/>
          <w:szCs w:val="24"/>
        </w:rPr>
        <w:t xml:space="preserve"> (</w:t>
      </w:r>
      <w:r w:rsidR="00A861D6" w:rsidRPr="009D4A13">
        <w:rPr>
          <w:rFonts w:ascii="Times New Roman" w:eastAsiaTheme="minorEastAsia" w:hAnsi="Times New Roman" w:cs="Times New Roman"/>
          <w:sz w:val="24"/>
          <w:szCs w:val="24"/>
        </w:rPr>
        <w:t>included</w:t>
      </w:r>
      <w:r w:rsidR="00E75275" w:rsidRPr="009D4A13">
        <w:rPr>
          <w:rFonts w:ascii="Times New Roman" w:eastAsiaTheme="minorEastAsia" w:hAnsi="Times New Roman" w:cs="Times New Roman"/>
          <w:sz w:val="24"/>
          <w:szCs w:val="24"/>
        </w:rPr>
        <w:t xml:space="preserve"> to test for whether the presence of central bank in the market alone can </w:t>
      </w:r>
      <w:r w:rsidR="00E75275" w:rsidRPr="009D4A13">
        <w:rPr>
          <w:rFonts w:ascii="Times New Roman" w:hAnsi="Times New Roman" w:cs="Times New Roman"/>
          <w:sz w:val="24"/>
          <w:szCs w:val="24"/>
        </w:rPr>
        <w:t xml:space="preserve">explain the same day exchange rate returns and return volatility, </w:t>
      </w:r>
      <w:r w:rsidR="005E7DE5" w:rsidRPr="009D4A13">
        <w:rPr>
          <w:rFonts w:ascii="Times New Roman" w:eastAsiaTheme="minorEastAsia" w:hAnsi="Times New Roman" w:cs="Times New Roman"/>
          <w:sz w:val="24"/>
          <w:szCs w:val="24"/>
        </w:rPr>
        <w:t>regardless of the magnitude of the actual intervention)</w:t>
      </w:r>
      <w:r w:rsidRPr="009D4A1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CDS</m:t>
            </m:r>
          </m:e>
          <m:sub>
            <m:r>
              <w:rPr>
                <w:rFonts w:ascii="Cambria Math" w:eastAsiaTheme="minorEastAsia" w:hAnsi="Cambria Math" w:cs="Times New Roman"/>
                <w:sz w:val="24"/>
                <w:szCs w:val="24"/>
              </w:rPr>
              <m:t>t</m:t>
            </m:r>
          </m:sub>
        </m:sSub>
      </m:oMath>
      <w:r w:rsidR="00BE76E0" w:rsidRPr="009D4A13">
        <w:rPr>
          <w:rFonts w:ascii="Times New Roman" w:eastAsiaTheme="minorEastAsia" w:hAnsi="Times New Roman" w:cs="Times New Roman"/>
          <w:sz w:val="24"/>
          <w:szCs w:val="24"/>
        </w:rPr>
        <w:t xml:space="preserve"> is the </w:t>
      </w:r>
      <w:r w:rsidR="00962BC6" w:rsidRPr="009D4A13">
        <w:rPr>
          <w:rFonts w:ascii="Times New Roman" w:eastAsiaTheme="minorEastAsia" w:hAnsi="Times New Roman" w:cs="Times New Roman"/>
          <w:sz w:val="24"/>
          <w:szCs w:val="24"/>
        </w:rPr>
        <w:t xml:space="preserve">log </w:t>
      </w:r>
      <w:r w:rsidR="00BE76E0" w:rsidRPr="009D4A13">
        <w:rPr>
          <w:rFonts w:ascii="Times New Roman" w:eastAsiaTheme="minorEastAsia" w:hAnsi="Times New Roman" w:cs="Times New Roman"/>
          <w:sz w:val="24"/>
          <w:szCs w:val="24"/>
        </w:rPr>
        <w:t xml:space="preserve">first difference </w:t>
      </w:r>
      <w:r w:rsidR="00962BC6" w:rsidRPr="009D4A13">
        <w:rPr>
          <w:rFonts w:ascii="Times New Roman" w:eastAsiaTheme="minorEastAsia" w:hAnsi="Times New Roman" w:cs="Times New Roman"/>
          <w:sz w:val="24"/>
          <w:szCs w:val="24"/>
        </w:rPr>
        <w:t xml:space="preserve">form </w:t>
      </w:r>
      <w:r w:rsidR="000672D3" w:rsidRPr="009D4A13">
        <w:rPr>
          <w:rFonts w:ascii="Times New Roman" w:eastAsiaTheme="minorEastAsia" w:hAnsi="Times New Roman" w:cs="Times New Roman"/>
          <w:sz w:val="24"/>
          <w:szCs w:val="24"/>
        </w:rPr>
        <w:t>of the Turkey CDS</w:t>
      </w:r>
      <w:r w:rsidR="008E2C6C" w:rsidRPr="009D4A13">
        <w:rPr>
          <w:rFonts w:ascii="Times New Roman" w:eastAsiaTheme="minorEastAsia" w:hAnsi="Times New Roman" w:cs="Times New Roman"/>
          <w:sz w:val="24"/>
          <w:szCs w:val="24"/>
        </w:rPr>
        <w:t xml:space="preserve"> (Credit Default Swap)</w:t>
      </w:r>
      <w:r w:rsidR="000672D3" w:rsidRPr="009D4A13">
        <w:rPr>
          <w:rFonts w:ascii="Times New Roman" w:eastAsiaTheme="minorEastAsia" w:hAnsi="Times New Roman" w:cs="Times New Roman"/>
          <w:sz w:val="24"/>
          <w:szCs w:val="24"/>
        </w:rPr>
        <w:t xml:space="preserve"> prices</w:t>
      </w:r>
      <w:r w:rsidR="00BE76E0" w:rsidRPr="009D4A13">
        <w:rPr>
          <w:rFonts w:ascii="Times New Roman" w:eastAsiaTheme="minorEastAsia" w:hAnsi="Times New Roman" w:cs="Times New Roman"/>
          <w:sz w:val="24"/>
          <w:szCs w:val="24"/>
        </w:rPr>
        <w:t xml:space="preserve"> </w:t>
      </w:r>
      <w:r w:rsidR="000672D3" w:rsidRPr="009D4A13">
        <w:rPr>
          <w:rFonts w:ascii="Times New Roman" w:eastAsiaTheme="minorEastAsia" w:hAnsi="Times New Roman" w:cs="Times New Roman"/>
          <w:sz w:val="24"/>
          <w:szCs w:val="24"/>
        </w:rPr>
        <w:t>(</w:t>
      </w:r>
      <w:r w:rsidR="00BE76E0" w:rsidRPr="009D4A13">
        <w:rPr>
          <w:rFonts w:ascii="Times New Roman" w:eastAsiaTheme="minorEastAsia" w:hAnsi="Times New Roman" w:cs="Times New Roman"/>
          <w:sz w:val="24"/>
          <w:szCs w:val="24"/>
        </w:rPr>
        <w:t>used as a proxy for risk measurement</w:t>
      </w:r>
      <w:r w:rsidR="000672D3" w:rsidRPr="009D4A13">
        <w:rPr>
          <w:rFonts w:ascii="Times New Roman" w:eastAsiaTheme="minorEastAsia" w:hAnsi="Times New Roman" w:cs="Times New Roman"/>
          <w:sz w:val="24"/>
          <w:szCs w:val="24"/>
        </w:rPr>
        <w:t>)</w:t>
      </w:r>
      <w:r w:rsidR="00BE76E0" w:rsidRPr="009D4A1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t-i</m:t>
            </m:r>
          </m:sub>
        </m:sSub>
      </m:oMath>
      <w:r w:rsidR="00BE76E0" w:rsidRPr="009D4A13">
        <w:rPr>
          <w:rFonts w:ascii="Times New Roman" w:eastAsiaTheme="minorEastAsia" w:hAnsi="Times New Roman" w:cs="Times New Roman"/>
          <w:sz w:val="24"/>
          <w:szCs w:val="24"/>
        </w:rPr>
        <w:t xml:space="preserve"> is the lagged values of the </w:t>
      </w:r>
      <w:r w:rsidR="000672D3" w:rsidRPr="009D4A13">
        <w:rPr>
          <w:rFonts w:ascii="Times New Roman" w:eastAsiaTheme="minorEastAsia" w:hAnsi="Times New Roman" w:cs="Times New Roman"/>
          <w:sz w:val="24"/>
          <w:szCs w:val="24"/>
        </w:rPr>
        <w:t>TRY/USD exchange rate returns</w:t>
      </w:r>
      <w:r w:rsidR="00910AB1" w:rsidRPr="009D4A13">
        <w:rPr>
          <w:rFonts w:ascii="Times New Roman" w:eastAsiaTheme="minorEastAsia" w:hAnsi="Times New Roman" w:cs="Times New Roman"/>
          <w:sz w:val="24"/>
          <w:szCs w:val="24"/>
        </w:rPr>
        <w:t xml:space="preserve"> </w:t>
      </w:r>
      <w:r w:rsidR="000672D3" w:rsidRPr="009D4A13">
        <w:rPr>
          <w:rFonts w:ascii="Times New Roman" w:eastAsiaTheme="minorEastAsia" w:hAnsi="Times New Roman" w:cs="Times New Roman"/>
          <w:sz w:val="24"/>
          <w:szCs w:val="24"/>
        </w:rPr>
        <w:t>(</w:t>
      </w:r>
      <w:r w:rsidR="00910AB1" w:rsidRPr="009D4A13">
        <w:rPr>
          <w:rFonts w:ascii="Times New Roman" w:eastAsiaTheme="minorEastAsia" w:hAnsi="Times New Roman" w:cs="Times New Roman"/>
          <w:sz w:val="24"/>
          <w:szCs w:val="24"/>
        </w:rPr>
        <w:t xml:space="preserve">added </w:t>
      </w:r>
      <w:r w:rsidR="00910AB1" w:rsidRPr="009D4A13">
        <w:rPr>
          <w:rFonts w:ascii="Times New Roman" w:hAnsi="Times New Roman" w:cs="Times New Roman"/>
          <w:sz w:val="24"/>
          <w:szCs w:val="24"/>
        </w:rPr>
        <w:t>to ensure that the errors are free of serial correlation</w:t>
      </w:r>
      <w:r w:rsidR="000672D3" w:rsidRPr="009D4A13">
        <w:rPr>
          <w:rFonts w:ascii="Times New Roman" w:hAnsi="Times New Roman" w:cs="Times New Roman"/>
          <w:sz w:val="24"/>
          <w:szCs w:val="24"/>
        </w:rPr>
        <w:t>)</w:t>
      </w:r>
      <w:r w:rsidR="00910AB1" w:rsidRPr="009D4A13">
        <w:rPr>
          <w:rFonts w:ascii="Times New Roman" w:hAnsi="Times New Roman" w:cs="Times New Roman"/>
          <w:sz w:val="24"/>
          <w:szCs w:val="24"/>
        </w:rPr>
        <w:t>.</w:t>
      </w:r>
      <w:r w:rsidR="00962BC6" w:rsidRPr="009D4A13">
        <w:rPr>
          <w:rFonts w:ascii="Times New Roman" w:eastAsiaTheme="minorEastAsia" w:hAnsi="Times New Roman" w:cs="Times New Roman"/>
          <w:sz w:val="24"/>
          <w:szCs w:val="24"/>
        </w:rPr>
        <w:t xml:space="preserve"> </w:t>
      </w:r>
      <w:proofErr w:type="gramEnd"/>
      <w:r w:rsidR="00962BC6" w:rsidRPr="009D4A13">
        <w:rPr>
          <w:rFonts w:ascii="Times New Roman" w:eastAsiaTheme="minorEastAsia" w:hAnsi="Times New Roman" w:cs="Times New Roman"/>
          <w:sz w:val="24"/>
          <w:szCs w:val="24"/>
        </w:rPr>
        <w:t xml:space="preserve">Intervention variables </w:t>
      </w:r>
      <w:r w:rsidR="000672D3" w:rsidRPr="009D4A13">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VOL</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DUM</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w:r w:rsidR="000672D3" w:rsidRPr="009D4A13">
        <w:rPr>
          <w:rFonts w:ascii="Times New Roman" w:eastAsiaTheme="minorEastAsia" w:hAnsi="Times New Roman" w:cs="Times New Roman"/>
          <w:sz w:val="24"/>
          <w:szCs w:val="24"/>
        </w:rPr>
        <w:t xml:space="preserve"> </w:t>
      </w:r>
      <w:r w:rsidR="00962BC6" w:rsidRPr="009D4A13">
        <w:rPr>
          <w:rFonts w:ascii="Times New Roman" w:eastAsiaTheme="minorEastAsia" w:hAnsi="Times New Roman" w:cs="Times New Roman"/>
          <w:sz w:val="24"/>
          <w:szCs w:val="24"/>
        </w:rPr>
        <w:t>appear both in the mean equation (Equation 1)</w:t>
      </w:r>
      <w:r w:rsidR="000F2854" w:rsidRPr="009D4A13">
        <w:rPr>
          <w:rFonts w:ascii="Times New Roman" w:eastAsiaTheme="minorEastAsia" w:hAnsi="Times New Roman" w:cs="Times New Roman"/>
          <w:sz w:val="24"/>
          <w:szCs w:val="24"/>
        </w:rPr>
        <w:t xml:space="preserve"> </w:t>
      </w:r>
      <w:r w:rsidR="00962BC6" w:rsidRPr="009D4A13">
        <w:rPr>
          <w:rFonts w:ascii="Times New Roman" w:eastAsiaTheme="minorEastAsia" w:hAnsi="Times New Roman" w:cs="Times New Roman"/>
          <w:sz w:val="24"/>
          <w:szCs w:val="24"/>
        </w:rPr>
        <w:t>and the</w:t>
      </w:r>
      <w:r w:rsidR="00AF2168" w:rsidRPr="009D4A13">
        <w:rPr>
          <w:rFonts w:ascii="Times New Roman" w:eastAsiaTheme="minorEastAsia" w:hAnsi="Times New Roman" w:cs="Times New Roman"/>
          <w:sz w:val="24"/>
          <w:szCs w:val="24"/>
        </w:rPr>
        <w:t xml:space="preserve"> variance equation (Equation 4)</w:t>
      </w:r>
      <w:r w:rsidR="00053625">
        <w:rPr>
          <w:rFonts w:ascii="Times New Roman" w:eastAsiaTheme="minorEastAsia" w:hAnsi="Times New Roman" w:cs="Times New Roman"/>
          <w:sz w:val="24"/>
          <w:szCs w:val="24"/>
        </w:rPr>
        <w:t>,</w:t>
      </w:r>
      <w:r w:rsidR="00AF2168" w:rsidRPr="009D4A13">
        <w:rPr>
          <w:rFonts w:ascii="Times New Roman" w:eastAsiaTheme="minorEastAsia" w:hAnsi="Times New Roman" w:cs="Times New Roman"/>
          <w:sz w:val="24"/>
          <w:szCs w:val="24"/>
        </w:rPr>
        <w:t xml:space="preserve"> whereas t</w:t>
      </w:r>
      <w:r w:rsidR="00962BC6" w:rsidRPr="009D4A13">
        <w:rPr>
          <w:rFonts w:ascii="Times New Roman" w:eastAsiaTheme="minorEastAsia" w:hAnsi="Times New Roman" w:cs="Times New Roman"/>
          <w:sz w:val="24"/>
          <w:szCs w:val="24"/>
        </w:rPr>
        <w:t>he lagged values of the TRY/USD exchange rate returns don’t appear in the variance equation.</w:t>
      </w:r>
      <w:r w:rsidR="00782F81" w:rsidRPr="009D4A13">
        <w:rPr>
          <w:rFonts w:ascii="Times New Roman" w:eastAsiaTheme="minorEastAsia" w:hAnsi="Times New Roman" w:cs="Times New Roman"/>
          <w:sz w:val="24"/>
          <w:szCs w:val="24"/>
        </w:rPr>
        <w:t xml:space="preserve"> </w:t>
      </w:r>
    </w:p>
    <w:p w:rsidR="00AF2168" w:rsidRPr="00BC55D0" w:rsidRDefault="00207469" w:rsidP="009D4A13">
      <w:pPr>
        <w:spacing w:after="0" w:line="240" w:lineRule="auto"/>
        <w:jc w:val="both"/>
        <w:rPr>
          <w:rFonts w:ascii="Times New Roman" w:hAnsi="Times New Roman" w:cs="Times New Roman"/>
          <w:sz w:val="24"/>
          <w:szCs w:val="24"/>
          <w:lang w:eastAsia="tr-TR"/>
        </w:rPr>
      </w:pPr>
      <w:r w:rsidRPr="009D4A13">
        <w:rPr>
          <w:rFonts w:ascii="Times New Roman" w:hAnsi="Times New Roman" w:cs="Times New Roman"/>
          <w:sz w:val="24"/>
          <w:szCs w:val="24"/>
          <w:lang w:eastAsia="tr-TR"/>
        </w:rPr>
        <w:t xml:space="preserve">The </w:t>
      </w:r>
      <w:r w:rsidRPr="009D4A13">
        <w:rPr>
          <w:rFonts w:ascii="Times New Roman" w:hAnsi="Times New Roman" w:cs="Times New Roman"/>
          <w:position w:val="-6"/>
          <w:sz w:val="24"/>
          <w:szCs w:val="24"/>
          <w:lang w:eastAsia="tr-TR"/>
        </w:rPr>
        <w:object w:dxaOrig="240" w:dyaOrig="220">
          <v:shape id="_x0000_i1030" type="#_x0000_t75" style="width:12pt;height:10.8pt" o:ole="">
            <v:imagedata r:id="rId19" o:title=""/>
          </v:shape>
          <o:OLEObject Type="Embed" ProgID="Equation.3" ShapeID="_x0000_i1030" DrawAspect="Content" ObjectID="_1458128508" r:id="rId20"/>
        </w:object>
      </w:r>
      <w:r w:rsidRPr="009D4A13">
        <w:rPr>
          <w:rFonts w:ascii="Times New Roman" w:hAnsi="Times New Roman" w:cs="Times New Roman"/>
          <w:sz w:val="24"/>
          <w:szCs w:val="24"/>
          <w:lang w:eastAsia="tr-TR"/>
        </w:rPr>
        <w:t xml:space="preserve"> parameter</w:t>
      </w:r>
      <w:r w:rsidR="003C24ED" w:rsidRPr="009D4A13">
        <w:rPr>
          <w:rFonts w:ascii="Times New Roman" w:hAnsi="Times New Roman" w:cs="Times New Roman"/>
          <w:sz w:val="24"/>
          <w:szCs w:val="24"/>
          <w:lang w:eastAsia="tr-TR"/>
        </w:rPr>
        <w:t xml:space="preserve"> (ARCH coefficient) </w:t>
      </w:r>
      <w:r w:rsidRPr="009D4A13">
        <w:rPr>
          <w:rFonts w:ascii="Times New Roman" w:hAnsi="Times New Roman" w:cs="Times New Roman"/>
          <w:sz w:val="24"/>
          <w:szCs w:val="24"/>
          <w:lang w:eastAsia="tr-TR"/>
        </w:rPr>
        <w:t xml:space="preserve"> in Equation (4) denotes the magnitude effect or the symmetric effect. </w:t>
      </w:r>
      <w:r w:rsidRPr="009D4A13">
        <w:rPr>
          <w:rFonts w:ascii="Times New Roman" w:hAnsi="Times New Roman" w:cs="Times New Roman"/>
          <w:position w:val="-10"/>
          <w:sz w:val="24"/>
          <w:szCs w:val="24"/>
          <w:lang w:eastAsia="tr-TR"/>
        </w:rPr>
        <w:object w:dxaOrig="240" w:dyaOrig="320">
          <v:shape id="_x0000_i1031" type="#_x0000_t75" style="width:12pt;height:16.2pt" o:ole="">
            <v:imagedata r:id="rId21" o:title=""/>
          </v:shape>
          <o:OLEObject Type="Embed" ProgID="Equation.3" ShapeID="_x0000_i1031" DrawAspect="Content" ObjectID="_1458128509" r:id="rId22"/>
        </w:object>
      </w:r>
      <w:r w:rsidR="00084030">
        <w:rPr>
          <w:rFonts w:ascii="Times New Roman" w:hAnsi="Times New Roman" w:cs="Times New Roman"/>
          <w:sz w:val="24"/>
          <w:szCs w:val="24"/>
          <w:lang w:eastAsia="tr-TR"/>
        </w:rPr>
        <w:t xml:space="preserve"> </w:t>
      </w:r>
      <w:r w:rsidR="003C24ED" w:rsidRPr="009D4A13">
        <w:rPr>
          <w:rFonts w:ascii="Times New Roman" w:hAnsi="Times New Roman" w:cs="Times New Roman"/>
          <w:sz w:val="24"/>
          <w:szCs w:val="24"/>
          <w:lang w:eastAsia="tr-TR"/>
        </w:rPr>
        <w:t>(GARCH coefficient)</w:t>
      </w:r>
      <w:r w:rsidRPr="009D4A13">
        <w:rPr>
          <w:rFonts w:ascii="Times New Roman" w:hAnsi="Times New Roman" w:cs="Times New Roman"/>
          <w:sz w:val="24"/>
          <w:szCs w:val="24"/>
          <w:lang w:eastAsia="tr-TR"/>
        </w:rPr>
        <w:t xml:space="preserve"> measures the persistence in conditional volatility. </w:t>
      </w:r>
      <w:r w:rsidR="00937F19" w:rsidRPr="009D4A13">
        <w:rPr>
          <w:rFonts w:ascii="Times New Roman" w:hAnsi="Times New Roman" w:cs="Times New Roman"/>
          <w:sz w:val="24"/>
          <w:szCs w:val="24"/>
          <w:lang w:eastAsia="tr-TR"/>
        </w:rPr>
        <w:t xml:space="preserve">When </w:t>
      </w:r>
      <w:r w:rsidR="00937F19" w:rsidRPr="009D4A13">
        <w:rPr>
          <w:rFonts w:ascii="Times New Roman" w:hAnsi="Times New Roman" w:cs="Times New Roman"/>
          <w:position w:val="-10"/>
          <w:sz w:val="24"/>
          <w:szCs w:val="24"/>
          <w:lang w:eastAsia="tr-TR"/>
        </w:rPr>
        <w:object w:dxaOrig="240" w:dyaOrig="320">
          <v:shape id="_x0000_i1032" type="#_x0000_t75" style="width:12pt;height:16.2pt" o:ole="">
            <v:imagedata r:id="rId23" o:title=""/>
          </v:shape>
          <o:OLEObject Type="Embed" ProgID="Equation.3" ShapeID="_x0000_i1032" DrawAspect="Content" ObjectID="_1458128510" r:id="rId24"/>
        </w:object>
      </w:r>
      <w:r w:rsidR="00937F19" w:rsidRPr="009D4A13">
        <w:rPr>
          <w:rFonts w:ascii="Times New Roman" w:hAnsi="Times New Roman" w:cs="Times New Roman"/>
          <w:sz w:val="24"/>
          <w:szCs w:val="24"/>
          <w:lang w:eastAsia="tr-TR"/>
        </w:rPr>
        <w:t xml:space="preserve"> is relatively large, then volatility takes a long time to die out. </w:t>
      </w:r>
      <m:oMath>
        <m:r>
          <w:rPr>
            <w:rFonts w:ascii="Cambria Math" w:hAnsi="Cambria Math" w:cs="Times New Roman"/>
            <w:sz w:val="24"/>
            <w:szCs w:val="24"/>
            <w:lang w:eastAsia="tr-TR"/>
          </w:rPr>
          <m:t>β</m:t>
        </m:r>
      </m:oMath>
      <w:r w:rsidR="00CB12C0" w:rsidRPr="009D4A13">
        <w:rPr>
          <w:rFonts w:ascii="Times New Roman" w:hAnsi="Times New Roman" w:cs="Times New Roman"/>
          <w:sz w:val="24"/>
          <w:szCs w:val="24"/>
          <w:lang w:eastAsia="tr-TR"/>
        </w:rPr>
        <w:t xml:space="preserve"> and </w:t>
      </w:r>
      <m:oMath>
        <m:r>
          <w:rPr>
            <w:rFonts w:ascii="Cambria Math" w:hAnsi="Cambria Math" w:cs="Times New Roman"/>
            <w:sz w:val="24"/>
            <w:szCs w:val="24"/>
            <w:lang w:eastAsia="tr-TR"/>
          </w:rPr>
          <m:t>α</m:t>
        </m:r>
      </m:oMath>
      <w:r w:rsidR="00CB12C0" w:rsidRPr="009D4A13">
        <w:rPr>
          <w:rFonts w:ascii="Times New Roman" w:hAnsi="Times New Roman" w:cs="Times New Roman"/>
          <w:sz w:val="24"/>
          <w:szCs w:val="24"/>
          <w:lang w:eastAsia="tr-TR"/>
        </w:rPr>
        <w:t xml:space="preserve"> are the coefficient of the lagged value of the conditional variance and the lagged value of the squared residual term, respectively. </w:t>
      </w:r>
      <w:r w:rsidR="003C24ED" w:rsidRPr="009D4A13">
        <w:rPr>
          <w:rFonts w:ascii="Times New Roman" w:hAnsi="Times New Roman" w:cs="Times New Roman"/>
          <w:sz w:val="24"/>
          <w:szCs w:val="24"/>
        </w:rPr>
        <w:t>For an E</w:t>
      </w:r>
      <w:r w:rsidR="00053625">
        <w:rPr>
          <w:rFonts w:ascii="Times New Roman" w:hAnsi="Times New Roman" w:cs="Times New Roman"/>
          <w:sz w:val="24"/>
          <w:szCs w:val="24"/>
        </w:rPr>
        <w:t xml:space="preserve">xponential </w:t>
      </w:r>
      <w:r w:rsidR="003C24ED" w:rsidRPr="009D4A13">
        <w:rPr>
          <w:rFonts w:ascii="Times New Roman" w:hAnsi="Times New Roman" w:cs="Times New Roman"/>
          <w:sz w:val="24"/>
          <w:szCs w:val="24"/>
        </w:rPr>
        <w:t>GARCH (1,1) model, the GARCH and ARCH coefficients are expected to be positive.</w:t>
      </w:r>
      <w:r w:rsidR="003C24ED" w:rsidRPr="009D4A13">
        <w:rPr>
          <w:rFonts w:ascii="Times New Roman" w:hAnsi="Times New Roman" w:cs="Times New Roman"/>
          <w:sz w:val="24"/>
          <w:szCs w:val="24"/>
          <w:lang w:eastAsia="tr-TR"/>
        </w:rPr>
        <w:t xml:space="preserve"> </w:t>
      </w:r>
      <w:r w:rsidRPr="009D4A13">
        <w:rPr>
          <w:rFonts w:ascii="Times New Roman" w:hAnsi="Times New Roman" w:cs="Times New Roman"/>
          <w:sz w:val="24"/>
          <w:szCs w:val="24"/>
          <w:lang w:eastAsia="tr-TR"/>
        </w:rPr>
        <w:t xml:space="preserve">The </w:t>
      </w:r>
      <w:r w:rsidRPr="009D4A13">
        <w:rPr>
          <w:rFonts w:ascii="Times New Roman" w:hAnsi="Times New Roman" w:cs="Times New Roman"/>
          <w:position w:val="-10"/>
          <w:sz w:val="24"/>
          <w:szCs w:val="24"/>
          <w:lang w:eastAsia="tr-TR"/>
        </w:rPr>
        <w:object w:dxaOrig="200" w:dyaOrig="260">
          <v:shape id="_x0000_i1033" type="#_x0000_t75" style="width:10.8pt;height:13.2pt" o:ole="">
            <v:imagedata r:id="rId25" o:title=""/>
          </v:shape>
          <o:OLEObject Type="Embed" ProgID="Equation.3" ShapeID="_x0000_i1033" DrawAspect="Content" ObjectID="_1458128511" r:id="rId26"/>
        </w:object>
      </w:r>
      <w:r w:rsidRPr="009D4A13">
        <w:rPr>
          <w:rFonts w:ascii="Times New Roman" w:hAnsi="Times New Roman" w:cs="Times New Roman"/>
          <w:sz w:val="24"/>
          <w:szCs w:val="24"/>
          <w:lang w:eastAsia="tr-TR"/>
        </w:rPr>
        <w:t xml:space="preserve"> parameter measures the asymmetry or the leverage effect, and the impact is asymmetric, if </w:t>
      </w:r>
      <w:r w:rsidRPr="009D4A13">
        <w:rPr>
          <w:rFonts w:ascii="Times New Roman" w:hAnsi="Times New Roman" w:cs="Times New Roman"/>
          <w:position w:val="-10"/>
          <w:sz w:val="24"/>
          <w:szCs w:val="24"/>
          <w:lang w:eastAsia="tr-TR"/>
        </w:rPr>
        <w:object w:dxaOrig="560" w:dyaOrig="320">
          <v:shape id="_x0000_i1034" type="#_x0000_t75" style="width:28.8pt;height:16.2pt" o:ole="">
            <v:imagedata r:id="rId27" o:title=""/>
          </v:shape>
          <o:OLEObject Type="Embed" ProgID="Equation.3" ShapeID="_x0000_i1034" DrawAspect="Content" ObjectID="_1458128512" r:id="rId28"/>
        </w:object>
      </w:r>
      <w:r w:rsidRPr="009D4A13">
        <w:rPr>
          <w:rFonts w:ascii="Times New Roman" w:hAnsi="Times New Roman" w:cs="Times New Roman"/>
          <w:sz w:val="24"/>
          <w:szCs w:val="24"/>
          <w:lang w:eastAsia="tr-TR"/>
        </w:rPr>
        <w:t xml:space="preserve">; and leverage effect is present, if </w:t>
      </w:r>
      <w:r w:rsidRPr="009D4A13">
        <w:rPr>
          <w:rFonts w:ascii="Times New Roman" w:hAnsi="Times New Roman" w:cs="Times New Roman"/>
          <w:position w:val="-10"/>
          <w:sz w:val="24"/>
          <w:szCs w:val="24"/>
          <w:lang w:eastAsia="tr-TR"/>
        </w:rPr>
        <w:object w:dxaOrig="560" w:dyaOrig="320">
          <v:shape id="_x0000_i1035" type="#_x0000_t75" style="width:28.8pt;height:16.2pt" o:ole="">
            <v:imagedata r:id="rId29" o:title=""/>
          </v:shape>
          <o:OLEObject Type="Embed" ProgID="Equation.3" ShapeID="_x0000_i1035" DrawAspect="Content" ObjectID="_1458128513" r:id="rId30"/>
        </w:object>
      </w:r>
      <w:r w:rsidRPr="009D4A13">
        <w:rPr>
          <w:rFonts w:ascii="Times New Roman" w:hAnsi="Times New Roman" w:cs="Times New Roman"/>
          <w:sz w:val="24"/>
          <w:szCs w:val="24"/>
          <w:lang w:eastAsia="tr-TR"/>
        </w:rPr>
        <w:t xml:space="preserve">. </w:t>
      </w:r>
      <w:r w:rsidR="004420A2" w:rsidRPr="009D4A13">
        <w:rPr>
          <w:rFonts w:ascii="Times New Roman" w:eastAsia="cmr10" w:hAnsi="Times New Roman" w:cs="Times New Roman"/>
          <w:sz w:val="24"/>
          <w:szCs w:val="24"/>
        </w:rPr>
        <w:t>The leverage effect refers to the generally negative relation between asset returns and their current or future volatility.</w:t>
      </w:r>
      <w:r w:rsidR="00937F19" w:rsidRPr="009D4A13">
        <w:rPr>
          <w:rFonts w:ascii="Times New Roman" w:eastAsia="cmr10" w:hAnsi="Times New Roman" w:cs="Times New Roman"/>
          <w:sz w:val="24"/>
          <w:szCs w:val="24"/>
        </w:rPr>
        <w:t xml:space="preserve"> Therefore, t</w:t>
      </w:r>
      <w:r w:rsidR="003C24ED" w:rsidRPr="009D4A13">
        <w:rPr>
          <w:rFonts w:ascii="Times New Roman" w:hAnsi="Times New Roman" w:cs="Times New Roman"/>
          <w:sz w:val="24"/>
          <w:szCs w:val="24"/>
        </w:rPr>
        <w:t xml:space="preserve">he leverage coefficient is expected to be negative; </w:t>
      </w:r>
      <w:r w:rsidRPr="009D4A13">
        <w:rPr>
          <w:rFonts w:ascii="Times New Roman" w:hAnsi="Times New Roman" w:cs="Times New Roman"/>
          <w:sz w:val="24"/>
          <w:szCs w:val="24"/>
          <w:lang w:eastAsia="tr-TR"/>
        </w:rPr>
        <w:t xml:space="preserve"> </w:t>
      </w:r>
      <w:r w:rsidR="003C24ED" w:rsidRPr="009D4A13">
        <w:rPr>
          <w:rFonts w:ascii="Times New Roman" w:hAnsi="Times New Roman" w:cs="Times New Roman"/>
          <w:sz w:val="24"/>
          <w:szCs w:val="24"/>
          <w:lang w:eastAsia="tr-TR"/>
        </w:rPr>
        <w:t xml:space="preserve">i.e. </w:t>
      </w:r>
      <w:r w:rsidRPr="009D4A13">
        <w:rPr>
          <w:rFonts w:ascii="Times New Roman" w:hAnsi="Times New Roman" w:cs="Times New Roman"/>
          <w:sz w:val="24"/>
          <w:szCs w:val="24"/>
          <w:lang w:eastAsia="tr-TR"/>
        </w:rPr>
        <w:t xml:space="preserve">when </w:t>
      </w:r>
      <w:r w:rsidRPr="009D4A13">
        <w:rPr>
          <w:rFonts w:ascii="Times New Roman" w:hAnsi="Times New Roman" w:cs="Times New Roman"/>
          <w:position w:val="-10"/>
          <w:sz w:val="24"/>
          <w:szCs w:val="24"/>
          <w:lang w:eastAsia="tr-TR"/>
        </w:rPr>
        <w:object w:dxaOrig="560" w:dyaOrig="320">
          <v:shape id="_x0000_i1036" type="#_x0000_t75" style="width:28.8pt;height:16.2pt" o:ole="">
            <v:imagedata r:id="rId29" o:title=""/>
          </v:shape>
          <o:OLEObject Type="Embed" ProgID="Equation.3" ShapeID="_x0000_i1036" DrawAspect="Content" ObjectID="_1458128514" r:id="rId31"/>
        </w:object>
      </w:r>
      <w:r w:rsidRPr="009D4A13">
        <w:rPr>
          <w:rFonts w:ascii="Times New Roman" w:hAnsi="Times New Roman" w:cs="Times New Roman"/>
          <w:sz w:val="24"/>
          <w:szCs w:val="24"/>
          <w:lang w:eastAsia="tr-TR"/>
        </w:rPr>
        <w:t xml:space="preserve">, </w:t>
      </w:r>
      <w:r w:rsidR="00B103BA" w:rsidRPr="009D4A13">
        <w:rPr>
          <w:rFonts w:ascii="Times New Roman" w:hAnsi="Times New Roman" w:cs="Times New Roman"/>
          <w:sz w:val="24"/>
          <w:szCs w:val="24"/>
        </w:rPr>
        <w:t>unanticipated</w:t>
      </w:r>
      <w:r w:rsidR="00B103BA" w:rsidRPr="009D4A13">
        <w:rPr>
          <w:rFonts w:ascii="Times New Roman" w:hAnsi="Times New Roman" w:cs="Times New Roman"/>
          <w:sz w:val="24"/>
          <w:szCs w:val="24"/>
          <w:lang w:eastAsia="tr-TR"/>
        </w:rPr>
        <w:t xml:space="preserve"> </w:t>
      </w:r>
      <w:r w:rsidR="003C24ED" w:rsidRPr="009D4A13">
        <w:rPr>
          <w:rFonts w:ascii="Times New Roman" w:hAnsi="Times New Roman" w:cs="Times New Roman"/>
          <w:sz w:val="24"/>
          <w:szCs w:val="24"/>
          <w:lang w:eastAsia="tr-TR"/>
        </w:rPr>
        <w:t>negative shocks (bad news) should increase the volatility than positive shocks (good news).</w:t>
      </w:r>
      <w:r w:rsidR="00B260C6" w:rsidRPr="009D4A13">
        <w:rPr>
          <w:rFonts w:ascii="Times New Roman" w:hAnsi="Times New Roman" w:cs="Times New Roman"/>
          <w:sz w:val="24"/>
          <w:szCs w:val="24"/>
          <w:lang w:eastAsia="tr-TR"/>
        </w:rPr>
        <w:t xml:space="preserve"> If </w:t>
      </w:r>
      <w:r w:rsidR="00B260C6" w:rsidRPr="009D4A13">
        <w:rPr>
          <w:rFonts w:ascii="Times New Roman" w:hAnsi="Times New Roman" w:cs="Times New Roman"/>
          <w:position w:val="-10"/>
          <w:sz w:val="24"/>
          <w:szCs w:val="24"/>
          <w:lang w:eastAsia="tr-TR"/>
        </w:rPr>
        <w:object w:dxaOrig="560" w:dyaOrig="320">
          <v:shape id="_x0000_i1037" type="#_x0000_t75" style="width:28.8pt;height:16.2pt" o:ole="">
            <v:imagedata r:id="rId32" o:title=""/>
          </v:shape>
          <o:OLEObject Type="Embed" ProgID="Equation.3" ShapeID="_x0000_i1037" DrawAspect="Content" ObjectID="_1458128515" r:id="rId33"/>
        </w:object>
      </w:r>
      <w:r w:rsidR="00B260C6" w:rsidRPr="009D4A13">
        <w:rPr>
          <w:rFonts w:ascii="Times New Roman" w:hAnsi="Times New Roman" w:cs="Times New Roman"/>
          <w:sz w:val="24"/>
          <w:szCs w:val="24"/>
          <w:lang w:eastAsia="tr-TR"/>
        </w:rPr>
        <w:t xml:space="preserve">, positive shocks are more destablizing than negative shocks. </w:t>
      </w:r>
      <w:r w:rsidR="00063DA7" w:rsidRPr="009D4A13">
        <w:rPr>
          <w:rFonts w:ascii="Times New Roman" w:hAnsi="Times New Roman" w:cs="Times New Roman"/>
          <w:sz w:val="24"/>
          <w:szCs w:val="24"/>
          <w:lang w:eastAsia="tr-TR"/>
        </w:rPr>
        <w:t xml:space="preserve">The conditional density function for </w:t>
      </w:r>
      <w:r w:rsidR="00063DA7" w:rsidRPr="009D4A13">
        <w:rPr>
          <w:rFonts w:ascii="Times New Roman" w:hAnsi="Times New Roman" w:cs="Times New Roman"/>
          <w:position w:val="-12"/>
          <w:sz w:val="24"/>
          <w:szCs w:val="24"/>
          <w:lang w:eastAsia="tr-TR"/>
        </w:rPr>
        <w:object w:dxaOrig="240" w:dyaOrig="360">
          <v:shape id="_x0000_i1038" type="#_x0000_t75" style="width:12pt;height:18pt" o:ole="">
            <v:imagedata r:id="rId34" o:title=""/>
          </v:shape>
          <o:OLEObject Type="Embed" ProgID="Equation.3" ShapeID="_x0000_i1038" DrawAspect="Content" ObjectID="_1458128516" r:id="rId35"/>
        </w:object>
      </w:r>
      <w:r w:rsidR="00063DA7" w:rsidRPr="009D4A13">
        <w:rPr>
          <w:rFonts w:ascii="Times New Roman" w:hAnsi="Times New Roman" w:cs="Times New Roman"/>
          <w:sz w:val="24"/>
          <w:szCs w:val="24"/>
          <w:lang w:eastAsia="tr-TR"/>
        </w:rPr>
        <w:t>follows Student’s t</w:t>
      </w:r>
      <w:r w:rsidR="00B43C32">
        <w:rPr>
          <w:rFonts w:ascii="Times New Roman" w:hAnsi="Times New Roman" w:cs="Times New Roman"/>
          <w:sz w:val="24"/>
          <w:szCs w:val="24"/>
          <w:lang w:eastAsia="tr-TR"/>
        </w:rPr>
        <w:t>–</w:t>
      </w:r>
      <w:r w:rsidR="00063DA7" w:rsidRPr="009D4A13">
        <w:rPr>
          <w:rFonts w:ascii="Times New Roman" w:hAnsi="Times New Roman" w:cs="Times New Roman"/>
          <w:sz w:val="24"/>
          <w:szCs w:val="24"/>
          <w:lang w:eastAsia="tr-TR"/>
        </w:rPr>
        <w:t xml:space="preserve">innovation distribution with mean 0, variance 1 and degrees of freedom </w:t>
      </w:r>
      <w:r w:rsidR="00063DA7" w:rsidRPr="009D4A13">
        <w:rPr>
          <w:rFonts w:ascii="Times New Roman" w:hAnsi="Times New Roman" w:cs="Times New Roman"/>
          <w:position w:val="-6"/>
          <w:sz w:val="24"/>
          <w:szCs w:val="24"/>
          <w:lang w:eastAsia="tr-TR"/>
        </w:rPr>
        <w:object w:dxaOrig="200" w:dyaOrig="220">
          <v:shape id="_x0000_i1039" type="#_x0000_t75" style="width:10.8pt;height:10.8pt" o:ole="">
            <v:imagedata r:id="rId36" o:title=""/>
          </v:shape>
          <o:OLEObject Type="Embed" ProgID="Equation.3" ShapeID="_x0000_i1039" DrawAspect="Content" ObjectID="_1458128517" r:id="rId37"/>
        </w:object>
      </w:r>
      <w:r w:rsidR="00063DA7" w:rsidRPr="009D4A13">
        <w:rPr>
          <w:rFonts w:ascii="Times New Roman" w:hAnsi="Times New Roman" w:cs="Times New Roman"/>
          <w:sz w:val="24"/>
          <w:szCs w:val="24"/>
          <w:lang w:eastAsia="tr-TR"/>
        </w:rPr>
        <w:t>. In Equation (4)</w:t>
      </w:r>
      <w:r w:rsidR="00084030">
        <w:rPr>
          <w:rFonts w:ascii="Times New Roman" w:hAnsi="Times New Roman" w:cs="Times New Roman"/>
          <w:sz w:val="24"/>
          <w:szCs w:val="24"/>
          <w:lang w:eastAsia="tr-TR"/>
        </w:rPr>
        <w:t>,</w:t>
      </w:r>
      <w:r w:rsidR="00063DA7" w:rsidRPr="009D4A13">
        <w:rPr>
          <w:rFonts w:ascii="Times New Roman" w:hAnsi="Times New Roman" w:cs="Times New Roman"/>
          <w:sz w:val="24"/>
          <w:szCs w:val="24"/>
          <w:lang w:eastAsia="tr-TR"/>
        </w:rPr>
        <w:t xml:space="preserve"> </w:t>
      </w:r>
      <w:r w:rsidR="00063DA7" w:rsidRPr="009D4A13">
        <w:rPr>
          <w:rFonts w:ascii="Times New Roman" w:hAnsi="Times New Roman" w:cs="Times New Roman"/>
          <w:position w:val="-12"/>
          <w:sz w:val="24"/>
          <w:szCs w:val="24"/>
          <w:lang w:eastAsia="tr-TR"/>
        </w:rPr>
        <w:object w:dxaOrig="320" w:dyaOrig="380">
          <v:shape id="_x0000_i1040" type="#_x0000_t75" style="width:16.2pt;height:19.2pt" o:ole="">
            <v:imagedata r:id="rId38" o:title=""/>
          </v:shape>
          <o:OLEObject Type="Embed" ProgID="Equation.3" ShapeID="_x0000_i1040" DrawAspect="Content" ObjectID="_1458128518" r:id="rId39"/>
        </w:object>
      </w:r>
      <w:r w:rsidR="00063DA7" w:rsidRPr="009D4A13">
        <w:rPr>
          <w:rFonts w:ascii="Times New Roman" w:hAnsi="Times New Roman" w:cs="Times New Roman"/>
          <w:sz w:val="24"/>
          <w:szCs w:val="24"/>
          <w:lang w:eastAsia="tr-TR"/>
        </w:rPr>
        <w:t xml:space="preserve"> is conditional variance; </w:t>
      </w:r>
      <w:r w:rsidR="00063DA7" w:rsidRPr="009D4A13">
        <w:rPr>
          <w:rFonts w:ascii="Times New Roman" w:hAnsi="Times New Roman" w:cs="Times New Roman"/>
          <w:position w:val="-12"/>
          <w:sz w:val="24"/>
          <w:szCs w:val="24"/>
          <w:lang w:eastAsia="tr-TR"/>
        </w:rPr>
        <w:object w:dxaOrig="240" w:dyaOrig="360">
          <v:shape id="_x0000_i1041" type="#_x0000_t75" style="width:12pt;height:18pt" o:ole="">
            <v:imagedata r:id="rId40" o:title=""/>
          </v:shape>
          <o:OLEObject Type="Embed" ProgID="Equation.3" ShapeID="_x0000_i1041" DrawAspect="Content" ObjectID="_1458128519" r:id="rId41"/>
        </w:object>
      </w:r>
      <w:r w:rsidR="00063DA7" w:rsidRPr="009D4A13">
        <w:rPr>
          <w:rFonts w:ascii="Times New Roman" w:hAnsi="Times New Roman" w:cs="Times New Roman"/>
          <w:sz w:val="24"/>
          <w:szCs w:val="24"/>
          <w:lang w:eastAsia="tr-TR"/>
        </w:rPr>
        <w:t xml:space="preserve"> is the standardized shock. </w:t>
      </w:r>
      <w:r w:rsidR="00063DA7" w:rsidRPr="009D4A13">
        <w:rPr>
          <w:rFonts w:ascii="Times New Roman" w:hAnsi="Times New Roman" w:cs="Times New Roman"/>
          <w:position w:val="-10"/>
          <w:sz w:val="24"/>
          <w:szCs w:val="24"/>
          <w:lang w:eastAsia="tr-TR"/>
        </w:rPr>
        <w:object w:dxaOrig="460" w:dyaOrig="320">
          <v:shape id="_x0000_i1042" type="#_x0000_t75" style="width:22.2pt;height:16.2pt" o:ole="">
            <v:imagedata r:id="rId42" o:title=""/>
          </v:shape>
          <o:OLEObject Type="Embed" ProgID="Equation.3" ShapeID="_x0000_i1042" DrawAspect="Content" ObjectID="_1458128520" r:id="rId43"/>
        </w:object>
      </w:r>
      <w:r w:rsidR="00063DA7" w:rsidRPr="009D4A13">
        <w:rPr>
          <w:rFonts w:ascii="Times New Roman" w:hAnsi="Times New Roman" w:cs="Times New Roman"/>
          <w:sz w:val="24"/>
          <w:szCs w:val="24"/>
          <w:lang w:eastAsia="tr-TR"/>
        </w:rPr>
        <w:t xml:space="preserve"> marks a conditional density function and </w:t>
      </w:r>
      <w:r w:rsidR="00063DA7" w:rsidRPr="009D4A13">
        <w:rPr>
          <w:rFonts w:ascii="Times New Roman" w:hAnsi="Times New Roman" w:cs="Times New Roman"/>
          <w:position w:val="-6"/>
          <w:sz w:val="24"/>
          <w:szCs w:val="24"/>
          <w:lang w:eastAsia="tr-TR"/>
        </w:rPr>
        <w:object w:dxaOrig="200" w:dyaOrig="220">
          <v:shape id="_x0000_i1043" type="#_x0000_t75" style="width:10.8pt;height:10.8pt" o:ole="">
            <v:imagedata r:id="rId44" o:title=""/>
          </v:shape>
          <o:OLEObject Type="Embed" ProgID="Equation.3" ShapeID="_x0000_i1043" DrawAspect="Content" ObjectID="_1458128521" r:id="rId45"/>
        </w:object>
      </w:r>
      <w:r w:rsidR="00063DA7" w:rsidRPr="009D4A13">
        <w:rPr>
          <w:rFonts w:ascii="Times New Roman" w:hAnsi="Times New Roman" w:cs="Times New Roman"/>
          <w:sz w:val="24"/>
          <w:szCs w:val="24"/>
          <w:lang w:eastAsia="tr-TR"/>
        </w:rPr>
        <w:t xml:space="preserve"> </w:t>
      </w:r>
      <w:r w:rsidR="00063DA7" w:rsidRPr="00BC55D0">
        <w:rPr>
          <w:rFonts w:ascii="Times New Roman" w:hAnsi="Times New Roman" w:cs="Times New Roman"/>
          <w:sz w:val="24"/>
          <w:szCs w:val="24"/>
          <w:lang w:eastAsia="tr-TR"/>
        </w:rPr>
        <w:t>denotes a vector of parameters needed to specify the probability distribution.</w:t>
      </w:r>
    </w:p>
    <w:p w:rsidR="00053625" w:rsidRPr="00BC55D0" w:rsidRDefault="00053625" w:rsidP="00053625">
      <w:pPr>
        <w:spacing w:after="0" w:line="240" w:lineRule="auto"/>
        <w:jc w:val="both"/>
        <w:rPr>
          <w:rFonts w:ascii="Times New Roman" w:eastAsiaTheme="minorEastAsia" w:hAnsi="Times New Roman" w:cs="Times New Roman"/>
          <w:sz w:val="24"/>
          <w:szCs w:val="24"/>
        </w:rPr>
      </w:pPr>
      <w:r w:rsidRPr="00BC55D0">
        <w:rPr>
          <w:rFonts w:ascii="Times New Roman" w:eastAsiaTheme="minorEastAsia" w:hAnsi="Times New Roman" w:cs="Times New Roman"/>
          <w:sz w:val="24"/>
          <w:szCs w:val="24"/>
        </w:rPr>
        <w:t xml:space="preserve">In this study, the intervention model given in Equation 4 and 5 is also estimated for purchase interventions and sale interventions </w:t>
      </w:r>
      <w:r w:rsidR="00BC55D0" w:rsidRPr="00BC55D0">
        <w:rPr>
          <w:rFonts w:ascii="Times New Roman" w:eastAsiaTheme="minorEastAsia" w:hAnsi="Times New Roman" w:cs="Times New Roman"/>
          <w:sz w:val="24"/>
          <w:szCs w:val="24"/>
        </w:rPr>
        <w:t>separately, considering purchases and sales might affect the exchange rate asymmetrically. Thus, i</w:t>
      </w:r>
      <w:r w:rsidRPr="00BC55D0">
        <w:rPr>
          <w:rFonts w:ascii="Times New Roman" w:eastAsiaTheme="minorEastAsia" w:hAnsi="Times New Roman" w:cs="Times New Roman"/>
          <w:sz w:val="24"/>
          <w:szCs w:val="24"/>
        </w:rPr>
        <w:t>ntervention variables are constitut</w:t>
      </w:r>
      <w:r w:rsidR="00BC55D0" w:rsidRPr="00BC55D0">
        <w:rPr>
          <w:rFonts w:ascii="Times New Roman" w:eastAsiaTheme="minorEastAsia" w:hAnsi="Times New Roman" w:cs="Times New Roman"/>
          <w:sz w:val="24"/>
          <w:szCs w:val="24"/>
        </w:rPr>
        <w:t>ed based upon the relevant estimation</w:t>
      </w:r>
      <w:r w:rsidRPr="00BC55D0">
        <w:rPr>
          <w:rFonts w:ascii="Times New Roman" w:eastAsiaTheme="minorEastAsia" w:hAnsi="Times New Roman" w:cs="Times New Roman"/>
          <w:sz w:val="24"/>
          <w:szCs w:val="24"/>
        </w:rPr>
        <w:t>.</w:t>
      </w:r>
      <w:r w:rsidR="00BC55D0" w:rsidRPr="00BC55D0">
        <w:rPr>
          <w:rFonts w:ascii="Times New Roman" w:hAnsi="Times New Roman" w:cs="Times New Roman"/>
          <w:sz w:val="24"/>
          <w:szCs w:val="24"/>
        </w:rPr>
        <w:t xml:space="preserve"> </w:t>
      </w:r>
      <w:r w:rsidR="00BC55D0" w:rsidRPr="00BC55D0">
        <w:rPr>
          <w:rFonts w:ascii="Times New Roman" w:eastAsiaTheme="minorEastAsia" w:hAnsi="Times New Roman" w:cs="Times New Roman"/>
          <w:sz w:val="24"/>
          <w:szCs w:val="24"/>
        </w:rPr>
        <w:t xml:space="preserve">Such as, for purchase interventions,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VOL</m:t>
            </m:r>
          </m:e>
          <m:sub>
            <m:r>
              <w:rPr>
                <w:rFonts w:ascii="Cambria Math" w:eastAsiaTheme="minorEastAsia" w:hAnsi="Cambria Math" w:cs="Times New Roman"/>
                <w:sz w:val="24"/>
                <w:szCs w:val="24"/>
              </w:rPr>
              <m:t>t</m:t>
            </m:r>
          </m:sub>
        </m:sSub>
      </m:oMath>
      <w:r w:rsidR="00BC55D0" w:rsidRPr="00BC55D0">
        <w:rPr>
          <w:rFonts w:ascii="Times New Roman" w:eastAsiaTheme="minorEastAsia" w:hAnsi="Times New Roman" w:cs="Times New Roman"/>
          <w:sz w:val="24"/>
          <w:szCs w:val="24"/>
        </w:rPr>
        <w:t xml:space="preserve"> contains only the CBRT </w:t>
      </w:r>
      <w:r w:rsidR="00BC55D0" w:rsidRPr="00BC55D0">
        <w:rPr>
          <w:rFonts w:ascii="Times New Roman" w:eastAsiaTheme="minorEastAsia" w:hAnsi="Times New Roman" w:cs="Times New Roman"/>
          <w:sz w:val="24"/>
          <w:szCs w:val="24"/>
        </w:rPr>
        <w:lastRenderedPageBreak/>
        <w:t xml:space="preserve">foreign exchange intervention purchases volume (millions of USD);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DUM</m:t>
            </m:r>
          </m:e>
          <m:sub>
            <m:r>
              <w:rPr>
                <w:rFonts w:ascii="Cambria Math" w:eastAsiaTheme="minorEastAsia" w:hAnsi="Cambria Math" w:cs="Times New Roman"/>
                <w:sz w:val="24"/>
                <w:szCs w:val="24"/>
              </w:rPr>
              <m:t>t</m:t>
            </m:r>
          </m:sub>
        </m:sSub>
      </m:oMath>
      <w:r w:rsidR="00BC55D0" w:rsidRPr="00BC55D0">
        <w:rPr>
          <w:rFonts w:ascii="Times New Roman" w:eastAsiaTheme="minorEastAsia" w:hAnsi="Times New Roman" w:cs="Times New Roman"/>
          <w:sz w:val="24"/>
          <w:szCs w:val="24"/>
        </w:rPr>
        <w:t xml:space="preserve"> takes the value of 1 on days with dollar purchases, and 0 otherwise. The intervention variables of </w:t>
      </w:r>
      <w:r w:rsidR="00BC55D0">
        <w:rPr>
          <w:rFonts w:ascii="Times New Roman" w:eastAsiaTheme="minorEastAsia" w:hAnsi="Times New Roman" w:cs="Times New Roman"/>
          <w:sz w:val="24"/>
          <w:szCs w:val="24"/>
        </w:rPr>
        <w:t xml:space="preserve">sale </w:t>
      </w:r>
      <w:r w:rsidR="00BC55D0" w:rsidRPr="00BC55D0">
        <w:rPr>
          <w:rFonts w:ascii="Times New Roman" w:eastAsiaTheme="minorEastAsia" w:hAnsi="Times New Roman" w:cs="Times New Roman"/>
          <w:sz w:val="24"/>
          <w:szCs w:val="24"/>
        </w:rPr>
        <w:t>intervention</w:t>
      </w:r>
      <w:r w:rsidR="00BC55D0">
        <w:rPr>
          <w:rFonts w:ascii="Times New Roman" w:eastAsiaTheme="minorEastAsia" w:hAnsi="Times New Roman" w:cs="Times New Roman"/>
          <w:sz w:val="24"/>
          <w:szCs w:val="24"/>
        </w:rPr>
        <w:t>s</w:t>
      </w:r>
      <w:r w:rsidR="00BC55D0" w:rsidRPr="00BC55D0">
        <w:rPr>
          <w:rFonts w:ascii="Times New Roman" w:eastAsiaTheme="minorEastAsia" w:hAnsi="Times New Roman" w:cs="Times New Roman"/>
          <w:sz w:val="24"/>
          <w:szCs w:val="24"/>
        </w:rPr>
        <w:t xml:space="preserve"> are constituted in the same way. It must be stated that </w:t>
      </w:r>
      <w:r w:rsidR="00BC55D0">
        <w:rPr>
          <w:rFonts w:ascii="Times New Roman" w:hAnsi="Times New Roman" w:cs="Times New Roman"/>
          <w:sz w:val="24"/>
          <w:szCs w:val="24"/>
        </w:rPr>
        <w:t>the</w:t>
      </w:r>
      <w:r w:rsidR="00BC55D0" w:rsidRPr="00BC55D0">
        <w:rPr>
          <w:rFonts w:ascii="Times New Roman" w:hAnsi="Times New Roman" w:cs="Times New Roman"/>
          <w:sz w:val="24"/>
          <w:szCs w:val="24"/>
        </w:rPr>
        <w:t xml:space="preserve"> Exponential GARCH (1,1) with </w:t>
      </w:r>
      <w:r w:rsidR="00BC55D0" w:rsidRPr="00BC55D0">
        <w:rPr>
          <w:rFonts w:ascii="Times New Roman" w:hAnsi="Times New Roman" w:cs="Times New Roman"/>
          <w:sz w:val="24"/>
          <w:szCs w:val="24"/>
          <w:lang w:eastAsia="tr-TR"/>
        </w:rPr>
        <w:t>Student’s t</w:t>
      </w:r>
      <w:r w:rsidR="00B43C32">
        <w:rPr>
          <w:rFonts w:ascii="Times New Roman" w:hAnsi="Times New Roman" w:cs="Times New Roman"/>
          <w:sz w:val="24"/>
          <w:szCs w:val="24"/>
          <w:lang w:eastAsia="tr-TR"/>
        </w:rPr>
        <w:t>–</w:t>
      </w:r>
      <w:r w:rsidR="00BC55D0" w:rsidRPr="00BC55D0">
        <w:rPr>
          <w:rFonts w:ascii="Times New Roman" w:hAnsi="Times New Roman" w:cs="Times New Roman"/>
          <w:sz w:val="24"/>
          <w:szCs w:val="24"/>
          <w:lang w:eastAsia="tr-TR"/>
        </w:rPr>
        <w:t xml:space="preserve">distribution </w:t>
      </w:r>
      <w:r w:rsidR="00BC55D0" w:rsidRPr="00BC55D0">
        <w:rPr>
          <w:rFonts w:ascii="Times New Roman" w:hAnsi="Times New Roman" w:cs="Times New Roman"/>
          <w:sz w:val="24"/>
          <w:szCs w:val="24"/>
        </w:rPr>
        <w:t xml:space="preserve">process is also found preferable for these </w:t>
      </w:r>
      <w:r w:rsidR="00BC55D0">
        <w:rPr>
          <w:rFonts w:ascii="Times New Roman" w:hAnsi="Times New Roman" w:cs="Times New Roman"/>
          <w:sz w:val="24"/>
          <w:szCs w:val="24"/>
        </w:rPr>
        <w:t xml:space="preserve">two </w:t>
      </w:r>
      <w:r w:rsidR="00BC55D0" w:rsidRPr="00BC55D0">
        <w:rPr>
          <w:rFonts w:ascii="Times New Roman" w:hAnsi="Times New Roman" w:cs="Times New Roman"/>
          <w:sz w:val="24"/>
          <w:szCs w:val="24"/>
        </w:rPr>
        <w:t xml:space="preserve">estimations. </w:t>
      </w:r>
    </w:p>
    <w:p w:rsidR="00053625" w:rsidRDefault="00053625" w:rsidP="009D4A13">
      <w:pPr>
        <w:spacing w:after="0" w:line="240" w:lineRule="auto"/>
        <w:jc w:val="both"/>
        <w:rPr>
          <w:rFonts w:ascii="Times New Roman" w:hAnsi="Times New Roman" w:cs="Times New Roman"/>
          <w:sz w:val="24"/>
          <w:szCs w:val="24"/>
          <w:lang w:eastAsia="tr-TR"/>
        </w:rPr>
      </w:pPr>
    </w:p>
    <w:p w:rsidR="00C2738C" w:rsidRPr="009D4A13" w:rsidRDefault="00C2738C" w:rsidP="009D4A13">
      <w:pPr>
        <w:spacing w:after="0" w:line="240" w:lineRule="auto"/>
        <w:jc w:val="both"/>
        <w:rPr>
          <w:rFonts w:ascii="Times New Roman" w:hAnsi="Times New Roman" w:cs="Times New Roman"/>
          <w:sz w:val="24"/>
          <w:szCs w:val="24"/>
          <w:lang w:eastAsia="tr-TR"/>
        </w:rPr>
      </w:pPr>
    </w:p>
    <w:p w:rsidR="000D4CEF" w:rsidRPr="00C2738C" w:rsidRDefault="00C2738C" w:rsidP="009D4A13">
      <w:pPr>
        <w:spacing w:after="0" w:line="240" w:lineRule="auto"/>
        <w:jc w:val="both"/>
        <w:rPr>
          <w:rFonts w:ascii="Times New Roman" w:hAnsi="Times New Roman" w:cs="Times New Roman"/>
          <w:b/>
          <w:sz w:val="28"/>
          <w:szCs w:val="28"/>
        </w:rPr>
      </w:pPr>
      <w:proofErr w:type="gramStart"/>
      <w:r w:rsidRPr="00C2738C">
        <w:rPr>
          <w:rFonts w:ascii="Times New Roman" w:hAnsi="Times New Roman" w:cs="Times New Roman"/>
          <w:b/>
          <w:sz w:val="28"/>
          <w:szCs w:val="28"/>
        </w:rPr>
        <w:t xml:space="preserve">4     </w:t>
      </w:r>
      <w:r w:rsidR="000D4CEF" w:rsidRPr="00C2738C">
        <w:rPr>
          <w:rFonts w:ascii="Times New Roman" w:hAnsi="Times New Roman" w:cs="Times New Roman"/>
          <w:b/>
          <w:sz w:val="28"/>
          <w:szCs w:val="28"/>
        </w:rPr>
        <w:t>Data</w:t>
      </w:r>
      <w:proofErr w:type="gramEnd"/>
    </w:p>
    <w:p w:rsidR="000D4CEF" w:rsidRPr="009D4A13" w:rsidRDefault="000D4CEF" w:rsidP="009D4A13">
      <w:pPr>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 xml:space="preserve">The foreign exchange buying and selling auction </w:t>
      </w:r>
      <w:proofErr w:type="gramStart"/>
      <w:r w:rsidRPr="009D4A13">
        <w:rPr>
          <w:rFonts w:ascii="Times New Roman" w:hAnsi="Times New Roman" w:cs="Times New Roman"/>
          <w:sz w:val="24"/>
          <w:szCs w:val="24"/>
        </w:rPr>
        <w:t>data</w:t>
      </w:r>
      <w:proofErr w:type="gramEnd"/>
      <w:r w:rsidRPr="009D4A13">
        <w:rPr>
          <w:rFonts w:ascii="Times New Roman" w:hAnsi="Times New Roman" w:cs="Times New Roman"/>
          <w:sz w:val="24"/>
          <w:szCs w:val="24"/>
        </w:rPr>
        <w:t xml:space="preserve"> consist of official daily volumes of buying and selling auctions carried out by the CBRT in the Turkish lira/US dollar foreign exchange market from 2nd February 2009 to 31st January 2014. The exchange rate is defined as the value of Turkish lira per one USD. The TRY/USD exchange rate </w:t>
      </w:r>
      <w:proofErr w:type="gramStart"/>
      <w:r w:rsidRPr="009D4A13">
        <w:rPr>
          <w:rFonts w:ascii="Times New Roman" w:hAnsi="Times New Roman" w:cs="Times New Roman"/>
          <w:sz w:val="24"/>
          <w:szCs w:val="24"/>
        </w:rPr>
        <w:t>data</w:t>
      </w:r>
      <w:proofErr w:type="gramEnd"/>
      <w:r w:rsidRPr="009D4A13">
        <w:rPr>
          <w:rFonts w:ascii="Times New Roman" w:hAnsi="Times New Roman" w:cs="Times New Roman"/>
          <w:sz w:val="24"/>
          <w:szCs w:val="24"/>
        </w:rPr>
        <w:t xml:space="preserve"> are daily closing prices in the Turkish spot market, giving a total of 1305 observations. Both the auction </w:t>
      </w:r>
      <w:proofErr w:type="gramStart"/>
      <w:r w:rsidRPr="009D4A13">
        <w:rPr>
          <w:rFonts w:ascii="Times New Roman" w:hAnsi="Times New Roman" w:cs="Times New Roman"/>
          <w:sz w:val="24"/>
          <w:szCs w:val="24"/>
        </w:rPr>
        <w:t>data</w:t>
      </w:r>
      <w:proofErr w:type="gramEnd"/>
      <w:r w:rsidRPr="009D4A13">
        <w:rPr>
          <w:rFonts w:ascii="Times New Roman" w:hAnsi="Times New Roman" w:cs="Times New Roman"/>
          <w:sz w:val="24"/>
          <w:szCs w:val="24"/>
        </w:rPr>
        <w:t xml:space="preserve"> and the exchange rate data are obtained from the CBRT, t</w:t>
      </w:r>
      <w:r w:rsidRPr="009D4A13">
        <w:rPr>
          <w:rFonts w:ascii="Times New Roman" w:eastAsiaTheme="minorEastAsia" w:hAnsi="Times New Roman" w:cs="Times New Roman"/>
          <w:sz w:val="24"/>
          <w:szCs w:val="24"/>
        </w:rPr>
        <w:t>he Turkey CDS prices data,</w:t>
      </w:r>
      <w:r w:rsidR="008E6653">
        <w:rPr>
          <w:rFonts w:ascii="Times New Roman" w:eastAsiaTheme="minorEastAsia" w:hAnsi="Times New Roman" w:cs="Times New Roman"/>
          <w:sz w:val="24"/>
          <w:szCs w:val="24"/>
        </w:rPr>
        <w:t xml:space="preserve"> used to control</w:t>
      </w:r>
      <w:r w:rsidRPr="009D4A13">
        <w:rPr>
          <w:rFonts w:ascii="Times New Roman" w:eastAsiaTheme="minorEastAsia" w:hAnsi="Times New Roman" w:cs="Times New Roman"/>
          <w:sz w:val="24"/>
          <w:szCs w:val="24"/>
        </w:rPr>
        <w:t xml:space="preserve"> risk </w:t>
      </w:r>
      <w:r w:rsidR="008E6653">
        <w:rPr>
          <w:rFonts w:ascii="Times New Roman" w:eastAsiaTheme="minorEastAsia" w:hAnsi="Times New Roman" w:cs="Times New Roman"/>
          <w:sz w:val="24"/>
          <w:szCs w:val="24"/>
        </w:rPr>
        <w:t>factor (</w:t>
      </w:r>
      <w:r w:rsidRPr="009D4A13">
        <w:rPr>
          <w:rFonts w:ascii="Times New Roman" w:eastAsiaTheme="minorEastAsia" w:hAnsi="Times New Roman" w:cs="Times New Roman"/>
          <w:sz w:val="24"/>
          <w:szCs w:val="24"/>
        </w:rPr>
        <w:t>instead of interest rate differential</w:t>
      </w:r>
      <w:r w:rsidR="008E6653">
        <w:rPr>
          <w:rFonts w:ascii="Times New Roman" w:eastAsiaTheme="minorEastAsia" w:hAnsi="Times New Roman" w:cs="Times New Roman"/>
          <w:sz w:val="24"/>
          <w:szCs w:val="24"/>
        </w:rPr>
        <w:t>)</w:t>
      </w:r>
      <w:r w:rsidRPr="009D4A13">
        <w:rPr>
          <w:rFonts w:ascii="Times New Roman" w:eastAsiaTheme="minorEastAsia" w:hAnsi="Times New Roman" w:cs="Times New Roman"/>
          <w:sz w:val="24"/>
          <w:szCs w:val="24"/>
        </w:rPr>
        <w:t>, are obtained from the BloombergHT.</w:t>
      </w:r>
      <w:r w:rsidR="00824170">
        <w:rPr>
          <w:rFonts w:ascii="Times New Roman" w:eastAsiaTheme="minorEastAsia" w:hAnsi="Times New Roman" w:cs="Times New Roman"/>
          <w:sz w:val="24"/>
          <w:szCs w:val="24"/>
        </w:rPr>
        <w:t xml:space="preserve"> The </w:t>
      </w:r>
      <w:r w:rsidR="00704F0E">
        <w:rPr>
          <w:rFonts w:ascii="Times New Roman" w:eastAsiaTheme="minorEastAsia" w:hAnsi="Times New Roman" w:cs="Times New Roman"/>
          <w:sz w:val="24"/>
          <w:szCs w:val="24"/>
        </w:rPr>
        <w:t>comovement</w:t>
      </w:r>
      <w:r w:rsidR="00824170">
        <w:rPr>
          <w:rFonts w:ascii="Times New Roman" w:eastAsiaTheme="minorEastAsia" w:hAnsi="Times New Roman" w:cs="Times New Roman"/>
          <w:sz w:val="24"/>
          <w:szCs w:val="24"/>
        </w:rPr>
        <w:t xml:space="preserve"> </w:t>
      </w:r>
      <w:r w:rsidR="00704F0E">
        <w:rPr>
          <w:rFonts w:ascii="Times New Roman" w:eastAsiaTheme="minorEastAsia" w:hAnsi="Times New Roman" w:cs="Times New Roman"/>
          <w:sz w:val="24"/>
          <w:szCs w:val="24"/>
        </w:rPr>
        <w:t>of</w:t>
      </w:r>
      <w:r w:rsidR="00824170">
        <w:rPr>
          <w:rFonts w:ascii="Times New Roman" w:eastAsiaTheme="minorEastAsia" w:hAnsi="Times New Roman" w:cs="Times New Roman"/>
          <w:sz w:val="24"/>
          <w:szCs w:val="24"/>
        </w:rPr>
        <w:t xml:space="preserve"> the</w:t>
      </w:r>
      <w:r w:rsidR="00824170" w:rsidRPr="009D4A13">
        <w:rPr>
          <w:rFonts w:ascii="Times New Roman" w:eastAsiaTheme="minorEastAsia" w:hAnsi="Times New Roman" w:cs="Times New Roman"/>
          <w:sz w:val="24"/>
          <w:szCs w:val="24"/>
        </w:rPr>
        <w:t xml:space="preserve"> Turkey CDS prices</w:t>
      </w:r>
      <w:r w:rsidR="00824170">
        <w:rPr>
          <w:rFonts w:ascii="Times New Roman" w:eastAsiaTheme="minorEastAsia" w:hAnsi="Times New Roman" w:cs="Times New Roman"/>
          <w:sz w:val="24"/>
          <w:szCs w:val="24"/>
        </w:rPr>
        <w:t xml:space="preserve"> and the exchan</w:t>
      </w:r>
      <w:r w:rsidR="001E0A0A">
        <w:rPr>
          <w:rFonts w:ascii="Times New Roman" w:eastAsiaTheme="minorEastAsia" w:hAnsi="Times New Roman" w:cs="Times New Roman"/>
          <w:sz w:val="24"/>
          <w:szCs w:val="24"/>
        </w:rPr>
        <w:t>ge rate can be seen from the figure</w:t>
      </w:r>
      <w:r w:rsidR="00824170">
        <w:rPr>
          <w:rFonts w:ascii="Times New Roman" w:eastAsiaTheme="minorEastAsia" w:hAnsi="Times New Roman" w:cs="Times New Roman"/>
          <w:sz w:val="24"/>
          <w:szCs w:val="24"/>
        </w:rPr>
        <w:t xml:space="preserve"> in Appendix.</w:t>
      </w:r>
    </w:p>
    <w:p w:rsidR="000D4CEF" w:rsidRDefault="000D4CEF" w:rsidP="009D4A13">
      <w:pPr>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 xml:space="preserve">Table 1 provides the summary statistics of the foreign exchange buying and selling auction </w:t>
      </w:r>
      <w:proofErr w:type="gramStart"/>
      <w:r w:rsidRPr="009D4A13">
        <w:rPr>
          <w:rFonts w:ascii="Times New Roman" w:hAnsi="Times New Roman" w:cs="Times New Roman"/>
          <w:sz w:val="24"/>
          <w:szCs w:val="24"/>
        </w:rPr>
        <w:t>data</w:t>
      </w:r>
      <w:proofErr w:type="gramEnd"/>
      <w:r w:rsidRPr="009D4A13">
        <w:rPr>
          <w:rFonts w:ascii="Times New Roman" w:hAnsi="Times New Roman" w:cs="Times New Roman"/>
          <w:sz w:val="24"/>
          <w:szCs w:val="24"/>
        </w:rPr>
        <w:t xml:space="preserve"> by years as well as for the full sample period. According to Table 1, of the 1305 trading days</w:t>
      </w:r>
      <w:r w:rsidR="003D319D">
        <w:rPr>
          <w:rFonts w:ascii="Times New Roman" w:hAnsi="Times New Roman" w:cs="Times New Roman"/>
          <w:sz w:val="24"/>
          <w:szCs w:val="24"/>
        </w:rPr>
        <w:t>,</w:t>
      </w:r>
      <w:r w:rsidRPr="009D4A13">
        <w:rPr>
          <w:rFonts w:ascii="Times New Roman" w:hAnsi="Times New Roman" w:cs="Times New Roman"/>
          <w:sz w:val="24"/>
          <w:szCs w:val="24"/>
        </w:rPr>
        <w:t xml:space="preserve"> auctions in the TRY/USD market occured on a total of 741 days, for which 475 were dollar purchases and 266 were dollar sales. Average daily amount of total purchased</w:t>
      </w:r>
      <w:r w:rsidRPr="009D4A13">
        <w:rPr>
          <w:rStyle w:val="DipnotBavurusu"/>
          <w:rFonts w:ascii="Times New Roman" w:hAnsi="Times New Roman" w:cs="Times New Roman"/>
          <w:sz w:val="24"/>
          <w:szCs w:val="24"/>
        </w:rPr>
        <w:footnoteReference w:id="5"/>
      </w:r>
      <w:r w:rsidRPr="009D4A13">
        <w:rPr>
          <w:rFonts w:ascii="Times New Roman" w:hAnsi="Times New Roman" w:cs="Times New Roman"/>
          <w:sz w:val="24"/>
          <w:szCs w:val="24"/>
        </w:rPr>
        <w:t xml:space="preserve"> is 5</w:t>
      </w:r>
      <w:r w:rsidR="006D75CE">
        <w:rPr>
          <w:rFonts w:ascii="Times New Roman" w:hAnsi="Times New Roman" w:cs="Times New Roman"/>
          <w:sz w:val="24"/>
          <w:szCs w:val="24"/>
        </w:rPr>
        <w:t xml:space="preserve">3,9 million dollars and </w:t>
      </w:r>
      <w:r w:rsidRPr="009D4A13">
        <w:rPr>
          <w:rFonts w:ascii="Times New Roman" w:hAnsi="Times New Roman" w:cs="Times New Roman"/>
          <w:sz w:val="24"/>
          <w:szCs w:val="24"/>
        </w:rPr>
        <w:t xml:space="preserve">daily amount ranges from 30 million dollars to 140 million dollars.  Average daily amount of sold </w:t>
      </w:r>
      <w:r w:rsidR="006D75CE">
        <w:rPr>
          <w:rFonts w:ascii="Times New Roman" w:hAnsi="Times New Roman" w:cs="Times New Roman"/>
          <w:sz w:val="24"/>
          <w:szCs w:val="24"/>
        </w:rPr>
        <w:t xml:space="preserve">is 127,3 million dollars and </w:t>
      </w:r>
      <w:r w:rsidRPr="009D4A13">
        <w:rPr>
          <w:rFonts w:ascii="Times New Roman" w:hAnsi="Times New Roman" w:cs="Times New Roman"/>
          <w:sz w:val="24"/>
          <w:szCs w:val="24"/>
        </w:rPr>
        <w:t>daily amount ranges from 20 million dollars to 2.250 billion dollars.  The maximum daily amount purchased is observed in 2010</w:t>
      </w:r>
      <w:r w:rsidR="006D75CE">
        <w:rPr>
          <w:rFonts w:ascii="Times New Roman" w:hAnsi="Times New Roman" w:cs="Times New Roman"/>
          <w:sz w:val="24"/>
          <w:szCs w:val="24"/>
        </w:rPr>
        <w:t>,</w:t>
      </w:r>
      <w:r w:rsidRPr="009D4A13">
        <w:rPr>
          <w:rFonts w:ascii="Times New Roman" w:hAnsi="Times New Roman" w:cs="Times New Roman"/>
          <w:sz w:val="24"/>
          <w:szCs w:val="24"/>
        </w:rPr>
        <w:t xml:space="preserve"> and the maximum daily amount sold is observed in 2013. There is no buying auction as from 2012, and there is no selling auction only in 2010.  </w:t>
      </w:r>
    </w:p>
    <w:p w:rsidR="000D4CEF" w:rsidRPr="009D4A13" w:rsidRDefault="000D4CEF" w:rsidP="009D4A13">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83"/>
        <w:gridCol w:w="583"/>
        <w:gridCol w:w="511"/>
        <w:gridCol w:w="666"/>
        <w:gridCol w:w="402"/>
        <w:gridCol w:w="584"/>
        <w:gridCol w:w="666"/>
        <w:gridCol w:w="407"/>
        <w:gridCol w:w="584"/>
        <w:gridCol w:w="407"/>
        <w:gridCol w:w="666"/>
        <w:gridCol w:w="407"/>
        <w:gridCol w:w="655"/>
        <w:gridCol w:w="801"/>
        <w:gridCol w:w="666"/>
      </w:tblGrid>
      <w:tr w:rsidR="00C13F8B" w:rsidRPr="009D4A13" w:rsidTr="00C13F8B">
        <w:tc>
          <w:tcPr>
            <w:tcW w:w="9288" w:type="dxa"/>
            <w:gridSpan w:val="15"/>
            <w:tcBorders>
              <w:top w:val="nil"/>
              <w:left w:val="nil"/>
              <w:bottom w:val="single" w:sz="4" w:space="0" w:color="auto"/>
              <w:right w:val="nil"/>
            </w:tcBorders>
            <w:vAlign w:val="center"/>
          </w:tcPr>
          <w:p w:rsidR="000D4CEF" w:rsidRDefault="000D4CEF" w:rsidP="00686AB9">
            <w:pPr>
              <w:jc w:val="center"/>
              <w:rPr>
                <w:rFonts w:ascii="Times New Roman" w:hAnsi="Times New Roman" w:cs="Times New Roman"/>
                <w:sz w:val="24"/>
                <w:szCs w:val="24"/>
              </w:rPr>
            </w:pPr>
            <w:r w:rsidRPr="00C2738C">
              <w:rPr>
                <w:rFonts w:ascii="Times New Roman" w:hAnsi="Times New Roman" w:cs="Times New Roman"/>
                <w:b/>
                <w:sz w:val="24"/>
                <w:szCs w:val="24"/>
              </w:rPr>
              <w:t>Table 1:</w:t>
            </w:r>
            <w:r w:rsidRPr="009D4A13">
              <w:rPr>
                <w:rFonts w:ascii="Times New Roman" w:hAnsi="Times New Roman" w:cs="Times New Roman"/>
                <w:sz w:val="24"/>
                <w:szCs w:val="24"/>
              </w:rPr>
              <w:t xml:space="preserve"> Buying and Selling Auct</w:t>
            </w:r>
            <w:r w:rsidR="006D75CE">
              <w:rPr>
                <w:rFonts w:ascii="Times New Roman" w:hAnsi="Times New Roman" w:cs="Times New Roman"/>
                <w:sz w:val="24"/>
                <w:szCs w:val="24"/>
              </w:rPr>
              <w:t xml:space="preserve">ions in the TRY/USD Market (Feb </w:t>
            </w:r>
            <w:r w:rsidRPr="009D4A13">
              <w:rPr>
                <w:rFonts w:ascii="Times New Roman" w:hAnsi="Times New Roman" w:cs="Times New Roman"/>
                <w:sz w:val="24"/>
                <w:szCs w:val="24"/>
              </w:rPr>
              <w:t>02, 2009</w:t>
            </w:r>
            <w:r w:rsidR="00B43C32">
              <w:rPr>
                <w:rFonts w:ascii="Times New Roman" w:hAnsi="Times New Roman" w:cs="Times New Roman"/>
                <w:sz w:val="24"/>
                <w:szCs w:val="24"/>
              </w:rPr>
              <w:t>–</w:t>
            </w:r>
            <w:r w:rsidR="006D75CE">
              <w:rPr>
                <w:rFonts w:ascii="Times New Roman" w:hAnsi="Times New Roman" w:cs="Times New Roman"/>
                <w:sz w:val="24"/>
                <w:szCs w:val="24"/>
              </w:rPr>
              <w:t xml:space="preserve">Jan </w:t>
            </w:r>
            <w:r w:rsidRPr="009D4A13">
              <w:rPr>
                <w:rFonts w:ascii="Times New Roman" w:hAnsi="Times New Roman" w:cs="Times New Roman"/>
                <w:sz w:val="24"/>
                <w:szCs w:val="24"/>
              </w:rPr>
              <w:t>31, 2014)</w:t>
            </w:r>
          </w:p>
          <w:p w:rsidR="00C13F8B" w:rsidRPr="009D4A13" w:rsidRDefault="00C13F8B" w:rsidP="00686AB9">
            <w:pPr>
              <w:jc w:val="center"/>
              <w:rPr>
                <w:rFonts w:ascii="Times New Roman" w:hAnsi="Times New Roman" w:cs="Times New Roman"/>
                <w:sz w:val="24"/>
                <w:szCs w:val="24"/>
              </w:rPr>
            </w:pPr>
          </w:p>
        </w:tc>
      </w:tr>
      <w:tr w:rsidR="009D4A13" w:rsidRPr="009D4A13" w:rsidTr="00C13F8B">
        <w:tc>
          <w:tcPr>
            <w:tcW w:w="1195"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sz w:val="24"/>
                <w:szCs w:val="24"/>
              </w:rPr>
            </w:pPr>
          </w:p>
        </w:tc>
        <w:tc>
          <w:tcPr>
            <w:tcW w:w="1106" w:type="dxa"/>
            <w:gridSpan w:val="2"/>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2009</w:t>
            </w:r>
          </w:p>
        </w:tc>
        <w:tc>
          <w:tcPr>
            <w:tcW w:w="1087" w:type="dxa"/>
            <w:gridSpan w:val="2"/>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2010</w:t>
            </w:r>
          </w:p>
        </w:tc>
        <w:tc>
          <w:tcPr>
            <w:tcW w:w="1252" w:type="dxa"/>
            <w:gridSpan w:val="2"/>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2011</w:t>
            </w:r>
          </w:p>
        </w:tc>
        <w:tc>
          <w:tcPr>
            <w:tcW w:w="1007" w:type="dxa"/>
            <w:gridSpan w:val="2"/>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2012</w:t>
            </w:r>
          </w:p>
        </w:tc>
        <w:tc>
          <w:tcPr>
            <w:tcW w:w="1087" w:type="dxa"/>
            <w:gridSpan w:val="2"/>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2013</w:t>
            </w:r>
          </w:p>
        </w:tc>
        <w:tc>
          <w:tcPr>
            <w:tcW w:w="1087" w:type="dxa"/>
            <w:gridSpan w:val="2"/>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Jan. 2014</w:t>
            </w:r>
          </w:p>
        </w:tc>
        <w:tc>
          <w:tcPr>
            <w:tcW w:w="1467" w:type="dxa"/>
            <w:gridSpan w:val="2"/>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Full Period</w:t>
            </w:r>
          </w:p>
        </w:tc>
      </w:tr>
      <w:tr w:rsidR="009D4A13" w:rsidRPr="009D4A13" w:rsidTr="00C13F8B">
        <w:tc>
          <w:tcPr>
            <w:tcW w:w="1195"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sz w:val="24"/>
                <w:szCs w:val="24"/>
              </w:rPr>
            </w:pPr>
          </w:p>
        </w:tc>
        <w:tc>
          <w:tcPr>
            <w:tcW w:w="586"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P</w:t>
            </w:r>
          </w:p>
        </w:tc>
        <w:tc>
          <w:tcPr>
            <w:tcW w:w="520"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S</w:t>
            </w:r>
          </w:p>
        </w:tc>
        <w:tc>
          <w:tcPr>
            <w:tcW w:w="666"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P</w:t>
            </w:r>
          </w:p>
        </w:tc>
        <w:tc>
          <w:tcPr>
            <w:tcW w:w="421"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S</w:t>
            </w:r>
          </w:p>
        </w:tc>
        <w:tc>
          <w:tcPr>
            <w:tcW w:w="586"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P</w:t>
            </w:r>
          </w:p>
        </w:tc>
        <w:tc>
          <w:tcPr>
            <w:tcW w:w="666"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S</w:t>
            </w:r>
          </w:p>
        </w:tc>
        <w:tc>
          <w:tcPr>
            <w:tcW w:w="421"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P</w:t>
            </w:r>
          </w:p>
        </w:tc>
        <w:tc>
          <w:tcPr>
            <w:tcW w:w="586"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S</w:t>
            </w:r>
          </w:p>
        </w:tc>
        <w:tc>
          <w:tcPr>
            <w:tcW w:w="421"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P</w:t>
            </w:r>
          </w:p>
        </w:tc>
        <w:tc>
          <w:tcPr>
            <w:tcW w:w="666"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S</w:t>
            </w:r>
          </w:p>
        </w:tc>
        <w:tc>
          <w:tcPr>
            <w:tcW w:w="421"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P</w:t>
            </w:r>
          </w:p>
        </w:tc>
        <w:tc>
          <w:tcPr>
            <w:tcW w:w="666"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S</w:t>
            </w:r>
          </w:p>
        </w:tc>
        <w:tc>
          <w:tcPr>
            <w:tcW w:w="801"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P</w:t>
            </w:r>
          </w:p>
        </w:tc>
        <w:tc>
          <w:tcPr>
            <w:tcW w:w="666" w:type="dxa"/>
            <w:tcBorders>
              <w:top w:val="single" w:sz="4" w:space="0" w:color="auto"/>
              <w:left w:val="nil"/>
              <w:bottom w:val="single" w:sz="4" w:space="0" w:color="auto"/>
              <w:right w:val="nil"/>
            </w:tcBorders>
            <w:vAlign w:val="center"/>
          </w:tcPr>
          <w:p w:rsidR="000D4CEF" w:rsidRPr="009D4A13" w:rsidRDefault="000D4CE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S</w:t>
            </w:r>
          </w:p>
        </w:tc>
      </w:tr>
      <w:tr w:rsidR="009D4A13" w:rsidRPr="009D4A13" w:rsidTr="00C13F8B">
        <w:tc>
          <w:tcPr>
            <w:tcW w:w="1195"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20"/>
                <w:szCs w:val="20"/>
              </w:rPr>
            </w:pPr>
            <w:r w:rsidRPr="00C2738C">
              <w:rPr>
                <w:rFonts w:ascii="Times New Roman" w:hAnsi="Times New Roman" w:cs="Times New Roman"/>
                <w:b/>
                <w:sz w:val="20"/>
                <w:szCs w:val="20"/>
              </w:rPr>
              <w:t>Number of Intervention Days</w:t>
            </w:r>
          </w:p>
        </w:tc>
        <w:tc>
          <w:tcPr>
            <w:tcW w:w="586" w:type="dxa"/>
            <w:tcBorders>
              <w:top w:val="single" w:sz="4" w:space="0" w:color="auto"/>
              <w:left w:val="nil"/>
              <w:bottom w:val="single" w:sz="4" w:space="0" w:color="auto"/>
              <w:right w:val="nil"/>
            </w:tcBorders>
            <w:vAlign w:val="center"/>
          </w:tcPr>
          <w:p w:rsidR="006D75CE" w:rsidRDefault="006D75CE" w:rsidP="00686AB9">
            <w:pPr>
              <w:jc w:val="center"/>
              <w:rPr>
                <w:rFonts w:ascii="Times New Roman" w:hAnsi="Times New Roman" w:cs="Times New Roman"/>
                <w:sz w:val="18"/>
                <w:szCs w:val="18"/>
              </w:rPr>
            </w:pPr>
          </w:p>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97</w:t>
            </w:r>
          </w:p>
          <w:p w:rsidR="00C2738C" w:rsidRPr="00C2738C" w:rsidRDefault="00C2738C" w:rsidP="00686AB9">
            <w:pPr>
              <w:jc w:val="center"/>
              <w:rPr>
                <w:rFonts w:ascii="Times New Roman" w:hAnsi="Times New Roman" w:cs="Times New Roman"/>
                <w:sz w:val="18"/>
                <w:szCs w:val="18"/>
              </w:rPr>
            </w:pPr>
          </w:p>
        </w:tc>
        <w:tc>
          <w:tcPr>
            <w:tcW w:w="520"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18</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238</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140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79</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20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125</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24</w:t>
            </w:r>
          </w:p>
        </w:tc>
        <w:tc>
          <w:tcPr>
            <w:tcW w:w="801"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475</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266</w:t>
            </w:r>
          </w:p>
        </w:tc>
      </w:tr>
      <w:tr w:rsidR="009D4A13" w:rsidRPr="009D4A13" w:rsidTr="00C13F8B">
        <w:tc>
          <w:tcPr>
            <w:tcW w:w="1195"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20"/>
                <w:szCs w:val="20"/>
              </w:rPr>
            </w:pPr>
            <w:r w:rsidRPr="00C2738C">
              <w:rPr>
                <w:rFonts w:ascii="Times New Roman" w:hAnsi="Times New Roman" w:cs="Times New Roman"/>
                <w:b/>
                <w:sz w:val="20"/>
                <w:szCs w:val="20"/>
              </w:rPr>
              <w:t>Total Amount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4314</w:t>
            </w:r>
          </w:p>
        </w:tc>
        <w:tc>
          <w:tcPr>
            <w:tcW w:w="520"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900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14865</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6450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11210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1450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17610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2700</w:t>
            </w:r>
          </w:p>
        </w:tc>
        <w:tc>
          <w:tcPr>
            <w:tcW w:w="801"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25629,4</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33870</w:t>
            </w:r>
          </w:p>
        </w:tc>
      </w:tr>
      <w:tr w:rsidR="009D4A13" w:rsidRPr="009D4A13" w:rsidTr="00C13F8B">
        <w:tc>
          <w:tcPr>
            <w:tcW w:w="1195"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20"/>
                <w:szCs w:val="20"/>
              </w:rPr>
            </w:pPr>
            <w:r w:rsidRPr="00C2738C">
              <w:rPr>
                <w:rFonts w:ascii="Times New Roman" w:hAnsi="Times New Roman" w:cs="Times New Roman"/>
                <w:b/>
                <w:sz w:val="20"/>
                <w:szCs w:val="20"/>
              </w:rPr>
              <w:t>Average Daily Amount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44,5</w:t>
            </w:r>
          </w:p>
        </w:tc>
        <w:tc>
          <w:tcPr>
            <w:tcW w:w="520"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50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62,5</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46</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141,9</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72,5</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140,9</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112,5</w:t>
            </w:r>
          </w:p>
        </w:tc>
        <w:tc>
          <w:tcPr>
            <w:tcW w:w="801"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53,9</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127,3</w:t>
            </w:r>
          </w:p>
        </w:tc>
      </w:tr>
      <w:tr w:rsidR="009D4A13" w:rsidRPr="009D4A13" w:rsidTr="00C13F8B">
        <w:tc>
          <w:tcPr>
            <w:tcW w:w="1195"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20"/>
                <w:szCs w:val="20"/>
              </w:rPr>
            </w:pPr>
            <w:r w:rsidRPr="00C2738C">
              <w:rPr>
                <w:rFonts w:ascii="Times New Roman" w:hAnsi="Times New Roman" w:cs="Times New Roman"/>
                <w:b/>
                <w:sz w:val="20"/>
                <w:szCs w:val="20"/>
              </w:rPr>
              <w:t>Maximum Daily Amount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60</w:t>
            </w:r>
          </w:p>
        </w:tc>
        <w:tc>
          <w:tcPr>
            <w:tcW w:w="520"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50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140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50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750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350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2250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400</w:t>
            </w:r>
          </w:p>
        </w:tc>
        <w:tc>
          <w:tcPr>
            <w:tcW w:w="801"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140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2250</w:t>
            </w:r>
          </w:p>
        </w:tc>
      </w:tr>
      <w:tr w:rsidR="009D4A13" w:rsidRPr="009D4A13" w:rsidTr="00C13F8B">
        <w:tc>
          <w:tcPr>
            <w:tcW w:w="1195"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20"/>
                <w:szCs w:val="20"/>
              </w:rPr>
            </w:pPr>
            <w:r w:rsidRPr="00C2738C">
              <w:rPr>
                <w:rFonts w:ascii="Times New Roman" w:hAnsi="Times New Roman" w:cs="Times New Roman"/>
                <w:b/>
                <w:sz w:val="20"/>
                <w:szCs w:val="20"/>
              </w:rPr>
              <w:t>Minimum Daily Amount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30</w:t>
            </w:r>
          </w:p>
        </w:tc>
        <w:tc>
          <w:tcPr>
            <w:tcW w:w="520"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50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30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30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20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50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20</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18"/>
                <w:szCs w:val="18"/>
              </w:rPr>
            </w:pPr>
            <w:r>
              <w:rPr>
                <w:rFonts w:ascii="Times New Roman" w:hAnsi="Times New Roman" w:cs="Times New Roman"/>
                <w:sz w:val="18"/>
                <w:szCs w:val="18"/>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18"/>
                <w:szCs w:val="18"/>
              </w:rPr>
            </w:pPr>
            <w:r w:rsidRPr="00C2738C">
              <w:rPr>
                <w:rFonts w:ascii="Times New Roman" w:hAnsi="Times New Roman" w:cs="Times New Roman"/>
                <w:sz w:val="18"/>
                <w:szCs w:val="18"/>
              </w:rPr>
              <w:t>50</w:t>
            </w:r>
          </w:p>
        </w:tc>
        <w:tc>
          <w:tcPr>
            <w:tcW w:w="801"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30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18"/>
                <w:szCs w:val="18"/>
              </w:rPr>
            </w:pPr>
            <w:r w:rsidRPr="00C2738C">
              <w:rPr>
                <w:rFonts w:ascii="Times New Roman" w:hAnsi="Times New Roman" w:cs="Times New Roman"/>
                <w:b/>
                <w:sz w:val="18"/>
                <w:szCs w:val="18"/>
              </w:rPr>
              <w:t>20</w:t>
            </w:r>
          </w:p>
        </w:tc>
      </w:tr>
      <w:tr w:rsidR="009D4A13" w:rsidRPr="009D4A13" w:rsidTr="00C13F8B">
        <w:tc>
          <w:tcPr>
            <w:tcW w:w="1195"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20"/>
                <w:szCs w:val="20"/>
              </w:rPr>
            </w:pPr>
            <w:r w:rsidRPr="00C2738C">
              <w:rPr>
                <w:rFonts w:ascii="Times New Roman" w:hAnsi="Times New Roman" w:cs="Times New Roman"/>
                <w:b/>
                <w:sz w:val="20"/>
                <w:szCs w:val="20"/>
              </w:rPr>
              <w:t>Std. Dev.</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20"/>
                <w:szCs w:val="20"/>
              </w:rPr>
            </w:pPr>
            <w:r w:rsidRPr="00C2738C">
              <w:rPr>
                <w:rFonts w:ascii="Times New Roman" w:hAnsi="Times New Roman" w:cs="Times New Roman"/>
                <w:sz w:val="20"/>
                <w:szCs w:val="20"/>
              </w:rPr>
              <w:t>12,8</w:t>
            </w:r>
          </w:p>
        </w:tc>
        <w:tc>
          <w:tcPr>
            <w:tcW w:w="520"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20"/>
                <w:szCs w:val="20"/>
              </w:rPr>
            </w:pPr>
            <w:r w:rsidRPr="00C2738C">
              <w:rPr>
                <w:rFonts w:ascii="Times New Roman" w:hAnsi="Times New Roman" w:cs="Times New Roman"/>
                <w:sz w:val="20"/>
                <w:szCs w:val="20"/>
              </w:rPr>
              <w:t>0</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20"/>
                <w:szCs w:val="20"/>
              </w:rPr>
            </w:pPr>
            <w:r w:rsidRPr="00C2738C">
              <w:rPr>
                <w:rFonts w:ascii="Times New Roman" w:hAnsi="Times New Roman" w:cs="Times New Roman"/>
                <w:sz w:val="20"/>
                <w:szCs w:val="20"/>
              </w:rPr>
              <w:t>31,5</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20"/>
                <w:szCs w:val="20"/>
              </w:rPr>
            </w:pPr>
            <w:r>
              <w:rPr>
                <w:rFonts w:ascii="Times New Roman" w:hAnsi="Times New Roman" w:cs="Times New Roman"/>
                <w:sz w:val="20"/>
                <w:szCs w:val="20"/>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20"/>
                <w:szCs w:val="20"/>
              </w:rPr>
            </w:pPr>
            <w:r w:rsidRPr="00C2738C">
              <w:rPr>
                <w:rFonts w:ascii="Times New Roman" w:hAnsi="Times New Roman" w:cs="Times New Roman"/>
                <w:sz w:val="20"/>
                <w:szCs w:val="20"/>
              </w:rPr>
              <w:t>6,9</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20"/>
                <w:szCs w:val="20"/>
              </w:rPr>
            </w:pPr>
            <w:r w:rsidRPr="00C2738C">
              <w:rPr>
                <w:rFonts w:ascii="Times New Roman" w:hAnsi="Times New Roman" w:cs="Times New Roman"/>
                <w:sz w:val="20"/>
                <w:szCs w:val="20"/>
              </w:rPr>
              <w:t>181,9</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20"/>
                <w:szCs w:val="20"/>
              </w:rPr>
            </w:pPr>
            <w:r>
              <w:rPr>
                <w:rFonts w:ascii="Times New Roman" w:hAnsi="Times New Roman" w:cs="Times New Roman"/>
                <w:sz w:val="20"/>
                <w:szCs w:val="20"/>
              </w:rPr>
              <w:t>–</w:t>
            </w:r>
          </w:p>
        </w:tc>
        <w:tc>
          <w:tcPr>
            <w:tcW w:w="58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20"/>
                <w:szCs w:val="20"/>
              </w:rPr>
            </w:pPr>
            <w:r w:rsidRPr="00C2738C">
              <w:rPr>
                <w:rFonts w:ascii="Times New Roman" w:hAnsi="Times New Roman" w:cs="Times New Roman"/>
                <w:sz w:val="20"/>
                <w:szCs w:val="20"/>
              </w:rPr>
              <w:t>67,8</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20"/>
                <w:szCs w:val="20"/>
              </w:rPr>
            </w:pPr>
            <w:r>
              <w:rPr>
                <w:rFonts w:ascii="Times New Roman" w:hAnsi="Times New Roman" w:cs="Times New Roman"/>
                <w:sz w:val="20"/>
                <w:szCs w:val="20"/>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20"/>
                <w:szCs w:val="20"/>
              </w:rPr>
            </w:pPr>
            <w:r w:rsidRPr="00C2738C">
              <w:rPr>
                <w:rFonts w:ascii="Times New Roman" w:hAnsi="Times New Roman" w:cs="Times New Roman"/>
                <w:sz w:val="20"/>
                <w:szCs w:val="20"/>
              </w:rPr>
              <w:t>250,2</w:t>
            </w:r>
          </w:p>
        </w:tc>
        <w:tc>
          <w:tcPr>
            <w:tcW w:w="421" w:type="dxa"/>
            <w:tcBorders>
              <w:top w:val="single" w:sz="4" w:space="0" w:color="auto"/>
              <w:left w:val="nil"/>
              <w:bottom w:val="single" w:sz="4" w:space="0" w:color="auto"/>
              <w:right w:val="nil"/>
            </w:tcBorders>
            <w:vAlign w:val="center"/>
          </w:tcPr>
          <w:p w:rsidR="000D4CEF" w:rsidRPr="00C2738C" w:rsidRDefault="00B43C32" w:rsidP="00686AB9">
            <w:pPr>
              <w:jc w:val="center"/>
              <w:rPr>
                <w:rFonts w:ascii="Times New Roman" w:hAnsi="Times New Roman" w:cs="Times New Roman"/>
                <w:sz w:val="20"/>
                <w:szCs w:val="20"/>
              </w:rPr>
            </w:pPr>
            <w:r>
              <w:rPr>
                <w:rFonts w:ascii="Times New Roman" w:hAnsi="Times New Roman" w:cs="Times New Roman"/>
                <w:sz w:val="20"/>
                <w:szCs w:val="20"/>
              </w:rPr>
              <w:t>–</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sz w:val="20"/>
                <w:szCs w:val="20"/>
              </w:rPr>
            </w:pPr>
            <w:r w:rsidRPr="00C2738C">
              <w:rPr>
                <w:rFonts w:ascii="Times New Roman" w:hAnsi="Times New Roman" w:cs="Times New Roman"/>
                <w:sz w:val="20"/>
                <w:szCs w:val="20"/>
              </w:rPr>
              <w:t>66,3</w:t>
            </w:r>
          </w:p>
        </w:tc>
        <w:tc>
          <w:tcPr>
            <w:tcW w:w="801"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20"/>
                <w:szCs w:val="20"/>
              </w:rPr>
            </w:pPr>
            <w:r w:rsidRPr="00C2738C">
              <w:rPr>
                <w:rFonts w:ascii="Times New Roman" w:hAnsi="Times New Roman" w:cs="Times New Roman"/>
                <w:b/>
                <w:sz w:val="20"/>
                <w:szCs w:val="20"/>
              </w:rPr>
              <w:t>24,8</w:t>
            </w:r>
          </w:p>
        </w:tc>
        <w:tc>
          <w:tcPr>
            <w:tcW w:w="666" w:type="dxa"/>
            <w:tcBorders>
              <w:top w:val="single" w:sz="4" w:space="0" w:color="auto"/>
              <w:left w:val="nil"/>
              <w:bottom w:val="single" w:sz="4" w:space="0" w:color="auto"/>
              <w:right w:val="nil"/>
            </w:tcBorders>
            <w:vAlign w:val="center"/>
          </w:tcPr>
          <w:p w:rsidR="000D4CEF" w:rsidRPr="00C2738C" w:rsidRDefault="000D4CEF" w:rsidP="00686AB9">
            <w:pPr>
              <w:jc w:val="center"/>
              <w:rPr>
                <w:rFonts w:ascii="Times New Roman" w:hAnsi="Times New Roman" w:cs="Times New Roman"/>
                <w:b/>
                <w:sz w:val="20"/>
                <w:szCs w:val="20"/>
              </w:rPr>
            </w:pPr>
            <w:r w:rsidRPr="00C2738C">
              <w:rPr>
                <w:rFonts w:ascii="Times New Roman" w:hAnsi="Times New Roman" w:cs="Times New Roman"/>
                <w:b/>
                <w:sz w:val="20"/>
                <w:szCs w:val="20"/>
              </w:rPr>
              <w:t>201,4</w:t>
            </w:r>
          </w:p>
        </w:tc>
      </w:tr>
      <w:tr w:rsidR="00C13F8B" w:rsidRPr="009D4A13" w:rsidTr="00C13F8B">
        <w:tc>
          <w:tcPr>
            <w:tcW w:w="9288" w:type="dxa"/>
            <w:gridSpan w:val="15"/>
            <w:tcBorders>
              <w:top w:val="single" w:sz="4" w:space="0" w:color="auto"/>
              <w:left w:val="nil"/>
              <w:bottom w:val="single" w:sz="4" w:space="0" w:color="auto"/>
              <w:right w:val="nil"/>
            </w:tcBorders>
            <w:vAlign w:val="center"/>
          </w:tcPr>
          <w:p w:rsidR="000D4CEF" w:rsidRPr="009D4A13" w:rsidRDefault="000D4CEF" w:rsidP="009D4A13">
            <w:pPr>
              <w:jc w:val="both"/>
              <w:rPr>
                <w:rFonts w:ascii="Times New Roman" w:hAnsi="Times New Roman" w:cs="Times New Roman"/>
                <w:sz w:val="24"/>
                <w:szCs w:val="24"/>
              </w:rPr>
            </w:pPr>
            <w:r w:rsidRPr="00C2738C">
              <w:rPr>
                <w:rFonts w:ascii="Times New Roman" w:hAnsi="Times New Roman" w:cs="Times New Roman"/>
                <w:b/>
                <w:sz w:val="24"/>
                <w:szCs w:val="24"/>
              </w:rPr>
              <w:t>Notes:</w:t>
            </w:r>
            <w:r w:rsidRPr="009D4A13">
              <w:rPr>
                <w:rFonts w:ascii="Times New Roman" w:hAnsi="Times New Roman" w:cs="Times New Roman"/>
                <w:sz w:val="24"/>
                <w:szCs w:val="24"/>
              </w:rPr>
              <w:t xml:space="preserve"> P and S denote “Purchases” and “Sales”, respectively.</w:t>
            </w:r>
          </w:p>
          <w:p w:rsidR="000D4CEF" w:rsidRPr="009D4A13" w:rsidRDefault="000D4CEF" w:rsidP="009D4A13">
            <w:pPr>
              <w:jc w:val="both"/>
              <w:rPr>
                <w:rFonts w:ascii="Times New Roman" w:hAnsi="Times New Roman" w:cs="Times New Roman"/>
                <w:sz w:val="24"/>
                <w:szCs w:val="24"/>
              </w:rPr>
            </w:pPr>
            <w:r w:rsidRPr="009D4A13">
              <w:rPr>
                <w:rFonts w:ascii="Times New Roman" w:hAnsi="Times New Roman" w:cs="Times New Roman"/>
                <w:sz w:val="24"/>
                <w:szCs w:val="24"/>
              </w:rPr>
              <w:t>All amounts are in millions of USD.</w:t>
            </w:r>
          </w:p>
        </w:tc>
      </w:tr>
    </w:tbl>
    <w:p w:rsidR="000D4CEF" w:rsidRPr="009D4A13" w:rsidRDefault="000D4CEF" w:rsidP="009D4A13">
      <w:pPr>
        <w:spacing w:after="0" w:line="240" w:lineRule="auto"/>
        <w:jc w:val="both"/>
        <w:rPr>
          <w:rFonts w:ascii="Times New Roman" w:hAnsi="Times New Roman" w:cs="Times New Roman"/>
          <w:sz w:val="24"/>
          <w:szCs w:val="24"/>
        </w:rPr>
      </w:pPr>
    </w:p>
    <w:p w:rsidR="000D4CEF" w:rsidRDefault="000D4CEF" w:rsidP="009D4A13">
      <w:pPr>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lastRenderedPageBreak/>
        <w:t>Figure 1 shows the daily amount of intervention</w:t>
      </w:r>
      <w:r w:rsidR="000537C7">
        <w:rPr>
          <w:rFonts w:ascii="Times New Roman" w:hAnsi="Times New Roman" w:cs="Times New Roman"/>
          <w:sz w:val="24"/>
          <w:szCs w:val="24"/>
        </w:rPr>
        <w:t>s</w:t>
      </w:r>
      <w:r w:rsidRPr="009D4A13">
        <w:rPr>
          <w:rFonts w:ascii="Times New Roman" w:hAnsi="Times New Roman" w:cs="Times New Roman"/>
          <w:sz w:val="24"/>
          <w:szCs w:val="24"/>
        </w:rPr>
        <w:t xml:space="preserve"> undertaken by the CBRT along with the TRY/USD exchange rate. Purchases of USD have positive sign </w:t>
      </w:r>
      <w:r w:rsidR="006D75CE">
        <w:rPr>
          <w:rFonts w:ascii="Times New Roman" w:hAnsi="Times New Roman" w:cs="Times New Roman"/>
          <w:sz w:val="24"/>
          <w:szCs w:val="24"/>
        </w:rPr>
        <w:t xml:space="preserve">(positive interventions) </w:t>
      </w:r>
      <w:r w:rsidRPr="009D4A13">
        <w:rPr>
          <w:rFonts w:ascii="Times New Roman" w:hAnsi="Times New Roman" w:cs="Times New Roman"/>
          <w:sz w:val="24"/>
          <w:szCs w:val="24"/>
        </w:rPr>
        <w:t>and sales of USD have negative sign</w:t>
      </w:r>
      <w:r w:rsidR="006D75CE">
        <w:rPr>
          <w:rFonts w:ascii="Times New Roman" w:hAnsi="Times New Roman" w:cs="Times New Roman"/>
          <w:sz w:val="24"/>
          <w:szCs w:val="24"/>
        </w:rPr>
        <w:t xml:space="preserve"> (negative interventions)</w:t>
      </w:r>
      <w:r w:rsidRPr="009D4A13">
        <w:rPr>
          <w:rFonts w:ascii="Times New Roman" w:hAnsi="Times New Roman" w:cs="Times New Roman"/>
          <w:sz w:val="24"/>
          <w:szCs w:val="24"/>
        </w:rPr>
        <w:t xml:space="preserve">. As it can be seen from Figure 1, CBRT tends to purchase USD when the Turkish lira relatively appreciates (decrease in the exchange rate) and sell USD when the Turkish lira depreciates (increase in the exchange rate). </w:t>
      </w:r>
    </w:p>
    <w:p w:rsidR="00C2738C" w:rsidRPr="009D4A13" w:rsidRDefault="00C2738C" w:rsidP="009D4A13">
      <w:pPr>
        <w:spacing w:after="0" w:line="240" w:lineRule="auto"/>
        <w:jc w:val="both"/>
        <w:rPr>
          <w:rFonts w:ascii="Times New Roman" w:hAnsi="Times New Roman" w:cs="Times New Roman"/>
          <w:sz w:val="24"/>
          <w:szCs w:val="24"/>
        </w:rPr>
      </w:pPr>
    </w:p>
    <w:p w:rsidR="000D4CEF" w:rsidRPr="009D4A13" w:rsidRDefault="000D4CEF" w:rsidP="00C2738C">
      <w:pPr>
        <w:spacing w:after="0" w:line="240" w:lineRule="auto"/>
        <w:jc w:val="center"/>
        <w:rPr>
          <w:rFonts w:ascii="Times New Roman" w:hAnsi="Times New Roman" w:cs="Times New Roman"/>
          <w:b/>
          <w:sz w:val="24"/>
          <w:szCs w:val="24"/>
        </w:rPr>
      </w:pPr>
      <w:r w:rsidRPr="009D4A13">
        <w:rPr>
          <w:rFonts w:ascii="Times New Roman" w:hAnsi="Times New Roman" w:cs="Times New Roman"/>
          <w:b/>
          <w:sz w:val="24"/>
          <w:szCs w:val="24"/>
        </w:rPr>
        <w:t xml:space="preserve">Figure 1: </w:t>
      </w:r>
      <w:r w:rsidRPr="00C2738C">
        <w:rPr>
          <w:rFonts w:ascii="Times New Roman" w:hAnsi="Times New Roman" w:cs="Times New Roman"/>
          <w:sz w:val="24"/>
          <w:szCs w:val="24"/>
        </w:rPr>
        <w:t>Buying and Selling Auctions and TRY/USD Exchange Rate</w:t>
      </w:r>
    </w:p>
    <w:p w:rsidR="000D4CEF" w:rsidRPr="009D4A13" w:rsidRDefault="000D4CEF" w:rsidP="008E6653">
      <w:pPr>
        <w:spacing w:after="0" w:line="240" w:lineRule="auto"/>
        <w:jc w:val="center"/>
        <w:rPr>
          <w:rFonts w:ascii="Times New Roman" w:hAnsi="Times New Roman" w:cs="Times New Roman"/>
          <w:sz w:val="24"/>
          <w:szCs w:val="24"/>
        </w:rPr>
      </w:pPr>
      <w:r w:rsidRPr="009D4A13">
        <w:rPr>
          <w:rFonts w:ascii="Times New Roman" w:hAnsi="Times New Roman" w:cs="Times New Roman"/>
          <w:noProof/>
          <w:sz w:val="24"/>
          <w:szCs w:val="24"/>
          <w:lang w:eastAsia="tr-TR"/>
        </w:rPr>
        <w:drawing>
          <wp:inline distT="0" distB="0" distL="0" distR="0" wp14:anchorId="37214B99" wp14:editId="135DFFC1">
            <wp:extent cx="5135880" cy="3388254"/>
            <wp:effectExtent l="0" t="0" r="762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35880" cy="3388254"/>
                    </a:xfrm>
                    <a:prstGeom prst="rect">
                      <a:avLst/>
                    </a:prstGeom>
                    <a:noFill/>
                    <a:ln>
                      <a:noFill/>
                    </a:ln>
                  </pic:spPr>
                </pic:pic>
              </a:graphicData>
            </a:graphic>
          </wp:inline>
        </w:drawing>
      </w:r>
    </w:p>
    <w:p w:rsidR="000D4CEF" w:rsidRPr="009D4A13" w:rsidRDefault="000D4CEF" w:rsidP="009D4A13">
      <w:pPr>
        <w:autoSpaceDE w:val="0"/>
        <w:autoSpaceDN w:val="0"/>
        <w:adjustRightInd w:val="0"/>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 xml:space="preserve">The difference in the logarithm of the exchange rate gives the continuously compounded daily returns (denoted ∆logTRYUSD) for the TRY/USD exchange rate. Table 2 </w:t>
      </w:r>
      <w:r w:rsidR="004412DF" w:rsidRPr="009D4A13">
        <w:rPr>
          <w:rFonts w:ascii="Times New Roman" w:hAnsi="Times New Roman" w:cs="Times New Roman"/>
          <w:sz w:val="24"/>
          <w:szCs w:val="24"/>
        </w:rPr>
        <w:t>summariz</w:t>
      </w:r>
      <w:r w:rsidRPr="009D4A13">
        <w:rPr>
          <w:rFonts w:ascii="Times New Roman" w:hAnsi="Times New Roman" w:cs="Times New Roman"/>
          <w:sz w:val="24"/>
          <w:szCs w:val="24"/>
        </w:rPr>
        <w:t>es the descriptive statistics of the daily returns overall the period. The mean of exchange rate returns is positive, implying that the TRY depreciates against the USD. There is evidence of positive skewness, excess kurtosis and non</w:t>
      </w:r>
      <w:r w:rsidR="00B43C32">
        <w:rPr>
          <w:rFonts w:ascii="Times New Roman" w:hAnsi="Times New Roman" w:cs="Times New Roman"/>
          <w:sz w:val="24"/>
          <w:szCs w:val="24"/>
        </w:rPr>
        <w:t>–</w:t>
      </w:r>
      <w:r w:rsidRPr="009D4A13">
        <w:rPr>
          <w:rFonts w:ascii="Times New Roman" w:hAnsi="Times New Roman" w:cs="Times New Roman"/>
          <w:sz w:val="24"/>
          <w:szCs w:val="24"/>
        </w:rPr>
        <w:t>normality in the TRY/USD exchange rate</w:t>
      </w:r>
      <w:r w:rsidR="00981CC2">
        <w:rPr>
          <w:rFonts w:ascii="Times New Roman" w:hAnsi="Times New Roman" w:cs="Times New Roman"/>
          <w:sz w:val="24"/>
          <w:szCs w:val="24"/>
        </w:rPr>
        <w:t xml:space="preserve"> returns</w:t>
      </w:r>
      <w:r w:rsidRPr="009D4A13">
        <w:rPr>
          <w:rFonts w:ascii="Times New Roman" w:hAnsi="Times New Roman" w:cs="Times New Roman"/>
          <w:sz w:val="24"/>
          <w:szCs w:val="24"/>
        </w:rPr>
        <w:t>. Positive skewness indicates that returns are skewed to the right, i.e</w:t>
      </w:r>
      <w:proofErr w:type="gramStart"/>
      <w:r w:rsidRPr="009D4A13">
        <w:rPr>
          <w:rFonts w:ascii="Times New Roman" w:hAnsi="Times New Roman" w:cs="Times New Roman"/>
          <w:sz w:val="24"/>
          <w:szCs w:val="24"/>
        </w:rPr>
        <w:t>.,</w:t>
      </w:r>
      <w:proofErr w:type="gramEnd"/>
      <w:r w:rsidRPr="009D4A13">
        <w:rPr>
          <w:rFonts w:ascii="Times New Roman" w:hAnsi="Times New Roman" w:cs="Times New Roman"/>
          <w:sz w:val="24"/>
          <w:szCs w:val="24"/>
        </w:rPr>
        <w:t xml:space="preserve"> the right tail is long relative to the left. As shown Table 2, the sample kurtosis is greater than normal distribution value of 3, meaning that the return series show leptokurtosis (that is, they exhibit fat tails). Positive skewness with high kurtosis would suggest the potential for large gains in this market with a low degree of probability. High Jarque</w:t>
      </w:r>
      <w:r w:rsidR="00B43C32">
        <w:rPr>
          <w:rFonts w:ascii="Times New Roman" w:hAnsi="Times New Roman" w:cs="Times New Roman"/>
          <w:sz w:val="24"/>
          <w:szCs w:val="24"/>
        </w:rPr>
        <w:t>–</w:t>
      </w:r>
      <w:r w:rsidRPr="009D4A13">
        <w:rPr>
          <w:rFonts w:ascii="Times New Roman" w:hAnsi="Times New Roman" w:cs="Times New Roman"/>
          <w:sz w:val="24"/>
          <w:szCs w:val="24"/>
        </w:rPr>
        <w:t>Bera statistic indicates non</w:t>
      </w:r>
      <w:r w:rsidR="00B43C32">
        <w:rPr>
          <w:rFonts w:ascii="Times New Roman" w:hAnsi="Times New Roman" w:cs="Times New Roman"/>
          <w:sz w:val="24"/>
          <w:szCs w:val="24"/>
        </w:rPr>
        <w:t>–</w:t>
      </w:r>
      <w:r w:rsidRPr="009D4A13">
        <w:rPr>
          <w:rFonts w:ascii="Times New Roman" w:hAnsi="Times New Roman" w:cs="Times New Roman"/>
          <w:sz w:val="24"/>
          <w:szCs w:val="24"/>
        </w:rPr>
        <w:t>normality. As an indication of ARCH, the Ljung</w:t>
      </w:r>
      <w:r w:rsidR="00B43C32">
        <w:rPr>
          <w:rFonts w:ascii="Times New Roman" w:hAnsi="Times New Roman" w:cs="Times New Roman"/>
          <w:sz w:val="24"/>
          <w:szCs w:val="24"/>
        </w:rPr>
        <w:t>–</w:t>
      </w:r>
      <w:r w:rsidRPr="009D4A13">
        <w:rPr>
          <w:rFonts w:ascii="Times New Roman" w:hAnsi="Times New Roman" w:cs="Times New Roman"/>
          <w:sz w:val="24"/>
          <w:szCs w:val="24"/>
        </w:rPr>
        <w:t xml:space="preserve">Box test statistics up to the 1st order suggest that the residuals aren’t uncorrelated but the squared residuals show autocorrelation. That is, the squared returns, a proxy for volatility, are serially correlated which are consistent with the presence of volatility clustering (large changes in exchange rates tend to be followed by further large changes, and small changes tend to be followed by further small changes) in the </w:t>
      </w:r>
      <w:proofErr w:type="gramStart"/>
      <w:r w:rsidRPr="009D4A13">
        <w:rPr>
          <w:rFonts w:ascii="Times New Roman" w:hAnsi="Times New Roman" w:cs="Times New Roman"/>
          <w:sz w:val="24"/>
          <w:szCs w:val="24"/>
        </w:rPr>
        <w:t>data</w:t>
      </w:r>
      <w:proofErr w:type="gramEnd"/>
      <w:r w:rsidRPr="009D4A13">
        <w:rPr>
          <w:rFonts w:ascii="Times New Roman" w:hAnsi="Times New Roman" w:cs="Times New Roman"/>
          <w:sz w:val="24"/>
          <w:szCs w:val="24"/>
        </w:rPr>
        <w:t xml:space="preserve">. This indicates a strong conditional heteroscedasticity, providing support for the use of GARCH models. Further, the </w:t>
      </w:r>
      <w:r w:rsidR="008930FB">
        <w:rPr>
          <w:rFonts w:ascii="Times New Roman" w:hAnsi="Times New Roman" w:cs="Times New Roman"/>
          <w:sz w:val="24"/>
          <w:szCs w:val="24"/>
          <w:lang w:eastAsia="tr-TR"/>
        </w:rPr>
        <w:t>Engle’s [43]</w:t>
      </w:r>
      <w:r w:rsidRPr="009D4A13">
        <w:rPr>
          <w:rFonts w:ascii="Times New Roman" w:hAnsi="Times New Roman" w:cs="Times New Roman"/>
          <w:sz w:val="24"/>
          <w:szCs w:val="24"/>
          <w:lang w:eastAsia="tr-TR"/>
        </w:rPr>
        <w:t xml:space="preserve"> Lagrange Multiplier (LM) test</w:t>
      </w:r>
      <w:r w:rsidRPr="009D4A13">
        <w:rPr>
          <w:rFonts w:ascii="Times New Roman" w:hAnsi="Times New Roman" w:cs="Times New Roman"/>
          <w:sz w:val="24"/>
          <w:szCs w:val="24"/>
        </w:rPr>
        <w:t xml:space="preserve"> </w:t>
      </w:r>
      <w:r w:rsidRPr="009D4A13">
        <w:rPr>
          <w:rFonts w:ascii="Times New Roman" w:hAnsi="Times New Roman" w:cs="Times New Roman"/>
          <w:sz w:val="24"/>
          <w:szCs w:val="24"/>
          <w:lang w:eastAsia="tr-TR"/>
        </w:rPr>
        <w:t xml:space="preserve">for examining the null hypothesis of homoscedasticity against the alternative hypothesis of heteroskedasticity provides evidence as to the presence of ARCH effect in this exchange rate returns </w:t>
      </w:r>
      <w:proofErr w:type="gramStart"/>
      <w:r w:rsidRPr="009D4A13">
        <w:rPr>
          <w:rFonts w:ascii="Times New Roman" w:hAnsi="Times New Roman" w:cs="Times New Roman"/>
          <w:sz w:val="24"/>
          <w:szCs w:val="24"/>
          <w:lang w:eastAsia="tr-TR"/>
        </w:rPr>
        <w:t>data</w:t>
      </w:r>
      <w:proofErr w:type="gramEnd"/>
      <w:r w:rsidRPr="009D4A13">
        <w:rPr>
          <w:rFonts w:ascii="Times New Roman" w:hAnsi="Times New Roman" w:cs="Times New Roman"/>
          <w:sz w:val="24"/>
          <w:szCs w:val="24"/>
          <w:lang w:eastAsia="tr-TR"/>
        </w:rPr>
        <w:t xml:space="preserve"> at %1 significance level.</w:t>
      </w:r>
      <w:r w:rsidRPr="009D4A13">
        <w:rPr>
          <w:rFonts w:ascii="Times New Roman" w:hAnsi="Times New Roman" w:cs="Times New Roman"/>
          <w:sz w:val="24"/>
          <w:szCs w:val="24"/>
        </w:rPr>
        <w:t xml:space="preserve"> Visual inspection of Figure 2 also clearly reveals that volatility clustering is a feature of the </w:t>
      </w:r>
      <w:proofErr w:type="gramStart"/>
      <w:r w:rsidRPr="009D4A13">
        <w:rPr>
          <w:rFonts w:ascii="Times New Roman" w:hAnsi="Times New Roman" w:cs="Times New Roman"/>
          <w:sz w:val="24"/>
          <w:szCs w:val="24"/>
        </w:rPr>
        <w:t>data</w:t>
      </w:r>
      <w:proofErr w:type="gramEnd"/>
      <w:r w:rsidRPr="009D4A13">
        <w:rPr>
          <w:rFonts w:ascii="Times New Roman" w:hAnsi="Times New Roman" w:cs="Times New Roman"/>
          <w:sz w:val="24"/>
          <w:szCs w:val="24"/>
        </w:rPr>
        <w:t>, indicating that the GARCH models will be suitable for the</w:t>
      </w:r>
      <w:r w:rsidR="004B5BC2">
        <w:rPr>
          <w:rFonts w:ascii="Times New Roman" w:hAnsi="Times New Roman" w:cs="Times New Roman"/>
          <w:sz w:val="24"/>
          <w:szCs w:val="24"/>
        </w:rPr>
        <w:t xml:space="preserve"> TRY/USD </w:t>
      </w:r>
      <w:r w:rsidRPr="009D4A13">
        <w:rPr>
          <w:rFonts w:ascii="Times New Roman" w:hAnsi="Times New Roman" w:cs="Times New Roman"/>
          <w:sz w:val="24"/>
          <w:szCs w:val="24"/>
        </w:rPr>
        <w:t xml:space="preserve">exchange rate returns. </w:t>
      </w:r>
    </w:p>
    <w:p w:rsidR="000D4CEF" w:rsidRPr="009D4A13" w:rsidRDefault="000D4CEF" w:rsidP="009D4A13">
      <w:pPr>
        <w:spacing w:after="0" w:line="240" w:lineRule="auto"/>
        <w:jc w:val="both"/>
        <w:rPr>
          <w:rFonts w:ascii="Times New Roman" w:hAnsi="Times New Roman" w:cs="Times New Roman"/>
          <w:sz w:val="24"/>
          <w:szCs w:val="24"/>
        </w:rPr>
      </w:pPr>
    </w:p>
    <w:tbl>
      <w:tblPr>
        <w:tblStyle w:val="TabloKlavuzu"/>
        <w:tblW w:w="6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304"/>
      </w:tblGrid>
      <w:tr w:rsidR="00C2738C" w:rsidRPr="009D4A13" w:rsidTr="00C13F8B">
        <w:trPr>
          <w:trHeight w:val="403"/>
          <w:jc w:val="center"/>
        </w:trPr>
        <w:tc>
          <w:tcPr>
            <w:tcW w:w="0" w:type="auto"/>
            <w:gridSpan w:val="2"/>
            <w:tcBorders>
              <w:bottom w:val="single" w:sz="4" w:space="0" w:color="auto"/>
            </w:tcBorders>
          </w:tcPr>
          <w:p w:rsidR="000D4CEF" w:rsidRDefault="000D4CEF" w:rsidP="00686AB9">
            <w:pPr>
              <w:jc w:val="center"/>
              <w:rPr>
                <w:rFonts w:ascii="Times New Roman" w:hAnsi="Times New Roman" w:cs="Times New Roman"/>
                <w:sz w:val="24"/>
                <w:szCs w:val="24"/>
              </w:rPr>
            </w:pPr>
            <w:r w:rsidRPr="009D4A13">
              <w:rPr>
                <w:rFonts w:ascii="Times New Roman" w:hAnsi="Times New Roman" w:cs="Times New Roman"/>
                <w:b/>
                <w:sz w:val="24"/>
                <w:szCs w:val="24"/>
              </w:rPr>
              <w:lastRenderedPageBreak/>
              <w:t xml:space="preserve">Table 2: </w:t>
            </w:r>
            <w:r w:rsidR="00981CC2">
              <w:rPr>
                <w:rFonts w:ascii="Times New Roman" w:hAnsi="Times New Roman" w:cs="Times New Roman"/>
                <w:sz w:val="24"/>
                <w:szCs w:val="24"/>
              </w:rPr>
              <w:t>Descriptive Statistics on</w:t>
            </w:r>
            <w:r w:rsidRPr="00C2738C">
              <w:rPr>
                <w:rFonts w:ascii="Times New Roman" w:hAnsi="Times New Roman" w:cs="Times New Roman"/>
                <w:sz w:val="24"/>
                <w:szCs w:val="24"/>
              </w:rPr>
              <w:t xml:space="preserve"> Daily Returns to the TRY/USD Exchange Rate</w:t>
            </w:r>
          </w:p>
          <w:p w:rsidR="00C13F8B" w:rsidRPr="009D4A13" w:rsidRDefault="00C13F8B" w:rsidP="00686AB9">
            <w:pPr>
              <w:jc w:val="center"/>
              <w:rPr>
                <w:rFonts w:ascii="Times New Roman" w:hAnsi="Times New Roman" w:cs="Times New Roman"/>
                <w:b/>
                <w:sz w:val="24"/>
                <w:szCs w:val="24"/>
              </w:rPr>
            </w:pPr>
          </w:p>
        </w:tc>
      </w:tr>
      <w:tr w:rsidR="00C2738C" w:rsidRPr="009D4A13" w:rsidTr="00C13F8B">
        <w:trPr>
          <w:trHeight w:val="201"/>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b/>
                <w:sz w:val="24"/>
                <w:szCs w:val="24"/>
              </w:rPr>
            </w:pPr>
            <w:r w:rsidRPr="009D4A13">
              <w:rPr>
                <w:rFonts w:ascii="Times New Roman" w:hAnsi="Times New Roman" w:cs="Times New Roman"/>
                <w:b/>
                <w:sz w:val="24"/>
                <w:szCs w:val="24"/>
              </w:rPr>
              <w:t>Mean</w:t>
            </w:r>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0.0245</w:t>
            </w:r>
          </w:p>
        </w:tc>
      </w:tr>
      <w:tr w:rsidR="00C2738C" w:rsidRPr="009D4A13" w:rsidTr="00C13F8B">
        <w:trPr>
          <w:trHeight w:val="201"/>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b/>
                <w:sz w:val="24"/>
                <w:szCs w:val="24"/>
              </w:rPr>
            </w:pPr>
            <w:r w:rsidRPr="009D4A13">
              <w:rPr>
                <w:rFonts w:ascii="Times New Roman" w:hAnsi="Times New Roman" w:cs="Times New Roman"/>
                <w:b/>
                <w:sz w:val="24"/>
                <w:szCs w:val="24"/>
              </w:rPr>
              <w:t>Maximum</w:t>
            </w:r>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3.0399</w:t>
            </w:r>
          </w:p>
        </w:tc>
      </w:tr>
      <w:tr w:rsidR="00C2738C" w:rsidRPr="009D4A13" w:rsidTr="00C13F8B">
        <w:trPr>
          <w:trHeight w:val="201"/>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b/>
                <w:sz w:val="24"/>
                <w:szCs w:val="24"/>
              </w:rPr>
            </w:pPr>
            <w:r w:rsidRPr="009D4A13">
              <w:rPr>
                <w:rFonts w:ascii="Times New Roman" w:hAnsi="Times New Roman" w:cs="Times New Roman"/>
                <w:b/>
                <w:sz w:val="24"/>
                <w:szCs w:val="24"/>
              </w:rPr>
              <w:t>Minimum</w:t>
            </w:r>
          </w:p>
        </w:tc>
        <w:tc>
          <w:tcPr>
            <w:tcW w:w="0" w:type="auto"/>
            <w:tcBorders>
              <w:top w:val="single" w:sz="4" w:space="0" w:color="auto"/>
              <w:bottom w:val="single" w:sz="4" w:space="0" w:color="auto"/>
            </w:tcBorders>
          </w:tcPr>
          <w:p w:rsidR="000D4CEF" w:rsidRPr="009D4A13" w:rsidRDefault="00B43C32" w:rsidP="00C2738C">
            <w:pPr>
              <w:jc w:val="center"/>
              <w:rPr>
                <w:rFonts w:ascii="Times New Roman" w:hAnsi="Times New Roman" w:cs="Times New Roman"/>
                <w:sz w:val="24"/>
                <w:szCs w:val="24"/>
              </w:rPr>
            </w:pPr>
            <w:r>
              <w:rPr>
                <w:rFonts w:ascii="Times New Roman" w:hAnsi="Times New Roman" w:cs="Times New Roman"/>
                <w:sz w:val="24"/>
                <w:szCs w:val="24"/>
              </w:rPr>
              <w:t>–</w:t>
            </w:r>
            <w:r w:rsidR="000D4CEF" w:rsidRPr="009D4A13">
              <w:rPr>
                <w:rFonts w:ascii="Times New Roman" w:hAnsi="Times New Roman" w:cs="Times New Roman"/>
                <w:sz w:val="24"/>
                <w:szCs w:val="24"/>
              </w:rPr>
              <w:t>3.3402</w:t>
            </w:r>
          </w:p>
        </w:tc>
      </w:tr>
      <w:tr w:rsidR="00C2738C" w:rsidRPr="009D4A13" w:rsidTr="00C13F8B">
        <w:trPr>
          <w:trHeight w:val="193"/>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b/>
                <w:sz w:val="24"/>
                <w:szCs w:val="24"/>
              </w:rPr>
            </w:pPr>
            <w:r w:rsidRPr="009D4A13">
              <w:rPr>
                <w:rFonts w:ascii="Times New Roman" w:hAnsi="Times New Roman" w:cs="Times New Roman"/>
                <w:b/>
                <w:sz w:val="24"/>
                <w:szCs w:val="24"/>
              </w:rPr>
              <w:t>Std. Deviation</w:t>
            </w:r>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0.6647</w:t>
            </w:r>
          </w:p>
        </w:tc>
      </w:tr>
      <w:tr w:rsidR="00C2738C" w:rsidRPr="009D4A13" w:rsidTr="00C13F8B">
        <w:trPr>
          <w:trHeight w:val="201"/>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b/>
                <w:sz w:val="24"/>
                <w:szCs w:val="24"/>
              </w:rPr>
            </w:pPr>
            <w:r w:rsidRPr="009D4A13">
              <w:rPr>
                <w:rFonts w:ascii="Times New Roman" w:hAnsi="Times New Roman" w:cs="Times New Roman"/>
                <w:b/>
                <w:sz w:val="24"/>
                <w:szCs w:val="24"/>
              </w:rPr>
              <w:t>Skewness</w:t>
            </w:r>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0.0136</w:t>
            </w:r>
          </w:p>
        </w:tc>
      </w:tr>
      <w:tr w:rsidR="00C2738C" w:rsidRPr="009D4A13" w:rsidTr="00C13F8B">
        <w:trPr>
          <w:trHeight w:val="201"/>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b/>
                <w:sz w:val="24"/>
                <w:szCs w:val="24"/>
              </w:rPr>
            </w:pPr>
            <w:r w:rsidRPr="009D4A13">
              <w:rPr>
                <w:rFonts w:ascii="Times New Roman" w:hAnsi="Times New Roman" w:cs="Times New Roman"/>
                <w:b/>
                <w:sz w:val="24"/>
                <w:szCs w:val="24"/>
              </w:rPr>
              <w:t>Kurtosis</w:t>
            </w:r>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5.6789</w:t>
            </w:r>
          </w:p>
        </w:tc>
      </w:tr>
      <w:tr w:rsidR="00C2738C" w:rsidRPr="009D4A13" w:rsidTr="00C13F8B">
        <w:trPr>
          <w:trHeight w:val="201"/>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b/>
                <w:sz w:val="24"/>
                <w:szCs w:val="24"/>
              </w:rPr>
            </w:pPr>
            <w:r w:rsidRPr="009D4A13">
              <w:rPr>
                <w:rFonts w:ascii="Times New Roman" w:hAnsi="Times New Roman" w:cs="Times New Roman"/>
                <w:b/>
                <w:sz w:val="24"/>
                <w:szCs w:val="24"/>
              </w:rPr>
              <w:t>Jarque</w:t>
            </w:r>
            <w:r w:rsidR="00B43C32">
              <w:rPr>
                <w:rFonts w:ascii="Times New Roman" w:hAnsi="Times New Roman" w:cs="Times New Roman"/>
                <w:b/>
                <w:sz w:val="24"/>
                <w:szCs w:val="24"/>
              </w:rPr>
              <w:t>–</w:t>
            </w:r>
            <w:r w:rsidRPr="009D4A13">
              <w:rPr>
                <w:rFonts w:ascii="Times New Roman" w:hAnsi="Times New Roman" w:cs="Times New Roman"/>
                <w:b/>
                <w:sz w:val="24"/>
                <w:szCs w:val="24"/>
              </w:rPr>
              <w:t>Bera</w:t>
            </w:r>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389.9883 (</w:t>
            </w:r>
            <w:proofErr w:type="gramStart"/>
            <w:r w:rsidRPr="009D4A13">
              <w:rPr>
                <w:rFonts w:ascii="Times New Roman" w:hAnsi="Times New Roman" w:cs="Times New Roman"/>
                <w:sz w:val="24"/>
                <w:szCs w:val="24"/>
              </w:rPr>
              <w:t>0.0000</w:t>
            </w:r>
            <w:proofErr w:type="gramEnd"/>
            <w:r w:rsidRPr="009D4A13">
              <w:rPr>
                <w:rFonts w:ascii="Times New Roman" w:hAnsi="Times New Roman" w:cs="Times New Roman"/>
                <w:sz w:val="24"/>
                <w:szCs w:val="24"/>
              </w:rPr>
              <w:t>)</w:t>
            </w:r>
          </w:p>
        </w:tc>
      </w:tr>
      <w:tr w:rsidR="00C2738C" w:rsidRPr="009D4A13" w:rsidTr="00C13F8B">
        <w:trPr>
          <w:trHeight w:val="201"/>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b/>
                <w:sz w:val="24"/>
                <w:szCs w:val="24"/>
              </w:rPr>
            </w:pPr>
            <m:oMathPara>
              <m:oMath>
                <m:r>
                  <m:rPr>
                    <m:sty m:val="bi"/>
                  </m:rPr>
                  <w:rPr>
                    <w:rFonts w:ascii="Cambria Math" w:hAnsi="Cambria Math" w:cs="Times New Roman"/>
                    <w:sz w:val="24"/>
                    <w:szCs w:val="24"/>
                  </w:rPr>
                  <m:t>Q(1)</m:t>
                </m:r>
              </m:oMath>
            </m:oMathPara>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0.0929 (0.761)</w:t>
            </w:r>
          </w:p>
        </w:tc>
      </w:tr>
      <w:tr w:rsidR="00C2738C" w:rsidRPr="009D4A13" w:rsidTr="00C13F8B">
        <w:trPr>
          <w:trHeight w:val="210"/>
          <w:jc w:val="center"/>
        </w:trPr>
        <w:tc>
          <w:tcPr>
            <w:tcW w:w="0" w:type="auto"/>
            <w:tcBorders>
              <w:top w:val="single" w:sz="4" w:space="0" w:color="auto"/>
              <w:bottom w:val="single" w:sz="4" w:space="0" w:color="auto"/>
            </w:tcBorders>
          </w:tcPr>
          <w:p w:rsidR="000D4CEF" w:rsidRPr="009D4A13" w:rsidRDefault="00B70A60" w:rsidP="00C2738C">
            <w:pPr>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Q</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(1)</m:t>
                </m:r>
              </m:oMath>
            </m:oMathPara>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33.506 (0.000)</w:t>
            </w:r>
          </w:p>
        </w:tc>
      </w:tr>
      <w:tr w:rsidR="00C2738C" w:rsidRPr="009D4A13" w:rsidTr="00C13F8B">
        <w:trPr>
          <w:trHeight w:val="201"/>
          <w:jc w:val="center"/>
        </w:trPr>
        <w:tc>
          <w:tcPr>
            <w:tcW w:w="0" w:type="auto"/>
            <w:tcBorders>
              <w:top w:val="single" w:sz="4" w:space="0" w:color="auto"/>
              <w:bottom w:val="single" w:sz="4" w:space="0" w:color="auto"/>
            </w:tcBorders>
          </w:tcPr>
          <w:p w:rsidR="000D4CEF" w:rsidRPr="009D4A13" w:rsidRDefault="000D4CEF" w:rsidP="00C2738C">
            <w:pPr>
              <w:jc w:val="center"/>
              <w:rPr>
                <w:rFonts w:ascii="Times New Roman" w:eastAsia="Calibri" w:hAnsi="Times New Roman" w:cs="Times New Roman"/>
                <w:b/>
                <w:sz w:val="24"/>
                <w:szCs w:val="24"/>
              </w:rPr>
            </w:pPr>
            <w:r w:rsidRPr="009D4A13">
              <w:rPr>
                <w:rFonts w:ascii="Times New Roman" w:eastAsia="Calibri" w:hAnsi="Times New Roman" w:cs="Times New Roman"/>
                <w:b/>
                <w:sz w:val="24"/>
                <w:szCs w:val="24"/>
              </w:rPr>
              <w:t>ARCH</w:t>
            </w:r>
            <w:r w:rsidR="00B43C32">
              <w:rPr>
                <w:rFonts w:ascii="Times New Roman" w:eastAsia="Calibri" w:hAnsi="Times New Roman" w:cs="Times New Roman"/>
                <w:b/>
                <w:sz w:val="24"/>
                <w:szCs w:val="24"/>
              </w:rPr>
              <w:t>–</w:t>
            </w:r>
            <w:r w:rsidRPr="009D4A13">
              <w:rPr>
                <w:rFonts w:ascii="Times New Roman" w:eastAsia="Calibri" w:hAnsi="Times New Roman" w:cs="Times New Roman"/>
                <w:b/>
                <w:sz w:val="24"/>
                <w:szCs w:val="24"/>
              </w:rPr>
              <w:t>LM (1)</w:t>
            </w:r>
          </w:p>
        </w:tc>
        <w:tc>
          <w:tcPr>
            <w:tcW w:w="0" w:type="auto"/>
            <w:tcBorders>
              <w:top w:val="single" w:sz="4" w:space="0" w:color="auto"/>
              <w:bottom w:val="single" w:sz="4" w:space="0" w:color="auto"/>
            </w:tcBorders>
          </w:tcPr>
          <w:p w:rsidR="000D4CEF" w:rsidRPr="009D4A13" w:rsidRDefault="000D4CEF" w:rsidP="00C2738C">
            <w:pPr>
              <w:jc w:val="center"/>
              <w:rPr>
                <w:rFonts w:ascii="Times New Roman" w:hAnsi="Times New Roman" w:cs="Times New Roman"/>
                <w:sz w:val="24"/>
                <w:szCs w:val="24"/>
              </w:rPr>
            </w:pPr>
            <w:r w:rsidRPr="009D4A13">
              <w:rPr>
                <w:rFonts w:ascii="Times New Roman" w:hAnsi="Times New Roman" w:cs="Times New Roman"/>
                <w:sz w:val="24"/>
                <w:szCs w:val="24"/>
              </w:rPr>
              <w:t>41.999 (</w:t>
            </w:r>
            <w:proofErr w:type="gramStart"/>
            <w:r w:rsidRPr="009D4A13">
              <w:rPr>
                <w:rFonts w:ascii="Times New Roman" w:hAnsi="Times New Roman" w:cs="Times New Roman"/>
                <w:sz w:val="24"/>
                <w:szCs w:val="24"/>
              </w:rPr>
              <w:t>0.0000</w:t>
            </w:r>
            <w:proofErr w:type="gramEnd"/>
            <w:r w:rsidRPr="009D4A13">
              <w:rPr>
                <w:rFonts w:ascii="Times New Roman" w:hAnsi="Times New Roman" w:cs="Times New Roman"/>
                <w:sz w:val="24"/>
                <w:szCs w:val="24"/>
              </w:rPr>
              <w:t>)</w:t>
            </w:r>
          </w:p>
        </w:tc>
      </w:tr>
      <w:tr w:rsidR="00C2738C" w:rsidRPr="009D4A13" w:rsidTr="00C13F8B">
        <w:trPr>
          <w:trHeight w:val="411"/>
          <w:jc w:val="center"/>
        </w:trPr>
        <w:tc>
          <w:tcPr>
            <w:tcW w:w="0" w:type="auto"/>
            <w:gridSpan w:val="2"/>
            <w:tcBorders>
              <w:top w:val="single" w:sz="4" w:space="0" w:color="auto"/>
              <w:bottom w:val="single" w:sz="4" w:space="0" w:color="auto"/>
            </w:tcBorders>
          </w:tcPr>
          <w:p w:rsidR="000D4CEF" w:rsidRPr="009D4A13" w:rsidRDefault="000D4CEF" w:rsidP="009D4A13">
            <w:pPr>
              <w:jc w:val="both"/>
              <w:rPr>
                <w:rFonts w:ascii="Times New Roman" w:hAnsi="Times New Roman" w:cs="Times New Roman"/>
                <w:sz w:val="24"/>
                <w:szCs w:val="24"/>
              </w:rPr>
            </w:pPr>
            <w:r w:rsidRPr="00C2738C">
              <w:rPr>
                <w:rFonts w:ascii="Times New Roman" w:hAnsi="Times New Roman" w:cs="Times New Roman"/>
                <w:b/>
                <w:sz w:val="24"/>
                <w:szCs w:val="24"/>
              </w:rPr>
              <w:t>Notes:</w:t>
            </w:r>
            <w:r w:rsidRPr="009D4A13">
              <w:rPr>
                <w:rFonts w:ascii="Times New Roman" w:hAnsi="Times New Roman" w:cs="Times New Roman"/>
                <w:sz w:val="24"/>
                <w:szCs w:val="24"/>
              </w:rPr>
              <w:t xml:space="preserve"> Numbers in brackets are the </w:t>
            </w:r>
            <m:oMath>
              <m:r>
                <w:rPr>
                  <w:rFonts w:ascii="Cambria Math" w:hAnsi="Cambria Math" w:cs="Times New Roman"/>
                  <w:sz w:val="24"/>
                  <w:szCs w:val="24"/>
                </w:rPr>
                <m:t>p</m:t>
              </m:r>
            </m:oMath>
            <w:r w:rsidR="00B43C32">
              <w:rPr>
                <w:rFonts w:ascii="Times New Roman" w:hAnsi="Times New Roman" w:cs="Times New Roman"/>
                <w:sz w:val="24"/>
                <w:szCs w:val="24"/>
              </w:rPr>
              <w:t>–</w:t>
            </w:r>
            <w:r w:rsidRPr="009D4A13">
              <w:rPr>
                <w:rFonts w:ascii="Times New Roman" w:hAnsi="Times New Roman" w:cs="Times New Roman"/>
                <w:sz w:val="24"/>
                <w:szCs w:val="24"/>
              </w:rPr>
              <w:t xml:space="preserve">values. </w:t>
            </w:r>
            <m:oMath>
              <m:r>
                <w:rPr>
                  <w:rFonts w:ascii="Cambria Math" w:hAnsi="Cambria Math" w:cs="Times New Roman"/>
                  <w:sz w:val="24"/>
                  <w:szCs w:val="24"/>
                </w:rPr>
                <m:t>Q(1)</m:t>
              </m:r>
            </m:oMath>
            <w:r w:rsidRPr="009D4A13">
              <w:rPr>
                <w:rFonts w:ascii="Times New Roman" w:eastAsiaTheme="minorEastAsia"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2</m:t>
                  </m:r>
                </m:sup>
              </m:sSup>
              <m:r>
                <w:rPr>
                  <w:rFonts w:ascii="Cambria Math" w:hAnsi="Cambria Math" w:cs="Times New Roman"/>
                  <w:sz w:val="24"/>
                  <w:szCs w:val="24"/>
                </w:rPr>
                <m:t>(1)</m:t>
              </m:r>
            </m:oMath>
            <w:r w:rsidRPr="009D4A13">
              <w:rPr>
                <w:rFonts w:ascii="Times New Roman" w:eastAsiaTheme="minorEastAsia" w:hAnsi="Times New Roman" w:cs="Times New Roman"/>
                <w:sz w:val="24"/>
                <w:szCs w:val="24"/>
              </w:rPr>
              <w:t xml:space="preserve"> are the </w:t>
            </w:r>
            <m:oMath>
              <m:r>
                <w:rPr>
                  <w:rFonts w:ascii="Cambria Math" w:eastAsiaTheme="minorEastAsia" w:hAnsi="Cambria Math" w:cs="Times New Roman"/>
                  <w:sz w:val="24"/>
                  <w:szCs w:val="24"/>
                </w:rPr>
                <m:t>Q</m:t>
              </m:r>
            </m:oMath>
            <w:r w:rsidRPr="009D4A13">
              <w:rPr>
                <w:rFonts w:ascii="Times New Roman" w:eastAsiaTheme="minorEastAsia" w:hAnsi="Times New Roman" w:cs="Times New Roman"/>
                <w:sz w:val="24"/>
                <w:szCs w:val="24"/>
              </w:rPr>
              <w:t xml:space="preserve"> statistics for the Ljung</w:t>
            </w:r>
            <w:r w:rsidR="00B43C32">
              <w:rPr>
                <w:rFonts w:ascii="Times New Roman" w:eastAsiaTheme="minorEastAsia" w:hAnsi="Times New Roman" w:cs="Times New Roman"/>
                <w:sz w:val="24"/>
                <w:szCs w:val="24"/>
              </w:rPr>
              <w:t>–</w:t>
            </w:r>
            <w:r w:rsidRPr="009D4A13">
              <w:rPr>
                <w:rFonts w:ascii="Times New Roman" w:eastAsiaTheme="minorEastAsia" w:hAnsi="Times New Roman" w:cs="Times New Roman"/>
                <w:sz w:val="24"/>
                <w:szCs w:val="24"/>
              </w:rPr>
              <w:t>Box test.</w:t>
            </w:r>
          </w:p>
        </w:tc>
      </w:tr>
    </w:tbl>
    <w:p w:rsidR="000D4CEF" w:rsidRDefault="000D4CEF" w:rsidP="009D4A13">
      <w:pPr>
        <w:spacing w:after="0" w:line="240" w:lineRule="auto"/>
        <w:jc w:val="both"/>
        <w:rPr>
          <w:rFonts w:ascii="Times New Roman" w:hAnsi="Times New Roman" w:cs="Times New Roman"/>
          <w:sz w:val="24"/>
          <w:szCs w:val="24"/>
        </w:rPr>
      </w:pPr>
    </w:p>
    <w:p w:rsidR="00C2738C" w:rsidRDefault="00C2738C" w:rsidP="009D4A13">
      <w:pPr>
        <w:spacing w:after="0" w:line="240" w:lineRule="auto"/>
        <w:jc w:val="both"/>
        <w:rPr>
          <w:rFonts w:ascii="Times New Roman" w:hAnsi="Times New Roman" w:cs="Times New Roman"/>
          <w:b/>
          <w:sz w:val="24"/>
          <w:szCs w:val="24"/>
        </w:rPr>
      </w:pPr>
    </w:p>
    <w:p w:rsidR="000D4CEF" w:rsidRPr="009D4A13" w:rsidRDefault="000D4CEF" w:rsidP="00C2738C">
      <w:pPr>
        <w:spacing w:after="0" w:line="240" w:lineRule="auto"/>
        <w:jc w:val="center"/>
        <w:rPr>
          <w:rFonts w:ascii="Times New Roman" w:hAnsi="Times New Roman" w:cs="Times New Roman"/>
          <w:b/>
          <w:sz w:val="24"/>
          <w:szCs w:val="24"/>
        </w:rPr>
      </w:pPr>
      <w:r w:rsidRPr="009D4A13">
        <w:rPr>
          <w:rFonts w:ascii="Times New Roman" w:hAnsi="Times New Roman" w:cs="Times New Roman"/>
          <w:b/>
          <w:sz w:val="24"/>
          <w:szCs w:val="24"/>
        </w:rPr>
        <w:t xml:space="preserve">Figure 2: </w:t>
      </w:r>
      <w:r w:rsidRPr="00C2738C">
        <w:rPr>
          <w:rFonts w:ascii="Times New Roman" w:hAnsi="Times New Roman" w:cs="Times New Roman"/>
          <w:sz w:val="24"/>
          <w:szCs w:val="24"/>
        </w:rPr>
        <w:t>TRY/USD Exchange Rate Returns and Volatility</w:t>
      </w:r>
    </w:p>
    <w:p w:rsidR="000D4CEF" w:rsidRPr="009D4A13" w:rsidRDefault="000D4CEF" w:rsidP="00C2738C">
      <w:pPr>
        <w:spacing w:after="0" w:line="240" w:lineRule="auto"/>
        <w:jc w:val="center"/>
        <w:rPr>
          <w:rFonts w:ascii="Times New Roman" w:hAnsi="Times New Roman" w:cs="Times New Roman"/>
          <w:sz w:val="24"/>
          <w:szCs w:val="24"/>
        </w:rPr>
      </w:pPr>
      <w:r w:rsidRPr="009D4A13">
        <w:rPr>
          <w:rFonts w:ascii="Times New Roman" w:hAnsi="Times New Roman" w:cs="Times New Roman"/>
          <w:noProof/>
          <w:sz w:val="24"/>
          <w:szCs w:val="24"/>
          <w:lang w:eastAsia="tr-TR"/>
        </w:rPr>
        <w:drawing>
          <wp:inline distT="0" distB="0" distL="0" distR="0" wp14:anchorId="18295A6B" wp14:editId="057E8368">
            <wp:extent cx="3962400" cy="3197412"/>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63734" cy="3198488"/>
                    </a:xfrm>
                    <a:prstGeom prst="rect">
                      <a:avLst/>
                    </a:prstGeom>
                    <a:noFill/>
                    <a:ln>
                      <a:noFill/>
                    </a:ln>
                  </pic:spPr>
                </pic:pic>
              </a:graphicData>
            </a:graphic>
          </wp:inline>
        </w:drawing>
      </w:r>
    </w:p>
    <w:p w:rsidR="00B94C3F" w:rsidRDefault="00686AB9" w:rsidP="009D4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w:t>
      </w:r>
      <w:r w:rsidR="00B94C3F" w:rsidRPr="009D4A13">
        <w:rPr>
          <w:rFonts w:ascii="Times New Roman" w:hAnsi="Times New Roman" w:cs="Times New Roman"/>
          <w:sz w:val="24"/>
          <w:szCs w:val="24"/>
        </w:rPr>
        <w:t xml:space="preserve"> it is investigated the stationary properties of the TRY/U</w:t>
      </w:r>
      <w:r w:rsidR="004B5BC2">
        <w:rPr>
          <w:rFonts w:ascii="Times New Roman" w:hAnsi="Times New Roman" w:cs="Times New Roman"/>
          <w:sz w:val="24"/>
          <w:szCs w:val="24"/>
        </w:rPr>
        <w:t>SD exchange rate and Turkey CDS prices.</w:t>
      </w:r>
      <w:r w:rsidR="00B94C3F" w:rsidRPr="009D4A13">
        <w:rPr>
          <w:rFonts w:ascii="Times New Roman" w:hAnsi="Times New Roman" w:cs="Times New Roman"/>
          <w:sz w:val="24"/>
          <w:szCs w:val="24"/>
        </w:rPr>
        <w:t xml:space="preserve"> The results from the ADF</w:t>
      </w:r>
      <w:r w:rsidR="00981CC2">
        <w:rPr>
          <w:rFonts w:ascii="Times New Roman" w:hAnsi="Times New Roman" w:cs="Times New Roman"/>
          <w:sz w:val="24"/>
          <w:szCs w:val="24"/>
        </w:rPr>
        <w:t xml:space="preserve"> (Augmented Dickey-Fuller)</w:t>
      </w:r>
      <w:r w:rsidR="00B94C3F" w:rsidRPr="009D4A13">
        <w:rPr>
          <w:rFonts w:ascii="Times New Roman" w:hAnsi="Times New Roman" w:cs="Times New Roman"/>
          <w:sz w:val="24"/>
          <w:szCs w:val="24"/>
        </w:rPr>
        <w:t xml:space="preserve">, PP </w:t>
      </w:r>
      <w:r w:rsidR="00981CC2">
        <w:rPr>
          <w:rFonts w:ascii="Times New Roman" w:hAnsi="Times New Roman" w:cs="Times New Roman"/>
          <w:sz w:val="24"/>
          <w:szCs w:val="24"/>
        </w:rPr>
        <w:t xml:space="preserve">(Phillips-Perron) </w:t>
      </w:r>
      <w:r w:rsidR="00B94C3F" w:rsidRPr="009D4A13">
        <w:rPr>
          <w:rFonts w:ascii="Times New Roman" w:hAnsi="Times New Roman" w:cs="Times New Roman"/>
          <w:sz w:val="24"/>
          <w:szCs w:val="24"/>
        </w:rPr>
        <w:t xml:space="preserve">and </w:t>
      </w:r>
      <w:r w:rsidR="00B94C3F" w:rsidRPr="00C55359">
        <w:rPr>
          <w:rFonts w:ascii="Times New Roman" w:hAnsi="Times New Roman" w:cs="Times New Roman"/>
          <w:sz w:val="24"/>
          <w:szCs w:val="24"/>
        </w:rPr>
        <w:t xml:space="preserve">KPSS </w:t>
      </w:r>
      <w:r w:rsidR="00C55359" w:rsidRPr="00C55359">
        <w:rPr>
          <w:rFonts w:ascii="Times New Roman" w:hAnsi="Times New Roman" w:cs="Times New Roman"/>
          <w:sz w:val="24"/>
          <w:szCs w:val="24"/>
        </w:rPr>
        <w:t>(</w:t>
      </w:r>
      <w:r w:rsidR="00C55359" w:rsidRPr="00C55359">
        <w:rPr>
          <w:rStyle w:val="st1"/>
          <w:rFonts w:ascii="Times New Roman" w:hAnsi="Times New Roman" w:cs="Times New Roman"/>
          <w:sz w:val="24"/>
          <w:szCs w:val="24"/>
        </w:rPr>
        <w:t>Kwiatkowski–Phillips–Schmidt–Shin</w:t>
      </w:r>
      <w:r w:rsidR="00C55359" w:rsidRPr="00C55359">
        <w:rPr>
          <w:rStyle w:val="st1"/>
          <w:rFonts w:ascii="Times New Roman" w:hAnsi="Times New Roman" w:cs="Times New Roman"/>
          <w:sz w:val="24"/>
          <w:szCs w:val="24"/>
        </w:rPr>
        <w:t>)</w:t>
      </w:r>
      <w:r w:rsidR="00C55359" w:rsidRPr="00C55359">
        <w:rPr>
          <w:rFonts w:ascii="Times New Roman" w:hAnsi="Times New Roman" w:cs="Times New Roman"/>
          <w:sz w:val="24"/>
          <w:szCs w:val="24"/>
        </w:rPr>
        <w:t xml:space="preserve"> </w:t>
      </w:r>
      <w:r w:rsidR="00B94C3F" w:rsidRPr="009D4A13">
        <w:rPr>
          <w:rFonts w:ascii="Times New Roman" w:hAnsi="Times New Roman" w:cs="Times New Roman"/>
          <w:sz w:val="24"/>
          <w:szCs w:val="24"/>
        </w:rPr>
        <w:t xml:space="preserve">stationarity tests, with and without a </w:t>
      </w:r>
      <w:proofErr w:type="gramStart"/>
      <w:r w:rsidR="00B94C3F" w:rsidRPr="009D4A13">
        <w:rPr>
          <w:rFonts w:ascii="Times New Roman" w:hAnsi="Times New Roman" w:cs="Times New Roman"/>
          <w:sz w:val="24"/>
          <w:szCs w:val="24"/>
        </w:rPr>
        <w:t>trend</w:t>
      </w:r>
      <w:proofErr w:type="gramEnd"/>
      <w:r w:rsidR="00B94C3F" w:rsidRPr="009D4A13">
        <w:rPr>
          <w:rFonts w:ascii="Times New Roman" w:hAnsi="Times New Roman" w:cs="Times New Roman"/>
          <w:sz w:val="24"/>
          <w:szCs w:val="24"/>
        </w:rPr>
        <w:t>, are provided in Table 3. All the</w:t>
      </w:r>
      <w:r w:rsidR="004B5BC2">
        <w:rPr>
          <w:rFonts w:ascii="Times New Roman" w:hAnsi="Times New Roman" w:cs="Times New Roman"/>
          <w:sz w:val="24"/>
          <w:szCs w:val="24"/>
        </w:rPr>
        <w:t>se</w:t>
      </w:r>
      <w:r w:rsidR="00B94C3F" w:rsidRPr="009D4A13">
        <w:rPr>
          <w:rFonts w:ascii="Times New Roman" w:hAnsi="Times New Roman" w:cs="Times New Roman"/>
          <w:sz w:val="24"/>
          <w:szCs w:val="24"/>
        </w:rPr>
        <w:t xml:space="preserve"> tests unable to reject the null of a unit root both in the </w:t>
      </w:r>
      <w:r w:rsidR="004B5BC2">
        <w:rPr>
          <w:rFonts w:ascii="Times New Roman" w:hAnsi="Times New Roman" w:cs="Times New Roman"/>
          <w:sz w:val="24"/>
          <w:szCs w:val="24"/>
        </w:rPr>
        <w:t xml:space="preserve">two </w:t>
      </w:r>
      <w:r w:rsidR="00B94C3F" w:rsidRPr="009D4A13">
        <w:rPr>
          <w:rFonts w:ascii="Times New Roman" w:hAnsi="Times New Roman" w:cs="Times New Roman"/>
          <w:sz w:val="24"/>
          <w:szCs w:val="24"/>
        </w:rPr>
        <w:t>series at the 1% level of significance. This evidence about the non</w:t>
      </w:r>
      <w:r w:rsidR="00B43C32">
        <w:rPr>
          <w:rFonts w:ascii="Times New Roman" w:hAnsi="Times New Roman" w:cs="Times New Roman"/>
          <w:sz w:val="24"/>
          <w:szCs w:val="24"/>
        </w:rPr>
        <w:t>–</w:t>
      </w:r>
      <w:r w:rsidR="00B94C3F" w:rsidRPr="009D4A13">
        <w:rPr>
          <w:rFonts w:ascii="Times New Roman" w:hAnsi="Times New Roman" w:cs="Times New Roman"/>
          <w:sz w:val="24"/>
          <w:szCs w:val="24"/>
        </w:rPr>
        <w:t>stationary time series property of the TRY/USD exchange rate and the Turkey CDS affirms the use of the first difference of the logarithm of the variables. It is noted that the TRY/USD foreign exchange rate returns are stationary.</w:t>
      </w:r>
    </w:p>
    <w:p w:rsidR="00916667" w:rsidRDefault="00916667" w:rsidP="009D4A13">
      <w:pPr>
        <w:spacing w:after="0" w:line="240" w:lineRule="auto"/>
        <w:jc w:val="both"/>
        <w:rPr>
          <w:rFonts w:ascii="Times New Roman" w:hAnsi="Times New Roman" w:cs="Times New Roman"/>
          <w:sz w:val="24"/>
          <w:szCs w:val="24"/>
        </w:rPr>
      </w:pPr>
    </w:p>
    <w:p w:rsidR="00916667" w:rsidRDefault="00916667" w:rsidP="009D4A13">
      <w:pPr>
        <w:spacing w:after="0" w:line="240" w:lineRule="auto"/>
        <w:jc w:val="both"/>
        <w:rPr>
          <w:rFonts w:ascii="Times New Roman" w:hAnsi="Times New Roman" w:cs="Times New Roman"/>
          <w:sz w:val="24"/>
          <w:szCs w:val="24"/>
        </w:rPr>
      </w:pPr>
    </w:p>
    <w:p w:rsidR="00916667" w:rsidRDefault="00916667" w:rsidP="009D4A13">
      <w:pPr>
        <w:spacing w:after="0" w:line="240" w:lineRule="auto"/>
        <w:jc w:val="both"/>
        <w:rPr>
          <w:rFonts w:ascii="Times New Roman" w:hAnsi="Times New Roman" w:cs="Times New Roman"/>
          <w:sz w:val="24"/>
          <w:szCs w:val="24"/>
        </w:rPr>
      </w:pPr>
    </w:p>
    <w:p w:rsidR="00916667" w:rsidRDefault="00916667" w:rsidP="009D4A13">
      <w:pPr>
        <w:spacing w:after="0" w:line="240" w:lineRule="auto"/>
        <w:jc w:val="both"/>
        <w:rPr>
          <w:rFonts w:ascii="Times New Roman" w:hAnsi="Times New Roman" w:cs="Times New Roman"/>
          <w:sz w:val="24"/>
          <w:szCs w:val="24"/>
        </w:rPr>
      </w:pPr>
    </w:p>
    <w:p w:rsidR="00686AB9" w:rsidRPr="009D4A13" w:rsidRDefault="00686AB9" w:rsidP="009D4A13">
      <w:pPr>
        <w:spacing w:after="0" w:line="240" w:lineRule="auto"/>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C13F8B" w:rsidRPr="009D4A13" w:rsidTr="00C13F8B">
        <w:trPr>
          <w:jc w:val="center"/>
        </w:trPr>
        <w:tc>
          <w:tcPr>
            <w:tcW w:w="9212" w:type="dxa"/>
            <w:gridSpan w:val="5"/>
            <w:tcBorders>
              <w:bottom w:val="single" w:sz="4" w:space="0" w:color="auto"/>
            </w:tcBorders>
          </w:tcPr>
          <w:p w:rsidR="00B94C3F" w:rsidRDefault="00B94C3F" w:rsidP="00686AB9">
            <w:pPr>
              <w:jc w:val="center"/>
              <w:rPr>
                <w:rFonts w:ascii="Times New Roman" w:hAnsi="Times New Roman" w:cs="Times New Roman"/>
                <w:sz w:val="24"/>
                <w:szCs w:val="24"/>
              </w:rPr>
            </w:pPr>
            <w:r w:rsidRPr="009D4A13">
              <w:rPr>
                <w:rFonts w:ascii="Times New Roman" w:hAnsi="Times New Roman" w:cs="Times New Roman"/>
                <w:b/>
                <w:sz w:val="24"/>
                <w:szCs w:val="24"/>
              </w:rPr>
              <w:lastRenderedPageBreak/>
              <w:t xml:space="preserve">Table 3: </w:t>
            </w:r>
            <w:r w:rsidRPr="00686AB9">
              <w:rPr>
                <w:rFonts w:ascii="Times New Roman" w:hAnsi="Times New Roman" w:cs="Times New Roman"/>
                <w:sz w:val="24"/>
                <w:szCs w:val="24"/>
              </w:rPr>
              <w:t>Unit Root Test Results</w:t>
            </w:r>
          </w:p>
          <w:p w:rsidR="00C13F8B" w:rsidRPr="009D4A13" w:rsidRDefault="00C13F8B" w:rsidP="00686AB9">
            <w:pPr>
              <w:jc w:val="center"/>
              <w:rPr>
                <w:rFonts w:ascii="Times New Roman" w:hAnsi="Times New Roman" w:cs="Times New Roman"/>
                <w:b/>
                <w:sz w:val="24"/>
                <w:szCs w:val="24"/>
              </w:rPr>
            </w:pPr>
          </w:p>
        </w:tc>
      </w:tr>
      <w:tr w:rsidR="00C13F8B" w:rsidRPr="009D4A13" w:rsidTr="00C13F8B">
        <w:trPr>
          <w:jc w:val="center"/>
        </w:trPr>
        <w:tc>
          <w:tcPr>
            <w:tcW w:w="1842" w:type="dxa"/>
            <w:tcBorders>
              <w:top w:val="single" w:sz="4" w:space="0" w:color="auto"/>
              <w:bottom w:val="single" w:sz="4" w:space="0" w:color="auto"/>
            </w:tcBorders>
          </w:tcPr>
          <w:p w:rsidR="00B94C3F" w:rsidRPr="009D4A13" w:rsidRDefault="00B94C3F" w:rsidP="00686AB9">
            <w:pPr>
              <w:jc w:val="center"/>
              <w:rPr>
                <w:rFonts w:ascii="Times New Roman" w:hAnsi="Times New Roman" w:cs="Times New Roman"/>
                <w:b/>
                <w:sz w:val="24"/>
                <w:szCs w:val="24"/>
              </w:rPr>
            </w:pPr>
          </w:p>
        </w:tc>
        <w:tc>
          <w:tcPr>
            <w:tcW w:w="3684" w:type="dxa"/>
            <w:gridSpan w:val="2"/>
            <w:tcBorders>
              <w:top w:val="single" w:sz="4" w:space="0" w:color="auto"/>
              <w:bottom w:val="single" w:sz="4" w:space="0" w:color="auto"/>
            </w:tcBorders>
          </w:tcPr>
          <w:p w:rsidR="00B94C3F" w:rsidRPr="009D4A13" w:rsidRDefault="00B94C3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No Trend</w:t>
            </w:r>
          </w:p>
        </w:tc>
        <w:tc>
          <w:tcPr>
            <w:tcW w:w="3686" w:type="dxa"/>
            <w:gridSpan w:val="2"/>
            <w:tcBorders>
              <w:top w:val="single" w:sz="4" w:space="0" w:color="auto"/>
              <w:bottom w:val="single" w:sz="4" w:space="0" w:color="auto"/>
            </w:tcBorders>
          </w:tcPr>
          <w:p w:rsidR="00B94C3F" w:rsidRPr="009D4A13" w:rsidRDefault="00B94C3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Trend</w:t>
            </w:r>
          </w:p>
        </w:tc>
      </w:tr>
      <w:tr w:rsidR="00C13F8B" w:rsidRPr="009D4A13" w:rsidTr="00C13F8B">
        <w:trPr>
          <w:jc w:val="center"/>
        </w:trPr>
        <w:tc>
          <w:tcPr>
            <w:tcW w:w="1842" w:type="dxa"/>
            <w:tcBorders>
              <w:top w:val="single" w:sz="4" w:space="0" w:color="auto"/>
              <w:bottom w:val="single" w:sz="4" w:space="0" w:color="auto"/>
            </w:tcBorders>
          </w:tcPr>
          <w:p w:rsidR="00B94C3F" w:rsidRPr="009D4A13" w:rsidRDefault="00B94C3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Variables</w:t>
            </w:r>
          </w:p>
        </w:tc>
        <w:tc>
          <w:tcPr>
            <w:tcW w:w="1842" w:type="dxa"/>
            <w:tcBorders>
              <w:top w:val="single" w:sz="4" w:space="0" w:color="auto"/>
              <w:bottom w:val="single" w:sz="4" w:space="0" w:color="auto"/>
            </w:tcBorders>
          </w:tcPr>
          <w:p w:rsidR="00B94C3F" w:rsidRPr="009D4A13" w:rsidRDefault="00B94C3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Test Statistic</w:t>
            </w:r>
          </w:p>
        </w:tc>
        <w:tc>
          <w:tcPr>
            <w:tcW w:w="1842" w:type="dxa"/>
            <w:tcBorders>
              <w:top w:val="single" w:sz="4" w:space="0" w:color="auto"/>
              <w:bottom w:val="single" w:sz="4" w:space="0" w:color="auto"/>
            </w:tcBorders>
          </w:tcPr>
          <w:p w:rsidR="00B94C3F" w:rsidRPr="009D4A13" w:rsidRDefault="00B94C3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1% Critical Value</w:t>
            </w:r>
          </w:p>
        </w:tc>
        <w:tc>
          <w:tcPr>
            <w:tcW w:w="1843" w:type="dxa"/>
            <w:tcBorders>
              <w:top w:val="single" w:sz="4" w:space="0" w:color="auto"/>
              <w:bottom w:val="single" w:sz="4" w:space="0" w:color="auto"/>
            </w:tcBorders>
          </w:tcPr>
          <w:p w:rsidR="00B94C3F" w:rsidRPr="009D4A13" w:rsidRDefault="00B94C3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Test Statistic</w:t>
            </w:r>
          </w:p>
        </w:tc>
        <w:tc>
          <w:tcPr>
            <w:tcW w:w="1843" w:type="dxa"/>
            <w:tcBorders>
              <w:top w:val="single" w:sz="4" w:space="0" w:color="auto"/>
              <w:bottom w:val="single" w:sz="4" w:space="0" w:color="auto"/>
            </w:tcBorders>
          </w:tcPr>
          <w:p w:rsidR="00B94C3F" w:rsidRPr="009D4A13" w:rsidRDefault="00B94C3F" w:rsidP="00686AB9">
            <w:pPr>
              <w:jc w:val="center"/>
              <w:rPr>
                <w:rFonts w:ascii="Times New Roman" w:hAnsi="Times New Roman" w:cs="Times New Roman"/>
                <w:b/>
                <w:sz w:val="24"/>
                <w:szCs w:val="24"/>
              </w:rPr>
            </w:pPr>
            <w:r w:rsidRPr="009D4A13">
              <w:rPr>
                <w:rFonts w:ascii="Times New Roman" w:hAnsi="Times New Roman" w:cs="Times New Roman"/>
                <w:b/>
                <w:sz w:val="24"/>
                <w:szCs w:val="24"/>
              </w:rPr>
              <w:t>1% Critical Value</w:t>
            </w:r>
          </w:p>
        </w:tc>
      </w:tr>
      <w:tr w:rsidR="005E1F57" w:rsidRPr="009D4A13" w:rsidTr="001A0151">
        <w:trPr>
          <w:jc w:val="center"/>
        </w:trPr>
        <w:tc>
          <w:tcPr>
            <w:tcW w:w="9212" w:type="dxa"/>
            <w:gridSpan w:val="5"/>
            <w:tcBorders>
              <w:top w:val="single" w:sz="4" w:space="0" w:color="auto"/>
              <w:bottom w:val="single" w:sz="4" w:space="0" w:color="auto"/>
            </w:tcBorders>
          </w:tcPr>
          <w:p w:rsidR="005E1F57" w:rsidRPr="009D4A13" w:rsidRDefault="005E1F57" w:rsidP="00686AB9">
            <w:pPr>
              <w:jc w:val="center"/>
              <w:rPr>
                <w:rFonts w:ascii="Times New Roman" w:hAnsi="Times New Roman" w:cs="Times New Roman"/>
                <w:b/>
                <w:sz w:val="24"/>
                <w:szCs w:val="24"/>
              </w:rPr>
            </w:pPr>
            <w:r>
              <w:rPr>
                <w:rFonts w:ascii="Times New Roman" w:hAnsi="Times New Roman" w:cs="Times New Roman"/>
                <w:b/>
                <w:sz w:val="24"/>
                <w:szCs w:val="24"/>
              </w:rPr>
              <w:t>ADF Test</w:t>
            </w:r>
          </w:p>
        </w:tc>
      </w:tr>
      <w:tr w:rsidR="00C13F8B" w:rsidRPr="009D4A13" w:rsidTr="00C13F8B">
        <w:trPr>
          <w:jc w:val="center"/>
        </w:trPr>
        <w:tc>
          <w:tcPr>
            <w:tcW w:w="1842" w:type="dxa"/>
            <w:tcBorders>
              <w:top w:val="single" w:sz="4" w:space="0" w:color="auto"/>
            </w:tcBorders>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logTRYUSD</w:t>
            </w:r>
          </w:p>
        </w:tc>
        <w:tc>
          <w:tcPr>
            <w:tcW w:w="1842" w:type="dxa"/>
            <w:tcBorders>
              <w:top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0.6375</w:t>
            </w:r>
          </w:p>
        </w:tc>
        <w:tc>
          <w:tcPr>
            <w:tcW w:w="1842" w:type="dxa"/>
            <w:tcBorders>
              <w:top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3.4351</w:t>
            </w:r>
          </w:p>
        </w:tc>
        <w:tc>
          <w:tcPr>
            <w:tcW w:w="1843" w:type="dxa"/>
            <w:tcBorders>
              <w:top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2.1019</w:t>
            </w:r>
          </w:p>
        </w:tc>
        <w:tc>
          <w:tcPr>
            <w:tcW w:w="1843" w:type="dxa"/>
            <w:tcBorders>
              <w:top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3.9651</w:t>
            </w:r>
          </w:p>
        </w:tc>
      </w:tr>
      <w:tr w:rsidR="00C13F8B" w:rsidRPr="009D4A13" w:rsidTr="00C13F8B">
        <w:trPr>
          <w:jc w:val="center"/>
        </w:trPr>
        <w:tc>
          <w:tcPr>
            <w:tcW w:w="1842" w:type="dxa"/>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∆logTRYUSD</w:t>
            </w:r>
          </w:p>
        </w:tc>
        <w:tc>
          <w:tcPr>
            <w:tcW w:w="1842"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34.7565</w:t>
            </w:r>
          </w:p>
        </w:tc>
        <w:tc>
          <w:tcPr>
            <w:tcW w:w="1842"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3.4351</w:t>
            </w:r>
          </w:p>
        </w:tc>
        <w:tc>
          <w:tcPr>
            <w:tcW w:w="1843"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34.8458</w:t>
            </w:r>
          </w:p>
        </w:tc>
        <w:tc>
          <w:tcPr>
            <w:tcW w:w="1843"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3.9651</w:t>
            </w:r>
          </w:p>
        </w:tc>
      </w:tr>
      <w:tr w:rsidR="00C13F8B" w:rsidRPr="009D4A13" w:rsidTr="00C13F8B">
        <w:trPr>
          <w:jc w:val="center"/>
        </w:trPr>
        <w:tc>
          <w:tcPr>
            <w:tcW w:w="1842" w:type="dxa"/>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logCDS</w:t>
            </w:r>
          </w:p>
        </w:tc>
        <w:tc>
          <w:tcPr>
            <w:tcW w:w="1842"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2.9004</w:t>
            </w:r>
          </w:p>
        </w:tc>
        <w:tc>
          <w:tcPr>
            <w:tcW w:w="1842"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3.4351</w:t>
            </w:r>
          </w:p>
        </w:tc>
        <w:tc>
          <w:tcPr>
            <w:tcW w:w="1843"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2.6070</w:t>
            </w:r>
          </w:p>
        </w:tc>
        <w:tc>
          <w:tcPr>
            <w:tcW w:w="1843"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3.9651</w:t>
            </w:r>
          </w:p>
        </w:tc>
      </w:tr>
      <w:tr w:rsidR="00C13F8B" w:rsidRPr="009D4A13" w:rsidTr="00C13F8B">
        <w:trPr>
          <w:jc w:val="center"/>
        </w:trPr>
        <w:tc>
          <w:tcPr>
            <w:tcW w:w="1842" w:type="dxa"/>
            <w:tcBorders>
              <w:bottom w:val="single" w:sz="4" w:space="0" w:color="auto"/>
            </w:tcBorders>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∆logCDS</w:t>
            </w:r>
          </w:p>
        </w:tc>
        <w:tc>
          <w:tcPr>
            <w:tcW w:w="1842" w:type="dxa"/>
            <w:tcBorders>
              <w:bottom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33.0759</w:t>
            </w:r>
          </w:p>
        </w:tc>
        <w:tc>
          <w:tcPr>
            <w:tcW w:w="1842" w:type="dxa"/>
            <w:tcBorders>
              <w:bottom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3.4351</w:t>
            </w:r>
          </w:p>
        </w:tc>
        <w:tc>
          <w:tcPr>
            <w:tcW w:w="1843" w:type="dxa"/>
            <w:tcBorders>
              <w:bottom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33.1186</w:t>
            </w:r>
          </w:p>
        </w:tc>
        <w:tc>
          <w:tcPr>
            <w:tcW w:w="1843" w:type="dxa"/>
            <w:tcBorders>
              <w:bottom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3.9651</w:t>
            </w:r>
          </w:p>
        </w:tc>
      </w:tr>
      <w:tr w:rsidR="00C13F8B" w:rsidRPr="009D4A13" w:rsidTr="00C13F8B">
        <w:trPr>
          <w:jc w:val="center"/>
        </w:trPr>
        <w:tc>
          <w:tcPr>
            <w:tcW w:w="9212" w:type="dxa"/>
            <w:gridSpan w:val="5"/>
            <w:tcBorders>
              <w:top w:val="single" w:sz="4" w:space="0" w:color="auto"/>
              <w:bottom w:val="single" w:sz="4" w:space="0" w:color="auto"/>
            </w:tcBorders>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PP Test</w:t>
            </w:r>
          </w:p>
        </w:tc>
      </w:tr>
      <w:tr w:rsidR="00C13F8B" w:rsidRPr="009D4A13" w:rsidTr="00C13F8B">
        <w:trPr>
          <w:jc w:val="center"/>
        </w:trPr>
        <w:tc>
          <w:tcPr>
            <w:tcW w:w="1842" w:type="dxa"/>
            <w:tcBorders>
              <w:top w:val="single" w:sz="4" w:space="0" w:color="auto"/>
            </w:tcBorders>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logTRYUSD</w:t>
            </w:r>
          </w:p>
        </w:tc>
        <w:tc>
          <w:tcPr>
            <w:tcW w:w="1842" w:type="dxa"/>
            <w:tcBorders>
              <w:top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0.6093</w:t>
            </w:r>
          </w:p>
        </w:tc>
        <w:tc>
          <w:tcPr>
            <w:tcW w:w="1842" w:type="dxa"/>
            <w:tcBorders>
              <w:top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3.4351</w:t>
            </w:r>
          </w:p>
        </w:tc>
        <w:tc>
          <w:tcPr>
            <w:tcW w:w="1843" w:type="dxa"/>
            <w:tcBorders>
              <w:top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2.1442</w:t>
            </w:r>
          </w:p>
        </w:tc>
        <w:tc>
          <w:tcPr>
            <w:tcW w:w="1843" w:type="dxa"/>
            <w:tcBorders>
              <w:top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3.9651</w:t>
            </w:r>
          </w:p>
        </w:tc>
      </w:tr>
      <w:tr w:rsidR="00C13F8B" w:rsidRPr="009D4A13" w:rsidTr="00C13F8B">
        <w:trPr>
          <w:jc w:val="center"/>
        </w:trPr>
        <w:tc>
          <w:tcPr>
            <w:tcW w:w="1842" w:type="dxa"/>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∆logTRYUSD</w:t>
            </w:r>
          </w:p>
        </w:tc>
        <w:tc>
          <w:tcPr>
            <w:tcW w:w="1842"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34.7384</w:t>
            </w:r>
          </w:p>
        </w:tc>
        <w:tc>
          <w:tcPr>
            <w:tcW w:w="1842"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3.4351</w:t>
            </w:r>
          </w:p>
        </w:tc>
        <w:tc>
          <w:tcPr>
            <w:tcW w:w="1843"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34.8214</w:t>
            </w:r>
          </w:p>
        </w:tc>
        <w:tc>
          <w:tcPr>
            <w:tcW w:w="1843"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3.9651</w:t>
            </w:r>
          </w:p>
        </w:tc>
      </w:tr>
      <w:tr w:rsidR="00C13F8B" w:rsidRPr="009D4A13" w:rsidTr="00C13F8B">
        <w:trPr>
          <w:jc w:val="center"/>
        </w:trPr>
        <w:tc>
          <w:tcPr>
            <w:tcW w:w="1842" w:type="dxa"/>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logCDS</w:t>
            </w:r>
          </w:p>
        </w:tc>
        <w:tc>
          <w:tcPr>
            <w:tcW w:w="1842"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2.8060</w:t>
            </w:r>
          </w:p>
        </w:tc>
        <w:tc>
          <w:tcPr>
            <w:tcW w:w="1842"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3.4351</w:t>
            </w:r>
          </w:p>
        </w:tc>
        <w:tc>
          <w:tcPr>
            <w:tcW w:w="1843"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2.4235</w:t>
            </w:r>
          </w:p>
        </w:tc>
        <w:tc>
          <w:tcPr>
            <w:tcW w:w="1843" w:type="dxa"/>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3.9651</w:t>
            </w:r>
          </w:p>
        </w:tc>
      </w:tr>
      <w:tr w:rsidR="00C13F8B" w:rsidRPr="009D4A13" w:rsidTr="00C13F8B">
        <w:trPr>
          <w:jc w:val="center"/>
        </w:trPr>
        <w:tc>
          <w:tcPr>
            <w:tcW w:w="1842" w:type="dxa"/>
            <w:tcBorders>
              <w:bottom w:val="single" w:sz="4" w:space="0" w:color="auto"/>
            </w:tcBorders>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∆logCDS</w:t>
            </w:r>
          </w:p>
        </w:tc>
        <w:tc>
          <w:tcPr>
            <w:tcW w:w="1842" w:type="dxa"/>
            <w:tcBorders>
              <w:bottom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32.9817</w:t>
            </w:r>
          </w:p>
        </w:tc>
        <w:tc>
          <w:tcPr>
            <w:tcW w:w="1842" w:type="dxa"/>
            <w:tcBorders>
              <w:bottom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3.4351</w:t>
            </w:r>
          </w:p>
        </w:tc>
        <w:tc>
          <w:tcPr>
            <w:tcW w:w="1843" w:type="dxa"/>
            <w:tcBorders>
              <w:bottom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33.0798</w:t>
            </w:r>
          </w:p>
        </w:tc>
        <w:tc>
          <w:tcPr>
            <w:tcW w:w="1843" w:type="dxa"/>
            <w:tcBorders>
              <w:bottom w:val="single" w:sz="4" w:space="0" w:color="auto"/>
            </w:tcBorders>
          </w:tcPr>
          <w:p w:rsidR="00B94C3F" w:rsidRPr="009D4A13" w:rsidRDefault="00B43C32" w:rsidP="00686AB9">
            <w:pPr>
              <w:jc w:val="center"/>
              <w:rPr>
                <w:rFonts w:ascii="Times New Roman" w:hAnsi="Times New Roman" w:cs="Times New Roman"/>
                <w:sz w:val="24"/>
                <w:szCs w:val="24"/>
              </w:rPr>
            </w:pPr>
            <w:r>
              <w:rPr>
                <w:rFonts w:ascii="Times New Roman" w:hAnsi="Times New Roman" w:cs="Times New Roman"/>
                <w:sz w:val="24"/>
                <w:szCs w:val="24"/>
              </w:rPr>
              <w:t>–</w:t>
            </w:r>
            <w:r w:rsidR="00B94C3F" w:rsidRPr="009D4A13">
              <w:rPr>
                <w:rFonts w:ascii="Times New Roman" w:hAnsi="Times New Roman" w:cs="Times New Roman"/>
                <w:sz w:val="24"/>
                <w:szCs w:val="24"/>
              </w:rPr>
              <w:t>3.9651</w:t>
            </w:r>
          </w:p>
        </w:tc>
      </w:tr>
      <w:tr w:rsidR="00C13F8B" w:rsidRPr="009D4A13" w:rsidTr="00C13F8B">
        <w:trPr>
          <w:jc w:val="center"/>
        </w:trPr>
        <w:tc>
          <w:tcPr>
            <w:tcW w:w="9212" w:type="dxa"/>
            <w:gridSpan w:val="5"/>
            <w:tcBorders>
              <w:top w:val="single" w:sz="4" w:space="0" w:color="auto"/>
              <w:bottom w:val="single" w:sz="4" w:space="0" w:color="auto"/>
            </w:tcBorders>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KPSS Test</w:t>
            </w:r>
          </w:p>
        </w:tc>
      </w:tr>
      <w:tr w:rsidR="00C13F8B" w:rsidRPr="009D4A13" w:rsidTr="00C13F8B">
        <w:trPr>
          <w:jc w:val="center"/>
        </w:trPr>
        <w:tc>
          <w:tcPr>
            <w:tcW w:w="1842" w:type="dxa"/>
            <w:tcBorders>
              <w:top w:val="single" w:sz="4" w:space="0" w:color="auto"/>
            </w:tcBorders>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logTRYUSD</w:t>
            </w:r>
          </w:p>
        </w:tc>
        <w:tc>
          <w:tcPr>
            <w:tcW w:w="1842" w:type="dxa"/>
            <w:tcBorders>
              <w:top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3.5674</w:t>
            </w:r>
          </w:p>
        </w:tc>
        <w:tc>
          <w:tcPr>
            <w:tcW w:w="1842" w:type="dxa"/>
            <w:tcBorders>
              <w:top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0.7390</w:t>
            </w:r>
          </w:p>
        </w:tc>
        <w:tc>
          <w:tcPr>
            <w:tcW w:w="1843" w:type="dxa"/>
            <w:tcBorders>
              <w:top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0.3729</w:t>
            </w:r>
          </w:p>
        </w:tc>
        <w:tc>
          <w:tcPr>
            <w:tcW w:w="1843" w:type="dxa"/>
            <w:tcBorders>
              <w:top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0.2160</w:t>
            </w:r>
          </w:p>
        </w:tc>
      </w:tr>
      <w:tr w:rsidR="00C13F8B" w:rsidRPr="009D4A13" w:rsidTr="00C13F8B">
        <w:trPr>
          <w:jc w:val="center"/>
        </w:trPr>
        <w:tc>
          <w:tcPr>
            <w:tcW w:w="1842" w:type="dxa"/>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∆logTRYUSD</w:t>
            </w:r>
          </w:p>
        </w:tc>
        <w:tc>
          <w:tcPr>
            <w:tcW w:w="1842" w:type="dxa"/>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0.3866</w:t>
            </w:r>
          </w:p>
        </w:tc>
        <w:tc>
          <w:tcPr>
            <w:tcW w:w="1842" w:type="dxa"/>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0.7390</w:t>
            </w:r>
          </w:p>
        </w:tc>
        <w:tc>
          <w:tcPr>
            <w:tcW w:w="1843" w:type="dxa"/>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0.0628</w:t>
            </w:r>
          </w:p>
        </w:tc>
        <w:tc>
          <w:tcPr>
            <w:tcW w:w="1843" w:type="dxa"/>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0.2160</w:t>
            </w:r>
          </w:p>
        </w:tc>
      </w:tr>
      <w:tr w:rsidR="00C13F8B" w:rsidRPr="009D4A13" w:rsidTr="00C13F8B">
        <w:trPr>
          <w:jc w:val="center"/>
        </w:trPr>
        <w:tc>
          <w:tcPr>
            <w:tcW w:w="1842" w:type="dxa"/>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logCDS</w:t>
            </w:r>
          </w:p>
        </w:tc>
        <w:tc>
          <w:tcPr>
            <w:tcW w:w="1842" w:type="dxa"/>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0.7484</w:t>
            </w:r>
          </w:p>
        </w:tc>
        <w:tc>
          <w:tcPr>
            <w:tcW w:w="1842" w:type="dxa"/>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0.7390</w:t>
            </w:r>
          </w:p>
        </w:tc>
        <w:tc>
          <w:tcPr>
            <w:tcW w:w="1843" w:type="dxa"/>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0.2952</w:t>
            </w:r>
          </w:p>
        </w:tc>
        <w:tc>
          <w:tcPr>
            <w:tcW w:w="1843" w:type="dxa"/>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0.2160</w:t>
            </w:r>
          </w:p>
        </w:tc>
      </w:tr>
      <w:tr w:rsidR="00C13F8B" w:rsidRPr="009D4A13" w:rsidTr="00C13F8B">
        <w:trPr>
          <w:jc w:val="center"/>
        </w:trPr>
        <w:tc>
          <w:tcPr>
            <w:tcW w:w="1842" w:type="dxa"/>
            <w:tcBorders>
              <w:bottom w:val="single" w:sz="4" w:space="0" w:color="auto"/>
            </w:tcBorders>
          </w:tcPr>
          <w:p w:rsidR="00B94C3F" w:rsidRPr="00686AB9" w:rsidRDefault="00B94C3F" w:rsidP="00686AB9">
            <w:pPr>
              <w:jc w:val="center"/>
              <w:rPr>
                <w:rFonts w:ascii="Times New Roman" w:hAnsi="Times New Roman" w:cs="Times New Roman"/>
                <w:b/>
                <w:sz w:val="24"/>
                <w:szCs w:val="24"/>
              </w:rPr>
            </w:pPr>
            <w:r w:rsidRPr="00686AB9">
              <w:rPr>
                <w:rFonts w:ascii="Times New Roman" w:hAnsi="Times New Roman" w:cs="Times New Roman"/>
                <w:b/>
                <w:sz w:val="24"/>
                <w:szCs w:val="24"/>
              </w:rPr>
              <w:t>∆logCDS</w:t>
            </w:r>
          </w:p>
        </w:tc>
        <w:tc>
          <w:tcPr>
            <w:tcW w:w="1842" w:type="dxa"/>
            <w:tcBorders>
              <w:bottom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0.2980</w:t>
            </w:r>
          </w:p>
        </w:tc>
        <w:tc>
          <w:tcPr>
            <w:tcW w:w="1842" w:type="dxa"/>
            <w:tcBorders>
              <w:bottom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0.7390</w:t>
            </w:r>
          </w:p>
        </w:tc>
        <w:tc>
          <w:tcPr>
            <w:tcW w:w="1843" w:type="dxa"/>
            <w:tcBorders>
              <w:bottom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0.0829</w:t>
            </w:r>
          </w:p>
        </w:tc>
        <w:tc>
          <w:tcPr>
            <w:tcW w:w="1843" w:type="dxa"/>
            <w:tcBorders>
              <w:bottom w:val="single" w:sz="4" w:space="0" w:color="auto"/>
            </w:tcBorders>
          </w:tcPr>
          <w:p w:rsidR="00B94C3F" w:rsidRPr="009D4A13" w:rsidRDefault="00B94C3F" w:rsidP="00686AB9">
            <w:pPr>
              <w:jc w:val="center"/>
              <w:rPr>
                <w:rFonts w:ascii="Times New Roman" w:hAnsi="Times New Roman" w:cs="Times New Roman"/>
                <w:sz w:val="24"/>
                <w:szCs w:val="24"/>
              </w:rPr>
            </w:pPr>
            <w:r w:rsidRPr="009D4A13">
              <w:rPr>
                <w:rFonts w:ascii="Times New Roman" w:hAnsi="Times New Roman" w:cs="Times New Roman"/>
                <w:sz w:val="24"/>
                <w:szCs w:val="24"/>
              </w:rPr>
              <w:t>0.2160</w:t>
            </w:r>
          </w:p>
        </w:tc>
      </w:tr>
      <w:tr w:rsidR="00C13F8B" w:rsidRPr="009D4A13" w:rsidTr="00C13F8B">
        <w:trPr>
          <w:jc w:val="center"/>
        </w:trPr>
        <w:tc>
          <w:tcPr>
            <w:tcW w:w="9212" w:type="dxa"/>
            <w:gridSpan w:val="5"/>
            <w:tcBorders>
              <w:top w:val="single" w:sz="4" w:space="0" w:color="auto"/>
              <w:bottom w:val="single" w:sz="4" w:space="0" w:color="auto"/>
            </w:tcBorders>
          </w:tcPr>
          <w:p w:rsidR="00B94C3F" w:rsidRPr="009D4A13" w:rsidRDefault="00B94C3F" w:rsidP="009D4A13">
            <w:pPr>
              <w:jc w:val="both"/>
              <w:rPr>
                <w:rFonts w:ascii="Times New Roman" w:hAnsi="Times New Roman" w:cs="Times New Roman"/>
                <w:sz w:val="24"/>
                <w:szCs w:val="24"/>
              </w:rPr>
            </w:pPr>
            <w:r w:rsidRPr="00686AB9">
              <w:rPr>
                <w:rFonts w:ascii="Times New Roman" w:hAnsi="Times New Roman" w:cs="Times New Roman"/>
                <w:b/>
                <w:sz w:val="24"/>
                <w:szCs w:val="24"/>
              </w:rPr>
              <w:t>Notes:</w:t>
            </w:r>
            <w:r w:rsidRPr="009D4A13">
              <w:rPr>
                <w:rFonts w:ascii="Times New Roman" w:hAnsi="Times New Roman" w:cs="Times New Roman"/>
                <w:sz w:val="24"/>
                <w:szCs w:val="24"/>
              </w:rPr>
              <w:t xml:space="preserve"> The null hypothesis of the ADF and PP tests is that the variable has a unit root. The null hypothesis of the KPSS test is that the variable is </w:t>
            </w:r>
            <w:proofErr w:type="gramStart"/>
            <w:r w:rsidRPr="009D4A13">
              <w:rPr>
                <w:rFonts w:ascii="Times New Roman" w:hAnsi="Times New Roman" w:cs="Times New Roman"/>
                <w:sz w:val="24"/>
                <w:szCs w:val="24"/>
              </w:rPr>
              <w:t>trend</w:t>
            </w:r>
            <w:proofErr w:type="gramEnd"/>
            <w:r w:rsidRPr="009D4A13">
              <w:rPr>
                <w:rFonts w:ascii="Times New Roman" w:hAnsi="Times New Roman" w:cs="Times New Roman"/>
                <w:sz w:val="24"/>
                <w:szCs w:val="24"/>
              </w:rPr>
              <w:t xml:space="preserve"> stationary, to the contrary the null hypothesis of the ADF and PP tests. </w:t>
            </w:r>
          </w:p>
        </w:tc>
      </w:tr>
    </w:tbl>
    <w:p w:rsidR="00F86A75" w:rsidRDefault="00F86A75" w:rsidP="009D4A13">
      <w:pPr>
        <w:spacing w:after="0" w:line="240" w:lineRule="auto"/>
        <w:jc w:val="both"/>
        <w:rPr>
          <w:rFonts w:ascii="Times New Roman" w:eastAsiaTheme="minorEastAsia" w:hAnsi="Times New Roman" w:cs="Times New Roman"/>
          <w:b/>
          <w:sz w:val="28"/>
          <w:szCs w:val="28"/>
        </w:rPr>
      </w:pPr>
    </w:p>
    <w:p w:rsidR="00063DA7" w:rsidRPr="00686AB9" w:rsidRDefault="00686AB9" w:rsidP="009D4A13">
      <w:pPr>
        <w:spacing w:after="0" w:line="240" w:lineRule="auto"/>
        <w:jc w:val="both"/>
        <w:rPr>
          <w:rFonts w:ascii="Times New Roman" w:eastAsiaTheme="minorEastAsia" w:hAnsi="Times New Roman" w:cs="Times New Roman"/>
          <w:b/>
          <w:sz w:val="28"/>
          <w:szCs w:val="28"/>
        </w:rPr>
      </w:pPr>
      <w:proofErr w:type="gramStart"/>
      <w:r w:rsidRPr="00686AB9">
        <w:rPr>
          <w:rFonts w:ascii="Times New Roman" w:eastAsiaTheme="minorEastAsia" w:hAnsi="Times New Roman" w:cs="Times New Roman"/>
          <w:b/>
          <w:sz w:val="28"/>
          <w:szCs w:val="28"/>
        </w:rPr>
        <w:t xml:space="preserve">5     </w:t>
      </w:r>
      <w:r w:rsidR="00275DC1" w:rsidRPr="00686AB9">
        <w:rPr>
          <w:rFonts w:ascii="Times New Roman" w:eastAsiaTheme="minorEastAsia" w:hAnsi="Times New Roman" w:cs="Times New Roman"/>
          <w:b/>
          <w:sz w:val="28"/>
          <w:szCs w:val="28"/>
        </w:rPr>
        <w:t>Empirical</w:t>
      </w:r>
      <w:proofErr w:type="gramEnd"/>
      <w:r w:rsidR="00275DC1" w:rsidRPr="00686AB9">
        <w:rPr>
          <w:rFonts w:ascii="Times New Roman" w:eastAsiaTheme="minorEastAsia" w:hAnsi="Times New Roman" w:cs="Times New Roman"/>
          <w:b/>
          <w:sz w:val="28"/>
          <w:szCs w:val="28"/>
        </w:rPr>
        <w:t xml:space="preserve"> Results</w:t>
      </w:r>
    </w:p>
    <w:p w:rsidR="0008520D" w:rsidRPr="00AC5FC4" w:rsidRDefault="00782F81" w:rsidP="0008520D">
      <w:pPr>
        <w:spacing w:after="0" w:line="240" w:lineRule="auto"/>
        <w:jc w:val="both"/>
        <w:rPr>
          <w:rFonts w:ascii="Times New Roman" w:hAnsi="Times New Roman" w:cs="Times New Roman"/>
          <w:sz w:val="24"/>
          <w:szCs w:val="24"/>
        </w:rPr>
      </w:pPr>
      <w:r w:rsidRPr="009D4A13">
        <w:rPr>
          <w:rFonts w:ascii="Times New Roman" w:eastAsiaTheme="minorEastAsia" w:hAnsi="Times New Roman" w:cs="Times New Roman"/>
          <w:sz w:val="24"/>
          <w:szCs w:val="24"/>
        </w:rPr>
        <w:t>Table 4 shows the estimation results of the mean and volatility equations</w:t>
      </w:r>
      <w:r w:rsidR="004B5BC2" w:rsidRPr="004B5BC2">
        <w:rPr>
          <w:rFonts w:ascii="Times New Roman" w:eastAsiaTheme="minorEastAsia" w:hAnsi="Times New Roman" w:cs="Times New Roman"/>
          <w:sz w:val="24"/>
          <w:szCs w:val="24"/>
        </w:rPr>
        <w:t xml:space="preserve"> </w:t>
      </w:r>
      <w:r w:rsidR="004B5BC2">
        <w:rPr>
          <w:rFonts w:ascii="Times New Roman" w:eastAsiaTheme="minorEastAsia" w:hAnsi="Times New Roman" w:cs="Times New Roman"/>
          <w:sz w:val="24"/>
          <w:szCs w:val="24"/>
        </w:rPr>
        <w:t xml:space="preserve">for </w:t>
      </w:r>
      <w:r w:rsidR="0056476B">
        <w:rPr>
          <w:rFonts w:ascii="Times New Roman" w:eastAsiaTheme="minorEastAsia" w:hAnsi="Times New Roman" w:cs="Times New Roman"/>
          <w:sz w:val="24"/>
          <w:szCs w:val="24"/>
        </w:rPr>
        <w:t xml:space="preserve">the </w:t>
      </w:r>
      <w:r w:rsidR="004B5BC2">
        <w:rPr>
          <w:rFonts w:ascii="Times New Roman" w:eastAsiaTheme="minorEastAsia" w:hAnsi="Times New Roman" w:cs="Times New Roman"/>
          <w:sz w:val="24"/>
          <w:szCs w:val="24"/>
        </w:rPr>
        <w:t>entire purchase and sale interventions, only purchase interventions and only sale interventions.</w:t>
      </w:r>
      <w:r w:rsidR="0008520D">
        <w:rPr>
          <w:rFonts w:ascii="Times New Roman" w:eastAsiaTheme="minorEastAsia" w:hAnsi="Times New Roman" w:cs="Times New Roman"/>
          <w:sz w:val="24"/>
          <w:szCs w:val="24"/>
        </w:rPr>
        <w:t xml:space="preserve"> </w:t>
      </w:r>
      <w:proofErr w:type="gramStart"/>
      <w:r w:rsidR="0008520D" w:rsidRPr="00AC5FC4">
        <w:rPr>
          <w:rFonts w:ascii="Times New Roman" w:hAnsi="Times New Roman" w:cs="Times New Roman"/>
          <w:sz w:val="24"/>
          <w:szCs w:val="24"/>
        </w:rPr>
        <w:t>In the mean equation, the intervention variables are insignificant in all estimations; to be more precise, the level of the exchange rate returns are not signiﬁcantly influenced by the presence of intervention, though interventions seem to appreciate the Turkish lira against the US dollar</w:t>
      </w:r>
      <w:r w:rsidR="0008520D">
        <w:rPr>
          <w:rFonts w:ascii="Times New Roman" w:hAnsi="Times New Roman" w:cs="Times New Roman"/>
          <w:sz w:val="24"/>
          <w:szCs w:val="24"/>
        </w:rPr>
        <w:t xml:space="preserve"> </w:t>
      </w:r>
      <w:r w:rsidR="0008520D">
        <w:rPr>
          <w:rFonts w:ascii="Times New Roman" w:hAnsi="Times New Roman" w:cs="Times New Roman"/>
          <w:sz w:val="24"/>
          <w:szCs w:val="24"/>
        </w:rPr>
        <w:t xml:space="preserve">according to the coefficient of intervention dummy variable. </w:t>
      </w:r>
      <w:proofErr w:type="gramEnd"/>
      <m:oMath>
        <m:r>
          <m:rPr>
            <m:sty m:val="p"/>
          </m:rPr>
          <w:rPr>
            <w:rFonts w:ascii="Cambria Math" w:eastAsiaTheme="minorEastAsia" w:hAnsi="Cambria Math" w:cs="Times New Roman"/>
            <w:sz w:val="24"/>
            <w:szCs w:val="24"/>
          </w:rPr>
          <w:br/>
        </m:r>
      </m:oMath>
      <w:r w:rsidR="0008520D" w:rsidRPr="00AC5FC4">
        <w:rPr>
          <w:rFonts w:ascii="Times New Roman" w:hAnsi="Times New Roman" w:cs="Times New Roman"/>
          <w:sz w:val="24"/>
          <w:szCs w:val="24"/>
        </w:rPr>
        <w:t xml:space="preserve">The </w:t>
      </w:r>
      <w:r w:rsidR="0008520D" w:rsidRPr="00AC5FC4">
        <w:rPr>
          <w:rFonts w:ascii="Times New Roman" w:eastAsiaTheme="minorEastAsia" w:hAnsi="Times New Roman" w:cs="Times New Roman"/>
          <w:sz w:val="24"/>
          <w:szCs w:val="24"/>
        </w:rPr>
        <w:t xml:space="preserve">estimated coefficient </w:t>
      </w:r>
      <w:r w:rsidR="0008520D" w:rsidRPr="00AC5FC4">
        <w:rPr>
          <w:rFonts w:ascii="Times New Roman" w:hAnsi="Times New Roman" w:cs="Times New Roman"/>
          <w:sz w:val="24"/>
          <w:szCs w:val="24"/>
        </w:rPr>
        <w:t xml:space="preserve">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0</m:t>
            </m:r>
          </m:sub>
        </m:sSub>
      </m:oMath>
      <w:r w:rsidR="0008520D" w:rsidRPr="00AC5FC4">
        <w:rPr>
          <w:rFonts w:ascii="Times New Roman" w:hAnsi="Times New Roman" w:cs="Times New Roman"/>
          <w:sz w:val="24"/>
          <w:szCs w:val="24"/>
        </w:rPr>
        <w:t xml:space="preserve"> is insignificant and has a positive sign, indicating that recent interventions were not systematically associated with the TRY/USD exchange rate changes during the period. The lagged value of the TRY/USD exchange rate returns is significant at 10% level in all estimations. The CDS variable is significant at 1% level and has a positive sign in all estimations, indicating that rising risk causes the TRY/USD exchange rate to increase, i.e the deppreciation in the TRY against the USD. </w:t>
      </w:r>
    </w:p>
    <w:p w:rsidR="0008520D" w:rsidRDefault="0008520D" w:rsidP="0008520D">
      <w:pPr>
        <w:autoSpaceDE w:val="0"/>
        <w:autoSpaceDN w:val="0"/>
        <w:adjustRightInd w:val="0"/>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t>In the variance equation, the intervention volume variable is significant at 5% level and conveys correct (negative) sign</w:t>
      </w:r>
      <w:r>
        <w:rPr>
          <w:rFonts w:ascii="Times New Roman" w:hAnsi="Times New Roman" w:cs="Times New Roman"/>
          <w:sz w:val="24"/>
          <w:szCs w:val="24"/>
        </w:rPr>
        <w:t xml:space="preserve"> in purchases plus sales estimation</w:t>
      </w:r>
      <w:r w:rsidRPr="009D4A13">
        <w:rPr>
          <w:rFonts w:ascii="Times New Roman" w:hAnsi="Times New Roman" w:cs="Times New Roman"/>
          <w:sz w:val="24"/>
          <w:szCs w:val="24"/>
        </w:rPr>
        <w:t xml:space="preserve">, indicating that an intervention purchase (sale) of </w:t>
      </w:r>
      <w:r>
        <w:rPr>
          <w:rFonts w:ascii="Times New Roman" w:hAnsi="Times New Roman" w:cs="Times New Roman"/>
          <w:sz w:val="24"/>
          <w:szCs w:val="24"/>
        </w:rPr>
        <w:t xml:space="preserve">the </w:t>
      </w:r>
      <w:r w:rsidRPr="009D4A13">
        <w:rPr>
          <w:rFonts w:ascii="Times New Roman" w:hAnsi="Times New Roman" w:cs="Times New Roman"/>
          <w:sz w:val="24"/>
          <w:szCs w:val="24"/>
        </w:rPr>
        <w:t>USD is, on average, systematically associated with a same</w:t>
      </w:r>
      <w:r>
        <w:rPr>
          <w:rFonts w:ascii="Times New Roman" w:hAnsi="Times New Roman" w:cs="Times New Roman"/>
          <w:sz w:val="24"/>
          <w:szCs w:val="24"/>
        </w:rPr>
        <w:t>–</w:t>
      </w:r>
      <w:r w:rsidRPr="009D4A13">
        <w:rPr>
          <w:rFonts w:ascii="Times New Roman" w:hAnsi="Times New Roman" w:cs="Times New Roman"/>
          <w:sz w:val="24"/>
          <w:szCs w:val="24"/>
        </w:rPr>
        <w:t>day appreciation (depreciation) of the TRY against the USD.</w:t>
      </w:r>
      <w:r>
        <w:rPr>
          <w:rFonts w:ascii="Times New Roman" w:hAnsi="Times New Roman" w:cs="Times New Roman"/>
          <w:sz w:val="24"/>
          <w:szCs w:val="24"/>
        </w:rPr>
        <w:t xml:space="preserve"> However, the size of </w:t>
      </w:r>
      <w:proofErr w:type="gramStart"/>
      <w:r>
        <w:rPr>
          <w:rFonts w:ascii="Times New Roman" w:hAnsi="Times New Roman" w:cs="Times New Roman"/>
          <w:sz w:val="24"/>
          <w:szCs w:val="24"/>
        </w:rPr>
        <w:t xml:space="preserve">this </w:t>
      </w:r>
      <w:r w:rsidRPr="009D4A13">
        <w:rPr>
          <w:rFonts w:ascii="Times New Roman" w:hAnsi="Times New Roman" w:cs="Times New Roman"/>
          <w:sz w:val="24"/>
          <w:szCs w:val="24"/>
        </w:rPr>
        <w:t xml:space="preserve"> coefficient</w:t>
      </w:r>
      <w:proofErr w:type="gramEnd"/>
      <w:r w:rsidRPr="009D4A13">
        <w:rPr>
          <w:rFonts w:ascii="Times New Roman" w:hAnsi="Times New Roman" w:cs="Times New Roman"/>
          <w:sz w:val="24"/>
          <w:szCs w:val="24"/>
        </w:rPr>
        <w:t xml:space="preserve"> is </w:t>
      </w:r>
      <w:r>
        <w:rPr>
          <w:rFonts w:ascii="Times New Roman" w:hAnsi="Times New Roman" w:cs="Times New Roman"/>
          <w:sz w:val="24"/>
          <w:szCs w:val="24"/>
        </w:rPr>
        <w:t xml:space="preserve">indifferent from </w:t>
      </w:r>
      <w:r w:rsidRPr="009D4A13">
        <w:rPr>
          <w:rFonts w:ascii="Times New Roman" w:hAnsi="Times New Roman" w:cs="Times New Roman"/>
          <w:sz w:val="24"/>
          <w:szCs w:val="24"/>
        </w:rPr>
        <w:t xml:space="preserve">zero. </w:t>
      </w:r>
      <w:r>
        <w:rPr>
          <w:rFonts w:ascii="Times New Roman" w:hAnsi="Times New Roman" w:cs="Times New Roman"/>
          <w:sz w:val="24"/>
          <w:szCs w:val="24"/>
        </w:rPr>
        <w:t>When only purchase</w:t>
      </w:r>
      <w:r w:rsidRPr="009D4A13">
        <w:rPr>
          <w:rFonts w:ascii="Times New Roman" w:hAnsi="Times New Roman" w:cs="Times New Roman"/>
          <w:sz w:val="24"/>
          <w:szCs w:val="24"/>
        </w:rPr>
        <w:t xml:space="preserve"> </w:t>
      </w:r>
      <w:r>
        <w:rPr>
          <w:rFonts w:ascii="Times New Roman" w:hAnsi="Times New Roman" w:cs="Times New Roman"/>
          <w:sz w:val="24"/>
          <w:szCs w:val="24"/>
        </w:rPr>
        <w:t xml:space="preserve">interventions </w:t>
      </w:r>
      <w:r w:rsidRPr="009D4A13">
        <w:rPr>
          <w:rFonts w:ascii="Times New Roman" w:hAnsi="Times New Roman" w:cs="Times New Roman"/>
          <w:sz w:val="24"/>
          <w:szCs w:val="24"/>
        </w:rPr>
        <w:t>are considered, the intervention volume variable is insignificant and has wrong (positive) sign. This indicates that intervention purchases, on average, do not effective in influencing the same day exchange rate volatility. Co</w:t>
      </w:r>
      <w:r>
        <w:rPr>
          <w:rFonts w:ascii="Times New Roman" w:hAnsi="Times New Roman" w:cs="Times New Roman"/>
          <w:sz w:val="24"/>
          <w:szCs w:val="24"/>
        </w:rPr>
        <w:t>nversely, when only sale interventions</w:t>
      </w:r>
      <w:r w:rsidRPr="009D4A13">
        <w:rPr>
          <w:rFonts w:ascii="Times New Roman" w:hAnsi="Times New Roman" w:cs="Times New Roman"/>
          <w:sz w:val="24"/>
          <w:szCs w:val="24"/>
        </w:rPr>
        <w:t xml:space="preserve"> are considered, intervention volume variable is significant at 10% level and has correct (negative) sign, showing that intervention sales, on average, effect the same day exchange rate volatility, ever so this impact is indifferent from zero. </w:t>
      </w:r>
    </w:p>
    <w:p w:rsidR="00633D95" w:rsidRPr="009D4A13" w:rsidRDefault="00633D95" w:rsidP="009D4A13">
      <w:pPr>
        <w:spacing w:after="0" w:line="240" w:lineRule="auto"/>
        <w:jc w:val="both"/>
        <w:rPr>
          <w:rFonts w:ascii="Times New Roman" w:eastAsiaTheme="minorEastAsia"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716"/>
        <w:gridCol w:w="1117"/>
        <w:gridCol w:w="1485"/>
        <w:gridCol w:w="966"/>
        <w:gridCol w:w="1485"/>
        <w:gridCol w:w="966"/>
      </w:tblGrid>
      <w:tr w:rsidR="00C13F8B" w:rsidRPr="009D4A13" w:rsidTr="00C13F8B">
        <w:tc>
          <w:tcPr>
            <w:tcW w:w="0" w:type="auto"/>
            <w:gridSpan w:val="7"/>
            <w:tcBorders>
              <w:bottom w:val="single" w:sz="4" w:space="0" w:color="auto"/>
            </w:tcBorders>
          </w:tcPr>
          <w:p w:rsidR="005C2FA9" w:rsidRDefault="00911018" w:rsidP="00686AB9">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b/>
                <w:sz w:val="24"/>
                <w:szCs w:val="24"/>
              </w:rPr>
              <w:lastRenderedPageBreak/>
              <w:t xml:space="preserve">Table 4: </w:t>
            </w:r>
            <w:r w:rsidR="006071A4" w:rsidRPr="00686AB9">
              <w:rPr>
                <w:rFonts w:ascii="Times New Roman" w:eastAsiaTheme="minorEastAsia" w:hAnsi="Times New Roman" w:cs="Times New Roman"/>
                <w:sz w:val="24"/>
                <w:szCs w:val="24"/>
              </w:rPr>
              <w:t>TRY/USD Exchange Rate and Interventions</w:t>
            </w:r>
          </w:p>
          <w:p w:rsidR="00C13F8B" w:rsidRPr="009D4A13" w:rsidRDefault="00C13F8B" w:rsidP="00B04FDB">
            <w:pPr>
              <w:rPr>
                <w:rFonts w:ascii="Times New Roman" w:eastAsiaTheme="minorEastAsia" w:hAnsi="Times New Roman" w:cs="Times New Roman"/>
                <w:b/>
                <w:sz w:val="24"/>
                <w:szCs w:val="24"/>
              </w:rPr>
            </w:pPr>
          </w:p>
        </w:tc>
      </w:tr>
      <w:tr w:rsidR="00C13F8B" w:rsidRPr="009D4A13" w:rsidTr="00C13F8B">
        <w:tc>
          <w:tcPr>
            <w:tcW w:w="0" w:type="auto"/>
            <w:gridSpan w:val="7"/>
            <w:tcBorders>
              <w:top w:val="single" w:sz="4" w:space="0" w:color="auto"/>
              <w:bottom w:val="single" w:sz="4" w:space="0" w:color="auto"/>
            </w:tcBorders>
          </w:tcPr>
          <w:p w:rsidR="00615875" w:rsidRPr="009D4A13" w:rsidRDefault="00615875" w:rsidP="00B04FD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i/>
                <w:sz w:val="24"/>
                <w:szCs w:val="24"/>
              </w:rPr>
              <w:t>Mean Equation</w:t>
            </w:r>
            <w:r w:rsidR="0006755F" w:rsidRPr="009D4A13">
              <w:rPr>
                <w:rFonts w:ascii="Times New Roman" w:eastAsiaTheme="minorEastAsia" w:hAnsi="Times New Roman" w:cs="Times New Roman"/>
                <w:b/>
                <w:i/>
                <w:sz w:val="24"/>
                <w:szCs w:val="24"/>
              </w:rPr>
              <w:t>:</w:t>
            </w:r>
            <w:r w:rsidR="0006755F" w:rsidRPr="009D4A13">
              <w:rPr>
                <w:rFonts w:ascii="Times New Roman" w:hAnsi="Times New Roman" w:cs="Times New Roman"/>
                <w:position w:val="-28"/>
                <w:sz w:val="24"/>
                <w:szCs w:val="24"/>
                <w:lang w:eastAsia="tr-TR"/>
              </w:rPr>
              <w:object w:dxaOrig="5420" w:dyaOrig="680">
                <v:shape id="_x0000_i1044" type="#_x0000_t75" style="width:271.8pt;height:34.8pt" o:ole="">
                  <v:imagedata r:id="rId9" o:title=""/>
                </v:shape>
                <o:OLEObject Type="Embed" ProgID="Equation.3" ShapeID="_x0000_i1044" DrawAspect="Content" ObjectID="_1458128522" r:id="rId48"/>
              </w:object>
            </w:r>
          </w:p>
        </w:tc>
      </w:tr>
      <w:tr w:rsidR="009D4A13" w:rsidRPr="009D4A13" w:rsidTr="00615875">
        <w:tc>
          <w:tcPr>
            <w:tcW w:w="0" w:type="auto"/>
            <w:tcBorders>
              <w:top w:val="single" w:sz="4" w:space="0" w:color="auto"/>
              <w:bottom w:val="single" w:sz="4" w:space="0" w:color="auto"/>
            </w:tcBorders>
          </w:tcPr>
          <w:p w:rsidR="006071A4" w:rsidRPr="009D4A13" w:rsidRDefault="006071A4" w:rsidP="0056476B">
            <w:pPr>
              <w:jc w:val="center"/>
              <w:rPr>
                <w:rFonts w:ascii="Times New Roman" w:eastAsiaTheme="minorEastAsia" w:hAnsi="Times New Roman" w:cs="Times New Roman"/>
                <w:b/>
                <w:sz w:val="24"/>
                <w:szCs w:val="24"/>
              </w:rPr>
            </w:pPr>
          </w:p>
        </w:tc>
        <w:tc>
          <w:tcPr>
            <w:tcW w:w="0" w:type="auto"/>
            <w:gridSpan w:val="2"/>
            <w:tcBorders>
              <w:top w:val="single" w:sz="4" w:space="0" w:color="auto"/>
              <w:bottom w:val="single" w:sz="4" w:space="0" w:color="auto"/>
            </w:tcBorders>
          </w:tcPr>
          <w:p w:rsidR="006071A4" w:rsidRPr="009D4A13" w:rsidRDefault="001314AF"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PURCHASES+SALES</w:t>
            </w:r>
          </w:p>
        </w:tc>
        <w:tc>
          <w:tcPr>
            <w:tcW w:w="0" w:type="auto"/>
            <w:gridSpan w:val="2"/>
            <w:tcBorders>
              <w:top w:val="single" w:sz="4" w:space="0" w:color="auto"/>
              <w:bottom w:val="single" w:sz="4" w:space="0" w:color="auto"/>
            </w:tcBorders>
          </w:tcPr>
          <w:p w:rsidR="006071A4" w:rsidRPr="009D4A13" w:rsidRDefault="001314AF"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PURCHASES</w:t>
            </w:r>
          </w:p>
        </w:tc>
        <w:tc>
          <w:tcPr>
            <w:tcW w:w="0" w:type="auto"/>
            <w:gridSpan w:val="2"/>
            <w:tcBorders>
              <w:top w:val="single" w:sz="4" w:space="0" w:color="auto"/>
              <w:bottom w:val="single" w:sz="4" w:space="0" w:color="auto"/>
            </w:tcBorders>
          </w:tcPr>
          <w:p w:rsidR="006071A4" w:rsidRPr="009D4A13" w:rsidRDefault="001314AF"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SALES</w:t>
            </w:r>
          </w:p>
        </w:tc>
      </w:tr>
      <w:tr w:rsidR="00E25DFA" w:rsidRPr="009D4A13" w:rsidTr="00615875">
        <w:tc>
          <w:tcPr>
            <w:tcW w:w="0" w:type="auto"/>
            <w:tcBorders>
              <w:top w:val="single" w:sz="4" w:space="0" w:color="auto"/>
              <w:bottom w:val="single" w:sz="4" w:space="0" w:color="auto"/>
            </w:tcBorders>
          </w:tcPr>
          <w:p w:rsidR="0067160A" w:rsidRPr="009D4A13" w:rsidRDefault="0067160A" w:rsidP="0056476B">
            <w:pPr>
              <w:jc w:val="center"/>
              <w:rPr>
                <w:rFonts w:ascii="Times New Roman" w:eastAsia="Times New Roman" w:hAnsi="Times New Roman" w:cs="Times New Roman"/>
                <w:b/>
                <w:sz w:val="24"/>
                <w:szCs w:val="24"/>
              </w:rPr>
            </w:pP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Coefficient</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Prob.</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Coefficient</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Prob.</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Coefficient</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Prob.</w:t>
            </w:r>
          </w:p>
        </w:tc>
      </w:tr>
      <w:tr w:rsidR="00E25DFA" w:rsidRPr="009D4A13" w:rsidTr="00615875">
        <w:tc>
          <w:tcPr>
            <w:tcW w:w="0" w:type="auto"/>
            <w:tcBorders>
              <w:top w:val="single" w:sz="4" w:space="0" w:color="auto"/>
            </w:tcBorders>
          </w:tcPr>
          <w:p w:rsidR="0067160A" w:rsidRPr="009D4A13" w:rsidRDefault="00B70A60" w:rsidP="0056476B">
            <w:pPr>
              <w:jc w:val="center"/>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φ</m:t>
                    </m:r>
                  </m:e>
                  <m:sub>
                    <m:r>
                      <m:rPr>
                        <m:sty m:val="bi"/>
                      </m:rPr>
                      <w:rPr>
                        <w:rFonts w:ascii="Cambria Math" w:eastAsiaTheme="minorEastAsia" w:hAnsi="Cambria Math" w:cs="Times New Roman"/>
                        <w:sz w:val="24"/>
                        <w:szCs w:val="24"/>
                      </w:rPr>
                      <m:t>0</m:t>
                    </m:r>
                  </m:sub>
                </m:sSub>
              </m:oMath>
            </m:oMathPara>
          </w:p>
        </w:tc>
        <w:tc>
          <w:tcPr>
            <w:tcW w:w="0" w:type="auto"/>
            <w:tcBorders>
              <w:top w:val="single" w:sz="4" w:space="0" w:color="auto"/>
            </w:tcBorders>
          </w:tcPr>
          <w:p w:rsidR="0067160A"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0.0214</w:t>
            </w:r>
          </w:p>
          <w:p w:rsidR="007D340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(0.0146</w:t>
            </w:r>
            <w:r w:rsidR="007D340D" w:rsidRPr="009D4A13">
              <w:rPr>
                <w:rFonts w:ascii="Times New Roman" w:eastAsiaTheme="minorEastAsia" w:hAnsi="Times New Roman" w:cs="Times New Roman"/>
                <w:sz w:val="24"/>
                <w:szCs w:val="24"/>
              </w:rPr>
              <w:t>)</w:t>
            </w:r>
          </w:p>
        </w:tc>
        <w:tc>
          <w:tcPr>
            <w:tcW w:w="0" w:type="auto"/>
            <w:tcBorders>
              <w:top w:val="single" w:sz="4" w:space="0" w:color="auto"/>
            </w:tcBorders>
          </w:tcPr>
          <w:p w:rsidR="0067160A" w:rsidRPr="009D4A13" w:rsidRDefault="007D340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EF0D68" w:rsidRPr="009D4A13">
              <w:rPr>
                <w:rFonts w:ascii="Times New Roman" w:eastAsiaTheme="minorEastAsia" w:hAnsi="Times New Roman" w:cs="Times New Roman"/>
                <w:sz w:val="24"/>
                <w:szCs w:val="24"/>
              </w:rPr>
              <w:t>1427</w:t>
            </w:r>
          </w:p>
        </w:tc>
        <w:tc>
          <w:tcPr>
            <w:tcW w:w="0" w:type="auto"/>
            <w:tcBorders>
              <w:top w:val="single" w:sz="4" w:space="0" w:color="auto"/>
            </w:tcBorders>
          </w:tcPr>
          <w:p w:rsidR="0067160A"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0.0161</w:t>
            </w:r>
          </w:p>
          <w:p w:rsidR="002D33AB"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(0.0159</w:t>
            </w:r>
            <w:r w:rsidR="002D33AB" w:rsidRPr="009D4A13">
              <w:rPr>
                <w:rFonts w:ascii="Times New Roman" w:eastAsiaTheme="minorEastAsia" w:hAnsi="Times New Roman" w:cs="Times New Roman"/>
                <w:sz w:val="24"/>
                <w:szCs w:val="24"/>
              </w:rPr>
              <w:t>)</w:t>
            </w:r>
          </w:p>
        </w:tc>
        <w:tc>
          <w:tcPr>
            <w:tcW w:w="0" w:type="auto"/>
            <w:tcBorders>
              <w:top w:val="single" w:sz="4" w:space="0" w:color="auto"/>
            </w:tcBorders>
          </w:tcPr>
          <w:p w:rsidR="0067160A" w:rsidRPr="009D4A13" w:rsidRDefault="002D33AB"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0.3</w:t>
            </w:r>
            <w:r w:rsidR="00D0047F" w:rsidRPr="009D4A13">
              <w:rPr>
                <w:rFonts w:ascii="Times New Roman" w:eastAsiaTheme="minorEastAsia" w:hAnsi="Times New Roman" w:cs="Times New Roman"/>
                <w:sz w:val="24"/>
                <w:szCs w:val="24"/>
              </w:rPr>
              <w:t>122</w:t>
            </w:r>
          </w:p>
        </w:tc>
        <w:tc>
          <w:tcPr>
            <w:tcW w:w="0" w:type="auto"/>
            <w:tcBorders>
              <w:top w:val="single" w:sz="4" w:space="0" w:color="auto"/>
            </w:tcBorders>
          </w:tcPr>
          <w:p w:rsidR="0067160A"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0.0100</w:t>
            </w:r>
          </w:p>
          <w:p w:rsidR="00323FAF"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(0.0140</w:t>
            </w:r>
            <w:r w:rsidR="00323FAF" w:rsidRPr="009D4A13">
              <w:rPr>
                <w:rFonts w:ascii="Times New Roman" w:eastAsiaTheme="minorEastAsia" w:hAnsi="Times New Roman" w:cs="Times New Roman"/>
                <w:sz w:val="24"/>
                <w:szCs w:val="24"/>
              </w:rPr>
              <w:t>)</w:t>
            </w:r>
          </w:p>
        </w:tc>
        <w:tc>
          <w:tcPr>
            <w:tcW w:w="0" w:type="auto"/>
            <w:tcBorders>
              <w:top w:val="single" w:sz="4" w:space="0" w:color="auto"/>
            </w:tcBorders>
          </w:tcPr>
          <w:p w:rsidR="0067160A" w:rsidRPr="009D4A13" w:rsidRDefault="00323FA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0.4</w:t>
            </w:r>
            <w:r w:rsidR="000F1864" w:rsidRPr="009D4A13">
              <w:rPr>
                <w:rFonts w:ascii="Times New Roman" w:eastAsiaTheme="minorEastAsia" w:hAnsi="Times New Roman" w:cs="Times New Roman"/>
                <w:sz w:val="24"/>
                <w:szCs w:val="24"/>
              </w:rPr>
              <w:t>720</w:t>
            </w:r>
          </w:p>
        </w:tc>
      </w:tr>
      <w:tr w:rsidR="00E25DFA" w:rsidRPr="009D4A13" w:rsidTr="00615875">
        <w:tc>
          <w:tcPr>
            <w:tcW w:w="0" w:type="auto"/>
          </w:tcPr>
          <w:p w:rsidR="0067160A" w:rsidRPr="009D4A13" w:rsidRDefault="00B70A60" w:rsidP="0056476B">
            <w:pPr>
              <w:jc w:val="center"/>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φ</m:t>
                    </m:r>
                  </m:e>
                  <m:sub>
                    <m:r>
                      <m:rPr>
                        <m:sty m:val="bi"/>
                      </m:rPr>
                      <w:rPr>
                        <w:rFonts w:ascii="Cambria Math" w:eastAsiaTheme="minorEastAsia" w:hAnsi="Cambria Math" w:cs="Times New Roman"/>
                        <w:sz w:val="24"/>
                        <w:szCs w:val="24"/>
                      </w:rPr>
                      <m:t>1</m:t>
                    </m:r>
                  </m:sub>
                </m:sSub>
              </m:oMath>
            </m:oMathPara>
          </w:p>
        </w:tc>
        <w:tc>
          <w:tcPr>
            <w:tcW w:w="0" w:type="auto"/>
          </w:tcPr>
          <w:p w:rsidR="0067160A"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0.0001</w:t>
            </w:r>
          </w:p>
          <w:p w:rsidR="007D340D" w:rsidRPr="009D4A13" w:rsidRDefault="00D11BB1"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(0.0002</w:t>
            </w:r>
            <w:r w:rsidR="007D340D" w:rsidRPr="009D4A13">
              <w:rPr>
                <w:rFonts w:ascii="Times New Roman" w:eastAsiaTheme="minorEastAsia" w:hAnsi="Times New Roman" w:cs="Times New Roman"/>
                <w:sz w:val="24"/>
                <w:szCs w:val="24"/>
              </w:rPr>
              <w:t>)</w:t>
            </w:r>
          </w:p>
        </w:tc>
        <w:tc>
          <w:tcPr>
            <w:tcW w:w="0" w:type="auto"/>
          </w:tcPr>
          <w:p w:rsidR="0067160A" w:rsidRPr="009D4A13" w:rsidRDefault="007D340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D11BB1" w:rsidRPr="009D4A13">
              <w:rPr>
                <w:rFonts w:ascii="Times New Roman" w:eastAsiaTheme="minorEastAsia" w:hAnsi="Times New Roman" w:cs="Times New Roman"/>
                <w:sz w:val="24"/>
                <w:szCs w:val="24"/>
              </w:rPr>
              <w:t>6</w:t>
            </w:r>
            <w:r w:rsidR="00EF0D68" w:rsidRPr="009D4A13">
              <w:rPr>
                <w:rFonts w:ascii="Times New Roman" w:eastAsiaTheme="minorEastAsia" w:hAnsi="Times New Roman" w:cs="Times New Roman"/>
                <w:sz w:val="24"/>
                <w:szCs w:val="24"/>
              </w:rPr>
              <w:t>423</w:t>
            </w:r>
          </w:p>
        </w:tc>
        <w:tc>
          <w:tcPr>
            <w:tcW w:w="0" w:type="auto"/>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D0047F" w:rsidRPr="009D4A13">
              <w:rPr>
                <w:rFonts w:ascii="Times New Roman" w:eastAsiaTheme="minorEastAsia" w:hAnsi="Times New Roman" w:cs="Times New Roman"/>
                <w:sz w:val="24"/>
                <w:szCs w:val="24"/>
              </w:rPr>
              <w:t>5.39</w:t>
            </w:r>
            <w:r w:rsidR="002D33AB" w:rsidRPr="009D4A13">
              <w:rPr>
                <w:rFonts w:ascii="Times New Roman" w:eastAsiaTheme="minorEastAsia" w:hAnsi="Times New Roman" w:cs="Times New Roman"/>
                <w:sz w:val="24"/>
                <w:szCs w:val="24"/>
              </w:rPr>
              <w:t>x10</w:t>
            </w:r>
            <w:r>
              <w:rPr>
                <w:rFonts w:ascii="Times New Roman" w:eastAsiaTheme="minorEastAsia" w:hAnsi="Times New Roman" w:cs="Times New Roman"/>
                <w:sz w:val="24"/>
                <w:szCs w:val="24"/>
                <w:vertAlign w:val="superscript"/>
              </w:rPr>
              <w:t>–</w:t>
            </w:r>
            <w:r w:rsidR="002D33AB" w:rsidRPr="009D4A13">
              <w:rPr>
                <w:rFonts w:ascii="Times New Roman" w:eastAsiaTheme="minorEastAsia" w:hAnsi="Times New Roman" w:cs="Times New Roman"/>
                <w:sz w:val="24"/>
                <w:szCs w:val="24"/>
                <w:vertAlign w:val="superscript"/>
              </w:rPr>
              <w:t>5</w:t>
            </w:r>
          </w:p>
          <w:p w:rsidR="002D33AB" w:rsidRPr="009D4A13" w:rsidRDefault="002D33AB"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(0.0005)</w:t>
            </w:r>
          </w:p>
        </w:tc>
        <w:tc>
          <w:tcPr>
            <w:tcW w:w="0" w:type="auto"/>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0.9</w:t>
            </w:r>
            <w:r w:rsidR="00D0047F" w:rsidRPr="009D4A13">
              <w:rPr>
                <w:rFonts w:ascii="Times New Roman" w:eastAsiaTheme="minorEastAsia" w:hAnsi="Times New Roman" w:cs="Times New Roman"/>
                <w:sz w:val="24"/>
                <w:szCs w:val="24"/>
              </w:rPr>
              <w:t>190</w:t>
            </w:r>
          </w:p>
        </w:tc>
        <w:tc>
          <w:tcPr>
            <w:tcW w:w="0" w:type="auto"/>
          </w:tcPr>
          <w:p w:rsidR="0067160A"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0.0001</w:t>
            </w:r>
          </w:p>
          <w:p w:rsidR="00323FAF"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(0.0002</w:t>
            </w:r>
            <w:r w:rsidR="00323FAF" w:rsidRPr="009D4A13">
              <w:rPr>
                <w:rFonts w:ascii="Times New Roman" w:eastAsiaTheme="minorEastAsia" w:hAnsi="Times New Roman" w:cs="Times New Roman"/>
                <w:sz w:val="24"/>
                <w:szCs w:val="24"/>
              </w:rPr>
              <w:t>)</w:t>
            </w:r>
          </w:p>
        </w:tc>
        <w:tc>
          <w:tcPr>
            <w:tcW w:w="0" w:type="auto"/>
          </w:tcPr>
          <w:p w:rsidR="0067160A" w:rsidRPr="009D4A13" w:rsidRDefault="00323FA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0F1864" w:rsidRPr="009D4A13">
              <w:rPr>
                <w:rFonts w:ascii="Times New Roman" w:eastAsiaTheme="minorEastAsia" w:hAnsi="Times New Roman" w:cs="Times New Roman"/>
                <w:sz w:val="24"/>
                <w:szCs w:val="24"/>
              </w:rPr>
              <w:t>6571</w:t>
            </w:r>
          </w:p>
        </w:tc>
      </w:tr>
      <w:tr w:rsidR="00E25DFA" w:rsidRPr="009D4A13" w:rsidTr="00615875">
        <w:tc>
          <w:tcPr>
            <w:tcW w:w="0" w:type="auto"/>
          </w:tcPr>
          <w:p w:rsidR="0067160A" w:rsidRPr="009D4A13" w:rsidRDefault="00B70A60" w:rsidP="0056476B">
            <w:pPr>
              <w:jc w:val="center"/>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φ</m:t>
                    </m:r>
                  </m:e>
                  <m:sub>
                    <m:r>
                      <m:rPr>
                        <m:sty m:val="bi"/>
                      </m:rPr>
                      <w:rPr>
                        <w:rFonts w:ascii="Cambria Math" w:eastAsiaTheme="minorEastAsia" w:hAnsi="Cambria Math" w:cs="Times New Roman"/>
                        <w:sz w:val="24"/>
                        <w:szCs w:val="24"/>
                      </w:rPr>
                      <m:t>2</m:t>
                    </m:r>
                  </m:sub>
                </m:sSub>
              </m:oMath>
            </m:oMathPara>
          </w:p>
        </w:tc>
        <w:tc>
          <w:tcPr>
            <w:tcW w:w="0" w:type="auto"/>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F0D68" w:rsidRPr="009D4A13">
              <w:rPr>
                <w:rFonts w:ascii="Times New Roman" w:eastAsiaTheme="minorEastAsia" w:hAnsi="Times New Roman" w:cs="Times New Roman"/>
                <w:sz w:val="24"/>
                <w:szCs w:val="24"/>
              </w:rPr>
              <w:t>0.0305</w:t>
            </w:r>
          </w:p>
          <w:p w:rsidR="007D340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(0.0260</w:t>
            </w:r>
            <w:r w:rsidR="007D340D" w:rsidRPr="009D4A13">
              <w:rPr>
                <w:rFonts w:ascii="Times New Roman" w:eastAsiaTheme="minorEastAsia" w:hAnsi="Times New Roman" w:cs="Times New Roman"/>
                <w:sz w:val="24"/>
                <w:szCs w:val="24"/>
              </w:rPr>
              <w:t>)</w:t>
            </w:r>
          </w:p>
        </w:tc>
        <w:tc>
          <w:tcPr>
            <w:tcW w:w="0" w:type="auto"/>
          </w:tcPr>
          <w:p w:rsidR="0067160A" w:rsidRPr="009D4A13" w:rsidRDefault="007D340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D11BB1" w:rsidRPr="009D4A13">
              <w:rPr>
                <w:rFonts w:ascii="Times New Roman" w:eastAsiaTheme="minorEastAsia" w:hAnsi="Times New Roman" w:cs="Times New Roman"/>
                <w:sz w:val="24"/>
                <w:szCs w:val="24"/>
              </w:rPr>
              <w:t>2</w:t>
            </w:r>
            <w:r w:rsidR="00EF0D68" w:rsidRPr="009D4A13">
              <w:rPr>
                <w:rFonts w:ascii="Times New Roman" w:eastAsiaTheme="minorEastAsia" w:hAnsi="Times New Roman" w:cs="Times New Roman"/>
                <w:sz w:val="24"/>
                <w:szCs w:val="24"/>
              </w:rPr>
              <w:t>572</w:t>
            </w:r>
          </w:p>
        </w:tc>
        <w:tc>
          <w:tcPr>
            <w:tcW w:w="0" w:type="auto"/>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D0047F" w:rsidRPr="009D4A13">
              <w:rPr>
                <w:rFonts w:ascii="Times New Roman" w:eastAsiaTheme="minorEastAsia" w:hAnsi="Times New Roman" w:cs="Times New Roman"/>
                <w:sz w:val="24"/>
                <w:szCs w:val="24"/>
              </w:rPr>
              <w:t>0.0176</w:t>
            </w:r>
          </w:p>
          <w:p w:rsidR="00911018"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(0.0366</w:t>
            </w:r>
            <w:r w:rsidR="00911018" w:rsidRPr="009D4A13">
              <w:rPr>
                <w:rFonts w:ascii="Times New Roman" w:eastAsiaTheme="minorEastAsia" w:hAnsi="Times New Roman" w:cs="Times New Roman"/>
                <w:sz w:val="24"/>
                <w:szCs w:val="24"/>
              </w:rPr>
              <w:t>)</w:t>
            </w:r>
          </w:p>
        </w:tc>
        <w:tc>
          <w:tcPr>
            <w:tcW w:w="0" w:type="auto"/>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w:t>
            </w:r>
            <w:r w:rsidR="00D0047F" w:rsidRPr="009D4A13">
              <w:rPr>
                <w:rFonts w:ascii="Times New Roman" w:eastAsiaTheme="minorEastAsia" w:hAnsi="Times New Roman" w:cs="Times New Roman"/>
                <w:sz w:val="24"/>
                <w:szCs w:val="24"/>
              </w:rPr>
              <w:t>300</w:t>
            </w:r>
          </w:p>
        </w:tc>
        <w:tc>
          <w:tcPr>
            <w:tcW w:w="0" w:type="auto"/>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0F1864" w:rsidRPr="009D4A13">
              <w:rPr>
                <w:rFonts w:ascii="Times New Roman" w:eastAsiaTheme="minorEastAsia" w:hAnsi="Times New Roman" w:cs="Times New Roman"/>
                <w:sz w:val="24"/>
                <w:szCs w:val="24"/>
              </w:rPr>
              <w:t>0.0605</w:t>
            </w:r>
          </w:p>
          <w:p w:rsidR="00323FAF"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(0.0530</w:t>
            </w:r>
            <w:r w:rsidR="00323FAF" w:rsidRPr="009D4A13">
              <w:rPr>
                <w:rFonts w:ascii="Times New Roman" w:eastAsiaTheme="minorEastAsia" w:hAnsi="Times New Roman" w:cs="Times New Roman"/>
                <w:sz w:val="24"/>
                <w:szCs w:val="24"/>
              </w:rPr>
              <w:t>)</w:t>
            </w:r>
          </w:p>
        </w:tc>
        <w:tc>
          <w:tcPr>
            <w:tcW w:w="0" w:type="auto"/>
          </w:tcPr>
          <w:p w:rsidR="0067160A" w:rsidRPr="009D4A13" w:rsidRDefault="00323FA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0F1864" w:rsidRPr="009D4A13">
              <w:rPr>
                <w:rFonts w:ascii="Times New Roman" w:eastAsiaTheme="minorEastAsia" w:hAnsi="Times New Roman" w:cs="Times New Roman"/>
                <w:sz w:val="24"/>
                <w:szCs w:val="24"/>
              </w:rPr>
              <w:t>2541</w:t>
            </w:r>
          </w:p>
        </w:tc>
      </w:tr>
      <w:tr w:rsidR="00E25DFA" w:rsidRPr="009D4A13" w:rsidTr="00615875">
        <w:tc>
          <w:tcPr>
            <w:tcW w:w="0" w:type="auto"/>
          </w:tcPr>
          <w:p w:rsidR="0067160A" w:rsidRPr="009D4A13" w:rsidRDefault="00B70A60" w:rsidP="0056476B">
            <w:pPr>
              <w:jc w:val="center"/>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φ</m:t>
                    </m:r>
                  </m:e>
                  <m:sub>
                    <m:r>
                      <m:rPr>
                        <m:sty m:val="bi"/>
                      </m:rPr>
                      <w:rPr>
                        <w:rFonts w:ascii="Cambria Math" w:eastAsiaTheme="minorEastAsia" w:hAnsi="Cambria Math" w:cs="Times New Roman"/>
                        <w:sz w:val="24"/>
                        <w:szCs w:val="24"/>
                      </w:rPr>
                      <m:t>3</m:t>
                    </m:r>
                  </m:sub>
                </m:sSub>
              </m:oMath>
            </m:oMathPara>
          </w:p>
        </w:tc>
        <w:tc>
          <w:tcPr>
            <w:tcW w:w="0" w:type="auto"/>
          </w:tcPr>
          <w:p w:rsidR="00851C3C"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7.0175</w:t>
            </w:r>
            <w:r w:rsidR="00851C3C" w:rsidRPr="009D4A13">
              <w:rPr>
                <w:rFonts w:ascii="Times New Roman" w:eastAsiaTheme="minorEastAsia" w:hAnsi="Times New Roman" w:cs="Times New Roman"/>
                <w:sz w:val="24"/>
                <w:szCs w:val="24"/>
              </w:rPr>
              <w:t>***</w:t>
            </w:r>
          </w:p>
          <w:p w:rsidR="007D340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(0.4405</w:t>
            </w:r>
            <w:r w:rsidR="00851C3C" w:rsidRPr="009D4A13">
              <w:rPr>
                <w:rFonts w:ascii="Times New Roman" w:eastAsiaTheme="minorEastAsia" w:hAnsi="Times New Roman" w:cs="Times New Roman"/>
                <w:sz w:val="24"/>
                <w:szCs w:val="24"/>
              </w:rPr>
              <w:t>)</w:t>
            </w:r>
          </w:p>
        </w:tc>
        <w:tc>
          <w:tcPr>
            <w:tcW w:w="0" w:type="auto"/>
          </w:tcPr>
          <w:p w:rsidR="0067160A" w:rsidRPr="009D4A13" w:rsidRDefault="00851C3C"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Pr>
          <w:p w:rsidR="00851C3C"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6.9205</w:t>
            </w:r>
            <w:r w:rsidR="00851C3C" w:rsidRPr="009D4A13">
              <w:rPr>
                <w:rFonts w:ascii="Times New Roman" w:eastAsiaTheme="minorEastAsia" w:hAnsi="Times New Roman" w:cs="Times New Roman"/>
                <w:sz w:val="24"/>
                <w:szCs w:val="24"/>
              </w:rPr>
              <w:t>***</w:t>
            </w:r>
          </w:p>
          <w:p w:rsidR="00911018"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(0.4391</w:t>
            </w:r>
            <w:r w:rsidR="00851C3C" w:rsidRPr="009D4A13">
              <w:rPr>
                <w:rFonts w:ascii="Times New Roman" w:eastAsiaTheme="minorEastAsia" w:hAnsi="Times New Roman" w:cs="Times New Roman"/>
                <w:sz w:val="24"/>
                <w:szCs w:val="24"/>
              </w:rPr>
              <w:t>)</w:t>
            </w:r>
          </w:p>
        </w:tc>
        <w:tc>
          <w:tcPr>
            <w:tcW w:w="0" w:type="auto"/>
          </w:tcPr>
          <w:p w:rsidR="0067160A" w:rsidRPr="009D4A13" w:rsidRDefault="00851C3C"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Pr>
          <w:p w:rsidR="00851C3C"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6.9372</w:t>
            </w:r>
            <w:r w:rsidR="00851C3C" w:rsidRPr="009D4A13">
              <w:rPr>
                <w:rFonts w:ascii="Times New Roman" w:eastAsiaTheme="minorEastAsia" w:hAnsi="Times New Roman" w:cs="Times New Roman"/>
                <w:sz w:val="24"/>
                <w:szCs w:val="24"/>
              </w:rPr>
              <w:t>***</w:t>
            </w:r>
          </w:p>
          <w:p w:rsidR="00323FAF"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(0.4401</w:t>
            </w:r>
            <w:r w:rsidR="00851C3C" w:rsidRPr="009D4A13">
              <w:rPr>
                <w:rFonts w:ascii="Times New Roman" w:eastAsiaTheme="minorEastAsia" w:hAnsi="Times New Roman" w:cs="Times New Roman"/>
                <w:sz w:val="24"/>
                <w:szCs w:val="24"/>
              </w:rPr>
              <w:t>)</w:t>
            </w:r>
          </w:p>
        </w:tc>
        <w:tc>
          <w:tcPr>
            <w:tcW w:w="0" w:type="auto"/>
          </w:tcPr>
          <w:p w:rsidR="0067160A" w:rsidRPr="009D4A13" w:rsidRDefault="00851C3C"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r>
      <w:tr w:rsidR="00E25DFA" w:rsidRPr="009D4A13" w:rsidTr="00615875">
        <w:tc>
          <w:tcPr>
            <w:tcW w:w="0" w:type="auto"/>
            <w:tcBorders>
              <w:bottom w:val="single" w:sz="4" w:space="0" w:color="auto"/>
            </w:tcBorders>
          </w:tcPr>
          <w:p w:rsidR="0067160A" w:rsidRPr="009D4A13" w:rsidRDefault="00B70A60" w:rsidP="0056476B">
            <w:pPr>
              <w:jc w:val="center"/>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lang w:eastAsia="tr-TR"/>
                      </w:rPr>
                      <m:t>η</m:t>
                    </m:r>
                  </m:e>
                  <m:sub>
                    <m:r>
                      <m:rPr>
                        <m:sty m:val="bi"/>
                      </m:rPr>
                      <w:rPr>
                        <w:rFonts w:ascii="Cambria Math" w:eastAsiaTheme="minorEastAsia" w:hAnsi="Cambria Math" w:cs="Times New Roman"/>
                        <w:sz w:val="24"/>
                        <w:szCs w:val="24"/>
                      </w:rPr>
                      <m:t>t</m:t>
                    </m:r>
                  </m:sub>
                </m:sSub>
              </m:oMath>
            </m:oMathPara>
          </w:p>
        </w:tc>
        <w:tc>
          <w:tcPr>
            <w:tcW w:w="0" w:type="auto"/>
            <w:tcBorders>
              <w:bottom w:val="single" w:sz="4" w:space="0" w:color="auto"/>
            </w:tcBorders>
          </w:tcPr>
          <w:p w:rsidR="0067160A"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0.0432</w:t>
            </w:r>
            <w:r w:rsidR="007D340D" w:rsidRPr="009D4A13">
              <w:rPr>
                <w:rFonts w:ascii="Times New Roman" w:eastAsiaTheme="minorEastAsia" w:hAnsi="Times New Roman" w:cs="Times New Roman"/>
                <w:sz w:val="24"/>
                <w:szCs w:val="24"/>
              </w:rPr>
              <w:t>*</w:t>
            </w:r>
          </w:p>
          <w:p w:rsidR="007D340D" w:rsidRPr="009D4A13" w:rsidRDefault="00D11BB1"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(0.0260</w:t>
            </w:r>
            <w:r w:rsidR="007D340D" w:rsidRPr="009D4A13">
              <w:rPr>
                <w:rFonts w:ascii="Times New Roman" w:eastAsiaTheme="minorEastAsia" w:hAnsi="Times New Roman" w:cs="Times New Roman"/>
                <w:sz w:val="24"/>
                <w:szCs w:val="24"/>
              </w:rPr>
              <w:t>)</w:t>
            </w:r>
          </w:p>
        </w:tc>
        <w:tc>
          <w:tcPr>
            <w:tcW w:w="0" w:type="auto"/>
            <w:tcBorders>
              <w:bottom w:val="single" w:sz="4" w:space="0" w:color="auto"/>
            </w:tcBorders>
          </w:tcPr>
          <w:p w:rsidR="0067160A" w:rsidRPr="009D4A13" w:rsidRDefault="007D340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0.09</w:t>
            </w:r>
            <w:r w:rsidR="00EF0D68" w:rsidRPr="009D4A13">
              <w:rPr>
                <w:rFonts w:ascii="Times New Roman" w:eastAsiaTheme="minorEastAsia" w:hAnsi="Times New Roman" w:cs="Times New Roman"/>
                <w:sz w:val="24"/>
                <w:szCs w:val="24"/>
              </w:rPr>
              <w:t>69</w:t>
            </w:r>
          </w:p>
        </w:tc>
        <w:tc>
          <w:tcPr>
            <w:tcW w:w="0" w:type="auto"/>
            <w:tcBorders>
              <w:bottom w:val="single" w:sz="4" w:space="0" w:color="auto"/>
            </w:tcBorders>
          </w:tcPr>
          <w:p w:rsidR="0067160A"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0.0431</w:t>
            </w:r>
            <w:r w:rsidR="00911018" w:rsidRPr="009D4A13">
              <w:rPr>
                <w:rFonts w:ascii="Times New Roman" w:eastAsiaTheme="minorEastAsia" w:hAnsi="Times New Roman" w:cs="Times New Roman"/>
                <w:sz w:val="24"/>
                <w:szCs w:val="24"/>
              </w:rPr>
              <w:t>*</w:t>
            </w:r>
          </w:p>
          <w:p w:rsidR="00911018"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(0.0259)</w:t>
            </w:r>
          </w:p>
        </w:tc>
        <w:tc>
          <w:tcPr>
            <w:tcW w:w="0" w:type="auto"/>
            <w:tcBorders>
              <w:bottom w:val="single" w:sz="4" w:space="0" w:color="auto"/>
            </w:tcBorders>
          </w:tcPr>
          <w:p w:rsidR="0067160A"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0.096</w:t>
            </w:r>
            <w:r w:rsidR="00911018" w:rsidRPr="009D4A13">
              <w:rPr>
                <w:rFonts w:ascii="Times New Roman" w:eastAsiaTheme="minorEastAsia" w:hAnsi="Times New Roman" w:cs="Times New Roman"/>
                <w:sz w:val="24"/>
                <w:szCs w:val="24"/>
              </w:rPr>
              <w:t>1</w:t>
            </w:r>
          </w:p>
        </w:tc>
        <w:tc>
          <w:tcPr>
            <w:tcW w:w="0" w:type="auto"/>
            <w:tcBorders>
              <w:bottom w:val="single" w:sz="4" w:space="0" w:color="auto"/>
            </w:tcBorders>
          </w:tcPr>
          <w:p w:rsidR="0067160A"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0.0433*</w:t>
            </w:r>
          </w:p>
          <w:p w:rsidR="00323FAF" w:rsidRPr="009D4A13" w:rsidRDefault="000F18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(0.0262</w:t>
            </w:r>
            <w:r w:rsidR="00323FAF" w:rsidRPr="009D4A13">
              <w:rPr>
                <w:rFonts w:ascii="Times New Roman" w:eastAsiaTheme="minorEastAsia" w:hAnsi="Times New Roman" w:cs="Times New Roman"/>
                <w:sz w:val="24"/>
                <w:szCs w:val="24"/>
              </w:rPr>
              <w:t>)</w:t>
            </w:r>
          </w:p>
        </w:tc>
        <w:tc>
          <w:tcPr>
            <w:tcW w:w="0" w:type="auto"/>
            <w:tcBorders>
              <w:bottom w:val="single" w:sz="4" w:space="0" w:color="auto"/>
            </w:tcBorders>
          </w:tcPr>
          <w:p w:rsidR="0067160A" w:rsidRPr="009D4A13" w:rsidRDefault="00323FA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0F1864" w:rsidRPr="009D4A13">
              <w:rPr>
                <w:rFonts w:ascii="Times New Roman" w:eastAsiaTheme="minorEastAsia" w:hAnsi="Times New Roman" w:cs="Times New Roman"/>
                <w:sz w:val="24"/>
                <w:szCs w:val="24"/>
              </w:rPr>
              <w:t>0987</w:t>
            </w:r>
          </w:p>
        </w:tc>
      </w:tr>
      <w:tr w:rsidR="00C13F8B" w:rsidRPr="009D4A13" w:rsidTr="00615875">
        <w:tc>
          <w:tcPr>
            <w:tcW w:w="0" w:type="auto"/>
            <w:gridSpan w:val="7"/>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b/>
                <w:i/>
                <w:sz w:val="24"/>
                <w:szCs w:val="24"/>
              </w:rPr>
            </w:pPr>
            <w:r w:rsidRPr="009D4A13">
              <w:rPr>
                <w:rFonts w:ascii="Times New Roman" w:eastAsiaTheme="minorEastAsia" w:hAnsi="Times New Roman" w:cs="Times New Roman"/>
                <w:b/>
                <w:i/>
                <w:sz w:val="24"/>
                <w:szCs w:val="24"/>
              </w:rPr>
              <w:t>Variance Equation</w:t>
            </w:r>
            <w:r w:rsidR="0006755F" w:rsidRPr="009D4A13">
              <w:rPr>
                <w:rFonts w:ascii="Times New Roman" w:eastAsiaTheme="minorEastAsia" w:hAnsi="Times New Roman" w:cs="Times New Roman"/>
                <w:b/>
                <w:i/>
                <w:sz w:val="24"/>
                <w:szCs w:val="24"/>
              </w:rPr>
              <w:t xml:space="preserve">: </w:t>
            </w:r>
            <w:r w:rsidR="0006755F" w:rsidRPr="009D4A13">
              <w:rPr>
                <w:rFonts w:ascii="Times New Roman" w:hAnsi="Times New Roman" w:cs="Times New Roman"/>
                <w:position w:val="-30"/>
                <w:sz w:val="24"/>
                <w:szCs w:val="24"/>
                <w:lang w:eastAsia="tr-TR"/>
              </w:rPr>
              <w:object w:dxaOrig="9260" w:dyaOrig="720">
                <v:shape id="_x0000_i1045" type="#_x0000_t75" style="width:453pt;height:35.4pt" o:ole="">
                  <v:imagedata r:id="rId15" o:title=""/>
                </v:shape>
                <o:OLEObject Type="Embed" ProgID="Equation.3" ShapeID="_x0000_i1045" DrawAspect="Content" ObjectID="_1458128523" r:id="rId49"/>
              </w:object>
            </w:r>
          </w:p>
        </w:tc>
      </w:tr>
      <w:tr w:rsidR="00E25DFA" w:rsidRPr="009D4A13" w:rsidTr="00615875">
        <w:tc>
          <w:tcPr>
            <w:tcW w:w="0" w:type="auto"/>
            <w:tcBorders>
              <w:top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m:oMathPara>
              <m:oMath>
                <m:r>
                  <m:rPr>
                    <m:sty m:val="bi"/>
                  </m:rPr>
                  <w:rPr>
                    <w:rFonts w:ascii="Cambria Math" w:hAnsi="Cambria Math" w:cs="Times New Roman"/>
                    <w:sz w:val="24"/>
                    <w:szCs w:val="24"/>
                    <w:lang w:eastAsia="tr-TR"/>
                  </w:rPr>
                  <m:t>ω</m:t>
                </m:r>
              </m:oMath>
            </m:oMathPara>
          </w:p>
        </w:tc>
        <w:tc>
          <w:tcPr>
            <w:tcW w:w="0" w:type="auto"/>
            <w:tcBorders>
              <w:top w:val="single" w:sz="4" w:space="0" w:color="auto"/>
            </w:tcBorders>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F0D68" w:rsidRPr="009D4A13">
              <w:rPr>
                <w:rFonts w:ascii="Times New Roman" w:eastAsiaTheme="minorEastAsia" w:hAnsi="Times New Roman" w:cs="Times New Roman"/>
                <w:sz w:val="24"/>
                <w:szCs w:val="24"/>
              </w:rPr>
              <w:t>0.2170</w:t>
            </w:r>
            <w:r w:rsidR="00B62BFD" w:rsidRPr="009D4A13">
              <w:rPr>
                <w:rFonts w:ascii="Times New Roman" w:eastAsiaTheme="minorEastAsia" w:hAnsi="Times New Roman" w:cs="Times New Roman"/>
                <w:sz w:val="24"/>
                <w:szCs w:val="24"/>
              </w:rPr>
              <w:t>***</w:t>
            </w:r>
          </w:p>
          <w:p w:rsidR="00B62BF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(0.0352</w:t>
            </w:r>
            <w:r w:rsidR="00B62BFD" w:rsidRPr="009D4A13">
              <w:rPr>
                <w:rFonts w:ascii="Times New Roman" w:eastAsiaTheme="minorEastAsia" w:hAnsi="Times New Roman" w:cs="Times New Roman"/>
                <w:sz w:val="24"/>
                <w:szCs w:val="24"/>
              </w:rPr>
              <w:t>)</w:t>
            </w:r>
          </w:p>
        </w:tc>
        <w:tc>
          <w:tcPr>
            <w:tcW w:w="0" w:type="auto"/>
            <w:tcBorders>
              <w:top w:val="single" w:sz="4" w:space="0" w:color="auto"/>
            </w:tcBorders>
          </w:tcPr>
          <w:p w:rsidR="0067160A" w:rsidRPr="009D4A13" w:rsidRDefault="00B62BF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Borders>
              <w:top w:val="single" w:sz="4" w:space="0" w:color="auto"/>
            </w:tcBorders>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D0047F" w:rsidRPr="009D4A13">
              <w:rPr>
                <w:rFonts w:ascii="Times New Roman" w:eastAsiaTheme="minorEastAsia" w:hAnsi="Times New Roman" w:cs="Times New Roman"/>
                <w:sz w:val="24"/>
                <w:szCs w:val="24"/>
              </w:rPr>
              <w:t>0.2127</w:t>
            </w:r>
            <w:r w:rsidR="00911018" w:rsidRPr="009D4A13">
              <w:rPr>
                <w:rFonts w:ascii="Times New Roman" w:eastAsiaTheme="minorEastAsia" w:hAnsi="Times New Roman" w:cs="Times New Roman"/>
                <w:sz w:val="24"/>
                <w:szCs w:val="24"/>
              </w:rPr>
              <w:t>***</w:t>
            </w:r>
          </w:p>
          <w:p w:rsidR="00911018"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(0.0345</w:t>
            </w:r>
            <w:r w:rsidR="00911018" w:rsidRPr="009D4A13">
              <w:rPr>
                <w:rFonts w:ascii="Times New Roman" w:eastAsiaTheme="minorEastAsia" w:hAnsi="Times New Roman" w:cs="Times New Roman"/>
                <w:sz w:val="24"/>
                <w:szCs w:val="24"/>
              </w:rPr>
              <w:t>)</w:t>
            </w:r>
          </w:p>
        </w:tc>
        <w:tc>
          <w:tcPr>
            <w:tcW w:w="0" w:type="auto"/>
            <w:tcBorders>
              <w:top w:val="single" w:sz="4" w:space="0" w:color="auto"/>
            </w:tcBorders>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Borders>
              <w:top w:val="single" w:sz="4" w:space="0" w:color="auto"/>
            </w:tcBorders>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BF69AA" w:rsidRPr="009D4A13">
              <w:rPr>
                <w:rFonts w:ascii="Times New Roman" w:eastAsiaTheme="minorEastAsia" w:hAnsi="Times New Roman" w:cs="Times New Roman"/>
                <w:sz w:val="24"/>
                <w:szCs w:val="24"/>
              </w:rPr>
              <w:t>0.2182</w:t>
            </w:r>
            <w:r w:rsidR="008F2DF4" w:rsidRPr="009D4A13">
              <w:rPr>
                <w:rFonts w:ascii="Times New Roman" w:eastAsiaTheme="minorEastAsia" w:hAnsi="Times New Roman" w:cs="Times New Roman"/>
                <w:sz w:val="24"/>
                <w:szCs w:val="24"/>
              </w:rPr>
              <w:t>***</w:t>
            </w:r>
          </w:p>
          <w:p w:rsidR="008F2DF4"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(0.0385</w:t>
            </w:r>
            <w:r w:rsidR="008F2DF4" w:rsidRPr="009D4A13">
              <w:rPr>
                <w:rFonts w:ascii="Times New Roman" w:eastAsiaTheme="minorEastAsia" w:hAnsi="Times New Roman" w:cs="Times New Roman"/>
                <w:sz w:val="24"/>
                <w:szCs w:val="24"/>
              </w:rPr>
              <w:t>)</w:t>
            </w:r>
          </w:p>
        </w:tc>
        <w:tc>
          <w:tcPr>
            <w:tcW w:w="0" w:type="auto"/>
            <w:tcBorders>
              <w:top w:val="single" w:sz="4" w:space="0" w:color="auto"/>
            </w:tcBorders>
          </w:tcPr>
          <w:p w:rsidR="0067160A"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r>
      <w:tr w:rsidR="00E25DFA" w:rsidRPr="009D4A13" w:rsidTr="00615875">
        <w:tc>
          <w:tcPr>
            <w:tcW w:w="0" w:type="auto"/>
          </w:tcPr>
          <w:p w:rsidR="0067160A" w:rsidRPr="009D4A13" w:rsidRDefault="0067160A" w:rsidP="0056476B">
            <w:pPr>
              <w:jc w:val="center"/>
              <w:rPr>
                <w:rFonts w:ascii="Times New Roman" w:eastAsiaTheme="minorEastAsia" w:hAnsi="Times New Roman" w:cs="Times New Roman"/>
                <w:sz w:val="24"/>
                <w:szCs w:val="24"/>
              </w:rPr>
            </w:pPr>
            <m:oMathPara>
              <m:oMath>
                <m:r>
                  <m:rPr>
                    <m:sty m:val="bi"/>
                  </m:rPr>
                  <w:rPr>
                    <w:rFonts w:ascii="Cambria Math" w:hAnsi="Cambria Math" w:cs="Times New Roman"/>
                    <w:sz w:val="24"/>
                    <w:szCs w:val="24"/>
                    <w:lang w:eastAsia="tr-TR"/>
                  </w:rPr>
                  <m:t>β</m:t>
                </m:r>
              </m:oMath>
            </m:oMathPara>
          </w:p>
        </w:tc>
        <w:tc>
          <w:tcPr>
            <w:tcW w:w="0" w:type="auto"/>
          </w:tcPr>
          <w:p w:rsidR="0067160A"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0.9657</w:t>
            </w:r>
            <w:r w:rsidR="00B62BFD" w:rsidRPr="009D4A13">
              <w:rPr>
                <w:rFonts w:ascii="Times New Roman" w:eastAsiaTheme="minorEastAsia" w:hAnsi="Times New Roman" w:cs="Times New Roman"/>
                <w:sz w:val="24"/>
                <w:szCs w:val="24"/>
              </w:rPr>
              <w:t>***</w:t>
            </w:r>
          </w:p>
          <w:p w:rsidR="00B62BF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(0.0110</w:t>
            </w:r>
            <w:r w:rsidR="00B62BFD" w:rsidRPr="009D4A13">
              <w:rPr>
                <w:rFonts w:ascii="Times New Roman" w:eastAsiaTheme="minorEastAsia" w:hAnsi="Times New Roman" w:cs="Times New Roman"/>
                <w:sz w:val="24"/>
                <w:szCs w:val="24"/>
              </w:rPr>
              <w:t>)</w:t>
            </w:r>
          </w:p>
        </w:tc>
        <w:tc>
          <w:tcPr>
            <w:tcW w:w="0" w:type="auto"/>
          </w:tcPr>
          <w:p w:rsidR="0067160A" w:rsidRPr="009D4A13" w:rsidRDefault="00B62BF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Pr>
          <w:p w:rsidR="0067160A"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0.9700</w:t>
            </w:r>
            <w:r w:rsidR="00911018" w:rsidRPr="009D4A13">
              <w:rPr>
                <w:rFonts w:ascii="Times New Roman" w:eastAsiaTheme="minorEastAsia" w:hAnsi="Times New Roman" w:cs="Times New Roman"/>
                <w:sz w:val="24"/>
                <w:szCs w:val="24"/>
              </w:rPr>
              <w:t>***</w:t>
            </w:r>
          </w:p>
          <w:p w:rsidR="00911018"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(0.0106</w:t>
            </w:r>
            <w:r w:rsidR="00911018" w:rsidRPr="009D4A13">
              <w:rPr>
                <w:rFonts w:ascii="Times New Roman" w:eastAsiaTheme="minorEastAsia" w:hAnsi="Times New Roman" w:cs="Times New Roman"/>
                <w:sz w:val="24"/>
                <w:szCs w:val="24"/>
              </w:rPr>
              <w:t>)</w:t>
            </w:r>
          </w:p>
        </w:tc>
        <w:tc>
          <w:tcPr>
            <w:tcW w:w="0" w:type="auto"/>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Pr>
          <w:p w:rsidR="0067160A"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0.9643</w:t>
            </w:r>
            <w:r w:rsidR="008F2DF4" w:rsidRPr="009D4A13">
              <w:rPr>
                <w:rFonts w:ascii="Times New Roman" w:eastAsiaTheme="minorEastAsia" w:hAnsi="Times New Roman" w:cs="Times New Roman"/>
                <w:sz w:val="24"/>
                <w:szCs w:val="24"/>
              </w:rPr>
              <w:t>***</w:t>
            </w:r>
          </w:p>
          <w:p w:rsidR="008F2DF4"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(0.0121</w:t>
            </w:r>
            <w:r w:rsidR="008F2DF4" w:rsidRPr="009D4A13">
              <w:rPr>
                <w:rFonts w:ascii="Times New Roman" w:eastAsiaTheme="minorEastAsia" w:hAnsi="Times New Roman" w:cs="Times New Roman"/>
                <w:sz w:val="24"/>
                <w:szCs w:val="24"/>
              </w:rPr>
              <w:t>)</w:t>
            </w:r>
          </w:p>
        </w:tc>
        <w:tc>
          <w:tcPr>
            <w:tcW w:w="0" w:type="auto"/>
          </w:tcPr>
          <w:p w:rsidR="0067160A"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r>
      <w:tr w:rsidR="00E25DFA" w:rsidRPr="009D4A13" w:rsidTr="00615875">
        <w:tc>
          <w:tcPr>
            <w:tcW w:w="0" w:type="auto"/>
          </w:tcPr>
          <w:p w:rsidR="0067160A" w:rsidRPr="009D4A13" w:rsidRDefault="0067160A" w:rsidP="0056476B">
            <w:pPr>
              <w:jc w:val="center"/>
              <w:rPr>
                <w:rFonts w:ascii="Times New Roman" w:eastAsiaTheme="minorEastAsia" w:hAnsi="Times New Roman" w:cs="Times New Roman"/>
                <w:sz w:val="24"/>
                <w:szCs w:val="24"/>
              </w:rPr>
            </w:pPr>
            <m:oMathPara>
              <m:oMath>
                <m:r>
                  <m:rPr>
                    <m:sty m:val="bi"/>
                  </m:rPr>
                  <w:rPr>
                    <w:rFonts w:ascii="Cambria Math" w:hAnsi="Cambria Math" w:cs="Times New Roman"/>
                    <w:sz w:val="24"/>
                    <w:szCs w:val="24"/>
                    <w:lang w:eastAsia="tr-TR"/>
                  </w:rPr>
                  <m:t>α</m:t>
                </m:r>
              </m:oMath>
            </m:oMathPara>
          </w:p>
        </w:tc>
        <w:tc>
          <w:tcPr>
            <w:tcW w:w="0" w:type="auto"/>
          </w:tcPr>
          <w:p w:rsidR="0067160A"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0.2231</w:t>
            </w:r>
            <w:r w:rsidR="00B62BFD" w:rsidRPr="009D4A13">
              <w:rPr>
                <w:rFonts w:ascii="Times New Roman" w:eastAsiaTheme="minorEastAsia" w:hAnsi="Times New Roman" w:cs="Times New Roman"/>
                <w:sz w:val="24"/>
                <w:szCs w:val="24"/>
              </w:rPr>
              <w:t>***</w:t>
            </w:r>
          </w:p>
          <w:p w:rsidR="00B62BF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(0.0357</w:t>
            </w:r>
            <w:r w:rsidR="00B62BFD" w:rsidRPr="009D4A13">
              <w:rPr>
                <w:rFonts w:ascii="Times New Roman" w:eastAsiaTheme="minorEastAsia" w:hAnsi="Times New Roman" w:cs="Times New Roman"/>
                <w:sz w:val="24"/>
                <w:szCs w:val="24"/>
              </w:rPr>
              <w:t>)</w:t>
            </w:r>
          </w:p>
        </w:tc>
        <w:tc>
          <w:tcPr>
            <w:tcW w:w="0" w:type="auto"/>
          </w:tcPr>
          <w:p w:rsidR="0067160A" w:rsidRPr="009D4A13" w:rsidRDefault="00B62BF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Pr>
          <w:p w:rsidR="0067160A"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0.2314</w:t>
            </w:r>
            <w:r w:rsidR="00911018" w:rsidRPr="009D4A13">
              <w:rPr>
                <w:rFonts w:ascii="Times New Roman" w:eastAsiaTheme="minorEastAsia" w:hAnsi="Times New Roman" w:cs="Times New Roman"/>
                <w:sz w:val="24"/>
                <w:szCs w:val="24"/>
              </w:rPr>
              <w:t>***</w:t>
            </w:r>
          </w:p>
          <w:p w:rsidR="00911018"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(0.035</w:t>
            </w:r>
            <w:r w:rsidR="00D0047F" w:rsidRPr="009D4A13">
              <w:rPr>
                <w:rFonts w:ascii="Times New Roman" w:eastAsiaTheme="minorEastAsia" w:hAnsi="Times New Roman" w:cs="Times New Roman"/>
                <w:sz w:val="24"/>
                <w:szCs w:val="24"/>
              </w:rPr>
              <w:t>4</w:t>
            </w:r>
            <w:r w:rsidRPr="009D4A13">
              <w:rPr>
                <w:rFonts w:ascii="Times New Roman" w:eastAsiaTheme="minorEastAsia" w:hAnsi="Times New Roman" w:cs="Times New Roman"/>
                <w:sz w:val="24"/>
                <w:szCs w:val="24"/>
              </w:rPr>
              <w:t>)</w:t>
            </w:r>
          </w:p>
        </w:tc>
        <w:tc>
          <w:tcPr>
            <w:tcW w:w="0" w:type="auto"/>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Pr>
          <w:p w:rsidR="0067160A"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0.2205</w:t>
            </w:r>
            <w:r w:rsidR="008F2DF4" w:rsidRPr="009D4A13">
              <w:rPr>
                <w:rFonts w:ascii="Times New Roman" w:eastAsiaTheme="minorEastAsia" w:hAnsi="Times New Roman" w:cs="Times New Roman"/>
                <w:sz w:val="24"/>
                <w:szCs w:val="24"/>
              </w:rPr>
              <w:t>***</w:t>
            </w:r>
          </w:p>
          <w:p w:rsidR="008F2DF4"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(0.0364</w:t>
            </w:r>
            <w:r w:rsidR="008F2DF4" w:rsidRPr="009D4A13">
              <w:rPr>
                <w:rFonts w:ascii="Times New Roman" w:eastAsiaTheme="minorEastAsia" w:hAnsi="Times New Roman" w:cs="Times New Roman"/>
                <w:sz w:val="24"/>
                <w:szCs w:val="24"/>
              </w:rPr>
              <w:t>)</w:t>
            </w:r>
          </w:p>
        </w:tc>
        <w:tc>
          <w:tcPr>
            <w:tcW w:w="0" w:type="auto"/>
          </w:tcPr>
          <w:p w:rsidR="0067160A"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r>
      <w:tr w:rsidR="00E25DFA" w:rsidRPr="009D4A13" w:rsidTr="00383018">
        <w:tc>
          <w:tcPr>
            <w:tcW w:w="0" w:type="auto"/>
          </w:tcPr>
          <w:p w:rsidR="0067160A" w:rsidRPr="009D4A13" w:rsidRDefault="0067160A" w:rsidP="0056476B">
            <w:pPr>
              <w:jc w:val="center"/>
              <w:rPr>
                <w:rFonts w:ascii="Times New Roman" w:eastAsiaTheme="minorEastAsia" w:hAnsi="Times New Roman" w:cs="Times New Roman"/>
                <w:sz w:val="24"/>
                <w:szCs w:val="24"/>
              </w:rPr>
            </w:pPr>
            <m:oMathPara>
              <m:oMath>
                <m:r>
                  <m:rPr>
                    <m:sty m:val="bi"/>
                  </m:rPr>
                  <w:rPr>
                    <w:rFonts w:ascii="Cambria Math" w:hAnsi="Cambria Math" w:cs="Times New Roman"/>
                    <w:sz w:val="24"/>
                    <w:szCs w:val="24"/>
                    <w:lang w:eastAsia="tr-TR"/>
                  </w:rPr>
                  <m:t>γ</m:t>
                </m:r>
              </m:oMath>
            </m:oMathPara>
          </w:p>
        </w:tc>
        <w:tc>
          <w:tcPr>
            <w:tcW w:w="0" w:type="auto"/>
          </w:tcPr>
          <w:p w:rsidR="0067160A"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0.0263</w:t>
            </w:r>
          </w:p>
          <w:p w:rsidR="00B62BF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(0.0212</w:t>
            </w:r>
            <w:r w:rsidR="00B62BFD" w:rsidRPr="009D4A13">
              <w:rPr>
                <w:rFonts w:ascii="Times New Roman" w:eastAsiaTheme="minorEastAsia" w:hAnsi="Times New Roman" w:cs="Times New Roman"/>
                <w:sz w:val="24"/>
                <w:szCs w:val="24"/>
              </w:rPr>
              <w:t>)</w:t>
            </w:r>
          </w:p>
        </w:tc>
        <w:tc>
          <w:tcPr>
            <w:tcW w:w="0" w:type="auto"/>
          </w:tcPr>
          <w:p w:rsidR="0067160A" w:rsidRPr="009D4A13" w:rsidRDefault="00B62BF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0.2</w:t>
            </w:r>
            <w:r w:rsidR="00EF0D68" w:rsidRPr="009D4A13">
              <w:rPr>
                <w:rFonts w:ascii="Times New Roman" w:eastAsiaTheme="minorEastAsia" w:hAnsi="Times New Roman" w:cs="Times New Roman"/>
                <w:sz w:val="24"/>
                <w:szCs w:val="24"/>
              </w:rPr>
              <w:t>156</w:t>
            </w:r>
          </w:p>
        </w:tc>
        <w:tc>
          <w:tcPr>
            <w:tcW w:w="0" w:type="auto"/>
            <w:vAlign w:val="center"/>
          </w:tcPr>
          <w:p w:rsidR="0067160A"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0.0297</w:t>
            </w:r>
          </w:p>
          <w:p w:rsidR="00911018"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(0.0214</w:t>
            </w:r>
            <w:r w:rsidR="00911018" w:rsidRPr="009D4A13">
              <w:rPr>
                <w:rFonts w:ascii="Times New Roman" w:eastAsiaTheme="minorEastAsia" w:hAnsi="Times New Roman" w:cs="Times New Roman"/>
                <w:sz w:val="24"/>
                <w:szCs w:val="24"/>
              </w:rPr>
              <w:t>)</w:t>
            </w:r>
          </w:p>
        </w:tc>
        <w:tc>
          <w:tcPr>
            <w:tcW w:w="0" w:type="auto"/>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0.16</w:t>
            </w:r>
            <w:r w:rsidR="00D0047F" w:rsidRPr="009D4A13">
              <w:rPr>
                <w:rFonts w:ascii="Times New Roman" w:eastAsiaTheme="minorEastAsia" w:hAnsi="Times New Roman" w:cs="Times New Roman"/>
                <w:sz w:val="24"/>
                <w:szCs w:val="24"/>
              </w:rPr>
              <w:t>55</w:t>
            </w:r>
          </w:p>
        </w:tc>
        <w:tc>
          <w:tcPr>
            <w:tcW w:w="0" w:type="auto"/>
          </w:tcPr>
          <w:p w:rsidR="0067160A"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0.0246</w:t>
            </w:r>
          </w:p>
          <w:p w:rsidR="008F2DF4"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(0.0211</w:t>
            </w:r>
            <w:r w:rsidR="008F2DF4" w:rsidRPr="009D4A13">
              <w:rPr>
                <w:rFonts w:ascii="Times New Roman" w:eastAsiaTheme="minorEastAsia" w:hAnsi="Times New Roman" w:cs="Times New Roman"/>
                <w:sz w:val="24"/>
                <w:szCs w:val="24"/>
              </w:rPr>
              <w:t>)</w:t>
            </w:r>
          </w:p>
        </w:tc>
        <w:tc>
          <w:tcPr>
            <w:tcW w:w="0" w:type="auto"/>
          </w:tcPr>
          <w:p w:rsidR="0067160A"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BF69AA" w:rsidRPr="009D4A13">
              <w:rPr>
                <w:rFonts w:ascii="Times New Roman" w:eastAsiaTheme="minorEastAsia" w:hAnsi="Times New Roman" w:cs="Times New Roman"/>
                <w:sz w:val="24"/>
                <w:szCs w:val="24"/>
              </w:rPr>
              <w:t>2435</w:t>
            </w:r>
          </w:p>
        </w:tc>
      </w:tr>
      <w:tr w:rsidR="00E25DFA" w:rsidRPr="009D4A13" w:rsidTr="00615875">
        <w:tc>
          <w:tcPr>
            <w:tcW w:w="0" w:type="auto"/>
          </w:tcPr>
          <w:p w:rsidR="0067160A" w:rsidRPr="009D4A13" w:rsidRDefault="00B70A60" w:rsidP="0056476B">
            <w:pPr>
              <w:jc w:val="center"/>
              <w:rPr>
                <w:rFonts w:ascii="Times New Roman" w:eastAsiaTheme="minorEastAsia" w:hAnsi="Times New Roman" w:cs="Times New Roman"/>
                <w:sz w:val="24"/>
                <w:szCs w:val="24"/>
              </w:rPr>
            </w:pPr>
            <m:oMathPara>
              <m:oMath>
                <m:sSub>
                  <m:sSubPr>
                    <m:ctrlPr>
                      <w:rPr>
                        <w:rFonts w:ascii="Cambria Math" w:hAnsi="Cambria Math" w:cs="Times New Roman"/>
                        <w:b/>
                        <w:i/>
                        <w:sz w:val="24"/>
                        <w:szCs w:val="24"/>
                        <w:lang w:eastAsia="tr-TR"/>
                      </w:rPr>
                    </m:ctrlPr>
                  </m:sSubPr>
                  <m:e>
                    <m:r>
                      <m:rPr>
                        <m:sty m:val="bi"/>
                      </m:rPr>
                      <w:rPr>
                        <w:rFonts w:ascii="Cambria Math" w:hAnsi="Cambria Math" w:cs="Times New Roman"/>
                        <w:sz w:val="24"/>
                        <w:szCs w:val="24"/>
                        <w:lang w:eastAsia="tr-TR"/>
                      </w:rPr>
                      <m:t>δ</m:t>
                    </m:r>
                  </m:e>
                  <m:sub>
                    <m:r>
                      <m:rPr>
                        <m:sty m:val="bi"/>
                      </m:rPr>
                      <w:rPr>
                        <w:rFonts w:ascii="Cambria Math" w:hAnsi="Cambria Math" w:cs="Times New Roman"/>
                        <w:sz w:val="24"/>
                        <w:szCs w:val="24"/>
                        <w:lang w:eastAsia="tr-TR"/>
                      </w:rPr>
                      <m:t>1</m:t>
                    </m:r>
                  </m:sub>
                </m:sSub>
              </m:oMath>
            </m:oMathPara>
          </w:p>
        </w:tc>
        <w:tc>
          <w:tcPr>
            <w:tcW w:w="0" w:type="auto"/>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F0D68" w:rsidRPr="009D4A13">
              <w:rPr>
                <w:rFonts w:ascii="Times New Roman" w:eastAsiaTheme="minorEastAsia" w:hAnsi="Times New Roman" w:cs="Times New Roman"/>
                <w:sz w:val="24"/>
                <w:szCs w:val="24"/>
              </w:rPr>
              <w:t>0.0003**</w:t>
            </w:r>
          </w:p>
          <w:p w:rsidR="00B62BF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(0.0001</w:t>
            </w:r>
            <w:r w:rsidR="00B62BFD" w:rsidRPr="009D4A13">
              <w:rPr>
                <w:rFonts w:ascii="Times New Roman" w:eastAsiaTheme="minorEastAsia" w:hAnsi="Times New Roman" w:cs="Times New Roman"/>
                <w:sz w:val="24"/>
                <w:szCs w:val="24"/>
              </w:rPr>
              <w:t>)</w:t>
            </w:r>
          </w:p>
        </w:tc>
        <w:tc>
          <w:tcPr>
            <w:tcW w:w="0" w:type="auto"/>
          </w:tcPr>
          <w:p w:rsidR="0067160A" w:rsidRPr="009D4A13" w:rsidRDefault="00B62BF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w:t>
            </w:r>
            <w:r w:rsidR="00EF0D68" w:rsidRPr="009D4A13">
              <w:rPr>
                <w:rFonts w:ascii="Times New Roman" w:eastAsiaTheme="minorEastAsia" w:hAnsi="Times New Roman" w:cs="Times New Roman"/>
                <w:sz w:val="24"/>
                <w:szCs w:val="24"/>
              </w:rPr>
              <w:t>259</w:t>
            </w:r>
          </w:p>
        </w:tc>
        <w:tc>
          <w:tcPr>
            <w:tcW w:w="0" w:type="auto"/>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0.0001</w:t>
            </w:r>
          </w:p>
          <w:p w:rsidR="00911018"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(0.0002)</w:t>
            </w:r>
          </w:p>
        </w:tc>
        <w:tc>
          <w:tcPr>
            <w:tcW w:w="0" w:type="auto"/>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0.61</w:t>
            </w:r>
            <w:r w:rsidR="00D0047F" w:rsidRPr="009D4A13">
              <w:rPr>
                <w:rFonts w:ascii="Times New Roman" w:eastAsiaTheme="minorEastAsia" w:hAnsi="Times New Roman" w:cs="Times New Roman"/>
                <w:sz w:val="24"/>
                <w:szCs w:val="24"/>
              </w:rPr>
              <w:t>83</w:t>
            </w:r>
          </w:p>
        </w:tc>
        <w:tc>
          <w:tcPr>
            <w:tcW w:w="0" w:type="auto"/>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BF69AA" w:rsidRPr="009D4A13">
              <w:rPr>
                <w:rFonts w:ascii="Times New Roman" w:eastAsiaTheme="minorEastAsia" w:hAnsi="Times New Roman" w:cs="Times New Roman"/>
                <w:sz w:val="24"/>
                <w:szCs w:val="24"/>
              </w:rPr>
              <w:t>0.0003*</w:t>
            </w:r>
          </w:p>
          <w:p w:rsidR="008F2DF4"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(0.0001</w:t>
            </w:r>
            <w:r w:rsidR="008F2DF4" w:rsidRPr="009D4A13">
              <w:rPr>
                <w:rFonts w:ascii="Times New Roman" w:eastAsiaTheme="minorEastAsia" w:hAnsi="Times New Roman" w:cs="Times New Roman"/>
                <w:sz w:val="24"/>
                <w:szCs w:val="24"/>
              </w:rPr>
              <w:t>)</w:t>
            </w:r>
          </w:p>
        </w:tc>
        <w:tc>
          <w:tcPr>
            <w:tcW w:w="0" w:type="auto"/>
          </w:tcPr>
          <w:p w:rsidR="0067160A"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w:t>
            </w:r>
            <w:r w:rsidR="00BF69AA" w:rsidRPr="009D4A13">
              <w:rPr>
                <w:rFonts w:ascii="Times New Roman" w:eastAsiaTheme="minorEastAsia" w:hAnsi="Times New Roman" w:cs="Times New Roman"/>
                <w:sz w:val="24"/>
                <w:szCs w:val="24"/>
              </w:rPr>
              <w:t>662</w:t>
            </w:r>
          </w:p>
        </w:tc>
      </w:tr>
      <w:tr w:rsidR="00E25DFA" w:rsidRPr="009D4A13" w:rsidTr="00615875">
        <w:tc>
          <w:tcPr>
            <w:tcW w:w="0" w:type="auto"/>
          </w:tcPr>
          <w:p w:rsidR="0067160A" w:rsidRPr="009D4A13" w:rsidRDefault="00B70A60" w:rsidP="0056476B">
            <w:pPr>
              <w:jc w:val="center"/>
              <w:rPr>
                <w:rFonts w:ascii="Times New Roman" w:eastAsiaTheme="minorEastAsia" w:hAnsi="Times New Roman" w:cs="Times New Roman"/>
                <w:sz w:val="24"/>
                <w:szCs w:val="24"/>
              </w:rPr>
            </w:pPr>
            <m:oMathPara>
              <m:oMath>
                <m:sSub>
                  <m:sSubPr>
                    <m:ctrlPr>
                      <w:rPr>
                        <w:rFonts w:ascii="Cambria Math" w:hAnsi="Cambria Math" w:cs="Times New Roman"/>
                        <w:b/>
                        <w:i/>
                        <w:sz w:val="24"/>
                        <w:szCs w:val="24"/>
                        <w:lang w:eastAsia="tr-TR"/>
                      </w:rPr>
                    </m:ctrlPr>
                  </m:sSubPr>
                  <m:e>
                    <m:r>
                      <m:rPr>
                        <m:sty m:val="bi"/>
                      </m:rPr>
                      <w:rPr>
                        <w:rFonts w:ascii="Cambria Math" w:hAnsi="Cambria Math" w:cs="Times New Roman"/>
                        <w:sz w:val="24"/>
                        <w:szCs w:val="24"/>
                        <w:lang w:eastAsia="tr-TR"/>
                      </w:rPr>
                      <m:t>δ</m:t>
                    </m:r>
                  </m:e>
                  <m:sub>
                    <m:r>
                      <m:rPr>
                        <m:sty m:val="bi"/>
                      </m:rPr>
                      <w:rPr>
                        <w:rFonts w:ascii="Cambria Math" w:hAnsi="Cambria Math" w:cs="Times New Roman"/>
                        <w:sz w:val="24"/>
                        <w:szCs w:val="24"/>
                        <w:lang w:eastAsia="tr-TR"/>
                      </w:rPr>
                      <m:t>2</m:t>
                    </m:r>
                  </m:sub>
                </m:sSub>
              </m:oMath>
            </m:oMathPara>
          </w:p>
        </w:tc>
        <w:tc>
          <w:tcPr>
            <w:tcW w:w="0" w:type="auto"/>
          </w:tcPr>
          <w:p w:rsidR="0067160A"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0.0202</w:t>
            </w:r>
          </w:p>
          <w:p w:rsidR="00B62BF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(0.0148</w:t>
            </w:r>
            <w:r w:rsidR="00B62BFD" w:rsidRPr="009D4A13">
              <w:rPr>
                <w:rFonts w:ascii="Times New Roman" w:eastAsiaTheme="minorEastAsia" w:hAnsi="Times New Roman" w:cs="Times New Roman"/>
                <w:sz w:val="24"/>
                <w:szCs w:val="24"/>
              </w:rPr>
              <w:t>)</w:t>
            </w:r>
          </w:p>
        </w:tc>
        <w:tc>
          <w:tcPr>
            <w:tcW w:w="0" w:type="auto"/>
          </w:tcPr>
          <w:p w:rsidR="0067160A" w:rsidRPr="009D4A13" w:rsidRDefault="00B62BF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EF0D68" w:rsidRPr="009D4A13">
              <w:rPr>
                <w:rFonts w:ascii="Times New Roman" w:eastAsiaTheme="minorEastAsia" w:hAnsi="Times New Roman" w:cs="Times New Roman"/>
                <w:sz w:val="24"/>
                <w:szCs w:val="24"/>
              </w:rPr>
              <w:t>1734</w:t>
            </w:r>
          </w:p>
        </w:tc>
        <w:tc>
          <w:tcPr>
            <w:tcW w:w="0" w:type="auto"/>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D0047F" w:rsidRPr="009D4A13">
              <w:rPr>
                <w:rFonts w:ascii="Times New Roman" w:eastAsiaTheme="minorEastAsia" w:hAnsi="Times New Roman" w:cs="Times New Roman"/>
                <w:sz w:val="24"/>
                <w:szCs w:val="24"/>
              </w:rPr>
              <w:t>0.0102</w:t>
            </w:r>
          </w:p>
          <w:p w:rsidR="00911018"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(0.0172</w:t>
            </w:r>
            <w:r w:rsidR="00911018" w:rsidRPr="009D4A13">
              <w:rPr>
                <w:rFonts w:ascii="Times New Roman" w:eastAsiaTheme="minorEastAsia" w:hAnsi="Times New Roman" w:cs="Times New Roman"/>
                <w:sz w:val="24"/>
                <w:szCs w:val="24"/>
              </w:rPr>
              <w:t>)</w:t>
            </w:r>
          </w:p>
        </w:tc>
        <w:tc>
          <w:tcPr>
            <w:tcW w:w="0" w:type="auto"/>
          </w:tcPr>
          <w:p w:rsidR="0067160A" w:rsidRPr="009D4A13" w:rsidRDefault="0091101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0.5</w:t>
            </w:r>
            <w:r w:rsidR="00D0047F" w:rsidRPr="009D4A13">
              <w:rPr>
                <w:rFonts w:ascii="Times New Roman" w:eastAsiaTheme="minorEastAsia" w:hAnsi="Times New Roman" w:cs="Times New Roman"/>
                <w:sz w:val="24"/>
                <w:szCs w:val="24"/>
              </w:rPr>
              <w:t>529</w:t>
            </w:r>
          </w:p>
        </w:tc>
        <w:tc>
          <w:tcPr>
            <w:tcW w:w="0" w:type="auto"/>
          </w:tcPr>
          <w:p w:rsidR="0067160A"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0.0064</w:t>
            </w:r>
          </w:p>
          <w:p w:rsidR="008F2DF4"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(0.0276</w:t>
            </w:r>
            <w:r w:rsidR="008F2DF4" w:rsidRPr="009D4A13">
              <w:rPr>
                <w:rFonts w:ascii="Times New Roman" w:eastAsiaTheme="minorEastAsia" w:hAnsi="Times New Roman" w:cs="Times New Roman"/>
                <w:sz w:val="24"/>
                <w:szCs w:val="24"/>
              </w:rPr>
              <w:t>)</w:t>
            </w:r>
          </w:p>
        </w:tc>
        <w:tc>
          <w:tcPr>
            <w:tcW w:w="0" w:type="auto"/>
          </w:tcPr>
          <w:p w:rsidR="0067160A"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BF69AA" w:rsidRPr="009D4A13">
              <w:rPr>
                <w:rFonts w:ascii="Times New Roman" w:eastAsiaTheme="minorEastAsia" w:hAnsi="Times New Roman" w:cs="Times New Roman"/>
                <w:sz w:val="24"/>
                <w:szCs w:val="24"/>
              </w:rPr>
              <w:t>8151</w:t>
            </w:r>
          </w:p>
        </w:tc>
      </w:tr>
      <w:tr w:rsidR="00E25DFA" w:rsidRPr="009D4A13" w:rsidTr="00615875">
        <w:tc>
          <w:tcPr>
            <w:tcW w:w="0" w:type="auto"/>
          </w:tcPr>
          <w:p w:rsidR="0067160A" w:rsidRPr="009D4A13" w:rsidRDefault="00B70A60" w:rsidP="0056476B">
            <w:pPr>
              <w:jc w:val="center"/>
              <w:rPr>
                <w:rFonts w:ascii="Times New Roman" w:eastAsiaTheme="minorEastAsia" w:hAnsi="Times New Roman" w:cs="Times New Roman"/>
                <w:sz w:val="24"/>
                <w:szCs w:val="24"/>
              </w:rPr>
            </w:pPr>
            <m:oMathPara>
              <m:oMath>
                <m:sSub>
                  <m:sSubPr>
                    <m:ctrlPr>
                      <w:rPr>
                        <w:rFonts w:ascii="Cambria Math" w:hAnsi="Cambria Math" w:cs="Times New Roman"/>
                        <w:b/>
                        <w:i/>
                        <w:sz w:val="24"/>
                        <w:szCs w:val="24"/>
                        <w:lang w:eastAsia="tr-TR"/>
                      </w:rPr>
                    </m:ctrlPr>
                  </m:sSubPr>
                  <m:e>
                    <m:r>
                      <m:rPr>
                        <m:sty m:val="bi"/>
                      </m:rPr>
                      <w:rPr>
                        <w:rFonts w:ascii="Cambria Math" w:hAnsi="Cambria Math" w:cs="Times New Roman"/>
                        <w:sz w:val="24"/>
                        <w:szCs w:val="24"/>
                        <w:lang w:eastAsia="tr-TR"/>
                      </w:rPr>
                      <m:t>δ</m:t>
                    </m:r>
                  </m:e>
                  <m:sub>
                    <m:r>
                      <m:rPr>
                        <m:sty m:val="bi"/>
                      </m:rPr>
                      <w:rPr>
                        <w:rFonts w:ascii="Cambria Math" w:hAnsi="Cambria Math" w:cs="Times New Roman"/>
                        <w:sz w:val="24"/>
                        <w:szCs w:val="24"/>
                        <w:lang w:eastAsia="tr-TR"/>
                      </w:rPr>
                      <m:t>3</m:t>
                    </m:r>
                  </m:sub>
                </m:sSub>
              </m:oMath>
            </m:oMathPara>
          </w:p>
        </w:tc>
        <w:tc>
          <w:tcPr>
            <w:tcW w:w="0" w:type="auto"/>
          </w:tcPr>
          <w:p w:rsidR="00851C3C"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1.8184</w:t>
            </w:r>
            <w:r w:rsidR="00851C3C" w:rsidRPr="009D4A13">
              <w:rPr>
                <w:rFonts w:ascii="Times New Roman" w:eastAsiaTheme="minorEastAsia" w:hAnsi="Times New Roman" w:cs="Times New Roman"/>
                <w:sz w:val="24"/>
                <w:szCs w:val="24"/>
              </w:rPr>
              <w:t>***</w:t>
            </w:r>
          </w:p>
          <w:p w:rsidR="00B62BF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(0.6518</w:t>
            </w:r>
            <w:r w:rsidR="00851C3C" w:rsidRPr="009D4A13">
              <w:rPr>
                <w:rFonts w:ascii="Times New Roman" w:eastAsiaTheme="minorEastAsia" w:hAnsi="Times New Roman" w:cs="Times New Roman"/>
                <w:sz w:val="24"/>
                <w:szCs w:val="24"/>
              </w:rPr>
              <w:t>)</w:t>
            </w:r>
          </w:p>
        </w:tc>
        <w:tc>
          <w:tcPr>
            <w:tcW w:w="0" w:type="auto"/>
          </w:tcPr>
          <w:p w:rsidR="0067160A" w:rsidRPr="009D4A13" w:rsidRDefault="00851C3C"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w:t>
            </w:r>
            <w:r w:rsidR="00EF0D68" w:rsidRPr="009D4A13">
              <w:rPr>
                <w:rFonts w:ascii="Times New Roman" w:eastAsiaTheme="minorEastAsia" w:hAnsi="Times New Roman" w:cs="Times New Roman"/>
                <w:sz w:val="24"/>
                <w:szCs w:val="24"/>
              </w:rPr>
              <w:t>53</w:t>
            </w:r>
          </w:p>
        </w:tc>
        <w:tc>
          <w:tcPr>
            <w:tcW w:w="0" w:type="auto"/>
          </w:tcPr>
          <w:p w:rsidR="00851C3C"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2.0437</w:t>
            </w:r>
            <w:r w:rsidR="00851C3C" w:rsidRPr="009D4A13">
              <w:rPr>
                <w:rFonts w:ascii="Times New Roman" w:eastAsiaTheme="minorEastAsia" w:hAnsi="Times New Roman" w:cs="Times New Roman"/>
                <w:sz w:val="24"/>
                <w:szCs w:val="24"/>
              </w:rPr>
              <w:t>***</w:t>
            </w:r>
          </w:p>
          <w:p w:rsidR="00911018"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(0.640</w:t>
            </w:r>
            <w:r w:rsidR="00851C3C" w:rsidRPr="009D4A13">
              <w:rPr>
                <w:rFonts w:ascii="Times New Roman" w:eastAsiaTheme="minorEastAsia" w:hAnsi="Times New Roman" w:cs="Times New Roman"/>
                <w:sz w:val="24"/>
                <w:szCs w:val="24"/>
              </w:rPr>
              <w:t>9)</w:t>
            </w:r>
          </w:p>
        </w:tc>
        <w:tc>
          <w:tcPr>
            <w:tcW w:w="0" w:type="auto"/>
          </w:tcPr>
          <w:p w:rsidR="0067160A" w:rsidRPr="009D4A13" w:rsidRDefault="00851C3C"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0.001</w:t>
            </w:r>
            <w:r w:rsidR="00D0047F" w:rsidRPr="009D4A13">
              <w:rPr>
                <w:rFonts w:ascii="Times New Roman" w:eastAsiaTheme="minorEastAsia" w:hAnsi="Times New Roman" w:cs="Times New Roman"/>
                <w:sz w:val="24"/>
                <w:szCs w:val="24"/>
              </w:rPr>
              <w:t>4</w:t>
            </w:r>
          </w:p>
        </w:tc>
        <w:tc>
          <w:tcPr>
            <w:tcW w:w="0" w:type="auto"/>
          </w:tcPr>
          <w:p w:rsidR="00851C3C"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1.7467</w:t>
            </w:r>
            <w:r w:rsidR="00851C3C" w:rsidRPr="009D4A13">
              <w:rPr>
                <w:rFonts w:ascii="Times New Roman" w:eastAsiaTheme="minorEastAsia" w:hAnsi="Times New Roman" w:cs="Times New Roman"/>
                <w:sz w:val="24"/>
                <w:szCs w:val="24"/>
              </w:rPr>
              <w:t>***</w:t>
            </w:r>
          </w:p>
          <w:p w:rsidR="008F2DF4"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(0.6417</w:t>
            </w:r>
            <w:r w:rsidR="00851C3C" w:rsidRPr="009D4A13">
              <w:rPr>
                <w:rFonts w:ascii="Times New Roman" w:eastAsiaTheme="minorEastAsia" w:hAnsi="Times New Roman" w:cs="Times New Roman"/>
                <w:sz w:val="24"/>
                <w:szCs w:val="24"/>
              </w:rPr>
              <w:t>)</w:t>
            </w:r>
          </w:p>
        </w:tc>
        <w:tc>
          <w:tcPr>
            <w:tcW w:w="0" w:type="auto"/>
          </w:tcPr>
          <w:p w:rsidR="0067160A" w:rsidRPr="009D4A13" w:rsidRDefault="00851C3C"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w:t>
            </w:r>
            <w:r w:rsidR="00BF69AA" w:rsidRPr="009D4A13">
              <w:rPr>
                <w:rFonts w:ascii="Times New Roman" w:eastAsiaTheme="minorEastAsia" w:hAnsi="Times New Roman" w:cs="Times New Roman"/>
                <w:sz w:val="24"/>
                <w:szCs w:val="24"/>
              </w:rPr>
              <w:t>65</w:t>
            </w:r>
          </w:p>
        </w:tc>
      </w:tr>
      <w:tr w:rsidR="00E25DFA" w:rsidRPr="009D4A13" w:rsidTr="00615875">
        <w:tc>
          <w:tcPr>
            <w:tcW w:w="0" w:type="auto"/>
            <w:tcBorders>
              <w:top w:val="single" w:sz="4" w:space="0" w:color="auto"/>
              <w:bottom w:val="single" w:sz="4" w:space="0" w:color="auto"/>
            </w:tcBorders>
          </w:tcPr>
          <w:p w:rsidR="0067160A" w:rsidRPr="009D4A13" w:rsidRDefault="009F4642"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R</w:t>
            </w:r>
            <w:r w:rsidR="00B43C32">
              <w:rPr>
                <w:rFonts w:ascii="Times New Roman" w:eastAsiaTheme="minorEastAsia" w:hAnsi="Times New Roman" w:cs="Times New Roman"/>
                <w:b/>
                <w:sz w:val="24"/>
                <w:szCs w:val="24"/>
              </w:rPr>
              <w:t>–</w:t>
            </w:r>
            <w:r w:rsidRPr="009D4A13">
              <w:rPr>
                <w:rFonts w:ascii="Times New Roman" w:eastAsiaTheme="minorEastAsia" w:hAnsi="Times New Roman" w:cs="Times New Roman"/>
                <w:b/>
                <w:sz w:val="24"/>
                <w:szCs w:val="24"/>
              </w:rPr>
              <w:t>s</w:t>
            </w:r>
            <w:r w:rsidR="002C101D" w:rsidRPr="009D4A13">
              <w:rPr>
                <w:rFonts w:ascii="Times New Roman" w:eastAsiaTheme="minorEastAsia" w:hAnsi="Times New Roman" w:cs="Times New Roman"/>
                <w:b/>
                <w:sz w:val="24"/>
                <w:szCs w:val="24"/>
              </w:rPr>
              <w:t>quared</w:t>
            </w:r>
          </w:p>
        </w:tc>
        <w:tc>
          <w:tcPr>
            <w:tcW w:w="0" w:type="auto"/>
            <w:tcBorders>
              <w:top w:val="single" w:sz="4" w:space="0" w:color="auto"/>
              <w:bottom w:val="single" w:sz="4" w:space="0" w:color="auto"/>
            </w:tcBorders>
          </w:tcPr>
          <w:p w:rsidR="0067160A" w:rsidRPr="009D4A13" w:rsidRDefault="002C101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0.159</w:t>
            </w:r>
            <w:r w:rsidR="00EF0D68" w:rsidRPr="009D4A13">
              <w:rPr>
                <w:rFonts w:ascii="Times New Roman" w:eastAsiaTheme="minorEastAsia" w:hAnsi="Times New Roman" w:cs="Times New Roman"/>
                <w:sz w:val="24"/>
                <w:szCs w:val="24"/>
              </w:rPr>
              <w:t>5</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67160A"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0.15</w:t>
            </w:r>
            <w:r w:rsidR="00D0047F" w:rsidRPr="009D4A13">
              <w:rPr>
                <w:rFonts w:ascii="Times New Roman" w:eastAsiaTheme="minorEastAsia" w:hAnsi="Times New Roman" w:cs="Times New Roman"/>
                <w:sz w:val="24"/>
                <w:szCs w:val="24"/>
              </w:rPr>
              <w:t>90</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67160A"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0.16</w:t>
            </w:r>
            <w:r w:rsidR="00BF69AA" w:rsidRPr="009D4A13">
              <w:rPr>
                <w:rFonts w:ascii="Times New Roman" w:eastAsiaTheme="minorEastAsia" w:hAnsi="Times New Roman" w:cs="Times New Roman"/>
                <w:sz w:val="24"/>
                <w:szCs w:val="24"/>
              </w:rPr>
              <w:t>00</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r>
      <w:tr w:rsidR="00E25DFA" w:rsidRPr="009D4A13" w:rsidTr="00615875">
        <w:tc>
          <w:tcPr>
            <w:tcW w:w="0" w:type="auto"/>
            <w:tcBorders>
              <w:top w:val="single" w:sz="4" w:space="0" w:color="auto"/>
              <w:bottom w:val="single" w:sz="4" w:space="0" w:color="auto"/>
            </w:tcBorders>
          </w:tcPr>
          <w:p w:rsidR="0067160A" w:rsidRPr="009D4A13" w:rsidRDefault="00615875" w:rsidP="00E25DFA">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 xml:space="preserve">S. </w:t>
            </w:r>
            <w:r w:rsidR="002C101D" w:rsidRPr="009D4A13">
              <w:rPr>
                <w:rFonts w:ascii="Times New Roman" w:eastAsiaTheme="minorEastAsia" w:hAnsi="Times New Roman" w:cs="Times New Roman"/>
                <w:b/>
                <w:sz w:val="24"/>
                <w:szCs w:val="24"/>
              </w:rPr>
              <w:t xml:space="preserve">E. of </w:t>
            </w:r>
            <w:r w:rsidR="00E25DFA">
              <w:rPr>
                <w:rFonts w:ascii="Times New Roman" w:eastAsiaTheme="minorEastAsia" w:hAnsi="Times New Roman" w:cs="Times New Roman"/>
                <w:b/>
                <w:sz w:val="24"/>
                <w:szCs w:val="24"/>
              </w:rPr>
              <w:t>Reg.</w:t>
            </w:r>
          </w:p>
        </w:tc>
        <w:tc>
          <w:tcPr>
            <w:tcW w:w="0" w:type="auto"/>
            <w:tcBorders>
              <w:top w:val="single" w:sz="4" w:space="0" w:color="auto"/>
              <w:bottom w:val="single" w:sz="4" w:space="0" w:color="auto"/>
            </w:tcBorders>
          </w:tcPr>
          <w:p w:rsidR="0067160A" w:rsidRPr="009D4A13" w:rsidRDefault="002C101D"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0.612</w:t>
            </w:r>
            <w:r w:rsidR="00EF0D68" w:rsidRPr="009D4A13">
              <w:rPr>
                <w:rFonts w:ascii="Times New Roman" w:eastAsiaTheme="minorEastAsia" w:hAnsi="Times New Roman" w:cs="Times New Roman"/>
                <w:sz w:val="24"/>
                <w:szCs w:val="24"/>
              </w:rPr>
              <w:t>1</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67160A"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0.612</w:t>
            </w:r>
            <w:r w:rsidR="00D0047F" w:rsidRPr="009D4A13">
              <w:rPr>
                <w:rFonts w:ascii="Times New Roman" w:eastAsiaTheme="minorEastAsia" w:hAnsi="Times New Roman" w:cs="Times New Roman"/>
                <w:sz w:val="24"/>
                <w:szCs w:val="24"/>
              </w:rPr>
              <w:t>3</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67160A"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0.61</w:t>
            </w:r>
            <w:r w:rsidR="00BF69AA" w:rsidRPr="009D4A13">
              <w:rPr>
                <w:rFonts w:ascii="Times New Roman" w:eastAsiaTheme="minorEastAsia" w:hAnsi="Times New Roman" w:cs="Times New Roman"/>
                <w:sz w:val="24"/>
                <w:szCs w:val="24"/>
              </w:rPr>
              <w:t>19</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r>
      <w:tr w:rsidR="00E25DFA" w:rsidRPr="009D4A13" w:rsidTr="00615875">
        <w:tc>
          <w:tcPr>
            <w:tcW w:w="0" w:type="auto"/>
            <w:tcBorders>
              <w:top w:val="single" w:sz="4" w:space="0" w:color="auto"/>
              <w:bottom w:val="single" w:sz="4" w:space="0" w:color="auto"/>
            </w:tcBorders>
          </w:tcPr>
          <w:p w:rsidR="0067160A" w:rsidRPr="009D4A13" w:rsidRDefault="002C101D" w:rsidP="00E25DFA">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Log</w:t>
            </w:r>
            <w:r w:rsidR="00E25DFA">
              <w:rPr>
                <w:rFonts w:ascii="Times New Roman" w:eastAsiaTheme="minorEastAsia" w:hAnsi="Times New Roman" w:cs="Times New Roman"/>
                <w:b/>
                <w:sz w:val="24"/>
                <w:szCs w:val="24"/>
              </w:rPr>
              <w:t>L</w:t>
            </w:r>
          </w:p>
        </w:tc>
        <w:tc>
          <w:tcPr>
            <w:tcW w:w="0" w:type="auto"/>
            <w:tcBorders>
              <w:top w:val="single" w:sz="4" w:space="0" w:color="auto"/>
              <w:bottom w:val="single" w:sz="4" w:space="0" w:color="auto"/>
            </w:tcBorders>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F0D68" w:rsidRPr="009D4A13">
              <w:rPr>
                <w:rFonts w:ascii="Times New Roman" w:eastAsiaTheme="minorEastAsia" w:hAnsi="Times New Roman" w:cs="Times New Roman"/>
                <w:sz w:val="24"/>
                <w:szCs w:val="24"/>
              </w:rPr>
              <w:t>1049.254</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D0047F" w:rsidRPr="009D4A13">
              <w:rPr>
                <w:rFonts w:ascii="Times New Roman" w:eastAsiaTheme="minorEastAsia" w:hAnsi="Times New Roman" w:cs="Times New Roman"/>
                <w:sz w:val="24"/>
                <w:szCs w:val="24"/>
              </w:rPr>
              <w:t>1053</w:t>
            </w:r>
            <w:r w:rsidR="00C85947" w:rsidRPr="009D4A13">
              <w:rPr>
                <w:rFonts w:ascii="Times New Roman" w:eastAsiaTheme="minorEastAsia" w:hAnsi="Times New Roman" w:cs="Times New Roman"/>
                <w:sz w:val="24"/>
                <w:szCs w:val="24"/>
              </w:rPr>
              <w:t>.</w:t>
            </w:r>
            <w:r w:rsidR="00D0047F" w:rsidRPr="009D4A13">
              <w:rPr>
                <w:rFonts w:ascii="Times New Roman" w:eastAsiaTheme="minorEastAsia" w:hAnsi="Times New Roman" w:cs="Times New Roman"/>
                <w:sz w:val="24"/>
                <w:szCs w:val="24"/>
              </w:rPr>
              <w:t>389</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67160A" w:rsidRPr="009D4A13" w:rsidRDefault="00B43C32" w:rsidP="0056476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8F2DF4" w:rsidRPr="009D4A13">
              <w:rPr>
                <w:rFonts w:ascii="Times New Roman" w:eastAsiaTheme="minorEastAsia" w:hAnsi="Times New Roman" w:cs="Times New Roman"/>
                <w:sz w:val="24"/>
                <w:szCs w:val="24"/>
              </w:rPr>
              <w:t>104</w:t>
            </w:r>
            <w:r w:rsidR="00BF69AA" w:rsidRPr="009D4A13">
              <w:rPr>
                <w:rFonts w:ascii="Times New Roman" w:eastAsiaTheme="minorEastAsia" w:hAnsi="Times New Roman" w:cs="Times New Roman"/>
                <w:sz w:val="24"/>
                <w:szCs w:val="24"/>
              </w:rPr>
              <w:t>8.666</w:t>
            </w:r>
          </w:p>
        </w:tc>
        <w:tc>
          <w:tcPr>
            <w:tcW w:w="0" w:type="auto"/>
            <w:tcBorders>
              <w:top w:val="single" w:sz="4" w:space="0" w:color="auto"/>
              <w:bottom w:val="single" w:sz="4" w:space="0" w:color="auto"/>
            </w:tcBorders>
          </w:tcPr>
          <w:p w:rsidR="0067160A" w:rsidRPr="009D4A13" w:rsidRDefault="0067160A" w:rsidP="0056476B">
            <w:pPr>
              <w:jc w:val="center"/>
              <w:rPr>
                <w:rFonts w:ascii="Times New Roman" w:eastAsiaTheme="minorEastAsia" w:hAnsi="Times New Roman" w:cs="Times New Roman"/>
                <w:sz w:val="24"/>
                <w:szCs w:val="24"/>
              </w:rPr>
            </w:pPr>
          </w:p>
        </w:tc>
      </w:tr>
      <w:tr w:rsidR="00E25DFA" w:rsidRPr="009D4A13" w:rsidTr="00615875">
        <w:tc>
          <w:tcPr>
            <w:tcW w:w="0" w:type="auto"/>
            <w:tcBorders>
              <w:top w:val="single" w:sz="4" w:space="0" w:color="auto"/>
              <w:bottom w:val="single" w:sz="4" w:space="0" w:color="auto"/>
            </w:tcBorders>
          </w:tcPr>
          <w:p w:rsidR="002C101D" w:rsidRPr="009D4A13" w:rsidRDefault="00E25DFA" w:rsidP="0056476B">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DW</w:t>
            </w:r>
          </w:p>
        </w:tc>
        <w:tc>
          <w:tcPr>
            <w:tcW w:w="0" w:type="auto"/>
            <w:tcBorders>
              <w:top w:val="single" w:sz="4" w:space="0" w:color="auto"/>
              <w:bottom w:val="single" w:sz="4" w:space="0" w:color="auto"/>
            </w:tcBorders>
          </w:tcPr>
          <w:p w:rsidR="002C101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2.2170</w:t>
            </w:r>
          </w:p>
        </w:tc>
        <w:tc>
          <w:tcPr>
            <w:tcW w:w="0" w:type="auto"/>
            <w:tcBorders>
              <w:top w:val="single" w:sz="4" w:space="0" w:color="auto"/>
              <w:bottom w:val="single" w:sz="4" w:space="0" w:color="auto"/>
            </w:tcBorders>
          </w:tcPr>
          <w:p w:rsidR="002C101D" w:rsidRPr="009D4A13" w:rsidRDefault="002C101D"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2C101D"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2.21</w:t>
            </w:r>
            <w:r w:rsidR="00D0047F" w:rsidRPr="009D4A13">
              <w:rPr>
                <w:rFonts w:ascii="Times New Roman" w:eastAsiaTheme="minorEastAsia" w:hAnsi="Times New Roman" w:cs="Times New Roman"/>
                <w:sz w:val="24"/>
                <w:szCs w:val="24"/>
              </w:rPr>
              <w:t>49</w:t>
            </w:r>
          </w:p>
        </w:tc>
        <w:tc>
          <w:tcPr>
            <w:tcW w:w="0" w:type="auto"/>
            <w:tcBorders>
              <w:top w:val="single" w:sz="4" w:space="0" w:color="auto"/>
              <w:bottom w:val="single" w:sz="4" w:space="0" w:color="auto"/>
            </w:tcBorders>
          </w:tcPr>
          <w:p w:rsidR="002C101D" w:rsidRPr="009D4A13" w:rsidRDefault="002C101D"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2C101D"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2.21</w:t>
            </w:r>
            <w:r w:rsidR="00BF69AA" w:rsidRPr="009D4A13">
              <w:rPr>
                <w:rFonts w:ascii="Times New Roman" w:eastAsiaTheme="minorEastAsia" w:hAnsi="Times New Roman" w:cs="Times New Roman"/>
                <w:sz w:val="24"/>
                <w:szCs w:val="24"/>
              </w:rPr>
              <w:t>55</w:t>
            </w:r>
          </w:p>
        </w:tc>
        <w:tc>
          <w:tcPr>
            <w:tcW w:w="0" w:type="auto"/>
            <w:tcBorders>
              <w:top w:val="single" w:sz="4" w:space="0" w:color="auto"/>
              <w:bottom w:val="single" w:sz="4" w:space="0" w:color="auto"/>
            </w:tcBorders>
          </w:tcPr>
          <w:p w:rsidR="002C101D" w:rsidRPr="009D4A13" w:rsidRDefault="002C101D" w:rsidP="0056476B">
            <w:pPr>
              <w:jc w:val="center"/>
              <w:rPr>
                <w:rFonts w:ascii="Times New Roman" w:eastAsiaTheme="minorEastAsia" w:hAnsi="Times New Roman" w:cs="Times New Roman"/>
                <w:sz w:val="24"/>
                <w:szCs w:val="24"/>
              </w:rPr>
            </w:pPr>
          </w:p>
        </w:tc>
      </w:tr>
      <w:tr w:rsidR="00E25DFA" w:rsidRPr="009D4A13" w:rsidTr="00615875">
        <w:tc>
          <w:tcPr>
            <w:tcW w:w="0" w:type="auto"/>
            <w:tcBorders>
              <w:top w:val="single" w:sz="4" w:space="0" w:color="auto"/>
              <w:bottom w:val="single" w:sz="4" w:space="0" w:color="auto"/>
            </w:tcBorders>
          </w:tcPr>
          <w:p w:rsidR="00C26753" w:rsidRPr="009D4A13" w:rsidRDefault="00C26753"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AIC</w:t>
            </w:r>
          </w:p>
        </w:tc>
        <w:tc>
          <w:tcPr>
            <w:tcW w:w="0" w:type="auto"/>
            <w:tcBorders>
              <w:top w:val="single" w:sz="4" w:space="0" w:color="auto"/>
              <w:bottom w:val="single" w:sz="4" w:space="0" w:color="auto"/>
            </w:tcBorders>
          </w:tcPr>
          <w:p w:rsidR="00C26753"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1.6304</w:t>
            </w:r>
          </w:p>
        </w:tc>
        <w:tc>
          <w:tcPr>
            <w:tcW w:w="0" w:type="auto"/>
            <w:tcBorders>
              <w:top w:val="single" w:sz="4" w:space="0" w:color="auto"/>
              <w:bottom w:val="single" w:sz="4" w:space="0" w:color="auto"/>
            </w:tcBorders>
          </w:tcPr>
          <w:p w:rsidR="00C26753" w:rsidRPr="009D4A13" w:rsidRDefault="00C26753"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C26753"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1.63</w:t>
            </w:r>
            <w:r w:rsidR="00D0047F" w:rsidRPr="009D4A13">
              <w:rPr>
                <w:rFonts w:ascii="Times New Roman" w:eastAsiaTheme="minorEastAsia" w:hAnsi="Times New Roman" w:cs="Times New Roman"/>
                <w:sz w:val="24"/>
                <w:szCs w:val="24"/>
              </w:rPr>
              <w:t>68</w:t>
            </w:r>
          </w:p>
        </w:tc>
        <w:tc>
          <w:tcPr>
            <w:tcW w:w="0" w:type="auto"/>
            <w:tcBorders>
              <w:top w:val="single" w:sz="4" w:space="0" w:color="auto"/>
              <w:bottom w:val="single" w:sz="4" w:space="0" w:color="auto"/>
            </w:tcBorders>
          </w:tcPr>
          <w:p w:rsidR="00C26753" w:rsidRPr="009D4A13" w:rsidRDefault="00C26753" w:rsidP="0056476B">
            <w:pPr>
              <w:jc w:val="center"/>
              <w:rPr>
                <w:rFonts w:ascii="Times New Roman" w:eastAsiaTheme="minorEastAsia" w:hAnsi="Times New Roman" w:cs="Times New Roman"/>
                <w:sz w:val="24"/>
                <w:szCs w:val="24"/>
              </w:rPr>
            </w:pPr>
          </w:p>
        </w:tc>
        <w:tc>
          <w:tcPr>
            <w:tcW w:w="0" w:type="auto"/>
            <w:tcBorders>
              <w:top w:val="single" w:sz="4" w:space="0" w:color="auto"/>
              <w:bottom w:val="single" w:sz="4" w:space="0" w:color="auto"/>
            </w:tcBorders>
          </w:tcPr>
          <w:p w:rsidR="00C26753"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1.62</w:t>
            </w:r>
            <w:r w:rsidR="00BF69AA" w:rsidRPr="009D4A13">
              <w:rPr>
                <w:rFonts w:ascii="Times New Roman" w:eastAsiaTheme="minorEastAsia" w:hAnsi="Times New Roman" w:cs="Times New Roman"/>
                <w:sz w:val="24"/>
                <w:szCs w:val="24"/>
              </w:rPr>
              <w:t>95</w:t>
            </w:r>
          </w:p>
        </w:tc>
        <w:tc>
          <w:tcPr>
            <w:tcW w:w="0" w:type="auto"/>
            <w:tcBorders>
              <w:top w:val="single" w:sz="4" w:space="0" w:color="auto"/>
              <w:bottom w:val="single" w:sz="4" w:space="0" w:color="auto"/>
            </w:tcBorders>
          </w:tcPr>
          <w:p w:rsidR="00C26753" w:rsidRPr="009D4A13" w:rsidRDefault="00C26753" w:rsidP="0056476B">
            <w:pPr>
              <w:jc w:val="center"/>
              <w:rPr>
                <w:rFonts w:ascii="Times New Roman" w:eastAsiaTheme="minorEastAsia" w:hAnsi="Times New Roman" w:cs="Times New Roman"/>
                <w:sz w:val="24"/>
                <w:szCs w:val="24"/>
              </w:rPr>
            </w:pPr>
          </w:p>
        </w:tc>
      </w:tr>
      <w:tr w:rsidR="00E25DFA" w:rsidRPr="009D4A13" w:rsidTr="00615875">
        <w:tc>
          <w:tcPr>
            <w:tcW w:w="0" w:type="auto"/>
            <w:tcBorders>
              <w:top w:val="single" w:sz="4" w:space="0" w:color="auto"/>
              <w:bottom w:val="single" w:sz="4" w:space="0" w:color="auto"/>
            </w:tcBorders>
          </w:tcPr>
          <w:p w:rsidR="002C101D" w:rsidRPr="009D4A13" w:rsidRDefault="00C26753" w:rsidP="0056476B">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F</w:t>
            </w:r>
            <w:r w:rsidR="00B43C32">
              <w:rPr>
                <w:rFonts w:ascii="Times New Roman" w:eastAsiaTheme="minorEastAsia" w:hAnsi="Times New Roman" w:cs="Times New Roman"/>
                <w:b/>
                <w:sz w:val="24"/>
                <w:szCs w:val="24"/>
              </w:rPr>
              <w:t>–</w:t>
            </w:r>
            <w:r w:rsidRPr="009D4A13">
              <w:rPr>
                <w:rFonts w:ascii="Times New Roman" w:eastAsiaTheme="minorEastAsia" w:hAnsi="Times New Roman" w:cs="Times New Roman"/>
                <w:b/>
                <w:sz w:val="24"/>
                <w:szCs w:val="24"/>
              </w:rPr>
              <w:t>Statistic</w:t>
            </w:r>
          </w:p>
        </w:tc>
        <w:tc>
          <w:tcPr>
            <w:tcW w:w="0" w:type="auto"/>
            <w:tcBorders>
              <w:top w:val="single" w:sz="4" w:space="0" w:color="auto"/>
              <w:bottom w:val="single" w:sz="4" w:space="0" w:color="auto"/>
            </w:tcBorders>
          </w:tcPr>
          <w:p w:rsidR="002C101D"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20.400</w:t>
            </w:r>
            <w:r w:rsidR="00C26753" w:rsidRPr="009D4A13">
              <w:rPr>
                <w:rFonts w:ascii="Times New Roman" w:eastAsiaTheme="minorEastAsia" w:hAnsi="Times New Roman" w:cs="Times New Roman"/>
                <w:sz w:val="24"/>
                <w:szCs w:val="24"/>
              </w:rPr>
              <w:t>***</w:t>
            </w:r>
          </w:p>
        </w:tc>
        <w:tc>
          <w:tcPr>
            <w:tcW w:w="0" w:type="auto"/>
            <w:tcBorders>
              <w:top w:val="single" w:sz="4" w:space="0" w:color="auto"/>
              <w:bottom w:val="single" w:sz="4" w:space="0" w:color="auto"/>
            </w:tcBorders>
          </w:tcPr>
          <w:p w:rsidR="002C101D" w:rsidRPr="009D4A13" w:rsidRDefault="00C26753"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Borders>
              <w:top w:val="single" w:sz="4" w:space="0" w:color="auto"/>
              <w:bottom w:val="single" w:sz="4" w:space="0" w:color="auto"/>
            </w:tcBorders>
          </w:tcPr>
          <w:p w:rsidR="002C101D"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20.324</w:t>
            </w:r>
            <w:r w:rsidR="00C85947" w:rsidRPr="009D4A13">
              <w:rPr>
                <w:rFonts w:ascii="Times New Roman" w:eastAsiaTheme="minorEastAsia" w:hAnsi="Times New Roman" w:cs="Times New Roman"/>
                <w:sz w:val="24"/>
                <w:szCs w:val="24"/>
              </w:rPr>
              <w:t>***</w:t>
            </w:r>
          </w:p>
        </w:tc>
        <w:tc>
          <w:tcPr>
            <w:tcW w:w="0" w:type="auto"/>
            <w:tcBorders>
              <w:top w:val="single" w:sz="4" w:space="0" w:color="auto"/>
              <w:bottom w:val="single" w:sz="4" w:space="0" w:color="auto"/>
            </w:tcBorders>
          </w:tcPr>
          <w:p w:rsidR="002C101D"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c>
          <w:tcPr>
            <w:tcW w:w="0" w:type="auto"/>
            <w:tcBorders>
              <w:top w:val="single" w:sz="4" w:space="0" w:color="auto"/>
              <w:bottom w:val="single" w:sz="4" w:space="0" w:color="auto"/>
            </w:tcBorders>
          </w:tcPr>
          <w:p w:rsidR="002C101D"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20.487</w:t>
            </w:r>
            <w:r w:rsidR="008F2DF4" w:rsidRPr="009D4A13">
              <w:rPr>
                <w:rFonts w:ascii="Times New Roman" w:eastAsiaTheme="minorEastAsia" w:hAnsi="Times New Roman" w:cs="Times New Roman"/>
                <w:sz w:val="24"/>
                <w:szCs w:val="24"/>
              </w:rPr>
              <w:t>***</w:t>
            </w:r>
          </w:p>
        </w:tc>
        <w:tc>
          <w:tcPr>
            <w:tcW w:w="0" w:type="auto"/>
            <w:tcBorders>
              <w:top w:val="single" w:sz="4" w:space="0" w:color="auto"/>
              <w:bottom w:val="single" w:sz="4" w:space="0" w:color="auto"/>
            </w:tcBorders>
          </w:tcPr>
          <w:p w:rsidR="002C101D"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0.0000</w:t>
            </w:r>
          </w:p>
        </w:tc>
      </w:tr>
      <w:tr w:rsidR="00E25DFA" w:rsidRPr="009D4A13" w:rsidTr="00615875">
        <w:tc>
          <w:tcPr>
            <w:tcW w:w="0" w:type="auto"/>
            <w:tcBorders>
              <w:top w:val="single" w:sz="4" w:space="0" w:color="auto"/>
              <w:bottom w:val="single" w:sz="4" w:space="0" w:color="auto"/>
            </w:tcBorders>
          </w:tcPr>
          <w:p w:rsidR="002C101D" w:rsidRPr="009D4A13" w:rsidRDefault="00C26753" w:rsidP="00E25DFA">
            <w:pPr>
              <w:jc w:val="center"/>
              <w:rPr>
                <w:rFonts w:ascii="Times New Roman" w:eastAsiaTheme="minorEastAsia" w:hAnsi="Times New Roman" w:cs="Times New Roman"/>
                <w:b/>
                <w:sz w:val="24"/>
                <w:szCs w:val="24"/>
              </w:rPr>
            </w:pPr>
            <w:r w:rsidRPr="009D4A13">
              <w:rPr>
                <w:rFonts w:ascii="Times New Roman" w:eastAsiaTheme="minorEastAsia" w:hAnsi="Times New Roman" w:cs="Times New Roman"/>
                <w:b/>
                <w:sz w:val="24"/>
                <w:szCs w:val="24"/>
              </w:rPr>
              <w:t>ARCH</w:t>
            </w:r>
            <w:r w:rsidR="00B43C32">
              <w:rPr>
                <w:rFonts w:ascii="Times New Roman" w:eastAsiaTheme="minorEastAsia" w:hAnsi="Times New Roman" w:cs="Times New Roman"/>
                <w:b/>
                <w:sz w:val="24"/>
                <w:szCs w:val="24"/>
              </w:rPr>
              <w:t>–</w:t>
            </w:r>
            <w:r w:rsidRPr="009D4A13">
              <w:rPr>
                <w:rFonts w:ascii="Times New Roman" w:eastAsiaTheme="minorEastAsia" w:hAnsi="Times New Roman" w:cs="Times New Roman"/>
                <w:b/>
                <w:sz w:val="24"/>
                <w:szCs w:val="24"/>
              </w:rPr>
              <w:t>LM</w:t>
            </w:r>
            <w:r w:rsidR="00E25DFA">
              <w:rPr>
                <w:rFonts w:ascii="Times New Roman" w:eastAsiaTheme="minorEastAsia" w:hAnsi="Times New Roman" w:cs="Times New Roman"/>
                <w:b/>
                <w:sz w:val="24"/>
                <w:szCs w:val="24"/>
              </w:rPr>
              <w:t xml:space="preserve"> </w:t>
            </w:r>
            <w:r w:rsidRPr="009D4A13">
              <w:rPr>
                <w:rFonts w:ascii="Times New Roman" w:eastAsiaTheme="minorEastAsia" w:hAnsi="Times New Roman" w:cs="Times New Roman"/>
                <w:b/>
                <w:sz w:val="24"/>
                <w:szCs w:val="24"/>
              </w:rPr>
              <w:t>(1)</w:t>
            </w:r>
          </w:p>
        </w:tc>
        <w:tc>
          <w:tcPr>
            <w:tcW w:w="0" w:type="auto"/>
            <w:tcBorders>
              <w:top w:val="single" w:sz="4" w:space="0" w:color="auto"/>
              <w:bottom w:val="single" w:sz="4" w:space="0" w:color="auto"/>
            </w:tcBorders>
          </w:tcPr>
          <w:p w:rsidR="002C101D" w:rsidRPr="009D4A13" w:rsidRDefault="00C26753"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EF0D68" w:rsidRPr="009D4A13">
              <w:rPr>
                <w:rFonts w:ascii="Times New Roman" w:eastAsiaTheme="minorEastAsia" w:hAnsi="Times New Roman" w:cs="Times New Roman"/>
                <w:sz w:val="24"/>
                <w:szCs w:val="24"/>
              </w:rPr>
              <w:t>5918</w:t>
            </w:r>
          </w:p>
        </w:tc>
        <w:tc>
          <w:tcPr>
            <w:tcW w:w="0" w:type="auto"/>
            <w:tcBorders>
              <w:top w:val="single" w:sz="4" w:space="0" w:color="auto"/>
              <w:bottom w:val="single" w:sz="4" w:space="0" w:color="auto"/>
            </w:tcBorders>
          </w:tcPr>
          <w:p w:rsidR="002C101D" w:rsidRPr="009D4A13" w:rsidRDefault="00C26753"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EF0D68" w:rsidRPr="009D4A13">
              <w:rPr>
                <w:rFonts w:ascii="Times New Roman" w:eastAsiaTheme="minorEastAsia" w:hAnsi="Times New Roman" w:cs="Times New Roman"/>
                <w:sz w:val="24"/>
                <w:szCs w:val="24"/>
              </w:rPr>
              <w:t>4418</w:t>
            </w:r>
          </w:p>
        </w:tc>
        <w:tc>
          <w:tcPr>
            <w:tcW w:w="0" w:type="auto"/>
            <w:tcBorders>
              <w:top w:val="single" w:sz="4" w:space="0" w:color="auto"/>
              <w:bottom w:val="single" w:sz="4" w:space="0" w:color="auto"/>
            </w:tcBorders>
          </w:tcPr>
          <w:p w:rsidR="002C101D"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0.2</w:t>
            </w:r>
            <w:r w:rsidR="00D0047F" w:rsidRPr="009D4A13">
              <w:rPr>
                <w:rFonts w:ascii="Times New Roman" w:eastAsiaTheme="minorEastAsia" w:hAnsi="Times New Roman" w:cs="Times New Roman"/>
                <w:sz w:val="24"/>
                <w:szCs w:val="24"/>
              </w:rPr>
              <w:t>488</w:t>
            </w:r>
          </w:p>
        </w:tc>
        <w:tc>
          <w:tcPr>
            <w:tcW w:w="0" w:type="auto"/>
            <w:tcBorders>
              <w:top w:val="single" w:sz="4" w:space="0" w:color="auto"/>
              <w:bottom w:val="single" w:sz="4" w:space="0" w:color="auto"/>
            </w:tcBorders>
          </w:tcPr>
          <w:p w:rsidR="002C101D"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w:t>
            </w:r>
            <w:r w:rsidR="00D0047F" w:rsidRPr="009D4A13">
              <w:rPr>
                <w:rFonts w:ascii="Times New Roman" w:eastAsiaTheme="minorEastAsia" w:hAnsi="Times New Roman" w:cs="Times New Roman"/>
                <w:sz w:val="24"/>
                <w:szCs w:val="24"/>
              </w:rPr>
              <w:t>179</w:t>
            </w:r>
          </w:p>
        </w:tc>
        <w:tc>
          <w:tcPr>
            <w:tcW w:w="0" w:type="auto"/>
            <w:tcBorders>
              <w:top w:val="single" w:sz="4" w:space="0" w:color="auto"/>
              <w:bottom w:val="single" w:sz="4" w:space="0" w:color="auto"/>
            </w:tcBorders>
          </w:tcPr>
          <w:p w:rsidR="002C101D"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BF69AA" w:rsidRPr="009D4A13">
              <w:rPr>
                <w:rFonts w:ascii="Times New Roman" w:eastAsiaTheme="minorEastAsia" w:hAnsi="Times New Roman" w:cs="Times New Roman"/>
                <w:sz w:val="24"/>
                <w:szCs w:val="24"/>
              </w:rPr>
              <w:t>9439</w:t>
            </w:r>
          </w:p>
        </w:tc>
        <w:tc>
          <w:tcPr>
            <w:tcW w:w="0" w:type="auto"/>
            <w:tcBorders>
              <w:top w:val="single" w:sz="4" w:space="0" w:color="auto"/>
              <w:bottom w:val="single" w:sz="4" w:space="0" w:color="auto"/>
            </w:tcBorders>
          </w:tcPr>
          <w:p w:rsidR="002C101D"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0.3</w:t>
            </w:r>
            <w:r w:rsidR="00BF69AA" w:rsidRPr="009D4A13">
              <w:rPr>
                <w:rFonts w:ascii="Times New Roman" w:eastAsiaTheme="minorEastAsia" w:hAnsi="Times New Roman" w:cs="Times New Roman"/>
                <w:sz w:val="24"/>
                <w:szCs w:val="24"/>
              </w:rPr>
              <w:t>299</w:t>
            </w:r>
          </w:p>
        </w:tc>
      </w:tr>
      <w:tr w:rsidR="00E25DFA" w:rsidRPr="009D4A13" w:rsidTr="00615875">
        <w:tc>
          <w:tcPr>
            <w:tcW w:w="0" w:type="auto"/>
            <w:tcBorders>
              <w:top w:val="single" w:sz="4" w:space="0" w:color="auto"/>
              <w:bottom w:val="single" w:sz="4" w:space="0" w:color="auto"/>
            </w:tcBorders>
          </w:tcPr>
          <w:p w:rsidR="002C101D" w:rsidRPr="009D4A13" w:rsidRDefault="00B70A60" w:rsidP="0056476B">
            <w:pPr>
              <w:jc w:val="center"/>
              <w:rPr>
                <w:rFonts w:ascii="Times New Roman" w:eastAsiaTheme="minorEastAsia" w:hAnsi="Times New Roman" w:cs="Times New Roman"/>
                <w:b/>
                <w:sz w:val="24"/>
                <w:szCs w:val="24"/>
              </w:rPr>
            </w:pPr>
            <m:oMathPara>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Q</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m:t>
                </m:r>
              </m:oMath>
            </m:oMathPara>
          </w:p>
        </w:tc>
        <w:tc>
          <w:tcPr>
            <w:tcW w:w="0" w:type="auto"/>
            <w:tcBorders>
              <w:top w:val="single" w:sz="4" w:space="0" w:color="auto"/>
              <w:bottom w:val="single" w:sz="4" w:space="0" w:color="auto"/>
            </w:tcBorders>
          </w:tcPr>
          <w:p w:rsidR="002C101D" w:rsidRPr="009D4A13" w:rsidRDefault="004D47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w:t>
            </w:r>
            <w:r w:rsidR="00EF0D68" w:rsidRPr="009D4A13">
              <w:rPr>
                <w:rFonts w:ascii="Times New Roman" w:eastAsiaTheme="minorEastAsia" w:hAnsi="Times New Roman" w:cs="Times New Roman"/>
                <w:sz w:val="24"/>
                <w:szCs w:val="24"/>
              </w:rPr>
              <w:t>278</w:t>
            </w:r>
          </w:p>
        </w:tc>
        <w:tc>
          <w:tcPr>
            <w:tcW w:w="0" w:type="auto"/>
            <w:tcBorders>
              <w:top w:val="single" w:sz="4" w:space="0" w:color="auto"/>
              <w:bottom w:val="single" w:sz="4" w:space="0" w:color="auto"/>
            </w:tcBorders>
          </w:tcPr>
          <w:p w:rsidR="002C101D" w:rsidRPr="009D4A13" w:rsidRDefault="004D476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0.4</w:t>
            </w:r>
            <w:r w:rsidR="00EF0D68" w:rsidRPr="009D4A13">
              <w:rPr>
                <w:rFonts w:ascii="Times New Roman" w:eastAsiaTheme="minorEastAsia" w:hAnsi="Times New Roman" w:cs="Times New Roman"/>
                <w:sz w:val="24"/>
                <w:szCs w:val="24"/>
              </w:rPr>
              <w:t>28</w:t>
            </w:r>
          </w:p>
        </w:tc>
        <w:tc>
          <w:tcPr>
            <w:tcW w:w="0" w:type="auto"/>
            <w:tcBorders>
              <w:top w:val="single" w:sz="4" w:space="0" w:color="auto"/>
              <w:bottom w:val="single" w:sz="4" w:space="0" w:color="auto"/>
            </w:tcBorders>
          </w:tcPr>
          <w:p w:rsidR="002C101D"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0.2</w:t>
            </w:r>
            <w:r w:rsidR="00D0047F" w:rsidRPr="009D4A13">
              <w:rPr>
                <w:rFonts w:ascii="Times New Roman" w:eastAsiaTheme="minorEastAsia" w:hAnsi="Times New Roman" w:cs="Times New Roman"/>
                <w:sz w:val="24"/>
                <w:szCs w:val="24"/>
              </w:rPr>
              <w:t>735</w:t>
            </w:r>
          </w:p>
        </w:tc>
        <w:tc>
          <w:tcPr>
            <w:tcW w:w="0" w:type="auto"/>
            <w:tcBorders>
              <w:top w:val="single" w:sz="4" w:space="0" w:color="auto"/>
              <w:bottom w:val="single" w:sz="4" w:space="0" w:color="auto"/>
            </w:tcBorders>
          </w:tcPr>
          <w:p w:rsidR="002C101D" w:rsidRPr="009D4A13" w:rsidRDefault="00C85947"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w:t>
            </w:r>
            <w:r w:rsidR="00D0047F" w:rsidRPr="009D4A13">
              <w:rPr>
                <w:rFonts w:ascii="Times New Roman" w:eastAsiaTheme="minorEastAsia" w:hAnsi="Times New Roman" w:cs="Times New Roman"/>
                <w:sz w:val="24"/>
                <w:szCs w:val="24"/>
              </w:rPr>
              <w:t>601</w:t>
            </w:r>
          </w:p>
        </w:tc>
        <w:tc>
          <w:tcPr>
            <w:tcW w:w="0" w:type="auto"/>
            <w:tcBorders>
              <w:top w:val="single" w:sz="4" w:space="0" w:color="auto"/>
              <w:bottom w:val="single" w:sz="4" w:space="0" w:color="auto"/>
            </w:tcBorders>
          </w:tcPr>
          <w:p w:rsidR="002C101D"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0.9</w:t>
            </w:r>
            <w:r w:rsidR="00BF69AA" w:rsidRPr="009D4A13">
              <w:rPr>
                <w:rFonts w:ascii="Times New Roman" w:eastAsiaTheme="minorEastAsia" w:hAnsi="Times New Roman" w:cs="Times New Roman"/>
                <w:sz w:val="24"/>
                <w:szCs w:val="24"/>
              </w:rPr>
              <w:t>928</w:t>
            </w:r>
          </w:p>
        </w:tc>
        <w:tc>
          <w:tcPr>
            <w:tcW w:w="0" w:type="auto"/>
            <w:tcBorders>
              <w:top w:val="single" w:sz="4" w:space="0" w:color="auto"/>
              <w:bottom w:val="single" w:sz="4" w:space="0" w:color="auto"/>
            </w:tcBorders>
          </w:tcPr>
          <w:p w:rsidR="002C101D" w:rsidRPr="009D4A13" w:rsidRDefault="008F2DF4"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0.3</w:t>
            </w:r>
            <w:r w:rsidR="00BF69AA" w:rsidRPr="009D4A13">
              <w:rPr>
                <w:rFonts w:ascii="Times New Roman" w:eastAsiaTheme="minorEastAsia" w:hAnsi="Times New Roman" w:cs="Times New Roman"/>
                <w:sz w:val="24"/>
                <w:szCs w:val="24"/>
              </w:rPr>
              <w:t>19</w:t>
            </w:r>
          </w:p>
        </w:tc>
      </w:tr>
      <w:tr w:rsidR="00E25DFA" w:rsidRPr="009D4A13" w:rsidTr="00615875">
        <w:tc>
          <w:tcPr>
            <w:tcW w:w="0" w:type="auto"/>
            <w:tcBorders>
              <w:top w:val="single" w:sz="4" w:space="0" w:color="auto"/>
              <w:bottom w:val="single" w:sz="4" w:space="0" w:color="auto"/>
            </w:tcBorders>
          </w:tcPr>
          <w:p w:rsidR="00DA52C2" w:rsidRPr="009D4A13" w:rsidRDefault="00B70A60" w:rsidP="0056476B">
            <w:pPr>
              <w:jc w:val="center"/>
              <w:rPr>
                <w:rFonts w:ascii="Times New Roman" w:eastAsia="Calibri" w:hAnsi="Times New Roman" w:cs="Times New Roman"/>
                <w:b/>
                <w:sz w:val="24"/>
                <w:szCs w:val="24"/>
              </w:rPr>
            </w:pPr>
            <m:oMathPara>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Q</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(5)</m:t>
                </m:r>
              </m:oMath>
            </m:oMathPara>
          </w:p>
        </w:tc>
        <w:tc>
          <w:tcPr>
            <w:tcW w:w="0" w:type="auto"/>
            <w:tcBorders>
              <w:top w:val="single" w:sz="4" w:space="0" w:color="auto"/>
              <w:bottom w:val="single" w:sz="4" w:space="0" w:color="auto"/>
            </w:tcBorders>
          </w:tcPr>
          <w:p w:rsidR="00DA52C2"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4.2290</w:t>
            </w:r>
          </w:p>
        </w:tc>
        <w:tc>
          <w:tcPr>
            <w:tcW w:w="0" w:type="auto"/>
            <w:tcBorders>
              <w:top w:val="single" w:sz="4" w:space="0" w:color="auto"/>
              <w:bottom w:val="single" w:sz="4" w:space="0" w:color="auto"/>
            </w:tcBorders>
          </w:tcPr>
          <w:p w:rsidR="00DA52C2"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0.517</w:t>
            </w:r>
          </w:p>
        </w:tc>
        <w:tc>
          <w:tcPr>
            <w:tcW w:w="0" w:type="auto"/>
            <w:tcBorders>
              <w:top w:val="single" w:sz="4" w:space="0" w:color="auto"/>
              <w:bottom w:val="single" w:sz="4" w:space="0" w:color="auto"/>
            </w:tcBorders>
          </w:tcPr>
          <w:p w:rsidR="00DA52C2"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4.4808</w:t>
            </w:r>
          </w:p>
        </w:tc>
        <w:tc>
          <w:tcPr>
            <w:tcW w:w="0" w:type="auto"/>
            <w:tcBorders>
              <w:top w:val="single" w:sz="4" w:space="0" w:color="auto"/>
              <w:bottom w:val="single" w:sz="4" w:space="0" w:color="auto"/>
            </w:tcBorders>
          </w:tcPr>
          <w:p w:rsidR="00DA52C2"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0.482</w:t>
            </w:r>
          </w:p>
        </w:tc>
        <w:tc>
          <w:tcPr>
            <w:tcW w:w="0" w:type="auto"/>
            <w:tcBorders>
              <w:top w:val="single" w:sz="4" w:space="0" w:color="auto"/>
              <w:bottom w:val="single" w:sz="4" w:space="0" w:color="auto"/>
            </w:tcBorders>
          </w:tcPr>
          <w:p w:rsidR="00DA52C2"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4.0821</w:t>
            </w:r>
          </w:p>
        </w:tc>
        <w:tc>
          <w:tcPr>
            <w:tcW w:w="0" w:type="auto"/>
            <w:tcBorders>
              <w:top w:val="single" w:sz="4" w:space="0" w:color="auto"/>
              <w:bottom w:val="single" w:sz="4" w:space="0" w:color="auto"/>
            </w:tcBorders>
          </w:tcPr>
          <w:p w:rsidR="00DA52C2"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0.538</w:t>
            </w:r>
          </w:p>
        </w:tc>
      </w:tr>
      <w:tr w:rsidR="00E25DFA" w:rsidRPr="009D4A13" w:rsidTr="00615875">
        <w:tc>
          <w:tcPr>
            <w:tcW w:w="0" w:type="auto"/>
            <w:tcBorders>
              <w:top w:val="single" w:sz="4" w:space="0" w:color="auto"/>
              <w:bottom w:val="single" w:sz="4" w:space="0" w:color="auto"/>
            </w:tcBorders>
          </w:tcPr>
          <w:p w:rsidR="00DA52C2" w:rsidRPr="009D4A13" w:rsidRDefault="00B70A60" w:rsidP="0056476B">
            <w:pPr>
              <w:jc w:val="center"/>
              <w:rPr>
                <w:rFonts w:ascii="Times New Roman" w:eastAsia="Calibri" w:hAnsi="Times New Roman" w:cs="Times New Roman"/>
                <w:b/>
                <w:sz w:val="24"/>
                <w:szCs w:val="24"/>
              </w:rPr>
            </w:pPr>
            <m:oMathPara>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Q</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(10)</m:t>
                </m:r>
              </m:oMath>
            </m:oMathPara>
          </w:p>
        </w:tc>
        <w:tc>
          <w:tcPr>
            <w:tcW w:w="0" w:type="auto"/>
            <w:tcBorders>
              <w:top w:val="single" w:sz="4" w:space="0" w:color="auto"/>
              <w:bottom w:val="single" w:sz="4" w:space="0" w:color="auto"/>
            </w:tcBorders>
          </w:tcPr>
          <w:p w:rsidR="00DA52C2"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8.7503</w:t>
            </w:r>
          </w:p>
        </w:tc>
        <w:tc>
          <w:tcPr>
            <w:tcW w:w="0" w:type="auto"/>
            <w:tcBorders>
              <w:top w:val="single" w:sz="4" w:space="0" w:color="auto"/>
              <w:bottom w:val="single" w:sz="4" w:space="0" w:color="auto"/>
            </w:tcBorders>
          </w:tcPr>
          <w:p w:rsidR="00DA52C2" w:rsidRPr="009D4A13" w:rsidRDefault="00EF0D68"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0.556</w:t>
            </w:r>
          </w:p>
        </w:tc>
        <w:tc>
          <w:tcPr>
            <w:tcW w:w="0" w:type="auto"/>
            <w:tcBorders>
              <w:top w:val="single" w:sz="4" w:space="0" w:color="auto"/>
              <w:bottom w:val="single" w:sz="4" w:space="0" w:color="auto"/>
            </w:tcBorders>
          </w:tcPr>
          <w:p w:rsidR="00DA52C2"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7.5434</w:t>
            </w:r>
          </w:p>
        </w:tc>
        <w:tc>
          <w:tcPr>
            <w:tcW w:w="0" w:type="auto"/>
            <w:tcBorders>
              <w:top w:val="single" w:sz="4" w:space="0" w:color="auto"/>
              <w:bottom w:val="single" w:sz="4" w:space="0" w:color="auto"/>
            </w:tcBorders>
          </w:tcPr>
          <w:p w:rsidR="00DA52C2" w:rsidRPr="009D4A13" w:rsidRDefault="00D0047F"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0.673</w:t>
            </w:r>
          </w:p>
        </w:tc>
        <w:tc>
          <w:tcPr>
            <w:tcW w:w="0" w:type="auto"/>
            <w:tcBorders>
              <w:top w:val="single" w:sz="4" w:space="0" w:color="auto"/>
              <w:bottom w:val="single" w:sz="4" w:space="0" w:color="auto"/>
            </w:tcBorders>
          </w:tcPr>
          <w:p w:rsidR="00DA52C2"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7.9893</w:t>
            </w:r>
          </w:p>
        </w:tc>
        <w:tc>
          <w:tcPr>
            <w:tcW w:w="0" w:type="auto"/>
            <w:tcBorders>
              <w:top w:val="single" w:sz="4" w:space="0" w:color="auto"/>
              <w:bottom w:val="single" w:sz="4" w:space="0" w:color="auto"/>
            </w:tcBorders>
          </w:tcPr>
          <w:p w:rsidR="00DA52C2" w:rsidRPr="009D4A13" w:rsidRDefault="00BF69AA" w:rsidP="0056476B">
            <w:pPr>
              <w:jc w:val="center"/>
              <w:rPr>
                <w:rFonts w:ascii="Times New Roman" w:eastAsiaTheme="minorEastAsia" w:hAnsi="Times New Roman" w:cs="Times New Roman"/>
                <w:sz w:val="24"/>
                <w:szCs w:val="24"/>
              </w:rPr>
            </w:pPr>
            <w:r w:rsidRPr="009D4A13">
              <w:rPr>
                <w:rFonts w:ascii="Times New Roman" w:eastAsiaTheme="minorEastAsia" w:hAnsi="Times New Roman" w:cs="Times New Roman"/>
                <w:sz w:val="24"/>
                <w:szCs w:val="24"/>
              </w:rPr>
              <w:t>0.630</w:t>
            </w:r>
          </w:p>
        </w:tc>
      </w:tr>
      <w:tr w:rsidR="005C2FA9" w:rsidRPr="009D4A13" w:rsidTr="00615875">
        <w:tc>
          <w:tcPr>
            <w:tcW w:w="0" w:type="auto"/>
            <w:gridSpan w:val="7"/>
            <w:tcBorders>
              <w:top w:val="single" w:sz="4" w:space="0" w:color="auto"/>
              <w:bottom w:val="single" w:sz="4" w:space="0" w:color="auto"/>
            </w:tcBorders>
          </w:tcPr>
          <w:p w:rsidR="005C2FA9" w:rsidRPr="00E25DFA" w:rsidRDefault="005C2FA9" w:rsidP="009D4A13">
            <w:pPr>
              <w:jc w:val="both"/>
              <w:rPr>
                <w:rFonts w:ascii="Times New Roman" w:eastAsiaTheme="minorEastAsia" w:hAnsi="Times New Roman" w:cs="Times New Roman"/>
                <w:sz w:val="24"/>
                <w:szCs w:val="24"/>
              </w:rPr>
            </w:pPr>
            <w:r w:rsidRPr="00E25DFA">
              <w:rPr>
                <w:rFonts w:ascii="Times New Roman" w:eastAsiaTheme="minorEastAsia" w:hAnsi="Times New Roman" w:cs="Times New Roman"/>
                <w:b/>
                <w:sz w:val="24"/>
                <w:szCs w:val="24"/>
              </w:rPr>
              <w:t>Notes:</w:t>
            </w:r>
            <w:r w:rsidRPr="00E25DFA">
              <w:rPr>
                <w:rFonts w:ascii="Times New Roman" w:eastAsiaTheme="minorEastAsia" w:hAnsi="Times New Roman" w:cs="Times New Roman"/>
                <w:sz w:val="24"/>
                <w:szCs w:val="24"/>
              </w:rPr>
              <w:t xml:space="preserve"> </w:t>
            </w:r>
            <w:r w:rsidRPr="00E25DFA">
              <w:rPr>
                <w:rFonts w:ascii="Times New Roman" w:hAnsi="Times New Roman" w:cs="Times New Roman"/>
                <w:sz w:val="24"/>
                <w:szCs w:val="24"/>
                <w:lang w:eastAsia="tr-TR"/>
              </w:rPr>
              <w:t>***, ** and * denote significance at 1, 5 and 10% levels, respectively. Numbers in brackets are the standart errors.</w:t>
            </w:r>
            <w:r w:rsidR="00DA52C2" w:rsidRPr="00E25DFA">
              <w:rPr>
                <w:rFonts w:ascii="Times New Roman" w:hAnsi="Times New Roman" w:cs="Times New Roman"/>
                <w:sz w:val="24"/>
                <w:szCs w:val="24"/>
                <w:lang w:eastAsia="tr-TR"/>
              </w:rPr>
              <w:t xml:space="preserve"> Ljung</w:t>
            </w:r>
            <w:r w:rsidR="00B43C32" w:rsidRPr="00E25DFA">
              <w:rPr>
                <w:rFonts w:ascii="Times New Roman" w:hAnsi="Times New Roman" w:cs="Times New Roman"/>
                <w:sz w:val="24"/>
                <w:szCs w:val="24"/>
                <w:lang w:eastAsia="tr-TR"/>
              </w:rPr>
              <w:t>–</w:t>
            </w:r>
            <w:r w:rsidR="00DA52C2" w:rsidRPr="00E25DFA">
              <w:rPr>
                <w:rFonts w:ascii="Times New Roman" w:hAnsi="Times New Roman" w:cs="Times New Roman"/>
                <w:sz w:val="24"/>
                <w:szCs w:val="24"/>
                <w:lang w:eastAsia="tr-TR"/>
              </w:rPr>
              <w:t>Box Q</w:t>
            </w:r>
            <w:r w:rsidR="00B43C32" w:rsidRPr="00E25DFA">
              <w:rPr>
                <w:rFonts w:ascii="Times New Roman" w:hAnsi="Times New Roman" w:cs="Times New Roman"/>
                <w:sz w:val="24"/>
                <w:szCs w:val="24"/>
                <w:lang w:eastAsia="tr-TR"/>
              </w:rPr>
              <w:t>–</w:t>
            </w:r>
            <w:r w:rsidR="00DA52C2" w:rsidRPr="00E25DFA">
              <w:rPr>
                <w:rFonts w:ascii="Times New Roman" w:hAnsi="Times New Roman" w:cs="Times New Roman"/>
                <w:sz w:val="24"/>
                <w:szCs w:val="24"/>
                <w:lang w:eastAsia="tr-TR"/>
              </w:rPr>
              <w:t>statistics on the squared residuals at</w:t>
            </w:r>
            <w:r w:rsidR="00046AC0" w:rsidRPr="00E25DFA">
              <w:rPr>
                <w:rFonts w:ascii="Times New Roman" w:hAnsi="Times New Roman" w:cs="Times New Roman"/>
                <w:sz w:val="24"/>
                <w:szCs w:val="24"/>
                <w:lang w:eastAsia="tr-TR"/>
              </w:rPr>
              <w:t xml:space="preserve"> 1st, 5</w:t>
            </w:r>
            <w:r w:rsidR="00DA52C2" w:rsidRPr="00E25DFA">
              <w:rPr>
                <w:rFonts w:ascii="Times New Roman" w:hAnsi="Times New Roman" w:cs="Times New Roman"/>
                <w:sz w:val="24"/>
                <w:szCs w:val="24"/>
                <w:lang w:eastAsia="tr-TR"/>
              </w:rPr>
              <w:t>th and</w:t>
            </w:r>
            <w:r w:rsidR="00046AC0" w:rsidRPr="00E25DFA">
              <w:rPr>
                <w:rFonts w:ascii="Times New Roman" w:hAnsi="Times New Roman" w:cs="Times New Roman"/>
                <w:sz w:val="24"/>
                <w:szCs w:val="24"/>
                <w:lang w:eastAsia="tr-TR"/>
              </w:rPr>
              <w:t xml:space="preserve"> 10</w:t>
            </w:r>
            <w:r w:rsidR="00DA52C2" w:rsidRPr="00E25DFA">
              <w:rPr>
                <w:rFonts w:ascii="Times New Roman" w:hAnsi="Times New Roman" w:cs="Times New Roman"/>
                <w:sz w:val="24"/>
                <w:szCs w:val="24"/>
                <w:lang w:eastAsia="tr-TR"/>
              </w:rPr>
              <w:t>th lag</w:t>
            </w:r>
            <w:r w:rsidR="00466A5E" w:rsidRPr="00E25DFA">
              <w:rPr>
                <w:rFonts w:ascii="Times New Roman" w:hAnsi="Times New Roman" w:cs="Times New Roman"/>
                <w:sz w:val="24"/>
                <w:szCs w:val="24"/>
                <w:lang w:eastAsia="tr-TR"/>
              </w:rPr>
              <w:t>s</w:t>
            </w:r>
            <w:r w:rsidR="00DA52C2" w:rsidRPr="00E25DFA">
              <w:rPr>
                <w:rFonts w:ascii="Times New Roman" w:hAnsi="Times New Roman" w:cs="Times New Roman"/>
                <w:sz w:val="24"/>
                <w:szCs w:val="24"/>
                <w:lang w:eastAsia="tr-TR"/>
              </w:rPr>
              <w:t xml:space="preserve"> are reported.</w:t>
            </w:r>
          </w:p>
        </w:tc>
      </w:tr>
    </w:tbl>
    <w:p w:rsidR="006071A4" w:rsidRPr="009D4A13" w:rsidRDefault="006071A4" w:rsidP="009D4A13">
      <w:pPr>
        <w:spacing w:after="0" w:line="240" w:lineRule="auto"/>
        <w:jc w:val="both"/>
        <w:rPr>
          <w:rFonts w:ascii="Times New Roman" w:eastAsiaTheme="minorEastAsia" w:hAnsi="Times New Roman" w:cs="Times New Roman"/>
          <w:sz w:val="24"/>
          <w:szCs w:val="24"/>
        </w:rPr>
      </w:pPr>
    </w:p>
    <w:p w:rsidR="0008520D" w:rsidRPr="009D4A13" w:rsidRDefault="0008520D" w:rsidP="0008520D">
      <w:pPr>
        <w:autoSpaceDE w:val="0"/>
        <w:autoSpaceDN w:val="0"/>
        <w:adjustRightInd w:val="0"/>
        <w:spacing w:after="0" w:line="240" w:lineRule="auto"/>
        <w:jc w:val="both"/>
        <w:rPr>
          <w:rFonts w:ascii="Times New Roman" w:hAnsi="Times New Roman" w:cs="Times New Roman"/>
          <w:sz w:val="24"/>
          <w:szCs w:val="24"/>
        </w:rPr>
      </w:pPr>
      <w:r w:rsidRPr="009D4A13">
        <w:rPr>
          <w:rFonts w:ascii="Times New Roman" w:hAnsi="Times New Roman" w:cs="Times New Roman"/>
          <w:sz w:val="24"/>
          <w:szCs w:val="24"/>
        </w:rPr>
        <w:lastRenderedPageBreak/>
        <w:t xml:space="preserve">The insignificant and wrong (positive) coefficient of </w:t>
      </w:r>
      <w:r>
        <w:rPr>
          <w:rFonts w:ascii="Times New Roman" w:hAnsi="Times New Roman" w:cs="Times New Roman"/>
          <w:sz w:val="24"/>
          <w:szCs w:val="24"/>
        </w:rPr>
        <w:t xml:space="preserve">intervention </w:t>
      </w:r>
      <w:r w:rsidRPr="009D4A13">
        <w:rPr>
          <w:rFonts w:ascii="Times New Roman" w:hAnsi="Times New Roman" w:cs="Times New Roman"/>
          <w:sz w:val="24"/>
          <w:szCs w:val="24"/>
        </w:rPr>
        <w:t xml:space="preserve">dummy variable in intervention purchases plus sales estimation and intervention sales estimation indicates that central bank presence alone can not explain the same day exchange rate volatility, if the magnitude of intervention is neglected. This coefficient has correct sign but statistically insignificant in intervention purchases estimation. The coefficent of CDS variable, </w:t>
      </w:r>
      <m:oMath>
        <m:sSub>
          <m:sSubPr>
            <m:ctrlPr>
              <w:rPr>
                <w:rFonts w:ascii="Cambria Math" w:hAnsi="Cambria Math" w:cs="Times New Roman"/>
                <w:i/>
                <w:sz w:val="24"/>
                <w:szCs w:val="24"/>
                <w:lang w:eastAsia="tr-TR"/>
              </w:rPr>
            </m:ctrlPr>
          </m:sSubPr>
          <m:e>
            <m:r>
              <w:rPr>
                <w:rFonts w:ascii="Cambria Math" w:hAnsi="Cambria Math" w:cs="Times New Roman"/>
                <w:sz w:val="24"/>
                <w:szCs w:val="24"/>
                <w:lang w:eastAsia="tr-TR"/>
              </w:rPr>
              <m:t>δ</m:t>
            </m:r>
          </m:e>
          <m:sub>
            <m:r>
              <w:rPr>
                <w:rFonts w:ascii="Cambria Math" w:hAnsi="Cambria Math" w:cs="Times New Roman"/>
                <w:sz w:val="24"/>
                <w:szCs w:val="24"/>
                <w:lang w:eastAsia="tr-TR"/>
              </w:rPr>
              <m:t>3</m:t>
            </m:r>
          </m:sub>
        </m:sSub>
      </m:oMath>
      <w:r w:rsidRPr="009D4A13">
        <w:rPr>
          <w:rFonts w:ascii="Times New Roman" w:eastAsiaTheme="minorEastAsia" w:hAnsi="Times New Roman" w:cs="Times New Roman"/>
          <w:sz w:val="24"/>
          <w:szCs w:val="24"/>
          <w:lang w:eastAsia="tr-TR"/>
        </w:rPr>
        <w:t>,</w:t>
      </w:r>
      <w:r w:rsidRPr="009D4A13">
        <w:rPr>
          <w:rFonts w:ascii="Times New Roman" w:hAnsi="Times New Roman" w:cs="Times New Roman"/>
          <w:sz w:val="24"/>
          <w:szCs w:val="24"/>
        </w:rPr>
        <w:t xml:space="preserve"> is positive and highly significant as is the case with the mean equation, suggesting that an increase in risk tend to rise the exchange rate volatility. The constant, </w:t>
      </w:r>
      <m:oMath>
        <m:r>
          <w:rPr>
            <w:rFonts w:ascii="Cambria Math" w:hAnsi="Cambria Math" w:cs="Times New Roman"/>
            <w:sz w:val="24"/>
            <w:szCs w:val="24"/>
            <w:lang w:eastAsia="tr-TR"/>
          </w:rPr>
          <m:t>ω</m:t>
        </m:r>
      </m:oMath>
      <w:r w:rsidRPr="009D4A13">
        <w:rPr>
          <w:rFonts w:ascii="Times New Roman" w:eastAsiaTheme="minorEastAsia" w:hAnsi="Times New Roman" w:cs="Times New Roman"/>
          <w:sz w:val="24"/>
          <w:szCs w:val="24"/>
          <w:lang w:eastAsia="tr-TR"/>
        </w:rPr>
        <w:t>,</w:t>
      </w:r>
      <w:r w:rsidRPr="009D4A13">
        <w:rPr>
          <w:rFonts w:ascii="Times New Roman" w:eastAsiaTheme="minorEastAsia" w:hAnsi="Times New Roman" w:cs="Times New Roman"/>
          <w:sz w:val="24"/>
          <w:szCs w:val="24"/>
        </w:rPr>
        <w:t xml:space="preserve"> </w:t>
      </w:r>
      <w:r w:rsidRPr="009D4A13">
        <w:rPr>
          <w:rFonts w:ascii="Times New Roman" w:hAnsi="Times New Roman" w:cs="Times New Roman"/>
          <w:sz w:val="24"/>
          <w:szCs w:val="24"/>
        </w:rPr>
        <w:t xml:space="preserve">is negative and significant at 1% level in all estimations, indicating that recent interventions systematically reduce the TRY/USD exchange rate volatility. </w:t>
      </w:r>
      <w:r>
        <w:rPr>
          <w:rFonts w:ascii="Times New Roman" w:hAnsi="Times New Roman" w:cs="Times New Roman"/>
          <w:sz w:val="24"/>
          <w:szCs w:val="24"/>
        </w:rPr>
        <w:t xml:space="preserve">The findings of this study are partially in accordance with the results of [38] on Turkey. </w:t>
      </w:r>
    </w:p>
    <w:p w:rsidR="00E530C2" w:rsidRPr="009D4A13" w:rsidRDefault="0062363B" w:rsidP="009D4A13">
      <w:pPr>
        <w:autoSpaceDE w:val="0"/>
        <w:autoSpaceDN w:val="0"/>
        <w:adjustRightInd w:val="0"/>
        <w:spacing w:after="0" w:line="240" w:lineRule="auto"/>
        <w:jc w:val="both"/>
        <w:rPr>
          <w:rFonts w:ascii="Times New Roman" w:hAnsi="Times New Roman" w:cs="Times New Roman"/>
          <w:sz w:val="24"/>
          <w:szCs w:val="24"/>
          <w:lang w:eastAsia="tr-TR"/>
        </w:rPr>
      </w:pPr>
      <w:r w:rsidRPr="009D4A13">
        <w:rPr>
          <w:rFonts w:ascii="Times New Roman" w:hAnsi="Times New Roman" w:cs="Times New Roman"/>
          <w:sz w:val="24"/>
          <w:szCs w:val="24"/>
        </w:rPr>
        <w:t xml:space="preserve">The estimated </w:t>
      </w:r>
      <m:oMath>
        <m:r>
          <w:rPr>
            <w:rFonts w:ascii="Cambria Math" w:hAnsi="Cambria Math" w:cs="Times New Roman"/>
            <w:sz w:val="24"/>
            <w:szCs w:val="24"/>
            <w:lang w:eastAsia="tr-TR"/>
          </w:rPr>
          <m:t>β</m:t>
        </m:r>
      </m:oMath>
      <w:r w:rsidRPr="009D4A13">
        <w:rPr>
          <w:rFonts w:ascii="Times New Roman" w:hAnsi="Times New Roman" w:cs="Times New Roman"/>
          <w:sz w:val="24"/>
          <w:szCs w:val="24"/>
          <w:lang w:eastAsia="tr-TR"/>
        </w:rPr>
        <w:t xml:space="preserve"> and </w:t>
      </w:r>
      <m:oMath>
        <m:r>
          <w:rPr>
            <w:rFonts w:ascii="Cambria Math" w:hAnsi="Cambria Math" w:cs="Times New Roman"/>
            <w:sz w:val="24"/>
            <w:szCs w:val="24"/>
            <w:lang w:eastAsia="tr-TR"/>
          </w:rPr>
          <m:t>α</m:t>
        </m:r>
      </m:oMath>
      <w:r w:rsidRPr="009D4A13">
        <w:rPr>
          <w:rFonts w:ascii="Times New Roman" w:hAnsi="Times New Roman" w:cs="Times New Roman"/>
          <w:sz w:val="24"/>
          <w:szCs w:val="24"/>
          <w:lang w:eastAsia="tr-TR"/>
        </w:rPr>
        <w:t xml:space="preserve"> coefficients are</w:t>
      </w:r>
      <w:r w:rsidR="00CB12C0" w:rsidRPr="009D4A13">
        <w:rPr>
          <w:rFonts w:ascii="Times New Roman" w:hAnsi="Times New Roman" w:cs="Times New Roman"/>
          <w:sz w:val="24"/>
          <w:szCs w:val="24"/>
          <w:lang w:eastAsia="tr-TR"/>
        </w:rPr>
        <w:t xml:space="preserve"> positive </w:t>
      </w:r>
      <w:r w:rsidR="00D104FC" w:rsidRPr="009D4A13">
        <w:rPr>
          <w:rFonts w:ascii="Times New Roman" w:hAnsi="Times New Roman" w:cs="Times New Roman"/>
          <w:sz w:val="24"/>
          <w:szCs w:val="24"/>
          <w:lang w:eastAsia="tr-TR"/>
        </w:rPr>
        <w:t>and significant at the 1% level in all estimations.</w:t>
      </w:r>
      <w:r w:rsidR="00CB12C0" w:rsidRPr="009D4A13">
        <w:rPr>
          <w:rFonts w:ascii="Times New Roman" w:hAnsi="Times New Roman" w:cs="Times New Roman"/>
          <w:sz w:val="24"/>
          <w:szCs w:val="24"/>
          <w:lang w:eastAsia="tr-TR"/>
        </w:rPr>
        <w:t xml:space="preserve"> This evidence satisfies the nonnegativit</w:t>
      </w:r>
      <w:r w:rsidR="00566CA1" w:rsidRPr="009D4A13">
        <w:rPr>
          <w:rFonts w:ascii="Times New Roman" w:hAnsi="Times New Roman" w:cs="Times New Roman"/>
          <w:sz w:val="24"/>
          <w:szCs w:val="24"/>
          <w:lang w:eastAsia="tr-TR"/>
        </w:rPr>
        <w:t xml:space="preserve">y of </w:t>
      </w:r>
      <w:r w:rsidR="00D104FC" w:rsidRPr="009D4A13">
        <w:rPr>
          <w:rFonts w:ascii="Times New Roman" w:hAnsi="Times New Roman" w:cs="Times New Roman"/>
          <w:sz w:val="24"/>
          <w:szCs w:val="24"/>
          <w:lang w:eastAsia="tr-TR"/>
        </w:rPr>
        <w:t xml:space="preserve">the conditional variances for the </w:t>
      </w:r>
      <w:r w:rsidR="00566CA1" w:rsidRPr="009D4A13">
        <w:rPr>
          <w:rFonts w:ascii="Times New Roman" w:hAnsi="Times New Roman" w:cs="Times New Roman"/>
          <w:sz w:val="24"/>
          <w:szCs w:val="24"/>
          <w:lang w:eastAsia="tr-TR"/>
        </w:rPr>
        <w:t>E</w:t>
      </w:r>
      <w:r w:rsidR="00A23A73">
        <w:rPr>
          <w:rFonts w:ascii="Times New Roman" w:hAnsi="Times New Roman" w:cs="Times New Roman"/>
          <w:sz w:val="24"/>
          <w:szCs w:val="24"/>
          <w:lang w:eastAsia="tr-TR"/>
        </w:rPr>
        <w:t xml:space="preserve">xponential </w:t>
      </w:r>
      <w:r w:rsidR="00566CA1" w:rsidRPr="009D4A13">
        <w:rPr>
          <w:rFonts w:ascii="Times New Roman" w:hAnsi="Times New Roman" w:cs="Times New Roman"/>
          <w:sz w:val="24"/>
          <w:szCs w:val="24"/>
          <w:lang w:eastAsia="tr-TR"/>
        </w:rPr>
        <w:t>GARCH model</w:t>
      </w:r>
      <w:r w:rsidR="00A23A73">
        <w:rPr>
          <w:rFonts w:ascii="Times New Roman" w:hAnsi="Times New Roman" w:cs="Times New Roman"/>
          <w:sz w:val="24"/>
          <w:szCs w:val="24"/>
          <w:lang w:eastAsia="tr-TR"/>
        </w:rPr>
        <w:t>s</w:t>
      </w:r>
      <w:r w:rsidR="00566CA1" w:rsidRPr="009D4A13">
        <w:rPr>
          <w:rFonts w:ascii="Times New Roman" w:hAnsi="Times New Roman" w:cs="Times New Roman"/>
          <w:sz w:val="24"/>
          <w:szCs w:val="24"/>
          <w:lang w:eastAsia="tr-TR"/>
        </w:rPr>
        <w:t>.</w:t>
      </w:r>
      <w:r w:rsidR="00CB12C0" w:rsidRPr="009D4A13">
        <w:rPr>
          <w:rFonts w:ascii="Times New Roman" w:hAnsi="Times New Roman" w:cs="Times New Roman"/>
          <w:sz w:val="24"/>
          <w:szCs w:val="24"/>
          <w:lang w:eastAsia="tr-TR"/>
        </w:rPr>
        <w:t xml:space="preserve">  Since the </w:t>
      </w:r>
      <m:oMath>
        <m:r>
          <w:rPr>
            <w:rFonts w:ascii="Cambria Math" w:hAnsi="Cambria Math" w:cs="Times New Roman"/>
            <w:sz w:val="24"/>
            <w:szCs w:val="24"/>
            <w:lang w:eastAsia="tr-TR"/>
          </w:rPr>
          <m:t>β</m:t>
        </m:r>
      </m:oMath>
      <w:r w:rsidR="00CB12C0" w:rsidRPr="009D4A13">
        <w:rPr>
          <w:rFonts w:ascii="Times New Roman" w:hAnsi="Times New Roman" w:cs="Times New Roman"/>
          <w:sz w:val="24"/>
          <w:szCs w:val="24"/>
          <w:lang w:eastAsia="tr-TR"/>
        </w:rPr>
        <w:t xml:space="preserve"> coefficients </w:t>
      </w:r>
      <w:r w:rsidR="00A23A73">
        <w:rPr>
          <w:rFonts w:ascii="Times New Roman" w:hAnsi="Times New Roman" w:cs="Times New Roman"/>
          <w:sz w:val="24"/>
          <w:szCs w:val="24"/>
          <w:lang w:eastAsia="tr-TR"/>
        </w:rPr>
        <w:t xml:space="preserve">in all estimations </w:t>
      </w:r>
      <w:r w:rsidR="00CB12C0" w:rsidRPr="009D4A13">
        <w:rPr>
          <w:rFonts w:ascii="Times New Roman" w:hAnsi="Times New Roman" w:cs="Times New Roman"/>
          <w:sz w:val="24"/>
          <w:szCs w:val="24"/>
          <w:lang w:eastAsia="tr-TR"/>
        </w:rPr>
        <w:t xml:space="preserve">are quite high, the response functions to shocks are </w:t>
      </w:r>
      <w:r w:rsidR="009076F7">
        <w:rPr>
          <w:rFonts w:ascii="Times New Roman" w:hAnsi="Times New Roman" w:cs="Times New Roman"/>
          <w:sz w:val="24"/>
          <w:szCs w:val="24"/>
          <w:lang w:eastAsia="tr-TR"/>
        </w:rPr>
        <w:t>rather persistent, in contrast to [40].</w:t>
      </w:r>
      <w:r w:rsidR="006661E6" w:rsidRPr="009D4A13">
        <w:rPr>
          <w:rFonts w:ascii="Times New Roman" w:hAnsi="Times New Roman" w:cs="Times New Roman"/>
          <w:sz w:val="24"/>
          <w:szCs w:val="24"/>
          <w:lang w:eastAsia="tr-TR"/>
        </w:rPr>
        <w:t xml:space="preserve"> </w:t>
      </w:r>
      <w:r w:rsidRPr="009D4A13">
        <w:rPr>
          <w:rFonts w:ascii="Times New Roman" w:hAnsi="Times New Roman" w:cs="Times New Roman"/>
          <w:sz w:val="24"/>
          <w:szCs w:val="24"/>
          <w:lang w:eastAsia="tr-TR"/>
        </w:rPr>
        <w:t>The</w:t>
      </w:r>
      <w:r w:rsidR="00CB12C0" w:rsidRPr="009D4A13">
        <w:rPr>
          <w:rFonts w:ascii="Times New Roman" w:hAnsi="Times New Roman" w:cs="Times New Roman"/>
          <w:sz w:val="24"/>
          <w:szCs w:val="24"/>
          <w:lang w:eastAsia="tr-TR"/>
        </w:rPr>
        <w:t xml:space="preserve"> asymmetry or leverage effect</w:t>
      </w:r>
      <w:r w:rsidRPr="009D4A13">
        <w:rPr>
          <w:rFonts w:ascii="Times New Roman" w:hAnsi="Times New Roman" w:cs="Times New Roman"/>
          <w:sz w:val="24"/>
          <w:szCs w:val="24"/>
          <w:lang w:eastAsia="tr-TR"/>
        </w:rPr>
        <w:t xml:space="preserve"> coefficient</w:t>
      </w:r>
      <w:r w:rsidR="00CB12C0" w:rsidRPr="009D4A13">
        <w:rPr>
          <w:rFonts w:ascii="Times New Roman" w:hAnsi="Times New Roman" w:cs="Times New Roman"/>
          <w:sz w:val="24"/>
          <w:szCs w:val="24"/>
          <w:lang w:eastAsia="tr-TR"/>
        </w:rPr>
        <w:t xml:space="preserve">, </w:t>
      </w:r>
      <m:oMath>
        <m:r>
          <w:rPr>
            <w:rFonts w:ascii="Cambria Math" w:hAnsi="Cambria Math" w:cs="Times New Roman"/>
            <w:sz w:val="24"/>
            <w:szCs w:val="24"/>
            <w:lang w:eastAsia="tr-TR"/>
          </w:rPr>
          <m:t>γ</m:t>
        </m:r>
      </m:oMath>
      <w:r w:rsidRPr="009D4A13">
        <w:rPr>
          <w:rFonts w:ascii="Times New Roman" w:hAnsi="Times New Roman" w:cs="Times New Roman"/>
          <w:sz w:val="24"/>
          <w:szCs w:val="24"/>
          <w:lang w:eastAsia="tr-TR"/>
        </w:rPr>
        <w:t>, is positive unexpectedly and in</w:t>
      </w:r>
      <w:r w:rsidR="00CB12C0" w:rsidRPr="009D4A13">
        <w:rPr>
          <w:rFonts w:ascii="Times New Roman" w:hAnsi="Times New Roman" w:cs="Times New Roman"/>
          <w:sz w:val="24"/>
          <w:szCs w:val="24"/>
          <w:lang w:eastAsia="tr-TR"/>
        </w:rPr>
        <w:t xml:space="preserve">significant </w:t>
      </w:r>
      <w:r w:rsidRPr="009D4A13">
        <w:rPr>
          <w:rFonts w:ascii="Times New Roman" w:hAnsi="Times New Roman" w:cs="Times New Roman"/>
          <w:sz w:val="24"/>
          <w:szCs w:val="24"/>
          <w:lang w:eastAsia="tr-TR"/>
        </w:rPr>
        <w:t>for all estimations</w:t>
      </w:r>
      <w:r w:rsidR="00CB12C0" w:rsidRPr="009D4A13">
        <w:rPr>
          <w:rFonts w:ascii="Times New Roman" w:hAnsi="Times New Roman" w:cs="Times New Roman"/>
          <w:sz w:val="24"/>
          <w:szCs w:val="24"/>
          <w:lang w:eastAsia="tr-TR"/>
        </w:rPr>
        <w:t>, indic</w:t>
      </w:r>
      <w:r w:rsidRPr="009D4A13">
        <w:rPr>
          <w:rFonts w:ascii="Times New Roman" w:hAnsi="Times New Roman" w:cs="Times New Roman"/>
          <w:sz w:val="24"/>
          <w:szCs w:val="24"/>
          <w:lang w:eastAsia="tr-TR"/>
        </w:rPr>
        <w:t>ating the absence</w:t>
      </w:r>
      <w:r w:rsidR="00CB12C0" w:rsidRPr="009D4A13">
        <w:rPr>
          <w:rFonts w:ascii="Times New Roman" w:hAnsi="Times New Roman" w:cs="Times New Roman"/>
          <w:sz w:val="24"/>
          <w:szCs w:val="24"/>
          <w:lang w:eastAsia="tr-TR"/>
        </w:rPr>
        <w:t xml:space="preserve"> of the leverage effect in </w:t>
      </w:r>
      <w:r w:rsidR="00A23A73">
        <w:rPr>
          <w:rFonts w:ascii="Times New Roman" w:hAnsi="Times New Roman" w:cs="Times New Roman"/>
          <w:sz w:val="24"/>
          <w:szCs w:val="24"/>
          <w:lang w:eastAsia="tr-TR"/>
        </w:rPr>
        <w:t>returns during</w:t>
      </w:r>
      <w:r w:rsidR="00CB12C0" w:rsidRPr="009D4A13">
        <w:rPr>
          <w:rFonts w:ascii="Times New Roman" w:hAnsi="Times New Roman" w:cs="Times New Roman"/>
          <w:sz w:val="24"/>
          <w:szCs w:val="24"/>
          <w:lang w:eastAsia="tr-TR"/>
        </w:rPr>
        <w:t xml:space="preserve"> the period. </w:t>
      </w:r>
      <w:r w:rsidR="00980F76" w:rsidRPr="009D4A13">
        <w:rPr>
          <w:rFonts w:ascii="Times New Roman" w:hAnsi="Times New Roman" w:cs="Times New Roman"/>
          <w:sz w:val="24"/>
          <w:szCs w:val="24"/>
          <w:lang w:eastAsia="tr-TR"/>
        </w:rPr>
        <w:t xml:space="preserve"> There is no significant evidence of presence of asymmetric return volatility that is a positive return innovation causes higher volatility than a negative innovation of equal magnitude. </w:t>
      </w:r>
      <w:r w:rsidR="00927A78" w:rsidRPr="009D4A13">
        <w:rPr>
          <w:rFonts w:ascii="Times New Roman" w:hAnsi="Times New Roman" w:cs="Times New Roman"/>
          <w:sz w:val="24"/>
          <w:szCs w:val="24"/>
          <w:lang w:eastAsia="tr-TR"/>
        </w:rPr>
        <w:t>It may be refer to non</w:t>
      </w:r>
      <w:r w:rsidR="00B43C32">
        <w:rPr>
          <w:rFonts w:ascii="Times New Roman" w:hAnsi="Times New Roman" w:cs="Times New Roman"/>
          <w:sz w:val="24"/>
          <w:szCs w:val="24"/>
          <w:lang w:eastAsia="tr-TR"/>
        </w:rPr>
        <w:t>–</w:t>
      </w:r>
      <w:r w:rsidR="00927A78" w:rsidRPr="009D4A13">
        <w:rPr>
          <w:rFonts w:ascii="Times New Roman" w:hAnsi="Times New Roman" w:cs="Times New Roman"/>
          <w:sz w:val="24"/>
          <w:szCs w:val="24"/>
          <w:lang w:eastAsia="tr-TR"/>
        </w:rPr>
        <w:t>active central bank interventions in the market.</w:t>
      </w:r>
      <w:r w:rsidR="00980F76" w:rsidRPr="009D4A13">
        <w:rPr>
          <w:rFonts w:ascii="Times New Roman" w:hAnsi="Times New Roman" w:cs="Times New Roman"/>
          <w:sz w:val="24"/>
          <w:szCs w:val="24"/>
          <w:lang w:eastAsia="tr-TR"/>
        </w:rPr>
        <w:t xml:space="preserve"> </w:t>
      </w:r>
    </w:p>
    <w:p w:rsidR="00CB12C0" w:rsidRPr="009D4A13" w:rsidRDefault="00E530C2" w:rsidP="009D4A13">
      <w:pPr>
        <w:autoSpaceDE w:val="0"/>
        <w:autoSpaceDN w:val="0"/>
        <w:adjustRightInd w:val="0"/>
        <w:spacing w:after="0" w:line="240" w:lineRule="auto"/>
        <w:jc w:val="both"/>
        <w:rPr>
          <w:rFonts w:ascii="Times New Roman" w:hAnsi="Times New Roman" w:cs="Times New Roman"/>
          <w:sz w:val="24"/>
          <w:szCs w:val="24"/>
          <w:lang w:eastAsia="tr-TR"/>
        </w:rPr>
      </w:pPr>
      <w:r w:rsidRPr="009D4A13">
        <w:rPr>
          <w:rFonts w:ascii="Times New Roman" w:hAnsi="Times New Roman" w:cs="Times New Roman"/>
          <w:sz w:val="24"/>
          <w:szCs w:val="24"/>
          <w:lang w:eastAsia="tr-TR"/>
        </w:rPr>
        <w:t>Table 4 also</w:t>
      </w:r>
      <w:r w:rsidR="00CB12C0" w:rsidRPr="009D4A13">
        <w:rPr>
          <w:rFonts w:ascii="Times New Roman" w:hAnsi="Times New Roman" w:cs="Times New Roman"/>
          <w:sz w:val="24"/>
          <w:szCs w:val="24"/>
          <w:lang w:eastAsia="tr-TR"/>
        </w:rPr>
        <w:t xml:space="preserve"> reports the</w:t>
      </w:r>
      <w:r w:rsidRPr="009D4A13">
        <w:rPr>
          <w:rFonts w:ascii="Times New Roman" w:hAnsi="Times New Roman" w:cs="Times New Roman"/>
          <w:sz w:val="24"/>
          <w:szCs w:val="24"/>
          <w:lang w:eastAsia="tr-TR"/>
        </w:rPr>
        <w:t xml:space="preserve"> results of diagnostic tests that are </w:t>
      </w:r>
      <w:r w:rsidR="00CB12C0" w:rsidRPr="009D4A13">
        <w:rPr>
          <w:rFonts w:ascii="Times New Roman" w:hAnsi="Times New Roman" w:cs="Times New Roman"/>
          <w:sz w:val="24"/>
          <w:szCs w:val="24"/>
          <w:lang w:eastAsia="tr-TR"/>
        </w:rPr>
        <w:t>Engle’s ARCH</w:t>
      </w:r>
      <w:r w:rsidR="00B43C32">
        <w:rPr>
          <w:rFonts w:ascii="Times New Roman" w:hAnsi="Times New Roman" w:cs="Times New Roman"/>
          <w:sz w:val="24"/>
          <w:szCs w:val="24"/>
          <w:lang w:eastAsia="tr-TR"/>
        </w:rPr>
        <w:t>–</w:t>
      </w:r>
      <w:r w:rsidR="00CB12C0" w:rsidRPr="009D4A13">
        <w:rPr>
          <w:rFonts w:ascii="Times New Roman" w:hAnsi="Times New Roman" w:cs="Times New Roman"/>
          <w:sz w:val="24"/>
          <w:szCs w:val="24"/>
          <w:lang w:eastAsia="tr-TR"/>
        </w:rPr>
        <w:t xml:space="preserve">LM </w:t>
      </w:r>
      <w:r w:rsidRPr="009D4A13">
        <w:rPr>
          <w:rFonts w:ascii="Times New Roman" w:hAnsi="Times New Roman" w:cs="Times New Roman"/>
          <w:sz w:val="24"/>
          <w:szCs w:val="24"/>
          <w:lang w:eastAsia="tr-TR"/>
        </w:rPr>
        <w:t xml:space="preserve">(1) </w:t>
      </w:r>
      <w:r w:rsidR="00CB12C0" w:rsidRPr="009D4A13">
        <w:rPr>
          <w:rFonts w:ascii="Times New Roman" w:hAnsi="Times New Roman" w:cs="Times New Roman"/>
          <w:sz w:val="24"/>
          <w:szCs w:val="24"/>
          <w:lang w:eastAsia="tr-TR"/>
        </w:rPr>
        <w:t>test on the standardized residuals and the Ljung</w:t>
      </w:r>
      <w:r w:rsidR="00B43C32">
        <w:rPr>
          <w:rFonts w:ascii="Times New Roman" w:hAnsi="Times New Roman" w:cs="Times New Roman"/>
          <w:sz w:val="24"/>
          <w:szCs w:val="24"/>
          <w:lang w:eastAsia="tr-TR"/>
        </w:rPr>
        <w:t>–</w:t>
      </w:r>
      <w:r w:rsidR="00CB12C0" w:rsidRPr="009D4A13">
        <w:rPr>
          <w:rFonts w:ascii="Times New Roman" w:hAnsi="Times New Roman" w:cs="Times New Roman"/>
          <w:sz w:val="24"/>
          <w:szCs w:val="24"/>
          <w:lang w:eastAsia="tr-TR"/>
        </w:rPr>
        <w:t>Box Q</w:t>
      </w:r>
      <w:r w:rsidR="00CB12C0" w:rsidRPr="009D4A13">
        <w:rPr>
          <w:rFonts w:ascii="Times New Roman" w:hAnsi="Times New Roman" w:cs="Times New Roman"/>
          <w:sz w:val="24"/>
          <w:szCs w:val="24"/>
          <w:vertAlign w:val="superscript"/>
          <w:lang w:eastAsia="tr-TR"/>
        </w:rPr>
        <w:t>2</w:t>
      </w:r>
      <w:r w:rsidR="00B43C32">
        <w:rPr>
          <w:rFonts w:ascii="Times New Roman" w:hAnsi="Times New Roman" w:cs="Times New Roman"/>
          <w:sz w:val="24"/>
          <w:szCs w:val="24"/>
          <w:lang w:eastAsia="tr-TR"/>
        </w:rPr>
        <w:t>–</w:t>
      </w:r>
      <w:r w:rsidR="00CB12C0" w:rsidRPr="009D4A13">
        <w:rPr>
          <w:rFonts w:ascii="Times New Roman" w:hAnsi="Times New Roman" w:cs="Times New Roman"/>
          <w:sz w:val="24"/>
          <w:szCs w:val="24"/>
          <w:lang w:eastAsia="tr-TR"/>
        </w:rPr>
        <w:t xml:space="preserve">statistics for the standardized squared residuals </w:t>
      </w:r>
      <w:r w:rsidR="007F5BC0">
        <w:rPr>
          <w:rFonts w:ascii="Times New Roman" w:hAnsi="Times New Roman" w:cs="Times New Roman"/>
          <w:sz w:val="24"/>
          <w:szCs w:val="24"/>
          <w:lang w:eastAsia="tr-TR"/>
        </w:rPr>
        <w:t>of all the</w:t>
      </w:r>
      <w:r w:rsidR="00CB12C0" w:rsidRPr="009D4A13">
        <w:rPr>
          <w:rFonts w:ascii="Times New Roman" w:hAnsi="Times New Roman" w:cs="Times New Roman"/>
          <w:sz w:val="24"/>
          <w:szCs w:val="24"/>
          <w:lang w:eastAsia="tr-TR"/>
        </w:rPr>
        <w:t xml:space="preserve"> E</w:t>
      </w:r>
      <w:r w:rsidR="00A23A73">
        <w:rPr>
          <w:rFonts w:ascii="Times New Roman" w:hAnsi="Times New Roman" w:cs="Times New Roman"/>
          <w:sz w:val="24"/>
          <w:szCs w:val="24"/>
          <w:lang w:eastAsia="tr-TR"/>
        </w:rPr>
        <w:t>xponential GARCH (1,1) estimations</w:t>
      </w:r>
      <w:r w:rsidRPr="009D4A13">
        <w:rPr>
          <w:rFonts w:ascii="Times New Roman" w:hAnsi="Times New Roman" w:cs="Times New Roman"/>
          <w:sz w:val="24"/>
          <w:szCs w:val="24"/>
          <w:lang w:eastAsia="tr-TR"/>
        </w:rPr>
        <w:t>.</w:t>
      </w:r>
      <w:r w:rsidR="00CB12C0" w:rsidRPr="009D4A13">
        <w:rPr>
          <w:rFonts w:ascii="Times New Roman" w:hAnsi="Times New Roman" w:cs="Times New Roman"/>
          <w:sz w:val="24"/>
          <w:szCs w:val="24"/>
          <w:lang w:eastAsia="tr-TR"/>
        </w:rPr>
        <w:t xml:space="preserve"> </w:t>
      </w:r>
      <w:r w:rsidR="00535688" w:rsidRPr="009D4A13">
        <w:rPr>
          <w:rFonts w:ascii="Times New Roman" w:hAnsi="Times New Roman" w:cs="Times New Roman"/>
          <w:sz w:val="24"/>
          <w:szCs w:val="24"/>
          <w:lang w:eastAsia="tr-TR"/>
        </w:rPr>
        <w:t>The insignificant ARCH</w:t>
      </w:r>
      <w:r w:rsidR="00B43C32">
        <w:rPr>
          <w:rFonts w:ascii="Times New Roman" w:hAnsi="Times New Roman" w:cs="Times New Roman"/>
          <w:sz w:val="24"/>
          <w:szCs w:val="24"/>
          <w:lang w:eastAsia="tr-TR"/>
        </w:rPr>
        <w:t>–</w:t>
      </w:r>
      <w:r w:rsidR="00535688" w:rsidRPr="009D4A13">
        <w:rPr>
          <w:rFonts w:ascii="Times New Roman" w:hAnsi="Times New Roman" w:cs="Times New Roman"/>
          <w:sz w:val="24"/>
          <w:szCs w:val="24"/>
          <w:lang w:eastAsia="tr-TR"/>
        </w:rPr>
        <w:t>LM (1) test result</w:t>
      </w:r>
      <w:r w:rsidR="007F5BC0">
        <w:rPr>
          <w:rFonts w:ascii="Times New Roman" w:hAnsi="Times New Roman" w:cs="Times New Roman"/>
          <w:sz w:val="24"/>
          <w:szCs w:val="24"/>
          <w:lang w:eastAsia="tr-TR"/>
        </w:rPr>
        <w:t>s</w:t>
      </w:r>
      <w:r w:rsidR="00535688" w:rsidRPr="009D4A13">
        <w:rPr>
          <w:rFonts w:ascii="Times New Roman" w:hAnsi="Times New Roman" w:cs="Times New Roman"/>
          <w:sz w:val="24"/>
          <w:szCs w:val="24"/>
          <w:lang w:eastAsia="tr-TR"/>
        </w:rPr>
        <w:t xml:space="preserve"> show no evidence of remaining ARCH effect, suggesting that the </w:t>
      </w:r>
      <w:r w:rsidR="00A23A73" w:rsidRPr="009D4A13">
        <w:rPr>
          <w:rFonts w:ascii="Times New Roman" w:hAnsi="Times New Roman" w:cs="Times New Roman"/>
          <w:sz w:val="24"/>
          <w:szCs w:val="24"/>
          <w:lang w:eastAsia="tr-TR"/>
        </w:rPr>
        <w:t>E</w:t>
      </w:r>
      <w:r w:rsidR="00A23A73">
        <w:rPr>
          <w:rFonts w:ascii="Times New Roman" w:hAnsi="Times New Roman" w:cs="Times New Roman"/>
          <w:sz w:val="24"/>
          <w:szCs w:val="24"/>
          <w:lang w:eastAsia="tr-TR"/>
        </w:rPr>
        <w:t>xponential</w:t>
      </w:r>
      <w:r w:rsidR="00A23A73" w:rsidRPr="009D4A13">
        <w:rPr>
          <w:rFonts w:ascii="Times New Roman" w:hAnsi="Times New Roman" w:cs="Times New Roman"/>
          <w:sz w:val="24"/>
          <w:szCs w:val="24"/>
          <w:lang w:eastAsia="tr-TR"/>
        </w:rPr>
        <w:t xml:space="preserve"> </w:t>
      </w:r>
      <w:r w:rsidR="00535688" w:rsidRPr="009D4A13">
        <w:rPr>
          <w:rFonts w:ascii="Times New Roman" w:hAnsi="Times New Roman" w:cs="Times New Roman"/>
          <w:sz w:val="24"/>
          <w:szCs w:val="24"/>
          <w:lang w:eastAsia="tr-TR"/>
        </w:rPr>
        <w:t xml:space="preserve">GARCH (1,1) process is successful at modeling the conditional variance of the TRY/USD exchange rate returns. </w:t>
      </w:r>
      <w:r w:rsidR="00BC5338" w:rsidRPr="009D4A13">
        <w:rPr>
          <w:rFonts w:ascii="Times New Roman" w:hAnsi="Times New Roman" w:cs="Times New Roman"/>
          <w:sz w:val="24"/>
          <w:szCs w:val="24"/>
          <w:lang w:eastAsia="tr-TR"/>
        </w:rPr>
        <w:t>T</w:t>
      </w:r>
      <w:r w:rsidR="00535688" w:rsidRPr="009D4A13">
        <w:rPr>
          <w:rFonts w:ascii="Times New Roman" w:hAnsi="Times New Roman" w:cs="Times New Roman"/>
          <w:sz w:val="24"/>
          <w:szCs w:val="24"/>
          <w:lang w:eastAsia="tr-TR"/>
        </w:rPr>
        <w:t>he reported insignificant Ljung</w:t>
      </w:r>
      <w:r w:rsidR="00B43C32">
        <w:rPr>
          <w:rFonts w:ascii="Times New Roman" w:hAnsi="Times New Roman" w:cs="Times New Roman"/>
          <w:sz w:val="24"/>
          <w:szCs w:val="24"/>
          <w:lang w:eastAsia="tr-TR"/>
        </w:rPr>
        <w:t>–</w:t>
      </w:r>
      <w:r w:rsidR="00535688" w:rsidRPr="009D4A13">
        <w:rPr>
          <w:rFonts w:ascii="Times New Roman" w:hAnsi="Times New Roman" w:cs="Times New Roman"/>
          <w:sz w:val="24"/>
          <w:szCs w:val="24"/>
          <w:lang w:eastAsia="tr-TR"/>
        </w:rPr>
        <w:t xml:space="preserve">Box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2</m:t>
            </m:r>
          </m:sup>
        </m:sSup>
      </m:oMath>
      <w:r w:rsidR="00B43C32">
        <w:rPr>
          <w:rFonts w:ascii="Times New Roman" w:eastAsiaTheme="minorEastAsia" w:hAnsi="Times New Roman" w:cs="Times New Roman"/>
          <w:sz w:val="24"/>
          <w:szCs w:val="24"/>
        </w:rPr>
        <w:t>–</w:t>
      </w:r>
      <w:r w:rsidR="00BC5338" w:rsidRPr="009D4A13">
        <w:rPr>
          <w:rFonts w:ascii="Times New Roman" w:eastAsiaTheme="minorEastAsia" w:hAnsi="Times New Roman" w:cs="Times New Roman"/>
          <w:sz w:val="24"/>
          <w:szCs w:val="24"/>
        </w:rPr>
        <w:t xml:space="preserve">statistics at </w:t>
      </w:r>
      <w:r w:rsidR="00D104FC" w:rsidRPr="009D4A13">
        <w:rPr>
          <w:rFonts w:ascii="Times New Roman" w:eastAsiaTheme="minorEastAsia" w:hAnsi="Times New Roman" w:cs="Times New Roman"/>
          <w:sz w:val="24"/>
          <w:szCs w:val="24"/>
        </w:rPr>
        <w:t>1, 5 and 10</w:t>
      </w:r>
      <w:r w:rsidR="00BC5338" w:rsidRPr="009D4A13">
        <w:rPr>
          <w:rFonts w:ascii="Times New Roman" w:eastAsiaTheme="minorEastAsia" w:hAnsi="Times New Roman" w:cs="Times New Roman"/>
          <w:sz w:val="24"/>
          <w:szCs w:val="24"/>
        </w:rPr>
        <w:t xml:space="preserve"> autocorrelation</w:t>
      </w:r>
      <w:r w:rsidR="00D459A2" w:rsidRPr="009D4A13">
        <w:rPr>
          <w:rFonts w:ascii="Times New Roman" w:eastAsiaTheme="minorEastAsia" w:hAnsi="Times New Roman" w:cs="Times New Roman"/>
          <w:sz w:val="24"/>
          <w:szCs w:val="24"/>
        </w:rPr>
        <w:t xml:space="preserve"> lags </w:t>
      </w:r>
      <w:r w:rsidR="00787069" w:rsidRPr="009D4A13">
        <w:rPr>
          <w:rFonts w:ascii="Times New Roman" w:hAnsi="Times New Roman" w:cs="Times New Roman"/>
          <w:sz w:val="24"/>
          <w:szCs w:val="24"/>
        </w:rPr>
        <w:t xml:space="preserve">don’t reject the null hypothesis of no autocorrelation </w:t>
      </w:r>
      <w:r w:rsidR="00A23A73">
        <w:rPr>
          <w:rFonts w:ascii="Times New Roman" w:hAnsi="Times New Roman" w:cs="Times New Roman"/>
          <w:sz w:val="24"/>
          <w:szCs w:val="24"/>
          <w:lang w:eastAsia="tr-TR"/>
        </w:rPr>
        <w:t>for all estimation</w:t>
      </w:r>
      <w:r w:rsidR="00535688" w:rsidRPr="009D4A13">
        <w:rPr>
          <w:rFonts w:ascii="Times New Roman" w:hAnsi="Times New Roman" w:cs="Times New Roman"/>
          <w:sz w:val="24"/>
          <w:szCs w:val="24"/>
          <w:lang w:eastAsia="tr-TR"/>
        </w:rPr>
        <w:t>s. All t</w:t>
      </w:r>
      <w:r w:rsidR="00CB12C0" w:rsidRPr="009D4A13">
        <w:rPr>
          <w:rFonts w:ascii="Times New Roman" w:hAnsi="Times New Roman" w:cs="Times New Roman"/>
          <w:sz w:val="24"/>
          <w:szCs w:val="24"/>
          <w:lang w:eastAsia="tr-TR"/>
        </w:rPr>
        <w:t>he</w:t>
      </w:r>
      <w:r w:rsidR="00535688" w:rsidRPr="009D4A13">
        <w:rPr>
          <w:rFonts w:ascii="Times New Roman" w:hAnsi="Times New Roman" w:cs="Times New Roman"/>
          <w:sz w:val="24"/>
          <w:szCs w:val="24"/>
          <w:lang w:eastAsia="tr-TR"/>
        </w:rPr>
        <w:t xml:space="preserve">se </w:t>
      </w:r>
      <w:r w:rsidR="00CB12C0" w:rsidRPr="009D4A13">
        <w:rPr>
          <w:rFonts w:ascii="Times New Roman" w:hAnsi="Times New Roman" w:cs="Times New Roman"/>
          <w:sz w:val="24"/>
          <w:szCs w:val="24"/>
          <w:lang w:eastAsia="tr-TR"/>
        </w:rPr>
        <w:t>results</w:t>
      </w:r>
      <w:r w:rsidRPr="009D4A13">
        <w:rPr>
          <w:rFonts w:ascii="Times New Roman" w:hAnsi="Times New Roman" w:cs="Times New Roman"/>
          <w:sz w:val="24"/>
          <w:szCs w:val="24"/>
          <w:lang w:eastAsia="tr-TR"/>
        </w:rPr>
        <w:t xml:space="preserve"> provide strong support for the </w:t>
      </w:r>
      <w:r w:rsidR="00A23A73" w:rsidRPr="009D4A13">
        <w:rPr>
          <w:rFonts w:ascii="Times New Roman" w:hAnsi="Times New Roman" w:cs="Times New Roman"/>
          <w:sz w:val="24"/>
          <w:szCs w:val="24"/>
          <w:lang w:eastAsia="tr-TR"/>
        </w:rPr>
        <w:t>E</w:t>
      </w:r>
      <w:r w:rsidR="00A23A73">
        <w:rPr>
          <w:rFonts w:ascii="Times New Roman" w:hAnsi="Times New Roman" w:cs="Times New Roman"/>
          <w:sz w:val="24"/>
          <w:szCs w:val="24"/>
          <w:lang w:eastAsia="tr-TR"/>
        </w:rPr>
        <w:t>xponential</w:t>
      </w:r>
      <w:r w:rsidR="00A23A73" w:rsidRPr="009D4A13">
        <w:rPr>
          <w:rFonts w:ascii="Times New Roman" w:hAnsi="Times New Roman" w:cs="Times New Roman"/>
          <w:sz w:val="24"/>
          <w:szCs w:val="24"/>
          <w:lang w:eastAsia="tr-TR"/>
        </w:rPr>
        <w:t xml:space="preserve"> </w:t>
      </w:r>
      <w:r w:rsidRPr="009D4A13">
        <w:rPr>
          <w:rFonts w:ascii="Times New Roman" w:hAnsi="Times New Roman" w:cs="Times New Roman"/>
          <w:sz w:val="24"/>
          <w:szCs w:val="24"/>
          <w:lang w:eastAsia="tr-TR"/>
        </w:rPr>
        <w:t>GARCH (1,1) mo</w:t>
      </w:r>
      <w:r w:rsidR="00BC5338" w:rsidRPr="009D4A13">
        <w:rPr>
          <w:rFonts w:ascii="Times New Roman" w:hAnsi="Times New Roman" w:cs="Times New Roman"/>
          <w:sz w:val="24"/>
          <w:szCs w:val="24"/>
          <w:lang w:eastAsia="tr-TR"/>
        </w:rPr>
        <w:t>del assuming</w:t>
      </w:r>
      <w:r w:rsidR="00535688" w:rsidRPr="009D4A13">
        <w:rPr>
          <w:rFonts w:ascii="Times New Roman" w:hAnsi="Times New Roman" w:cs="Times New Roman"/>
          <w:sz w:val="24"/>
          <w:szCs w:val="24"/>
          <w:lang w:eastAsia="tr-TR"/>
        </w:rPr>
        <w:t xml:space="preserve"> Student’s t</w:t>
      </w:r>
      <w:r w:rsidR="00B43C32">
        <w:rPr>
          <w:rFonts w:ascii="Times New Roman" w:hAnsi="Times New Roman" w:cs="Times New Roman"/>
          <w:sz w:val="24"/>
          <w:szCs w:val="24"/>
          <w:lang w:eastAsia="tr-TR"/>
        </w:rPr>
        <w:t>–</w:t>
      </w:r>
      <w:r w:rsidR="00535688" w:rsidRPr="009D4A13">
        <w:rPr>
          <w:rFonts w:ascii="Times New Roman" w:hAnsi="Times New Roman" w:cs="Times New Roman"/>
          <w:sz w:val="24"/>
          <w:szCs w:val="24"/>
          <w:lang w:eastAsia="tr-TR"/>
        </w:rPr>
        <w:t>innovation</w:t>
      </w:r>
      <w:r w:rsidR="007678D8" w:rsidRPr="009D4A13">
        <w:rPr>
          <w:rFonts w:ascii="Times New Roman" w:hAnsi="Times New Roman" w:cs="Times New Roman"/>
          <w:sz w:val="24"/>
          <w:szCs w:val="24"/>
          <w:lang w:eastAsia="tr-TR"/>
        </w:rPr>
        <w:t xml:space="preserve"> </w:t>
      </w:r>
      <w:r w:rsidR="00466A5E" w:rsidRPr="009D4A13">
        <w:rPr>
          <w:rFonts w:ascii="Times New Roman" w:hAnsi="Times New Roman" w:cs="Times New Roman"/>
          <w:sz w:val="24"/>
          <w:szCs w:val="24"/>
          <w:lang w:eastAsia="tr-TR"/>
        </w:rPr>
        <w:t>for t</w:t>
      </w:r>
      <w:r w:rsidR="00BC5338" w:rsidRPr="009D4A13">
        <w:rPr>
          <w:rFonts w:ascii="Times New Roman" w:hAnsi="Times New Roman" w:cs="Times New Roman"/>
          <w:sz w:val="24"/>
          <w:szCs w:val="24"/>
          <w:lang w:eastAsia="tr-TR"/>
        </w:rPr>
        <w:t>he residu</w:t>
      </w:r>
      <w:r w:rsidR="00D104FC" w:rsidRPr="009D4A13">
        <w:rPr>
          <w:rFonts w:ascii="Times New Roman" w:hAnsi="Times New Roman" w:cs="Times New Roman"/>
          <w:sz w:val="24"/>
          <w:szCs w:val="24"/>
          <w:lang w:eastAsia="tr-TR"/>
        </w:rPr>
        <w:t>a</w:t>
      </w:r>
      <w:r w:rsidR="00BC5338" w:rsidRPr="009D4A13">
        <w:rPr>
          <w:rFonts w:ascii="Times New Roman" w:hAnsi="Times New Roman" w:cs="Times New Roman"/>
          <w:sz w:val="24"/>
          <w:szCs w:val="24"/>
          <w:lang w:eastAsia="tr-TR"/>
        </w:rPr>
        <w:t xml:space="preserve">ls </w:t>
      </w:r>
      <w:r w:rsidR="007678D8" w:rsidRPr="009D4A13">
        <w:rPr>
          <w:rFonts w:ascii="Times New Roman" w:hAnsi="Times New Roman" w:cs="Times New Roman"/>
          <w:sz w:val="24"/>
          <w:szCs w:val="24"/>
          <w:lang w:eastAsia="tr-TR"/>
        </w:rPr>
        <w:t>is working</w:t>
      </w:r>
      <w:r w:rsidRPr="009D4A13">
        <w:rPr>
          <w:rFonts w:ascii="Times New Roman" w:hAnsi="Times New Roman" w:cs="Times New Roman"/>
          <w:sz w:val="24"/>
          <w:szCs w:val="24"/>
          <w:lang w:eastAsia="tr-TR"/>
        </w:rPr>
        <w:t xml:space="preserve"> to remove autocorrelation</w:t>
      </w:r>
      <w:r w:rsidR="004473DA" w:rsidRPr="009D4A13">
        <w:rPr>
          <w:rFonts w:ascii="Times New Roman" w:hAnsi="Times New Roman" w:cs="Times New Roman"/>
          <w:sz w:val="24"/>
          <w:szCs w:val="24"/>
          <w:lang w:eastAsia="tr-TR"/>
        </w:rPr>
        <w:t xml:space="preserve">, </w:t>
      </w:r>
      <w:r w:rsidR="00F45BC8" w:rsidRPr="009D4A13">
        <w:rPr>
          <w:rFonts w:ascii="Times New Roman" w:hAnsi="Times New Roman" w:cs="Times New Roman"/>
          <w:sz w:val="24"/>
          <w:szCs w:val="24"/>
          <w:lang w:eastAsia="tr-TR"/>
        </w:rPr>
        <w:t xml:space="preserve">the models have captured all of the ARCH effects, and </w:t>
      </w:r>
      <w:r w:rsidRPr="009D4A13">
        <w:rPr>
          <w:rFonts w:ascii="Times New Roman" w:hAnsi="Times New Roman" w:cs="Times New Roman"/>
          <w:sz w:val="24"/>
          <w:szCs w:val="24"/>
          <w:lang w:eastAsia="tr-TR"/>
        </w:rPr>
        <w:t>the</w:t>
      </w:r>
      <w:r w:rsidR="00CB12C0" w:rsidRPr="009D4A13">
        <w:rPr>
          <w:rFonts w:ascii="Times New Roman" w:hAnsi="Times New Roman" w:cs="Times New Roman"/>
          <w:sz w:val="24"/>
          <w:szCs w:val="24"/>
          <w:lang w:eastAsia="tr-TR"/>
        </w:rPr>
        <w:t xml:space="preserve"> models are</w:t>
      </w:r>
      <w:r w:rsidR="00535688" w:rsidRPr="009D4A13">
        <w:rPr>
          <w:rFonts w:ascii="Times New Roman" w:hAnsi="Times New Roman" w:cs="Times New Roman"/>
          <w:sz w:val="24"/>
          <w:szCs w:val="24"/>
          <w:lang w:eastAsia="tr-TR"/>
        </w:rPr>
        <w:t xml:space="preserve"> well</w:t>
      </w:r>
      <w:r w:rsidR="00B43C32">
        <w:rPr>
          <w:rFonts w:ascii="Times New Roman" w:hAnsi="Times New Roman" w:cs="Times New Roman"/>
          <w:sz w:val="24"/>
          <w:szCs w:val="24"/>
          <w:lang w:eastAsia="tr-TR"/>
        </w:rPr>
        <w:t>–</w:t>
      </w:r>
      <w:r w:rsidR="00CB12C0" w:rsidRPr="009D4A13">
        <w:rPr>
          <w:rFonts w:ascii="Times New Roman" w:hAnsi="Times New Roman" w:cs="Times New Roman"/>
          <w:sz w:val="24"/>
          <w:szCs w:val="24"/>
          <w:lang w:eastAsia="tr-TR"/>
        </w:rPr>
        <w:t>specified</w:t>
      </w:r>
      <w:r w:rsidRPr="009D4A13">
        <w:rPr>
          <w:rFonts w:ascii="Times New Roman" w:hAnsi="Times New Roman" w:cs="Times New Roman"/>
          <w:sz w:val="24"/>
          <w:szCs w:val="24"/>
          <w:lang w:eastAsia="tr-TR"/>
        </w:rPr>
        <w:t xml:space="preserve">. </w:t>
      </w:r>
    </w:p>
    <w:p w:rsidR="00225742" w:rsidRPr="009D4A13" w:rsidRDefault="00225742" w:rsidP="009D4A13">
      <w:pPr>
        <w:spacing w:after="0" w:line="240" w:lineRule="auto"/>
        <w:jc w:val="both"/>
        <w:rPr>
          <w:rFonts w:ascii="Times New Roman" w:hAnsi="Times New Roman" w:cs="Times New Roman"/>
          <w:sz w:val="24"/>
          <w:szCs w:val="24"/>
        </w:rPr>
      </w:pPr>
    </w:p>
    <w:p w:rsidR="00DC1A30" w:rsidRPr="00686AB9" w:rsidRDefault="00686AB9" w:rsidP="009D4A13">
      <w:pPr>
        <w:spacing w:after="0" w:line="240" w:lineRule="auto"/>
        <w:jc w:val="both"/>
        <w:rPr>
          <w:rFonts w:ascii="Times New Roman" w:eastAsiaTheme="minorEastAsia" w:hAnsi="Times New Roman" w:cs="Times New Roman"/>
          <w:b/>
          <w:sz w:val="28"/>
          <w:szCs w:val="28"/>
        </w:rPr>
      </w:pPr>
      <w:proofErr w:type="gramStart"/>
      <w:r w:rsidRPr="00686AB9">
        <w:rPr>
          <w:rFonts w:ascii="Times New Roman" w:eastAsiaTheme="minorEastAsia" w:hAnsi="Times New Roman" w:cs="Times New Roman"/>
          <w:b/>
          <w:sz w:val="28"/>
          <w:szCs w:val="28"/>
        </w:rPr>
        <w:t xml:space="preserve">6      </w:t>
      </w:r>
      <w:r w:rsidR="00DC1A30" w:rsidRPr="00686AB9">
        <w:rPr>
          <w:rFonts w:ascii="Times New Roman" w:eastAsiaTheme="minorEastAsia" w:hAnsi="Times New Roman" w:cs="Times New Roman"/>
          <w:b/>
          <w:sz w:val="28"/>
          <w:szCs w:val="28"/>
        </w:rPr>
        <w:t>Conclusion</w:t>
      </w:r>
      <w:proofErr w:type="gramEnd"/>
    </w:p>
    <w:p w:rsidR="00DC1A30" w:rsidRPr="009D4A13" w:rsidRDefault="00DC1A30" w:rsidP="009D4A13">
      <w:pPr>
        <w:pStyle w:val="NormalWeb"/>
        <w:spacing w:before="0" w:beforeAutospacing="0" w:after="0" w:afterAutospacing="0"/>
        <w:jc w:val="both"/>
      </w:pPr>
      <w:proofErr w:type="gramStart"/>
      <w:r w:rsidRPr="009D4A13">
        <w:t xml:space="preserve">The foreign exchange interventions undertaken by the CBRT seem to have not been effective in Turkish lira appreciation/depreciation during the period from 2nd February 2009 to 31st January 2014, in line with the official statement of the CBRT which announces that there is no exchange rate level target, and so, not supporting the leaning against the wind hypothesis. </w:t>
      </w:r>
      <w:proofErr w:type="gramEnd"/>
      <w:r w:rsidRPr="009D4A13">
        <w:t xml:space="preserve">As for the volatility, although the empirical results from Exponential GARCH (1,1) </w:t>
      </w:r>
      <w:r w:rsidR="00364C2A">
        <w:t xml:space="preserve">model </w:t>
      </w:r>
      <w:r w:rsidRPr="009D4A13">
        <w:t>weakly suggest consistency with reduced</w:t>
      </w:r>
      <w:r w:rsidR="00B43C32">
        <w:t>–</w:t>
      </w:r>
      <w:r w:rsidRPr="009D4A13">
        <w:t>volatility goal (except purchase interventions)</w:t>
      </w:r>
      <w:r w:rsidR="00733AC8">
        <w:t xml:space="preserve"> from the intervention volume perspective</w:t>
      </w:r>
      <w:r w:rsidRPr="009D4A13">
        <w:t xml:space="preserve">, the </w:t>
      </w:r>
      <w:r w:rsidR="00AD47B0">
        <w:t>size</w:t>
      </w:r>
      <w:r w:rsidRPr="009D4A13">
        <w:t xml:space="preserve"> of impact on volatility is indifferent from zero (</w:t>
      </w:r>
      <w:r w:rsidR="00B43C32">
        <w:t>–</w:t>
      </w:r>
      <w:proofErr w:type="gramStart"/>
      <w:r w:rsidRPr="009D4A13">
        <w:t>0.0003</w:t>
      </w:r>
      <w:proofErr w:type="gramEnd"/>
      <w:r w:rsidRPr="009D4A13">
        <w:t>). Bracingly</w:t>
      </w:r>
      <w:r w:rsidR="00733AC8">
        <w:t xml:space="preserve"> and more importantly,</w:t>
      </w:r>
      <w:r w:rsidR="006D600B">
        <w:t xml:space="preserve"> the presence of the Central B</w:t>
      </w:r>
      <w:r w:rsidRPr="009D4A13">
        <w:t xml:space="preserve">ank in the market is found statistically insignificant, if the </w:t>
      </w:r>
      <w:r w:rsidR="00AD47B0">
        <w:t>size</w:t>
      </w:r>
      <w:r w:rsidRPr="009D4A13">
        <w:t xml:space="preserve"> of intervention volume is ignored. T</w:t>
      </w:r>
      <w:r w:rsidR="00AD47B0">
        <w:t>he CBRT has failed in reducing</w:t>
      </w:r>
      <w:r w:rsidRPr="009D4A13">
        <w:t xml:space="preserve"> </w:t>
      </w:r>
      <w:r w:rsidR="00F65FE8">
        <w:t xml:space="preserve">exchange rate </w:t>
      </w:r>
      <w:r w:rsidR="00AD47B0">
        <w:t>volatility</w:t>
      </w:r>
      <w:r w:rsidR="00F65FE8">
        <w:t xml:space="preserve"> during the period</w:t>
      </w:r>
      <w:r w:rsidRPr="009D4A13">
        <w:t>, whereas the aim of the CBRT</w:t>
      </w:r>
      <w:r w:rsidR="00F65FE8">
        <w:t xml:space="preserve"> is to decrease it</w:t>
      </w:r>
      <w:r w:rsidRPr="009D4A13">
        <w:t xml:space="preserve">. Also, there is no significant evidence of presence of asymmetric volatility. </w:t>
      </w:r>
    </w:p>
    <w:p w:rsidR="00DC1A30" w:rsidRDefault="00DC1A30" w:rsidP="009D4A13">
      <w:pPr>
        <w:pStyle w:val="NormalWeb"/>
        <w:spacing w:before="0" w:beforeAutospacing="0" w:after="0" w:afterAutospacing="0"/>
        <w:jc w:val="both"/>
      </w:pPr>
      <w:r w:rsidRPr="009D4A13">
        <w:t>It can be thought that the CBRT interventions are credible and unambigous, or foreign exchange markets in Turkey are efficient, due to central bank intervening in the market appears to not have a significant impact both on the level and volatility of the exchange rates. Consequently, the CBRT might take into consideration instruments other than foreign exchange interventions</w:t>
      </w:r>
      <w:r w:rsidR="00364C2A">
        <w:t xml:space="preserve"> under the inflation targeting regime</w:t>
      </w:r>
      <w:r w:rsidRPr="009D4A13">
        <w:t xml:space="preserve">, like policy interest </w:t>
      </w:r>
      <w:r w:rsidR="00274147">
        <w:t>rates.</w:t>
      </w:r>
    </w:p>
    <w:p w:rsidR="00274147" w:rsidRDefault="00274147" w:rsidP="009D4A13">
      <w:pPr>
        <w:pStyle w:val="NormalWeb"/>
        <w:spacing w:before="0" w:beforeAutospacing="0" w:after="0" w:afterAutospacing="0"/>
        <w:jc w:val="both"/>
      </w:pPr>
    </w:p>
    <w:p w:rsidR="00274147" w:rsidRPr="009D4A13" w:rsidRDefault="00274147" w:rsidP="009D4A13">
      <w:pPr>
        <w:pStyle w:val="NormalWeb"/>
        <w:spacing w:before="0" w:beforeAutospacing="0" w:after="0" w:afterAutospacing="0"/>
        <w:jc w:val="both"/>
      </w:pPr>
    </w:p>
    <w:p w:rsidR="002F5C43" w:rsidRPr="009D4A13" w:rsidRDefault="002F5C43" w:rsidP="009D4A13">
      <w:pPr>
        <w:spacing w:after="0" w:line="240" w:lineRule="auto"/>
        <w:jc w:val="both"/>
        <w:rPr>
          <w:rFonts w:ascii="Times New Roman" w:hAnsi="Times New Roman" w:cs="Times New Roman"/>
          <w:sz w:val="24"/>
          <w:szCs w:val="24"/>
        </w:rPr>
      </w:pPr>
    </w:p>
    <w:p w:rsidR="009C48C0" w:rsidRDefault="00686AB9" w:rsidP="009D4A13">
      <w:pPr>
        <w:spacing w:after="0" w:line="240" w:lineRule="auto"/>
        <w:jc w:val="both"/>
        <w:rPr>
          <w:rFonts w:ascii="Times New Roman" w:hAnsi="Times New Roman" w:cs="Times New Roman"/>
          <w:b/>
          <w:sz w:val="28"/>
          <w:szCs w:val="28"/>
        </w:rPr>
      </w:pPr>
      <w:r w:rsidRPr="00686AB9">
        <w:rPr>
          <w:rFonts w:ascii="Times New Roman" w:hAnsi="Times New Roman" w:cs="Times New Roman"/>
          <w:b/>
          <w:sz w:val="28"/>
          <w:szCs w:val="28"/>
        </w:rPr>
        <w:lastRenderedPageBreak/>
        <w:t>References</w:t>
      </w:r>
    </w:p>
    <w:p w:rsidR="00F15C54" w:rsidRPr="00F15C54" w:rsidRDefault="00F15C54"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F15C54">
        <w:rPr>
          <w:rFonts w:ascii="Times New Roman" w:hAnsi="Times New Roman" w:cs="Times New Roman"/>
          <w:sz w:val="24"/>
          <w:szCs w:val="24"/>
        </w:rPr>
        <w:t xml:space="preserve">J. I. Canales–Kriljenko, Foreign exchange intervention in developing and transition economies: results of a survey, </w:t>
      </w:r>
      <w:r w:rsidRPr="00F15C54">
        <w:rPr>
          <w:rFonts w:ascii="Times New Roman" w:hAnsi="Times New Roman" w:cs="Times New Roman"/>
          <w:i/>
          <w:sz w:val="24"/>
          <w:szCs w:val="24"/>
        </w:rPr>
        <w:t>IMF Working Paper</w:t>
      </w:r>
      <w:r w:rsidRPr="00F15C54">
        <w:rPr>
          <w:rFonts w:ascii="Times New Roman" w:hAnsi="Times New Roman" w:cs="Times New Roman"/>
          <w:sz w:val="24"/>
          <w:szCs w:val="24"/>
        </w:rPr>
        <w:t xml:space="preserve">, </w:t>
      </w:r>
      <w:r w:rsidRPr="00F15C54">
        <w:rPr>
          <w:rFonts w:ascii="Times New Roman" w:hAnsi="Times New Roman" w:cs="Times New Roman"/>
          <w:b/>
          <w:sz w:val="24"/>
          <w:szCs w:val="24"/>
        </w:rPr>
        <w:t>No. 03/95</w:t>
      </w:r>
      <w:r w:rsidRPr="00F15C54">
        <w:rPr>
          <w:rFonts w:ascii="Times New Roman" w:hAnsi="Times New Roman" w:cs="Times New Roman"/>
          <w:sz w:val="24"/>
          <w:szCs w:val="24"/>
        </w:rPr>
        <w:t>, (2003).</w:t>
      </w:r>
    </w:p>
    <w:p w:rsidR="00F15C54" w:rsidRPr="00F15C54" w:rsidRDefault="00F15C54"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F15C54">
        <w:rPr>
          <w:rFonts w:ascii="Times New Roman" w:hAnsi="Times New Roman" w:cs="Times New Roman"/>
          <w:sz w:val="24"/>
          <w:szCs w:val="24"/>
        </w:rPr>
        <w:t>P. Disyatat and G. Galati, The e</w:t>
      </w:r>
      <w:r w:rsidRPr="00F15C54">
        <w:rPr>
          <w:rFonts w:ascii="Cambria Math" w:hAnsi="Cambria Math" w:cs="Cambria Math"/>
          <w:sz w:val="24"/>
          <w:szCs w:val="24"/>
        </w:rPr>
        <w:t>ﬀ</w:t>
      </w:r>
      <w:r w:rsidRPr="00F15C54">
        <w:rPr>
          <w:rFonts w:ascii="Times New Roman" w:hAnsi="Times New Roman" w:cs="Times New Roman"/>
          <w:sz w:val="24"/>
          <w:szCs w:val="24"/>
        </w:rPr>
        <w:t xml:space="preserve">ectiveness of foreign exchange intervention in emerging market countries: evidence from the Czech koruna, </w:t>
      </w:r>
      <w:r w:rsidRPr="00F15C54">
        <w:rPr>
          <w:rFonts w:ascii="Times New Roman" w:hAnsi="Times New Roman" w:cs="Times New Roman"/>
          <w:i/>
          <w:sz w:val="24"/>
          <w:szCs w:val="24"/>
        </w:rPr>
        <w:t>Journal of International Money and Finance</w:t>
      </w:r>
      <w:r w:rsidRPr="00F15C54">
        <w:rPr>
          <w:rFonts w:ascii="Times New Roman" w:hAnsi="Times New Roman" w:cs="Times New Roman"/>
          <w:sz w:val="24"/>
          <w:szCs w:val="24"/>
        </w:rPr>
        <w:t xml:space="preserve">, </w:t>
      </w:r>
      <w:r w:rsidRPr="00F15C54">
        <w:rPr>
          <w:rFonts w:ascii="Times New Roman" w:hAnsi="Times New Roman" w:cs="Times New Roman"/>
          <w:b/>
          <w:sz w:val="24"/>
          <w:szCs w:val="24"/>
        </w:rPr>
        <w:t>26</w:t>
      </w:r>
      <w:r w:rsidRPr="00F15C54">
        <w:rPr>
          <w:rFonts w:ascii="Times New Roman" w:hAnsi="Times New Roman" w:cs="Times New Roman"/>
          <w:sz w:val="24"/>
          <w:szCs w:val="24"/>
        </w:rPr>
        <w:t>, (2007), 383–402.</w:t>
      </w:r>
    </w:p>
    <w:p w:rsidR="00F15C54" w:rsidRPr="00F15C54" w:rsidRDefault="00F15C54"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F15C54">
        <w:rPr>
          <w:rFonts w:ascii="Times New Roman" w:hAnsi="Times New Roman" w:cs="Times New Roman"/>
          <w:sz w:val="24"/>
          <w:szCs w:val="24"/>
        </w:rPr>
        <w:t xml:space="preserve">J. C. Berganza and C. Broto, Flexible inﬂation targets, forex interventions and exchange rate volatility in emerging countries, </w:t>
      </w:r>
      <w:r w:rsidRPr="00F15C54">
        <w:rPr>
          <w:rFonts w:ascii="Times New Roman" w:hAnsi="Times New Roman" w:cs="Times New Roman"/>
          <w:i/>
          <w:sz w:val="24"/>
          <w:szCs w:val="24"/>
        </w:rPr>
        <w:t>Journal of International Money and Finance</w:t>
      </w:r>
      <w:r w:rsidRPr="00F15C54">
        <w:rPr>
          <w:rFonts w:ascii="Times New Roman" w:hAnsi="Times New Roman" w:cs="Times New Roman"/>
          <w:sz w:val="24"/>
          <w:szCs w:val="24"/>
        </w:rPr>
        <w:t xml:space="preserve">, </w:t>
      </w:r>
      <w:r w:rsidRPr="00F15C54">
        <w:rPr>
          <w:rFonts w:ascii="Times New Roman" w:hAnsi="Times New Roman" w:cs="Times New Roman"/>
          <w:b/>
          <w:sz w:val="24"/>
          <w:szCs w:val="24"/>
        </w:rPr>
        <w:t>2</w:t>
      </w:r>
      <w:r w:rsidRPr="00F15C54">
        <w:rPr>
          <w:rFonts w:ascii="Times New Roman" w:hAnsi="Times New Roman" w:cs="Times New Roman"/>
          <w:sz w:val="24"/>
          <w:szCs w:val="24"/>
        </w:rPr>
        <w:t>, (2012), 428–444.</w:t>
      </w:r>
    </w:p>
    <w:p w:rsidR="00301961" w:rsidRPr="00301961" w:rsidRDefault="00F15C54"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F15C54">
        <w:rPr>
          <w:rFonts w:ascii="Times New Roman" w:hAnsi="Times New Roman" w:cs="Times New Roman"/>
          <w:sz w:val="24"/>
          <w:szCs w:val="24"/>
        </w:rPr>
        <w:t xml:space="preserve">C. Neely, The practice of central bank intervention: looking under the hood, </w:t>
      </w:r>
      <w:r w:rsidRPr="00F15C54">
        <w:rPr>
          <w:rFonts w:ascii="Times New Roman" w:hAnsi="Times New Roman" w:cs="Times New Roman"/>
          <w:i/>
          <w:sz w:val="24"/>
          <w:szCs w:val="24"/>
        </w:rPr>
        <w:t>Central Banking</w:t>
      </w:r>
      <w:r w:rsidRPr="00F15C54">
        <w:rPr>
          <w:rFonts w:ascii="Times New Roman" w:hAnsi="Times New Roman" w:cs="Times New Roman"/>
          <w:sz w:val="24"/>
          <w:szCs w:val="24"/>
        </w:rPr>
        <w:t xml:space="preserve">, </w:t>
      </w:r>
      <w:r w:rsidRPr="00F15C54">
        <w:rPr>
          <w:rFonts w:ascii="Times New Roman" w:hAnsi="Times New Roman" w:cs="Times New Roman"/>
          <w:b/>
          <w:sz w:val="24"/>
          <w:szCs w:val="24"/>
        </w:rPr>
        <w:t>11 (2), November</w:t>
      </w:r>
      <w:r w:rsidRPr="00F15C54">
        <w:rPr>
          <w:rFonts w:ascii="Times New Roman" w:hAnsi="Times New Roman" w:cs="Times New Roman"/>
          <w:sz w:val="24"/>
          <w:szCs w:val="24"/>
        </w:rPr>
        <w:t>, (2000), 24–37.</w:t>
      </w:r>
    </w:p>
    <w:p w:rsidR="00301961" w:rsidRPr="00301961" w:rsidRDefault="00301961"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301961">
        <w:rPr>
          <w:rFonts w:ascii="Times New Roman" w:hAnsi="Times New Roman" w:cs="Times New Roman"/>
          <w:sz w:val="24"/>
          <w:szCs w:val="24"/>
        </w:rPr>
        <w:t xml:space="preserve">K. M. Dominguez, Central bank intervention and exchange rate volatility, </w:t>
      </w:r>
      <w:r w:rsidRPr="00301961">
        <w:rPr>
          <w:rFonts w:ascii="Times New Roman" w:hAnsi="Times New Roman" w:cs="Times New Roman"/>
          <w:i/>
          <w:sz w:val="24"/>
          <w:szCs w:val="24"/>
        </w:rPr>
        <w:t>Journal of International Money and Finance</w:t>
      </w:r>
      <w:r w:rsidRPr="00301961">
        <w:rPr>
          <w:rFonts w:ascii="Times New Roman" w:hAnsi="Times New Roman" w:cs="Times New Roman"/>
          <w:sz w:val="24"/>
          <w:szCs w:val="24"/>
        </w:rPr>
        <w:t xml:space="preserve">, </w:t>
      </w:r>
      <w:r w:rsidRPr="00301961">
        <w:rPr>
          <w:rFonts w:ascii="Times New Roman" w:hAnsi="Times New Roman" w:cs="Times New Roman"/>
          <w:b/>
          <w:sz w:val="24"/>
          <w:szCs w:val="24"/>
        </w:rPr>
        <w:t>17</w:t>
      </w:r>
      <w:r w:rsidRPr="00301961">
        <w:rPr>
          <w:rFonts w:ascii="Times New Roman" w:hAnsi="Times New Roman" w:cs="Times New Roman"/>
          <w:sz w:val="24"/>
          <w:szCs w:val="24"/>
        </w:rPr>
        <w:t>, (1998), 161–190.</w:t>
      </w:r>
    </w:p>
    <w:p w:rsidR="006B5A4A" w:rsidRPr="006B5A4A" w:rsidRDefault="00301961"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301961">
        <w:rPr>
          <w:rFonts w:ascii="Times New Roman" w:hAnsi="Times New Roman" w:cs="Times New Roman"/>
          <w:sz w:val="24"/>
          <w:szCs w:val="24"/>
        </w:rPr>
        <w:t xml:space="preserve">R. T. Baillie and W. P. Osterberg, Why do central banks intervene? </w:t>
      </w:r>
      <w:r w:rsidRPr="00301961">
        <w:rPr>
          <w:rFonts w:ascii="Times New Roman" w:hAnsi="Times New Roman" w:cs="Times New Roman"/>
          <w:i/>
          <w:sz w:val="24"/>
          <w:szCs w:val="24"/>
        </w:rPr>
        <w:t>Journal of International Money and Finance</w:t>
      </w:r>
      <w:r w:rsidRPr="00301961">
        <w:rPr>
          <w:rFonts w:ascii="Times New Roman" w:hAnsi="Times New Roman" w:cs="Times New Roman"/>
          <w:sz w:val="24"/>
          <w:szCs w:val="24"/>
        </w:rPr>
        <w:t xml:space="preserve">, </w:t>
      </w:r>
      <w:r w:rsidRPr="00301961">
        <w:rPr>
          <w:rFonts w:ascii="Times New Roman" w:hAnsi="Times New Roman" w:cs="Times New Roman"/>
          <w:b/>
          <w:sz w:val="24"/>
          <w:szCs w:val="24"/>
        </w:rPr>
        <w:t>16</w:t>
      </w:r>
      <w:r w:rsidRPr="00301961">
        <w:rPr>
          <w:rFonts w:ascii="Times New Roman" w:hAnsi="Times New Roman" w:cs="Times New Roman"/>
          <w:sz w:val="24"/>
          <w:szCs w:val="24"/>
        </w:rPr>
        <w:t>, (1997), 909–919.</w:t>
      </w:r>
    </w:p>
    <w:p w:rsidR="006B5A4A" w:rsidRPr="006B5A4A" w:rsidRDefault="006B5A4A"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6B5A4A">
        <w:rPr>
          <w:rFonts w:ascii="Times New Roman" w:hAnsi="Times New Roman" w:cs="Times New Roman"/>
          <w:sz w:val="24"/>
          <w:szCs w:val="24"/>
        </w:rPr>
        <w:t xml:space="preserve">H. Edison, P. Cashin and H. Liang, Foreign exchange intervention and the Australian dollar: has it mattered? </w:t>
      </w:r>
      <w:r w:rsidRPr="006B5A4A">
        <w:rPr>
          <w:rFonts w:ascii="Times New Roman" w:hAnsi="Times New Roman" w:cs="Times New Roman"/>
          <w:i/>
          <w:sz w:val="24"/>
          <w:szCs w:val="24"/>
        </w:rPr>
        <w:t>International Journal of Finance and Economics</w:t>
      </w:r>
      <w:r w:rsidRPr="006B5A4A">
        <w:rPr>
          <w:rFonts w:ascii="Times New Roman" w:hAnsi="Times New Roman" w:cs="Times New Roman"/>
          <w:sz w:val="24"/>
          <w:szCs w:val="24"/>
        </w:rPr>
        <w:t xml:space="preserve">, </w:t>
      </w:r>
      <w:r w:rsidRPr="006B5A4A">
        <w:rPr>
          <w:rFonts w:ascii="Times New Roman" w:hAnsi="Times New Roman" w:cs="Times New Roman"/>
          <w:b/>
          <w:sz w:val="24"/>
          <w:szCs w:val="24"/>
        </w:rPr>
        <w:t>11</w:t>
      </w:r>
      <w:r w:rsidRPr="006B5A4A">
        <w:rPr>
          <w:rFonts w:ascii="Times New Roman" w:hAnsi="Times New Roman" w:cs="Times New Roman"/>
          <w:sz w:val="24"/>
          <w:szCs w:val="24"/>
        </w:rPr>
        <w:t>, (2006), 155–171.</w:t>
      </w:r>
    </w:p>
    <w:p w:rsidR="006B5A4A" w:rsidRPr="006B5A4A" w:rsidRDefault="006B5A4A"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6B5A4A">
        <w:rPr>
          <w:rFonts w:ascii="Times New Roman" w:hAnsi="Times New Roman" w:cs="Times New Roman"/>
          <w:sz w:val="24"/>
          <w:szCs w:val="24"/>
        </w:rPr>
        <w:t>A.</w:t>
      </w:r>
      <w:r>
        <w:rPr>
          <w:rFonts w:ascii="Times New Roman" w:hAnsi="Times New Roman" w:cs="Times New Roman"/>
          <w:sz w:val="24"/>
          <w:szCs w:val="24"/>
        </w:rPr>
        <w:t xml:space="preserve"> </w:t>
      </w:r>
      <w:r w:rsidRPr="006B5A4A">
        <w:rPr>
          <w:rFonts w:ascii="Times New Roman" w:hAnsi="Times New Roman" w:cs="Times New Roman"/>
          <w:sz w:val="24"/>
          <w:szCs w:val="24"/>
        </w:rPr>
        <w:t xml:space="preserve">J. Makin and J. Shaw, The ineffectiveness of foreign exchange market intervention in Australia, </w:t>
      </w:r>
      <w:r w:rsidRPr="006B5A4A">
        <w:rPr>
          <w:rFonts w:ascii="Times New Roman" w:hAnsi="Times New Roman" w:cs="Times New Roman"/>
          <w:i/>
          <w:sz w:val="24"/>
          <w:szCs w:val="24"/>
        </w:rPr>
        <w:t>Asian Economies</w:t>
      </w:r>
      <w:r w:rsidRPr="006B5A4A">
        <w:rPr>
          <w:rFonts w:ascii="Times New Roman" w:hAnsi="Times New Roman" w:cs="Times New Roman"/>
          <w:sz w:val="24"/>
          <w:szCs w:val="24"/>
        </w:rPr>
        <w:t xml:space="preserve">, </w:t>
      </w:r>
      <w:r w:rsidRPr="006B5A4A">
        <w:rPr>
          <w:rFonts w:ascii="Times New Roman" w:hAnsi="Times New Roman" w:cs="Times New Roman"/>
          <w:b/>
          <w:sz w:val="24"/>
          <w:szCs w:val="24"/>
        </w:rPr>
        <w:t>26</w:t>
      </w:r>
      <w:r w:rsidRPr="006B5A4A">
        <w:rPr>
          <w:rFonts w:ascii="Times New Roman" w:hAnsi="Times New Roman" w:cs="Times New Roman"/>
          <w:sz w:val="24"/>
          <w:szCs w:val="24"/>
        </w:rPr>
        <w:t>, (1997), 82–96.</w:t>
      </w:r>
    </w:p>
    <w:p w:rsidR="00FF425E" w:rsidRPr="00FF425E" w:rsidRDefault="006B5A4A" w:rsidP="00FF425E">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6B5A4A">
        <w:rPr>
          <w:rFonts w:ascii="Times New Roman" w:hAnsi="Times New Roman" w:cs="Times New Roman"/>
          <w:sz w:val="24"/>
          <w:szCs w:val="24"/>
        </w:rPr>
        <w:t xml:space="preserve">K. M. Dominguez and J. A. Frankel, Does foreign exchange intervention matter? The portfolio effect, </w:t>
      </w:r>
      <w:r w:rsidRPr="006B5A4A">
        <w:rPr>
          <w:rFonts w:ascii="Times New Roman" w:hAnsi="Times New Roman" w:cs="Times New Roman"/>
          <w:i/>
          <w:sz w:val="24"/>
          <w:szCs w:val="24"/>
        </w:rPr>
        <w:t>American Economic Review</w:t>
      </w:r>
      <w:r w:rsidRPr="006B5A4A">
        <w:rPr>
          <w:rFonts w:ascii="Times New Roman" w:hAnsi="Times New Roman" w:cs="Times New Roman"/>
          <w:sz w:val="24"/>
          <w:szCs w:val="24"/>
        </w:rPr>
        <w:t xml:space="preserve">, </w:t>
      </w:r>
      <w:r w:rsidRPr="006B5A4A">
        <w:rPr>
          <w:rFonts w:ascii="Times New Roman" w:hAnsi="Times New Roman" w:cs="Times New Roman"/>
          <w:b/>
          <w:sz w:val="24"/>
          <w:szCs w:val="24"/>
        </w:rPr>
        <w:t>83 (5)</w:t>
      </w:r>
      <w:r w:rsidRPr="006B5A4A">
        <w:rPr>
          <w:rFonts w:ascii="Times New Roman" w:hAnsi="Times New Roman" w:cs="Times New Roman"/>
          <w:sz w:val="24"/>
          <w:szCs w:val="24"/>
        </w:rPr>
        <w:t>, (1993), 1356–1369.</w:t>
      </w:r>
    </w:p>
    <w:p w:rsidR="006B5A4A" w:rsidRPr="00FF425E" w:rsidRDefault="006B5A4A" w:rsidP="00FF425E">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FF425E">
        <w:rPr>
          <w:rFonts w:ascii="Times New Roman" w:hAnsi="Times New Roman" w:cs="Times New Roman"/>
          <w:sz w:val="24"/>
          <w:szCs w:val="24"/>
        </w:rPr>
        <w:t>C. Bons</w:t>
      </w:r>
      <w:r w:rsidR="00FF425E">
        <w:rPr>
          <w:rFonts w:ascii="Times New Roman" w:hAnsi="Times New Roman" w:cs="Times New Roman"/>
          <w:sz w:val="24"/>
          <w:szCs w:val="24"/>
        </w:rPr>
        <w:t>er–Neal and G. Tanner, Central b</w:t>
      </w:r>
      <w:r w:rsidRPr="00FF425E">
        <w:rPr>
          <w:rFonts w:ascii="Times New Roman" w:hAnsi="Times New Roman" w:cs="Times New Roman"/>
          <w:sz w:val="24"/>
          <w:szCs w:val="24"/>
        </w:rPr>
        <w:t xml:space="preserve">ank intervention and the volatility of foreign exchange rates: evidence from the options market, </w:t>
      </w:r>
      <w:r w:rsidRPr="00FF425E">
        <w:rPr>
          <w:rFonts w:ascii="Times New Roman" w:hAnsi="Times New Roman" w:cs="Times New Roman"/>
          <w:i/>
          <w:sz w:val="24"/>
          <w:szCs w:val="24"/>
        </w:rPr>
        <w:t>Journal of International Money and Finance</w:t>
      </w:r>
      <w:r w:rsidRPr="00FF425E">
        <w:rPr>
          <w:rFonts w:ascii="Times New Roman" w:hAnsi="Times New Roman" w:cs="Times New Roman"/>
          <w:sz w:val="24"/>
          <w:szCs w:val="24"/>
        </w:rPr>
        <w:t xml:space="preserve">, </w:t>
      </w:r>
      <w:r w:rsidRPr="00FF425E">
        <w:rPr>
          <w:rFonts w:ascii="Times New Roman" w:hAnsi="Times New Roman" w:cs="Times New Roman"/>
          <w:b/>
          <w:sz w:val="24"/>
          <w:szCs w:val="24"/>
        </w:rPr>
        <w:t>15</w:t>
      </w:r>
      <w:r w:rsidRPr="00FF425E">
        <w:rPr>
          <w:rFonts w:ascii="Times New Roman" w:hAnsi="Times New Roman" w:cs="Times New Roman"/>
          <w:sz w:val="24"/>
          <w:szCs w:val="24"/>
        </w:rPr>
        <w:t>, (1996), 853–878.</w:t>
      </w:r>
    </w:p>
    <w:p w:rsidR="006B5A4A" w:rsidRPr="006B5A4A" w:rsidRDefault="006B5A4A"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6B5A4A">
        <w:rPr>
          <w:rFonts w:ascii="Times New Roman" w:hAnsi="Times New Roman" w:cs="Times New Roman"/>
          <w:sz w:val="24"/>
          <w:szCs w:val="24"/>
        </w:rPr>
        <w:t>A.</w:t>
      </w:r>
      <w:r>
        <w:rPr>
          <w:rFonts w:ascii="Times New Roman" w:hAnsi="Times New Roman" w:cs="Times New Roman"/>
          <w:sz w:val="24"/>
          <w:szCs w:val="24"/>
        </w:rPr>
        <w:t xml:space="preserve"> </w:t>
      </w:r>
      <w:r w:rsidRPr="006B5A4A">
        <w:rPr>
          <w:rFonts w:ascii="Times New Roman" w:hAnsi="Times New Roman" w:cs="Times New Roman"/>
          <w:sz w:val="24"/>
          <w:szCs w:val="24"/>
        </w:rPr>
        <w:t xml:space="preserve">L. Madura and J. Tucker, Impact of the Louvre Accord on actual and anticipated exchange rate volatilities, </w:t>
      </w:r>
      <w:r w:rsidRPr="006B5A4A">
        <w:rPr>
          <w:rFonts w:ascii="Times New Roman" w:hAnsi="Times New Roman" w:cs="Times New Roman"/>
          <w:i/>
          <w:sz w:val="24"/>
          <w:szCs w:val="24"/>
        </w:rPr>
        <w:t>Journal of International Financial Markets, Institutions, and Money</w:t>
      </w:r>
      <w:r w:rsidRPr="006B5A4A">
        <w:rPr>
          <w:rFonts w:ascii="Times New Roman" w:hAnsi="Times New Roman" w:cs="Times New Roman"/>
          <w:sz w:val="24"/>
          <w:szCs w:val="24"/>
        </w:rPr>
        <w:t xml:space="preserve">, </w:t>
      </w:r>
      <w:r w:rsidRPr="006B5A4A">
        <w:rPr>
          <w:rFonts w:ascii="Times New Roman" w:hAnsi="Times New Roman" w:cs="Times New Roman"/>
          <w:b/>
          <w:sz w:val="24"/>
          <w:szCs w:val="24"/>
        </w:rPr>
        <w:t>1</w:t>
      </w:r>
      <w:r w:rsidRPr="006B5A4A">
        <w:rPr>
          <w:rFonts w:ascii="Times New Roman" w:hAnsi="Times New Roman" w:cs="Times New Roman"/>
          <w:sz w:val="24"/>
          <w:szCs w:val="24"/>
        </w:rPr>
        <w:t>, (1991), 43–59.</w:t>
      </w:r>
    </w:p>
    <w:p w:rsidR="000270E2" w:rsidRPr="000270E2" w:rsidRDefault="006B5A4A"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6B5A4A">
        <w:rPr>
          <w:rFonts w:ascii="Times New Roman" w:hAnsi="Times New Roman" w:cs="Times New Roman"/>
          <w:sz w:val="24"/>
          <w:szCs w:val="24"/>
        </w:rPr>
        <w:t>G. J. Almekinders and S. C. W. Eij</w:t>
      </w:r>
      <w:r w:rsidRPr="006B5A4A">
        <w:rPr>
          <w:rFonts w:ascii="Cambria Math" w:hAnsi="Cambria Math" w:cs="Cambria Math"/>
          <w:sz w:val="24"/>
          <w:szCs w:val="24"/>
        </w:rPr>
        <w:t>ﬃ</w:t>
      </w:r>
      <w:r w:rsidRPr="006B5A4A">
        <w:rPr>
          <w:rFonts w:ascii="Times New Roman" w:hAnsi="Times New Roman" w:cs="Times New Roman"/>
          <w:sz w:val="24"/>
          <w:szCs w:val="24"/>
        </w:rPr>
        <w:t>nger, Daily Bundesbank and Federal Reserve interventions:  are they a reaction to changes in the lev</w:t>
      </w:r>
      <w:r w:rsidR="00FF425E">
        <w:rPr>
          <w:rFonts w:ascii="Times New Roman" w:hAnsi="Times New Roman" w:cs="Times New Roman"/>
          <w:sz w:val="24"/>
          <w:szCs w:val="24"/>
        </w:rPr>
        <w:t xml:space="preserve">el and volatility of the DM/USD </w:t>
      </w:r>
      <w:r w:rsidRPr="006B5A4A">
        <w:rPr>
          <w:rFonts w:ascii="Times New Roman" w:hAnsi="Times New Roman" w:cs="Times New Roman"/>
          <w:sz w:val="24"/>
          <w:szCs w:val="24"/>
        </w:rPr>
        <w:t xml:space="preserve">rate? </w:t>
      </w:r>
      <w:r w:rsidRPr="006B5A4A">
        <w:rPr>
          <w:rFonts w:ascii="Times New Roman" w:hAnsi="Times New Roman" w:cs="Times New Roman"/>
          <w:i/>
          <w:sz w:val="24"/>
          <w:szCs w:val="24"/>
        </w:rPr>
        <w:t>Empirical Economics</w:t>
      </w:r>
      <w:r w:rsidRPr="006B5A4A">
        <w:rPr>
          <w:rFonts w:ascii="Times New Roman" w:hAnsi="Times New Roman" w:cs="Times New Roman"/>
          <w:sz w:val="24"/>
          <w:szCs w:val="24"/>
        </w:rPr>
        <w:t xml:space="preserve">, </w:t>
      </w:r>
      <w:r w:rsidRPr="006B5A4A">
        <w:rPr>
          <w:rFonts w:ascii="Times New Roman" w:hAnsi="Times New Roman" w:cs="Times New Roman"/>
          <w:b/>
          <w:sz w:val="24"/>
          <w:szCs w:val="24"/>
        </w:rPr>
        <w:t>19 (1)</w:t>
      </w:r>
      <w:r w:rsidRPr="006B5A4A">
        <w:rPr>
          <w:rFonts w:ascii="Times New Roman" w:hAnsi="Times New Roman" w:cs="Times New Roman"/>
          <w:sz w:val="24"/>
          <w:szCs w:val="24"/>
        </w:rPr>
        <w:t>, (1994), 111–130.</w:t>
      </w:r>
    </w:p>
    <w:p w:rsidR="00D2426F" w:rsidRPr="00D2426F" w:rsidRDefault="000270E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0270E2">
        <w:rPr>
          <w:rFonts w:ascii="Times New Roman" w:hAnsi="Times New Roman" w:cs="Times New Roman"/>
          <w:sz w:val="24"/>
          <w:szCs w:val="24"/>
        </w:rPr>
        <w:t xml:space="preserve">L. Sarno and M. P. Taylor, Official intervention in the foreign exchange market: is it effective and if so, how does it work? </w:t>
      </w:r>
      <w:r w:rsidRPr="000270E2">
        <w:rPr>
          <w:rFonts w:ascii="Times New Roman" w:hAnsi="Times New Roman" w:cs="Times New Roman"/>
          <w:i/>
          <w:sz w:val="24"/>
          <w:szCs w:val="24"/>
        </w:rPr>
        <w:t>Journal of Economic Literature</w:t>
      </w:r>
      <w:r w:rsidRPr="000270E2">
        <w:rPr>
          <w:rFonts w:ascii="Times New Roman" w:hAnsi="Times New Roman" w:cs="Times New Roman"/>
          <w:sz w:val="24"/>
          <w:szCs w:val="24"/>
        </w:rPr>
        <w:t xml:space="preserve">, </w:t>
      </w:r>
      <w:r w:rsidRPr="000270E2">
        <w:rPr>
          <w:rFonts w:ascii="Times New Roman" w:hAnsi="Times New Roman" w:cs="Times New Roman"/>
          <w:b/>
          <w:sz w:val="24"/>
          <w:szCs w:val="24"/>
        </w:rPr>
        <w:t>39</w:t>
      </w:r>
      <w:r w:rsidRPr="000270E2">
        <w:rPr>
          <w:rFonts w:ascii="Times New Roman" w:hAnsi="Times New Roman" w:cs="Times New Roman"/>
          <w:sz w:val="24"/>
          <w:szCs w:val="24"/>
        </w:rPr>
        <w:t>, (2001), 839–868.</w:t>
      </w:r>
    </w:p>
    <w:p w:rsidR="00D2426F" w:rsidRPr="00D2426F" w:rsidRDefault="00D2426F"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D2426F">
        <w:rPr>
          <w:rFonts w:ascii="Times New Roman" w:hAnsi="Times New Roman" w:cs="Times New Roman"/>
          <w:sz w:val="24"/>
          <w:szCs w:val="24"/>
        </w:rPr>
        <w:t xml:space="preserve">O. F. Humpage, Government intervention in the foreign exchange market, </w:t>
      </w:r>
      <w:r w:rsidRPr="00D2426F">
        <w:rPr>
          <w:rFonts w:ascii="Times New Roman" w:hAnsi="Times New Roman" w:cs="Times New Roman"/>
          <w:i/>
          <w:sz w:val="24"/>
          <w:szCs w:val="24"/>
        </w:rPr>
        <w:t>Federal Reserve Bank of Cleveland Working Paper</w:t>
      </w:r>
      <w:r w:rsidRPr="00D2426F">
        <w:rPr>
          <w:rFonts w:ascii="Times New Roman" w:hAnsi="Times New Roman" w:cs="Times New Roman"/>
          <w:sz w:val="24"/>
          <w:szCs w:val="24"/>
        </w:rPr>
        <w:t xml:space="preserve">, </w:t>
      </w:r>
      <w:r w:rsidRPr="00FF425E">
        <w:rPr>
          <w:rFonts w:ascii="Times New Roman" w:hAnsi="Times New Roman" w:cs="Times New Roman"/>
          <w:b/>
          <w:sz w:val="24"/>
          <w:szCs w:val="24"/>
        </w:rPr>
        <w:t>03–15</w:t>
      </w:r>
      <w:r w:rsidRPr="00D2426F">
        <w:rPr>
          <w:rFonts w:ascii="Times New Roman" w:hAnsi="Times New Roman" w:cs="Times New Roman"/>
          <w:sz w:val="24"/>
          <w:szCs w:val="24"/>
        </w:rPr>
        <w:t xml:space="preserve">, (2003). </w:t>
      </w:r>
    </w:p>
    <w:p w:rsidR="00D2426F" w:rsidRPr="00D2426F" w:rsidRDefault="00D2426F"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D2426F">
        <w:rPr>
          <w:rFonts w:ascii="Times New Roman" w:hAnsi="Times New Roman" w:cs="Times New Roman"/>
          <w:sz w:val="24"/>
          <w:szCs w:val="24"/>
        </w:rPr>
        <w:t xml:space="preserve">M. Frenkel, C. Pierdzioch and G. Stadtmann, The effects of Japanese foreign exchange market interventions on the yen/U.S. dollar exchange rate volatility, </w:t>
      </w:r>
      <w:hyperlink r:id="rId50" w:history="1">
        <w:r w:rsidRPr="00D2426F">
          <w:rPr>
            <w:rStyle w:val="Kpr"/>
            <w:rFonts w:ascii="Times New Roman" w:hAnsi="Times New Roman" w:cs="Times New Roman"/>
            <w:i/>
            <w:color w:val="auto"/>
            <w:sz w:val="24"/>
            <w:szCs w:val="24"/>
            <w:u w:val="none"/>
          </w:rPr>
          <w:t>International Review of Economics &amp; Finance</w:t>
        </w:r>
      </w:hyperlink>
      <w:r w:rsidRPr="00D2426F">
        <w:rPr>
          <w:rFonts w:ascii="Times New Roman" w:hAnsi="Times New Roman" w:cs="Times New Roman"/>
          <w:sz w:val="24"/>
          <w:szCs w:val="24"/>
        </w:rPr>
        <w:t xml:space="preserve">, </w:t>
      </w:r>
      <w:r w:rsidRPr="00D2426F">
        <w:rPr>
          <w:rFonts w:ascii="Times New Roman" w:hAnsi="Times New Roman" w:cs="Times New Roman"/>
          <w:b/>
          <w:sz w:val="24"/>
          <w:szCs w:val="24"/>
        </w:rPr>
        <w:t>14 (1),</w:t>
      </w:r>
      <w:r w:rsidRPr="00D2426F">
        <w:rPr>
          <w:rFonts w:ascii="Times New Roman" w:hAnsi="Times New Roman" w:cs="Times New Roman"/>
          <w:sz w:val="24"/>
          <w:szCs w:val="24"/>
        </w:rPr>
        <w:t xml:space="preserve"> (2005), 27–39.</w:t>
      </w:r>
    </w:p>
    <w:p w:rsidR="00D2426F" w:rsidRPr="00D2426F" w:rsidRDefault="00D2426F"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D2426F">
        <w:rPr>
          <w:rFonts w:ascii="Times New Roman" w:hAnsi="Times New Roman" w:cs="Times New Roman"/>
          <w:sz w:val="24"/>
          <w:szCs w:val="24"/>
        </w:rPr>
        <w:t xml:space="preserve">M. Fratzscher, On the long–term effectiveness of exchange rate communication and interventions, </w:t>
      </w:r>
      <w:r w:rsidRPr="00D2426F">
        <w:rPr>
          <w:rFonts w:ascii="Times New Roman" w:hAnsi="Times New Roman" w:cs="Times New Roman"/>
          <w:i/>
          <w:sz w:val="24"/>
          <w:szCs w:val="24"/>
        </w:rPr>
        <w:t>Journal of International Money and Finance</w:t>
      </w:r>
      <w:r w:rsidRPr="00D2426F">
        <w:rPr>
          <w:rFonts w:ascii="Times New Roman" w:hAnsi="Times New Roman" w:cs="Times New Roman"/>
          <w:sz w:val="24"/>
          <w:szCs w:val="24"/>
        </w:rPr>
        <w:t xml:space="preserve">, </w:t>
      </w:r>
      <w:r w:rsidRPr="00D2426F">
        <w:rPr>
          <w:rFonts w:ascii="Times New Roman" w:hAnsi="Times New Roman" w:cs="Times New Roman"/>
          <w:b/>
          <w:sz w:val="24"/>
          <w:szCs w:val="24"/>
        </w:rPr>
        <w:t>25</w:t>
      </w:r>
      <w:r w:rsidRPr="00D2426F">
        <w:rPr>
          <w:rFonts w:ascii="Times New Roman" w:hAnsi="Times New Roman" w:cs="Times New Roman"/>
          <w:sz w:val="24"/>
          <w:szCs w:val="24"/>
        </w:rPr>
        <w:t>, (2006), 146–167.</w:t>
      </w:r>
    </w:p>
    <w:p w:rsidR="00D01720" w:rsidRPr="00D01720" w:rsidRDefault="00D2426F"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D2426F">
        <w:rPr>
          <w:rFonts w:ascii="Times New Roman" w:hAnsi="Times New Roman" w:cs="Times New Roman"/>
          <w:sz w:val="24"/>
          <w:szCs w:val="24"/>
        </w:rPr>
        <w:t xml:space="preserve">A. Gersl and T. Holub, Foreign exchange interventions under inflation targeting: the Czech experience, </w:t>
      </w:r>
      <w:r w:rsidRPr="00D2426F">
        <w:rPr>
          <w:rFonts w:ascii="Times New Roman" w:hAnsi="Times New Roman" w:cs="Times New Roman"/>
          <w:i/>
          <w:sz w:val="24"/>
          <w:szCs w:val="24"/>
        </w:rPr>
        <w:t>Contemporary Economic Policy</w:t>
      </w:r>
      <w:r w:rsidRPr="00D2426F">
        <w:rPr>
          <w:rFonts w:ascii="Times New Roman" w:hAnsi="Times New Roman" w:cs="Times New Roman"/>
          <w:sz w:val="24"/>
          <w:szCs w:val="24"/>
        </w:rPr>
        <w:t xml:space="preserve">, </w:t>
      </w:r>
      <w:r w:rsidRPr="00D2426F">
        <w:rPr>
          <w:rFonts w:ascii="Times New Roman" w:hAnsi="Times New Roman" w:cs="Times New Roman"/>
          <w:b/>
          <w:sz w:val="24"/>
          <w:szCs w:val="24"/>
        </w:rPr>
        <w:t>24 (4), October</w:t>
      </w:r>
      <w:r w:rsidRPr="00D2426F">
        <w:rPr>
          <w:rFonts w:ascii="Times New Roman" w:hAnsi="Times New Roman" w:cs="Times New Roman"/>
          <w:sz w:val="24"/>
          <w:szCs w:val="24"/>
        </w:rPr>
        <w:t>, (2006), 475–491.</w:t>
      </w:r>
    </w:p>
    <w:p w:rsidR="00D01720" w:rsidRPr="00D01720" w:rsidRDefault="00D01720"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D01720">
        <w:rPr>
          <w:rFonts w:ascii="Times New Roman" w:hAnsi="Times New Roman" w:cs="Times New Roman"/>
          <w:sz w:val="24"/>
          <w:szCs w:val="24"/>
        </w:rPr>
        <w:t>Beine, M</w:t>
      </w:r>
      <w:proofErr w:type="gramStart"/>
      <w:r w:rsidRPr="00D01720">
        <w:rPr>
          <w:rFonts w:ascii="Times New Roman" w:hAnsi="Times New Roman" w:cs="Times New Roman"/>
          <w:sz w:val="24"/>
          <w:szCs w:val="24"/>
        </w:rPr>
        <w:t>.,</w:t>
      </w:r>
      <w:proofErr w:type="gramEnd"/>
      <w:r w:rsidRPr="00D01720">
        <w:rPr>
          <w:rFonts w:ascii="Times New Roman" w:hAnsi="Times New Roman" w:cs="Times New Roman"/>
          <w:sz w:val="24"/>
          <w:szCs w:val="24"/>
        </w:rPr>
        <w:t xml:space="preserve"> Benassy–Quere, A. and Lecourt, C., 2002. The impact of foreign exchange interventions: new evidence from FIGARCH estimations, </w:t>
      </w:r>
      <w:r w:rsidRPr="00D01720">
        <w:rPr>
          <w:rFonts w:ascii="Times New Roman" w:hAnsi="Times New Roman" w:cs="Times New Roman"/>
          <w:i/>
          <w:sz w:val="24"/>
          <w:szCs w:val="24"/>
        </w:rPr>
        <w:t>Journal of International Money and Finance</w:t>
      </w:r>
      <w:r w:rsidRPr="00D01720">
        <w:rPr>
          <w:rFonts w:ascii="Times New Roman" w:hAnsi="Times New Roman" w:cs="Times New Roman"/>
          <w:sz w:val="24"/>
          <w:szCs w:val="24"/>
        </w:rPr>
        <w:t xml:space="preserve">, </w:t>
      </w:r>
      <w:r w:rsidRPr="00D01720">
        <w:rPr>
          <w:rFonts w:ascii="Times New Roman" w:hAnsi="Times New Roman" w:cs="Times New Roman"/>
          <w:b/>
          <w:sz w:val="24"/>
          <w:szCs w:val="24"/>
        </w:rPr>
        <w:t>21</w:t>
      </w:r>
      <w:r w:rsidRPr="00D01720">
        <w:rPr>
          <w:rFonts w:ascii="Times New Roman" w:hAnsi="Times New Roman" w:cs="Times New Roman"/>
          <w:sz w:val="24"/>
          <w:szCs w:val="24"/>
        </w:rPr>
        <w:t>, (2002), 115–144.</w:t>
      </w:r>
    </w:p>
    <w:p w:rsidR="00C0428E" w:rsidRPr="00C0428E" w:rsidRDefault="00D01720"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D01720">
        <w:rPr>
          <w:rFonts w:ascii="Times New Roman" w:hAnsi="Times New Roman" w:cs="Times New Roman"/>
          <w:sz w:val="24"/>
          <w:szCs w:val="24"/>
        </w:rPr>
        <w:lastRenderedPageBreak/>
        <w:t xml:space="preserve">O. F. Humpage, U.S. intervention: assessing the probability of success, </w:t>
      </w:r>
      <w:r w:rsidRPr="00D01720">
        <w:rPr>
          <w:rFonts w:ascii="Times New Roman" w:hAnsi="Times New Roman" w:cs="Times New Roman"/>
          <w:i/>
          <w:sz w:val="24"/>
          <w:szCs w:val="24"/>
        </w:rPr>
        <w:t>Journal of Money Credit and Banking</w:t>
      </w:r>
      <w:r w:rsidRPr="00D01720">
        <w:rPr>
          <w:rFonts w:ascii="Times New Roman" w:hAnsi="Times New Roman" w:cs="Times New Roman"/>
          <w:sz w:val="24"/>
          <w:szCs w:val="24"/>
        </w:rPr>
        <w:t xml:space="preserve">, </w:t>
      </w:r>
      <w:r w:rsidRPr="00D01720">
        <w:rPr>
          <w:rFonts w:ascii="Times New Roman" w:hAnsi="Times New Roman" w:cs="Times New Roman"/>
          <w:b/>
          <w:sz w:val="24"/>
          <w:szCs w:val="24"/>
        </w:rPr>
        <w:t>31 (4),</w:t>
      </w:r>
      <w:r w:rsidRPr="00D01720">
        <w:rPr>
          <w:rFonts w:ascii="Times New Roman" w:hAnsi="Times New Roman" w:cs="Times New Roman"/>
          <w:sz w:val="24"/>
          <w:szCs w:val="24"/>
        </w:rPr>
        <w:t xml:space="preserve"> (1999), 731–747.</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 xml:space="preserve">G. L. Kaminsky and K. K. Lewis, Does foreign exchange intervention signal future monetary policy? </w:t>
      </w:r>
      <w:r w:rsidRPr="00C0428E">
        <w:rPr>
          <w:rFonts w:ascii="Times New Roman" w:hAnsi="Times New Roman" w:cs="Times New Roman"/>
          <w:i/>
          <w:sz w:val="24"/>
          <w:szCs w:val="24"/>
        </w:rPr>
        <w:t>Journal of Monetary Economics</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37</w:t>
      </w:r>
      <w:r w:rsidRPr="00C0428E">
        <w:rPr>
          <w:rFonts w:ascii="Times New Roman" w:hAnsi="Times New Roman" w:cs="Times New Roman"/>
          <w:sz w:val="24"/>
          <w:szCs w:val="24"/>
        </w:rPr>
        <w:t>, (1996), 285–312.</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 xml:space="preserve">S. –J. Kim, T. Kortian and J. Sheen, Central bank intervention and exchange rate volatility–Australian evidence, </w:t>
      </w:r>
      <w:r w:rsidRPr="00C0428E">
        <w:rPr>
          <w:rFonts w:ascii="Times New Roman" w:hAnsi="Times New Roman" w:cs="Times New Roman"/>
          <w:i/>
          <w:sz w:val="24"/>
          <w:szCs w:val="24"/>
        </w:rPr>
        <w:t>Journal of International Financial Markets, Institutions and Money</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10</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(3–4)</w:t>
      </w:r>
      <w:r w:rsidRPr="00C0428E">
        <w:rPr>
          <w:rFonts w:ascii="Times New Roman" w:hAnsi="Times New Roman" w:cs="Times New Roman"/>
          <w:sz w:val="24"/>
          <w:szCs w:val="24"/>
        </w:rPr>
        <w:t>, (2000), 381–405.</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 xml:space="preserve">J. Aguilar and S. Nydahl, Central bank intervention and exchange rates: the case of Sweden, </w:t>
      </w:r>
      <w:r w:rsidRPr="00C0428E">
        <w:rPr>
          <w:rFonts w:ascii="Times New Roman" w:hAnsi="Times New Roman" w:cs="Times New Roman"/>
          <w:i/>
          <w:sz w:val="24"/>
          <w:szCs w:val="24"/>
        </w:rPr>
        <w:t>Journal of International Financial Markets, Institutions and Money</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10</w:t>
      </w:r>
      <w:r w:rsidRPr="00C0428E">
        <w:rPr>
          <w:rFonts w:ascii="Times New Roman" w:hAnsi="Times New Roman" w:cs="Times New Roman"/>
          <w:sz w:val="24"/>
          <w:szCs w:val="24"/>
        </w:rPr>
        <w:t xml:space="preserve">, (2000), 303–322. </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 xml:space="preserve">S. –J. Kim and C. M. D. Pham, Is foreign exchange intervention by central banks bad news for debt markets? A case of Reserve Bank of Australias interventions 1986–2003, </w:t>
      </w:r>
      <w:r w:rsidRPr="00C0428E">
        <w:rPr>
          <w:rFonts w:ascii="Times New Roman" w:hAnsi="Times New Roman" w:cs="Times New Roman"/>
          <w:i/>
          <w:sz w:val="24"/>
          <w:szCs w:val="24"/>
        </w:rPr>
        <w:t>Journal of International Financial Markets, Institutions and Money</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16</w:t>
      </w:r>
      <w:r w:rsidRPr="00C0428E">
        <w:rPr>
          <w:rFonts w:ascii="Times New Roman" w:hAnsi="Times New Roman" w:cs="Times New Roman"/>
          <w:sz w:val="24"/>
          <w:szCs w:val="24"/>
        </w:rPr>
        <w:t>, (2006), 446–467.</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T. Hoshikawa, The e</w:t>
      </w:r>
      <w:r w:rsidRPr="00C0428E">
        <w:rPr>
          <w:rFonts w:ascii="Cambria Math" w:hAnsi="Cambria Math" w:cs="Cambria Math"/>
          <w:sz w:val="24"/>
          <w:szCs w:val="24"/>
        </w:rPr>
        <w:t>ﬀ</w:t>
      </w:r>
      <w:r w:rsidRPr="00C0428E">
        <w:rPr>
          <w:rFonts w:ascii="Times New Roman" w:hAnsi="Times New Roman" w:cs="Times New Roman"/>
          <w:sz w:val="24"/>
          <w:szCs w:val="24"/>
        </w:rPr>
        <w:t xml:space="preserve">ect of intervention frequency on the foreign exchange market: the Japanese experience, </w:t>
      </w:r>
      <w:r w:rsidRPr="00C0428E">
        <w:rPr>
          <w:rFonts w:ascii="Times New Roman" w:hAnsi="Times New Roman" w:cs="Times New Roman"/>
          <w:i/>
          <w:sz w:val="24"/>
          <w:szCs w:val="24"/>
        </w:rPr>
        <w:t>Journal of International Money and Finance</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27</w:t>
      </w:r>
      <w:r w:rsidRPr="00C0428E">
        <w:rPr>
          <w:rFonts w:ascii="Times New Roman" w:hAnsi="Times New Roman" w:cs="Times New Roman"/>
          <w:sz w:val="24"/>
          <w:szCs w:val="24"/>
        </w:rPr>
        <w:t>, (2008), 547–559.</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 xml:space="preserve">K. M. Dominguez, The market microstructure of central bank intervention, </w:t>
      </w:r>
      <w:r w:rsidRPr="00C0428E">
        <w:rPr>
          <w:rFonts w:ascii="Times New Roman" w:hAnsi="Times New Roman" w:cs="Times New Roman"/>
          <w:i/>
          <w:sz w:val="24"/>
          <w:szCs w:val="24"/>
        </w:rPr>
        <w:t>Journal of International Economics</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59</w:t>
      </w:r>
      <w:r w:rsidRPr="00C0428E">
        <w:rPr>
          <w:rFonts w:ascii="Times New Roman" w:hAnsi="Times New Roman" w:cs="Times New Roman"/>
          <w:sz w:val="24"/>
          <w:szCs w:val="24"/>
        </w:rPr>
        <w:t>, (2003), 25–45.</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 xml:space="preserve">R. Fatum and M. M. Hutchison, Is sterilized foreign exchange intervention successful after all? An event study approach, </w:t>
      </w:r>
      <w:r w:rsidRPr="00C0428E">
        <w:rPr>
          <w:rFonts w:ascii="Times New Roman" w:hAnsi="Times New Roman" w:cs="Times New Roman"/>
          <w:i/>
          <w:sz w:val="24"/>
          <w:szCs w:val="24"/>
        </w:rPr>
        <w:t>Economic Journal</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113</w:t>
      </w:r>
      <w:r w:rsidRPr="00C0428E">
        <w:rPr>
          <w:rFonts w:ascii="Times New Roman" w:hAnsi="Times New Roman" w:cs="Times New Roman"/>
          <w:sz w:val="24"/>
          <w:szCs w:val="24"/>
        </w:rPr>
        <w:t>, (2003), 390–411.</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T. Ito, Is foreign exchange intervention e</w:t>
      </w:r>
      <w:r w:rsidRPr="00C0428E">
        <w:rPr>
          <w:rFonts w:ascii="Cambria Math" w:hAnsi="Cambria Math" w:cs="Cambria Math"/>
          <w:sz w:val="24"/>
          <w:szCs w:val="24"/>
        </w:rPr>
        <w:t>ﬀ</w:t>
      </w:r>
      <w:r w:rsidRPr="00C0428E">
        <w:rPr>
          <w:rFonts w:ascii="Times New Roman" w:hAnsi="Times New Roman" w:cs="Times New Roman"/>
          <w:sz w:val="24"/>
          <w:szCs w:val="24"/>
        </w:rPr>
        <w:t xml:space="preserve">ective? The Japanese experiences in the 1990s, </w:t>
      </w:r>
      <w:r w:rsidRPr="00C0428E">
        <w:rPr>
          <w:rFonts w:ascii="Times New Roman" w:hAnsi="Times New Roman" w:cs="Times New Roman"/>
          <w:i/>
          <w:sz w:val="24"/>
          <w:szCs w:val="24"/>
        </w:rPr>
        <w:t>Journal of International Economics</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66 (1),</w:t>
      </w:r>
      <w:r w:rsidRPr="00C0428E">
        <w:rPr>
          <w:rFonts w:ascii="Times New Roman" w:hAnsi="Times New Roman" w:cs="Times New Roman"/>
          <w:sz w:val="24"/>
          <w:szCs w:val="24"/>
        </w:rPr>
        <w:t xml:space="preserve"> (2003), 31–48.</w:t>
      </w:r>
    </w:p>
    <w:p w:rsidR="00C0428E" w:rsidRPr="00C0428E"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 xml:space="preserve">J. Kearns and R. Rigobon, Identifying the efﬁcacy of central bank interventions: evidence from Australia and Japan, </w:t>
      </w:r>
      <w:r w:rsidRPr="00C0428E">
        <w:rPr>
          <w:rFonts w:ascii="Times New Roman" w:hAnsi="Times New Roman" w:cs="Times New Roman"/>
          <w:i/>
          <w:sz w:val="24"/>
          <w:szCs w:val="24"/>
        </w:rPr>
        <w:t>Journal of International Economics</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66</w:t>
      </w:r>
      <w:r w:rsidRPr="00C0428E">
        <w:rPr>
          <w:rFonts w:ascii="Times New Roman" w:hAnsi="Times New Roman" w:cs="Times New Roman"/>
          <w:sz w:val="24"/>
          <w:szCs w:val="24"/>
        </w:rPr>
        <w:t>, (2005), 31–48.</w:t>
      </w:r>
    </w:p>
    <w:p w:rsidR="00B80252" w:rsidRPr="00B80252" w:rsidRDefault="00C0428E"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C0428E">
        <w:rPr>
          <w:rFonts w:ascii="Times New Roman" w:hAnsi="Times New Roman" w:cs="Times New Roman"/>
          <w:sz w:val="24"/>
          <w:szCs w:val="24"/>
        </w:rPr>
        <w:t xml:space="preserve">R. Fatum, Daily effects of foreign exchange intervention: evidence from ofﬁcial Bank of Canada </w:t>
      </w:r>
      <w:proofErr w:type="gramStart"/>
      <w:r w:rsidRPr="00C0428E">
        <w:rPr>
          <w:rFonts w:ascii="Times New Roman" w:hAnsi="Times New Roman" w:cs="Times New Roman"/>
          <w:sz w:val="24"/>
          <w:szCs w:val="24"/>
        </w:rPr>
        <w:t>data</w:t>
      </w:r>
      <w:proofErr w:type="gramEnd"/>
      <w:r w:rsidRPr="00C0428E">
        <w:rPr>
          <w:rFonts w:ascii="Times New Roman" w:hAnsi="Times New Roman" w:cs="Times New Roman"/>
          <w:sz w:val="24"/>
          <w:szCs w:val="24"/>
        </w:rPr>
        <w:t xml:space="preserve">, </w:t>
      </w:r>
      <w:r w:rsidRPr="00C0428E">
        <w:rPr>
          <w:rFonts w:ascii="Times New Roman" w:hAnsi="Times New Roman" w:cs="Times New Roman"/>
          <w:i/>
          <w:sz w:val="24"/>
          <w:szCs w:val="24"/>
        </w:rPr>
        <w:t>Journal of International Money and Finance</w:t>
      </w:r>
      <w:r w:rsidRPr="00C0428E">
        <w:rPr>
          <w:rFonts w:ascii="Times New Roman" w:hAnsi="Times New Roman" w:cs="Times New Roman"/>
          <w:sz w:val="24"/>
          <w:szCs w:val="24"/>
        </w:rPr>
        <w:t xml:space="preserve">, </w:t>
      </w:r>
      <w:r w:rsidRPr="00C0428E">
        <w:rPr>
          <w:rFonts w:ascii="Times New Roman" w:hAnsi="Times New Roman" w:cs="Times New Roman"/>
          <w:b/>
          <w:sz w:val="24"/>
          <w:szCs w:val="24"/>
        </w:rPr>
        <w:t>27</w:t>
      </w:r>
      <w:r w:rsidRPr="00C0428E">
        <w:rPr>
          <w:rFonts w:ascii="Times New Roman" w:hAnsi="Times New Roman" w:cs="Times New Roman"/>
          <w:sz w:val="24"/>
          <w:szCs w:val="24"/>
        </w:rPr>
        <w:t>, (2008), 438–454.</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t xml:space="preserve">K. M. Dominguez, When do central bank interventions inﬂuence intra–daily and longer–term exchange rate movements? </w:t>
      </w:r>
      <w:r w:rsidRPr="00B80252">
        <w:rPr>
          <w:rFonts w:ascii="Times New Roman" w:hAnsi="Times New Roman" w:cs="Times New Roman"/>
          <w:i/>
          <w:sz w:val="24"/>
          <w:szCs w:val="24"/>
        </w:rPr>
        <w:t>Journal of International Money and Finance</w:t>
      </w:r>
      <w:r w:rsidRPr="00B80252">
        <w:rPr>
          <w:rFonts w:ascii="Times New Roman" w:hAnsi="Times New Roman" w:cs="Times New Roman"/>
          <w:sz w:val="24"/>
          <w:szCs w:val="24"/>
        </w:rPr>
        <w:t xml:space="preserve">, </w:t>
      </w:r>
      <w:r w:rsidRPr="00B80252">
        <w:rPr>
          <w:rFonts w:ascii="Times New Roman" w:hAnsi="Times New Roman" w:cs="Times New Roman"/>
          <w:b/>
          <w:sz w:val="24"/>
          <w:szCs w:val="24"/>
        </w:rPr>
        <w:t>25</w:t>
      </w:r>
      <w:r w:rsidRPr="00B80252">
        <w:rPr>
          <w:rFonts w:ascii="Times New Roman" w:hAnsi="Times New Roman" w:cs="Times New Roman"/>
          <w:sz w:val="24"/>
          <w:szCs w:val="24"/>
        </w:rPr>
        <w:t>, (2006), 1051–1071.</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t xml:space="preserve">L. Menkhoff, Foreign exchange intervention in emerging markets: a survey of empirical studies, </w:t>
      </w:r>
      <w:r w:rsidRPr="00B80252">
        <w:rPr>
          <w:rFonts w:ascii="Times New Roman" w:hAnsi="Times New Roman" w:cs="Times New Roman"/>
          <w:i/>
          <w:sz w:val="24"/>
          <w:szCs w:val="24"/>
        </w:rPr>
        <w:t>Leibniz Universität Hannover Discussion Paper</w:t>
      </w:r>
      <w:r w:rsidRPr="00B80252">
        <w:rPr>
          <w:rFonts w:ascii="Times New Roman" w:hAnsi="Times New Roman" w:cs="Times New Roman"/>
          <w:sz w:val="24"/>
          <w:szCs w:val="24"/>
        </w:rPr>
        <w:t xml:space="preserve">, </w:t>
      </w:r>
      <w:r w:rsidR="00FF425E">
        <w:rPr>
          <w:rFonts w:ascii="Times New Roman" w:hAnsi="Times New Roman" w:cs="Times New Roman"/>
          <w:b/>
          <w:sz w:val="24"/>
          <w:szCs w:val="24"/>
        </w:rPr>
        <w:t>No.</w:t>
      </w:r>
      <w:r w:rsidRPr="00B80252">
        <w:rPr>
          <w:rFonts w:ascii="Times New Roman" w:hAnsi="Times New Roman" w:cs="Times New Roman"/>
          <w:b/>
          <w:sz w:val="24"/>
          <w:szCs w:val="24"/>
        </w:rPr>
        <w:t xml:space="preserve"> 498</w:t>
      </w:r>
      <w:r w:rsidRPr="00B80252">
        <w:rPr>
          <w:rFonts w:ascii="Times New Roman" w:hAnsi="Times New Roman" w:cs="Times New Roman"/>
          <w:sz w:val="24"/>
          <w:szCs w:val="24"/>
        </w:rPr>
        <w:t>, (2012).</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t xml:space="preserve">J. Ostry, A. Ghosh and M. Chamon, Two targets, two instruments: monetary and exchange rate policies in emerging market economies, </w:t>
      </w:r>
      <w:r w:rsidRPr="00B80252">
        <w:rPr>
          <w:rFonts w:ascii="Times New Roman" w:hAnsi="Times New Roman" w:cs="Times New Roman"/>
          <w:i/>
          <w:sz w:val="24"/>
          <w:szCs w:val="24"/>
        </w:rPr>
        <w:t>IMF Staff Discussion Note</w:t>
      </w:r>
      <w:r w:rsidRPr="00B80252">
        <w:rPr>
          <w:rFonts w:ascii="Times New Roman" w:hAnsi="Times New Roman" w:cs="Times New Roman"/>
          <w:sz w:val="24"/>
          <w:szCs w:val="24"/>
        </w:rPr>
        <w:t xml:space="preserve">, </w:t>
      </w:r>
      <w:r w:rsidRPr="00B80252">
        <w:rPr>
          <w:rFonts w:ascii="Times New Roman" w:hAnsi="Times New Roman" w:cs="Times New Roman"/>
          <w:b/>
          <w:sz w:val="24"/>
          <w:szCs w:val="24"/>
        </w:rPr>
        <w:t>SDN/12/01</w:t>
      </w:r>
      <w:r w:rsidRPr="00B80252">
        <w:rPr>
          <w:rFonts w:ascii="Times New Roman" w:hAnsi="Times New Roman" w:cs="Times New Roman"/>
          <w:sz w:val="24"/>
          <w:szCs w:val="24"/>
        </w:rPr>
        <w:t>, (2012).</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lang w:val="en"/>
        </w:rPr>
        <w:t xml:space="preserve">T. </w:t>
      </w:r>
      <w:r w:rsidRPr="00B80252">
        <w:rPr>
          <w:rFonts w:ascii="Times New Roman" w:hAnsi="Times New Roman" w:cs="Times New Roman"/>
          <w:sz w:val="24"/>
          <w:szCs w:val="24"/>
        </w:rPr>
        <w:t xml:space="preserve">Utsunomiya, </w:t>
      </w:r>
      <w:r w:rsidRPr="00B80252">
        <w:rPr>
          <w:rFonts w:ascii="Times New Roman" w:hAnsi="Times New Roman" w:cs="Times New Roman"/>
          <w:sz w:val="24"/>
          <w:szCs w:val="24"/>
          <w:lang w:val="en"/>
        </w:rPr>
        <w:t xml:space="preserve">A new approach to the effect of intervention frequency on the foreign exchange market: evidence from Japan, </w:t>
      </w:r>
      <w:r w:rsidRPr="00B80252">
        <w:rPr>
          <w:rFonts w:ascii="Times New Roman" w:hAnsi="Times New Roman" w:cs="Times New Roman"/>
          <w:i/>
          <w:sz w:val="24"/>
          <w:szCs w:val="24"/>
          <w:lang w:val="en"/>
        </w:rPr>
        <w:t>Applied Economics</w:t>
      </w:r>
      <w:r w:rsidRPr="00B80252">
        <w:rPr>
          <w:rFonts w:ascii="Times New Roman" w:hAnsi="Times New Roman" w:cs="Times New Roman"/>
          <w:sz w:val="24"/>
          <w:szCs w:val="24"/>
          <w:lang w:val="en"/>
        </w:rPr>
        <w:t xml:space="preserve">, </w:t>
      </w:r>
      <w:r w:rsidRPr="00B80252">
        <w:rPr>
          <w:rFonts w:ascii="Times New Roman" w:hAnsi="Times New Roman" w:cs="Times New Roman"/>
          <w:b/>
          <w:sz w:val="24"/>
          <w:szCs w:val="24"/>
          <w:lang w:val="en"/>
        </w:rPr>
        <w:t>45 (26)</w:t>
      </w:r>
      <w:r w:rsidRPr="00B80252">
        <w:rPr>
          <w:rFonts w:ascii="Times New Roman" w:hAnsi="Times New Roman" w:cs="Times New Roman"/>
          <w:sz w:val="24"/>
          <w:szCs w:val="24"/>
          <w:lang w:val="en"/>
        </w:rPr>
        <w:t>, (2013), 3742–3759.</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bCs/>
          <w:kern w:val="36"/>
          <w:sz w:val="24"/>
          <w:szCs w:val="24"/>
        </w:rPr>
        <w:t xml:space="preserve">C. Broto, The effectiveness of forex interventions in four Latin American countries, </w:t>
      </w:r>
      <w:r w:rsidRPr="00B80252">
        <w:rPr>
          <w:rFonts w:ascii="Times New Roman" w:hAnsi="Times New Roman" w:cs="Times New Roman"/>
          <w:bCs/>
          <w:i/>
          <w:kern w:val="36"/>
          <w:sz w:val="24"/>
          <w:szCs w:val="24"/>
        </w:rPr>
        <w:t>Emerging Markets Review</w:t>
      </w:r>
      <w:r w:rsidRPr="00B80252">
        <w:rPr>
          <w:rFonts w:ascii="Times New Roman" w:hAnsi="Times New Roman" w:cs="Times New Roman"/>
          <w:bCs/>
          <w:kern w:val="36"/>
          <w:sz w:val="24"/>
          <w:szCs w:val="24"/>
        </w:rPr>
        <w:t xml:space="preserve">, </w:t>
      </w:r>
      <w:r w:rsidRPr="00B80252">
        <w:rPr>
          <w:rFonts w:ascii="Times New Roman" w:hAnsi="Times New Roman" w:cs="Times New Roman"/>
          <w:b/>
          <w:bCs/>
          <w:kern w:val="36"/>
          <w:sz w:val="24"/>
          <w:szCs w:val="24"/>
        </w:rPr>
        <w:t>17</w:t>
      </w:r>
      <w:r w:rsidRPr="00B80252">
        <w:rPr>
          <w:rFonts w:ascii="Times New Roman" w:hAnsi="Times New Roman" w:cs="Times New Roman"/>
          <w:bCs/>
          <w:kern w:val="36"/>
          <w:sz w:val="24"/>
          <w:szCs w:val="24"/>
        </w:rPr>
        <w:t>, (2013), 224–240.</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t xml:space="preserve">İ. Domaç and A. Mendoza, Is there room for foreign exchange interventions under an inﬂation targeting framework? Evidence from Mexico and Turkey, </w:t>
      </w:r>
      <w:r w:rsidRPr="00B80252">
        <w:rPr>
          <w:rFonts w:ascii="Times New Roman" w:hAnsi="Times New Roman" w:cs="Times New Roman"/>
          <w:i/>
          <w:sz w:val="24"/>
          <w:szCs w:val="24"/>
        </w:rPr>
        <w:t>World Bank Policy Research Working Paper</w:t>
      </w:r>
      <w:r w:rsidRPr="00B80252">
        <w:rPr>
          <w:rFonts w:ascii="Times New Roman" w:hAnsi="Times New Roman" w:cs="Times New Roman"/>
          <w:sz w:val="24"/>
          <w:szCs w:val="24"/>
        </w:rPr>
        <w:t xml:space="preserve">, </w:t>
      </w:r>
      <w:r w:rsidRPr="00B80252">
        <w:rPr>
          <w:rFonts w:ascii="Times New Roman" w:hAnsi="Times New Roman" w:cs="Times New Roman"/>
          <w:b/>
          <w:sz w:val="24"/>
          <w:szCs w:val="24"/>
        </w:rPr>
        <w:t>3288</w:t>
      </w:r>
      <w:r w:rsidRPr="00B80252">
        <w:rPr>
          <w:rFonts w:ascii="Times New Roman" w:hAnsi="Times New Roman" w:cs="Times New Roman"/>
          <w:sz w:val="24"/>
          <w:szCs w:val="24"/>
        </w:rPr>
        <w:t>, (2004).</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t xml:space="preserve">R. F. Guimarães and C. Karacadağ, The empirics of foreign exchange intervention in emerging market countries: the cases of Mexico and Turkey, </w:t>
      </w:r>
      <w:r w:rsidRPr="00B80252">
        <w:rPr>
          <w:rFonts w:ascii="Times New Roman" w:hAnsi="Times New Roman" w:cs="Times New Roman"/>
          <w:i/>
          <w:sz w:val="24"/>
          <w:szCs w:val="24"/>
        </w:rPr>
        <w:t>IMF Working Paper</w:t>
      </w:r>
      <w:r w:rsidRPr="00B80252">
        <w:rPr>
          <w:rFonts w:ascii="Times New Roman" w:hAnsi="Times New Roman" w:cs="Times New Roman"/>
          <w:sz w:val="24"/>
          <w:szCs w:val="24"/>
        </w:rPr>
        <w:t xml:space="preserve">, </w:t>
      </w:r>
      <w:r w:rsidRPr="00B80252">
        <w:rPr>
          <w:rFonts w:ascii="Times New Roman" w:hAnsi="Times New Roman" w:cs="Times New Roman"/>
          <w:b/>
          <w:sz w:val="24"/>
          <w:szCs w:val="24"/>
        </w:rPr>
        <w:t>04/123</w:t>
      </w:r>
      <w:r w:rsidRPr="00B80252">
        <w:rPr>
          <w:rFonts w:ascii="Times New Roman" w:hAnsi="Times New Roman" w:cs="Times New Roman"/>
          <w:sz w:val="24"/>
          <w:szCs w:val="24"/>
        </w:rPr>
        <w:t xml:space="preserve">, (2004). </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t xml:space="preserve">Ö. Akıncı, O. Y. Çulha, Ü. Özlale and G. Şahinbeyoğlu, Causes and effectiveness of foreign exchange interventions for the Turkish economy, </w:t>
      </w:r>
      <w:r w:rsidRPr="00B80252">
        <w:rPr>
          <w:rFonts w:ascii="Times New Roman" w:hAnsi="Times New Roman" w:cs="Times New Roman"/>
          <w:i/>
          <w:sz w:val="24"/>
          <w:szCs w:val="24"/>
        </w:rPr>
        <w:t>Central Bank of Republic of Turkey Working Paper</w:t>
      </w:r>
      <w:r w:rsidRPr="00B80252">
        <w:rPr>
          <w:rFonts w:ascii="Times New Roman" w:hAnsi="Times New Roman" w:cs="Times New Roman"/>
          <w:sz w:val="24"/>
          <w:szCs w:val="24"/>
        </w:rPr>
        <w:t xml:space="preserve">, </w:t>
      </w:r>
      <w:r w:rsidRPr="00B80252">
        <w:rPr>
          <w:rFonts w:ascii="Times New Roman" w:hAnsi="Times New Roman" w:cs="Times New Roman"/>
          <w:b/>
          <w:sz w:val="24"/>
          <w:szCs w:val="24"/>
        </w:rPr>
        <w:t>No. 05/05</w:t>
      </w:r>
      <w:r w:rsidRPr="00B80252">
        <w:rPr>
          <w:rFonts w:ascii="Times New Roman" w:hAnsi="Times New Roman" w:cs="Times New Roman"/>
          <w:sz w:val="24"/>
          <w:szCs w:val="24"/>
        </w:rPr>
        <w:t>, (2005), February.</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lastRenderedPageBreak/>
        <w:t xml:space="preserve">M. Herrera and P. Özbay, A dynamic model of central bank intervention: evidence from Turkey, </w:t>
      </w:r>
      <w:r w:rsidRPr="00B80252">
        <w:rPr>
          <w:rFonts w:ascii="Times New Roman" w:hAnsi="Times New Roman" w:cs="Times New Roman"/>
          <w:i/>
          <w:sz w:val="24"/>
          <w:szCs w:val="24"/>
        </w:rPr>
        <w:t xml:space="preserve">Central Bank of the Republic of Turkey Research Department Working Paper, </w:t>
      </w:r>
      <w:r w:rsidRPr="00B80252">
        <w:rPr>
          <w:rFonts w:ascii="Times New Roman" w:hAnsi="Times New Roman" w:cs="Times New Roman"/>
          <w:b/>
          <w:sz w:val="24"/>
          <w:szCs w:val="24"/>
        </w:rPr>
        <w:t xml:space="preserve"> 05/01</w:t>
      </w:r>
      <w:r w:rsidRPr="00B80252">
        <w:rPr>
          <w:rFonts w:ascii="Times New Roman" w:hAnsi="Times New Roman" w:cs="Times New Roman"/>
          <w:sz w:val="24"/>
          <w:szCs w:val="24"/>
        </w:rPr>
        <w:t>, (2005).</w:t>
      </w:r>
    </w:p>
    <w:p w:rsidR="00B80252" w:rsidRPr="00B80252"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t>T. Çaskurlu, A. Altay–Salih, F. Salman and M. Ç. Pınar, Can central bank interventions a</w:t>
      </w:r>
      <w:r w:rsidRPr="00B80252">
        <w:rPr>
          <w:rFonts w:ascii="Cambria Math" w:hAnsi="Cambria Math" w:cs="Cambria Math"/>
          <w:sz w:val="24"/>
          <w:szCs w:val="24"/>
        </w:rPr>
        <w:t>ﬀ</w:t>
      </w:r>
      <w:r w:rsidRPr="00B80252">
        <w:rPr>
          <w:rFonts w:ascii="Times New Roman" w:hAnsi="Times New Roman" w:cs="Times New Roman"/>
          <w:sz w:val="24"/>
          <w:szCs w:val="24"/>
        </w:rPr>
        <w:t xml:space="preserve">ect the exchange rate volatility? Multiperiod GARCH approach using constrained nonlinear programming, </w:t>
      </w:r>
      <w:hyperlink r:id="rId51" w:history="1">
        <w:r w:rsidRPr="00B80252">
          <w:rPr>
            <w:rStyle w:val="Kpr"/>
            <w:rFonts w:ascii="Times New Roman" w:hAnsi="Times New Roman" w:cs="Times New Roman"/>
            <w:color w:val="auto"/>
            <w:sz w:val="24"/>
            <w:szCs w:val="24"/>
            <w:u w:val="none"/>
          </w:rPr>
          <w:t>http://ecomod.net/sites/default/files/document–conference/ecomod2008/821.pdf</w:t>
        </w:r>
      </w:hyperlink>
      <w:r w:rsidR="00FF425E">
        <w:rPr>
          <w:rFonts w:ascii="Times New Roman" w:hAnsi="Times New Roman" w:cs="Times New Roman"/>
          <w:sz w:val="24"/>
          <w:szCs w:val="24"/>
        </w:rPr>
        <w:t>, (2007), Date accessed: 25.01.2014.</w:t>
      </w:r>
    </w:p>
    <w:p w:rsidR="008930FB" w:rsidRPr="008930FB" w:rsidRDefault="00B80252"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B80252">
        <w:rPr>
          <w:rFonts w:ascii="Times New Roman" w:hAnsi="Times New Roman" w:cs="Times New Roman"/>
          <w:sz w:val="24"/>
          <w:szCs w:val="24"/>
        </w:rPr>
        <w:t xml:space="preserve">K. B. Tunay, Türkiye’de merkez bankası müdahalelerinin döviz kurlarının oynaklığına etkileri, </w:t>
      </w:r>
      <w:r w:rsidRPr="00B80252">
        <w:rPr>
          <w:rFonts w:ascii="Times New Roman" w:hAnsi="Times New Roman" w:cs="Times New Roman"/>
          <w:i/>
          <w:sz w:val="24"/>
          <w:szCs w:val="24"/>
        </w:rPr>
        <w:t>BDDK Bankacılık ve Finansal Piyasalar Dergisi</w:t>
      </w:r>
      <w:r w:rsidRPr="00B80252">
        <w:rPr>
          <w:rFonts w:ascii="Times New Roman" w:hAnsi="Times New Roman" w:cs="Times New Roman"/>
          <w:sz w:val="24"/>
          <w:szCs w:val="24"/>
        </w:rPr>
        <w:t xml:space="preserve">, </w:t>
      </w:r>
      <w:r w:rsidRPr="00B80252">
        <w:rPr>
          <w:rFonts w:ascii="Times New Roman" w:hAnsi="Times New Roman" w:cs="Times New Roman"/>
          <w:b/>
          <w:sz w:val="24"/>
          <w:szCs w:val="24"/>
        </w:rPr>
        <w:t>2 (2),</w:t>
      </w:r>
      <w:r w:rsidRPr="00B80252">
        <w:rPr>
          <w:rFonts w:ascii="Times New Roman" w:hAnsi="Times New Roman" w:cs="Times New Roman"/>
          <w:sz w:val="24"/>
          <w:szCs w:val="24"/>
        </w:rPr>
        <w:t xml:space="preserve"> (2008), 77–111.</w:t>
      </w:r>
    </w:p>
    <w:p w:rsidR="008930FB" w:rsidRPr="008930FB" w:rsidRDefault="008930FB"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8930FB">
        <w:rPr>
          <w:rFonts w:ascii="Times New Roman" w:hAnsi="Times New Roman" w:cs="Times New Roman"/>
          <w:sz w:val="24"/>
          <w:szCs w:val="24"/>
        </w:rPr>
        <w:t xml:space="preserve">C. Brooks, A double threshold GARCH model for the French franc/Deutschmark exchange rate, </w:t>
      </w:r>
      <w:r w:rsidRPr="008930FB">
        <w:rPr>
          <w:rFonts w:ascii="Times New Roman" w:hAnsi="Times New Roman" w:cs="Times New Roman"/>
          <w:i/>
          <w:sz w:val="24"/>
          <w:szCs w:val="24"/>
        </w:rPr>
        <w:t>Journal of Forecasting</w:t>
      </w:r>
      <w:r w:rsidRPr="008930FB">
        <w:rPr>
          <w:rFonts w:ascii="Times New Roman" w:hAnsi="Times New Roman" w:cs="Times New Roman"/>
          <w:sz w:val="24"/>
          <w:szCs w:val="24"/>
        </w:rPr>
        <w:t xml:space="preserve">, </w:t>
      </w:r>
      <w:r w:rsidRPr="008930FB">
        <w:rPr>
          <w:rFonts w:ascii="Times New Roman" w:hAnsi="Times New Roman" w:cs="Times New Roman"/>
          <w:b/>
          <w:sz w:val="24"/>
          <w:szCs w:val="24"/>
        </w:rPr>
        <w:t>20</w:t>
      </w:r>
      <w:r w:rsidRPr="008930FB">
        <w:rPr>
          <w:rFonts w:ascii="Times New Roman" w:hAnsi="Times New Roman" w:cs="Times New Roman"/>
          <w:sz w:val="24"/>
          <w:szCs w:val="24"/>
        </w:rPr>
        <w:t>, (2001), 135–143.</w:t>
      </w:r>
    </w:p>
    <w:p w:rsidR="007A5DB4" w:rsidRPr="007A5DB4" w:rsidRDefault="008930FB"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8930FB">
        <w:rPr>
          <w:rFonts w:ascii="Times New Roman" w:hAnsi="Times New Roman" w:cs="Times New Roman"/>
          <w:sz w:val="24"/>
          <w:szCs w:val="24"/>
          <w:lang w:eastAsia="tr-TR"/>
        </w:rPr>
        <w:t xml:space="preserve">D. B. Nelson, Conditional heteroscedasticity in asset returns: a new approach, </w:t>
      </w:r>
      <w:r w:rsidRPr="008930FB">
        <w:rPr>
          <w:rFonts w:ascii="Times New Roman" w:hAnsi="Times New Roman" w:cs="Times New Roman"/>
          <w:i/>
          <w:sz w:val="24"/>
          <w:szCs w:val="24"/>
          <w:lang w:eastAsia="tr-TR"/>
        </w:rPr>
        <w:t>Econometrica</w:t>
      </w:r>
      <w:r w:rsidRPr="008930FB">
        <w:rPr>
          <w:rFonts w:ascii="Times New Roman" w:hAnsi="Times New Roman" w:cs="Times New Roman"/>
          <w:sz w:val="24"/>
          <w:szCs w:val="24"/>
          <w:lang w:eastAsia="tr-TR"/>
        </w:rPr>
        <w:t xml:space="preserve">, </w:t>
      </w:r>
      <w:r w:rsidRPr="008930FB">
        <w:rPr>
          <w:rFonts w:ascii="Times New Roman" w:hAnsi="Times New Roman" w:cs="Times New Roman"/>
          <w:b/>
          <w:sz w:val="24"/>
          <w:szCs w:val="24"/>
          <w:lang w:eastAsia="tr-TR"/>
        </w:rPr>
        <w:t>59</w:t>
      </w:r>
      <w:r w:rsidRPr="008930FB">
        <w:rPr>
          <w:rFonts w:ascii="Times New Roman" w:hAnsi="Times New Roman" w:cs="Times New Roman"/>
          <w:sz w:val="24"/>
          <w:szCs w:val="24"/>
          <w:lang w:eastAsia="tr-TR"/>
        </w:rPr>
        <w:t>, 1991, 347–370.</w:t>
      </w:r>
    </w:p>
    <w:p w:rsidR="007A5DB4" w:rsidRPr="007A5DB4" w:rsidRDefault="008930FB" w:rsidP="007A5DB4">
      <w:pPr>
        <w:pStyle w:val="ListeParagraf"/>
        <w:numPr>
          <w:ilvl w:val="0"/>
          <w:numId w:val="9"/>
        </w:numPr>
        <w:autoSpaceDE w:val="0"/>
        <w:autoSpaceDN w:val="0"/>
        <w:adjustRightInd w:val="0"/>
        <w:spacing w:after="0" w:line="240" w:lineRule="auto"/>
        <w:ind w:left="357" w:hanging="357"/>
        <w:jc w:val="both"/>
        <w:rPr>
          <w:rFonts w:ascii="Times New Roman" w:hAnsi="Times New Roman" w:cs="Times New Roman"/>
          <w:b/>
          <w:sz w:val="28"/>
          <w:szCs w:val="28"/>
        </w:rPr>
      </w:pPr>
      <w:r w:rsidRPr="007A5DB4">
        <w:rPr>
          <w:rFonts w:ascii="Times New Roman" w:hAnsi="Times New Roman" w:cs="Times New Roman"/>
          <w:sz w:val="24"/>
          <w:szCs w:val="24"/>
          <w:lang w:eastAsia="tr-TR"/>
        </w:rPr>
        <w:t xml:space="preserve">R. F. Engle, Autoregressive conditional heteroskedasticity with estimates of the variance of the United Kingdom inflation, </w:t>
      </w:r>
      <w:r w:rsidRPr="007A5DB4">
        <w:rPr>
          <w:rFonts w:ascii="Times New Roman" w:hAnsi="Times New Roman" w:cs="Times New Roman"/>
          <w:i/>
          <w:iCs/>
          <w:sz w:val="24"/>
          <w:szCs w:val="24"/>
          <w:lang w:eastAsia="tr-TR"/>
        </w:rPr>
        <w:t>Econometrica</w:t>
      </w:r>
      <w:r w:rsidRPr="007A5DB4">
        <w:rPr>
          <w:rFonts w:ascii="Times New Roman" w:hAnsi="Times New Roman" w:cs="Times New Roman"/>
          <w:sz w:val="24"/>
          <w:szCs w:val="24"/>
          <w:lang w:eastAsia="tr-TR"/>
        </w:rPr>
        <w:t xml:space="preserve">, </w:t>
      </w:r>
      <w:r w:rsidRPr="007A5DB4">
        <w:rPr>
          <w:rFonts w:ascii="Times New Roman" w:hAnsi="Times New Roman" w:cs="Times New Roman"/>
          <w:b/>
          <w:sz w:val="24"/>
          <w:szCs w:val="24"/>
          <w:lang w:eastAsia="tr-TR"/>
        </w:rPr>
        <w:t>50</w:t>
      </w:r>
      <w:r w:rsidRPr="007A5DB4">
        <w:rPr>
          <w:rFonts w:ascii="Times New Roman" w:hAnsi="Times New Roman" w:cs="Times New Roman"/>
          <w:sz w:val="24"/>
          <w:szCs w:val="24"/>
          <w:lang w:eastAsia="tr-TR"/>
        </w:rPr>
        <w:t>, (1982), 987–1008.</w:t>
      </w:r>
    </w:p>
    <w:p w:rsidR="007A5DB4" w:rsidRDefault="007A5DB4" w:rsidP="007A5DB4">
      <w:pPr>
        <w:pStyle w:val="ListeParagraf"/>
        <w:autoSpaceDE w:val="0"/>
        <w:autoSpaceDN w:val="0"/>
        <w:adjustRightInd w:val="0"/>
        <w:spacing w:after="0" w:line="240" w:lineRule="auto"/>
        <w:ind w:left="357"/>
        <w:jc w:val="both"/>
        <w:rPr>
          <w:rFonts w:ascii="Times New Roman" w:hAnsi="Times New Roman" w:cs="Times New Roman"/>
          <w:sz w:val="24"/>
          <w:szCs w:val="24"/>
          <w:lang w:eastAsia="tr-TR"/>
        </w:rPr>
      </w:pPr>
    </w:p>
    <w:p w:rsidR="007A5DB4" w:rsidRDefault="007A5DB4" w:rsidP="007A5DB4">
      <w:pPr>
        <w:pStyle w:val="ListeParagraf"/>
        <w:autoSpaceDE w:val="0"/>
        <w:autoSpaceDN w:val="0"/>
        <w:adjustRightInd w:val="0"/>
        <w:spacing w:after="0" w:line="240" w:lineRule="auto"/>
        <w:ind w:left="357"/>
        <w:jc w:val="both"/>
        <w:rPr>
          <w:rFonts w:ascii="Times New Roman" w:hAnsi="Times New Roman" w:cs="Times New Roman"/>
          <w:sz w:val="24"/>
          <w:szCs w:val="24"/>
          <w:lang w:eastAsia="tr-TR"/>
        </w:rPr>
      </w:pPr>
    </w:p>
    <w:p w:rsidR="00824170" w:rsidRDefault="007A5DB4" w:rsidP="007A5DB4">
      <w:pPr>
        <w:pStyle w:val="ListeParagraf"/>
        <w:autoSpaceDE w:val="0"/>
        <w:autoSpaceDN w:val="0"/>
        <w:adjustRightInd w:val="0"/>
        <w:spacing w:after="0" w:line="240" w:lineRule="auto"/>
        <w:ind w:left="357"/>
        <w:jc w:val="both"/>
        <w:rPr>
          <w:rFonts w:ascii="Times New Roman" w:eastAsiaTheme="minorEastAsia" w:hAnsi="Times New Roman" w:cs="Times New Roman"/>
          <w:sz w:val="24"/>
          <w:szCs w:val="24"/>
        </w:rPr>
      </w:pPr>
      <w:r w:rsidRPr="001E0A0A">
        <w:rPr>
          <w:rFonts w:ascii="Times New Roman" w:hAnsi="Times New Roman" w:cs="Times New Roman"/>
          <w:b/>
          <w:sz w:val="28"/>
          <w:szCs w:val="28"/>
        </w:rPr>
        <w:t xml:space="preserve"> </w:t>
      </w:r>
      <w:r w:rsidR="00824170" w:rsidRPr="001E0A0A">
        <w:rPr>
          <w:rFonts w:ascii="Times New Roman" w:hAnsi="Times New Roman" w:cs="Times New Roman"/>
          <w:b/>
          <w:sz w:val="28"/>
          <w:szCs w:val="28"/>
        </w:rPr>
        <w:t>Appendix</w:t>
      </w:r>
      <w:r w:rsidR="001E0A0A" w:rsidRPr="001E0A0A">
        <w:rPr>
          <w:rFonts w:ascii="Times New Roman" w:hAnsi="Times New Roman" w:cs="Times New Roman"/>
          <w:b/>
          <w:sz w:val="28"/>
          <w:szCs w:val="28"/>
        </w:rPr>
        <w:t>:</w:t>
      </w:r>
      <w:r w:rsidR="00824170">
        <w:rPr>
          <w:rFonts w:ascii="Times New Roman" w:hAnsi="Times New Roman" w:cs="Times New Roman"/>
          <w:sz w:val="24"/>
          <w:szCs w:val="24"/>
        </w:rPr>
        <w:t xml:space="preserve"> </w:t>
      </w:r>
      <w:r w:rsidR="00A97FBC">
        <w:rPr>
          <w:rFonts w:ascii="Times New Roman" w:hAnsi="Times New Roman" w:cs="Times New Roman"/>
          <w:sz w:val="24"/>
          <w:szCs w:val="24"/>
        </w:rPr>
        <w:t>Comovement of</w:t>
      </w:r>
      <w:r w:rsidR="00824170">
        <w:rPr>
          <w:rFonts w:ascii="Times New Roman" w:hAnsi="Times New Roman" w:cs="Times New Roman"/>
          <w:sz w:val="24"/>
          <w:szCs w:val="24"/>
        </w:rPr>
        <w:t xml:space="preserve"> </w:t>
      </w:r>
      <w:r w:rsidR="00704F0E">
        <w:rPr>
          <w:rFonts w:ascii="Times New Roman" w:eastAsiaTheme="minorEastAsia" w:hAnsi="Times New Roman" w:cs="Times New Roman"/>
          <w:sz w:val="24"/>
          <w:szCs w:val="24"/>
        </w:rPr>
        <w:t>Turkey CDS P</w:t>
      </w:r>
      <w:r w:rsidR="00824170" w:rsidRPr="009D4A13">
        <w:rPr>
          <w:rFonts w:ascii="Times New Roman" w:eastAsiaTheme="minorEastAsia" w:hAnsi="Times New Roman" w:cs="Times New Roman"/>
          <w:sz w:val="24"/>
          <w:szCs w:val="24"/>
        </w:rPr>
        <w:t>rices</w:t>
      </w:r>
      <w:r w:rsidR="00824170">
        <w:rPr>
          <w:rFonts w:ascii="Times New Roman" w:eastAsiaTheme="minorEastAsia" w:hAnsi="Times New Roman" w:cs="Times New Roman"/>
          <w:sz w:val="24"/>
          <w:szCs w:val="24"/>
        </w:rPr>
        <w:t xml:space="preserve"> and TRY/USD Exchange Rate</w:t>
      </w:r>
    </w:p>
    <w:p w:rsidR="00824170" w:rsidRDefault="00824170" w:rsidP="001E0A0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tr-TR"/>
        </w:rPr>
        <w:drawing>
          <wp:inline distT="0" distB="0" distL="0" distR="0" wp14:anchorId="5AB45BB4" wp14:editId="542EFB68">
            <wp:extent cx="3794760" cy="3309529"/>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94760" cy="3309529"/>
                    </a:xfrm>
                    <a:prstGeom prst="rect">
                      <a:avLst/>
                    </a:prstGeom>
                    <a:noFill/>
                    <a:ln>
                      <a:noFill/>
                    </a:ln>
                  </pic:spPr>
                </pic:pic>
              </a:graphicData>
            </a:graphic>
          </wp:inline>
        </w:drawing>
      </w:r>
      <w:bookmarkStart w:id="0" w:name="_GoBack"/>
      <w:bookmarkEnd w:id="0"/>
    </w:p>
    <w:p w:rsidR="00824170" w:rsidRDefault="00824170" w:rsidP="009D4A13">
      <w:pPr>
        <w:spacing w:after="0" w:line="240" w:lineRule="auto"/>
        <w:jc w:val="both"/>
        <w:rPr>
          <w:rFonts w:ascii="Times New Roman" w:eastAsiaTheme="minorEastAsia" w:hAnsi="Times New Roman" w:cs="Times New Roman"/>
          <w:sz w:val="24"/>
          <w:szCs w:val="24"/>
        </w:rPr>
      </w:pPr>
    </w:p>
    <w:p w:rsidR="00824170" w:rsidRPr="009D4A13" w:rsidRDefault="00824170" w:rsidP="009D4A13">
      <w:pPr>
        <w:spacing w:after="0" w:line="240" w:lineRule="auto"/>
        <w:jc w:val="both"/>
        <w:rPr>
          <w:rFonts w:ascii="Times New Roman" w:hAnsi="Times New Roman" w:cs="Times New Roman"/>
          <w:sz w:val="24"/>
          <w:szCs w:val="24"/>
        </w:rPr>
      </w:pPr>
    </w:p>
    <w:sectPr w:rsidR="00824170" w:rsidRPr="009D4A13" w:rsidSect="00552A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C4" w:rsidRDefault="00014DC4" w:rsidP="00160D8F">
      <w:pPr>
        <w:spacing w:after="0" w:line="240" w:lineRule="auto"/>
      </w:pPr>
      <w:r>
        <w:separator/>
      </w:r>
    </w:p>
  </w:endnote>
  <w:endnote w:type="continuationSeparator" w:id="0">
    <w:p w:rsidR="00014DC4" w:rsidRDefault="00014DC4" w:rsidP="0016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mr1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C4" w:rsidRDefault="00014DC4" w:rsidP="00160D8F">
      <w:pPr>
        <w:spacing w:after="0" w:line="240" w:lineRule="auto"/>
      </w:pPr>
      <w:r>
        <w:separator/>
      </w:r>
    </w:p>
  </w:footnote>
  <w:footnote w:type="continuationSeparator" w:id="0">
    <w:p w:rsidR="00014DC4" w:rsidRDefault="00014DC4" w:rsidP="00160D8F">
      <w:pPr>
        <w:spacing w:after="0" w:line="240" w:lineRule="auto"/>
      </w:pPr>
      <w:r>
        <w:continuationSeparator/>
      </w:r>
    </w:p>
  </w:footnote>
  <w:footnote w:id="1">
    <w:p w:rsidR="00B70A60" w:rsidRPr="009D4A13" w:rsidRDefault="00B70A60" w:rsidP="009D4A13">
      <w:pPr>
        <w:pStyle w:val="DipnotMetni"/>
        <w:jc w:val="both"/>
        <w:rPr>
          <w:rFonts w:ascii="Times New Roman" w:hAnsi="Times New Roman" w:cs="Times New Roman"/>
        </w:rPr>
      </w:pPr>
      <w:r w:rsidRPr="009D4A13">
        <w:rPr>
          <w:rStyle w:val="DipnotBavurusu"/>
          <w:rFonts w:ascii="Times New Roman" w:hAnsi="Times New Roman" w:cs="Times New Roman"/>
        </w:rPr>
        <w:footnoteRef/>
      </w:r>
      <w:r w:rsidRPr="009D4A13">
        <w:rPr>
          <w:rFonts w:ascii="Times New Roman" w:hAnsi="Times New Roman" w:cs="Times New Roman"/>
        </w:rPr>
        <w:t xml:space="preserve"> The effects of foreign exchange interventions in emerging markets could be different from developed ones. Emerging markets tend to intervene more frequently in the foreign exchange markets and interventions might be more effective in these countries. See</w:t>
      </w:r>
      <w:r>
        <w:rPr>
          <w:rFonts w:ascii="Times New Roman" w:hAnsi="Times New Roman" w:cs="Times New Roman"/>
        </w:rPr>
        <w:t xml:space="preserve"> about interventions in emerging markets</w:t>
      </w:r>
      <w:r w:rsidRPr="009D4A13">
        <w:rPr>
          <w:rFonts w:ascii="Times New Roman" w:hAnsi="Times New Roman" w:cs="Times New Roman"/>
        </w:rPr>
        <w:t xml:space="preserve">, for example, </w:t>
      </w:r>
      <w:r>
        <w:rPr>
          <w:rFonts w:ascii="Times New Roman" w:hAnsi="Times New Roman" w:cs="Times New Roman"/>
        </w:rPr>
        <w:t>[1], [2], [3].</w:t>
      </w:r>
      <w:r w:rsidRPr="009D4A13">
        <w:rPr>
          <w:rFonts w:ascii="Times New Roman" w:hAnsi="Times New Roman" w:cs="Times New Roman"/>
        </w:rPr>
        <w:t xml:space="preserve"> </w:t>
      </w:r>
    </w:p>
  </w:footnote>
  <w:footnote w:id="2">
    <w:p w:rsidR="00B70A60" w:rsidRDefault="00B70A60" w:rsidP="009D4A13">
      <w:pPr>
        <w:pStyle w:val="DipnotMetni"/>
        <w:jc w:val="both"/>
      </w:pPr>
      <w:r w:rsidRPr="009D4A13">
        <w:rPr>
          <w:rStyle w:val="DipnotBavurusu"/>
          <w:rFonts w:ascii="Times New Roman" w:hAnsi="Times New Roman" w:cs="Times New Roman"/>
        </w:rPr>
        <w:footnoteRef/>
      </w:r>
      <w:r w:rsidRPr="009D4A13">
        <w:rPr>
          <w:rFonts w:ascii="Times New Roman" w:hAnsi="Times New Roman" w:cs="Times New Roman"/>
        </w:rPr>
        <w:t xml:space="preserve"> See al</w:t>
      </w:r>
      <w:r>
        <w:rPr>
          <w:rFonts w:ascii="Times New Roman" w:hAnsi="Times New Roman" w:cs="Times New Roman"/>
        </w:rPr>
        <w:t>so [6], and [7]</w:t>
      </w:r>
      <w:r w:rsidRPr="009D4A13">
        <w:rPr>
          <w:rFonts w:ascii="Times New Roman" w:hAnsi="Times New Roman" w:cs="Times New Roman"/>
        </w:rPr>
        <w:t>.</w:t>
      </w:r>
      <w:r>
        <w:t xml:space="preserve"> </w:t>
      </w:r>
    </w:p>
  </w:footnote>
  <w:footnote w:id="3">
    <w:p w:rsidR="00B70A60" w:rsidRPr="009D4A13" w:rsidRDefault="00B70A60" w:rsidP="009D4A13">
      <w:pPr>
        <w:pStyle w:val="DipnotMetni"/>
        <w:jc w:val="both"/>
        <w:rPr>
          <w:rFonts w:ascii="Times New Roman" w:hAnsi="Times New Roman" w:cs="Times New Roman"/>
        </w:rPr>
      </w:pPr>
      <w:r w:rsidRPr="009D4A13">
        <w:rPr>
          <w:rStyle w:val="DipnotBavurusu"/>
          <w:rFonts w:ascii="Times New Roman" w:hAnsi="Times New Roman" w:cs="Times New Roman"/>
        </w:rPr>
        <w:footnoteRef/>
      </w:r>
      <w:r w:rsidRPr="009D4A13">
        <w:rPr>
          <w:rFonts w:ascii="Times New Roman" w:hAnsi="Times New Roman" w:cs="Times New Roman"/>
        </w:rPr>
        <w:t xml:space="preserve"> For detailed information about types o</w:t>
      </w:r>
      <w:r>
        <w:rPr>
          <w:rFonts w:ascii="Times New Roman" w:hAnsi="Times New Roman" w:cs="Times New Roman"/>
        </w:rPr>
        <w:t>f intervention, see [4]</w:t>
      </w:r>
      <w:r w:rsidRPr="009D4A13">
        <w:rPr>
          <w:rFonts w:ascii="Times New Roman" w:hAnsi="Times New Roman" w:cs="Times New Roman"/>
        </w:rPr>
        <w:t>, among the others.</w:t>
      </w:r>
    </w:p>
  </w:footnote>
  <w:footnote w:id="4">
    <w:p w:rsidR="00B70A60" w:rsidRPr="009D4A13" w:rsidRDefault="00B70A60" w:rsidP="009D4A13">
      <w:pPr>
        <w:autoSpaceDE w:val="0"/>
        <w:autoSpaceDN w:val="0"/>
        <w:adjustRightInd w:val="0"/>
        <w:spacing w:after="0" w:line="240" w:lineRule="auto"/>
        <w:jc w:val="both"/>
        <w:rPr>
          <w:rFonts w:ascii="Times New Roman" w:hAnsi="Times New Roman" w:cs="Times New Roman"/>
          <w:sz w:val="20"/>
          <w:szCs w:val="20"/>
        </w:rPr>
      </w:pPr>
      <w:r w:rsidRPr="009D4A13">
        <w:rPr>
          <w:rStyle w:val="DipnotBavurusu"/>
          <w:rFonts w:ascii="Times New Roman" w:hAnsi="Times New Roman" w:cs="Times New Roman"/>
          <w:sz w:val="20"/>
          <w:szCs w:val="20"/>
        </w:rPr>
        <w:footnoteRef/>
      </w:r>
      <w:r w:rsidRPr="009D4A13">
        <w:rPr>
          <w:rFonts w:ascii="Times New Roman" w:hAnsi="Times New Roman" w:cs="Times New Roman"/>
          <w:sz w:val="20"/>
          <w:szCs w:val="20"/>
        </w:rPr>
        <w:t xml:space="preserve"> In addition to foreign exchange auctions and direct interventions, the CBRT has been used supportive monetary policy instruments, like export rediscount credits and reserve options mechanism (ROM). </w:t>
      </w:r>
      <w:proofErr w:type="gramStart"/>
      <w:r w:rsidRPr="009D4A13">
        <w:rPr>
          <w:rFonts w:ascii="Times New Roman" w:hAnsi="Times New Roman" w:cs="Times New Roman"/>
          <w:sz w:val="20"/>
          <w:szCs w:val="20"/>
        </w:rPr>
        <w:t xml:space="preserve">The ROM is the option to hold foreign exchange or gold reserves in increasing tranches in place of Turkish lira reserve requirements of Turkish banks, dated from November 2010. The ROM is a tool for the CBRT to support the foreign exchange liquidity management of the banking sector in case of internal or external shocks, to increase foreign exchange reserves of the CBRT and to limit the adverse effects of excess volatility in short-term capital movements. </w:t>
      </w:r>
      <w:proofErr w:type="gramEnd"/>
      <w:r w:rsidRPr="009D4A13">
        <w:rPr>
          <w:rFonts w:ascii="Times New Roman" w:hAnsi="Times New Roman" w:cs="Times New Roman"/>
          <w:sz w:val="20"/>
          <w:szCs w:val="20"/>
        </w:rPr>
        <w:t xml:space="preserve">It is stated by the CBRT that this mechanism reduces the need for auctions and direct interventions.  </w:t>
      </w:r>
    </w:p>
    <w:p w:rsidR="00B70A60" w:rsidRDefault="00B70A60" w:rsidP="00844471">
      <w:pPr>
        <w:pStyle w:val="DipnotMetni"/>
      </w:pPr>
    </w:p>
  </w:footnote>
  <w:footnote w:id="5">
    <w:p w:rsidR="00B70A60" w:rsidRPr="00C2738C" w:rsidRDefault="00B70A60" w:rsidP="00C2738C">
      <w:pPr>
        <w:pStyle w:val="DipnotMetni"/>
        <w:jc w:val="both"/>
        <w:rPr>
          <w:rFonts w:ascii="Times New Roman" w:hAnsi="Times New Roman" w:cs="Times New Roman"/>
        </w:rPr>
      </w:pPr>
      <w:r w:rsidRPr="00C2738C">
        <w:rPr>
          <w:rStyle w:val="DipnotBavurusu"/>
          <w:rFonts w:ascii="Times New Roman" w:hAnsi="Times New Roman" w:cs="Times New Roman"/>
        </w:rPr>
        <w:footnoteRef/>
      </w:r>
      <w:r w:rsidRPr="00C2738C">
        <w:rPr>
          <w:rFonts w:ascii="Times New Roman" w:hAnsi="Times New Roman" w:cs="Times New Roman"/>
        </w:rPr>
        <w:t xml:space="preserve"> Purchased in auction plus optional amt. purchased.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E2C"/>
    <w:multiLevelType w:val="hybridMultilevel"/>
    <w:tmpl w:val="311699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6A7A4C"/>
    <w:multiLevelType w:val="hybridMultilevel"/>
    <w:tmpl w:val="202C8E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BE0852"/>
    <w:multiLevelType w:val="hybridMultilevel"/>
    <w:tmpl w:val="64324DB2"/>
    <w:lvl w:ilvl="0" w:tplc="3A7881FE">
      <w:start w:val="1"/>
      <w:numFmt w:val="decimal"/>
      <w:lvlText w:val="[%1]"/>
      <w:lvlJc w:val="left"/>
      <w:pPr>
        <w:ind w:left="720" w:hanging="360"/>
      </w:pPr>
      <w:rPr>
        <w:rFonts w:ascii="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893420"/>
    <w:multiLevelType w:val="hybridMultilevel"/>
    <w:tmpl w:val="89DA08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75712C"/>
    <w:multiLevelType w:val="hybridMultilevel"/>
    <w:tmpl w:val="0CDA78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490575"/>
    <w:multiLevelType w:val="hybridMultilevel"/>
    <w:tmpl w:val="0C78BA6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BC3EBA"/>
    <w:multiLevelType w:val="hybridMultilevel"/>
    <w:tmpl w:val="E08604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07622D"/>
    <w:multiLevelType w:val="hybridMultilevel"/>
    <w:tmpl w:val="324E53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1EB1F02"/>
    <w:multiLevelType w:val="hybridMultilevel"/>
    <w:tmpl w:val="9556AF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8"/>
  </w:num>
  <w:num w:numId="5">
    <w:abstractNumId w:val="6"/>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7E"/>
    <w:rsid w:val="00006BD1"/>
    <w:rsid w:val="00014DC4"/>
    <w:rsid w:val="000150F7"/>
    <w:rsid w:val="000230C4"/>
    <w:rsid w:val="000270E2"/>
    <w:rsid w:val="0003100E"/>
    <w:rsid w:val="00032847"/>
    <w:rsid w:val="00034F6B"/>
    <w:rsid w:val="0003547F"/>
    <w:rsid w:val="00041AF3"/>
    <w:rsid w:val="00046AC0"/>
    <w:rsid w:val="00046B27"/>
    <w:rsid w:val="00047F83"/>
    <w:rsid w:val="00053625"/>
    <w:rsid w:val="000537C7"/>
    <w:rsid w:val="00054A75"/>
    <w:rsid w:val="00062737"/>
    <w:rsid w:val="00063DA7"/>
    <w:rsid w:val="000672D3"/>
    <w:rsid w:val="0006755F"/>
    <w:rsid w:val="00081911"/>
    <w:rsid w:val="00084030"/>
    <w:rsid w:val="0008520D"/>
    <w:rsid w:val="000B00F2"/>
    <w:rsid w:val="000C5346"/>
    <w:rsid w:val="000C7D9F"/>
    <w:rsid w:val="000D22D2"/>
    <w:rsid w:val="000D4CEF"/>
    <w:rsid w:val="000D782F"/>
    <w:rsid w:val="000E1965"/>
    <w:rsid w:val="000E1ED4"/>
    <w:rsid w:val="000E5E5A"/>
    <w:rsid w:val="000F1864"/>
    <w:rsid w:val="000F2854"/>
    <w:rsid w:val="00113B60"/>
    <w:rsid w:val="00117A8E"/>
    <w:rsid w:val="00121A02"/>
    <w:rsid w:val="00123B36"/>
    <w:rsid w:val="0012495D"/>
    <w:rsid w:val="001314AF"/>
    <w:rsid w:val="00137BF6"/>
    <w:rsid w:val="00146296"/>
    <w:rsid w:val="0014764A"/>
    <w:rsid w:val="00147DA3"/>
    <w:rsid w:val="00147EB6"/>
    <w:rsid w:val="00150D42"/>
    <w:rsid w:val="00153696"/>
    <w:rsid w:val="00154976"/>
    <w:rsid w:val="00160D8F"/>
    <w:rsid w:val="001630A5"/>
    <w:rsid w:val="00166753"/>
    <w:rsid w:val="001756B3"/>
    <w:rsid w:val="00180E90"/>
    <w:rsid w:val="001814C3"/>
    <w:rsid w:val="001815BA"/>
    <w:rsid w:val="001A0151"/>
    <w:rsid w:val="001B47A4"/>
    <w:rsid w:val="001B4EC9"/>
    <w:rsid w:val="001C1E64"/>
    <w:rsid w:val="001D2A03"/>
    <w:rsid w:val="001E0A0A"/>
    <w:rsid w:val="001F134F"/>
    <w:rsid w:val="001F23E6"/>
    <w:rsid w:val="0020004D"/>
    <w:rsid w:val="00200D90"/>
    <w:rsid w:val="0020213E"/>
    <w:rsid w:val="0020644C"/>
    <w:rsid w:val="00207469"/>
    <w:rsid w:val="00207AD1"/>
    <w:rsid w:val="002167A4"/>
    <w:rsid w:val="00225742"/>
    <w:rsid w:val="00227F0F"/>
    <w:rsid w:val="002361ED"/>
    <w:rsid w:val="002375DA"/>
    <w:rsid w:val="002408AA"/>
    <w:rsid w:val="00251F83"/>
    <w:rsid w:val="00253407"/>
    <w:rsid w:val="00256B0B"/>
    <w:rsid w:val="00260314"/>
    <w:rsid w:val="00260B10"/>
    <w:rsid w:val="002615CE"/>
    <w:rsid w:val="002673BC"/>
    <w:rsid w:val="00270C47"/>
    <w:rsid w:val="00274147"/>
    <w:rsid w:val="00275DC1"/>
    <w:rsid w:val="00277604"/>
    <w:rsid w:val="002A05B1"/>
    <w:rsid w:val="002B3E92"/>
    <w:rsid w:val="002B3F24"/>
    <w:rsid w:val="002B59BC"/>
    <w:rsid w:val="002C101D"/>
    <w:rsid w:val="002C2CDE"/>
    <w:rsid w:val="002C56A0"/>
    <w:rsid w:val="002C670F"/>
    <w:rsid w:val="002C728B"/>
    <w:rsid w:val="002D33AB"/>
    <w:rsid w:val="002D4BAE"/>
    <w:rsid w:val="002D56D5"/>
    <w:rsid w:val="002E4C42"/>
    <w:rsid w:val="002F4761"/>
    <w:rsid w:val="002F5C43"/>
    <w:rsid w:val="00301961"/>
    <w:rsid w:val="00305D1F"/>
    <w:rsid w:val="00323FAF"/>
    <w:rsid w:val="003306AD"/>
    <w:rsid w:val="00332422"/>
    <w:rsid w:val="003403EB"/>
    <w:rsid w:val="00345FBC"/>
    <w:rsid w:val="003510E8"/>
    <w:rsid w:val="00360829"/>
    <w:rsid w:val="00364045"/>
    <w:rsid w:val="00364C2A"/>
    <w:rsid w:val="00370278"/>
    <w:rsid w:val="003775D3"/>
    <w:rsid w:val="00380C88"/>
    <w:rsid w:val="00383018"/>
    <w:rsid w:val="0038480A"/>
    <w:rsid w:val="00386342"/>
    <w:rsid w:val="00391A7E"/>
    <w:rsid w:val="003A0F12"/>
    <w:rsid w:val="003B248A"/>
    <w:rsid w:val="003C24ED"/>
    <w:rsid w:val="003C674A"/>
    <w:rsid w:val="003D2B46"/>
    <w:rsid w:val="003D319D"/>
    <w:rsid w:val="003E5E3C"/>
    <w:rsid w:val="003E7128"/>
    <w:rsid w:val="003F6789"/>
    <w:rsid w:val="003F7FBC"/>
    <w:rsid w:val="00420F15"/>
    <w:rsid w:val="0042296D"/>
    <w:rsid w:val="00434047"/>
    <w:rsid w:val="00435E4A"/>
    <w:rsid w:val="00440A48"/>
    <w:rsid w:val="004412DF"/>
    <w:rsid w:val="004420A2"/>
    <w:rsid w:val="004473DA"/>
    <w:rsid w:val="00452103"/>
    <w:rsid w:val="00460384"/>
    <w:rsid w:val="00466A5E"/>
    <w:rsid w:val="00474DDD"/>
    <w:rsid w:val="0048187A"/>
    <w:rsid w:val="00482793"/>
    <w:rsid w:val="00484798"/>
    <w:rsid w:val="004A525D"/>
    <w:rsid w:val="004A65A7"/>
    <w:rsid w:val="004B4E3A"/>
    <w:rsid w:val="004B5BC2"/>
    <w:rsid w:val="004D2DCC"/>
    <w:rsid w:val="004D2EEB"/>
    <w:rsid w:val="004D3EB4"/>
    <w:rsid w:val="004D4764"/>
    <w:rsid w:val="004E0DCE"/>
    <w:rsid w:val="004E4964"/>
    <w:rsid w:val="004F25C7"/>
    <w:rsid w:val="004F2E25"/>
    <w:rsid w:val="00501354"/>
    <w:rsid w:val="00512EAE"/>
    <w:rsid w:val="00514DE0"/>
    <w:rsid w:val="00535688"/>
    <w:rsid w:val="00542A0F"/>
    <w:rsid w:val="0054621B"/>
    <w:rsid w:val="0054660B"/>
    <w:rsid w:val="00552A95"/>
    <w:rsid w:val="0056476B"/>
    <w:rsid w:val="00566CA1"/>
    <w:rsid w:val="005713BA"/>
    <w:rsid w:val="0057681F"/>
    <w:rsid w:val="005804C2"/>
    <w:rsid w:val="00583077"/>
    <w:rsid w:val="00586AD4"/>
    <w:rsid w:val="0059085F"/>
    <w:rsid w:val="005951AB"/>
    <w:rsid w:val="005B3ADA"/>
    <w:rsid w:val="005C1A68"/>
    <w:rsid w:val="005C2FA9"/>
    <w:rsid w:val="005E1F57"/>
    <w:rsid w:val="005E250B"/>
    <w:rsid w:val="005E7DE5"/>
    <w:rsid w:val="005F706D"/>
    <w:rsid w:val="006003C4"/>
    <w:rsid w:val="006071A4"/>
    <w:rsid w:val="00610D84"/>
    <w:rsid w:val="00614680"/>
    <w:rsid w:val="00615875"/>
    <w:rsid w:val="00616D9E"/>
    <w:rsid w:val="0062105F"/>
    <w:rsid w:val="0062363B"/>
    <w:rsid w:val="00633CD4"/>
    <w:rsid w:val="00633D95"/>
    <w:rsid w:val="00652F0D"/>
    <w:rsid w:val="00655EA9"/>
    <w:rsid w:val="00660752"/>
    <w:rsid w:val="00663849"/>
    <w:rsid w:val="006661E6"/>
    <w:rsid w:val="0067160A"/>
    <w:rsid w:val="006742D5"/>
    <w:rsid w:val="006746C5"/>
    <w:rsid w:val="00685DFF"/>
    <w:rsid w:val="00686AB9"/>
    <w:rsid w:val="00695454"/>
    <w:rsid w:val="006A5AF4"/>
    <w:rsid w:val="006B5A4A"/>
    <w:rsid w:val="006C0183"/>
    <w:rsid w:val="006C185B"/>
    <w:rsid w:val="006C39BA"/>
    <w:rsid w:val="006C431E"/>
    <w:rsid w:val="006C61E4"/>
    <w:rsid w:val="006C737E"/>
    <w:rsid w:val="006D1132"/>
    <w:rsid w:val="006D1C47"/>
    <w:rsid w:val="006D600B"/>
    <w:rsid w:val="006D6098"/>
    <w:rsid w:val="006D6B1D"/>
    <w:rsid w:val="006D75CE"/>
    <w:rsid w:val="006F3A3C"/>
    <w:rsid w:val="006F747F"/>
    <w:rsid w:val="006F77B7"/>
    <w:rsid w:val="00700F41"/>
    <w:rsid w:val="00704F0E"/>
    <w:rsid w:val="0071344E"/>
    <w:rsid w:val="007202DB"/>
    <w:rsid w:val="007231F1"/>
    <w:rsid w:val="00730AB5"/>
    <w:rsid w:val="00731EC8"/>
    <w:rsid w:val="00733AC8"/>
    <w:rsid w:val="007350DB"/>
    <w:rsid w:val="00736956"/>
    <w:rsid w:val="00743D45"/>
    <w:rsid w:val="00750947"/>
    <w:rsid w:val="00755B62"/>
    <w:rsid w:val="007678D8"/>
    <w:rsid w:val="00782CEA"/>
    <w:rsid w:val="00782F81"/>
    <w:rsid w:val="00787069"/>
    <w:rsid w:val="007A5DB4"/>
    <w:rsid w:val="007A62A5"/>
    <w:rsid w:val="007B03CD"/>
    <w:rsid w:val="007B4894"/>
    <w:rsid w:val="007B6AD1"/>
    <w:rsid w:val="007C0EC5"/>
    <w:rsid w:val="007C28DE"/>
    <w:rsid w:val="007C606A"/>
    <w:rsid w:val="007D340D"/>
    <w:rsid w:val="007D6104"/>
    <w:rsid w:val="007F5BC0"/>
    <w:rsid w:val="007F5E6D"/>
    <w:rsid w:val="007F68CE"/>
    <w:rsid w:val="00824170"/>
    <w:rsid w:val="00832ED5"/>
    <w:rsid w:val="00844471"/>
    <w:rsid w:val="008457E5"/>
    <w:rsid w:val="00851C3C"/>
    <w:rsid w:val="0085481C"/>
    <w:rsid w:val="008610CF"/>
    <w:rsid w:val="00861DC6"/>
    <w:rsid w:val="00863FE1"/>
    <w:rsid w:val="00885803"/>
    <w:rsid w:val="008930FB"/>
    <w:rsid w:val="00894849"/>
    <w:rsid w:val="008A6667"/>
    <w:rsid w:val="008B3F2F"/>
    <w:rsid w:val="008C7629"/>
    <w:rsid w:val="008D352C"/>
    <w:rsid w:val="008D7486"/>
    <w:rsid w:val="008D7961"/>
    <w:rsid w:val="008E2C6C"/>
    <w:rsid w:val="008E6653"/>
    <w:rsid w:val="008F1199"/>
    <w:rsid w:val="008F2DF4"/>
    <w:rsid w:val="00902D2F"/>
    <w:rsid w:val="00906993"/>
    <w:rsid w:val="009076F7"/>
    <w:rsid w:val="00910AB1"/>
    <w:rsid w:val="00911018"/>
    <w:rsid w:val="00913089"/>
    <w:rsid w:val="00914C54"/>
    <w:rsid w:val="00916667"/>
    <w:rsid w:val="00917D6D"/>
    <w:rsid w:val="00920CAF"/>
    <w:rsid w:val="00925530"/>
    <w:rsid w:val="00927A78"/>
    <w:rsid w:val="0093472F"/>
    <w:rsid w:val="009363FA"/>
    <w:rsid w:val="00936AFD"/>
    <w:rsid w:val="00937F19"/>
    <w:rsid w:val="00941186"/>
    <w:rsid w:val="00942031"/>
    <w:rsid w:val="009443BB"/>
    <w:rsid w:val="00955F87"/>
    <w:rsid w:val="00961C7D"/>
    <w:rsid w:val="00962BC6"/>
    <w:rsid w:val="0096475C"/>
    <w:rsid w:val="009647F3"/>
    <w:rsid w:val="00977CA6"/>
    <w:rsid w:val="00980F76"/>
    <w:rsid w:val="00981CC2"/>
    <w:rsid w:val="00986266"/>
    <w:rsid w:val="009905DD"/>
    <w:rsid w:val="009C48C0"/>
    <w:rsid w:val="009D3534"/>
    <w:rsid w:val="009D4A13"/>
    <w:rsid w:val="009D5AD7"/>
    <w:rsid w:val="009E7E81"/>
    <w:rsid w:val="009F4642"/>
    <w:rsid w:val="00A2331F"/>
    <w:rsid w:val="00A23A73"/>
    <w:rsid w:val="00A3207E"/>
    <w:rsid w:val="00A37F9F"/>
    <w:rsid w:val="00A50D7E"/>
    <w:rsid w:val="00A547CB"/>
    <w:rsid w:val="00A55279"/>
    <w:rsid w:val="00A55538"/>
    <w:rsid w:val="00A56F82"/>
    <w:rsid w:val="00A65495"/>
    <w:rsid w:val="00A66684"/>
    <w:rsid w:val="00A70864"/>
    <w:rsid w:val="00A73D6D"/>
    <w:rsid w:val="00A861D6"/>
    <w:rsid w:val="00A90A00"/>
    <w:rsid w:val="00A920EE"/>
    <w:rsid w:val="00A9390F"/>
    <w:rsid w:val="00A97FBC"/>
    <w:rsid w:val="00AB448F"/>
    <w:rsid w:val="00AC2AA0"/>
    <w:rsid w:val="00AC5FC4"/>
    <w:rsid w:val="00AC68EC"/>
    <w:rsid w:val="00AD1801"/>
    <w:rsid w:val="00AD47B0"/>
    <w:rsid w:val="00AD5274"/>
    <w:rsid w:val="00AF2168"/>
    <w:rsid w:val="00AF2A55"/>
    <w:rsid w:val="00AF6AEF"/>
    <w:rsid w:val="00B01717"/>
    <w:rsid w:val="00B02609"/>
    <w:rsid w:val="00B04FDB"/>
    <w:rsid w:val="00B103BA"/>
    <w:rsid w:val="00B219E2"/>
    <w:rsid w:val="00B24089"/>
    <w:rsid w:val="00B260C6"/>
    <w:rsid w:val="00B322D8"/>
    <w:rsid w:val="00B32A70"/>
    <w:rsid w:val="00B33D17"/>
    <w:rsid w:val="00B40A45"/>
    <w:rsid w:val="00B43C32"/>
    <w:rsid w:val="00B44336"/>
    <w:rsid w:val="00B4601D"/>
    <w:rsid w:val="00B522EF"/>
    <w:rsid w:val="00B60001"/>
    <w:rsid w:val="00B61F8F"/>
    <w:rsid w:val="00B62BFD"/>
    <w:rsid w:val="00B63746"/>
    <w:rsid w:val="00B67E45"/>
    <w:rsid w:val="00B70815"/>
    <w:rsid w:val="00B70A60"/>
    <w:rsid w:val="00B73B4A"/>
    <w:rsid w:val="00B80252"/>
    <w:rsid w:val="00B94C3F"/>
    <w:rsid w:val="00BA45B1"/>
    <w:rsid w:val="00BC0CB2"/>
    <w:rsid w:val="00BC2E2B"/>
    <w:rsid w:val="00BC5338"/>
    <w:rsid w:val="00BC55D0"/>
    <w:rsid w:val="00BC5AC5"/>
    <w:rsid w:val="00BC5D91"/>
    <w:rsid w:val="00BD3A2B"/>
    <w:rsid w:val="00BE3EF3"/>
    <w:rsid w:val="00BE76E0"/>
    <w:rsid w:val="00BF078E"/>
    <w:rsid w:val="00BF69AA"/>
    <w:rsid w:val="00C01165"/>
    <w:rsid w:val="00C0428E"/>
    <w:rsid w:val="00C13F8B"/>
    <w:rsid w:val="00C26753"/>
    <w:rsid w:val="00C2738C"/>
    <w:rsid w:val="00C506CB"/>
    <w:rsid w:val="00C55359"/>
    <w:rsid w:val="00C55D45"/>
    <w:rsid w:val="00C56A48"/>
    <w:rsid w:val="00C67A23"/>
    <w:rsid w:val="00C74E5D"/>
    <w:rsid w:val="00C81C8C"/>
    <w:rsid w:val="00C85947"/>
    <w:rsid w:val="00C86626"/>
    <w:rsid w:val="00C9524F"/>
    <w:rsid w:val="00C97D26"/>
    <w:rsid w:val="00CB12C0"/>
    <w:rsid w:val="00CB378B"/>
    <w:rsid w:val="00CD546D"/>
    <w:rsid w:val="00CD712C"/>
    <w:rsid w:val="00CD74FD"/>
    <w:rsid w:val="00D0047F"/>
    <w:rsid w:val="00D01720"/>
    <w:rsid w:val="00D06A42"/>
    <w:rsid w:val="00D104FC"/>
    <w:rsid w:val="00D11BB1"/>
    <w:rsid w:val="00D1217C"/>
    <w:rsid w:val="00D2426F"/>
    <w:rsid w:val="00D249FF"/>
    <w:rsid w:val="00D254CA"/>
    <w:rsid w:val="00D267C1"/>
    <w:rsid w:val="00D3411D"/>
    <w:rsid w:val="00D3537B"/>
    <w:rsid w:val="00D459A2"/>
    <w:rsid w:val="00D50087"/>
    <w:rsid w:val="00D51DD6"/>
    <w:rsid w:val="00D54F92"/>
    <w:rsid w:val="00D62563"/>
    <w:rsid w:val="00D769FA"/>
    <w:rsid w:val="00D76C8C"/>
    <w:rsid w:val="00D81507"/>
    <w:rsid w:val="00D86CB3"/>
    <w:rsid w:val="00DA2BD1"/>
    <w:rsid w:val="00DA52C2"/>
    <w:rsid w:val="00DA7510"/>
    <w:rsid w:val="00DA769C"/>
    <w:rsid w:val="00DB3BC8"/>
    <w:rsid w:val="00DC020C"/>
    <w:rsid w:val="00DC1A30"/>
    <w:rsid w:val="00DC22D5"/>
    <w:rsid w:val="00DE0BFC"/>
    <w:rsid w:val="00DE2900"/>
    <w:rsid w:val="00DF562D"/>
    <w:rsid w:val="00DF5DC7"/>
    <w:rsid w:val="00E00A87"/>
    <w:rsid w:val="00E059FD"/>
    <w:rsid w:val="00E12D98"/>
    <w:rsid w:val="00E157D1"/>
    <w:rsid w:val="00E254EC"/>
    <w:rsid w:val="00E25DFA"/>
    <w:rsid w:val="00E42E5A"/>
    <w:rsid w:val="00E454D6"/>
    <w:rsid w:val="00E5289B"/>
    <w:rsid w:val="00E530C2"/>
    <w:rsid w:val="00E6676C"/>
    <w:rsid w:val="00E75275"/>
    <w:rsid w:val="00E86763"/>
    <w:rsid w:val="00E92AB7"/>
    <w:rsid w:val="00E931A1"/>
    <w:rsid w:val="00EB17BF"/>
    <w:rsid w:val="00EB7F43"/>
    <w:rsid w:val="00ED0624"/>
    <w:rsid w:val="00ED683D"/>
    <w:rsid w:val="00EE3952"/>
    <w:rsid w:val="00EF0D68"/>
    <w:rsid w:val="00F15C54"/>
    <w:rsid w:val="00F32176"/>
    <w:rsid w:val="00F33318"/>
    <w:rsid w:val="00F43647"/>
    <w:rsid w:val="00F45BC8"/>
    <w:rsid w:val="00F47C2A"/>
    <w:rsid w:val="00F47E4E"/>
    <w:rsid w:val="00F52B82"/>
    <w:rsid w:val="00F54AD1"/>
    <w:rsid w:val="00F55E6A"/>
    <w:rsid w:val="00F570AD"/>
    <w:rsid w:val="00F646B2"/>
    <w:rsid w:val="00F65FE8"/>
    <w:rsid w:val="00F74445"/>
    <w:rsid w:val="00F75059"/>
    <w:rsid w:val="00F84C62"/>
    <w:rsid w:val="00F86A75"/>
    <w:rsid w:val="00F95086"/>
    <w:rsid w:val="00FC36F8"/>
    <w:rsid w:val="00FC682F"/>
    <w:rsid w:val="00FE03EC"/>
    <w:rsid w:val="00FE1918"/>
    <w:rsid w:val="00FE2946"/>
    <w:rsid w:val="00FF4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7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776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7604"/>
    <w:rPr>
      <w:rFonts w:ascii="Tahoma" w:hAnsi="Tahoma" w:cs="Tahoma"/>
      <w:sz w:val="16"/>
      <w:szCs w:val="16"/>
    </w:rPr>
  </w:style>
  <w:style w:type="paragraph" w:styleId="DipnotMetni">
    <w:name w:val="footnote text"/>
    <w:basedOn w:val="Normal"/>
    <w:link w:val="DipnotMetniChar"/>
    <w:uiPriority w:val="99"/>
    <w:unhideWhenUsed/>
    <w:rsid w:val="00160D8F"/>
    <w:pPr>
      <w:spacing w:after="0" w:line="240" w:lineRule="auto"/>
    </w:pPr>
    <w:rPr>
      <w:sz w:val="20"/>
      <w:szCs w:val="20"/>
    </w:rPr>
  </w:style>
  <w:style w:type="character" w:customStyle="1" w:styleId="DipnotMetniChar">
    <w:name w:val="Dipnot Metni Char"/>
    <w:basedOn w:val="VarsaylanParagrafYazTipi"/>
    <w:link w:val="DipnotMetni"/>
    <w:uiPriority w:val="99"/>
    <w:rsid w:val="00160D8F"/>
    <w:rPr>
      <w:sz w:val="20"/>
      <w:szCs w:val="20"/>
    </w:rPr>
  </w:style>
  <w:style w:type="character" w:styleId="DipnotBavurusu">
    <w:name w:val="footnote reference"/>
    <w:basedOn w:val="VarsaylanParagrafYazTipi"/>
    <w:uiPriority w:val="99"/>
    <w:semiHidden/>
    <w:unhideWhenUsed/>
    <w:rsid w:val="00160D8F"/>
    <w:rPr>
      <w:vertAlign w:val="superscript"/>
    </w:rPr>
  </w:style>
  <w:style w:type="character" w:styleId="YerTutucuMetni">
    <w:name w:val="Placeholder Text"/>
    <w:basedOn w:val="VarsaylanParagrafYazTipi"/>
    <w:uiPriority w:val="99"/>
    <w:semiHidden/>
    <w:rsid w:val="00986266"/>
    <w:rPr>
      <w:color w:val="808080"/>
    </w:rPr>
  </w:style>
  <w:style w:type="character" w:styleId="Kpr">
    <w:name w:val="Hyperlink"/>
    <w:basedOn w:val="VarsaylanParagrafYazTipi"/>
    <w:uiPriority w:val="99"/>
    <w:unhideWhenUsed/>
    <w:rsid w:val="009C48C0"/>
    <w:rPr>
      <w:color w:val="0000FF"/>
      <w:u w:val="single"/>
    </w:rPr>
  </w:style>
  <w:style w:type="paragraph" w:styleId="NormalWeb">
    <w:name w:val="Normal (Web)"/>
    <w:basedOn w:val="Normal"/>
    <w:uiPriority w:val="99"/>
    <w:unhideWhenUsed/>
    <w:rsid w:val="009C48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695454"/>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AC5FC4"/>
    <w:pPr>
      <w:spacing w:after="0" w:line="240" w:lineRule="auto"/>
    </w:pPr>
  </w:style>
  <w:style w:type="paragraph" w:styleId="ListeParagraf">
    <w:name w:val="List Paragraph"/>
    <w:basedOn w:val="Normal"/>
    <w:uiPriority w:val="34"/>
    <w:qFormat/>
    <w:rsid w:val="00A73D6D"/>
    <w:pPr>
      <w:ind w:left="720"/>
      <w:contextualSpacing/>
    </w:pPr>
  </w:style>
  <w:style w:type="character" w:customStyle="1" w:styleId="st1">
    <w:name w:val="st1"/>
    <w:basedOn w:val="VarsaylanParagrafYazTipi"/>
    <w:rsid w:val="00C55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7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776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7604"/>
    <w:rPr>
      <w:rFonts w:ascii="Tahoma" w:hAnsi="Tahoma" w:cs="Tahoma"/>
      <w:sz w:val="16"/>
      <w:szCs w:val="16"/>
    </w:rPr>
  </w:style>
  <w:style w:type="paragraph" w:styleId="DipnotMetni">
    <w:name w:val="footnote text"/>
    <w:basedOn w:val="Normal"/>
    <w:link w:val="DipnotMetniChar"/>
    <w:uiPriority w:val="99"/>
    <w:unhideWhenUsed/>
    <w:rsid w:val="00160D8F"/>
    <w:pPr>
      <w:spacing w:after="0" w:line="240" w:lineRule="auto"/>
    </w:pPr>
    <w:rPr>
      <w:sz w:val="20"/>
      <w:szCs w:val="20"/>
    </w:rPr>
  </w:style>
  <w:style w:type="character" w:customStyle="1" w:styleId="DipnotMetniChar">
    <w:name w:val="Dipnot Metni Char"/>
    <w:basedOn w:val="VarsaylanParagrafYazTipi"/>
    <w:link w:val="DipnotMetni"/>
    <w:uiPriority w:val="99"/>
    <w:rsid w:val="00160D8F"/>
    <w:rPr>
      <w:sz w:val="20"/>
      <w:szCs w:val="20"/>
    </w:rPr>
  </w:style>
  <w:style w:type="character" w:styleId="DipnotBavurusu">
    <w:name w:val="footnote reference"/>
    <w:basedOn w:val="VarsaylanParagrafYazTipi"/>
    <w:uiPriority w:val="99"/>
    <w:semiHidden/>
    <w:unhideWhenUsed/>
    <w:rsid w:val="00160D8F"/>
    <w:rPr>
      <w:vertAlign w:val="superscript"/>
    </w:rPr>
  </w:style>
  <w:style w:type="character" w:styleId="YerTutucuMetni">
    <w:name w:val="Placeholder Text"/>
    <w:basedOn w:val="VarsaylanParagrafYazTipi"/>
    <w:uiPriority w:val="99"/>
    <w:semiHidden/>
    <w:rsid w:val="00986266"/>
    <w:rPr>
      <w:color w:val="808080"/>
    </w:rPr>
  </w:style>
  <w:style w:type="character" w:styleId="Kpr">
    <w:name w:val="Hyperlink"/>
    <w:basedOn w:val="VarsaylanParagrafYazTipi"/>
    <w:uiPriority w:val="99"/>
    <w:unhideWhenUsed/>
    <w:rsid w:val="009C48C0"/>
    <w:rPr>
      <w:color w:val="0000FF"/>
      <w:u w:val="single"/>
    </w:rPr>
  </w:style>
  <w:style w:type="paragraph" w:styleId="NormalWeb">
    <w:name w:val="Normal (Web)"/>
    <w:basedOn w:val="Normal"/>
    <w:uiPriority w:val="99"/>
    <w:unhideWhenUsed/>
    <w:rsid w:val="009C48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695454"/>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AC5FC4"/>
    <w:pPr>
      <w:spacing w:after="0" w:line="240" w:lineRule="auto"/>
    </w:pPr>
  </w:style>
  <w:style w:type="paragraph" w:styleId="ListeParagraf">
    <w:name w:val="List Paragraph"/>
    <w:basedOn w:val="Normal"/>
    <w:uiPriority w:val="34"/>
    <w:qFormat/>
    <w:rsid w:val="00A73D6D"/>
    <w:pPr>
      <w:ind w:left="720"/>
      <w:contextualSpacing/>
    </w:pPr>
  </w:style>
  <w:style w:type="character" w:customStyle="1" w:styleId="st1">
    <w:name w:val="st1"/>
    <w:basedOn w:val="VarsaylanParagrafYazTipi"/>
    <w:rsid w:val="00C5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emf"/><Relationship Id="rId50" Type="http://schemas.openxmlformats.org/officeDocument/2006/relationships/hyperlink" Target="http://ideas.repec.org/s/eee/reveco.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hyperlink" Target="http://ecomod.net/sites/default/files/document-conference/ecomod2008/821.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e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B2A3-7423-4CAB-899C-4B7641E2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6211</Words>
  <Characters>35404</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2014-04-04T11:49:00Z</dcterms:created>
  <dcterms:modified xsi:type="dcterms:W3CDTF">2014-04-04T11:49:00Z</dcterms:modified>
</cp:coreProperties>
</file>