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FC" w:rsidRPr="00B46F3D" w:rsidRDefault="00D74476" w:rsidP="0075548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lang w:val="en-CA"/>
        </w:rPr>
      </w:pPr>
      <w:r w:rsidRPr="00B46F3D">
        <w:rPr>
          <w:rFonts w:ascii="Times New Roman" w:hAnsi="Times New Roman" w:cs="Times New Roman"/>
          <w:b/>
          <w:bCs/>
          <w:color w:val="000000" w:themeColor="text1"/>
          <w:sz w:val="24"/>
          <w:szCs w:val="24"/>
          <w:lang w:val="en-US"/>
        </w:rPr>
        <w:t>On the Interaction between Dividends</w:t>
      </w:r>
      <w:r w:rsidR="0075548D">
        <w:rPr>
          <w:rFonts w:ascii="Times New Roman" w:hAnsi="Times New Roman" w:cs="Times New Roman"/>
          <w:b/>
          <w:bCs/>
          <w:color w:val="000000" w:themeColor="text1"/>
          <w:sz w:val="24"/>
          <w:szCs w:val="24"/>
          <w:lang w:val="en-US"/>
        </w:rPr>
        <w:t xml:space="preserve"> </w:t>
      </w:r>
      <w:r w:rsidRPr="00B46F3D">
        <w:rPr>
          <w:rFonts w:ascii="Times New Roman" w:hAnsi="Times New Roman" w:cs="Times New Roman"/>
          <w:b/>
          <w:bCs/>
          <w:color w:val="000000" w:themeColor="text1"/>
          <w:sz w:val="24"/>
          <w:szCs w:val="24"/>
          <w:lang w:val="en-US"/>
        </w:rPr>
        <w:t>and Private Benefits of Control</w:t>
      </w:r>
    </w:p>
    <w:p w:rsidR="00A31304" w:rsidRPr="007B566C" w:rsidRDefault="00A31304" w:rsidP="00CB3C3E">
      <w:pPr>
        <w:widowControl w:val="0"/>
        <w:spacing w:after="0" w:line="240" w:lineRule="auto"/>
        <w:jc w:val="center"/>
        <w:rPr>
          <w:rFonts w:ascii="Times New Roman" w:hAnsi="Times New Roman" w:cs="Times New Roman"/>
          <w:bCs/>
          <w:color w:val="000000" w:themeColor="text1"/>
          <w:sz w:val="20"/>
          <w:szCs w:val="20"/>
          <w:lang w:val="en-US"/>
        </w:rPr>
      </w:pPr>
    </w:p>
    <w:p w:rsidR="003F1601" w:rsidRPr="00B46F3D" w:rsidRDefault="003F1601" w:rsidP="00CB3C3E">
      <w:pPr>
        <w:widowControl w:val="0"/>
        <w:spacing w:after="0" w:line="240" w:lineRule="auto"/>
        <w:jc w:val="center"/>
        <w:rPr>
          <w:rFonts w:ascii="Times New Roman" w:hAnsi="Times New Roman" w:cs="Times New Roman"/>
          <w:b/>
          <w:color w:val="000000" w:themeColor="text1"/>
          <w:sz w:val="20"/>
          <w:szCs w:val="20"/>
          <w:lang w:val="en-US"/>
        </w:rPr>
      </w:pPr>
    </w:p>
    <w:p w:rsidR="0035382C" w:rsidRPr="00B46F3D" w:rsidRDefault="0035382C" w:rsidP="00CB3C3E">
      <w:pPr>
        <w:widowControl w:val="0"/>
        <w:spacing w:after="0" w:line="240" w:lineRule="auto"/>
        <w:jc w:val="center"/>
        <w:rPr>
          <w:rFonts w:ascii="Times New Roman" w:hAnsi="Times New Roman" w:cs="Times New Roman"/>
          <w:b/>
          <w:color w:val="000000" w:themeColor="text1"/>
          <w:sz w:val="20"/>
          <w:szCs w:val="20"/>
          <w:lang w:val="en-US"/>
        </w:rPr>
      </w:pPr>
      <w:proofErr w:type="spellStart"/>
      <w:r w:rsidRPr="00B46F3D">
        <w:rPr>
          <w:rFonts w:ascii="Times New Roman" w:hAnsi="Times New Roman" w:cs="Times New Roman"/>
          <w:b/>
          <w:color w:val="000000" w:themeColor="text1"/>
          <w:sz w:val="20"/>
          <w:szCs w:val="20"/>
          <w:lang w:val="en-US"/>
        </w:rPr>
        <w:t>Amel</w:t>
      </w:r>
      <w:proofErr w:type="spellEnd"/>
      <w:r w:rsidRPr="00B46F3D">
        <w:rPr>
          <w:rFonts w:ascii="Times New Roman" w:hAnsi="Times New Roman" w:cs="Times New Roman"/>
          <w:b/>
          <w:color w:val="000000" w:themeColor="text1"/>
          <w:sz w:val="20"/>
          <w:szCs w:val="20"/>
          <w:lang w:val="en-US"/>
        </w:rPr>
        <w:t xml:space="preserve"> </w:t>
      </w:r>
      <w:proofErr w:type="spellStart"/>
      <w:r w:rsidRPr="00B46F3D">
        <w:rPr>
          <w:rFonts w:ascii="Times New Roman" w:hAnsi="Times New Roman" w:cs="Times New Roman"/>
          <w:b/>
          <w:color w:val="000000" w:themeColor="text1"/>
          <w:sz w:val="20"/>
          <w:szCs w:val="20"/>
          <w:lang w:val="en-US"/>
        </w:rPr>
        <w:t>Belanes</w:t>
      </w:r>
      <w:proofErr w:type="spellEnd"/>
      <w:r w:rsidRPr="00B46F3D">
        <w:rPr>
          <w:rStyle w:val="FootnoteReference"/>
          <w:rFonts w:ascii="Times New Roman" w:hAnsi="Times New Roman" w:cs="Times New Roman"/>
          <w:b/>
          <w:color w:val="000000" w:themeColor="text1"/>
          <w:sz w:val="20"/>
          <w:szCs w:val="20"/>
          <w:lang w:val="en-US"/>
        </w:rPr>
        <w:footnoteReference w:id="1"/>
      </w:r>
      <w:r w:rsidR="00B03B50" w:rsidRPr="00B46F3D">
        <w:rPr>
          <w:rFonts w:ascii="Times New Roman" w:hAnsi="Times New Roman" w:cs="Times New Roman"/>
          <w:b/>
          <w:color w:val="000000" w:themeColor="text1"/>
          <w:sz w:val="20"/>
          <w:szCs w:val="20"/>
          <w:lang w:val="en-US"/>
        </w:rPr>
        <w:t xml:space="preserve"> and </w:t>
      </w:r>
      <w:proofErr w:type="spellStart"/>
      <w:r w:rsidR="00B03B50" w:rsidRPr="00B46F3D">
        <w:rPr>
          <w:rFonts w:ascii="Times New Roman" w:hAnsi="Times New Roman" w:cs="Times New Roman"/>
          <w:b/>
          <w:color w:val="000000" w:themeColor="text1"/>
          <w:sz w:val="20"/>
          <w:szCs w:val="20"/>
          <w:lang w:val="en-US"/>
        </w:rPr>
        <w:t>Raoudha</w:t>
      </w:r>
      <w:proofErr w:type="spellEnd"/>
      <w:r w:rsidR="00B03B50" w:rsidRPr="00B46F3D">
        <w:rPr>
          <w:rFonts w:ascii="Times New Roman" w:hAnsi="Times New Roman" w:cs="Times New Roman"/>
          <w:b/>
          <w:color w:val="000000" w:themeColor="text1"/>
          <w:sz w:val="20"/>
          <w:szCs w:val="20"/>
          <w:lang w:val="en-US"/>
        </w:rPr>
        <w:t xml:space="preserve"> </w:t>
      </w:r>
      <w:proofErr w:type="spellStart"/>
      <w:r w:rsidR="00B03B50" w:rsidRPr="00B46F3D">
        <w:rPr>
          <w:rFonts w:ascii="Times New Roman" w:hAnsi="Times New Roman" w:cs="Times New Roman"/>
          <w:b/>
          <w:color w:val="000000" w:themeColor="text1"/>
          <w:sz w:val="20"/>
          <w:szCs w:val="20"/>
          <w:lang w:val="en-US"/>
        </w:rPr>
        <w:t>Djebali</w:t>
      </w:r>
      <w:proofErr w:type="spellEnd"/>
    </w:p>
    <w:p w:rsidR="00B46F3D" w:rsidRDefault="00E21A44" w:rsidP="00CB3C3E">
      <w:pPr>
        <w:widowControl w:val="0"/>
        <w:spacing w:after="0" w:line="240" w:lineRule="auto"/>
        <w:jc w:val="center"/>
        <w:rPr>
          <w:rFonts w:ascii="Times New Roman" w:hAnsi="Times New Roman" w:cs="Times New Roman"/>
          <w:b/>
          <w:color w:val="000000" w:themeColor="text1"/>
          <w:sz w:val="20"/>
          <w:szCs w:val="20"/>
          <w:lang w:val="en-US"/>
        </w:rPr>
      </w:pPr>
      <w:r w:rsidRPr="00B46F3D">
        <w:rPr>
          <w:rFonts w:ascii="Times New Roman" w:hAnsi="Times New Roman" w:cs="Times New Roman"/>
          <w:b/>
          <w:color w:val="000000" w:themeColor="text1"/>
          <w:sz w:val="20"/>
          <w:szCs w:val="20"/>
          <w:lang w:val="en-US"/>
        </w:rPr>
        <w:t>High Institute of Management of Tunis</w:t>
      </w:r>
      <w:r w:rsidR="00606B01" w:rsidRPr="00B46F3D">
        <w:rPr>
          <w:rFonts w:ascii="Times New Roman" w:hAnsi="Times New Roman" w:cs="Times New Roman"/>
          <w:b/>
          <w:color w:val="000000" w:themeColor="text1"/>
          <w:sz w:val="20"/>
          <w:szCs w:val="20"/>
          <w:lang w:val="en-US"/>
        </w:rPr>
        <w:t xml:space="preserve">, </w:t>
      </w:r>
      <w:r w:rsidR="00E94A3A" w:rsidRPr="00B46F3D">
        <w:rPr>
          <w:rFonts w:ascii="Times New Roman" w:hAnsi="Times New Roman" w:cs="Times New Roman"/>
          <w:b/>
          <w:color w:val="000000" w:themeColor="text1"/>
          <w:sz w:val="20"/>
          <w:szCs w:val="20"/>
          <w:lang w:val="en-US"/>
        </w:rPr>
        <w:t xml:space="preserve">Lab GEF2A, </w:t>
      </w:r>
    </w:p>
    <w:p w:rsidR="00606B01" w:rsidRPr="00B46F3D" w:rsidRDefault="00B46F3D" w:rsidP="00CB3C3E">
      <w:pPr>
        <w:widowControl w:val="0"/>
        <w:spacing w:after="0" w:line="240" w:lineRule="auto"/>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University of Tunis</w:t>
      </w:r>
      <w:r w:rsidR="0075548D">
        <w:rPr>
          <w:rFonts w:ascii="Times New Roman" w:hAnsi="Times New Roman" w:cs="Times New Roman"/>
          <w:b/>
          <w:color w:val="000000" w:themeColor="text1"/>
          <w:sz w:val="20"/>
          <w:szCs w:val="20"/>
          <w:lang w:val="en-US"/>
        </w:rPr>
        <w:t xml:space="preserve"> - </w:t>
      </w:r>
      <w:r w:rsidR="00606B01" w:rsidRPr="00B46F3D">
        <w:rPr>
          <w:rFonts w:ascii="Times New Roman" w:hAnsi="Times New Roman" w:cs="Times New Roman"/>
          <w:b/>
          <w:color w:val="000000" w:themeColor="text1"/>
          <w:sz w:val="20"/>
          <w:szCs w:val="20"/>
          <w:lang w:val="en-US"/>
        </w:rPr>
        <w:t>Tunisia</w:t>
      </w:r>
    </w:p>
    <w:p w:rsidR="00607BAD" w:rsidRDefault="00607BAD" w:rsidP="007B566C">
      <w:pPr>
        <w:widowControl w:val="0"/>
        <w:spacing w:after="0" w:line="240" w:lineRule="auto"/>
        <w:ind w:left="1134" w:right="1134"/>
        <w:jc w:val="both"/>
        <w:rPr>
          <w:rFonts w:ascii="Times New Roman" w:hAnsi="Times New Roman" w:cs="Times New Roman"/>
          <w:b/>
          <w:color w:val="000000" w:themeColor="text1"/>
          <w:sz w:val="20"/>
          <w:szCs w:val="20"/>
          <w:lang w:val="en-US"/>
        </w:rPr>
      </w:pPr>
    </w:p>
    <w:p w:rsidR="0075548D" w:rsidRPr="00B46F3D" w:rsidRDefault="0075548D" w:rsidP="007B566C">
      <w:pPr>
        <w:widowControl w:val="0"/>
        <w:spacing w:after="0" w:line="240" w:lineRule="auto"/>
        <w:ind w:left="1134" w:right="1134"/>
        <w:jc w:val="both"/>
        <w:rPr>
          <w:rFonts w:ascii="Times New Roman" w:hAnsi="Times New Roman" w:cs="Times New Roman"/>
          <w:b/>
          <w:color w:val="000000" w:themeColor="text1"/>
          <w:sz w:val="20"/>
          <w:szCs w:val="20"/>
          <w:lang w:val="en-US"/>
        </w:rPr>
      </w:pPr>
    </w:p>
    <w:p w:rsidR="003F1601" w:rsidRPr="007B566C" w:rsidRDefault="003F1601" w:rsidP="007B566C">
      <w:pPr>
        <w:widowControl w:val="0"/>
        <w:spacing w:after="0" w:line="240" w:lineRule="auto"/>
        <w:ind w:left="1134" w:right="1134"/>
        <w:jc w:val="both"/>
        <w:rPr>
          <w:rFonts w:ascii="Times New Roman" w:hAnsi="Times New Roman" w:cs="Times New Roman"/>
          <w:color w:val="000000" w:themeColor="text1"/>
          <w:sz w:val="20"/>
          <w:szCs w:val="20"/>
          <w:lang w:val="en-US"/>
        </w:rPr>
      </w:pPr>
    </w:p>
    <w:p w:rsidR="00426959" w:rsidRPr="00305363" w:rsidRDefault="00186D83" w:rsidP="00CC2675">
      <w:pPr>
        <w:widowControl w:val="0"/>
        <w:autoSpaceDE w:val="0"/>
        <w:autoSpaceDN w:val="0"/>
        <w:adjustRightInd w:val="0"/>
        <w:spacing w:after="0" w:line="240" w:lineRule="auto"/>
        <w:jc w:val="both"/>
        <w:rPr>
          <w:rFonts w:ascii="Georgia" w:hAnsi="Georgia" w:cs="Times New Roman"/>
          <w:b/>
          <w:bCs/>
          <w:kern w:val="36"/>
          <w:sz w:val="20"/>
          <w:szCs w:val="20"/>
          <w:lang w:val="en-US"/>
        </w:rPr>
      </w:pPr>
      <w:r w:rsidRPr="007B566C">
        <w:rPr>
          <w:rFonts w:ascii="Times New Roman" w:hAnsi="Times New Roman" w:cs="Times New Roman"/>
          <w:b/>
          <w:color w:val="000000" w:themeColor="text1"/>
          <w:sz w:val="20"/>
          <w:szCs w:val="20"/>
          <w:lang w:val="en-US"/>
        </w:rPr>
        <w:t>ABSTRACT</w:t>
      </w:r>
      <w:r w:rsidR="003F1601" w:rsidRPr="007B566C">
        <w:rPr>
          <w:rFonts w:ascii="Times New Roman" w:hAnsi="Times New Roman" w:cs="Times New Roman"/>
          <w:b/>
          <w:color w:val="000000" w:themeColor="text1"/>
          <w:sz w:val="20"/>
          <w:szCs w:val="20"/>
          <w:lang w:val="en-US"/>
        </w:rPr>
        <w:t xml:space="preserve">. </w:t>
      </w:r>
      <w:r w:rsidR="009C73D3" w:rsidRPr="00E915A2">
        <w:rPr>
          <w:rFonts w:asciiTheme="majorBidi" w:eastAsia="Arial Unicode MS" w:hAnsiTheme="majorBidi" w:cstheme="majorBidi"/>
          <w:color w:val="2E2E2E"/>
          <w:sz w:val="20"/>
          <w:szCs w:val="20"/>
          <w:lang w:val="en-US"/>
        </w:rPr>
        <w:t>Based on the</w:t>
      </w:r>
      <w:r w:rsidR="00426959" w:rsidRPr="00E915A2">
        <w:rPr>
          <w:rFonts w:asciiTheme="majorBidi" w:eastAsia="Arial Unicode MS" w:hAnsiTheme="majorBidi" w:cstheme="majorBidi"/>
          <w:color w:val="2E2E2E"/>
          <w:sz w:val="20"/>
          <w:szCs w:val="20"/>
          <w:lang w:val="en-US"/>
        </w:rPr>
        <w:t xml:space="preserve"> free cash flow and tunneling hypotheses</w:t>
      </w:r>
      <w:r w:rsidR="009C73D3" w:rsidRPr="00E915A2">
        <w:rPr>
          <w:rFonts w:asciiTheme="majorBidi" w:eastAsia="Arial Unicode MS" w:hAnsiTheme="majorBidi" w:cstheme="majorBidi"/>
          <w:color w:val="2E2E2E"/>
          <w:sz w:val="20"/>
          <w:szCs w:val="20"/>
          <w:lang w:val="en-US"/>
        </w:rPr>
        <w:t xml:space="preserve">, this paper explains the mutual role of dividends and rent expropriation on each other in French listed firms. We </w:t>
      </w:r>
      <w:r w:rsidR="009C73D3" w:rsidRPr="00E915A2">
        <w:rPr>
          <w:rFonts w:asciiTheme="majorBidi" w:eastAsia="Calibri" w:hAnsiTheme="majorBidi" w:cstheme="majorBidi"/>
          <w:iCs/>
          <w:sz w:val="20"/>
          <w:szCs w:val="20"/>
          <w:lang w:val="en-US"/>
        </w:rPr>
        <w:t>demonstrate that dividends and private benefits of control are interdependent</w:t>
      </w:r>
      <w:r w:rsidR="00E915A2">
        <w:rPr>
          <w:rFonts w:asciiTheme="majorBidi" w:eastAsia="Calibri" w:hAnsiTheme="majorBidi" w:cstheme="majorBidi"/>
          <w:iCs/>
          <w:sz w:val="20"/>
          <w:szCs w:val="20"/>
          <w:lang w:val="en-US"/>
        </w:rPr>
        <w:t xml:space="preserve"> in highly-concentrated firms</w:t>
      </w:r>
      <w:r w:rsidR="009C73D3" w:rsidRPr="00E915A2">
        <w:rPr>
          <w:rFonts w:asciiTheme="majorBidi" w:eastAsia="Calibri" w:hAnsiTheme="majorBidi" w:cstheme="majorBidi"/>
          <w:iCs/>
          <w:sz w:val="20"/>
          <w:szCs w:val="20"/>
          <w:lang w:val="en-US"/>
        </w:rPr>
        <w:t xml:space="preserve">. Empirical results reveal that </w:t>
      </w:r>
      <w:r w:rsidR="009C73D3" w:rsidRPr="00E915A2">
        <w:rPr>
          <w:rFonts w:asciiTheme="majorBidi" w:hAnsiTheme="majorBidi" w:cstheme="majorBidi"/>
          <w:sz w:val="20"/>
          <w:szCs w:val="20"/>
          <w:lang w:val="en-US"/>
        </w:rPr>
        <w:t>higher benefits of control are associated with higher dividends</w:t>
      </w:r>
      <w:r w:rsidR="009C73D3" w:rsidRPr="00E915A2">
        <w:rPr>
          <w:rFonts w:asciiTheme="majorBidi" w:eastAsia="Calibri" w:hAnsiTheme="majorBidi" w:cstheme="majorBidi"/>
          <w:iCs/>
          <w:sz w:val="20"/>
          <w:szCs w:val="20"/>
          <w:lang w:val="en-US"/>
        </w:rPr>
        <w:t xml:space="preserve"> while the latter negatively affects the former</w:t>
      </w:r>
      <w:r w:rsidR="009C73D3" w:rsidRPr="00E915A2">
        <w:rPr>
          <w:rFonts w:asciiTheme="majorBidi" w:hAnsiTheme="majorBidi" w:cstheme="majorBidi"/>
          <w:sz w:val="20"/>
          <w:szCs w:val="20"/>
          <w:lang w:val="en-US"/>
        </w:rPr>
        <w:t>.</w:t>
      </w:r>
      <w:r w:rsidR="009C73D3" w:rsidRPr="00E915A2">
        <w:rPr>
          <w:rFonts w:asciiTheme="majorBidi" w:hAnsiTheme="majorBidi" w:cstheme="majorBidi"/>
          <w:kern w:val="36"/>
          <w:sz w:val="20"/>
          <w:szCs w:val="20"/>
          <w:lang w:val="en-US"/>
        </w:rPr>
        <w:t xml:space="preserve"> On one hand, </w:t>
      </w:r>
      <w:r w:rsidR="009C73D3" w:rsidRPr="00E915A2">
        <w:rPr>
          <w:rFonts w:asciiTheme="majorBidi" w:hAnsiTheme="majorBidi" w:cstheme="majorBidi"/>
          <w:sz w:val="20"/>
          <w:szCs w:val="20"/>
          <w:lang w:val="en-US"/>
        </w:rPr>
        <w:t>dividends play a significant role in reducing the rent expropriation scope; which is</w:t>
      </w:r>
      <w:r w:rsidR="009C73D3" w:rsidRPr="00E915A2">
        <w:rPr>
          <w:rFonts w:asciiTheme="majorBidi" w:eastAsia="Arial Unicode MS" w:hAnsiTheme="majorBidi" w:cstheme="majorBidi"/>
          <w:sz w:val="20"/>
          <w:szCs w:val="20"/>
          <w:lang w:val="en-US"/>
        </w:rPr>
        <w:t xml:space="preserve"> in line with </w:t>
      </w:r>
      <w:r w:rsidR="009C73D3" w:rsidRPr="00E915A2">
        <w:rPr>
          <w:rFonts w:asciiTheme="majorBidi" w:hAnsiTheme="majorBidi" w:cstheme="majorBidi"/>
          <w:sz w:val="20"/>
          <w:szCs w:val="20"/>
          <w:lang w:val="en-US"/>
        </w:rPr>
        <w:t xml:space="preserve">the free cash flow hypothesis. On the other hand, an increase in private benefits contributes to </w:t>
      </w:r>
      <w:r w:rsidR="00CC2675">
        <w:rPr>
          <w:rFonts w:asciiTheme="majorBidi" w:hAnsiTheme="majorBidi" w:cstheme="majorBidi"/>
          <w:sz w:val="20"/>
          <w:szCs w:val="20"/>
          <w:lang w:val="en-US"/>
        </w:rPr>
        <w:t>increasing</w:t>
      </w:r>
      <w:r w:rsidR="009C73D3" w:rsidRPr="00E915A2">
        <w:rPr>
          <w:rFonts w:asciiTheme="majorBidi" w:hAnsiTheme="majorBidi" w:cstheme="majorBidi"/>
          <w:sz w:val="20"/>
          <w:szCs w:val="20"/>
          <w:lang w:val="en-US"/>
        </w:rPr>
        <w:t xml:space="preserve"> dividends, as aware investors concerned with expropriation require higher dividends and dominant investors would rather accept to signal their unwillingness to harm minority shareholders. Such a finding is consistent with rent protection hypothesis. </w:t>
      </w:r>
      <w:r w:rsidR="009C73D3" w:rsidRPr="00E915A2">
        <w:rPr>
          <w:rFonts w:asciiTheme="majorBidi" w:eastAsia="Calibri" w:hAnsiTheme="majorBidi" w:cstheme="majorBidi"/>
          <w:sz w:val="20"/>
          <w:szCs w:val="20"/>
          <w:lang w:val="en-US"/>
        </w:rPr>
        <w:t>The study also reveals that blockholders prefer more cash through either shared dividends or private benefits whereas the presence of multiple dominant investors would curtail both benefits for the sake of the firm.</w:t>
      </w:r>
      <w:r w:rsidR="00E915A2">
        <w:rPr>
          <w:rFonts w:asciiTheme="majorBidi" w:eastAsia="Calibri" w:hAnsiTheme="majorBidi" w:cstheme="majorBidi"/>
          <w:sz w:val="20"/>
          <w:szCs w:val="20"/>
          <w:lang w:val="en-US"/>
        </w:rPr>
        <w:t xml:space="preserve"> Block holding is then a double-edged sword in civil law countries, such as France, and adjusting the ownership structure or enacting new rules for ownership control may be a </w:t>
      </w:r>
      <w:r w:rsidR="004F6B67">
        <w:rPr>
          <w:rFonts w:asciiTheme="majorBidi" w:eastAsia="Calibri" w:hAnsiTheme="majorBidi" w:cstheme="majorBidi"/>
          <w:sz w:val="20"/>
          <w:szCs w:val="20"/>
          <w:lang w:val="en-US"/>
        </w:rPr>
        <w:t>key</w:t>
      </w:r>
      <w:r w:rsidR="00E915A2">
        <w:rPr>
          <w:rFonts w:asciiTheme="majorBidi" w:eastAsia="Calibri" w:hAnsiTheme="majorBidi" w:cstheme="majorBidi"/>
          <w:sz w:val="20"/>
          <w:szCs w:val="20"/>
          <w:lang w:val="en-US"/>
        </w:rPr>
        <w:t xml:space="preserve"> step for policy makers </w:t>
      </w:r>
      <w:r w:rsidR="00E915A2">
        <w:rPr>
          <w:rFonts w:asciiTheme="majorBidi" w:eastAsia="Arial Unicode MS" w:hAnsiTheme="majorBidi" w:cstheme="majorBidi"/>
          <w:color w:val="2E2E2E"/>
          <w:sz w:val="20"/>
          <w:szCs w:val="20"/>
          <w:lang w:val="en-US"/>
        </w:rPr>
        <w:t xml:space="preserve">to </w:t>
      </w:r>
      <w:r w:rsidR="00CC2675">
        <w:rPr>
          <w:rFonts w:asciiTheme="majorBidi" w:eastAsia="Arial Unicode MS" w:hAnsiTheme="majorBidi" w:cstheme="majorBidi"/>
          <w:color w:val="2E2E2E"/>
          <w:sz w:val="20"/>
          <w:szCs w:val="20"/>
          <w:lang w:val="en-US"/>
        </w:rPr>
        <w:t xml:space="preserve">attract more </w:t>
      </w:r>
      <w:r w:rsidR="00E915A2">
        <w:rPr>
          <w:rFonts w:asciiTheme="majorBidi" w:eastAsia="Arial Unicode MS" w:hAnsiTheme="majorBidi" w:cstheme="majorBidi"/>
          <w:color w:val="2E2E2E"/>
          <w:sz w:val="20"/>
          <w:szCs w:val="20"/>
          <w:lang w:val="en-US"/>
        </w:rPr>
        <w:t xml:space="preserve">investors </w:t>
      </w:r>
      <w:r w:rsidR="00CC2675">
        <w:rPr>
          <w:rFonts w:asciiTheme="majorBidi" w:eastAsia="Arial Unicode MS" w:hAnsiTheme="majorBidi" w:cstheme="majorBidi"/>
          <w:color w:val="2E2E2E"/>
          <w:sz w:val="20"/>
          <w:szCs w:val="20"/>
          <w:lang w:val="en-US"/>
        </w:rPr>
        <w:t>but above all</w:t>
      </w:r>
      <w:r w:rsidR="00E915A2">
        <w:rPr>
          <w:rFonts w:asciiTheme="majorBidi" w:eastAsia="Arial Unicode MS" w:hAnsiTheme="majorBidi" w:cstheme="majorBidi"/>
          <w:color w:val="2E2E2E"/>
          <w:sz w:val="20"/>
          <w:szCs w:val="20"/>
          <w:lang w:val="en-US"/>
        </w:rPr>
        <w:t xml:space="preserve"> </w:t>
      </w:r>
      <w:r w:rsidR="004F6B67">
        <w:rPr>
          <w:rFonts w:asciiTheme="majorBidi" w:eastAsia="Arial Unicode MS" w:hAnsiTheme="majorBidi" w:cstheme="majorBidi"/>
          <w:color w:val="2E2E2E"/>
          <w:sz w:val="20"/>
          <w:szCs w:val="20"/>
          <w:lang w:val="en-US"/>
        </w:rPr>
        <w:t xml:space="preserve">to </w:t>
      </w:r>
      <w:r w:rsidR="00E915A2">
        <w:rPr>
          <w:rFonts w:asciiTheme="majorBidi" w:eastAsia="Arial Unicode MS" w:hAnsiTheme="majorBidi" w:cstheme="majorBidi"/>
          <w:color w:val="2E2E2E"/>
          <w:sz w:val="20"/>
          <w:szCs w:val="20"/>
          <w:lang w:val="en-US"/>
        </w:rPr>
        <w:t>enhance the protection of their interests.</w:t>
      </w:r>
    </w:p>
    <w:p w:rsidR="00CF3676" w:rsidRPr="00305363" w:rsidRDefault="004E4DC7" w:rsidP="0075548D">
      <w:pPr>
        <w:widowControl w:val="0"/>
        <w:spacing w:before="120" w:after="0" w:line="240" w:lineRule="auto"/>
        <w:jc w:val="both"/>
        <w:rPr>
          <w:rFonts w:asciiTheme="majorBidi" w:hAnsiTheme="majorBidi" w:cstheme="majorBidi"/>
          <w:color w:val="000000" w:themeColor="text1"/>
          <w:sz w:val="20"/>
          <w:szCs w:val="20"/>
          <w:lang w:val="en-CA"/>
        </w:rPr>
      </w:pPr>
      <w:r w:rsidRPr="00305363">
        <w:rPr>
          <w:rFonts w:asciiTheme="majorBidi" w:eastAsia="Calibri" w:hAnsiTheme="majorBidi" w:cstheme="majorBidi"/>
          <w:b/>
          <w:bCs/>
          <w:color w:val="000000" w:themeColor="text1"/>
          <w:sz w:val="20"/>
          <w:szCs w:val="20"/>
          <w:lang w:val="en-US"/>
        </w:rPr>
        <w:t xml:space="preserve">Keywords: </w:t>
      </w:r>
      <w:r w:rsidR="00AF18F0" w:rsidRPr="00305363">
        <w:rPr>
          <w:rFonts w:asciiTheme="majorBidi" w:eastAsia="Calibri" w:hAnsiTheme="majorBidi" w:cstheme="majorBidi"/>
          <w:b/>
          <w:bCs/>
          <w:color w:val="000000" w:themeColor="text1"/>
          <w:sz w:val="20"/>
          <w:szCs w:val="20"/>
          <w:lang w:val="en-US"/>
        </w:rPr>
        <w:t xml:space="preserve"> </w:t>
      </w:r>
      <w:r w:rsidR="00CF3676" w:rsidRPr="00305363">
        <w:rPr>
          <w:rFonts w:asciiTheme="majorBidi" w:hAnsiTheme="majorBidi" w:cstheme="majorBidi"/>
          <w:color w:val="000000" w:themeColor="text1"/>
          <w:sz w:val="20"/>
          <w:szCs w:val="20"/>
          <w:lang w:val="en-CA"/>
        </w:rPr>
        <w:t>Corporate governance</w:t>
      </w:r>
      <w:r w:rsidR="000F0C88" w:rsidRPr="00305363">
        <w:rPr>
          <w:rFonts w:asciiTheme="majorBidi" w:hAnsiTheme="majorBidi" w:cstheme="majorBidi"/>
          <w:color w:val="000000" w:themeColor="text1"/>
          <w:sz w:val="20"/>
          <w:szCs w:val="20"/>
          <w:lang w:val="en-CA"/>
        </w:rPr>
        <w:t>;</w:t>
      </w:r>
      <w:r w:rsidR="00CF3676" w:rsidRPr="00305363">
        <w:rPr>
          <w:rFonts w:asciiTheme="majorBidi" w:hAnsiTheme="majorBidi" w:cstheme="majorBidi"/>
          <w:color w:val="000000" w:themeColor="text1"/>
          <w:sz w:val="20"/>
          <w:szCs w:val="20"/>
          <w:lang w:val="en-CA"/>
        </w:rPr>
        <w:t xml:space="preserve"> </w:t>
      </w:r>
      <w:r w:rsidR="00305363" w:rsidRPr="00305363">
        <w:rPr>
          <w:rFonts w:asciiTheme="majorBidi" w:hAnsiTheme="majorBidi" w:cstheme="majorBidi"/>
          <w:color w:val="000000" w:themeColor="text1"/>
          <w:sz w:val="20"/>
          <w:szCs w:val="20"/>
          <w:lang w:val="en-CA"/>
        </w:rPr>
        <w:t xml:space="preserve">Ownership control; </w:t>
      </w:r>
      <w:r w:rsidR="00E64A0D" w:rsidRPr="00305363">
        <w:rPr>
          <w:rFonts w:asciiTheme="majorBidi" w:hAnsiTheme="majorBidi" w:cstheme="majorBidi"/>
          <w:color w:val="000000" w:themeColor="text1"/>
          <w:sz w:val="20"/>
          <w:szCs w:val="20"/>
          <w:lang w:val="en-CA"/>
        </w:rPr>
        <w:t xml:space="preserve">Dividend policy; </w:t>
      </w:r>
      <w:r w:rsidR="00305363" w:rsidRPr="00305363">
        <w:rPr>
          <w:rFonts w:asciiTheme="majorBidi" w:hAnsiTheme="majorBidi" w:cstheme="majorBidi"/>
          <w:color w:val="000000" w:themeColor="text1"/>
          <w:sz w:val="20"/>
          <w:szCs w:val="20"/>
          <w:lang w:val="en-CA"/>
        </w:rPr>
        <w:t xml:space="preserve">Asset Tunneling; </w:t>
      </w:r>
      <w:r w:rsidR="00BD03FA" w:rsidRPr="00305363">
        <w:rPr>
          <w:rFonts w:asciiTheme="majorBidi" w:hAnsiTheme="majorBidi" w:cstheme="majorBidi"/>
          <w:color w:val="000000" w:themeColor="text1"/>
          <w:sz w:val="20"/>
          <w:szCs w:val="20"/>
          <w:lang w:val="en-CA"/>
        </w:rPr>
        <w:t>Rent Protection</w:t>
      </w:r>
      <w:r w:rsidR="00FA7E77" w:rsidRPr="00305363">
        <w:rPr>
          <w:rFonts w:asciiTheme="majorBidi" w:hAnsiTheme="majorBidi" w:cstheme="majorBidi"/>
          <w:color w:val="000000" w:themeColor="text1"/>
          <w:sz w:val="20"/>
          <w:szCs w:val="20"/>
          <w:lang w:val="en-CA"/>
        </w:rPr>
        <w:t>.</w:t>
      </w:r>
    </w:p>
    <w:p w:rsidR="003E33FF" w:rsidRPr="00305363" w:rsidRDefault="00305363" w:rsidP="0075548D">
      <w:pPr>
        <w:widowControl w:val="0"/>
        <w:autoSpaceDE w:val="0"/>
        <w:autoSpaceDN w:val="0"/>
        <w:adjustRightInd w:val="0"/>
        <w:spacing w:before="120" w:after="0" w:line="240" w:lineRule="auto"/>
        <w:jc w:val="both"/>
        <w:rPr>
          <w:rFonts w:asciiTheme="majorBidi" w:eastAsia="Arial Unicode MS" w:hAnsiTheme="majorBidi" w:cstheme="majorBidi"/>
          <w:color w:val="2E2E2E"/>
          <w:sz w:val="20"/>
          <w:szCs w:val="20"/>
        </w:rPr>
      </w:pPr>
      <w:r w:rsidRPr="00305363">
        <w:rPr>
          <w:rFonts w:asciiTheme="majorBidi" w:eastAsia="Calibri" w:hAnsiTheme="majorBidi" w:cstheme="majorBidi"/>
          <w:b/>
          <w:bCs/>
          <w:color w:val="000000" w:themeColor="text1"/>
          <w:sz w:val="20"/>
          <w:szCs w:val="20"/>
          <w:lang w:val="en-CA"/>
        </w:rPr>
        <w:t xml:space="preserve">JEL Classification: </w:t>
      </w:r>
      <w:r w:rsidR="003E33FF" w:rsidRPr="00305363">
        <w:rPr>
          <w:rFonts w:asciiTheme="majorBidi" w:eastAsia="Arial Unicode MS" w:hAnsiTheme="majorBidi" w:cstheme="majorBidi"/>
          <w:color w:val="2E2E2E"/>
          <w:sz w:val="20"/>
          <w:szCs w:val="20"/>
          <w:bdr w:val="none" w:sz="0" w:space="0" w:color="auto" w:frame="1"/>
        </w:rPr>
        <w:t>G32</w:t>
      </w:r>
      <w:r w:rsidR="003E33FF" w:rsidRPr="00305363">
        <w:rPr>
          <w:rFonts w:asciiTheme="majorBidi" w:eastAsia="Arial Unicode MS" w:hAnsiTheme="majorBidi" w:cstheme="majorBidi"/>
          <w:color w:val="2E2E2E"/>
          <w:sz w:val="20"/>
          <w:szCs w:val="20"/>
        </w:rPr>
        <w:t>;</w:t>
      </w:r>
      <w:r w:rsidR="003E33FF" w:rsidRPr="00305363">
        <w:rPr>
          <w:rStyle w:val="apple-converted-space"/>
          <w:rFonts w:asciiTheme="majorBidi" w:eastAsia="Arial Unicode MS" w:hAnsiTheme="majorBidi" w:cstheme="majorBidi"/>
          <w:color w:val="2E2E2E"/>
          <w:sz w:val="20"/>
          <w:szCs w:val="20"/>
        </w:rPr>
        <w:t> </w:t>
      </w:r>
      <w:r w:rsidR="003E33FF" w:rsidRPr="00305363">
        <w:rPr>
          <w:rFonts w:asciiTheme="majorBidi" w:eastAsia="Arial Unicode MS" w:hAnsiTheme="majorBidi" w:cstheme="majorBidi"/>
          <w:color w:val="2E2E2E"/>
          <w:sz w:val="20"/>
          <w:szCs w:val="20"/>
          <w:bdr w:val="none" w:sz="0" w:space="0" w:color="auto" w:frame="1"/>
        </w:rPr>
        <w:t>G34</w:t>
      </w:r>
      <w:r w:rsidR="003E33FF" w:rsidRPr="00305363">
        <w:rPr>
          <w:rFonts w:asciiTheme="majorBidi" w:eastAsia="Arial Unicode MS" w:hAnsiTheme="majorBidi" w:cstheme="majorBidi"/>
          <w:color w:val="2E2E2E"/>
          <w:sz w:val="20"/>
          <w:szCs w:val="20"/>
        </w:rPr>
        <w:t>;</w:t>
      </w:r>
      <w:r w:rsidR="003E33FF" w:rsidRPr="00305363">
        <w:rPr>
          <w:rStyle w:val="apple-converted-space"/>
          <w:rFonts w:asciiTheme="majorBidi" w:eastAsia="Arial Unicode MS" w:hAnsiTheme="majorBidi" w:cstheme="majorBidi"/>
          <w:color w:val="2E2E2E"/>
          <w:sz w:val="20"/>
          <w:szCs w:val="20"/>
        </w:rPr>
        <w:t> </w:t>
      </w:r>
      <w:r w:rsidR="003E33FF" w:rsidRPr="00305363">
        <w:rPr>
          <w:rFonts w:asciiTheme="majorBidi" w:eastAsia="Arial Unicode MS" w:hAnsiTheme="majorBidi" w:cstheme="majorBidi"/>
          <w:color w:val="2E2E2E"/>
          <w:sz w:val="20"/>
          <w:szCs w:val="20"/>
          <w:bdr w:val="none" w:sz="0" w:space="0" w:color="auto" w:frame="1"/>
        </w:rPr>
        <w:t>G35</w:t>
      </w:r>
    </w:p>
    <w:p w:rsidR="003E33FF" w:rsidRDefault="003E33FF" w:rsidP="007B566C">
      <w:pPr>
        <w:widowControl w:val="0"/>
        <w:autoSpaceDE w:val="0"/>
        <w:autoSpaceDN w:val="0"/>
        <w:adjustRightInd w:val="0"/>
        <w:spacing w:after="0" w:line="240" w:lineRule="auto"/>
        <w:jc w:val="both"/>
        <w:rPr>
          <w:rFonts w:ascii="Times New Roman" w:eastAsia="Calibri" w:hAnsi="Times New Roman" w:cs="Times New Roman"/>
          <w:b/>
          <w:bCs/>
          <w:color w:val="000000" w:themeColor="text1"/>
          <w:sz w:val="20"/>
          <w:szCs w:val="20"/>
          <w:lang w:val="en-CA"/>
        </w:rPr>
      </w:pPr>
    </w:p>
    <w:p w:rsidR="0075548D" w:rsidRDefault="0075548D" w:rsidP="007B566C">
      <w:pPr>
        <w:widowControl w:val="0"/>
        <w:autoSpaceDE w:val="0"/>
        <w:autoSpaceDN w:val="0"/>
        <w:adjustRightInd w:val="0"/>
        <w:spacing w:after="0" w:line="240" w:lineRule="auto"/>
        <w:jc w:val="both"/>
        <w:rPr>
          <w:rFonts w:ascii="Times New Roman" w:eastAsia="Calibri" w:hAnsi="Times New Roman" w:cs="Times New Roman"/>
          <w:b/>
          <w:bCs/>
          <w:color w:val="000000" w:themeColor="text1"/>
          <w:sz w:val="20"/>
          <w:szCs w:val="20"/>
          <w:lang w:val="en-CA"/>
        </w:rPr>
      </w:pPr>
    </w:p>
    <w:p w:rsidR="001365FC" w:rsidRPr="007B566C" w:rsidRDefault="001365FC" w:rsidP="007B566C">
      <w:pPr>
        <w:widowControl w:val="0"/>
        <w:autoSpaceDE w:val="0"/>
        <w:autoSpaceDN w:val="0"/>
        <w:adjustRightInd w:val="0"/>
        <w:spacing w:after="0" w:line="240" w:lineRule="auto"/>
        <w:jc w:val="both"/>
        <w:rPr>
          <w:rFonts w:ascii="Times New Roman" w:eastAsia="Calibri" w:hAnsi="Times New Roman" w:cs="Times New Roman"/>
          <w:b/>
          <w:bCs/>
          <w:color w:val="000000" w:themeColor="text1"/>
          <w:sz w:val="20"/>
          <w:szCs w:val="20"/>
          <w:lang w:val="en-CA"/>
        </w:rPr>
      </w:pPr>
    </w:p>
    <w:p w:rsidR="00173E57" w:rsidRPr="007B566C" w:rsidRDefault="00E7087E" w:rsidP="007B566C">
      <w:pPr>
        <w:pStyle w:val="ListParagraph"/>
        <w:widowControl w:val="0"/>
        <w:numPr>
          <w:ilvl w:val="0"/>
          <w:numId w:val="1"/>
        </w:numPr>
        <w:autoSpaceDE w:val="0"/>
        <w:autoSpaceDN w:val="0"/>
        <w:adjustRightInd w:val="0"/>
        <w:spacing w:after="0" w:line="240" w:lineRule="auto"/>
        <w:ind w:left="720" w:hanging="720"/>
        <w:jc w:val="both"/>
        <w:rPr>
          <w:rFonts w:ascii="Times New Roman" w:hAnsi="Times New Roman" w:cs="Times New Roman"/>
          <w:b/>
          <w:bCs/>
          <w:smallCaps/>
          <w:color w:val="000000" w:themeColor="text1"/>
          <w:sz w:val="20"/>
          <w:szCs w:val="20"/>
          <w:lang w:val="en-US"/>
        </w:rPr>
      </w:pPr>
      <w:r w:rsidRPr="007B566C">
        <w:rPr>
          <w:rFonts w:ascii="Times New Roman Bold" w:hAnsi="Times New Roman Bold" w:cs="Times New Roman"/>
          <w:b/>
          <w:bCs/>
          <w:caps/>
          <w:color w:val="000000" w:themeColor="text1"/>
          <w:sz w:val="20"/>
          <w:szCs w:val="20"/>
          <w:lang w:val="en-US"/>
        </w:rPr>
        <w:t>Introduction</w:t>
      </w:r>
    </w:p>
    <w:p w:rsidR="001365FC" w:rsidRPr="007B566C" w:rsidRDefault="001365FC" w:rsidP="007B566C">
      <w:pPr>
        <w:widowControl w:val="0"/>
        <w:autoSpaceDE w:val="0"/>
        <w:autoSpaceDN w:val="0"/>
        <w:adjustRightInd w:val="0"/>
        <w:spacing w:after="0" w:line="240" w:lineRule="auto"/>
        <w:jc w:val="both"/>
        <w:rPr>
          <w:rFonts w:ascii="Times New Roman" w:eastAsia="Calibri" w:hAnsi="Times New Roman" w:cs="Times New Roman"/>
          <w:color w:val="000000" w:themeColor="text1"/>
          <w:sz w:val="20"/>
          <w:szCs w:val="20"/>
          <w:lang w:val="en-US" w:eastAsia="en-US"/>
        </w:rPr>
      </w:pPr>
    </w:p>
    <w:p w:rsidR="00C11C96" w:rsidRPr="007B566C" w:rsidRDefault="00D74476" w:rsidP="008E320F">
      <w:pPr>
        <w:widowControl w:val="0"/>
        <w:autoSpaceDE w:val="0"/>
        <w:autoSpaceDN w:val="0"/>
        <w:adjustRightInd w:val="0"/>
        <w:spacing w:after="0" w:line="240" w:lineRule="auto"/>
        <w:jc w:val="both"/>
        <w:rPr>
          <w:rFonts w:asciiTheme="majorBidi" w:hAnsiTheme="majorBidi" w:cstheme="majorBidi"/>
          <w:sz w:val="20"/>
          <w:szCs w:val="20"/>
          <w:lang w:val="en-US"/>
        </w:rPr>
      </w:pPr>
      <w:r w:rsidRPr="007B566C">
        <w:rPr>
          <w:rFonts w:asciiTheme="majorBidi" w:hAnsiTheme="majorBidi" w:cstheme="majorBidi"/>
          <w:sz w:val="20"/>
          <w:szCs w:val="20"/>
          <w:lang w:val="en-US"/>
        </w:rPr>
        <w:t xml:space="preserve">A large stream of </w:t>
      </w:r>
      <w:r w:rsidR="002E7EE3" w:rsidRPr="007B566C">
        <w:rPr>
          <w:rFonts w:asciiTheme="majorBidi" w:hAnsiTheme="majorBidi" w:cstheme="majorBidi"/>
          <w:sz w:val="20"/>
          <w:szCs w:val="20"/>
          <w:lang w:val="en-US"/>
        </w:rPr>
        <w:t>corporate governance research</w:t>
      </w:r>
      <w:r w:rsidRPr="007B566C">
        <w:rPr>
          <w:rFonts w:asciiTheme="majorBidi" w:hAnsiTheme="majorBidi" w:cstheme="majorBidi"/>
          <w:sz w:val="20"/>
          <w:szCs w:val="20"/>
          <w:lang w:val="en-US"/>
        </w:rPr>
        <w:t xml:space="preserve"> has focused on agency </w:t>
      </w:r>
      <w:r w:rsidR="002B17BF" w:rsidRPr="007B566C">
        <w:rPr>
          <w:rFonts w:asciiTheme="majorBidi" w:hAnsiTheme="majorBidi" w:cstheme="majorBidi"/>
          <w:sz w:val="20"/>
          <w:szCs w:val="20"/>
          <w:lang w:val="en-US"/>
        </w:rPr>
        <w:t xml:space="preserve">conflicts firstly addressed </w:t>
      </w:r>
      <w:r w:rsidR="002E7EE3" w:rsidRPr="007B566C">
        <w:rPr>
          <w:rFonts w:asciiTheme="majorBidi" w:hAnsiTheme="majorBidi" w:cstheme="majorBidi"/>
          <w:sz w:val="20"/>
          <w:szCs w:val="20"/>
          <w:lang w:val="en-US"/>
        </w:rPr>
        <w:t xml:space="preserve">by </w:t>
      </w:r>
      <w:proofErr w:type="spellStart"/>
      <w:r w:rsidR="002E7EE3" w:rsidRPr="007B566C">
        <w:rPr>
          <w:rFonts w:asciiTheme="majorBidi" w:hAnsiTheme="majorBidi" w:cstheme="majorBidi"/>
          <w:sz w:val="20"/>
          <w:szCs w:val="20"/>
          <w:lang w:val="en-US"/>
        </w:rPr>
        <w:t>Berle</w:t>
      </w:r>
      <w:proofErr w:type="spellEnd"/>
      <w:r w:rsidR="002E7EE3" w:rsidRPr="007B566C">
        <w:rPr>
          <w:rFonts w:asciiTheme="majorBidi" w:hAnsiTheme="majorBidi" w:cstheme="majorBidi"/>
          <w:sz w:val="20"/>
          <w:szCs w:val="20"/>
          <w:lang w:val="en-US"/>
        </w:rPr>
        <w:t xml:space="preserve"> and Means (1932) and later by</w:t>
      </w:r>
      <w:r w:rsidR="00D85A63" w:rsidRPr="007B566C">
        <w:rPr>
          <w:rFonts w:asciiTheme="majorBidi" w:hAnsiTheme="majorBidi" w:cstheme="majorBidi"/>
          <w:sz w:val="20"/>
          <w:szCs w:val="20"/>
          <w:lang w:val="en-US"/>
        </w:rPr>
        <w:t xml:space="preserve"> </w:t>
      </w:r>
      <w:r w:rsidRPr="007B566C">
        <w:rPr>
          <w:rFonts w:asciiTheme="majorBidi" w:hAnsiTheme="majorBidi" w:cstheme="majorBidi"/>
          <w:sz w:val="20"/>
          <w:szCs w:val="20"/>
          <w:lang w:val="en-US"/>
        </w:rPr>
        <w:t xml:space="preserve">Jensen and </w:t>
      </w:r>
      <w:proofErr w:type="spellStart"/>
      <w:r w:rsidRPr="007B566C">
        <w:rPr>
          <w:rFonts w:asciiTheme="majorBidi" w:hAnsiTheme="majorBidi" w:cstheme="majorBidi"/>
          <w:sz w:val="20"/>
          <w:szCs w:val="20"/>
          <w:lang w:val="en-US"/>
        </w:rPr>
        <w:t>Meckling</w:t>
      </w:r>
      <w:proofErr w:type="spellEnd"/>
      <w:r w:rsidRPr="007B566C">
        <w:rPr>
          <w:rFonts w:asciiTheme="majorBidi" w:hAnsiTheme="majorBidi" w:cstheme="majorBidi"/>
          <w:sz w:val="20"/>
          <w:szCs w:val="20"/>
          <w:lang w:val="en-US"/>
        </w:rPr>
        <w:t xml:space="preserve"> (1976). </w:t>
      </w:r>
      <w:r w:rsidR="002B17BF" w:rsidRPr="007B566C">
        <w:rPr>
          <w:rFonts w:asciiTheme="majorBidi" w:hAnsiTheme="majorBidi" w:cstheme="majorBidi"/>
          <w:sz w:val="20"/>
          <w:szCs w:val="20"/>
          <w:lang w:val="en-US"/>
        </w:rPr>
        <w:t xml:space="preserve">The agency models can be divided into at least two distinct groups. The first set </w:t>
      </w:r>
      <w:r w:rsidR="00223994" w:rsidRPr="007B566C">
        <w:rPr>
          <w:rFonts w:asciiTheme="majorBidi" w:hAnsiTheme="majorBidi" w:cstheme="majorBidi"/>
          <w:sz w:val="20"/>
          <w:szCs w:val="20"/>
          <w:lang w:val="en-US"/>
        </w:rPr>
        <w:t xml:space="preserve">of </w:t>
      </w:r>
      <w:r w:rsidR="002E7EE3" w:rsidRPr="007B566C">
        <w:rPr>
          <w:rFonts w:asciiTheme="majorBidi" w:hAnsiTheme="majorBidi" w:cstheme="majorBidi"/>
          <w:sz w:val="20"/>
          <w:szCs w:val="20"/>
          <w:lang w:val="en-US"/>
        </w:rPr>
        <w:t>studies</w:t>
      </w:r>
      <w:r w:rsidR="00223994" w:rsidRPr="007B566C">
        <w:rPr>
          <w:rFonts w:asciiTheme="majorBidi" w:hAnsiTheme="majorBidi" w:cstheme="majorBidi"/>
          <w:sz w:val="20"/>
          <w:szCs w:val="20"/>
          <w:lang w:val="en-US"/>
        </w:rPr>
        <w:t xml:space="preserve"> </w:t>
      </w:r>
      <w:r w:rsidR="002B17BF" w:rsidRPr="007B566C">
        <w:rPr>
          <w:rFonts w:asciiTheme="majorBidi" w:hAnsiTheme="majorBidi" w:cstheme="majorBidi"/>
          <w:sz w:val="20"/>
          <w:szCs w:val="20"/>
          <w:lang w:val="en-US"/>
        </w:rPr>
        <w:t>analyzes agency conflicts that might arise between managers and shareholders</w:t>
      </w:r>
      <w:r w:rsidR="007D56F1" w:rsidRPr="007B566C">
        <w:rPr>
          <w:rFonts w:asciiTheme="majorBidi" w:hAnsiTheme="majorBidi" w:cstheme="majorBidi"/>
          <w:sz w:val="20"/>
          <w:szCs w:val="20"/>
          <w:lang w:val="en-US"/>
        </w:rPr>
        <w:t xml:space="preserve"> </w:t>
      </w:r>
      <w:r w:rsidR="00CE380E" w:rsidRPr="007B566C">
        <w:rPr>
          <w:rFonts w:asciiTheme="majorBidi" w:hAnsiTheme="majorBidi" w:cstheme="majorBidi"/>
          <w:sz w:val="20"/>
          <w:szCs w:val="20"/>
          <w:lang w:val="en-US"/>
        </w:rPr>
        <w:t xml:space="preserve">mainly because of objectives divergence </w:t>
      </w:r>
      <w:r w:rsidR="007D56F1" w:rsidRPr="007B566C">
        <w:rPr>
          <w:rFonts w:asciiTheme="majorBidi" w:hAnsiTheme="majorBidi" w:cstheme="majorBidi"/>
          <w:sz w:val="20"/>
          <w:szCs w:val="20"/>
          <w:lang w:val="en-US"/>
        </w:rPr>
        <w:t>(</w:t>
      </w:r>
      <w:proofErr w:type="spellStart"/>
      <w:r w:rsidR="007D56F1" w:rsidRPr="007B566C">
        <w:rPr>
          <w:rFonts w:asciiTheme="majorBidi" w:hAnsiTheme="majorBidi" w:cstheme="majorBidi"/>
          <w:sz w:val="20"/>
          <w:szCs w:val="20"/>
          <w:lang w:val="en-US"/>
        </w:rPr>
        <w:t>Morck</w:t>
      </w:r>
      <w:proofErr w:type="spellEnd"/>
      <w:r w:rsidR="007D56F1" w:rsidRPr="007B566C">
        <w:rPr>
          <w:rFonts w:asciiTheme="majorBidi" w:hAnsiTheme="majorBidi" w:cstheme="majorBidi"/>
          <w:sz w:val="20"/>
          <w:szCs w:val="20"/>
          <w:lang w:val="en-US"/>
        </w:rPr>
        <w:t xml:space="preserve">, </w:t>
      </w:r>
      <w:proofErr w:type="spellStart"/>
      <w:r w:rsidR="007D56F1" w:rsidRPr="007B566C">
        <w:rPr>
          <w:rFonts w:asciiTheme="majorBidi" w:hAnsiTheme="majorBidi" w:cstheme="majorBidi"/>
          <w:sz w:val="20"/>
          <w:szCs w:val="20"/>
          <w:lang w:val="en-US"/>
        </w:rPr>
        <w:t>Shleifer</w:t>
      </w:r>
      <w:proofErr w:type="spellEnd"/>
      <w:r w:rsidR="007D56F1" w:rsidRPr="007B566C">
        <w:rPr>
          <w:rFonts w:asciiTheme="majorBidi" w:hAnsiTheme="majorBidi" w:cstheme="majorBidi"/>
          <w:sz w:val="20"/>
          <w:szCs w:val="20"/>
          <w:lang w:val="en-US"/>
        </w:rPr>
        <w:t xml:space="preserve"> and </w:t>
      </w:r>
      <w:proofErr w:type="spellStart"/>
      <w:r w:rsidR="007D56F1" w:rsidRPr="007B566C">
        <w:rPr>
          <w:rFonts w:asciiTheme="majorBidi" w:hAnsiTheme="majorBidi" w:cstheme="majorBidi"/>
          <w:sz w:val="20"/>
          <w:szCs w:val="20"/>
          <w:lang w:val="en-US"/>
        </w:rPr>
        <w:t>Vishny</w:t>
      </w:r>
      <w:proofErr w:type="spellEnd"/>
      <w:r w:rsidR="007D56F1" w:rsidRPr="007B566C">
        <w:rPr>
          <w:rFonts w:asciiTheme="majorBidi" w:hAnsiTheme="majorBidi" w:cstheme="majorBidi"/>
          <w:sz w:val="20"/>
          <w:szCs w:val="20"/>
          <w:lang w:val="en-US"/>
        </w:rPr>
        <w:t>, 1988;</w:t>
      </w:r>
      <w:r w:rsidR="00CE380E" w:rsidRPr="007B566C">
        <w:rPr>
          <w:rFonts w:asciiTheme="majorBidi" w:hAnsiTheme="majorBidi" w:cstheme="majorBidi"/>
          <w:sz w:val="20"/>
          <w:szCs w:val="20"/>
          <w:lang w:val="en-US"/>
        </w:rPr>
        <w:t xml:space="preserve"> </w:t>
      </w:r>
      <w:r w:rsidR="007D56F1" w:rsidRPr="007B566C">
        <w:rPr>
          <w:rFonts w:asciiTheme="majorBidi" w:hAnsiTheme="majorBidi" w:cstheme="majorBidi"/>
          <w:sz w:val="20"/>
          <w:szCs w:val="20"/>
          <w:lang w:val="en-US"/>
        </w:rPr>
        <w:t xml:space="preserve">McConnell and </w:t>
      </w:r>
      <w:proofErr w:type="spellStart"/>
      <w:r w:rsidR="007D56F1" w:rsidRPr="007B566C">
        <w:rPr>
          <w:rFonts w:asciiTheme="majorBidi" w:hAnsiTheme="majorBidi" w:cstheme="majorBidi"/>
          <w:sz w:val="20"/>
          <w:szCs w:val="20"/>
          <w:lang w:val="en-US"/>
        </w:rPr>
        <w:t>Servaes</w:t>
      </w:r>
      <w:proofErr w:type="spellEnd"/>
      <w:r w:rsidR="007D56F1" w:rsidRPr="007B566C">
        <w:rPr>
          <w:rFonts w:asciiTheme="majorBidi" w:hAnsiTheme="majorBidi" w:cstheme="majorBidi"/>
          <w:sz w:val="20"/>
          <w:szCs w:val="20"/>
          <w:lang w:val="en-US"/>
        </w:rPr>
        <w:t>, 1990)</w:t>
      </w:r>
      <w:r w:rsidR="002B17BF" w:rsidRPr="007B566C">
        <w:rPr>
          <w:rFonts w:asciiTheme="majorBidi" w:hAnsiTheme="majorBidi" w:cstheme="majorBidi"/>
          <w:sz w:val="20"/>
          <w:szCs w:val="20"/>
          <w:lang w:val="en-US"/>
        </w:rPr>
        <w:t xml:space="preserve">. Managers are tempted to follow opportunistic behavior so as to entrench themselves </w:t>
      </w:r>
      <w:r w:rsidR="00223994" w:rsidRPr="007B566C">
        <w:rPr>
          <w:rFonts w:asciiTheme="majorBidi" w:hAnsiTheme="majorBidi" w:cstheme="majorBidi"/>
          <w:sz w:val="20"/>
          <w:szCs w:val="20"/>
          <w:lang w:val="en-US"/>
        </w:rPr>
        <w:t>at the expense of shareholders</w:t>
      </w:r>
      <w:r w:rsidR="007D56F1" w:rsidRPr="007B566C">
        <w:rPr>
          <w:rFonts w:asciiTheme="majorBidi" w:hAnsiTheme="majorBidi" w:cstheme="majorBidi"/>
          <w:sz w:val="20"/>
          <w:szCs w:val="20"/>
          <w:lang w:val="en-US"/>
        </w:rPr>
        <w:t>.</w:t>
      </w:r>
      <w:r w:rsidR="00223994" w:rsidRPr="007B566C">
        <w:rPr>
          <w:rFonts w:asciiTheme="majorBidi" w:hAnsiTheme="majorBidi" w:cstheme="majorBidi"/>
          <w:sz w:val="20"/>
          <w:szCs w:val="20"/>
          <w:lang w:val="en-US"/>
        </w:rPr>
        <w:t xml:space="preserve">  For instance, they can invest in unprofitable projects whose costs are assumed by shareholders to accrue private benefits. The second range of </w:t>
      </w:r>
      <w:r w:rsidR="002E7EE3" w:rsidRPr="007B566C">
        <w:rPr>
          <w:rFonts w:asciiTheme="majorBidi" w:hAnsiTheme="majorBidi" w:cstheme="majorBidi"/>
          <w:sz w:val="20"/>
          <w:szCs w:val="20"/>
          <w:lang w:val="en-US"/>
        </w:rPr>
        <w:t>research</w:t>
      </w:r>
      <w:r w:rsidR="00223994" w:rsidRPr="007B566C">
        <w:rPr>
          <w:rFonts w:asciiTheme="majorBidi" w:hAnsiTheme="majorBidi" w:cstheme="majorBidi"/>
          <w:sz w:val="20"/>
          <w:szCs w:val="20"/>
          <w:lang w:val="en-US"/>
        </w:rPr>
        <w:t xml:space="preserve"> investigates agency conflicts between debtholders and shareholders</w:t>
      </w:r>
      <w:r w:rsidR="007D56F1" w:rsidRPr="007B566C">
        <w:rPr>
          <w:rFonts w:asciiTheme="majorBidi" w:hAnsiTheme="majorBidi" w:cstheme="majorBidi"/>
          <w:sz w:val="20"/>
          <w:szCs w:val="20"/>
          <w:lang w:val="en-US"/>
        </w:rPr>
        <w:t xml:space="preserve"> (</w:t>
      </w:r>
      <w:proofErr w:type="spellStart"/>
      <w:r w:rsidR="007D56F1" w:rsidRPr="007B566C">
        <w:rPr>
          <w:rFonts w:asciiTheme="majorBidi" w:hAnsiTheme="majorBidi" w:cstheme="majorBidi"/>
          <w:sz w:val="20"/>
          <w:szCs w:val="20"/>
          <w:lang w:val="en-US"/>
        </w:rPr>
        <w:t>Kalay</w:t>
      </w:r>
      <w:proofErr w:type="spellEnd"/>
      <w:r w:rsidR="007D56F1" w:rsidRPr="007B566C">
        <w:rPr>
          <w:rFonts w:asciiTheme="majorBidi" w:hAnsiTheme="majorBidi" w:cstheme="majorBidi"/>
          <w:sz w:val="20"/>
          <w:szCs w:val="20"/>
          <w:lang w:val="en-US"/>
        </w:rPr>
        <w:t>, 1982</w:t>
      </w:r>
      <w:r w:rsidR="00BC5F2A" w:rsidRPr="007B566C">
        <w:rPr>
          <w:rFonts w:asciiTheme="majorBidi" w:hAnsiTheme="majorBidi" w:cstheme="majorBidi"/>
          <w:sz w:val="20"/>
          <w:szCs w:val="20"/>
          <w:lang w:val="en-US"/>
        </w:rPr>
        <w:t xml:space="preserve">; Jensen, 1986; </w:t>
      </w:r>
      <w:proofErr w:type="spellStart"/>
      <w:r w:rsidR="00BC5F2A" w:rsidRPr="007B566C">
        <w:rPr>
          <w:rFonts w:asciiTheme="majorBidi" w:hAnsiTheme="majorBidi" w:cstheme="majorBidi"/>
          <w:sz w:val="20"/>
          <w:szCs w:val="20"/>
          <w:lang w:val="en-US"/>
        </w:rPr>
        <w:t>Fama</w:t>
      </w:r>
      <w:proofErr w:type="spellEnd"/>
      <w:r w:rsidR="00BC5F2A" w:rsidRPr="007B566C">
        <w:rPr>
          <w:rFonts w:asciiTheme="majorBidi" w:hAnsiTheme="majorBidi" w:cstheme="majorBidi"/>
          <w:sz w:val="20"/>
          <w:szCs w:val="20"/>
          <w:lang w:val="en-US"/>
        </w:rPr>
        <w:t xml:space="preserve"> and Miller, 1972)</w:t>
      </w:r>
      <w:r w:rsidR="00223994" w:rsidRPr="007B566C">
        <w:rPr>
          <w:rFonts w:asciiTheme="majorBidi" w:hAnsiTheme="majorBidi" w:cstheme="majorBidi"/>
          <w:sz w:val="20"/>
          <w:szCs w:val="20"/>
          <w:lang w:val="en-US"/>
        </w:rPr>
        <w:t xml:space="preserve">. The latter may urge the manager to take </w:t>
      </w:r>
      <w:r w:rsidR="00223994" w:rsidRPr="00B46F3D">
        <w:rPr>
          <w:rFonts w:asciiTheme="majorBidi" w:hAnsiTheme="majorBidi" w:cstheme="majorBidi"/>
          <w:sz w:val="20"/>
          <w:szCs w:val="20"/>
          <w:lang w:val="en-US"/>
        </w:rPr>
        <w:t xml:space="preserve">excessive risk to maximize revenues even though the risk downside is borne by the </w:t>
      </w:r>
      <w:r w:rsidR="00546A4E" w:rsidRPr="00B46F3D">
        <w:rPr>
          <w:rFonts w:asciiTheme="majorBidi" w:hAnsiTheme="majorBidi" w:cstheme="majorBidi"/>
          <w:sz w:val="20"/>
          <w:szCs w:val="20"/>
          <w:lang w:val="en-US"/>
        </w:rPr>
        <w:t>former</w:t>
      </w:r>
      <w:r w:rsidR="008E293F" w:rsidRPr="00B46F3D">
        <w:rPr>
          <w:rFonts w:asciiTheme="majorBidi" w:hAnsiTheme="majorBidi" w:cstheme="majorBidi"/>
          <w:sz w:val="20"/>
          <w:szCs w:val="20"/>
          <w:lang w:val="en-US"/>
        </w:rPr>
        <w:t xml:space="preserve"> or not</w:t>
      </w:r>
      <w:r w:rsidR="00CE380E" w:rsidRPr="00B46F3D">
        <w:rPr>
          <w:rFonts w:asciiTheme="majorBidi" w:hAnsiTheme="majorBidi" w:cstheme="majorBidi"/>
          <w:sz w:val="20"/>
          <w:szCs w:val="20"/>
          <w:lang w:val="en-US"/>
        </w:rPr>
        <w:t xml:space="preserve"> to</w:t>
      </w:r>
      <w:r w:rsidR="008E293F" w:rsidRPr="00B46F3D">
        <w:rPr>
          <w:rFonts w:asciiTheme="majorBidi" w:hAnsiTheme="majorBidi" w:cstheme="majorBidi"/>
          <w:sz w:val="20"/>
          <w:szCs w:val="20"/>
          <w:lang w:val="en-US"/>
        </w:rPr>
        <w:t xml:space="preserve"> invest in positive NPV projects</w:t>
      </w:r>
      <w:r w:rsidR="008E293F" w:rsidRPr="007B566C">
        <w:rPr>
          <w:rFonts w:asciiTheme="majorBidi" w:hAnsiTheme="majorBidi" w:cstheme="majorBidi"/>
          <w:sz w:val="20"/>
          <w:szCs w:val="20"/>
          <w:lang w:val="en-US"/>
        </w:rPr>
        <w:t xml:space="preserve"> </w:t>
      </w:r>
      <w:r w:rsidR="007D56F1" w:rsidRPr="007B566C">
        <w:rPr>
          <w:rFonts w:asciiTheme="majorBidi" w:hAnsiTheme="majorBidi" w:cstheme="majorBidi"/>
          <w:sz w:val="20"/>
          <w:szCs w:val="20"/>
          <w:lang w:val="en-US"/>
        </w:rPr>
        <w:t xml:space="preserve">simply because value would benefit lenders. </w:t>
      </w:r>
      <w:r w:rsidR="008E320F">
        <w:rPr>
          <w:rFonts w:asciiTheme="majorBidi" w:hAnsiTheme="majorBidi" w:cstheme="majorBidi"/>
          <w:sz w:val="20"/>
          <w:szCs w:val="20"/>
          <w:lang w:val="en-US"/>
        </w:rPr>
        <w:t>B</w:t>
      </w:r>
      <w:r w:rsidR="00546A4E" w:rsidRPr="007B566C">
        <w:rPr>
          <w:rFonts w:asciiTheme="majorBidi" w:hAnsiTheme="majorBidi" w:cstheme="majorBidi"/>
          <w:sz w:val="20"/>
          <w:szCs w:val="20"/>
          <w:lang w:val="en-US"/>
        </w:rPr>
        <w:t>oth categories of agency costs</w:t>
      </w:r>
      <w:r w:rsidR="0018018F" w:rsidRPr="007B566C">
        <w:rPr>
          <w:rFonts w:asciiTheme="majorBidi" w:hAnsiTheme="majorBidi" w:cstheme="majorBidi"/>
          <w:sz w:val="20"/>
          <w:szCs w:val="20"/>
          <w:lang w:val="en-US"/>
        </w:rPr>
        <w:t xml:space="preserve"> </w:t>
      </w:r>
      <w:r w:rsidR="008E320F">
        <w:rPr>
          <w:rFonts w:asciiTheme="majorBidi" w:hAnsiTheme="majorBidi" w:cstheme="majorBidi"/>
          <w:sz w:val="20"/>
          <w:szCs w:val="20"/>
          <w:lang w:val="en-US"/>
        </w:rPr>
        <w:t xml:space="preserve">are </w:t>
      </w:r>
      <w:r w:rsidR="0018018F" w:rsidRPr="007B566C">
        <w:rPr>
          <w:rFonts w:asciiTheme="majorBidi" w:hAnsiTheme="majorBidi" w:cstheme="majorBidi"/>
          <w:sz w:val="20"/>
          <w:szCs w:val="20"/>
          <w:lang w:val="en-US"/>
        </w:rPr>
        <w:t xml:space="preserve">mostly addressed </w:t>
      </w:r>
      <w:r w:rsidR="008E320F">
        <w:rPr>
          <w:rFonts w:asciiTheme="majorBidi" w:hAnsiTheme="majorBidi" w:cstheme="majorBidi"/>
          <w:sz w:val="20"/>
          <w:szCs w:val="20"/>
          <w:lang w:val="en-US"/>
        </w:rPr>
        <w:t xml:space="preserve">in </w:t>
      </w:r>
      <w:r w:rsidR="002D3426" w:rsidRPr="007B566C">
        <w:rPr>
          <w:rFonts w:asciiTheme="majorBidi" w:hAnsiTheme="majorBidi" w:cstheme="majorBidi"/>
          <w:sz w:val="20"/>
          <w:szCs w:val="20"/>
          <w:lang w:val="en-US"/>
        </w:rPr>
        <w:t xml:space="preserve">widely </w:t>
      </w:r>
      <w:r w:rsidR="00546A4E" w:rsidRPr="007B566C">
        <w:rPr>
          <w:rFonts w:asciiTheme="majorBidi" w:hAnsiTheme="majorBidi" w:cstheme="majorBidi"/>
          <w:sz w:val="20"/>
          <w:szCs w:val="20"/>
          <w:lang w:val="en-US"/>
        </w:rPr>
        <w:t>dispersed-ownership firms where</w:t>
      </w:r>
      <w:r w:rsidR="003D0837" w:rsidRPr="007B566C">
        <w:rPr>
          <w:rFonts w:asciiTheme="majorBidi" w:hAnsiTheme="majorBidi" w:cstheme="majorBidi"/>
          <w:sz w:val="20"/>
          <w:szCs w:val="20"/>
          <w:lang w:val="en-US"/>
        </w:rPr>
        <w:t xml:space="preserve"> all shareholders </w:t>
      </w:r>
      <w:r w:rsidR="002D3426" w:rsidRPr="007B566C">
        <w:rPr>
          <w:rFonts w:asciiTheme="majorBidi" w:hAnsiTheme="majorBidi" w:cstheme="majorBidi"/>
          <w:sz w:val="20"/>
          <w:szCs w:val="20"/>
          <w:lang w:val="en-US"/>
        </w:rPr>
        <w:t xml:space="preserve">fairly </w:t>
      </w:r>
      <w:r w:rsidR="00674850" w:rsidRPr="007B566C">
        <w:rPr>
          <w:rFonts w:asciiTheme="majorBidi" w:hAnsiTheme="majorBidi" w:cstheme="majorBidi"/>
          <w:sz w:val="20"/>
          <w:szCs w:val="20"/>
          <w:lang w:val="en-US"/>
        </w:rPr>
        <w:t>receive</w:t>
      </w:r>
      <w:r w:rsidR="002D3426" w:rsidRPr="007B566C">
        <w:rPr>
          <w:rFonts w:asciiTheme="majorBidi" w:hAnsiTheme="majorBidi" w:cstheme="majorBidi"/>
          <w:sz w:val="20"/>
          <w:szCs w:val="20"/>
          <w:lang w:val="en-US"/>
        </w:rPr>
        <w:t xml:space="preserve"> their revenues</w:t>
      </w:r>
      <w:r w:rsidR="007A773A" w:rsidRPr="007B566C">
        <w:rPr>
          <w:rFonts w:asciiTheme="majorBidi" w:hAnsiTheme="majorBidi" w:cstheme="majorBidi"/>
          <w:sz w:val="20"/>
          <w:szCs w:val="20"/>
          <w:lang w:val="en-US"/>
        </w:rPr>
        <w:t xml:space="preserve"> through dividends</w:t>
      </w:r>
      <w:r w:rsidR="002D3426" w:rsidRPr="007B566C">
        <w:rPr>
          <w:rFonts w:asciiTheme="majorBidi" w:hAnsiTheme="majorBidi" w:cstheme="majorBidi"/>
          <w:sz w:val="20"/>
          <w:szCs w:val="20"/>
          <w:lang w:val="en-US"/>
        </w:rPr>
        <w:t xml:space="preserve">. </w:t>
      </w:r>
      <w:r w:rsidR="0008075B" w:rsidRPr="007B566C">
        <w:rPr>
          <w:rFonts w:asciiTheme="majorBidi" w:hAnsiTheme="majorBidi" w:cstheme="majorBidi"/>
          <w:sz w:val="20"/>
          <w:szCs w:val="20"/>
          <w:lang w:val="en-US"/>
        </w:rPr>
        <w:t xml:space="preserve">Dividends are indeed considered as a corporate governance mechanism that contributes to </w:t>
      </w:r>
      <w:r w:rsidR="0097554A" w:rsidRPr="007B566C">
        <w:rPr>
          <w:rFonts w:asciiTheme="majorBidi" w:hAnsiTheme="majorBidi" w:cstheme="majorBidi"/>
          <w:sz w:val="20"/>
          <w:szCs w:val="20"/>
          <w:lang w:val="en-US"/>
        </w:rPr>
        <w:t>curtailing</w:t>
      </w:r>
      <w:r w:rsidR="0008075B" w:rsidRPr="007B566C">
        <w:rPr>
          <w:rFonts w:asciiTheme="majorBidi" w:hAnsiTheme="majorBidi" w:cstheme="majorBidi"/>
          <w:sz w:val="20"/>
          <w:szCs w:val="20"/>
          <w:lang w:val="en-US"/>
        </w:rPr>
        <w:t xml:space="preserve"> agency conflicts (</w:t>
      </w:r>
      <w:proofErr w:type="spellStart"/>
      <w:r w:rsidR="00A12AA0" w:rsidRPr="007B566C">
        <w:rPr>
          <w:rFonts w:asciiTheme="majorBidi" w:hAnsiTheme="majorBidi" w:cstheme="majorBidi"/>
          <w:sz w:val="20"/>
          <w:szCs w:val="20"/>
          <w:lang w:val="en-US"/>
        </w:rPr>
        <w:t>Rozeff</w:t>
      </w:r>
      <w:proofErr w:type="spellEnd"/>
      <w:r w:rsidR="00A12AA0" w:rsidRPr="007B566C">
        <w:rPr>
          <w:rFonts w:asciiTheme="majorBidi" w:hAnsiTheme="majorBidi" w:cstheme="majorBidi"/>
          <w:sz w:val="20"/>
          <w:szCs w:val="20"/>
          <w:lang w:val="en-US"/>
        </w:rPr>
        <w:t xml:space="preserve">, 1982; </w:t>
      </w:r>
      <w:proofErr w:type="spellStart"/>
      <w:r w:rsidR="0008075B" w:rsidRPr="007B566C">
        <w:rPr>
          <w:rFonts w:asciiTheme="majorBidi" w:hAnsiTheme="majorBidi" w:cstheme="majorBidi"/>
          <w:sz w:val="20"/>
          <w:szCs w:val="20"/>
          <w:lang w:val="en-US"/>
        </w:rPr>
        <w:t>Eaterbrook</w:t>
      </w:r>
      <w:proofErr w:type="spellEnd"/>
      <w:r w:rsidR="0008075B" w:rsidRPr="007B566C">
        <w:rPr>
          <w:rFonts w:asciiTheme="majorBidi" w:hAnsiTheme="majorBidi" w:cstheme="majorBidi"/>
          <w:sz w:val="20"/>
          <w:szCs w:val="20"/>
          <w:lang w:val="en-US"/>
        </w:rPr>
        <w:t>, 1984; Jensen, 1986). Furthermore, empirical evidence report higher dividends for such a context</w:t>
      </w:r>
      <w:r w:rsidR="00ED3BA4" w:rsidRPr="007B566C">
        <w:rPr>
          <w:rFonts w:asciiTheme="majorBidi" w:hAnsiTheme="majorBidi" w:cstheme="majorBidi"/>
          <w:sz w:val="20"/>
          <w:szCs w:val="20"/>
          <w:lang w:val="en-US"/>
        </w:rPr>
        <w:t xml:space="preserve"> thanks to the law enforcement (La </w:t>
      </w:r>
      <w:proofErr w:type="spellStart"/>
      <w:r w:rsidR="00ED3BA4" w:rsidRPr="007B566C">
        <w:rPr>
          <w:rFonts w:asciiTheme="majorBidi" w:hAnsiTheme="majorBidi" w:cstheme="majorBidi"/>
          <w:sz w:val="20"/>
          <w:szCs w:val="20"/>
          <w:lang w:val="en-US"/>
        </w:rPr>
        <w:t>Porta</w:t>
      </w:r>
      <w:proofErr w:type="spellEnd"/>
      <w:r w:rsidR="00ED3BA4" w:rsidRPr="007B566C">
        <w:rPr>
          <w:rFonts w:asciiTheme="majorBidi" w:hAnsiTheme="majorBidi" w:cstheme="majorBidi"/>
          <w:sz w:val="20"/>
          <w:szCs w:val="20"/>
          <w:lang w:val="en-US"/>
        </w:rPr>
        <w:t xml:space="preserve"> et al., 2000)</w:t>
      </w:r>
      <w:r w:rsidR="0008075B" w:rsidRPr="007B566C">
        <w:rPr>
          <w:rFonts w:asciiTheme="majorBidi" w:hAnsiTheme="majorBidi" w:cstheme="majorBidi"/>
          <w:sz w:val="20"/>
          <w:szCs w:val="20"/>
          <w:lang w:val="en-US"/>
        </w:rPr>
        <w:t>.</w:t>
      </w:r>
    </w:p>
    <w:p w:rsidR="00C11C96" w:rsidRPr="007B566C" w:rsidRDefault="00C11C96" w:rsidP="007B566C">
      <w:pPr>
        <w:widowControl w:val="0"/>
        <w:autoSpaceDE w:val="0"/>
        <w:autoSpaceDN w:val="0"/>
        <w:adjustRightInd w:val="0"/>
        <w:spacing w:after="0" w:line="240" w:lineRule="auto"/>
        <w:ind w:firstLine="720"/>
        <w:jc w:val="both"/>
        <w:rPr>
          <w:rFonts w:asciiTheme="majorBidi" w:hAnsiTheme="majorBidi" w:cstheme="majorBidi"/>
          <w:sz w:val="20"/>
          <w:szCs w:val="20"/>
          <w:lang w:val="en-US"/>
        </w:rPr>
      </w:pPr>
    </w:p>
    <w:p w:rsidR="00AC4622" w:rsidRPr="007B566C" w:rsidRDefault="002D3426" w:rsidP="007B566C">
      <w:pPr>
        <w:widowControl w:val="0"/>
        <w:autoSpaceDE w:val="0"/>
        <w:autoSpaceDN w:val="0"/>
        <w:adjustRightInd w:val="0"/>
        <w:spacing w:after="0" w:line="240" w:lineRule="auto"/>
        <w:ind w:firstLine="720"/>
        <w:jc w:val="both"/>
        <w:rPr>
          <w:rFonts w:asciiTheme="majorBidi" w:hAnsiTheme="majorBidi" w:cstheme="majorBidi"/>
          <w:color w:val="000000"/>
          <w:sz w:val="20"/>
          <w:szCs w:val="20"/>
          <w:lang w:val="en-US"/>
        </w:rPr>
      </w:pPr>
      <w:r w:rsidRPr="007B566C">
        <w:rPr>
          <w:rFonts w:asciiTheme="majorBidi" w:hAnsiTheme="majorBidi" w:cstheme="majorBidi"/>
          <w:sz w:val="20"/>
          <w:szCs w:val="20"/>
          <w:lang w:val="en-US"/>
        </w:rPr>
        <w:t>However, these findings are not always consistent especially for firms loc</w:t>
      </w:r>
      <w:r w:rsidR="0008075B" w:rsidRPr="007B566C">
        <w:rPr>
          <w:rFonts w:asciiTheme="majorBidi" w:hAnsiTheme="majorBidi" w:cstheme="majorBidi"/>
          <w:sz w:val="20"/>
          <w:szCs w:val="20"/>
          <w:lang w:val="en-US"/>
        </w:rPr>
        <w:t xml:space="preserve">ated outside the US and the UK. </w:t>
      </w:r>
      <w:r w:rsidRPr="007B566C">
        <w:rPr>
          <w:rFonts w:asciiTheme="majorBidi" w:hAnsiTheme="majorBidi" w:cstheme="majorBidi"/>
          <w:sz w:val="20"/>
          <w:szCs w:val="20"/>
          <w:lang w:val="en-US"/>
        </w:rPr>
        <w:t xml:space="preserve">There </w:t>
      </w:r>
      <w:r w:rsidR="007A773A" w:rsidRPr="007B566C">
        <w:rPr>
          <w:rFonts w:asciiTheme="majorBidi" w:hAnsiTheme="majorBidi" w:cstheme="majorBidi"/>
          <w:sz w:val="20"/>
          <w:szCs w:val="20"/>
          <w:lang w:val="en-US"/>
        </w:rPr>
        <w:t xml:space="preserve">is an increasing evidence of </w:t>
      </w:r>
      <w:r w:rsidR="00FF06B8" w:rsidRPr="007B566C">
        <w:rPr>
          <w:rFonts w:asciiTheme="majorBidi" w:hAnsiTheme="majorBidi" w:cstheme="majorBidi"/>
          <w:sz w:val="20"/>
          <w:szCs w:val="20"/>
          <w:lang w:val="en-US"/>
        </w:rPr>
        <w:t xml:space="preserve">a </w:t>
      </w:r>
      <w:r w:rsidR="007A773A" w:rsidRPr="007B566C">
        <w:rPr>
          <w:rFonts w:asciiTheme="majorBidi" w:hAnsiTheme="majorBidi" w:cstheme="majorBidi"/>
          <w:sz w:val="20"/>
          <w:szCs w:val="20"/>
          <w:lang w:val="en-US"/>
        </w:rPr>
        <w:t>concentrated ownership held by one or a few blockholders (</w:t>
      </w:r>
      <w:proofErr w:type="spellStart"/>
      <w:r w:rsidR="00FF06B8" w:rsidRPr="007B566C">
        <w:rPr>
          <w:rFonts w:asciiTheme="majorBidi" w:hAnsiTheme="majorBidi" w:cstheme="majorBidi"/>
          <w:sz w:val="20"/>
          <w:szCs w:val="20"/>
          <w:lang w:val="en-US"/>
        </w:rPr>
        <w:t>Zingales</w:t>
      </w:r>
      <w:proofErr w:type="spellEnd"/>
      <w:r w:rsidR="00FF06B8" w:rsidRPr="007B566C">
        <w:rPr>
          <w:rFonts w:asciiTheme="majorBidi" w:hAnsiTheme="majorBidi" w:cstheme="majorBidi"/>
          <w:sz w:val="20"/>
          <w:szCs w:val="20"/>
          <w:lang w:val="en-US"/>
        </w:rPr>
        <w:t xml:space="preserve">, 1994; </w:t>
      </w:r>
      <w:r w:rsidR="007A773A" w:rsidRPr="007B566C">
        <w:rPr>
          <w:rFonts w:asciiTheme="majorBidi" w:eastAsia="Calibri" w:hAnsiTheme="majorBidi" w:cstheme="majorBidi"/>
          <w:sz w:val="20"/>
          <w:szCs w:val="20"/>
          <w:lang w:val="en-US"/>
        </w:rPr>
        <w:t xml:space="preserve">La </w:t>
      </w:r>
      <w:proofErr w:type="spellStart"/>
      <w:r w:rsidR="007A773A" w:rsidRPr="007B566C">
        <w:rPr>
          <w:rFonts w:asciiTheme="majorBidi" w:eastAsia="Calibri" w:hAnsiTheme="majorBidi" w:cstheme="majorBidi"/>
          <w:sz w:val="20"/>
          <w:szCs w:val="20"/>
          <w:lang w:val="en-US"/>
        </w:rPr>
        <w:t>Porta</w:t>
      </w:r>
      <w:proofErr w:type="spellEnd"/>
      <w:r w:rsidR="00FF06B8" w:rsidRPr="007B566C">
        <w:rPr>
          <w:rFonts w:asciiTheme="majorBidi" w:eastAsia="Calibri" w:hAnsiTheme="majorBidi" w:cstheme="majorBidi"/>
          <w:sz w:val="20"/>
          <w:szCs w:val="20"/>
          <w:lang w:val="en-US"/>
        </w:rPr>
        <w:t xml:space="preserve"> et al., 1999</w:t>
      </w:r>
      <w:r w:rsidR="007A773A" w:rsidRPr="007B566C">
        <w:rPr>
          <w:rFonts w:asciiTheme="majorBidi" w:eastAsia="Calibri" w:hAnsiTheme="majorBidi" w:cstheme="majorBidi"/>
          <w:sz w:val="20"/>
          <w:szCs w:val="20"/>
          <w:lang w:val="en-US"/>
        </w:rPr>
        <w:t xml:space="preserve">; </w:t>
      </w:r>
      <w:proofErr w:type="spellStart"/>
      <w:r w:rsidR="007A773A" w:rsidRPr="007B566C">
        <w:rPr>
          <w:rFonts w:asciiTheme="majorBidi" w:eastAsia="Calibri" w:hAnsiTheme="majorBidi" w:cstheme="majorBidi"/>
          <w:sz w:val="20"/>
          <w:szCs w:val="20"/>
          <w:lang w:val="en-US"/>
        </w:rPr>
        <w:t>Becht</w:t>
      </w:r>
      <w:proofErr w:type="spellEnd"/>
      <w:r w:rsidR="007A773A" w:rsidRPr="007B566C">
        <w:rPr>
          <w:rFonts w:asciiTheme="majorBidi" w:eastAsia="Calibri" w:hAnsiTheme="majorBidi" w:cstheme="majorBidi"/>
          <w:sz w:val="20"/>
          <w:szCs w:val="20"/>
          <w:lang w:val="en-US"/>
        </w:rPr>
        <w:t xml:space="preserve"> and Mayer, 2000; </w:t>
      </w:r>
      <w:proofErr w:type="spellStart"/>
      <w:r w:rsidR="007A773A" w:rsidRPr="007B566C">
        <w:rPr>
          <w:rFonts w:asciiTheme="majorBidi" w:eastAsia="Calibri" w:hAnsiTheme="majorBidi" w:cstheme="majorBidi"/>
          <w:sz w:val="20"/>
          <w:szCs w:val="20"/>
          <w:lang w:val="en-US"/>
        </w:rPr>
        <w:t>Classens</w:t>
      </w:r>
      <w:proofErr w:type="spellEnd"/>
      <w:r w:rsidR="007A773A" w:rsidRPr="007B566C">
        <w:rPr>
          <w:rFonts w:asciiTheme="majorBidi" w:eastAsia="Calibri" w:hAnsiTheme="majorBidi" w:cstheme="majorBidi"/>
          <w:sz w:val="20"/>
          <w:szCs w:val="20"/>
          <w:lang w:val="en-US"/>
        </w:rPr>
        <w:t xml:space="preserve"> et al., 2000</w:t>
      </w:r>
      <w:r w:rsidR="00FF06B8" w:rsidRPr="007B566C">
        <w:rPr>
          <w:rFonts w:asciiTheme="majorBidi" w:eastAsia="Calibri" w:hAnsiTheme="majorBidi" w:cstheme="majorBidi"/>
          <w:sz w:val="20"/>
          <w:szCs w:val="20"/>
          <w:lang w:val="en-US"/>
        </w:rPr>
        <w:t>;</w:t>
      </w:r>
      <w:r w:rsidR="00FF06B8" w:rsidRPr="007B566C">
        <w:rPr>
          <w:rFonts w:asciiTheme="majorBidi" w:hAnsiTheme="majorBidi" w:cstheme="majorBidi"/>
          <w:sz w:val="20"/>
          <w:szCs w:val="20"/>
          <w:lang w:val="en-US"/>
        </w:rPr>
        <w:t xml:space="preserve"> Johnson et al., 2000</w:t>
      </w:r>
      <w:r w:rsidR="007A773A" w:rsidRPr="007B566C">
        <w:rPr>
          <w:rFonts w:asciiTheme="majorBidi" w:eastAsia="Calibri" w:hAnsiTheme="majorBidi" w:cstheme="majorBidi"/>
          <w:sz w:val="20"/>
          <w:szCs w:val="20"/>
          <w:lang w:val="en-US"/>
        </w:rPr>
        <w:t>).</w:t>
      </w:r>
      <w:r w:rsidR="00330848" w:rsidRPr="007B566C">
        <w:rPr>
          <w:rFonts w:asciiTheme="majorBidi" w:eastAsia="Calibri" w:hAnsiTheme="majorBidi" w:cstheme="majorBidi"/>
          <w:sz w:val="20"/>
          <w:szCs w:val="20"/>
          <w:lang w:val="en-US"/>
        </w:rPr>
        <w:t xml:space="preserve"> In such a context, concentrated share ownership is no longer a key mechanism of corporate governance. Large shareholding</w:t>
      </w:r>
      <w:r w:rsidR="00FF06B8" w:rsidRPr="007B566C">
        <w:rPr>
          <w:rFonts w:asciiTheme="majorBidi" w:eastAsia="Calibri" w:hAnsiTheme="majorBidi" w:cstheme="majorBidi"/>
          <w:sz w:val="20"/>
          <w:szCs w:val="20"/>
          <w:lang w:val="en-US"/>
        </w:rPr>
        <w:t xml:space="preserve"> is believed to motivate</w:t>
      </w:r>
      <w:r w:rsidR="00330848" w:rsidRPr="007B566C">
        <w:rPr>
          <w:rFonts w:asciiTheme="majorBidi" w:eastAsia="Calibri" w:hAnsiTheme="majorBidi" w:cstheme="majorBidi"/>
          <w:sz w:val="20"/>
          <w:szCs w:val="20"/>
          <w:lang w:val="en-US"/>
        </w:rPr>
        <w:t xml:space="preserve"> shareholders to undertake monitoring (</w:t>
      </w:r>
      <w:proofErr w:type="spellStart"/>
      <w:r w:rsidR="00330848" w:rsidRPr="007B566C">
        <w:rPr>
          <w:rFonts w:asciiTheme="majorBidi" w:eastAsia="Calibri" w:hAnsiTheme="majorBidi" w:cstheme="majorBidi"/>
          <w:sz w:val="20"/>
          <w:szCs w:val="20"/>
          <w:lang w:val="en-US"/>
        </w:rPr>
        <w:t>Shleifer</w:t>
      </w:r>
      <w:proofErr w:type="spellEnd"/>
      <w:r w:rsidR="00330848" w:rsidRPr="007B566C">
        <w:rPr>
          <w:rFonts w:asciiTheme="majorBidi" w:eastAsia="Calibri" w:hAnsiTheme="majorBidi" w:cstheme="majorBidi"/>
          <w:sz w:val="20"/>
          <w:szCs w:val="20"/>
          <w:lang w:val="en-US"/>
        </w:rPr>
        <w:t xml:space="preserve"> and </w:t>
      </w:r>
      <w:proofErr w:type="spellStart"/>
      <w:r w:rsidR="00330848" w:rsidRPr="007B566C">
        <w:rPr>
          <w:rFonts w:asciiTheme="majorBidi" w:eastAsia="Calibri" w:hAnsiTheme="majorBidi" w:cstheme="majorBidi"/>
          <w:sz w:val="20"/>
          <w:szCs w:val="20"/>
          <w:lang w:val="en-US"/>
        </w:rPr>
        <w:t>Vishny</w:t>
      </w:r>
      <w:proofErr w:type="spellEnd"/>
      <w:r w:rsidR="00330848" w:rsidRPr="007B566C">
        <w:rPr>
          <w:rFonts w:asciiTheme="majorBidi" w:eastAsia="Calibri" w:hAnsiTheme="majorBidi" w:cstheme="majorBidi"/>
          <w:sz w:val="20"/>
          <w:szCs w:val="20"/>
          <w:lang w:val="en-US"/>
        </w:rPr>
        <w:t>, 1986).</w:t>
      </w:r>
      <w:r w:rsidR="00FF06B8" w:rsidRPr="007B566C">
        <w:rPr>
          <w:rFonts w:asciiTheme="majorBidi" w:eastAsia="Calibri" w:hAnsiTheme="majorBidi" w:cstheme="majorBidi"/>
          <w:sz w:val="20"/>
          <w:szCs w:val="20"/>
          <w:lang w:val="en-US"/>
        </w:rPr>
        <w:t xml:space="preserve"> </w:t>
      </w:r>
      <w:r w:rsidR="00330848" w:rsidRPr="007B566C">
        <w:rPr>
          <w:rFonts w:asciiTheme="majorBidi" w:hAnsiTheme="majorBidi" w:cstheme="majorBidi"/>
          <w:sz w:val="20"/>
          <w:szCs w:val="20"/>
          <w:lang w:val="en-US"/>
        </w:rPr>
        <w:t xml:space="preserve">In </w:t>
      </w:r>
      <w:r w:rsidR="00FF06B8" w:rsidRPr="007B566C">
        <w:rPr>
          <w:rFonts w:asciiTheme="majorBidi" w:hAnsiTheme="majorBidi" w:cstheme="majorBidi"/>
          <w:sz w:val="20"/>
          <w:szCs w:val="20"/>
          <w:lang w:val="en-US"/>
        </w:rPr>
        <w:t>their</w:t>
      </w:r>
      <w:r w:rsidR="00330848" w:rsidRPr="007B566C">
        <w:rPr>
          <w:rFonts w:asciiTheme="majorBidi" w:hAnsiTheme="majorBidi" w:cstheme="majorBidi"/>
          <w:sz w:val="20"/>
          <w:szCs w:val="20"/>
          <w:lang w:val="en-US"/>
        </w:rPr>
        <w:t xml:space="preserve"> path breaking work</w:t>
      </w:r>
      <w:r w:rsidR="00FF06B8" w:rsidRPr="007B566C">
        <w:rPr>
          <w:rFonts w:asciiTheme="majorBidi" w:hAnsiTheme="majorBidi" w:cstheme="majorBidi"/>
          <w:sz w:val="20"/>
          <w:szCs w:val="20"/>
          <w:lang w:val="en-US"/>
        </w:rPr>
        <w:t xml:space="preserve">, </w:t>
      </w:r>
      <w:r w:rsidR="00FF06B8" w:rsidRPr="007B566C">
        <w:rPr>
          <w:rFonts w:asciiTheme="majorBidi" w:hAnsiTheme="majorBidi" w:cstheme="majorBidi"/>
          <w:sz w:val="20"/>
          <w:szCs w:val="20"/>
          <w:lang w:val="en-US"/>
        </w:rPr>
        <w:lastRenderedPageBreak/>
        <w:t>Grossman and Hart (1980) argue that large shareholders</w:t>
      </w:r>
      <w:r w:rsidR="000F6253" w:rsidRPr="007B566C">
        <w:rPr>
          <w:rFonts w:asciiTheme="majorBidi" w:hAnsiTheme="majorBidi" w:cstheme="majorBidi"/>
          <w:sz w:val="20"/>
          <w:szCs w:val="20"/>
          <w:lang w:val="en-US"/>
        </w:rPr>
        <w:t xml:space="preserve"> have </w:t>
      </w:r>
      <w:r w:rsidR="00AC4622" w:rsidRPr="007B566C">
        <w:rPr>
          <w:rFonts w:asciiTheme="majorBidi" w:hAnsiTheme="majorBidi" w:cstheme="majorBidi"/>
          <w:sz w:val="20"/>
          <w:szCs w:val="20"/>
          <w:lang w:val="en-US"/>
        </w:rPr>
        <w:t xml:space="preserve">the discretion and the </w:t>
      </w:r>
      <w:r w:rsidR="000F6253" w:rsidRPr="007B566C">
        <w:rPr>
          <w:rFonts w:asciiTheme="majorBidi" w:hAnsiTheme="majorBidi" w:cstheme="majorBidi"/>
          <w:sz w:val="20"/>
          <w:szCs w:val="20"/>
          <w:lang w:val="en-US"/>
        </w:rPr>
        <w:t>incentive</w:t>
      </w:r>
      <w:r w:rsidR="00AC4622" w:rsidRPr="007B566C">
        <w:rPr>
          <w:rFonts w:asciiTheme="majorBidi" w:hAnsiTheme="majorBidi" w:cstheme="majorBidi"/>
          <w:sz w:val="20"/>
          <w:szCs w:val="20"/>
          <w:lang w:val="en-US"/>
        </w:rPr>
        <w:t>s</w:t>
      </w:r>
      <w:r w:rsidR="000F6253" w:rsidRPr="007B566C">
        <w:rPr>
          <w:rFonts w:asciiTheme="majorBidi" w:hAnsiTheme="majorBidi" w:cstheme="majorBidi"/>
          <w:sz w:val="20"/>
          <w:szCs w:val="20"/>
          <w:lang w:val="en-US"/>
        </w:rPr>
        <w:t xml:space="preserve"> to </w:t>
      </w:r>
      <w:r w:rsidR="00531056" w:rsidRPr="007B566C">
        <w:rPr>
          <w:rFonts w:asciiTheme="majorBidi" w:hAnsiTheme="majorBidi" w:cstheme="majorBidi"/>
          <w:sz w:val="20"/>
          <w:szCs w:val="20"/>
          <w:lang w:val="en-US"/>
        </w:rPr>
        <w:t xml:space="preserve">siphon off private benefits that are not shared </w:t>
      </w:r>
      <w:r w:rsidR="00FF06B8" w:rsidRPr="007B566C">
        <w:rPr>
          <w:rFonts w:asciiTheme="majorBidi" w:hAnsiTheme="majorBidi" w:cstheme="majorBidi"/>
          <w:sz w:val="20"/>
          <w:szCs w:val="20"/>
          <w:lang w:val="en-US"/>
        </w:rPr>
        <w:t xml:space="preserve">by all shareholders proportionally to their </w:t>
      </w:r>
      <w:r w:rsidR="00531056" w:rsidRPr="007B566C">
        <w:rPr>
          <w:rFonts w:asciiTheme="majorBidi" w:hAnsiTheme="majorBidi" w:cstheme="majorBidi"/>
          <w:sz w:val="20"/>
          <w:szCs w:val="20"/>
          <w:lang w:val="en-US"/>
        </w:rPr>
        <w:t xml:space="preserve">stake. </w:t>
      </w:r>
      <w:r w:rsidR="00AC4622" w:rsidRPr="007B566C">
        <w:rPr>
          <w:rFonts w:asciiTheme="majorBidi" w:hAnsiTheme="majorBidi" w:cstheme="majorBidi"/>
          <w:sz w:val="20"/>
          <w:szCs w:val="20"/>
          <w:lang w:val="en-US"/>
        </w:rPr>
        <w:t xml:space="preserve">Indeed, the controlling holder </w:t>
      </w:r>
      <w:r w:rsidR="00035C8F" w:rsidRPr="007B566C">
        <w:rPr>
          <w:rFonts w:asciiTheme="majorBidi" w:hAnsiTheme="majorBidi" w:cstheme="majorBidi"/>
          <w:sz w:val="20"/>
          <w:szCs w:val="20"/>
          <w:lang w:val="en-US"/>
        </w:rPr>
        <w:t xml:space="preserve">enjoys the full benefits although he </w:t>
      </w:r>
      <w:r w:rsidR="00AC4622" w:rsidRPr="007B566C">
        <w:rPr>
          <w:rFonts w:asciiTheme="majorBidi" w:hAnsiTheme="majorBidi" w:cstheme="majorBidi"/>
          <w:sz w:val="20"/>
          <w:szCs w:val="20"/>
          <w:lang w:val="en-US"/>
        </w:rPr>
        <w:t>only bears a fraction of the costs of these benefits; that is the forgone dividend in proportion of his cash flow rights</w:t>
      </w:r>
      <w:r w:rsidR="00035C8F" w:rsidRPr="007B566C">
        <w:rPr>
          <w:rFonts w:asciiTheme="majorBidi" w:hAnsiTheme="majorBidi" w:cstheme="majorBidi"/>
          <w:sz w:val="20"/>
          <w:szCs w:val="20"/>
          <w:lang w:val="en-US"/>
        </w:rPr>
        <w:t xml:space="preserve">. </w:t>
      </w:r>
    </w:p>
    <w:p w:rsidR="00AC4622" w:rsidRPr="007B566C" w:rsidRDefault="00AC4622" w:rsidP="007B566C">
      <w:pPr>
        <w:widowControl w:val="0"/>
        <w:autoSpaceDE w:val="0"/>
        <w:autoSpaceDN w:val="0"/>
        <w:adjustRightInd w:val="0"/>
        <w:spacing w:after="0" w:line="240" w:lineRule="auto"/>
        <w:ind w:firstLine="720"/>
        <w:jc w:val="both"/>
        <w:rPr>
          <w:rFonts w:asciiTheme="majorBidi" w:hAnsiTheme="majorBidi" w:cstheme="majorBidi"/>
          <w:sz w:val="20"/>
          <w:szCs w:val="20"/>
          <w:lang w:val="en-US"/>
        </w:rPr>
      </w:pPr>
    </w:p>
    <w:p w:rsidR="001D7E39" w:rsidRPr="007B566C" w:rsidRDefault="00531056" w:rsidP="008E320F">
      <w:pPr>
        <w:widowControl w:val="0"/>
        <w:autoSpaceDE w:val="0"/>
        <w:autoSpaceDN w:val="0"/>
        <w:adjustRightInd w:val="0"/>
        <w:spacing w:after="0" w:line="240" w:lineRule="auto"/>
        <w:ind w:firstLine="720"/>
        <w:jc w:val="both"/>
        <w:rPr>
          <w:rFonts w:asciiTheme="majorBidi" w:hAnsiTheme="majorBidi" w:cstheme="majorBidi"/>
          <w:sz w:val="20"/>
          <w:szCs w:val="20"/>
          <w:lang w:val="en-US"/>
        </w:rPr>
      </w:pPr>
      <w:r w:rsidRPr="007B566C">
        <w:rPr>
          <w:rFonts w:asciiTheme="majorBidi" w:hAnsiTheme="majorBidi" w:cstheme="majorBidi"/>
          <w:sz w:val="20"/>
          <w:szCs w:val="20"/>
          <w:lang w:val="en-US"/>
        </w:rPr>
        <w:t xml:space="preserve">There are several ways </w:t>
      </w:r>
      <w:r w:rsidR="00AB1F10" w:rsidRPr="007B566C">
        <w:rPr>
          <w:rFonts w:asciiTheme="majorBidi" w:hAnsiTheme="majorBidi" w:cstheme="majorBidi"/>
          <w:sz w:val="20"/>
          <w:szCs w:val="20"/>
          <w:lang w:val="en-US"/>
        </w:rPr>
        <w:t>of expropriation and</w:t>
      </w:r>
      <w:r w:rsidRPr="007B566C">
        <w:rPr>
          <w:rFonts w:asciiTheme="majorBidi" w:hAnsiTheme="majorBidi" w:cstheme="majorBidi"/>
          <w:sz w:val="20"/>
          <w:szCs w:val="20"/>
          <w:lang w:val="en-US"/>
        </w:rPr>
        <w:t xml:space="preserve"> rent protection such as </w:t>
      </w:r>
      <w:r w:rsidR="00C06482" w:rsidRPr="007B566C">
        <w:rPr>
          <w:rFonts w:asciiTheme="majorBidi" w:eastAsia="Calibri" w:hAnsiTheme="majorBidi" w:cstheme="majorBidi"/>
          <w:sz w:val="20"/>
          <w:szCs w:val="20"/>
          <w:lang w:val="en-US"/>
        </w:rPr>
        <w:t xml:space="preserve">the tunneling of assets and profits, like </w:t>
      </w:r>
      <w:r w:rsidR="0081462B" w:rsidRPr="007B566C">
        <w:rPr>
          <w:rFonts w:asciiTheme="majorBidi" w:hAnsiTheme="majorBidi" w:cstheme="majorBidi"/>
          <w:sz w:val="20"/>
          <w:szCs w:val="20"/>
          <w:lang w:val="en-US"/>
        </w:rPr>
        <w:t xml:space="preserve">the use of the firm’s assets to favor other firms owned by </w:t>
      </w:r>
      <w:r w:rsidR="00C06482" w:rsidRPr="007B566C">
        <w:rPr>
          <w:rFonts w:asciiTheme="majorBidi" w:hAnsiTheme="majorBidi" w:cstheme="majorBidi"/>
          <w:sz w:val="20"/>
          <w:szCs w:val="20"/>
          <w:lang w:val="en-US"/>
        </w:rPr>
        <w:t xml:space="preserve">the first blockholder, or to offer the latter extra perks or high wages, </w:t>
      </w:r>
      <w:r w:rsidR="00787BA7" w:rsidRPr="007B566C">
        <w:rPr>
          <w:rFonts w:asciiTheme="majorBidi" w:hAnsiTheme="majorBidi" w:cstheme="majorBidi"/>
          <w:sz w:val="20"/>
          <w:szCs w:val="20"/>
          <w:lang w:val="en-US"/>
        </w:rPr>
        <w:t xml:space="preserve">or </w:t>
      </w:r>
      <w:r w:rsidRPr="007B566C">
        <w:rPr>
          <w:rFonts w:asciiTheme="majorBidi" w:eastAsia="Calibri" w:hAnsiTheme="majorBidi" w:cstheme="majorBidi"/>
          <w:sz w:val="20"/>
          <w:szCs w:val="20"/>
          <w:lang w:val="en-US"/>
        </w:rPr>
        <w:t>the use of unfair transfer pricing between controlled parties</w:t>
      </w:r>
      <w:r w:rsidR="00C06482" w:rsidRPr="007B566C">
        <w:rPr>
          <w:rFonts w:asciiTheme="majorBidi" w:eastAsia="Calibri" w:hAnsiTheme="majorBidi" w:cstheme="majorBidi"/>
          <w:sz w:val="20"/>
          <w:szCs w:val="20"/>
          <w:lang w:val="en-US"/>
        </w:rPr>
        <w:t xml:space="preserve"> </w:t>
      </w:r>
      <w:r w:rsidR="00787BA7" w:rsidRPr="007B566C">
        <w:rPr>
          <w:rFonts w:asciiTheme="majorBidi" w:eastAsia="Calibri" w:hAnsiTheme="majorBidi" w:cstheme="majorBidi"/>
          <w:sz w:val="20"/>
          <w:szCs w:val="20"/>
          <w:lang w:val="en-US"/>
        </w:rPr>
        <w:t>or the</w:t>
      </w:r>
      <w:r w:rsidR="00C06482" w:rsidRPr="007B566C">
        <w:rPr>
          <w:rFonts w:asciiTheme="majorBidi" w:eastAsia="Calibri" w:hAnsiTheme="majorBidi" w:cstheme="majorBidi"/>
          <w:sz w:val="20"/>
          <w:szCs w:val="20"/>
          <w:lang w:val="en-US"/>
        </w:rPr>
        <w:t xml:space="preserve"> firm</w:t>
      </w:r>
      <w:r w:rsidRPr="007B566C">
        <w:rPr>
          <w:rFonts w:asciiTheme="majorBidi" w:eastAsia="Calibri" w:hAnsiTheme="majorBidi" w:cstheme="majorBidi"/>
          <w:sz w:val="20"/>
          <w:szCs w:val="20"/>
          <w:lang w:val="en-US"/>
        </w:rPr>
        <w:t xml:space="preserve"> resources </w:t>
      </w:r>
      <w:r w:rsidR="00C06482" w:rsidRPr="007B566C">
        <w:rPr>
          <w:rFonts w:asciiTheme="majorBidi" w:eastAsia="Calibri" w:hAnsiTheme="majorBidi" w:cstheme="majorBidi"/>
          <w:sz w:val="20"/>
          <w:szCs w:val="20"/>
          <w:lang w:val="en-US"/>
        </w:rPr>
        <w:t>abuse</w:t>
      </w:r>
      <w:r w:rsidR="00AE6F21" w:rsidRPr="007B566C">
        <w:rPr>
          <w:rFonts w:asciiTheme="majorBidi" w:eastAsia="Calibri" w:hAnsiTheme="majorBidi" w:cstheme="majorBidi"/>
          <w:sz w:val="20"/>
          <w:szCs w:val="20"/>
          <w:lang w:val="en-US"/>
        </w:rPr>
        <w:t xml:space="preserve"> </w:t>
      </w:r>
      <w:r w:rsidRPr="007B566C">
        <w:rPr>
          <w:rFonts w:asciiTheme="majorBidi" w:eastAsia="Calibri" w:hAnsiTheme="majorBidi" w:cstheme="majorBidi"/>
          <w:sz w:val="20"/>
          <w:szCs w:val="20"/>
          <w:lang w:val="en-US"/>
        </w:rPr>
        <w:t>(</w:t>
      </w:r>
      <w:proofErr w:type="spellStart"/>
      <w:r w:rsidRPr="007B566C">
        <w:rPr>
          <w:rFonts w:asciiTheme="majorBidi" w:eastAsia="Calibri" w:hAnsiTheme="majorBidi" w:cstheme="majorBidi"/>
          <w:sz w:val="20"/>
          <w:szCs w:val="20"/>
          <w:lang w:val="en-US"/>
        </w:rPr>
        <w:t>Bebchuk</w:t>
      </w:r>
      <w:proofErr w:type="spellEnd"/>
      <w:r w:rsidRPr="007B566C">
        <w:rPr>
          <w:rFonts w:asciiTheme="majorBidi" w:eastAsia="Calibri" w:hAnsiTheme="majorBidi" w:cstheme="majorBidi"/>
          <w:sz w:val="20"/>
          <w:szCs w:val="20"/>
          <w:lang w:val="en-US"/>
        </w:rPr>
        <w:t xml:space="preserve"> et al., 1999; </w:t>
      </w:r>
      <w:r w:rsidRPr="007B566C">
        <w:rPr>
          <w:rFonts w:asciiTheme="majorBidi" w:hAnsiTheme="majorBidi" w:cstheme="majorBidi"/>
          <w:sz w:val="20"/>
          <w:szCs w:val="20"/>
          <w:lang w:val="en-US"/>
        </w:rPr>
        <w:t xml:space="preserve">La </w:t>
      </w:r>
      <w:proofErr w:type="spellStart"/>
      <w:r w:rsidRPr="007B566C">
        <w:rPr>
          <w:rFonts w:asciiTheme="majorBidi" w:hAnsiTheme="majorBidi" w:cstheme="majorBidi"/>
          <w:sz w:val="20"/>
          <w:szCs w:val="20"/>
          <w:lang w:val="en-US"/>
        </w:rPr>
        <w:t>Porta</w:t>
      </w:r>
      <w:proofErr w:type="spellEnd"/>
      <w:r w:rsidRPr="007B566C">
        <w:rPr>
          <w:rFonts w:asciiTheme="majorBidi" w:hAnsiTheme="majorBidi" w:cstheme="majorBidi"/>
          <w:sz w:val="20"/>
          <w:szCs w:val="20"/>
          <w:lang w:val="en-US"/>
        </w:rPr>
        <w:t xml:space="preserve"> et al., 1999; </w:t>
      </w:r>
      <w:proofErr w:type="spellStart"/>
      <w:r w:rsidR="00AB1F10" w:rsidRPr="007B566C">
        <w:rPr>
          <w:rFonts w:asciiTheme="majorBidi" w:hAnsiTheme="majorBidi" w:cstheme="majorBidi"/>
          <w:sz w:val="20"/>
          <w:szCs w:val="20"/>
          <w:lang w:val="en-US"/>
        </w:rPr>
        <w:t>Claessens</w:t>
      </w:r>
      <w:proofErr w:type="spellEnd"/>
      <w:r w:rsidR="00AB1F10" w:rsidRPr="007B566C">
        <w:rPr>
          <w:rFonts w:asciiTheme="majorBidi" w:hAnsiTheme="majorBidi" w:cstheme="majorBidi"/>
          <w:sz w:val="20"/>
          <w:szCs w:val="20"/>
          <w:lang w:val="en-US"/>
        </w:rPr>
        <w:t xml:space="preserve"> and </w:t>
      </w:r>
      <w:proofErr w:type="spellStart"/>
      <w:r w:rsidR="00AB1F10" w:rsidRPr="007B566C">
        <w:rPr>
          <w:rFonts w:asciiTheme="majorBidi" w:hAnsiTheme="majorBidi" w:cstheme="majorBidi"/>
          <w:sz w:val="20"/>
          <w:szCs w:val="20"/>
          <w:lang w:val="en-US"/>
        </w:rPr>
        <w:t>Djankov</w:t>
      </w:r>
      <w:proofErr w:type="spellEnd"/>
      <w:r w:rsidR="00AB1F10" w:rsidRPr="007B566C">
        <w:rPr>
          <w:rFonts w:asciiTheme="majorBidi" w:hAnsiTheme="majorBidi" w:cstheme="majorBidi"/>
          <w:sz w:val="20"/>
          <w:szCs w:val="20"/>
          <w:lang w:val="en-US"/>
        </w:rPr>
        <w:t xml:space="preserve">, 1999; </w:t>
      </w:r>
      <w:proofErr w:type="spellStart"/>
      <w:r w:rsidRPr="007B566C">
        <w:rPr>
          <w:rFonts w:asciiTheme="majorBidi" w:hAnsiTheme="majorBidi" w:cstheme="majorBidi"/>
          <w:sz w:val="20"/>
          <w:szCs w:val="20"/>
          <w:lang w:val="en-US"/>
        </w:rPr>
        <w:t>Claessens</w:t>
      </w:r>
      <w:proofErr w:type="spellEnd"/>
      <w:r w:rsidRPr="007B566C">
        <w:rPr>
          <w:rFonts w:asciiTheme="majorBidi" w:hAnsiTheme="majorBidi" w:cstheme="majorBidi"/>
          <w:sz w:val="20"/>
          <w:szCs w:val="20"/>
          <w:lang w:val="en-US"/>
        </w:rPr>
        <w:t xml:space="preserve"> et al., 2000; </w:t>
      </w:r>
      <w:r w:rsidRPr="007B566C">
        <w:rPr>
          <w:rFonts w:asciiTheme="majorBidi" w:eastAsia="Calibri" w:hAnsiTheme="majorBidi" w:cstheme="majorBidi"/>
          <w:sz w:val="20"/>
          <w:szCs w:val="20"/>
          <w:lang w:val="en-US"/>
        </w:rPr>
        <w:t xml:space="preserve">Johnson et al., 2000; </w:t>
      </w:r>
      <w:proofErr w:type="spellStart"/>
      <w:r w:rsidRPr="007B566C">
        <w:rPr>
          <w:rFonts w:asciiTheme="majorBidi" w:eastAsia="Calibri" w:hAnsiTheme="majorBidi" w:cstheme="majorBidi"/>
          <w:sz w:val="20"/>
          <w:szCs w:val="20"/>
          <w:lang w:val="en-US"/>
        </w:rPr>
        <w:t>Faccio</w:t>
      </w:r>
      <w:proofErr w:type="spellEnd"/>
      <w:r w:rsidRPr="007B566C">
        <w:rPr>
          <w:rFonts w:asciiTheme="majorBidi" w:eastAsia="Calibri" w:hAnsiTheme="majorBidi" w:cstheme="majorBidi"/>
          <w:sz w:val="20"/>
          <w:szCs w:val="20"/>
          <w:lang w:val="en-US"/>
        </w:rPr>
        <w:t xml:space="preserve"> et al., 2001; </w:t>
      </w:r>
      <w:proofErr w:type="spellStart"/>
      <w:r w:rsidRPr="007B566C">
        <w:rPr>
          <w:rFonts w:asciiTheme="majorBidi" w:hAnsiTheme="majorBidi" w:cstheme="majorBidi"/>
          <w:sz w:val="20"/>
          <w:szCs w:val="20"/>
          <w:lang w:val="en-US"/>
        </w:rPr>
        <w:t>Faccio</w:t>
      </w:r>
      <w:proofErr w:type="spellEnd"/>
      <w:r w:rsidRPr="007B566C">
        <w:rPr>
          <w:rFonts w:asciiTheme="majorBidi" w:hAnsiTheme="majorBidi" w:cstheme="majorBidi"/>
          <w:sz w:val="20"/>
          <w:szCs w:val="20"/>
          <w:lang w:val="en-US"/>
        </w:rPr>
        <w:t xml:space="preserve"> and Lang, 2002</w:t>
      </w:r>
      <w:r w:rsidR="00171BCA" w:rsidRPr="007B566C">
        <w:rPr>
          <w:rFonts w:asciiTheme="majorBidi" w:hAnsiTheme="majorBidi" w:cstheme="majorBidi"/>
          <w:sz w:val="20"/>
          <w:szCs w:val="20"/>
          <w:lang w:val="en-US"/>
        </w:rPr>
        <w:t xml:space="preserve">; </w:t>
      </w:r>
      <w:proofErr w:type="spellStart"/>
      <w:r w:rsidR="00171BCA" w:rsidRPr="007B566C">
        <w:rPr>
          <w:rFonts w:asciiTheme="majorBidi" w:hAnsiTheme="majorBidi" w:cstheme="majorBidi"/>
          <w:bCs/>
          <w:color w:val="000000"/>
          <w:sz w:val="20"/>
          <w:szCs w:val="20"/>
          <w:lang w:val="en-US"/>
        </w:rPr>
        <w:t>Nenova</w:t>
      </w:r>
      <w:proofErr w:type="spellEnd"/>
      <w:r w:rsidR="00171BCA" w:rsidRPr="007B566C">
        <w:rPr>
          <w:rFonts w:asciiTheme="majorBidi" w:hAnsiTheme="majorBidi" w:cstheme="majorBidi"/>
          <w:bCs/>
          <w:color w:val="000000"/>
          <w:sz w:val="20"/>
          <w:szCs w:val="20"/>
          <w:lang w:val="en-US"/>
        </w:rPr>
        <w:t xml:space="preserve">, 2003; </w:t>
      </w:r>
      <w:r w:rsidR="00171BCA" w:rsidRPr="007B566C">
        <w:rPr>
          <w:rFonts w:asciiTheme="majorBidi" w:hAnsiTheme="majorBidi" w:cstheme="majorBidi"/>
          <w:sz w:val="20"/>
          <w:szCs w:val="20"/>
          <w:lang w:val="en-US"/>
        </w:rPr>
        <w:t xml:space="preserve">Le </w:t>
      </w:r>
      <w:proofErr w:type="spellStart"/>
      <w:r w:rsidR="00171BCA" w:rsidRPr="007B566C">
        <w:rPr>
          <w:rFonts w:asciiTheme="majorBidi" w:hAnsiTheme="majorBidi" w:cstheme="majorBidi"/>
          <w:sz w:val="20"/>
          <w:szCs w:val="20"/>
          <w:lang w:val="en-US"/>
        </w:rPr>
        <w:t>maux</w:t>
      </w:r>
      <w:proofErr w:type="spellEnd"/>
      <w:r w:rsidR="00171BCA" w:rsidRPr="007B566C">
        <w:rPr>
          <w:rFonts w:asciiTheme="majorBidi" w:hAnsiTheme="majorBidi" w:cstheme="majorBidi"/>
          <w:sz w:val="20"/>
          <w:szCs w:val="20"/>
          <w:lang w:val="en-US"/>
        </w:rPr>
        <w:t xml:space="preserve">, 2004; </w:t>
      </w:r>
      <w:proofErr w:type="spellStart"/>
      <w:r w:rsidR="00171BCA" w:rsidRPr="007B566C">
        <w:rPr>
          <w:rFonts w:asciiTheme="majorBidi" w:hAnsiTheme="majorBidi" w:cstheme="majorBidi"/>
          <w:sz w:val="20"/>
          <w:szCs w:val="20"/>
          <w:lang w:val="en-US"/>
        </w:rPr>
        <w:t>Roosenboom</w:t>
      </w:r>
      <w:proofErr w:type="spellEnd"/>
      <w:r w:rsidR="00171BCA" w:rsidRPr="007B566C">
        <w:rPr>
          <w:rFonts w:asciiTheme="majorBidi" w:hAnsiTheme="majorBidi" w:cstheme="majorBidi"/>
          <w:sz w:val="20"/>
          <w:szCs w:val="20"/>
          <w:lang w:val="en-US"/>
        </w:rPr>
        <w:t xml:space="preserve"> and </w:t>
      </w:r>
      <w:proofErr w:type="spellStart"/>
      <w:r w:rsidR="00171BCA" w:rsidRPr="007B566C">
        <w:rPr>
          <w:rFonts w:asciiTheme="majorBidi" w:hAnsiTheme="majorBidi" w:cstheme="majorBidi"/>
          <w:sz w:val="20"/>
          <w:szCs w:val="20"/>
          <w:lang w:val="en-US"/>
        </w:rPr>
        <w:t>Schramade</w:t>
      </w:r>
      <w:proofErr w:type="spellEnd"/>
      <w:r w:rsidR="00171BCA" w:rsidRPr="007B566C">
        <w:rPr>
          <w:rFonts w:asciiTheme="majorBidi" w:hAnsiTheme="majorBidi" w:cstheme="majorBidi"/>
          <w:sz w:val="20"/>
          <w:szCs w:val="20"/>
          <w:lang w:val="en-US"/>
        </w:rPr>
        <w:t xml:space="preserve">, 2006; </w:t>
      </w:r>
      <w:proofErr w:type="spellStart"/>
      <w:r w:rsidR="00CB3C3E" w:rsidRPr="00CB3C3E">
        <w:rPr>
          <w:rFonts w:asciiTheme="majorBidi" w:hAnsiTheme="majorBidi" w:cstheme="majorBidi"/>
          <w:sz w:val="20"/>
          <w:szCs w:val="20"/>
          <w:lang w:val="en-US"/>
        </w:rPr>
        <w:t>Boubaker</w:t>
      </w:r>
      <w:proofErr w:type="spellEnd"/>
      <w:r w:rsidR="00CB3C3E" w:rsidRPr="00CB3C3E">
        <w:rPr>
          <w:rFonts w:asciiTheme="majorBidi" w:hAnsiTheme="majorBidi" w:cstheme="majorBidi"/>
          <w:sz w:val="20"/>
          <w:szCs w:val="20"/>
          <w:lang w:val="en-US"/>
        </w:rPr>
        <w:t xml:space="preserve"> and </w:t>
      </w:r>
      <w:r w:rsidR="00171BCA" w:rsidRPr="00CB3C3E">
        <w:rPr>
          <w:rFonts w:asciiTheme="majorBidi" w:hAnsiTheme="majorBidi" w:cstheme="majorBidi"/>
          <w:sz w:val="20"/>
          <w:szCs w:val="20"/>
          <w:lang w:val="en-US"/>
        </w:rPr>
        <w:t xml:space="preserve"> </w:t>
      </w:r>
      <w:proofErr w:type="spellStart"/>
      <w:r w:rsidR="00171BCA" w:rsidRPr="00CB3C3E">
        <w:rPr>
          <w:rFonts w:asciiTheme="majorBidi" w:hAnsiTheme="majorBidi" w:cstheme="majorBidi"/>
          <w:sz w:val="20"/>
          <w:szCs w:val="20"/>
          <w:lang w:val="en-US"/>
        </w:rPr>
        <w:t>Labégorre</w:t>
      </w:r>
      <w:proofErr w:type="spellEnd"/>
      <w:r w:rsidR="00171BCA" w:rsidRPr="00CB3C3E">
        <w:rPr>
          <w:rFonts w:asciiTheme="majorBidi" w:hAnsiTheme="majorBidi" w:cstheme="majorBidi"/>
          <w:sz w:val="20"/>
          <w:szCs w:val="20"/>
          <w:lang w:val="en-US"/>
        </w:rPr>
        <w:t>, 2008</w:t>
      </w:r>
      <w:r w:rsidRPr="00CB3C3E">
        <w:rPr>
          <w:rFonts w:asciiTheme="majorBidi" w:eastAsia="Calibri" w:hAnsiTheme="majorBidi" w:cstheme="majorBidi"/>
          <w:sz w:val="20"/>
          <w:szCs w:val="20"/>
          <w:lang w:val="en-US"/>
        </w:rPr>
        <w:t>).</w:t>
      </w:r>
      <w:r w:rsidR="00AE6F21" w:rsidRPr="00CB3C3E">
        <w:rPr>
          <w:rFonts w:asciiTheme="majorBidi" w:eastAsia="Calibri" w:hAnsiTheme="majorBidi" w:cstheme="majorBidi"/>
          <w:sz w:val="20"/>
          <w:szCs w:val="20"/>
          <w:lang w:val="en-US"/>
        </w:rPr>
        <w:t xml:space="preserve"> Accordingly, severe agency conflicts between controlling </w:t>
      </w:r>
      <w:r w:rsidR="008E320F">
        <w:rPr>
          <w:rFonts w:asciiTheme="majorBidi" w:eastAsia="Calibri" w:hAnsiTheme="majorBidi" w:cstheme="majorBidi"/>
          <w:sz w:val="20"/>
          <w:szCs w:val="20"/>
          <w:lang w:val="en-US"/>
        </w:rPr>
        <w:t>block</w:t>
      </w:r>
      <w:r w:rsidR="00AE6F21" w:rsidRPr="00CB3C3E">
        <w:rPr>
          <w:rFonts w:asciiTheme="majorBidi" w:eastAsia="Calibri" w:hAnsiTheme="majorBidi" w:cstheme="majorBidi"/>
          <w:sz w:val="20"/>
          <w:szCs w:val="20"/>
          <w:lang w:val="en-US"/>
        </w:rPr>
        <w:t xml:space="preserve">holders and </w:t>
      </w:r>
      <w:r w:rsidR="008E320F">
        <w:rPr>
          <w:rFonts w:asciiTheme="majorBidi" w:eastAsia="Calibri" w:hAnsiTheme="majorBidi" w:cstheme="majorBidi"/>
          <w:sz w:val="20"/>
          <w:szCs w:val="20"/>
          <w:lang w:val="en-US"/>
        </w:rPr>
        <w:t>small investors</w:t>
      </w:r>
      <w:r w:rsidR="00AE6F21" w:rsidRPr="00CB3C3E">
        <w:rPr>
          <w:rFonts w:asciiTheme="majorBidi" w:eastAsia="Calibri" w:hAnsiTheme="majorBidi" w:cstheme="majorBidi"/>
          <w:sz w:val="20"/>
          <w:szCs w:val="20"/>
          <w:lang w:val="en-US"/>
        </w:rPr>
        <w:t xml:space="preserve"> can rise in those countries where legal protection is not strong enough to protect minority shareholders</w:t>
      </w:r>
      <w:r w:rsidR="00647279" w:rsidRPr="00CB3C3E">
        <w:rPr>
          <w:rFonts w:asciiTheme="majorBidi" w:eastAsia="Calibri" w:hAnsiTheme="majorBidi" w:cstheme="majorBidi"/>
          <w:sz w:val="20"/>
          <w:szCs w:val="20"/>
          <w:lang w:val="en-US"/>
        </w:rPr>
        <w:t xml:space="preserve"> </w:t>
      </w:r>
      <w:r w:rsidR="00647279" w:rsidRPr="00CB3C3E">
        <w:rPr>
          <w:rFonts w:asciiTheme="majorBidi" w:hAnsiTheme="majorBidi" w:cstheme="majorBidi"/>
          <w:sz w:val="20"/>
          <w:szCs w:val="20"/>
          <w:lang w:val="en-US"/>
        </w:rPr>
        <w:t xml:space="preserve">(Harris and </w:t>
      </w:r>
      <w:proofErr w:type="spellStart"/>
      <w:r w:rsidR="00647279" w:rsidRPr="00CB3C3E">
        <w:rPr>
          <w:rFonts w:asciiTheme="majorBidi" w:hAnsiTheme="majorBidi" w:cstheme="majorBidi"/>
          <w:sz w:val="20"/>
          <w:szCs w:val="20"/>
          <w:lang w:val="en-US"/>
        </w:rPr>
        <w:t>Raviv</w:t>
      </w:r>
      <w:proofErr w:type="spellEnd"/>
      <w:r w:rsidR="00647279" w:rsidRPr="00CB3C3E">
        <w:rPr>
          <w:rFonts w:asciiTheme="majorBidi" w:hAnsiTheme="majorBidi" w:cstheme="majorBidi"/>
          <w:sz w:val="20"/>
          <w:szCs w:val="20"/>
          <w:lang w:val="en-US"/>
        </w:rPr>
        <w:t>, 1988; Holderness and Sheehan, 1988; Barclay and Holderness, 1989)</w:t>
      </w:r>
      <w:r w:rsidR="00AE6F21" w:rsidRPr="00CB3C3E">
        <w:rPr>
          <w:rFonts w:asciiTheme="majorBidi" w:eastAsia="Calibri" w:hAnsiTheme="majorBidi" w:cstheme="majorBidi"/>
          <w:sz w:val="20"/>
          <w:szCs w:val="20"/>
          <w:lang w:val="en-US"/>
        </w:rPr>
        <w:t xml:space="preserve">. This is mainly due to </w:t>
      </w:r>
      <w:r w:rsidR="00AE6F21" w:rsidRPr="00CB3C3E">
        <w:rPr>
          <w:rFonts w:asciiTheme="majorBidi" w:hAnsiTheme="majorBidi" w:cstheme="majorBidi"/>
          <w:sz w:val="20"/>
          <w:szCs w:val="20"/>
          <w:lang w:val="en-US"/>
        </w:rPr>
        <w:t>t</w:t>
      </w:r>
      <w:r w:rsidR="00AE6F21" w:rsidRPr="00CB3C3E">
        <w:rPr>
          <w:rFonts w:asciiTheme="majorBidi" w:eastAsia="Calibri" w:hAnsiTheme="majorBidi" w:cstheme="majorBidi"/>
          <w:sz w:val="20"/>
          <w:szCs w:val="20"/>
          <w:lang w:val="en-US"/>
        </w:rPr>
        <w:t>he discrepancy</w:t>
      </w:r>
      <w:r w:rsidR="00AE6F21" w:rsidRPr="007B566C">
        <w:rPr>
          <w:rFonts w:asciiTheme="majorBidi" w:eastAsia="Calibri" w:hAnsiTheme="majorBidi" w:cstheme="majorBidi"/>
          <w:sz w:val="20"/>
          <w:szCs w:val="20"/>
          <w:lang w:val="en-US"/>
        </w:rPr>
        <w:t xml:space="preserve"> between voting and cash flow rights caused by </w:t>
      </w:r>
      <w:r w:rsidR="00AE6F21" w:rsidRPr="007B566C">
        <w:rPr>
          <w:rFonts w:asciiTheme="majorBidi" w:hAnsiTheme="majorBidi" w:cstheme="majorBidi"/>
          <w:sz w:val="20"/>
          <w:szCs w:val="20"/>
          <w:lang w:val="en-US"/>
        </w:rPr>
        <w:t>pyramiding, cross-holdings and large shareholdings.</w:t>
      </w:r>
      <w:r w:rsidR="0008075B" w:rsidRPr="007B566C">
        <w:rPr>
          <w:rFonts w:asciiTheme="majorBidi" w:hAnsiTheme="majorBidi" w:cstheme="majorBidi"/>
          <w:sz w:val="20"/>
          <w:szCs w:val="20"/>
          <w:lang w:val="en-US"/>
        </w:rPr>
        <w:t xml:space="preserve"> In such a context, dividends are reported to be low</w:t>
      </w:r>
      <w:r w:rsidR="00D04896" w:rsidRPr="007B566C">
        <w:rPr>
          <w:rFonts w:asciiTheme="majorBidi" w:hAnsiTheme="majorBidi" w:cstheme="majorBidi"/>
          <w:sz w:val="20"/>
          <w:szCs w:val="20"/>
          <w:lang w:val="en-US"/>
        </w:rPr>
        <w:t xml:space="preserve"> (La </w:t>
      </w:r>
      <w:proofErr w:type="spellStart"/>
      <w:r w:rsidR="00D04896" w:rsidRPr="007B566C">
        <w:rPr>
          <w:rFonts w:asciiTheme="majorBidi" w:hAnsiTheme="majorBidi" w:cstheme="majorBidi"/>
          <w:sz w:val="20"/>
          <w:szCs w:val="20"/>
          <w:lang w:val="en-US"/>
        </w:rPr>
        <w:t>Porta</w:t>
      </w:r>
      <w:proofErr w:type="spellEnd"/>
      <w:r w:rsidR="00D04896" w:rsidRPr="007B566C">
        <w:rPr>
          <w:rFonts w:asciiTheme="majorBidi" w:hAnsiTheme="majorBidi" w:cstheme="majorBidi"/>
          <w:sz w:val="20"/>
          <w:szCs w:val="20"/>
          <w:lang w:val="en-US"/>
        </w:rPr>
        <w:t xml:space="preserve"> et al., 2000)</w:t>
      </w:r>
      <w:r w:rsidR="000402D8" w:rsidRPr="007B566C">
        <w:rPr>
          <w:rFonts w:asciiTheme="majorBidi" w:hAnsiTheme="majorBidi" w:cstheme="majorBidi"/>
          <w:sz w:val="20"/>
          <w:szCs w:val="20"/>
          <w:lang w:val="en-US"/>
        </w:rPr>
        <w:t xml:space="preserve">. Likewise, it is an open question whether dividends still have their assigned corporate governance role. </w:t>
      </w:r>
    </w:p>
    <w:p w:rsidR="00C11C96" w:rsidRPr="007B566C" w:rsidRDefault="00C11C96" w:rsidP="007B566C">
      <w:pPr>
        <w:widowControl w:val="0"/>
        <w:autoSpaceDE w:val="0"/>
        <w:autoSpaceDN w:val="0"/>
        <w:adjustRightInd w:val="0"/>
        <w:spacing w:after="0" w:line="240" w:lineRule="auto"/>
        <w:ind w:firstLine="720"/>
        <w:jc w:val="both"/>
        <w:rPr>
          <w:rFonts w:asciiTheme="majorBidi" w:hAnsiTheme="majorBidi" w:cstheme="majorBidi"/>
          <w:sz w:val="20"/>
          <w:szCs w:val="20"/>
          <w:lang w:val="en-US"/>
        </w:rPr>
      </w:pPr>
    </w:p>
    <w:p w:rsidR="00E619E9" w:rsidRPr="007B566C" w:rsidRDefault="000402D8" w:rsidP="007B566C">
      <w:pPr>
        <w:widowControl w:val="0"/>
        <w:autoSpaceDE w:val="0"/>
        <w:autoSpaceDN w:val="0"/>
        <w:adjustRightInd w:val="0"/>
        <w:spacing w:after="0" w:line="240" w:lineRule="auto"/>
        <w:ind w:firstLine="720"/>
        <w:jc w:val="both"/>
        <w:rPr>
          <w:rFonts w:ascii="Times-Roman" w:eastAsia="Calibri" w:hAnsi="Times-Roman" w:cs="Times-Roman"/>
          <w:color w:val="000000"/>
          <w:sz w:val="20"/>
          <w:szCs w:val="20"/>
          <w:lang w:val="en-US"/>
        </w:rPr>
      </w:pPr>
      <w:r w:rsidRPr="007B566C">
        <w:rPr>
          <w:rFonts w:asciiTheme="majorBidi" w:hAnsiTheme="majorBidi" w:cstheme="majorBidi"/>
          <w:sz w:val="20"/>
          <w:szCs w:val="20"/>
          <w:lang w:val="en-US"/>
        </w:rPr>
        <w:t xml:space="preserve">Despite the extensive research on dividend policy and the substantial </w:t>
      </w:r>
      <w:r w:rsidR="00FF06B8" w:rsidRPr="007B566C">
        <w:rPr>
          <w:rFonts w:asciiTheme="majorBidi" w:eastAsia="Calibri" w:hAnsiTheme="majorBidi" w:cstheme="majorBidi"/>
          <w:sz w:val="20"/>
          <w:szCs w:val="20"/>
          <w:lang w:val="en-US"/>
        </w:rPr>
        <w:t>ownership literature</w:t>
      </w:r>
      <w:r w:rsidRPr="007B566C">
        <w:rPr>
          <w:rFonts w:asciiTheme="majorBidi" w:eastAsia="Calibri" w:hAnsiTheme="majorBidi" w:cstheme="majorBidi"/>
          <w:sz w:val="20"/>
          <w:szCs w:val="20"/>
          <w:lang w:val="en-US"/>
        </w:rPr>
        <w:t xml:space="preserve">, there </w:t>
      </w:r>
      <w:r w:rsidR="00FF06B8" w:rsidRPr="007B566C">
        <w:rPr>
          <w:rFonts w:asciiTheme="majorBidi" w:eastAsia="Calibri" w:hAnsiTheme="majorBidi" w:cstheme="majorBidi"/>
          <w:sz w:val="20"/>
          <w:szCs w:val="20"/>
          <w:lang w:val="en-US"/>
        </w:rPr>
        <w:t xml:space="preserve">are some gaps </w:t>
      </w:r>
      <w:r w:rsidR="00ED3BA4" w:rsidRPr="007B566C">
        <w:rPr>
          <w:rFonts w:asciiTheme="majorBidi" w:eastAsia="Calibri" w:hAnsiTheme="majorBidi" w:cstheme="majorBidi"/>
          <w:sz w:val="20"/>
          <w:szCs w:val="20"/>
          <w:lang w:val="en-US"/>
        </w:rPr>
        <w:t>and the role that might have dividends</w:t>
      </w:r>
      <w:r w:rsidR="00E6767A" w:rsidRPr="007B566C">
        <w:rPr>
          <w:rFonts w:asciiTheme="majorBidi" w:eastAsia="Calibri" w:hAnsiTheme="majorBidi" w:cstheme="majorBidi"/>
          <w:sz w:val="20"/>
          <w:szCs w:val="20"/>
          <w:lang w:val="en-US"/>
        </w:rPr>
        <w:t>,</w:t>
      </w:r>
      <w:r w:rsidR="00ED3BA4" w:rsidRPr="007B566C">
        <w:rPr>
          <w:rFonts w:asciiTheme="majorBidi" w:eastAsia="Calibri" w:hAnsiTheme="majorBidi" w:cstheme="majorBidi"/>
          <w:sz w:val="20"/>
          <w:szCs w:val="20"/>
          <w:lang w:val="en-US"/>
        </w:rPr>
        <w:t xml:space="preserve"> in countries where </w:t>
      </w:r>
      <w:r w:rsidR="00553A9B" w:rsidRPr="007B566C">
        <w:rPr>
          <w:rFonts w:asciiTheme="majorBidi" w:eastAsia="Calibri" w:hAnsiTheme="majorBidi" w:cstheme="majorBidi"/>
          <w:sz w:val="20"/>
          <w:szCs w:val="20"/>
          <w:lang w:val="en-US"/>
        </w:rPr>
        <w:t>private benefits are expected to be high</w:t>
      </w:r>
      <w:r w:rsidR="00E6767A" w:rsidRPr="007B566C">
        <w:rPr>
          <w:rFonts w:asciiTheme="majorBidi" w:eastAsia="Calibri" w:hAnsiTheme="majorBidi" w:cstheme="majorBidi"/>
          <w:sz w:val="20"/>
          <w:szCs w:val="20"/>
          <w:lang w:val="en-US"/>
        </w:rPr>
        <w:t>,</w:t>
      </w:r>
      <w:r w:rsidR="00553A9B" w:rsidRPr="007B566C">
        <w:rPr>
          <w:rFonts w:asciiTheme="majorBidi" w:eastAsia="Calibri" w:hAnsiTheme="majorBidi" w:cstheme="majorBidi"/>
          <w:sz w:val="20"/>
          <w:szCs w:val="20"/>
          <w:lang w:val="en-US"/>
        </w:rPr>
        <w:t xml:space="preserve"> is not well developed. </w:t>
      </w:r>
      <w:r w:rsidR="00A12AA0" w:rsidRPr="007B566C">
        <w:rPr>
          <w:rFonts w:asciiTheme="majorBidi" w:eastAsia="Calibri" w:hAnsiTheme="majorBidi" w:cstheme="majorBidi"/>
          <w:sz w:val="20"/>
          <w:szCs w:val="20"/>
          <w:lang w:val="en-US"/>
        </w:rPr>
        <w:t>The controversy about why firms distribute dividends has not been yet agreeably resolved in disperse-ownership firms (</w:t>
      </w:r>
      <w:proofErr w:type="spellStart"/>
      <w:r w:rsidR="00A12AA0" w:rsidRPr="007B566C">
        <w:rPr>
          <w:rFonts w:asciiTheme="majorBidi" w:eastAsia="Calibri" w:hAnsiTheme="majorBidi" w:cstheme="majorBidi"/>
          <w:sz w:val="20"/>
          <w:szCs w:val="20"/>
          <w:lang w:val="en-US"/>
        </w:rPr>
        <w:t>Renneboog</w:t>
      </w:r>
      <w:proofErr w:type="spellEnd"/>
      <w:r w:rsidR="00A12AA0" w:rsidRPr="007B566C">
        <w:rPr>
          <w:rFonts w:asciiTheme="majorBidi" w:eastAsia="Calibri" w:hAnsiTheme="majorBidi" w:cstheme="majorBidi"/>
          <w:sz w:val="20"/>
          <w:szCs w:val="20"/>
          <w:lang w:val="en-US"/>
        </w:rPr>
        <w:t xml:space="preserve"> and </w:t>
      </w:r>
      <w:proofErr w:type="spellStart"/>
      <w:r w:rsidR="00A12AA0" w:rsidRPr="007B566C">
        <w:rPr>
          <w:rFonts w:asciiTheme="majorBidi" w:eastAsia="Calibri" w:hAnsiTheme="majorBidi" w:cstheme="majorBidi"/>
          <w:sz w:val="20"/>
          <w:szCs w:val="20"/>
          <w:lang w:val="en-US"/>
        </w:rPr>
        <w:t>Trojanowski</w:t>
      </w:r>
      <w:proofErr w:type="spellEnd"/>
      <w:r w:rsidR="00A12AA0" w:rsidRPr="007B566C">
        <w:rPr>
          <w:rFonts w:asciiTheme="majorBidi" w:eastAsia="Calibri" w:hAnsiTheme="majorBidi" w:cstheme="majorBidi"/>
          <w:sz w:val="20"/>
          <w:szCs w:val="20"/>
          <w:lang w:val="en-US"/>
        </w:rPr>
        <w:t>, 2005); let alone in concentrated-ownership firms.</w:t>
      </w:r>
      <w:r w:rsidR="00647279" w:rsidRPr="007B566C">
        <w:rPr>
          <w:rFonts w:asciiTheme="majorBidi" w:eastAsia="Calibri" w:hAnsiTheme="majorBidi" w:cstheme="majorBidi"/>
          <w:sz w:val="20"/>
          <w:szCs w:val="20"/>
          <w:lang w:val="en-US"/>
        </w:rPr>
        <w:t xml:space="preserve"> </w:t>
      </w:r>
      <w:r w:rsidR="005C3416" w:rsidRPr="007B566C">
        <w:rPr>
          <w:rFonts w:asciiTheme="majorBidi" w:eastAsia="Calibri" w:hAnsiTheme="majorBidi" w:cstheme="majorBidi"/>
          <w:sz w:val="20"/>
          <w:szCs w:val="20"/>
          <w:lang w:val="en-US"/>
        </w:rPr>
        <w:t>Th</w:t>
      </w:r>
      <w:r w:rsidR="00647279" w:rsidRPr="007B566C">
        <w:rPr>
          <w:rFonts w:asciiTheme="majorBidi" w:eastAsia="Calibri" w:hAnsiTheme="majorBidi" w:cstheme="majorBidi"/>
          <w:sz w:val="20"/>
          <w:szCs w:val="20"/>
          <w:lang w:val="en-US"/>
        </w:rPr>
        <w:t xml:space="preserve">ere is </w:t>
      </w:r>
      <w:r w:rsidR="005C3416" w:rsidRPr="007B566C">
        <w:rPr>
          <w:rFonts w:asciiTheme="majorBidi" w:eastAsia="Calibri" w:hAnsiTheme="majorBidi" w:cstheme="majorBidi"/>
          <w:sz w:val="20"/>
          <w:szCs w:val="20"/>
          <w:lang w:val="en-US"/>
        </w:rPr>
        <w:t xml:space="preserve">also </w:t>
      </w:r>
      <w:r w:rsidR="00647279" w:rsidRPr="007B566C">
        <w:rPr>
          <w:rFonts w:asciiTheme="majorBidi" w:eastAsia="Calibri" w:hAnsiTheme="majorBidi" w:cstheme="majorBidi"/>
          <w:sz w:val="20"/>
          <w:szCs w:val="20"/>
          <w:lang w:val="en-US"/>
        </w:rPr>
        <w:t>little empirical evidence that analyzes the relationship between ownership concentration and dividend policy</w:t>
      </w:r>
      <w:r w:rsidR="00E6767A" w:rsidRPr="007B566C">
        <w:rPr>
          <w:rFonts w:asciiTheme="majorBidi" w:eastAsia="Calibri" w:hAnsiTheme="majorBidi" w:cstheme="majorBidi"/>
          <w:sz w:val="20"/>
          <w:szCs w:val="20"/>
          <w:lang w:val="en-US"/>
        </w:rPr>
        <w:t xml:space="preserve"> but related results are mixed</w:t>
      </w:r>
      <w:r w:rsidR="000134A9" w:rsidRPr="007B566C">
        <w:rPr>
          <w:rFonts w:asciiTheme="majorBidi" w:eastAsia="Calibri" w:hAnsiTheme="majorBidi" w:cstheme="majorBidi"/>
          <w:sz w:val="20"/>
          <w:szCs w:val="20"/>
          <w:lang w:val="en-US"/>
        </w:rPr>
        <w:t xml:space="preserve"> and confusing</w:t>
      </w:r>
      <w:r w:rsidR="00E6767A" w:rsidRPr="007B566C">
        <w:rPr>
          <w:rFonts w:asciiTheme="majorBidi" w:eastAsia="Calibri" w:hAnsiTheme="majorBidi" w:cstheme="majorBidi"/>
          <w:sz w:val="20"/>
          <w:szCs w:val="20"/>
          <w:lang w:val="en-US"/>
        </w:rPr>
        <w:t xml:space="preserve">. </w:t>
      </w:r>
      <w:r w:rsidR="00100601" w:rsidRPr="007B566C">
        <w:rPr>
          <w:rFonts w:asciiTheme="majorBidi" w:eastAsia="Calibri" w:hAnsiTheme="majorBidi" w:cstheme="majorBidi"/>
          <w:sz w:val="20"/>
          <w:szCs w:val="20"/>
          <w:lang w:val="en-US"/>
        </w:rPr>
        <w:t xml:space="preserve">There is </w:t>
      </w:r>
      <w:r w:rsidR="000134A9" w:rsidRPr="007B566C">
        <w:rPr>
          <w:rFonts w:asciiTheme="majorBidi" w:eastAsia="Calibri" w:hAnsiTheme="majorBidi" w:cstheme="majorBidi"/>
          <w:sz w:val="20"/>
          <w:szCs w:val="20"/>
          <w:lang w:val="en-US"/>
        </w:rPr>
        <w:t xml:space="preserve">also </w:t>
      </w:r>
      <w:r w:rsidR="00100601" w:rsidRPr="007B566C">
        <w:rPr>
          <w:rFonts w:asciiTheme="majorBidi" w:eastAsia="Calibri" w:hAnsiTheme="majorBidi" w:cstheme="majorBidi"/>
          <w:sz w:val="20"/>
          <w:szCs w:val="20"/>
          <w:lang w:val="en-US"/>
        </w:rPr>
        <w:t>a growing research that is focusing on the relationship between private be</w:t>
      </w:r>
      <w:r w:rsidR="000134A9" w:rsidRPr="007B566C">
        <w:rPr>
          <w:rFonts w:asciiTheme="majorBidi" w:eastAsia="Calibri" w:hAnsiTheme="majorBidi" w:cstheme="majorBidi"/>
          <w:sz w:val="20"/>
          <w:szCs w:val="20"/>
          <w:lang w:val="en-US"/>
        </w:rPr>
        <w:t>ne</w:t>
      </w:r>
      <w:r w:rsidR="00100601" w:rsidRPr="007B566C">
        <w:rPr>
          <w:rFonts w:asciiTheme="majorBidi" w:eastAsia="Calibri" w:hAnsiTheme="majorBidi" w:cstheme="majorBidi"/>
          <w:sz w:val="20"/>
          <w:szCs w:val="20"/>
          <w:lang w:val="en-US"/>
        </w:rPr>
        <w:t xml:space="preserve">fits and </w:t>
      </w:r>
      <w:r w:rsidR="00D83590" w:rsidRPr="007B566C">
        <w:rPr>
          <w:rFonts w:asciiTheme="majorBidi" w:eastAsia="Calibri" w:hAnsiTheme="majorBidi" w:cstheme="majorBidi"/>
          <w:sz w:val="20"/>
          <w:szCs w:val="20"/>
          <w:lang w:val="en-US"/>
        </w:rPr>
        <w:t xml:space="preserve">block </w:t>
      </w:r>
      <w:r w:rsidR="00100601" w:rsidRPr="007B566C">
        <w:rPr>
          <w:rFonts w:asciiTheme="majorBidi" w:eastAsia="Calibri" w:hAnsiTheme="majorBidi" w:cstheme="majorBidi"/>
          <w:sz w:val="20"/>
          <w:szCs w:val="20"/>
          <w:lang w:val="en-US"/>
        </w:rPr>
        <w:t xml:space="preserve">ownership with no consensus on </w:t>
      </w:r>
      <w:r w:rsidR="00D83590" w:rsidRPr="007B566C">
        <w:rPr>
          <w:rFonts w:asciiTheme="majorBidi" w:eastAsia="Calibri" w:hAnsiTheme="majorBidi" w:cstheme="majorBidi"/>
          <w:sz w:val="20"/>
          <w:szCs w:val="20"/>
          <w:lang w:val="en-US"/>
        </w:rPr>
        <w:t>both</w:t>
      </w:r>
      <w:r w:rsidR="00100601" w:rsidRPr="007B566C">
        <w:rPr>
          <w:rFonts w:asciiTheme="majorBidi" w:eastAsia="Calibri" w:hAnsiTheme="majorBidi" w:cstheme="majorBidi"/>
          <w:sz w:val="20"/>
          <w:szCs w:val="20"/>
          <w:lang w:val="en-US"/>
        </w:rPr>
        <w:t xml:space="preserve"> </w:t>
      </w:r>
      <w:r w:rsidR="00506E27" w:rsidRPr="007B566C">
        <w:rPr>
          <w:rFonts w:asciiTheme="majorBidi" w:eastAsia="Calibri" w:hAnsiTheme="majorBidi" w:cstheme="majorBidi"/>
          <w:sz w:val="20"/>
          <w:szCs w:val="20"/>
          <w:lang w:val="en-US"/>
        </w:rPr>
        <w:t>sign</w:t>
      </w:r>
      <w:r w:rsidR="00100601" w:rsidRPr="007B566C">
        <w:rPr>
          <w:rFonts w:asciiTheme="majorBidi" w:eastAsia="Calibri" w:hAnsiTheme="majorBidi" w:cstheme="majorBidi"/>
          <w:sz w:val="20"/>
          <w:szCs w:val="20"/>
          <w:lang w:val="en-US"/>
        </w:rPr>
        <w:t xml:space="preserve"> and magnitude of the relationship. </w:t>
      </w:r>
      <w:r w:rsidR="005C3416" w:rsidRPr="007B566C">
        <w:rPr>
          <w:rFonts w:asciiTheme="majorBidi" w:eastAsia="Calibri" w:hAnsiTheme="majorBidi" w:cstheme="majorBidi"/>
          <w:sz w:val="20"/>
          <w:szCs w:val="20"/>
          <w:lang w:val="en-US"/>
        </w:rPr>
        <w:t xml:space="preserve">The role of blockholders is itself not </w:t>
      </w:r>
      <w:r w:rsidR="00D83590" w:rsidRPr="007B566C">
        <w:rPr>
          <w:rFonts w:asciiTheme="majorBidi" w:eastAsia="Calibri" w:hAnsiTheme="majorBidi" w:cstheme="majorBidi"/>
          <w:sz w:val="20"/>
          <w:szCs w:val="20"/>
          <w:lang w:val="en-US"/>
        </w:rPr>
        <w:t xml:space="preserve">yet </w:t>
      </w:r>
      <w:r w:rsidR="005C3416" w:rsidRPr="007B566C">
        <w:rPr>
          <w:rFonts w:asciiTheme="majorBidi" w:eastAsia="Calibri" w:hAnsiTheme="majorBidi" w:cstheme="majorBidi"/>
          <w:sz w:val="20"/>
          <w:szCs w:val="20"/>
          <w:lang w:val="en-US"/>
        </w:rPr>
        <w:t xml:space="preserve">well </w:t>
      </w:r>
      <w:r w:rsidR="00E40A1F" w:rsidRPr="007B566C">
        <w:rPr>
          <w:rFonts w:asciiTheme="majorBidi" w:eastAsia="Calibri" w:hAnsiTheme="majorBidi" w:cstheme="majorBidi"/>
          <w:sz w:val="20"/>
          <w:szCs w:val="20"/>
          <w:lang w:val="en-US"/>
        </w:rPr>
        <w:t xml:space="preserve">addressed </w:t>
      </w:r>
      <w:r w:rsidR="005C3416" w:rsidRPr="007B566C">
        <w:rPr>
          <w:rFonts w:asciiTheme="majorBidi" w:eastAsia="Calibri" w:hAnsiTheme="majorBidi" w:cstheme="majorBidi"/>
          <w:sz w:val="20"/>
          <w:szCs w:val="20"/>
          <w:lang w:val="en-US"/>
        </w:rPr>
        <w:t xml:space="preserve">(Holderness, 2003). </w:t>
      </w:r>
      <w:r w:rsidR="00E619E9" w:rsidRPr="007B566C">
        <w:rPr>
          <w:rFonts w:asciiTheme="majorBidi" w:eastAsia="Calibri" w:hAnsiTheme="majorBidi" w:cstheme="majorBidi"/>
          <w:sz w:val="20"/>
          <w:szCs w:val="20"/>
          <w:lang w:val="en-US"/>
        </w:rPr>
        <w:t>But above all, it is important to analyze the relationship between dividends and private benefits of control</w:t>
      </w:r>
      <w:r w:rsidR="00E619E9" w:rsidRPr="007B566C">
        <w:rPr>
          <w:rFonts w:ascii="Times-Roman" w:eastAsia="Calibri" w:hAnsi="Times-Roman" w:cs="Times-Roman"/>
          <w:color w:val="000000"/>
          <w:sz w:val="20"/>
          <w:szCs w:val="20"/>
          <w:lang w:val="en-US"/>
        </w:rPr>
        <w:t xml:space="preserve"> in an effort to gain a better understanding of what role the largest shareholder might play in setting dividend policy. </w:t>
      </w:r>
    </w:p>
    <w:p w:rsidR="00CA785C" w:rsidRPr="007B566C" w:rsidRDefault="00CA785C" w:rsidP="007B566C">
      <w:pPr>
        <w:widowControl w:val="0"/>
        <w:autoSpaceDE w:val="0"/>
        <w:autoSpaceDN w:val="0"/>
        <w:adjustRightInd w:val="0"/>
        <w:spacing w:after="0" w:line="240" w:lineRule="auto"/>
        <w:ind w:firstLine="720"/>
        <w:jc w:val="both"/>
        <w:rPr>
          <w:rFonts w:asciiTheme="majorBidi" w:eastAsia="Calibri" w:hAnsiTheme="majorBidi" w:cstheme="majorBidi"/>
          <w:sz w:val="20"/>
          <w:szCs w:val="20"/>
          <w:lang w:val="en-US"/>
        </w:rPr>
      </w:pPr>
    </w:p>
    <w:p w:rsidR="00362CA7" w:rsidRPr="007B566C" w:rsidRDefault="00E6767A" w:rsidP="0075612C">
      <w:pPr>
        <w:widowControl w:val="0"/>
        <w:autoSpaceDE w:val="0"/>
        <w:autoSpaceDN w:val="0"/>
        <w:adjustRightInd w:val="0"/>
        <w:spacing w:after="0" w:line="240" w:lineRule="auto"/>
        <w:ind w:firstLine="720"/>
        <w:jc w:val="both"/>
        <w:rPr>
          <w:rFonts w:asciiTheme="majorBidi" w:hAnsiTheme="majorBidi" w:cstheme="majorBidi"/>
          <w:sz w:val="20"/>
          <w:szCs w:val="20"/>
          <w:lang w:val="en-US"/>
        </w:rPr>
      </w:pPr>
      <w:r w:rsidRPr="007B566C">
        <w:rPr>
          <w:rFonts w:asciiTheme="majorBidi" w:eastAsia="Calibri" w:hAnsiTheme="majorBidi" w:cstheme="majorBidi"/>
          <w:sz w:val="20"/>
          <w:szCs w:val="20"/>
          <w:lang w:val="en-US"/>
        </w:rPr>
        <w:t xml:space="preserve">To the best of our knowledge, there is no </w:t>
      </w:r>
      <w:r w:rsidR="006E61DF" w:rsidRPr="007B566C">
        <w:rPr>
          <w:rFonts w:asciiTheme="majorBidi" w:eastAsia="Calibri" w:hAnsiTheme="majorBidi" w:cstheme="majorBidi"/>
          <w:sz w:val="20"/>
          <w:szCs w:val="20"/>
          <w:lang w:val="en-US"/>
        </w:rPr>
        <w:t xml:space="preserve">previous </w:t>
      </w:r>
      <w:r w:rsidRPr="007B566C">
        <w:rPr>
          <w:rFonts w:asciiTheme="majorBidi" w:eastAsia="Calibri" w:hAnsiTheme="majorBidi" w:cstheme="majorBidi"/>
          <w:sz w:val="20"/>
          <w:szCs w:val="20"/>
          <w:lang w:val="en-US"/>
        </w:rPr>
        <w:t xml:space="preserve">study that investigates </w:t>
      </w:r>
      <w:r w:rsidRPr="007B566C">
        <w:rPr>
          <w:rFonts w:asciiTheme="majorBidi" w:eastAsia="Calibri" w:hAnsiTheme="majorBidi" w:cstheme="majorBidi"/>
          <w:color w:val="000000"/>
          <w:sz w:val="20"/>
          <w:szCs w:val="20"/>
          <w:lang w:val="en-US"/>
        </w:rPr>
        <w:t>the interaction that might exist between private benefits of control and dividends.</w:t>
      </w:r>
      <w:r w:rsidR="00E40A1F" w:rsidRPr="007B566C">
        <w:rPr>
          <w:rFonts w:asciiTheme="majorBidi" w:eastAsia="Calibri" w:hAnsiTheme="majorBidi" w:cstheme="majorBidi"/>
          <w:color w:val="000000"/>
          <w:sz w:val="20"/>
          <w:szCs w:val="20"/>
          <w:lang w:val="en-US"/>
        </w:rPr>
        <w:t xml:space="preserve"> On one hand, </w:t>
      </w:r>
      <w:r w:rsidR="008E320F">
        <w:rPr>
          <w:rFonts w:asciiTheme="majorBidi" w:eastAsia="Calibri" w:hAnsiTheme="majorBidi" w:cstheme="majorBidi"/>
          <w:color w:val="000000"/>
          <w:sz w:val="20"/>
          <w:szCs w:val="20"/>
          <w:lang w:val="en-US"/>
        </w:rPr>
        <w:t>majority</w:t>
      </w:r>
      <w:r w:rsidR="00E40A1F" w:rsidRPr="007B566C">
        <w:rPr>
          <w:rFonts w:asciiTheme="majorBidi" w:eastAsia="Calibri" w:hAnsiTheme="majorBidi" w:cstheme="majorBidi"/>
          <w:color w:val="000000"/>
          <w:sz w:val="20"/>
          <w:szCs w:val="20"/>
          <w:lang w:val="en-US"/>
        </w:rPr>
        <w:t xml:space="preserve"> shareholders can enforce a dividend policy that likely </w:t>
      </w:r>
      <w:r w:rsidR="00CA785C" w:rsidRPr="007B566C">
        <w:rPr>
          <w:rFonts w:asciiTheme="majorBidi" w:eastAsia="Calibri" w:hAnsiTheme="majorBidi" w:cstheme="majorBidi"/>
          <w:color w:val="000000"/>
          <w:sz w:val="20"/>
          <w:szCs w:val="20"/>
          <w:lang w:val="en-US"/>
        </w:rPr>
        <w:t xml:space="preserve">reduces private consumption by firm management but ultimately </w:t>
      </w:r>
      <w:r w:rsidR="00E40A1F" w:rsidRPr="007B566C">
        <w:rPr>
          <w:rFonts w:asciiTheme="majorBidi" w:eastAsia="Calibri" w:hAnsiTheme="majorBidi" w:cstheme="majorBidi"/>
          <w:color w:val="000000"/>
          <w:sz w:val="20"/>
          <w:szCs w:val="20"/>
          <w:lang w:val="en-US"/>
        </w:rPr>
        <w:t>maximize</w:t>
      </w:r>
      <w:r w:rsidR="006E61DF" w:rsidRPr="007B566C">
        <w:rPr>
          <w:rFonts w:asciiTheme="majorBidi" w:eastAsia="Calibri" w:hAnsiTheme="majorBidi" w:cstheme="majorBidi"/>
          <w:color w:val="000000"/>
          <w:sz w:val="20"/>
          <w:szCs w:val="20"/>
          <w:lang w:val="en-US"/>
        </w:rPr>
        <w:t>s</w:t>
      </w:r>
      <w:r w:rsidR="00E40A1F" w:rsidRPr="007B566C">
        <w:rPr>
          <w:rFonts w:asciiTheme="majorBidi" w:eastAsia="Calibri" w:hAnsiTheme="majorBidi" w:cstheme="majorBidi"/>
          <w:color w:val="000000"/>
          <w:sz w:val="20"/>
          <w:szCs w:val="20"/>
          <w:lang w:val="en-US"/>
        </w:rPr>
        <w:t xml:space="preserve"> their own private benefits at the expense of minority </w:t>
      </w:r>
      <w:r w:rsidR="008E320F">
        <w:rPr>
          <w:rFonts w:asciiTheme="majorBidi" w:eastAsia="Calibri" w:hAnsiTheme="majorBidi" w:cstheme="majorBidi"/>
          <w:color w:val="000000"/>
          <w:sz w:val="20"/>
          <w:szCs w:val="20"/>
          <w:lang w:val="en-US"/>
        </w:rPr>
        <w:t>investor</w:t>
      </w:r>
      <w:r w:rsidR="00E40A1F" w:rsidRPr="007B566C">
        <w:rPr>
          <w:rFonts w:asciiTheme="majorBidi" w:eastAsia="Calibri" w:hAnsiTheme="majorBidi" w:cstheme="majorBidi"/>
          <w:color w:val="000000"/>
          <w:sz w:val="20"/>
          <w:szCs w:val="20"/>
          <w:lang w:val="en-US"/>
        </w:rPr>
        <w:t>s.</w:t>
      </w:r>
      <w:r w:rsidR="00CA785C" w:rsidRPr="007B566C">
        <w:rPr>
          <w:rFonts w:asciiTheme="majorBidi" w:eastAsia="Calibri" w:hAnsiTheme="majorBidi" w:cstheme="majorBidi"/>
          <w:color w:val="000000"/>
          <w:sz w:val="20"/>
          <w:szCs w:val="20"/>
          <w:lang w:val="en-US"/>
        </w:rPr>
        <w:t xml:space="preserve"> Dividend payout may then have either a positive or a negative influence on private benefits. On the other hand, a firm with </w:t>
      </w:r>
      <w:r w:rsidR="00B6397F" w:rsidRPr="007B566C">
        <w:rPr>
          <w:rFonts w:asciiTheme="majorBidi" w:eastAsia="Calibri" w:hAnsiTheme="majorBidi" w:cstheme="majorBidi"/>
          <w:color w:val="000000"/>
          <w:sz w:val="20"/>
          <w:szCs w:val="20"/>
          <w:lang w:val="en-US"/>
        </w:rPr>
        <w:t xml:space="preserve">an acute </w:t>
      </w:r>
      <w:r w:rsidR="008E320F">
        <w:rPr>
          <w:rFonts w:asciiTheme="majorBidi" w:eastAsia="Calibri" w:hAnsiTheme="majorBidi" w:cstheme="majorBidi"/>
          <w:color w:val="000000"/>
          <w:sz w:val="20"/>
          <w:szCs w:val="20"/>
          <w:lang w:val="en-US"/>
        </w:rPr>
        <w:t xml:space="preserve">problem of </w:t>
      </w:r>
      <w:r w:rsidR="00B6397F" w:rsidRPr="007B566C">
        <w:rPr>
          <w:rFonts w:asciiTheme="majorBidi" w:eastAsia="Calibri" w:hAnsiTheme="majorBidi" w:cstheme="majorBidi"/>
          <w:color w:val="000000"/>
          <w:sz w:val="20"/>
          <w:szCs w:val="20"/>
          <w:lang w:val="en-US"/>
        </w:rPr>
        <w:t>rent protection</w:t>
      </w:r>
      <w:r w:rsidR="00CA785C" w:rsidRPr="007B566C">
        <w:rPr>
          <w:rFonts w:asciiTheme="majorBidi" w:eastAsia="Calibri" w:hAnsiTheme="majorBidi" w:cstheme="majorBidi"/>
          <w:color w:val="000000"/>
          <w:sz w:val="20"/>
          <w:szCs w:val="20"/>
          <w:lang w:val="en-US"/>
        </w:rPr>
        <w:t xml:space="preserve"> is expected to distribute lower dividends but can also offer higher dividends to signal the firm </w:t>
      </w:r>
      <w:r w:rsidR="006E61DF" w:rsidRPr="007B566C">
        <w:rPr>
          <w:rFonts w:asciiTheme="majorBidi" w:eastAsia="Calibri" w:hAnsiTheme="majorBidi" w:cstheme="majorBidi"/>
          <w:color w:val="000000"/>
          <w:sz w:val="20"/>
          <w:szCs w:val="20"/>
          <w:lang w:val="en-US"/>
        </w:rPr>
        <w:t>value</w:t>
      </w:r>
      <w:r w:rsidR="00CA785C" w:rsidRPr="007B566C">
        <w:rPr>
          <w:rFonts w:asciiTheme="majorBidi" w:eastAsia="Calibri" w:hAnsiTheme="majorBidi" w:cstheme="majorBidi"/>
          <w:color w:val="000000"/>
          <w:sz w:val="20"/>
          <w:szCs w:val="20"/>
          <w:lang w:val="en-US"/>
        </w:rPr>
        <w:t xml:space="preserve"> and to hide expropriation problems.</w:t>
      </w:r>
      <w:r w:rsidR="00B6397F" w:rsidRPr="007B566C">
        <w:rPr>
          <w:rFonts w:asciiTheme="majorBidi" w:eastAsia="Calibri" w:hAnsiTheme="majorBidi" w:cstheme="majorBidi"/>
          <w:color w:val="000000"/>
          <w:sz w:val="20"/>
          <w:szCs w:val="20"/>
          <w:lang w:val="en-US"/>
        </w:rPr>
        <w:t xml:space="preserve"> Therefore, private benefits are argued to have either a positive or a negative impact on dividend payout. In this paper, we focus on </w:t>
      </w:r>
      <w:r w:rsidR="00E619E9" w:rsidRPr="007B566C">
        <w:rPr>
          <w:rFonts w:asciiTheme="majorBidi" w:eastAsia="Calibri" w:hAnsiTheme="majorBidi" w:cstheme="majorBidi"/>
          <w:color w:val="000000"/>
          <w:sz w:val="20"/>
          <w:szCs w:val="20"/>
          <w:lang w:val="en-US"/>
        </w:rPr>
        <w:t xml:space="preserve">both </w:t>
      </w:r>
      <w:r w:rsidR="00B6397F" w:rsidRPr="007B566C">
        <w:rPr>
          <w:rFonts w:asciiTheme="majorBidi" w:eastAsia="Calibri" w:hAnsiTheme="majorBidi" w:cstheme="majorBidi"/>
          <w:color w:val="000000"/>
          <w:sz w:val="20"/>
          <w:szCs w:val="20"/>
          <w:lang w:val="en-US"/>
        </w:rPr>
        <w:t xml:space="preserve">kinds </w:t>
      </w:r>
      <w:r w:rsidR="006E61DF" w:rsidRPr="007B566C">
        <w:rPr>
          <w:rFonts w:asciiTheme="majorBidi" w:eastAsia="Calibri" w:hAnsiTheme="majorBidi" w:cstheme="majorBidi"/>
          <w:color w:val="000000"/>
          <w:sz w:val="20"/>
          <w:szCs w:val="20"/>
          <w:lang w:val="en-US"/>
        </w:rPr>
        <w:t xml:space="preserve">of benefits </w:t>
      </w:r>
      <w:r w:rsidR="00B6397F" w:rsidRPr="007B566C">
        <w:rPr>
          <w:rFonts w:asciiTheme="majorBidi" w:eastAsia="Calibri" w:hAnsiTheme="majorBidi" w:cstheme="majorBidi"/>
          <w:color w:val="000000"/>
          <w:sz w:val="20"/>
          <w:szCs w:val="20"/>
          <w:lang w:val="en-US"/>
        </w:rPr>
        <w:t>that can receive shareholders, namely private and shared benefits</w:t>
      </w:r>
      <w:r w:rsidR="006E61DF" w:rsidRPr="007B566C">
        <w:rPr>
          <w:rFonts w:asciiTheme="majorBidi" w:eastAsia="Calibri" w:hAnsiTheme="majorBidi" w:cstheme="majorBidi"/>
          <w:color w:val="000000"/>
          <w:sz w:val="20"/>
          <w:szCs w:val="20"/>
          <w:lang w:val="en-US"/>
        </w:rPr>
        <w:t>,</w:t>
      </w:r>
      <w:r w:rsidR="00B6397F" w:rsidRPr="007B566C">
        <w:rPr>
          <w:rFonts w:asciiTheme="majorBidi" w:eastAsia="Calibri" w:hAnsiTheme="majorBidi" w:cstheme="majorBidi"/>
          <w:color w:val="000000"/>
          <w:sz w:val="20"/>
          <w:szCs w:val="20"/>
          <w:lang w:val="en-US"/>
        </w:rPr>
        <w:t xml:space="preserve"> and analyze the potential effect that may have on each other </w:t>
      </w:r>
      <w:r w:rsidR="00E619E9" w:rsidRPr="007B566C">
        <w:rPr>
          <w:rFonts w:asciiTheme="majorBidi" w:eastAsia="Calibri" w:hAnsiTheme="majorBidi" w:cstheme="majorBidi"/>
          <w:color w:val="000000"/>
          <w:sz w:val="20"/>
          <w:szCs w:val="20"/>
          <w:lang w:val="en-US"/>
        </w:rPr>
        <w:t xml:space="preserve">within a large sample of French firms during </w:t>
      </w:r>
      <w:r w:rsidR="0075612C" w:rsidRPr="00D644CA">
        <w:rPr>
          <w:rFonts w:asciiTheme="majorBidi" w:hAnsiTheme="majorBidi" w:cstheme="majorBidi"/>
          <w:sz w:val="20"/>
          <w:szCs w:val="20"/>
          <w:lang w:val="en-US"/>
        </w:rPr>
        <w:t>200</w:t>
      </w:r>
      <w:r w:rsidR="0075612C">
        <w:rPr>
          <w:rFonts w:asciiTheme="majorBidi" w:hAnsiTheme="majorBidi" w:cstheme="majorBidi"/>
          <w:sz w:val="20"/>
          <w:szCs w:val="20"/>
          <w:lang w:val="en-US"/>
        </w:rPr>
        <w:t>9</w:t>
      </w:r>
      <w:r w:rsidR="0075612C" w:rsidRPr="00D644CA">
        <w:rPr>
          <w:rFonts w:asciiTheme="majorBidi" w:hAnsiTheme="majorBidi" w:cstheme="majorBidi"/>
          <w:sz w:val="20"/>
          <w:szCs w:val="20"/>
          <w:lang w:val="en-US"/>
        </w:rPr>
        <w:t>-20</w:t>
      </w:r>
      <w:r w:rsidR="0075612C">
        <w:rPr>
          <w:rFonts w:asciiTheme="majorBidi" w:hAnsiTheme="majorBidi" w:cstheme="majorBidi"/>
          <w:sz w:val="20"/>
          <w:szCs w:val="20"/>
          <w:lang w:val="en-US"/>
        </w:rPr>
        <w:t>13</w:t>
      </w:r>
      <w:r w:rsidR="00186B62" w:rsidRPr="007B566C">
        <w:rPr>
          <w:rFonts w:asciiTheme="majorBidi" w:eastAsia="Calibri" w:hAnsiTheme="majorBidi" w:cstheme="majorBidi"/>
          <w:color w:val="000000"/>
          <w:sz w:val="20"/>
          <w:szCs w:val="20"/>
          <w:lang w:val="en-US"/>
        </w:rPr>
        <w:t xml:space="preserve">. </w:t>
      </w:r>
      <w:r w:rsidR="006E61DF" w:rsidRPr="007B566C">
        <w:rPr>
          <w:rFonts w:asciiTheme="majorBidi" w:eastAsia="Calibri" w:hAnsiTheme="majorBidi" w:cstheme="majorBidi"/>
          <w:color w:val="000000"/>
          <w:sz w:val="20"/>
          <w:szCs w:val="20"/>
          <w:lang w:val="en-US"/>
        </w:rPr>
        <w:t xml:space="preserve">The ownership of </w:t>
      </w:r>
      <w:r w:rsidR="00186B62" w:rsidRPr="007B566C">
        <w:rPr>
          <w:rFonts w:asciiTheme="majorBidi" w:eastAsia="Calibri" w:hAnsiTheme="majorBidi" w:cstheme="majorBidi"/>
          <w:color w:val="000000"/>
          <w:sz w:val="20"/>
          <w:szCs w:val="20"/>
          <w:lang w:val="en-US"/>
        </w:rPr>
        <w:t xml:space="preserve">French firms </w:t>
      </w:r>
      <w:r w:rsidR="006E61DF" w:rsidRPr="007B566C">
        <w:rPr>
          <w:rFonts w:asciiTheme="majorBidi" w:eastAsia="Calibri" w:hAnsiTheme="majorBidi" w:cstheme="majorBidi"/>
          <w:color w:val="000000"/>
          <w:sz w:val="20"/>
          <w:szCs w:val="20"/>
          <w:lang w:val="en-US"/>
        </w:rPr>
        <w:t xml:space="preserve">is often concentrated </w:t>
      </w:r>
      <w:r w:rsidR="0025681A" w:rsidRPr="007B566C">
        <w:rPr>
          <w:rFonts w:asciiTheme="majorBidi" w:eastAsia="Calibri" w:hAnsiTheme="majorBidi" w:cstheme="majorBidi"/>
          <w:color w:val="000000"/>
          <w:sz w:val="20"/>
          <w:szCs w:val="20"/>
          <w:lang w:val="en-US"/>
        </w:rPr>
        <w:t>due to cross and pyramidal holding</w:t>
      </w:r>
      <w:r w:rsidR="008E320F">
        <w:rPr>
          <w:rFonts w:asciiTheme="majorBidi" w:eastAsia="Calibri" w:hAnsiTheme="majorBidi" w:cstheme="majorBidi"/>
          <w:color w:val="000000"/>
          <w:sz w:val="20"/>
          <w:szCs w:val="20"/>
          <w:lang w:val="en-US"/>
        </w:rPr>
        <w:t>s</w:t>
      </w:r>
      <w:r w:rsidR="0081462B" w:rsidRPr="007B566C">
        <w:rPr>
          <w:rFonts w:asciiTheme="majorBidi" w:eastAsia="Calibri" w:hAnsiTheme="majorBidi" w:cstheme="majorBidi"/>
          <w:color w:val="000000"/>
          <w:sz w:val="20"/>
          <w:szCs w:val="20"/>
          <w:lang w:val="en-US"/>
        </w:rPr>
        <w:t xml:space="preserve"> as well as dual class shares</w:t>
      </w:r>
      <w:r w:rsidR="0025681A" w:rsidRPr="007B566C">
        <w:rPr>
          <w:rFonts w:asciiTheme="majorBidi" w:eastAsia="Calibri" w:hAnsiTheme="majorBidi" w:cstheme="majorBidi"/>
          <w:color w:val="000000"/>
          <w:sz w:val="20"/>
          <w:szCs w:val="20"/>
          <w:lang w:val="en-US"/>
        </w:rPr>
        <w:t xml:space="preserve">; </w:t>
      </w:r>
      <w:r w:rsidR="006E61DF" w:rsidRPr="007B566C">
        <w:rPr>
          <w:rFonts w:asciiTheme="majorBidi" w:eastAsia="Calibri" w:hAnsiTheme="majorBidi" w:cstheme="majorBidi"/>
          <w:color w:val="000000"/>
          <w:sz w:val="20"/>
          <w:szCs w:val="20"/>
          <w:lang w:val="en-US"/>
        </w:rPr>
        <w:t>with large stakes mostly</w:t>
      </w:r>
      <w:r w:rsidR="00186B62" w:rsidRPr="007B566C">
        <w:rPr>
          <w:rFonts w:asciiTheme="majorBidi" w:eastAsia="Calibri" w:hAnsiTheme="majorBidi" w:cstheme="majorBidi"/>
          <w:color w:val="000000"/>
          <w:sz w:val="20"/>
          <w:szCs w:val="20"/>
          <w:lang w:val="en-US"/>
        </w:rPr>
        <w:t xml:space="preserve"> held </w:t>
      </w:r>
      <w:r w:rsidR="006E61DF" w:rsidRPr="007B566C">
        <w:rPr>
          <w:rFonts w:asciiTheme="majorBidi" w:eastAsia="Calibri" w:hAnsiTheme="majorBidi" w:cstheme="majorBidi"/>
          <w:color w:val="000000"/>
          <w:sz w:val="20"/>
          <w:szCs w:val="20"/>
          <w:lang w:val="en-US"/>
        </w:rPr>
        <w:t>by</w:t>
      </w:r>
      <w:r w:rsidR="00186B62" w:rsidRPr="007B566C">
        <w:rPr>
          <w:rFonts w:asciiTheme="majorBidi" w:eastAsia="Calibri" w:hAnsiTheme="majorBidi" w:cstheme="majorBidi"/>
          <w:color w:val="000000"/>
          <w:sz w:val="20"/>
          <w:szCs w:val="20"/>
          <w:lang w:val="en-US"/>
        </w:rPr>
        <w:t xml:space="preserve"> a few blockholders, </w:t>
      </w:r>
      <w:r w:rsidR="006E61DF" w:rsidRPr="007B566C">
        <w:rPr>
          <w:rFonts w:asciiTheme="majorBidi" w:eastAsia="Calibri" w:hAnsiTheme="majorBidi" w:cstheme="majorBidi"/>
          <w:color w:val="000000"/>
          <w:sz w:val="20"/>
          <w:szCs w:val="20"/>
          <w:lang w:val="en-US"/>
        </w:rPr>
        <w:t>namely</w:t>
      </w:r>
      <w:r w:rsidR="00186B62" w:rsidRPr="007B566C">
        <w:rPr>
          <w:rFonts w:asciiTheme="majorBidi" w:eastAsia="Calibri" w:hAnsiTheme="majorBidi" w:cstheme="majorBidi"/>
          <w:color w:val="000000"/>
          <w:sz w:val="20"/>
          <w:szCs w:val="20"/>
          <w:lang w:val="en-US"/>
        </w:rPr>
        <w:t xml:space="preserve"> a family or a State</w:t>
      </w:r>
      <w:r w:rsidR="00186B62" w:rsidRPr="007B566C">
        <w:rPr>
          <w:rStyle w:val="longtext"/>
          <w:rFonts w:asciiTheme="majorBidi" w:hAnsiTheme="majorBidi" w:cstheme="majorBidi"/>
          <w:color w:val="000000"/>
          <w:sz w:val="20"/>
          <w:szCs w:val="20"/>
          <w:shd w:val="clear" w:color="auto" w:fill="FFFFFF"/>
          <w:lang w:val="en-US"/>
        </w:rPr>
        <w:t xml:space="preserve"> (Johnson and al., 2000; </w:t>
      </w:r>
      <w:proofErr w:type="spellStart"/>
      <w:r w:rsidR="00186B62" w:rsidRPr="007B566C">
        <w:rPr>
          <w:rFonts w:asciiTheme="majorBidi" w:hAnsiTheme="majorBidi" w:cstheme="majorBidi"/>
          <w:sz w:val="20"/>
          <w:szCs w:val="20"/>
          <w:lang w:val="en-US"/>
        </w:rPr>
        <w:t>Faccio</w:t>
      </w:r>
      <w:proofErr w:type="spellEnd"/>
      <w:r w:rsidR="00186B62" w:rsidRPr="007B566C">
        <w:rPr>
          <w:rFonts w:asciiTheme="majorBidi" w:hAnsiTheme="majorBidi" w:cstheme="majorBidi"/>
          <w:sz w:val="20"/>
          <w:szCs w:val="20"/>
          <w:lang w:val="en-US"/>
        </w:rPr>
        <w:t xml:space="preserve"> and Lang, 2002</w:t>
      </w:r>
      <w:r w:rsidR="00186B62" w:rsidRPr="007B566C">
        <w:rPr>
          <w:rStyle w:val="longtext"/>
          <w:rFonts w:asciiTheme="majorBidi" w:hAnsiTheme="majorBidi" w:cstheme="majorBidi"/>
          <w:color w:val="000000"/>
          <w:sz w:val="20"/>
          <w:szCs w:val="20"/>
          <w:shd w:val="clear" w:color="auto" w:fill="FFFFFF"/>
          <w:lang w:val="en-US"/>
        </w:rPr>
        <w:t>)</w:t>
      </w:r>
      <w:r w:rsidR="0025681A" w:rsidRPr="007B566C">
        <w:rPr>
          <w:rStyle w:val="longtext"/>
          <w:rFonts w:asciiTheme="majorBidi" w:hAnsiTheme="majorBidi" w:cstheme="majorBidi"/>
          <w:color w:val="000000"/>
          <w:sz w:val="20"/>
          <w:szCs w:val="20"/>
          <w:shd w:val="clear" w:color="auto" w:fill="FFFFFF"/>
          <w:lang w:val="en-US"/>
        </w:rPr>
        <w:t>.</w:t>
      </w:r>
      <w:r w:rsidR="00100601" w:rsidRPr="007B566C">
        <w:rPr>
          <w:rStyle w:val="longtext"/>
          <w:rFonts w:asciiTheme="majorBidi" w:hAnsiTheme="majorBidi" w:cstheme="majorBidi"/>
          <w:color w:val="000000"/>
          <w:sz w:val="20"/>
          <w:szCs w:val="20"/>
          <w:shd w:val="clear" w:color="auto" w:fill="FFFFFF"/>
          <w:lang w:val="en-US"/>
        </w:rPr>
        <w:t xml:space="preserve"> Agency conflicts </w:t>
      </w:r>
      <w:r w:rsidR="00506E27" w:rsidRPr="007B566C">
        <w:rPr>
          <w:rStyle w:val="longtext"/>
          <w:rFonts w:asciiTheme="majorBidi" w:hAnsiTheme="majorBidi" w:cstheme="majorBidi"/>
          <w:color w:val="000000"/>
          <w:sz w:val="20"/>
          <w:szCs w:val="20"/>
          <w:shd w:val="clear" w:color="auto" w:fill="FFFFFF"/>
          <w:lang w:val="en-US"/>
        </w:rPr>
        <w:t>particularly</w:t>
      </w:r>
      <w:r w:rsidR="00100601" w:rsidRPr="007B566C">
        <w:rPr>
          <w:rStyle w:val="longtext"/>
          <w:rFonts w:asciiTheme="majorBidi" w:hAnsiTheme="majorBidi" w:cstheme="majorBidi"/>
          <w:color w:val="000000"/>
          <w:sz w:val="20"/>
          <w:szCs w:val="20"/>
          <w:shd w:val="clear" w:color="auto" w:fill="FFFFFF"/>
          <w:lang w:val="en-US"/>
        </w:rPr>
        <w:t xml:space="preserve"> arise between controlling </w:t>
      </w:r>
      <w:r w:rsidR="00362CA7" w:rsidRPr="007B566C">
        <w:rPr>
          <w:rStyle w:val="longtext"/>
          <w:rFonts w:asciiTheme="majorBidi" w:hAnsiTheme="majorBidi" w:cstheme="majorBidi"/>
          <w:color w:val="000000"/>
          <w:sz w:val="20"/>
          <w:szCs w:val="20"/>
          <w:shd w:val="clear" w:color="auto" w:fill="FFFFFF"/>
          <w:lang w:val="en-US"/>
        </w:rPr>
        <w:t>owners</w:t>
      </w:r>
      <w:r w:rsidR="00100601" w:rsidRPr="007B566C">
        <w:rPr>
          <w:rStyle w:val="longtext"/>
          <w:rFonts w:asciiTheme="majorBidi" w:hAnsiTheme="majorBidi" w:cstheme="majorBidi"/>
          <w:color w:val="000000"/>
          <w:sz w:val="20"/>
          <w:szCs w:val="20"/>
          <w:shd w:val="clear" w:color="auto" w:fill="FFFFFF"/>
          <w:lang w:val="en-US"/>
        </w:rPr>
        <w:t xml:space="preserve"> and minority shareholders, what explain the significant </w:t>
      </w:r>
      <w:r w:rsidR="00186B62" w:rsidRPr="007B566C">
        <w:rPr>
          <w:rFonts w:asciiTheme="majorBidi" w:eastAsia="Calibri" w:hAnsiTheme="majorBidi" w:cstheme="majorBidi"/>
          <w:color w:val="000000"/>
          <w:sz w:val="20"/>
          <w:szCs w:val="20"/>
          <w:lang w:val="en-US"/>
        </w:rPr>
        <w:t xml:space="preserve">levels of private benefits </w:t>
      </w:r>
      <w:r w:rsidR="00100601" w:rsidRPr="007B566C">
        <w:rPr>
          <w:rFonts w:asciiTheme="majorBidi" w:eastAsia="Calibri" w:hAnsiTheme="majorBidi" w:cstheme="majorBidi"/>
          <w:color w:val="000000"/>
          <w:sz w:val="20"/>
          <w:szCs w:val="20"/>
          <w:lang w:val="en-US"/>
        </w:rPr>
        <w:t xml:space="preserve">within French firms </w:t>
      </w:r>
      <w:r w:rsidR="00186B62" w:rsidRPr="007B566C">
        <w:rPr>
          <w:rFonts w:asciiTheme="majorBidi" w:hAnsiTheme="majorBidi" w:cstheme="majorBidi"/>
          <w:color w:val="000000"/>
          <w:sz w:val="20"/>
          <w:szCs w:val="20"/>
          <w:lang w:val="en-US"/>
        </w:rPr>
        <w:t>(</w:t>
      </w:r>
      <w:r w:rsidR="00186B62" w:rsidRPr="007B566C">
        <w:rPr>
          <w:rStyle w:val="longtext"/>
          <w:rFonts w:asciiTheme="majorBidi" w:hAnsiTheme="majorBidi" w:cstheme="majorBidi"/>
          <w:color w:val="000000"/>
          <w:sz w:val="20"/>
          <w:szCs w:val="20"/>
          <w:shd w:val="clear" w:color="auto" w:fill="FFFFFF"/>
          <w:lang w:val="en-US"/>
        </w:rPr>
        <w:t xml:space="preserve">Johnson and al., 2000; </w:t>
      </w:r>
      <w:proofErr w:type="spellStart"/>
      <w:r w:rsidR="00186B62" w:rsidRPr="007B566C">
        <w:rPr>
          <w:rFonts w:asciiTheme="majorBidi" w:hAnsiTheme="majorBidi" w:cstheme="majorBidi"/>
          <w:color w:val="000000"/>
          <w:sz w:val="20"/>
          <w:szCs w:val="20"/>
          <w:lang w:val="en-US"/>
        </w:rPr>
        <w:t>Nenova</w:t>
      </w:r>
      <w:proofErr w:type="spellEnd"/>
      <w:r w:rsidR="00186B62" w:rsidRPr="007B566C">
        <w:rPr>
          <w:rFonts w:asciiTheme="majorBidi" w:hAnsiTheme="majorBidi" w:cstheme="majorBidi"/>
          <w:color w:val="000000"/>
          <w:sz w:val="20"/>
          <w:szCs w:val="20"/>
          <w:lang w:val="en-US"/>
        </w:rPr>
        <w:t xml:space="preserve">, 2003; Le </w:t>
      </w:r>
      <w:proofErr w:type="spellStart"/>
      <w:r w:rsidR="00186B62" w:rsidRPr="007B566C">
        <w:rPr>
          <w:rFonts w:asciiTheme="majorBidi" w:hAnsiTheme="majorBidi" w:cstheme="majorBidi"/>
          <w:color w:val="000000"/>
          <w:sz w:val="20"/>
          <w:szCs w:val="20"/>
          <w:lang w:val="en-US"/>
        </w:rPr>
        <w:t>Maux</w:t>
      </w:r>
      <w:proofErr w:type="spellEnd"/>
      <w:r w:rsidR="00186B62" w:rsidRPr="007B566C">
        <w:rPr>
          <w:rFonts w:asciiTheme="majorBidi" w:hAnsiTheme="majorBidi" w:cstheme="majorBidi"/>
          <w:color w:val="000000"/>
          <w:sz w:val="20"/>
          <w:szCs w:val="20"/>
          <w:lang w:val="en-US"/>
        </w:rPr>
        <w:t xml:space="preserve">, 2004; </w:t>
      </w:r>
      <w:proofErr w:type="spellStart"/>
      <w:r w:rsidR="00186B62" w:rsidRPr="007B566C">
        <w:rPr>
          <w:rFonts w:asciiTheme="majorBidi" w:hAnsiTheme="majorBidi" w:cstheme="majorBidi"/>
          <w:color w:val="000000"/>
          <w:sz w:val="20"/>
          <w:szCs w:val="20"/>
          <w:lang w:val="en-US"/>
        </w:rPr>
        <w:t>Roosenboom</w:t>
      </w:r>
      <w:proofErr w:type="spellEnd"/>
      <w:r w:rsidR="00186B62" w:rsidRPr="007B566C">
        <w:rPr>
          <w:rFonts w:asciiTheme="majorBidi" w:hAnsiTheme="majorBidi" w:cstheme="majorBidi"/>
          <w:color w:val="000000"/>
          <w:sz w:val="20"/>
          <w:szCs w:val="20"/>
          <w:lang w:val="en-US"/>
        </w:rPr>
        <w:t xml:space="preserve"> and </w:t>
      </w:r>
      <w:proofErr w:type="spellStart"/>
      <w:r w:rsidR="00186B62" w:rsidRPr="007B566C">
        <w:rPr>
          <w:rFonts w:asciiTheme="majorBidi" w:hAnsiTheme="majorBidi" w:cstheme="majorBidi"/>
          <w:color w:val="000000"/>
          <w:sz w:val="20"/>
          <w:szCs w:val="20"/>
          <w:lang w:val="en-US"/>
        </w:rPr>
        <w:t>Schramade</w:t>
      </w:r>
      <w:proofErr w:type="spellEnd"/>
      <w:r w:rsidR="00186B62" w:rsidRPr="007B566C">
        <w:rPr>
          <w:rFonts w:asciiTheme="majorBidi" w:hAnsiTheme="majorBidi" w:cstheme="majorBidi"/>
          <w:color w:val="000000"/>
          <w:sz w:val="20"/>
          <w:szCs w:val="20"/>
          <w:lang w:val="en-US"/>
        </w:rPr>
        <w:t xml:space="preserve">, 2006; </w:t>
      </w:r>
      <w:proofErr w:type="spellStart"/>
      <w:r w:rsidR="00186B62" w:rsidRPr="007B566C">
        <w:rPr>
          <w:rFonts w:asciiTheme="majorBidi" w:hAnsiTheme="majorBidi" w:cstheme="majorBidi"/>
          <w:color w:val="000000"/>
          <w:sz w:val="20"/>
          <w:szCs w:val="20"/>
          <w:lang w:val="en-US"/>
        </w:rPr>
        <w:t>Boubaker</w:t>
      </w:r>
      <w:proofErr w:type="spellEnd"/>
      <w:r w:rsidR="00186B62" w:rsidRPr="007B566C">
        <w:rPr>
          <w:rFonts w:asciiTheme="majorBidi" w:hAnsiTheme="majorBidi" w:cstheme="majorBidi"/>
          <w:color w:val="000000"/>
          <w:sz w:val="20"/>
          <w:szCs w:val="20"/>
          <w:lang w:val="en-US"/>
        </w:rPr>
        <w:t xml:space="preserve"> and </w:t>
      </w:r>
      <w:proofErr w:type="spellStart"/>
      <w:r w:rsidR="00186B62" w:rsidRPr="007B566C">
        <w:rPr>
          <w:rFonts w:asciiTheme="majorBidi" w:hAnsiTheme="majorBidi" w:cstheme="majorBidi"/>
          <w:color w:val="000000"/>
          <w:sz w:val="20"/>
          <w:szCs w:val="20"/>
          <w:lang w:val="en-US"/>
        </w:rPr>
        <w:t>Labégorre</w:t>
      </w:r>
      <w:proofErr w:type="spellEnd"/>
      <w:r w:rsidR="00186B62" w:rsidRPr="007B566C">
        <w:rPr>
          <w:rFonts w:asciiTheme="majorBidi" w:hAnsiTheme="majorBidi" w:cstheme="majorBidi"/>
          <w:color w:val="000000"/>
          <w:sz w:val="20"/>
          <w:szCs w:val="20"/>
          <w:lang w:val="en-US"/>
        </w:rPr>
        <w:t>, 2008). Such features make French firms a worth-studying sample for the relationship between dividends and private benefits</w:t>
      </w:r>
      <w:r w:rsidR="00362CA7" w:rsidRPr="007B566C">
        <w:rPr>
          <w:rFonts w:asciiTheme="majorBidi" w:hAnsiTheme="majorBidi" w:cstheme="majorBidi"/>
          <w:color w:val="000000"/>
          <w:sz w:val="20"/>
          <w:szCs w:val="20"/>
          <w:lang w:val="en-US"/>
        </w:rPr>
        <w:t>.</w:t>
      </w:r>
    </w:p>
    <w:p w:rsidR="00D627B6" w:rsidRPr="007B566C" w:rsidRDefault="00E40A1F" w:rsidP="007B566C">
      <w:pPr>
        <w:widowControl w:val="0"/>
        <w:autoSpaceDE w:val="0"/>
        <w:autoSpaceDN w:val="0"/>
        <w:adjustRightInd w:val="0"/>
        <w:spacing w:after="0" w:line="240" w:lineRule="auto"/>
        <w:ind w:firstLine="720"/>
        <w:jc w:val="both"/>
        <w:rPr>
          <w:rFonts w:asciiTheme="majorBidi" w:hAnsiTheme="majorBidi" w:cstheme="majorBidi"/>
          <w:sz w:val="20"/>
          <w:szCs w:val="20"/>
          <w:lang w:val="en-US"/>
        </w:rPr>
      </w:pPr>
      <w:r w:rsidRPr="007B566C">
        <w:rPr>
          <w:rFonts w:ascii="Times-Roman" w:eastAsia="Calibri" w:hAnsi="Times-Roman" w:cs="Times-Roman"/>
          <w:color w:val="000000"/>
          <w:sz w:val="20"/>
          <w:szCs w:val="20"/>
          <w:lang w:val="en-US"/>
        </w:rPr>
        <w:t xml:space="preserve"> </w:t>
      </w:r>
    </w:p>
    <w:p w:rsidR="00D17606" w:rsidRPr="007B566C" w:rsidRDefault="003F1601" w:rsidP="007B566C">
      <w:pPr>
        <w:widowControl w:val="0"/>
        <w:autoSpaceDE w:val="0"/>
        <w:autoSpaceDN w:val="0"/>
        <w:adjustRightInd w:val="0"/>
        <w:spacing w:after="0" w:line="240" w:lineRule="auto"/>
        <w:ind w:firstLine="720"/>
        <w:jc w:val="both"/>
        <w:rPr>
          <w:rFonts w:ascii="Times New Roman" w:hAnsi="Times New Roman" w:cs="Times New Roman"/>
          <w:sz w:val="20"/>
          <w:szCs w:val="20"/>
          <w:lang w:val="en-US"/>
        </w:rPr>
      </w:pPr>
      <w:r w:rsidRPr="007B566C">
        <w:rPr>
          <w:rFonts w:ascii="Times New Roman" w:hAnsi="Times New Roman" w:cs="Times New Roman"/>
          <w:sz w:val="20"/>
          <w:szCs w:val="20"/>
          <w:lang w:val="en-US"/>
        </w:rPr>
        <w:t xml:space="preserve">The </w:t>
      </w:r>
      <w:r w:rsidR="00D7220C" w:rsidRPr="007B566C">
        <w:rPr>
          <w:rFonts w:ascii="Times New Roman" w:hAnsi="Times New Roman" w:cs="Times New Roman"/>
          <w:sz w:val="20"/>
          <w:szCs w:val="20"/>
          <w:lang w:val="en-US"/>
        </w:rPr>
        <w:t>rem</w:t>
      </w:r>
      <w:r w:rsidR="00CB3C3E">
        <w:rPr>
          <w:rFonts w:ascii="Times New Roman" w:hAnsi="Times New Roman" w:cs="Times New Roman"/>
          <w:sz w:val="20"/>
          <w:szCs w:val="20"/>
          <w:lang w:val="en-US"/>
        </w:rPr>
        <w:t>a</w:t>
      </w:r>
      <w:r w:rsidR="00D7220C" w:rsidRPr="007B566C">
        <w:rPr>
          <w:rFonts w:ascii="Times New Roman" w:hAnsi="Times New Roman" w:cs="Times New Roman"/>
          <w:sz w:val="20"/>
          <w:szCs w:val="20"/>
          <w:lang w:val="en-US"/>
        </w:rPr>
        <w:t xml:space="preserve">inder </w:t>
      </w:r>
      <w:r w:rsidRPr="007B566C">
        <w:rPr>
          <w:rFonts w:ascii="Times New Roman" w:hAnsi="Times New Roman" w:cs="Times New Roman"/>
          <w:sz w:val="20"/>
          <w:szCs w:val="20"/>
          <w:lang w:val="en-US"/>
        </w:rPr>
        <w:t xml:space="preserve">of the paper is structured as follows. Section 2 reviews the </w:t>
      </w:r>
      <w:r w:rsidR="00D7220C" w:rsidRPr="007B566C">
        <w:rPr>
          <w:rFonts w:ascii="Times New Roman" w:hAnsi="Times New Roman" w:cs="Times New Roman"/>
          <w:sz w:val="20"/>
          <w:szCs w:val="20"/>
          <w:lang w:val="en-US"/>
        </w:rPr>
        <w:t>related</w:t>
      </w:r>
      <w:r w:rsidRPr="007B566C">
        <w:rPr>
          <w:rFonts w:ascii="Times New Roman" w:hAnsi="Times New Roman" w:cs="Times New Roman"/>
          <w:sz w:val="20"/>
          <w:szCs w:val="20"/>
          <w:lang w:val="en-US"/>
        </w:rPr>
        <w:t xml:space="preserve"> literature</w:t>
      </w:r>
      <w:r w:rsidR="00AB1F10" w:rsidRPr="007B566C">
        <w:rPr>
          <w:rFonts w:ascii="Times New Roman" w:hAnsi="Times New Roman" w:cs="Times New Roman"/>
          <w:sz w:val="20"/>
          <w:szCs w:val="20"/>
          <w:lang w:val="en-US"/>
        </w:rPr>
        <w:t xml:space="preserve"> and formulates testable hypotheses</w:t>
      </w:r>
      <w:r w:rsidRPr="007B566C">
        <w:rPr>
          <w:rFonts w:ascii="Times New Roman" w:hAnsi="Times New Roman" w:cs="Times New Roman"/>
          <w:sz w:val="20"/>
          <w:szCs w:val="20"/>
          <w:lang w:val="en-US"/>
        </w:rPr>
        <w:t xml:space="preserve">. Section 3 </w:t>
      </w:r>
      <w:r w:rsidR="00D7220C" w:rsidRPr="007B566C">
        <w:rPr>
          <w:rFonts w:ascii="Times New Roman" w:hAnsi="Times New Roman" w:cs="Times New Roman"/>
          <w:sz w:val="20"/>
          <w:szCs w:val="20"/>
          <w:lang w:val="en-US"/>
        </w:rPr>
        <w:t>presents</w:t>
      </w:r>
      <w:r w:rsidRPr="007B566C">
        <w:rPr>
          <w:rFonts w:ascii="Times New Roman" w:hAnsi="Times New Roman" w:cs="Times New Roman"/>
          <w:sz w:val="20"/>
          <w:szCs w:val="20"/>
          <w:lang w:val="en-US"/>
        </w:rPr>
        <w:t xml:space="preserve"> the sample </w:t>
      </w:r>
      <w:r w:rsidR="00D7220C" w:rsidRPr="007B566C">
        <w:rPr>
          <w:rFonts w:ascii="Times New Roman" w:hAnsi="Times New Roman" w:cs="Times New Roman"/>
          <w:sz w:val="20"/>
          <w:szCs w:val="20"/>
          <w:lang w:val="en-US"/>
        </w:rPr>
        <w:t>as well as</w:t>
      </w:r>
      <w:r w:rsidRPr="007B566C">
        <w:rPr>
          <w:rFonts w:ascii="Times New Roman" w:hAnsi="Times New Roman" w:cs="Times New Roman"/>
          <w:sz w:val="20"/>
          <w:szCs w:val="20"/>
          <w:lang w:val="en-US"/>
        </w:rPr>
        <w:t xml:space="preserve"> the methodology. Empirical results are discussed in Section 4. Section 5 concludes</w:t>
      </w:r>
      <w:r w:rsidR="00354105" w:rsidRPr="007B566C">
        <w:rPr>
          <w:rFonts w:ascii="Times New Roman" w:hAnsi="Times New Roman" w:cs="Times New Roman"/>
          <w:sz w:val="20"/>
          <w:szCs w:val="20"/>
          <w:lang w:val="en-US"/>
        </w:rPr>
        <w:t xml:space="preserve"> </w:t>
      </w:r>
      <w:r w:rsidR="00354105" w:rsidRPr="007B566C">
        <w:rPr>
          <w:rFonts w:asciiTheme="majorBidi" w:hAnsiTheme="majorBidi" w:cstheme="majorBidi"/>
          <w:sz w:val="20"/>
          <w:szCs w:val="20"/>
          <w:lang w:val="en-US"/>
        </w:rPr>
        <w:t>with implications of the findings and suggestions for future scope</w:t>
      </w:r>
      <w:r w:rsidR="00354105" w:rsidRPr="007B566C">
        <w:rPr>
          <w:rFonts w:ascii="Times New Roman" w:hAnsi="Times New Roman" w:cs="Times New Roman"/>
          <w:sz w:val="20"/>
          <w:szCs w:val="20"/>
          <w:lang w:val="en-US"/>
        </w:rPr>
        <w:t>.</w:t>
      </w:r>
    </w:p>
    <w:p w:rsidR="00242B7C" w:rsidRPr="007B566C" w:rsidRDefault="00242B7C" w:rsidP="007B566C">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D5083" w:rsidRPr="007B566C" w:rsidRDefault="007B24E4" w:rsidP="007B566C">
      <w:pPr>
        <w:pStyle w:val="ListParagraph"/>
        <w:widowControl w:val="0"/>
        <w:numPr>
          <w:ilvl w:val="0"/>
          <w:numId w:val="1"/>
        </w:numPr>
        <w:autoSpaceDE w:val="0"/>
        <w:autoSpaceDN w:val="0"/>
        <w:adjustRightInd w:val="0"/>
        <w:spacing w:after="0" w:line="240" w:lineRule="auto"/>
        <w:ind w:left="720" w:hanging="720"/>
        <w:jc w:val="both"/>
        <w:rPr>
          <w:rFonts w:ascii="Times New Roman Bold" w:hAnsi="Times New Roman Bold" w:cs="Times New Roman"/>
          <w:b/>
          <w:bCs/>
          <w:caps/>
          <w:color w:val="000000" w:themeColor="text1"/>
          <w:sz w:val="20"/>
          <w:szCs w:val="20"/>
          <w:lang w:val="en-US"/>
        </w:rPr>
      </w:pPr>
      <w:r w:rsidRPr="007B566C">
        <w:rPr>
          <w:rFonts w:ascii="Times New Roman Bold" w:hAnsi="Times New Roman Bold" w:cs="Times New Roman"/>
          <w:b/>
          <w:bCs/>
          <w:caps/>
          <w:color w:val="000000" w:themeColor="text1"/>
          <w:sz w:val="20"/>
          <w:szCs w:val="20"/>
          <w:lang w:val="en-US"/>
        </w:rPr>
        <w:t xml:space="preserve">BACKGROUND </w:t>
      </w:r>
      <w:r w:rsidR="009E05F1" w:rsidRPr="007B566C">
        <w:rPr>
          <w:rFonts w:ascii="Times New Roman Bold" w:hAnsi="Times New Roman Bold" w:cs="Times New Roman"/>
          <w:b/>
          <w:bCs/>
          <w:caps/>
          <w:color w:val="000000" w:themeColor="text1"/>
          <w:sz w:val="20"/>
          <w:szCs w:val="20"/>
          <w:lang w:val="en-US"/>
        </w:rPr>
        <w:t>Literature</w:t>
      </w:r>
    </w:p>
    <w:p w:rsidR="00AB1F10" w:rsidRPr="007B566C" w:rsidRDefault="00AB1F10" w:rsidP="007B566C">
      <w:pPr>
        <w:widowControl w:val="0"/>
        <w:autoSpaceDE w:val="0"/>
        <w:autoSpaceDN w:val="0"/>
        <w:adjustRightInd w:val="0"/>
        <w:spacing w:after="0" w:line="240" w:lineRule="auto"/>
        <w:jc w:val="both"/>
        <w:rPr>
          <w:rFonts w:ascii="Times New Roman Bold" w:hAnsi="Times New Roman Bold" w:cs="Times New Roman"/>
          <w:b/>
          <w:bCs/>
          <w:caps/>
          <w:color w:val="000000" w:themeColor="text1"/>
          <w:sz w:val="20"/>
          <w:szCs w:val="20"/>
          <w:lang w:val="en-US"/>
        </w:rPr>
      </w:pPr>
    </w:p>
    <w:p w:rsidR="00B416E0" w:rsidRPr="007B566C" w:rsidRDefault="00AB1F10" w:rsidP="008E320F">
      <w:pPr>
        <w:widowControl w:val="0"/>
        <w:autoSpaceDE w:val="0"/>
        <w:autoSpaceDN w:val="0"/>
        <w:adjustRightInd w:val="0"/>
        <w:spacing w:after="0" w:line="240" w:lineRule="auto"/>
        <w:jc w:val="both"/>
        <w:rPr>
          <w:rFonts w:asciiTheme="majorBidi" w:hAnsiTheme="majorBidi" w:cstheme="majorBidi"/>
          <w:sz w:val="20"/>
          <w:szCs w:val="20"/>
          <w:lang w:val="en-US"/>
        </w:rPr>
      </w:pPr>
      <w:r w:rsidRPr="007B566C">
        <w:rPr>
          <w:rFonts w:asciiTheme="majorBidi" w:hAnsiTheme="majorBidi" w:cstheme="majorBidi"/>
          <w:sz w:val="20"/>
          <w:szCs w:val="20"/>
          <w:lang w:val="en-US"/>
        </w:rPr>
        <w:t xml:space="preserve">The salient agency problem in </w:t>
      </w:r>
      <w:r w:rsidR="00CA4474" w:rsidRPr="007B566C">
        <w:rPr>
          <w:rFonts w:asciiTheme="majorBidi" w:hAnsiTheme="majorBidi" w:cstheme="majorBidi"/>
          <w:sz w:val="20"/>
          <w:szCs w:val="20"/>
          <w:lang w:val="en-US"/>
        </w:rPr>
        <w:t xml:space="preserve">civil countries </w:t>
      </w:r>
      <w:r w:rsidRPr="007B566C">
        <w:rPr>
          <w:rFonts w:asciiTheme="majorBidi" w:hAnsiTheme="majorBidi" w:cstheme="majorBidi"/>
          <w:sz w:val="20"/>
          <w:szCs w:val="20"/>
          <w:lang w:val="en-US"/>
        </w:rPr>
        <w:t xml:space="preserve">is the expropriation of outside </w:t>
      </w:r>
      <w:r w:rsidR="00711489" w:rsidRPr="007B566C">
        <w:rPr>
          <w:rFonts w:asciiTheme="majorBidi" w:hAnsiTheme="majorBidi" w:cstheme="majorBidi"/>
          <w:sz w:val="20"/>
          <w:szCs w:val="20"/>
          <w:lang w:val="en-US"/>
        </w:rPr>
        <w:t xml:space="preserve">small </w:t>
      </w:r>
      <w:r w:rsidRPr="007B566C">
        <w:rPr>
          <w:rFonts w:asciiTheme="majorBidi" w:hAnsiTheme="majorBidi" w:cstheme="majorBidi"/>
          <w:sz w:val="20"/>
          <w:szCs w:val="20"/>
          <w:lang w:val="en-US"/>
        </w:rPr>
        <w:t>investors by controlling shareholders</w:t>
      </w:r>
      <w:r w:rsidR="00035C8F" w:rsidRPr="007B566C">
        <w:rPr>
          <w:rFonts w:asciiTheme="majorBidi" w:hAnsiTheme="majorBidi" w:cstheme="majorBidi"/>
          <w:sz w:val="20"/>
          <w:szCs w:val="20"/>
          <w:lang w:val="en-US"/>
        </w:rPr>
        <w:t xml:space="preserve"> and </w:t>
      </w:r>
      <w:r w:rsidR="00CA4474" w:rsidRPr="007B566C">
        <w:rPr>
          <w:rFonts w:asciiTheme="majorBidi" w:hAnsiTheme="majorBidi" w:cstheme="majorBidi"/>
          <w:sz w:val="20"/>
          <w:szCs w:val="20"/>
          <w:lang w:val="en-US"/>
        </w:rPr>
        <w:t xml:space="preserve">the </w:t>
      </w:r>
      <w:r w:rsidR="00035C8F" w:rsidRPr="007B566C">
        <w:rPr>
          <w:rFonts w:asciiTheme="majorBidi" w:hAnsiTheme="majorBidi" w:cstheme="majorBidi"/>
          <w:sz w:val="20"/>
          <w:szCs w:val="20"/>
          <w:lang w:val="en-US"/>
        </w:rPr>
        <w:t xml:space="preserve">conflict between </w:t>
      </w:r>
      <w:r w:rsidR="00711489" w:rsidRPr="007B566C">
        <w:rPr>
          <w:rFonts w:asciiTheme="majorBidi" w:hAnsiTheme="majorBidi" w:cstheme="majorBidi"/>
          <w:sz w:val="20"/>
          <w:szCs w:val="20"/>
          <w:lang w:val="en-US"/>
        </w:rPr>
        <w:t>them</w:t>
      </w:r>
      <w:r w:rsidR="00035C8F" w:rsidRPr="007B566C">
        <w:rPr>
          <w:rFonts w:asciiTheme="majorBidi" w:hAnsiTheme="majorBidi" w:cstheme="majorBidi"/>
          <w:sz w:val="20"/>
          <w:szCs w:val="20"/>
          <w:lang w:val="en-US"/>
        </w:rPr>
        <w:t xml:space="preserve"> is one of the main issues in corporate governance.</w:t>
      </w:r>
      <w:r w:rsidR="00B416E0" w:rsidRPr="007B566C">
        <w:rPr>
          <w:rFonts w:asciiTheme="majorBidi" w:hAnsiTheme="majorBidi" w:cstheme="majorBidi"/>
          <w:sz w:val="20"/>
          <w:szCs w:val="20"/>
          <w:lang w:val="en-US"/>
        </w:rPr>
        <w:t xml:space="preserve"> An explanation for why dividend payments, as a pro-rata pay out for both large and small shareholders, and private benefits,</w:t>
      </w:r>
      <w:r w:rsidR="0004356E" w:rsidRPr="007B566C">
        <w:rPr>
          <w:rFonts w:asciiTheme="majorBidi" w:hAnsiTheme="majorBidi" w:cstheme="majorBidi"/>
          <w:sz w:val="20"/>
          <w:szCs w:val="20"/>
          <w:lang w:val="en-US"/>
        </w:rPr>
        <w:t xml:space="preserve"> </w:t>
      </w:r>
      <w:r w:rsidR="000E06DB" w:rsidRPr="007B566C">
        <w:rPr>
          <w:rFonts w:asciiTheme="majorBidi" w:hAnsiTheme="majorBidi" w:cstheme="majorBidi"/>
          <w:sz w:val="20"/>
          <w:szCs w:val="20"/>
          <w:lang w:val="en-US"/>
        </w:rPr>
        <w:t xml:space="preserve">which are </w:t>
      </w:r>
      <w:r w:rsidR="0004356E" w:rsidRPr="007B566C">
        <w:rPr>
          <w:rFonts w:asciiTheme="majorBidi" w:hAnsiTheme="majorBidi" w:cstheme="majorBidi"/>
          <w:sz w:val="20"/>
          <w:szCs w:val="20"/>
          <w:lang w:val="en-US"/>
        </w:rPr>
        <w:t>only</w:t>
      </w:r>
      <w:r w:rsidR="00B416E0" w:rsidRPr="007B566C">
        <w:rPr>
          <w:rFonts w:asciiTheme="majorBidi" w:hAnsiTheme="majorBidi" w:cstheme="majorBidi"/>
          <w:sz w:val="20"/>
          <w:szCs w:val="20"/>
          <w:lang w:val="en-US"/>
        </w:rPr>
        <w:t xml:space="preserve"> extracted by </w:t>
      </w:r>
      <w:r w:rsidR="008E320F">
        <w:rPr>
          <w:rFonts w:asciiTheme="majorBidi" w:hAnsiTheme="majorBidi" w:cstheme="majorBidi"/>
          <w:sz w:val="20"/>
          <w:szCs w:val="20"/>
          <w:lang w:val="en-US"/>
        </w:rPr>
        <w:t>controlling owners</w:t>
      </w:r>
      <w:r w:rsidR="0004356E" w:rsidRPr="007B566C">
        <w:rPr>
          <w:rFonts w:asciiTheme="majorBidi" w:hAnsiTheme="majorBidi" w:cstheme="majorBidi"/>
          <w:sz w:val="20"/>
          <w:szCs w:val="20"/>
          <w:lang w:val="en-US"/>
        </w:rPr>
        <w:t>,</w:t>
      </w:r>
      <w:r w:rsidR="00B416E0" w:rsidRPr="007B566C">
        <w:rPr>
          <w:rFonts w:asciiTheme="majorBidi" w:hAnsiTheme="majorBidi" w:cstheme="majorBidi"/>
          <w:sz w:val="20"/>
          <w:szCs w:val="20"/>
          <w:lang w:val="en-US"/>
        </w:rPr>
        <w:t xml:space="preserve"> </w:t>
      </w:r>
      <w:r w:rsidR="000E06DB" w:rsidRPr="007B566C">
        <w:rPr>
          <w:rFonts w:asciiTheme="majorBidi" w:hAnsiTheme="majorBidi" w:cstheme="majorBidi"/>
          <w:sz w:val="20"/>
          <w:szCs w:val="20"/>
          <w:lang w:val="en-US"/>
        </w:rPr>
        <w:t xml:space="preserve">should interrelate </w:t>
      </w:r>
      <w:r w:rsidR="00B416E0" w:rsidRPr="007B566C">
        <w:rPr>
          <w:rFonts w:asciiTheme="majorBidi" w:hAnsiTheme="majorBidi" w:cstheme="majorBidi"/>
          <w:sz w:val="20"/>
          <w:szCs w:val="20"/>
          <w:lang w:val="en-US"/>
        </w:rPr>
        <w:t>is put forward in this paper.</w:t>
      </w:r>
      <w:r w:rsidR="000E06DB" w:rsidRPr="007B566C">
        <w:rPr>
          <w:rFonts w:asciiTheme="majorBidi" w:hAnsiTheme="majorBidi" w:cstheme="majorBidi"/>
          <w:sz w:val="20"/>
          <w:szCs w:val="20"/>
          <w:lang w:val="en-US"/>
        </w:rPr>
        <w:t xml:space="preserve"> To shed some light in such a </w:t>
      </w:r>
      <w:r w:rsidR="000E06DB" w:rsidRPr="007B566C">
        <w:rPr>
          <w:rFonts w:asciiTheme="majorBidi" w:hAnsiTheme="majorBidi" w:cstheme="majorBidi"/>
          <w:sz w:val="20"/>
          <w:szCs w:val="20"/>
          <w:lang w:val="en-US"/>
        </w:rPr>
        <w:lastRenderedPageBreak/>
        <w:t>relationship, both directions are hereafter</w:t>
      </w:r>
      <w:r w:rsidR="00711489" w:rsidRPr="007B566C">
        <w:rPr>
          <w:rFonts w:asciiTheme="majorBidi" w:hAnsiTheme="majorBidi" w:cstheme="majorBidi"/>
          <w:sz w:val="20"/>
          <w:szCs w:val="20"/>
          <w:lang w:val="en-US"/>
        </w:rPr>
        <w:t xml:space="preserve"> debated</w:t>
      </w:r>
      <w:r w:rsidR="000E06DB" w:rsidRPr="007B566C">
        <w:rPr>
          <w:rFonts w:asciiTheme="majorBidi" w:hAnsiTheme="majorBidi" w:cstheme="majorBidi"/>
          <w:sz w:val="20"/>
          <w:szCs w:val="20"/>
          <w:lang w:val="en-US"/>
        </w:rPr>
        <w:t>.</w:t>
      </w:r>
    </w:p>
    <w:p w:rsidR="00AB1F10" w:rsidRDefault="00AB1F10" w:rsidP="007B566C">
      <w:pPr>
        <w:widowControl w:val="0"/>
        <w:autoSpaceDE w:val="0"/>
        <w:autoSpaceDN w:val="0"/>
        <w:adjustRightInd w:val="0"/>
        <w:spacing w:after="0" w:line="240" w:lineRule="auto"/>
        <w:jc w:val="both"/>
        <w:rPr>
          <w:rFonts w:ascii="Times New Roman Bold" w:hAnsi="Times New Roman Bold" w:cs="Times New Roman"/>
          <w:b/>
          <w:bCs/>
          <w:caps/>
          <w:color w:val="000000" w:themeColor="text1"/>
          <w:sz w:val="20"/>
          <w:szCs w:val="20"/>
          <w:lang w:val="en-US"/>
        </w:rPr>
      </w:pPr>
    </w:p>
    <w:p w:rsidR="00D83590" w:rsidRPr="007B566C" w:rsidRDefault="00D83590" w:rsidP="007B566C">
      <w:pPr>
        <w:pStyle w:val="ListParagraph"/>
        <w:widowControl w:val="0"/>
        <w:numPr>
          <w:ilvl w:val="1"/>
          <w:numId w:val="1"/>
        </w:numPr>
        <w:autoSpaceDE w:val="0"/>
        <w:autoSpaceDN w:val="0"/>
        <w:adjustRightInd w:val="0"/>
        <w:spacing w:after="0" w:line="240" w:lineRule="auto"/>
        <w:ind w:left="720" w:hanging="720"/>
        <w:jc w:val="both"/>
        <w:rPr>
          <w:rFonts w:ascii="Times New Roman" w:hAnsi="Times New Roman" w:cs="Times New Roman"/>
          <w:b/>
          <w:bCs/>
          <w:color w:val="000000" w:themeColor="text1"/>
          <w:sz w:val="20"/>
          <w:szCs w:val="20"/>
          <w:lang w:val="en-US"/>
        </w:rPr>
      </w:pPr>
      <w:r w:rsidRPr="007B566C">
        <w:rPr>
          <w:rFonts w:ascii="Times New Roman" w:hAnsi="Times New Roman" w:cs="Times New Roman"/>
          <w:b/>
          <w:bCs/>
          <w:color w:val="000000" w:themeColor="text1"/>
          <w:sz w:val="20"/>
          <w:szCs w:val="20"/>
          <w:lang w:val="en-US"/>
        </w:rPr>
        <w:t>On the impact of rent protection on dividends</w:t>
      </w:r>
    </w:p>
    <w:p w:rsidR="00D83590" w:rsidRPr="007B566C" w:rsidRDefault="00D83590" w:rsidP="007B566C">
      <w:pPr>
        <w:pStyle w:val="ListParagraph"/>
        <w:widowControl w:val="0"/>
        <w:spacing w:after="0" w:line="240" w:lineRule="auto"/>
        <w:ind w:left="0"/>
        <w:contextualSpacing w:val="0"/>
        <w:jc w:val="both"/>
        <w:rPr>
          <w:rFonts w:ascii="Times New Roman" w:eastAsia="Calibri" w:hAnsi="Times New Roman" w:cs="Times New Roman"/>
          <w:color w:val="000000" w:themeColor="text1"/>
          <w:sz w:val="20"/>
          <w:szCs w:val="20"/>
          <w:lang w:val="en-US"/>
        </w:rPr>
      </w:pPr>
    </w:p>
    <w:p w:rsidR="006A69E5" w:rsidRPr="007B566C" w:rsidRDefault="00EE1021" w:rsidP="002C53E9">
      <w:pPr>
        <w:autoSpaceDE w:val="0"/>
        <w:autoSpaceDN w:val="0"/>
        <w:adjustRightInd w:val="0"/>
        <w:spacing w:after="0" w:line="240" w:lineRule="auto"/>
        <w:jc w:val="both"/>
        <w:rPr>
          <w:rFonts w:asciiTheme="majorBidi" w:hAnsiTheme="majorBidi" w:cstheme="majorBidi"/>
          <w:color w:val="000000"/>
          <w:sz w:val="20"/>
          <w:szCs w:val="20"/>
          <w:lang w:val="en-US"/>
        </w:rPr>
      </w:pPr>
      <w:r w:rsidRPr="007B566C">
        <w:rPr>
          <w:rFonts w:asciiTheme="majorBidi" w:hAnsiTheme="majorBidi" w:cstheme="majorBidi"/>
          <w:color w:val="000000"/>
          <w:sz w:val="20"/>
          <w:szCs w:val="20"/>
          <w:lang w:val="en-US"/>
        </w:rPr>
        <w:t xml:space="preserve">Effects of control structure and </w:t>
      </w:r>
      <w:r w:rsidR="00D65B2D" w:rsidRPr="007B566C">
        <w:rPr>
          <w:rFonts w:asciiTheme="majorBidi" w:hAnsiTheme="majorBidi" w:cstheme="majorBidi"/>
          <w:color w:val="000000"/>
          <w:sz w:val="20"/>
          <w:szCs w:val="20"/>
          <w:lang w:val="en-US"/>
        </w:rPr>
        <w:t xml:space="preserve">inherently related </w:t>
      </w:r>
      <w:r w:rsidRPr="007B566C">
        <w:rPr>
          <w:rFonts w:asciiTheme="majorBidi" w:hAnsiTheme="majorBidi" w:cstheme="majorBidi"/>
          <w:color w:val="000000"/>
          <w:sz w:val="20"/>
          <w:szCs w:val="20"/>
          <w:lang w:val="en-US"/>
        </w:rPr>
        <w:t xml:space="preserve">private benefits on </w:t>
      </w:r>
      <w:r w:rsidR="00D65B2D" w:rsidRPr="007B566C">
        <w:rPr>
          <w:rFonts w:asciiTheme="majorBidi" w:hAnsiTheme="majorBidi" w:cstheme="majorBidi"/>
          <w:color w:val="000000"/>
          <w:sz w:val="20"/>
          <w:szCs w:val="20"/>
          <w:lang w:val="en-US"/>
        </w:rPr>
        <w:t xml:space="preserve">the </w:t>
      </w:r>
      <w:r w:rsidRPr="007B566C">
        <w:rPr>
          <w:rFonts w:asciiTheme="majorBidi" w:hAnsiTheme="majorBidi" w:cstheme="majorBidi"/>
          <w:color w:val="000000"/>
          <w:sz w:val="20"/>
          <w:szCs w:val="20"/>
          <w:lang w:val="en-US"/>
        </w:rPr>
        <w:t xml:space="preserve">shared benefits, for instance dividends, are ambiguous. </w:t>
      </w:r>
      <w:r w:rsidR="00A034C8" w:rsidRPr="007B566C">
        <w:rPr>
          <w:rFonts w:asciiTheme="majorBidi" w:hAnsiTheme="majorBidi" w:cstheme="majorBidi"/>
          <w:color w:val="000000"/>
          <w:sz w:val="20"/>
          <w:szCs w:val="20"/>
          <w:lang w:val="en-US"/>
        </w:rPr>
        <w:t xml:space="preserve">Higher levels of rent </w:t>
      </w:r>
      <w:r w:rsidR="006A69E5" w:rsidRPr="007B566C">
        <w:rPr>
          <w:rFonts w:asciiTheme="majorBidi" w:hAnsiTheme="majorBidi" w:cstheme="majorBidi"/>
          <w:color w:val="000000"/>
          <w:sz w:val="20"/>
          <w:szCs w:val="20"/>
          <w:lang w:val="en-US"/>
        </w:rPr>
        <w:t>protection</w:t>
      </w:r>
      <w:r w:rsidR="00A034C8" w:rsidRPr="007B566C">
        <w:rPr>
          <w:rFonts w:asciiTheme="majorBidi" w:hAnsiTheme="majorBidi" w:cstheme="majorBidi"/>
          <w:color w:val="000000"/>
          <w:sz w:val="20"/>
          <w:szCs w:val="20"/>
          <w:lang w:val="en-US"/>
        </w:rPr>
        <w:t xml:space="preserve"> are associated with either higher or lower dividends.</w:t>
      </w:r>
      <w:r w:rsidR="006A69E5" w:rsidRPr="007B566C">
        <w:rPr>
          <w:rFonts w:asciiTheme="majorBidi" w:hAnsiTheme="majorBidi" w:cstheme="majorBidi"/>
          <w:color w:val="000000"/>
          <w:sz w:val="20"/>
          <w:szCs w:val="20"/>
          <w:lang w:val="en-US"/>
        </w:rPr>
        <w:t xml:space="preserve"> That is</w:t>
      </w:r>
      <w:r w:rsidR="008E320F">
        <w:rPr>
          <w:rFonts w:asciiTheme="majorBidi" w:hAnsiTheme="majorBidi" w:cstheme="majorBidi"/>
          <w:color w:val="000000"/>
          <w:sz w:val="20"/>
          <w:szCs w:val="20"/>
          <w:lang w:val="en-US"/>
        </w:rPr>
        <w:t>,</w:t>
      </w:r>
      <w:r w:rsidR="006A69E5" w:rsidRPr="007B566C">
        <w:rPr>
          <w:rFonts w:asciiTheme="majorBidi" w:hAnsiTheme="majorBidi" w:cstheme="majorBidi"/>
          <w:color w:val="000000"/>
          <w:sz w:val="20"/>
          <w:szCs w:val="20"/>
          <w:lang w:val="en-US"/>
        </w:rPr>
        <w:t xml:space="preserve"> </w:t>
      </w:r>
      <w:r w:rsidR="002C53E9">
        <w:rPr>
          <w:rFonts w:asciiTheme="majorBidi" w:hAnsiTheme="majorBidi" w:cstheme="majorBidi"/>
          <w:color w:val="000000"/>
          <w:sz w:val="20"/>
          <w:szCs w:val="20"/>
          <w:lang w:val="en-US"/>
        </w:rPr>
        <w:t>a</w:t>
      </w:r>
      <w:r w:rsidR="002C53E9" w:rsidRPr="007B566C">
        <w:rPr>
          <w:rFonts w:asciiTheme="majorBidi" w:hAnsiTheme="majorBidi" w:cstheme="majorBidi"/>
          <w:sz w:val="20"/>
          <w:szCs w:val="20"/>
          <w:lang w:val="en-US"/>
        </w:rPr>
        <w:t xml:space="preserve"> severe rent extraction and expropriation of small </w:t>
      </w:r>
      <w:r w:rsidR="002C53E9">
        <w:rPr>
          <w:rFonts w:asciiTheme="majorBidi" w:hAnsiTheme="majorBidi" w:cstheme="majorBidi"/>
          <w:sz w:val="20"/>
          <w:szCs w:val="20"/>
          <w:lang w:val="en-US"/>
        </w:rPr>
        <w:t xml:space="preserve">outside </w:t>
      </w:r>
      <w:r w:rsidR="002C53E9" w:rsidRPr="007B566C">
        <w:rPr>
          <w:rFonts w:asciiTheme="majorBidi" w:hAnsiTheme="majorBidi" w:cstheme="majorBidi"/>
          <w:sz w:val="20"/>
          <w:szCs w:val="20"/>
          <w:lang w:val="en-US"/>
        </w:rPr>
        <w:t>shareholders</w:t>
      </w:r>
      <w:r w:rsidR="002C53E9" w:rsidRPr="007B566C">
        <w:rPr>
          <w:rFonts w:asciiTheme="majorBidi" w:hAnsiTheme="majorBidi" w:cstheme="majorBidi"/>
          <w:color w:val="000000"/>
          <w:sz w:val="20"/>
          <w:szCs w:val="20"/>
          <w:lang w:val="en-US"/>
        </w:rPr>
        <w:t xml:space="preserve"> </w:t>
      </w:r>
      <w:r w:rsidR="006A69E5" w:rsidRPr="007B566C">
        <w:rPr>
          <w:rFonts w:asciiTheme="majorBidi" w:hAnsiTheme="majorBidi" w:cstheme="majorBidi"/>
          <w:color w:val="000000"/>
          <w:sz w:val="20"/>
          <w:szCs w:val="20"/>
          <w:lang w:val="en-US"/>
        </w:rPr>
        <w:t>either contributes to increase the distribution of profits or can further decrease payout ratio.</w:t>
      </w:r>
    </w:p>
    <w:p w:rsidR="002B3E72" w:rsidRPr="007B566C" w:rsidRDefault="002B3E72" w:rsidP="007B566C">
      <w:pPr>
        <w:widowControl w:val="0"/>
        <w:tabs>
          <w:tab w:val="left" w:pos="0"/>
          <w:tab w:val="left" w:pos="142"/>
        </w:tabs>
        <w:autoSpaceDE w:val="0"/>
        <w:autoSpaceDN w:val="0"/>
        <w:adjustRightInd w:val="0"/>
        <w:spacing w:after="0" w:line="240" w:lineRule="auto"/>
        <w:ind w:firstLine="709"/>
        <w:jc w:val="both"/>
        <w:rPr>
          <w:rFonts w:asciiTheme="majorBidi" w:hAnsiTheme="majorBidi" w:cstheme="majorBidi"/>
          <w:sz w:val="20"/>
          <w:szCs w:val="20"/>
          <w:lang w:val="en-US"/>
        </w:rPr>
      </w:pPr>
    </w:p>
    <w:p w:rsidR="0052528D" w:rsidRPr="007B566C" w:rsidRDefault="00C63BEE" w:rsidP="007B566C">
      <w:pPr>
        <w:widowControl w:val="0"/>
        <w:tabs>
          <w:tab w:val="left" w:pos="0"/>
          <w:tab w:val="left" w:pos="142"/>
        </w:tabs>
        <w:autoSpaceDE w:val="0"/>
        <w:autoSpaceDN w:val="0"/>
        <w:adjustRightInd w:val="0"/>
        <w:spacing w:after="0" w:line="240" w:lineRule="auto"/>
        <w:ind w:firstLine="709"/>
        <w:jc w:val="both"/>
        <w:rPr>
          <w:rFonts w:asciiTheme="majorBidi" w:hAnsiTheme="majorBidi" w:cstheme="majorBidi"/>
          <w:sz w:val="20"/>
          <w:szCs w:val="20"/>
          <w:lang w:val="en-US"/>
        </w:rPr>
      </w:pPr>
      <w:r w:rsidRPr="007B566C">
        <w:rPr>
          <w:rFonts w:asciiTheme="majorBidi" w:hAnsiTheme="majorBidi" w:cstheme="majorBidi"/>
          <w:sz w:val="20"/>
          <w:szCs w:val="20"/>
          <w:lang w:val="en-US"/>
        </w:rPr>
        <w:t xml:space="preserve">Dividends are </w:t>
      </w:r>
      <w:r w:rsidR="00EE1021" w:rsidRPr="007B566C">
        <w:rPr>
          <w:rFonts w:asciiTheme="majorBidi" w:hAnsiTheme="majorBidi" w:cstheme="majorBidi"/>
          <w:sz w:val="20"/>
          <w:szCs w:val="20"/>
          <w:lang w:val="en-US"/>
        </w:rPr>
        <w:t xml:space="preserve">obviously </w:t>
      </w:r>
      <w:r w:rsidRPr="007B566C">
        <w:rPr>
          <w:rFonts w:asciiTheme="majorBidi" w:hAnsiTheme="majorBidi" w:cstheme="majorBidi"/>
          <w:sz w:val="20"/>
          <w:szCs w:val="20"/>
          <w:lang w:val="en-US"/>
        </w:rPr>
        <w:t xml:space="preserve">referred as reward for providing finances to a firm. Therefore, firms are expected to pay dividends whatever is the level of private benefits so as to appeal to investors and </w:t>
      </w:r>
      <w:r w:rsidR="00EF6CB5" w:rsidRPr="007B566C">
        <w:rPr>
          <w:rFonts w:asciiTheme="majorBidi" w:hAnsiTheme="majorBidi" w:cstheme="majorBidi"/>
          <w:sz w:val="20"/>
          <w:szCs w:val="20"/>
          <w:lang w:val="en-US"/>
        </w:rPr>
        <w:t xml:space="preserve">to reassure them; and </w:t>
      </w:r>
      <w:r w:rsidR="000E69E0" w:rsidRPr="007B566C">
        <w:rPr>
          <w:rFonts w:asciiTheme="majorBidi" w:hAnsiTheme="majorBidi" w:cstheme="majorBidi"/>
          <w:sz w:val="20"/>
          <w:szCs w:val="20"/>
          <w:lang w:val="en-US"/>
        </w:rPr>
        <w:t xml:space="preserve">to </w:t>
      </w:r>
      <w:r w:rsidR="00EF6CB5" w:rsidRPr="007B566C">
        <w:rPr>
          <w:rFonts w:asciiTheme="majorBidi" w:hAnsiTheme="majorBidi" w:cstheme="majorBidi"/>
          <w:sz w:val="20"/>
          <w:szCs w:val="20"/>
          <w:lang w:val="en-US"/>
        </w:rPr>
        <w:t xml:space="preserve">consequently </w:t>
      </w:r>
      <w:r w:rsidRPr="007B566C">
        <w:rPr>
          <w:rFonts w:asciiTheme="majorBidi" w:hAnsiTheme="majorBidi" w:cstheme="majorBidi"/>
          <w:sz w:val="20"/>
          <w:szCs w:val="20"/>
          <w:lang w:val="en-US"/>
        </w:rPr>
        <w:t>guarantee th</w:t>
      </w:r>
      <w:r w:rsidR="002B3E72" w:rsidRPr="007B566C">
        <w:rPr>
          <w:rFonts w:asciiTheme="majorBidi" w:hAnsiTheme="majorBidi" w:cstheme="majorBidi"/>
          <w:sz w:val="20"/>
          <w:szCs w:val="20"/>
          <w:lang w:val="en-US"/>
        </w:rPr>
        <w:t xml:space="preserve">at they continue providing the firm with necessary funds. </w:t>
      </w:r>
      <w:r w:rsidR="00EF6CB5" w:rsidRPr="007B566C">
        <w:rPr>
          <w:rFonts w:asciiTheme="majorBidi" w:hAnsiTheme="majorBidi" w:cstheme="majorBidi"/>
          <w:sz w:val="20"/>
          <w:szCs w:val="20"/>
          <w:lang w:val="en-US"/>
        </w:rPr>
        <w:t xml:space="preserve">According to the signaling </w:t>
      </w:r>
      <w:r w:rsidR="00AE50B6" w:rsidRPr="007B566C">
        <w:rPr>
          <w:rFonts w:asciiTheme="majorBidi" w:hAnsiTheme="majorBidi" w:cstheme="majorBidi"/>
          <w:sz w:val="20"/>
          <w:szCs w:val="20"/>
          <w:lang w:val="en-US"/>
        </w:rPr>
        <w:t>hypothesis</w:t>
      </w:r>
      <w:r w:rsidR="00EF6CB5" w:rsidRPr="007B566C">
        <w:rPr>
          <w:rFonts w:asciiTheme="majorBidi" w:hAnsiTheme="majorBidi" w:cstheme="majorBidi"/>
          <w:sz w:val="20"/>
          <w:szCs w:val="20"/>
          <w:lang w:val="en-US"/>
        </w:rPr>
        <w:t xml:space="preserve">, firms should select the suitable dividend policy that </w:t>
      </w:r>
      <w:r w:rsidR="00AE50B6" w:rsidRPr="007B566C">
        <w:rPr>
          <w:rFonts w:asciiTheme="majorBidi" w:hAnsiTheme="majorBidi" w:cstheme="majorBidi"/>
          <w:sz w:val="20"/>
          <w:szCs w:val="20"/>
          <w:lang w:val="en-US"/>
        </w:rPr>
        <w:t xml:space="preserve">best </w:t>
      </w:r>
      <w:r w:rsidR="00EF6CB5" w:rsidRPr="007B566C">
        <w:rPr>
          <w:rFonts w:asciiTheme="majorBidi" w:hAnsiTheme="majorBidi" w:cstheme="majorBidi"/>
          <w:sz w:val="20"/>
          <w:szCs w:val="20"/>
          <w:lang w:val="en-US"/>
        </w:rPr>
        <w:t xml:space="preserve">communicates the firm </w:t>
      </w:r>
      <w:r w:rsidR="00AE50B6" w:rsidRPr="007B566C">
        <w:rPr>
          <w:rFonts w:asciiTheme="majorBidi" w:hAnsiTheme="majorBidi" w:cstheme="majorBidi"/>
          <w:sz w:val="20"/>
          <w:szCs w:val="20"/>
          <w:lang w:val="en-US"/>
        </w:rPr>
        <w:t>growth and</w:t>
      </w:r>
      <w:r w:rsidR="00EF6CB5" w:rsidRPr="007B566C">
        <w:rPr>
          <w:rFonts w:asciiTheme="majorBidi" w:hAnsiTheme="majorBidi" w:cstheme="majorBidi"/>
          <w:sz w:val="20"/>
          <w:szCs w:val="20"/>
          <w:lang w:val="en-US"/>
        </w:rPr>
        <w:t xml:space="preserve"> future prospects; especially that conventional accounting reports are inadequate guides to do that </w:t>
      </w:r>
      <w:r w:rsidR="009B0C83" w:rsidRPr="007B566C">
        <w:rPr>
          <w:rFonts w:asciiTheme="majorBidi" w:hAnsiTheme="majorBidi" w:cstheme="majorBidi"/>
          <w:sz w:val="20"/>
          <w:szCs w:val="20"/>
          <w:lang w:val="en-US"/>
        </w:rPr>
        <w:t>(</w:t>
      </w:r>
      <w:r w:rsidR="009F49F2" w:rsidRPr="007B566C">
        <w:rPr>
          <w:rFonts w:asciiTheme="majorBidi" w:hAnsiTheme="majorBidi" w:cstheme="majorBidi"/>
          <w:sz w:val="20"/>
          <w:szCs w:val="20"/>
          <w:lang w:val="en-US"/>
        </w:rPr>
        <w:t xml:space="preserve">Ross, 1977; </w:t>
      </w:r>
      <w:r w:rsidR="009B0C83" w:rsidRPr="007B566C">
        <w:rPr>
          <w:rFonts w:asciiTheme="majorBidi" w:hAnsiTheme="majorBidi" w:cstheme="majorBidi"/>
          <w:sz w:val="20"/>
          <w:szCs w:val="20"/>
          <w:lang w:val="en-US"/>
        </w:rPr>
        <w:t xml:space="preserve">Bhattacharya, 1979; Gordon and </w:t>
      </w:r>
      <w:proofErr w:type="spellStart"/>
      <w:r w:rsidR="009B0C83" w:rsidRPr="007B566C">
        <w:rPr>
          <w:rFonts w:asciiTheme="majorBidi" w:hAnsiTheme="majorBidi" w:cstheme="majorBidi"/>
          <w:sz w:val="20"/>
          <w:szCs w:val="20"/>
          <w:lang w:val="en-US"/>
        </w:rPr>
        <w:t>Malkiel</w:t>
      </w:r>
      <w:proofErr w:type="spellEnd"/>
      <w:r w:rsidR="009B0C83" w:rsidRPr="007B566C">
        <w:rPr>
          <w:rFonts w:asciiTheme="majorBidi" w:hAnsiTheme="majorBidi" w:cstheme="majorBidi"/>
          <w:sz w:val="20"/>
          <w:szCs w:val="20"/>
          <w:lang w:val="en-US"/>
        </w:rPr>
        <w:t>, 1979)</w:t>
      </w:r>
      <w:r w:rsidR="00EF6CB5" w:rsidRPr="007B566C">
        <w:rPr>
          <w:rFonts w:asciiTheme="majorBidi" w:hAnsiTheme="majorBidi" w:cstheme="majorBidi"/>
          <w:sz w:val="20"/>
          <w:szCs w:val="20"/>
          <w:lang w:val="en-US"/>
        </w:rPr>
        <w:t xml:space="preserve">. </w:t>
      </w:r>
      <w:r w:rsidR="004D0BF8" w:rsidRPr="007B566C">
        <w:rPr>
          <w:rFonts w:asciiTheme="majorBidi" w:hAnsiTheme="majorBidi" w:cstheme="majorBidi"/>
          <w:sz w:val="20"/>
          <w:szCs w:val="20"/>
          <w:lang w:val="en-US"/>
        </w:rPr>
        <w:t>In this vein, private benefits are argued to not affect dividend</w:t>
      </w:r>
      <w:r w:rsidR="0052528D" w:rsidRPr="007B566C">
        <w:rPr>
          <w:rFonts w:asciiTheme="majorBidi" w:hAnsiTheme="majorBidi" w:cstheme="majorBidi"/>
          <w:sz w:val="20"/>
          <w:szCs w:val="20"/>
          <w:lang w:val="en-US"/>
        </w:rPr>
        <w:t>s.</w:t>
      </w:r>
    </w:p>
    <w:p w:rsidR="0052528D" w:rsidRPr="007B566C" w:rsidRDefault="0052528D" w:rsidP="007B566C">
      <w:pPr>
        <w:widowControl w:val="0"/>
        <w:tabs>
          <w:tab w:val="left" w:pos="0"/>
          <w:tab w:val="left" w:pos="142"/>
        </w:tabs>
        <w:autoSpaceDE w:val="0"/>
        <w:autoSpaceDN w:val="0"/>
        <w:adjustRightInd w:val="0"/>
        <w:spacing w:after="0" w:line="240" w:lineRule="auto"/>
        <w:ind w:firstLine="709"/>
        <w:jc w:val="both"/>
        <w:rPr>
          <w:rFonts w:asciiTheme="majorBidi" w:hAnsiTheme="majorBidi" w:cstheme="majorBidi"/>
          <w:sz w:val="20"/>
          <w:szCs w:val="20"/>
          <w:lang w:val="en-US"/>
        </w:rPr>
      </w:pPr>
    </w:p>
    <w:p w:rsidR="0052528D" w:rsidRDefault="00EE1021" w:rsidP="008C35A6">
      <w:pPr>
        <w:widowControl w:val="0"/>
        <w:tabs>
          <w:tab w:val="left" w:pos="0"/>
          <w:tab w:val="left" w:pos="142"/>
        </w:tabs>
        <w:autoSpaceDE w:val="0"/>
        <w:autoSpaceDN w:val="0"/>
        <w:adjustRightInd w:val="0"/>
        <w:spacing w:after="0" w:line="240" w:lineRule="auto"/>
        <w:ind w:firstLine="709"/>
        <w:jc w:val="both"/>
        <w:rPr>
          <w:rFonts w:asciiTheme="majorBidi" w:hAnsiTheme="majorBidi" w:cstheme="majorBidi"/>
          <w:sz w:val="20"/>
          <w:szCs w:val="20"/>
          <w:lang w:val="en-US"/>
        </w:rPr>
      </w:pPr>
      <w:r w:rsidRPr="007B566C">
        <w:rPr>
          <w:rFonts w:asciiTheme="majorBidi" w:hAnsiTheme="majorBidi" w:cstheme="majorBidi"/>
          <w:sz w:val="20"/>
          <w:szCs w:val="20"/>
          <w:lang w:val="en-US"/>
        </w:rPr>
        <w:t xml:space="preserve">Alternatively, </w:t>
      </w:r>
      <w:r w:rsidR="004D0BF8" w:rsidRPr="007B566C">
        <w:rPr>
          <w:rFonts w:asciiTheme="majorBidi" w:hAnsiTheme="majorBidi" w:cstheme="majorBidi"/>
          <w:sz w:val="20"/>
          <w:szCs w:val="20"/>
          <w:lang w:val="en-US"/>
        </w:rPr>
        <w:t xml:space="preserve">high dividends are assessed to be granted to small shareholders in systems where </w:t>
      </w:r>
      <w:r w:rsidR="000E69E0" w:rsidRPr="007B566C">
        <w:rPr>
          <w:rFonts w:asciiTheme="majorBidi" w:hAnsiTheme="majorBidi" w:cstheme="majorBidi"/>
          <w:sz w:val="20"/>
          <w:szCs w:val="20"/>
          <w:lang w:val="en-US"/>
        </w:rPr>
        <w:t xml:space="preserve">the </w:t>
      </w:r>
      <w:r w:rsidR="004D0BF8" w:rsidRPr="007B566C">
        <w:rPr>
          <w:rFonts w:asciiTheme="majorBidi" w:hAnsiTheme="majorBidi" w:cstheme="majorBidi"/>
          <w:sz w:val="20"/>
          <w:szCs w:val="20"/>
          <w:lang w:val="en-US"/>
        </w:rPr>
        <w:t xml:space="preserve">expropriation </w:t>
      </w:r>
      <w:r w:rsidR="000E69E0" w:rsidRPr="007B566C">
        <w:rPr>
          <w:rFonts w:asciiTheme="majorBidi" w:hAnsiTheme="majorBidi" w:cstheme="majorBidi"/>
          <w:sz w:val="20"/>
          <w:szCs w:val="20"/>
          <w:lang w:val="en-US"/>
        </w:rPr>
        <w:t>level</w:t>
      </w:r>
      <w:r w:rsidR="004D0BF8" w:rsidRPr="007B566C">
        <w:rPr>
          <w:rFonts w:asciiTheme="majorBidi" w:hAnsiTheme="majorBidi" w:cstheme="majorBidi"/>
          <w:sz w:val="20"/>
          <w:szCs w:val="20"/>
          <w:lang w:val="en-US"/>
        </w:rPr>
        <w:t xml:space="preserve"> is potential</w:t>
      </w:r>
      <w:r w:rsidR="000E69E0" w:rsidRPr="007B566C">
        <w:rPr>
          <w:rFonts w:asciiTheme="majorBidi" w:hAnsiTheme="majorBidi" w:cstheme="majorBidi"/>
          <w:sz w:val="20"/>
          <w:szCs w:val="20"/>
          <w:lang w:val="en-US"/>
        </w:rPr>
        <w:t xml:space="preserve"> and significant</w:t>
      </w:r>
      <w:r w:rsidR="004D0BF8" w:rsidRPr="007B566C">
        <w:rPr>
          <w:rFonts w:asciiTheme="majorBidi" w:hAnsiTheme="majorBidi" w:cstheme="majorBidi"/>
          <w:sz w:val="20"/>
          <w:szCs w:val="20"/>
          <w:lang w:val="en-US"/>
        </w:rPr>
        <w:t xml:space="preserve">. Indeed, </w:t>
      </w:r>
      <w:r w:rsidRPr="007B566C">
        <w:rPr>
          <w:rFonts w:asciiTheme="majorBidi" w:hAnsiTheme="majorBidi" w:cstheme="majorBidi"/>
          <w:sz w:val="20"/>
          <w:szCs w:val="20"/>
          <w:lang w:val="en-US"/>
        </w:rPr>
        <w:t xml:space="preserve">rational investors </w:t>
      </w:r>
      <w:r w:rsidR="004D0BF8" w:rsidRPr="007B566C">
        <w:rPr>
          <w:rFonts w:asciiTheme="majorBidi" w:hAnsiTheme="majorBidi" w:cstheme="majorBidi"/>
          <w:sz w:val="20"/>
          <w:szCs w:val="20"/>
          <w:lang w:val="en-US"/>
        </w:rPr>
        <w:t>who</w:t>
      </w:r>
      <w:r w:rsidRPr="007B566C">
        <w:rPr>
          <w:rFonts w:asciiTheme="majorBidi" w:hAnsiTheme="majorBidi" w:cstheme="majorBidi"/>
          <w:sz w:val="20"/>
          <w:szCs w:val="20"/>
          <w:lang w:val="en-US"/>
        </w:rPr>
        <w:t xml:space="preserve"> </w:t>
      </w:r>
      <w:r w:rsidR="00F61E40" w:rsidRPr="007B566C">
        <w:rPr>
          <w:rFonts w:asciiTheme="majorBidi" w:hAnsiTheme="majorBidi" w:cstheme="majorBidi"/>
          <w:sz w:val="20"/>
          <w:szCs w:val="20"/>
          <w:lang w:val="en-US"/>
        </w:rPr>
        <w:t>expect</w:t>
      </w:r>
      <w:r w:rsidRPr="007B566C">
        <w:rPr>
          <w:rFonts w:asciiTheme="majorBidi" w:hAnsiTheme="majorBidi" w:cstheme="majorBidi"/>
          <w:sz w:val="20"/>
          <w:szCs w:val="20"/>
          <w:lang w:val="en-US"/>
        </w:rPr>
        <w:t xml:space="preserve"> expropriation </w:t>
      </w:r>
      <w:r w:rsidR="008A149A">
        <w:rPr>
          <w:rFonts w:asciiTheme="majorBidi" w:hAnsiTheme="majorBidi" w:cstheme="majorBidi"/>
          <w:sz w:val="20"/>
          <w:szCs w:val="20"/>
          <w:lang w:val="en-US"/>
        </w:rPr>
        <w:t xml:space="preserve">tend to require </w:t>
      </w:r>
      <w:r w:rsidRPr="007B566C">
        <w:rPr>
          <w:rFonts w:asciiTheme="majorBidi" w:hAnsiTheme="majorBidi" w:cstheme="majorBidi"/>
          <w:sz w:val="20"/>
          <w:szCs w:val="20"/>
          <w:lang w:val="en-US"/>
        </w:rPr>
        <w:t>higher dividends (</w:t>
      </w:r>
      <w:proofErr w:type="spellStart"/>
      <w:r w:rsidRPr="007B566C">
        <w:rPr>
          <w:rFonts w:asciiTheme="majorBidi" w:hAnsiTheme="majorBidi" w:cstheme="majorBidi"/>
          <w:sz w:val="20"/>
          <w:szCs w:val="20"/>
          <w:lang w:val="en-US"/>
        </w:rPr>
        <w:t>Faccio</w:t>
      </w:r>
      <w:proofErr w:type="spellEnd"/>
      <w:r w:rsidRPr="007B566C">
        <w:rPr>
          <w:rFonts w:asciiTheme="majorBidi" w:hAnsiTheme="majorBidi" w:cstheme="majorBidi"/>
          <w:sz w:val="20"/>
          <w:szCs w:val="20"/>
          <w:lang w:val="en-US"/>
        </w:rPr>
        <w:t xml:space="preserve"> et al., 2001).</w:t>
      </w:r>
      <w:r w:rsidR="002776D3" w:rsidRPr="007B566C">
        <w:rPr>
          <w:rFonts w:asciiTheme="majorBidi" w:hAnsiTheme="majorBidi" w:cstheme="majorBidi"/>
          <w:sz w:val="20"/>
          <w:szCs w:val="20"/>
          <w:lang w:val="en-US"/>
        </w:rPr>
        <w:t xml:space="preserve"> </w:t>
      </w:r>
      <w:r w:rsidR="000E69E0" w:rsidRPr="007B566C">
        <w:rPr>
          <w:rFonts w:asciiTheme="majorBidi" w:hAnsiTheme="majorBidi" w:cstheme="majorBidi"/>
          <w:sz w:val="20"/>
          <w:szCs w:val="20"/>
          <w:lang w:val="en-US"/>
        </w:rPr>
        <w:t>I</w:t>
      </w:r>
      <w:r w:rsidR="00AF5EB5">
        <w:rPr>
          <w:rFonts w:asciiTheme="majorBidi" w:hAnsiTheme="majorBidi" w:cstheme="majorBidi"/>
          <w:sz w:val="20"/>
          <w:szCs w:val="20"/>
          <w:lang w:val="en-US"/>
        </w:rPr>
        <w:t>ndeed, i</w:t>
      </w:r>
      <w:r w:rsidR="000E69E0" w:rsidRPr="007B566C">
        <w:rPr>
          <w:rFonts w:asciiTheme="majorBidi" w:hAnsiTheme="majorBidi" w:cstheme="majorBidi"/>
          <w:sz w:val="20"/>
          <w:szCs w:val="20"/>
          <w:lang w:val="en-US"/>
        </w:rPr>
        <w:t>t is not ensured that they can get a fair return. Th</w:t>
      </w:r>
      <w:r w:rsidR="008A149A">
        <w:rPr>
          <w:rFonts w:asciiTheme="majorBidi" w:hAnsiTheme="majorBidi" w:cstheme="majorBidi"/>
          <w:sz w:val="20"/>
          <w:szCs w:val="20"/>
          <w:lang w:val="en-US"/>
        </w:rPr>
        <w:t xml:space="preserve">us, they would </w:t>
      </w:r>
      <w:r w:rsidR="000E69E0" w:rsidRPr="007B566C">
        <w:rPr>
          <w:rFonts w:asciiTheme="majorBidi" w:hAnsiTheme="majorBidi" w:cstheme="majorBidi"/>
          <w:sz w:val="20"/>
          <w:szCs w:val="20"/>
          <w:lang w:val="en-US"/>
        </w:rPr>
        <w:t xml:space="preserve">persuade insiders to distribute higher dividends </w:t>
      </w:r>
      <w:r w:rsidR="008A149A">
        <w:rPr>
          <w:rFonts w:asciiTheme="majorBidi" w:hAnsiTheme="majorBidi" w:cstheme="majorBidi"/>
          <w:sz w:val="20"/>
          <w:szCs w:val="20"/>
          <w:lang w:val="en-US"/>
        </w:rPr>
        <w:t xml:space="preserve">in order </w:t>
      </w:r>
      <w:r w:rsidR="000E69E0" w:rsidRPr="007B566C">
        <w:rPr>
          <w:rFonts w:asciiTheme="majorBidi" w:hAnsiTheme="majorBidi" w:cstheme="majorBidi"/>
          <w:sz w:val="20"/>
          <w:szCs w:val="20"/>
          <w:lang w:val="en-US"/>
        </w:rPr>
        <w:t xml:space="preserve">to reduce at least the expropriation scope. </w:t>
      </w:r>
      <w:r w:rsidR="008C35A6">
        <w:rPr>
          <w:rFonts w:asciiTheme="majorBidi" w:hAnsiTheme="majorBidi" w:cstheme="majorBidi"/>
          <w:sz w:val="20"/>
          <w:szCs w:val="20"/>
          <w:lang w:val="en-US"/>
        </w:rPr>
        <w:t>In the same vein, dominant blockholders</w:t>
      </w:r>
      <w:r w:rsidR="008C35A6">
        <w:rPr>
          <w:rFonts w:asciiTheme="majorBidi" w:hAnsiTheme="majorBidi" w:cstheme="majorBidi"/>
          <w:color w:val="FF0000"/>
          <w:sz w:val="20"/>
          <w:szCs w:val="20"/>
          <w:lang w:val="en-US"/>
        </w:rPr>
        <w:t xml:space="preserve"> </w:t>
      </w:r>
      <w:r w:rsidR="008C35A6" w:rsidRPr="005716B0">
        <w:rPr>
          <w:rFonts w:asciiTheme="majorBidi" w:hAnsiTheme="majorBidi" w:cstheme="majorBidi"/>
          <w:sz w:val="20"/>
          <w:szCs w:val="20"/>
          <w:lang w:val="en-US"/>
        </w:rPr>
        <w:t xml:space="preserve">would rather distribute higher dividends so as to signal their unwillingness to expropriate minority investors. </w:t>
      </w:r>
      <w:r w:rsidR="000E69E0" w:rsidRPr="005716B0">
        <w:rPr>
          <w:rFonts w:asciiTheme="majorBidi" w:hAnsiTheme="majorBidi" w:cstheme="majorBidi"/>
          <w:sz w:val="20"/>
          <w:szCs w:val="20"/>
          <w:lang w:val="en-US"/>
        </w:rPr>
        <w:t>Such</w:t>
      </w:r>
      <w:r w:rsidR="000E69E0" w:rsidRPr="007B566C">
        <w:rPr>
          <w:rFonts w:asciiTheme="majorBidi" w:hAnsiTheme="majorBidi" w:cstheme="majorBidi"/>
          <w:sz w:val="20"/>
          <w:szCs w:val="20"/>
          <w:lang w:val="en-US"/>
        </w:rPr>
        <w:t xml:space="preserve"> an alternative explanation takes </w:t>
      </w:r>
      <w:r w:rsidR="000E69E0" w:rsidRPr="00F61E40">
        <w:rPr>
          <w:rFonts w:asciiTheme="majorBidi" w:hAnsiTheme="majorBidi" w:cstheme="majorBidi"/>
          <w:sz w:val="20"/>
          <w:szCs w:val="20"/>
          <w:lang w:val="en-US"/>
        </w:rPr>
        <w:t>into account the rent extraction property of dividends (</w:t>
      </w:r>
      <w:proofErr w:type="spellStart"/>
      <w:r w:rsidR="000E69E0" w:rsidRPr="00F61E40">
        <w:rPr>
          <w:rFonts w:asciiTheme="majorBidi" w:hAnsiTheme="majorBidi" w:cstheme="majorBidi"/>
          <w:sz w:val="20"/>
          <w:szCs w:val="20"/>
          <w:bdr w:val="none" w:sz="0" w:space="0" w:color="auto" w:frame="1"/>
          <w:shd w:val="clear" w:color="auto" w:fill="FFFFFF"/>
          <w:lang w:val="en-US"/>
        </w:rPr>
        <w:t>Gugler</w:t>
      </w:r>
      <w:proofErr w:type="spellEnd"/>
      <w:r w:rsidR="000E69E0" w:rsidRPr="00F61E40">
        <w:rPr>
          <w:rFonts w:asciiTheme="majorBidi" w:hAnsiTheme="majorBidi" w:cstheme="majorBidi"/>
          <w:sz w:val="20"/>
          <w:szCs w:val="20"/>
          <w:bdr w:val="none" w:sz="0" w:space="0" w:color="auto" w:frame="1"/>
          <w:shd w:val="clear" w:color="auto" w:fill="FFFFFF"/>
          <w:lang w:val="en-US"/>
        </w:rPr>
        <w:t xml:space="preserve"> and </w:t>
      </w:r>
      <w:proofErr w:type="spellStart"/>
      <w:r w:rsidR="000E69E0" w:rsidRPr="00F61E40">
        <w:rPr>
          <w:rFonts w:asciiTheme="majorBidi" w:hAnsiTheme="majorBidi" w:cstheme="majorBidi"/>
          <w:sz w:val="20"/>
          <w:szCs w:val="20"/>
          <w:bdr w:val="none" w:sz="0" w:space="0" w:color="auto" w:frame="1"/>
          <w:shd w:val="clear" w:color="auto" w:fill="FFFFFF"/>
          <w:lang w:val="en-US"/>
        </w:rPr>
        <w:t>Yurtoglu</w:t>
      </w:r>
      <w:proofErr w:type="spellEnd"/>
      <w:r w:rsidR="000E69E0" w:rsidRPr="00F61E40">
        <w:rPr>
          <w:rFonts w:asciiTheme="majorBidi" w:hAnsiTheme="majorBidi" w:cstheme="majorBidi"/>
          <w:sz w:val="20"/>
          <w:szCs w:val="20"/>
          <w:bdr w:val="none" w:sz="0" w:space="0" w:color="auto" w:frame="1"/>
          <w:shd w:val="clear" w:color="auto" w:fill="FFFFFF"/>
          <w:lang w:val="en-US"/>
        </w:rPr>
        <w:t>, 2003).</w:t>
      </w:r>
      <w:r w:rsidR="000E69E0" w:rsidRPr="007B566C">
        <w:rPr>
          <w:rFonts w:asciiTheme="majorBidi" w:hAnsiTheme="majorBidi" w:cstheme="majorBidi"/>
          <w:sz w:val="20"/>
          <w:szCs w:val="20"/>
          <w:bdr w:val="none" w:sz="0" w:space="0" w:color="auto" w:frame="1"/>
          <w:shd w:val="clear" w:color="auto" w:fill="FFFFFF"/>
          <w:lang w:val="en-US"/>
        </w:rPr>
        <w:t xml:space="preserve"> </w:t>
      </w:r>
      <w:r w:rsidR="00B53EED" w:rsidRPr="007B566C">
        <w:rPr>
          <w:rFonts w:asciiTheme="majorBidi" w:hAnsiTheme="majorBidi" w:cstheme="majorBidi"/>
          <w:sz w:val="20"/>
          <w:szCs w:val="20"/>
          <w:bdr w:val="none" w:sz="0" w:space="0" w:color="auto" w:frame="1"/>
          <w:shd w:val="clear" w:color="auto" w:fill="FFFFFF"/>
          <w:lang w:val="en-US"/>
        </w:rPr>
        <w:t>The</w:t>
      </w:r>
      <w:r w:rsidR="000E69E0" w:rsidRPr="007B566C">
        <w:rPr>
          <w:rFonts w:asciiTheme="majorBidi" w:hAnsiTheme="majorBidi" w:cstheme="majorBidi"/>
          <w:sz w:val="20"/>
          <w:szCs w:val="20"/>
          <w:lang w:val="en-US"/>
        </w:rPr>
        <w:t xml:space="preserve"> positive effect of rent protection on dividend</w:t>
      </w:r>
      <w:r w:rsidR="00F61E40">
        <w:rPr>
          <w:rFonts w:asciiTheme="majorBidi" w:hAnsiTheme="majorBidi" w:cstheme="majorBidi"/>
          <w:sz w:val="20"/>
          <w:szCs w:val="20"/>
          <w:lang w:val="en-US"/>
        </w:rPr>
        <w:t>s</w:t>
      </w:r>
      <w:r w:rsidR="000E69E0" w:rsidRPr="007B566C">
        <w:rPr>
          <w:rFonts w:asciiTheme="majorBidi" w:hAnsiTheme="majorBidi" w:cstheme="majorBidi"/>
          <w:sz w:val="20"/>
          <w:szCs w:val="20"/>
          <w:lang w:val="en-US"/>
        </w:rPr>
        <w:t xml:space="preserve"> is particularly relevant in countries where shareholder rights are not well protected and developed (La </w:t>
      </w:r>
      <w:proofErr w:type="spellStart"/>
      <w:r w:rsidR="000E69E0" w:rsidRPr="007B566C">
        <w:rPr>
          <w:rFonts w:asciiTheme="majorBidi" w:hAnsiTheme="majorBidi" w:cstheme="majorBidi"/>
          <w:sz w:val="20"/>
          <w:szCs w:val="20"/>
          <w:lang w:val="en-US"/>
        </w:rPr>
        <w:t>Porta</w:t>
      </w:r>
      <w:proofErr w:type="spellEnd"/>
      <w:r w:rsidR="000E69E0" w:rsidRPr="007B566C">
        <w:rPr>
          <w:rFonts w:asciiTheme="majorBidi" w:hAnsiTheme="majorBidi" w:cstheme="majorBidi"/>
          <w:sz w:val="20"/>
          <w:szCs w:val="20"/>
          <w:lang w:val="en-US"/>
        </w:rPr>
        <w:t xml:space="preserve"> et al., 2000).</w:t>
      </w:r>
    </w:p>
    <w:p w:rsidR="0052528D" w:rsidRDefault="0052528D" w:rsidP="007B566C">
      <w:pPr>
        <w:widowControl w:val="0"/>
        <w:tabs>
          <w:tab w:val="left" w:pos="0"/>
          <w:tab w:val="left" w:pos="142"/>
        </w:tabs>
        <w:autoSpaceDE w:val="0"/>
        <w:autoSpaceDN w:val="0"/>
        <w:adjustRightInd w:val="0"/>
        <w:spacing w:after="0" w:line="240" w:lineRule="auto"/>
        <w:ind w:firstLine="709"/>
        <w:jc w:val="both"/>
        <w:rPr>
          <w:rFonts w:asciiTheme="majorBidi" w:hAnsiTheme="majorBidi" w:cstheme="majorBidi"/>
          <w:sz w:val="20"/>
          <w:szCs w:val="20"/>
          <w:lang w:val="en-US"/>
        </w:rPr>
      </w:pPr>
    </w:p>
    <w:p w:rsidR="0052528D" w:rsidRDefault="00F61E40" w:rsidP="003D4214">
      <w:pPr>
        <w:widowControl w:val="0"/>
        <w:tabs>
          <w:tab w:val="left" w:pos="0"/>
          <w:tab w:val="left" w:pos="142"/>
        </w:tabs>
        <w:autoSpaceDE w:val="0"/>
        <w:autoSpaceDN w:val="0"/>
        <w:adjustRightInd w:val="0"/>
        <w:spacing w:after="0" w:line="240" w:lineRule="auto"/>
        <w:ind w:firstLine="709"/>
        <w:jc w:val="both"/>
        <w:rPr>
          <w:rFonts w:asciiTheme="majorBidi" w:hAnsiTheme="majorBidi" w:cstheme="majorBidi"/>
          <w:sz w:val="20"/>
          <w:szCs w:val="20"/>
          <w:lang w:val="en-US"/>
        </w:rPr>
      </w:pPr>
      <w:r>
        <w:rPr>
          <w:rFonts w:asciiTheme="majorBidi" w:hAnsiTheme="majorBidi" w:cstheme="majorBidi"/>
          <w:sz w:val="20"/>
          <w:szCs w:val="20"/>
          <w:lang w:val="en-US"/>
        </w:rPr>
        <w:t>However</w:t>
      </w:r>
      <w:r w:rsidR="009F49F2" w:rsidRPr="007B566C">
        <w:rPr>
          <w:rFonts w:asciiTheme="majorBidi" w:hAnsiTheme="majorBidi" w:cstheme="majorBidi"/>
          <w:sz w:val="20"/>
          <w:szCs w:val="20"/>
          <w:lang w:val="en-US"/>
        </w:rPr>
        <w:t>, t</w:t>
      </w:r>
      <w:r w:rsidR="00EE1021" w:rsidRPr="007B566C">
        <w:rPr>
          <w:rFonts w:asciiTheme="majorBidi" w:hAnsiTheme="majorBidi" w:cstheme="majorBidi"/>
          <w:sz w:val="20"/>
          <w:szCs w:val="20"/>
          <w:lang w:val="en-US"/>
        </w:rPr>
        <w:t xml:space="preserve">he rent extraction hypothesis </w:t>
      </w:r>
      <w:r w:rsidR="00497518" w:rsidRPr="007B566C">
        <w:rPr>
          <w:rFonts w:asciiTheme="majorBidi" w:hAnsiTheme="majorBidi" w:cstheme="majorBidi"/>
          <w:sz w:val="20"/>
          <w:szCs w:val="20"/>
          <w:lang w:val="en-US"/>
        </w:rPr>
        <w:t xml:space="preserve">suggests that a severe conflict </w:t>
      </w:r>
      <w:r w:rsidR="008A149A">
        <w:rPr>
          <w:rFonts w:asciiTheme="majorBidi" w:hAnsiTheme="majorBidi" w:cstheme="majorBidi"/>
          <w:sz w:val="20"/>
          <w:szCs w:val="20"/>
          <w:lang w:val="en-US"/>
        </w:rPr>
        <w:t>can rise</w:t>
      </w:r>
      <w:r w:rsidR="00497518" w:rsidRPr="007B566C">
        <w:rPr>
          <w:rFonts w:asciiTheme="majorBidi" w:hAnsiTheme="majorBidi" w:cstheme="majorBidi"/>
          <w:sz w:val="20"/>
          <w:szCs w:val="20"/>
          <w:lang w:val="en-US"/>
        </w:rPr>
        <w:t xml:space="preserve"> between the large controlling shareholders and outside minority </w:t>
      </w:r>
      <w:r w:rsidR="00787572" w:rsidRPr="007B566C">
        <w:rPr>
          <w:rFonts w:asciiTheme="majorBidi" w:hAnsiTheme="majorBidi" w:cstheme="majorBidi"/>
          <w:sz w:val="20"/>
          <w:szCs w:val="20"/>
          <w:lang w:val="en-US"/>
        </w:rPr>
        <w:t>investors</w:t>
      </w:r>
      <w:r w:rsidR="00497518" w:rsidRPr="007B566C">
        <w:rPr>
          <w:rFonts w:asciiTheme="majorBidi" w:hAnsiTheme="majorBidi" w:cstheme="majorBidi"/>
          <w:sz w:val="20"/>
          <w:szCs w:val="20"/>
          <w:lang w:val="en-US"/>
        </w:rPr>
        <w:t xml:space="preserve">, especially in </w:t>
      </w:r>
      <w:r w:rsidR="00605210" w:rsidRPr="007B566C">
        <w:rPr>
          <w:rFonts w:asciiTheme="majorBidi" w:hAnsiTheme="majorBidi" w:cstheme="majorBidi"/>
          <w:sz w:val="20"/>
          <w:szCs w:val="20"/>
          <w:lang w:val="en-US"/>
        </w:rPr>
        <w:t xml:space="preserve">firms </w:t>
      </w:r>
      <w:r w:rsidR="00787572" w:rsidRPr="007B566C">
        <w:rPr>
          <w:rFonts w:asciiTheme="majorBidi" w:hAnsiTheme="majorBidi" w:cstheme="majorBidi"/>
          <w:sz w:val="20"/>
          <w:szCs w:val="20"/>
          <w:lang w:val="en-US"/>
        </w:rPr>
        <w:t xml:space="preserve">which </w:t>
      </w:r>
      <w:r w:rsidR="00605210" w:rsidRPr="007B566C">
        <w:rPr>
          <w:rFonts w:asciiTheme="majorBidi" w:hAnsiTheme="majorBidi" w:cstheme="majorBidi"/>
          <w:sz w:val="20"/>
          <w:szCs w:val="20"/>
          <w:lang w:val="en-US"/>
        </w:rPr>
        <w:t>are highly-concentrated and that operate in poor legal environment</w:t>
      </w:r>
      <w:r w:rsidR="002E2035" w:rsidRPr="007B566C">
        <w:rPr>
          <w:rFonts w:asciiTheme="majorBidi" w:hAnsiTheme="majorBidi" w:cstheme="majorBidi"/>
          <w:sz w:val="20"/>
          <w:szCs w:val="20"/>
          <w:lang w:val="en-US"/>
        </w:rPr>
        <w:t xml:space="preserve"> (La </w:t>
      </w:r>
      <w:proofErr w:type="spellStart"/>
      <w:r w:rsidR="002E2035" w:rsidRPr="007B566C">
        <w:rPr>
          <w:rFonts w:asciiTheme="majorBidi" w:hAnsiTheme="majorBidi" w:cstheme="majorBidi"/>
          <w:sz w:val="20"/>
          <w:szCs w:val="20"/>
          <w:lang w:val="en-US"/>
        </w:rPr>
        <w:t>Porta</w:t>
      </w:r>
      <w:proofErr w:type="spellEnd"/>
      <w:r w:rsidR="002E2035" w:rsidRPr="007B566C">
        <w:rPr>
          <w:rFonts w:asciiTheme="majorBidi" w:hAnsiTheme="majorBidi" w:cstheme="majorBidi"/>
          <w:sz w:val="20"/>
          <w:szCs w:val="20"/>
          <w:lang w:val="en-US"/>
        </w:rPr>
        <w:t xml:space="preserve"> et al., 2000)</w:t>
      </w:r>
      <w:r w:rsidR="00605210" w:rsidRPr="007B566C">
        <w:rPr>
          <w:rFonts w:asciiTheme="majorBidi" w:hAnsiTheme="majorBidi" w:cstheme="majorBidi"/>
          <w:sz w:val="20"/>
          <w:szCs w:val="20"/>
          <w:lang w:val="en-US"/>
        </w:rPr>
        <w:t xml:space="preserve">. Accordingly, </w:t>
      </w:r>
      <w:r w:rsidR="009E73AA">
        <w:rPr>
          <w:rFonts w:asciiTheme="majorBidi" w:hAnsiTheme="majorBidi" w:cstheme="majorBidi"/>
          <w:sz w:val="20"/>
          <w:szCs w:val="20"/>
          <w:lang w:val="en-US"/>
        </w:rPr>
        <w:t>blockholders</w:t>
      </w:r>
      <w:r w:rsidR="00AB1F10" w:rsidRPr="007B566C">
        <w:rPr>
          <w:rFonts w:asciiTheme="majorBidi" w:hAnsiTheme="majorBidi" w:cstheme="majorBidi"/>
          <w:sz w:val="20"/>
          <w:szCs w:val="20"/>
          <w:lang w:val="en-US"/>
        </w:rPr>
        <w:t xml:space="preserve"> </w:t>
      </w:r>
      <w:r w:rsidR="00787572" w:rsidRPr="007B566C">
        <w:rPr>
          <w:rFonts w:asciiTheme="majorBidi" w:hAnsiTheme="majorBidi" w:cstheme="majorBidi"/>
          <w:sz w:val="20"/>
          <w:szCs w:val="20"/>
          <w:lang w:val="en-US"/>
        </w:rPr>
        <w:t xml:space="preserve">abuse their power to extract rents from minority shareholders and </w:t>
      </w:r>
      <w:r w:rsidR="009F49F2" w:rsidRPr="007B566C">
        <w:rPr>
          <w:rFonts w:asciiTheme="majorBidi" w:hAnsiTheme="majorBidi" w:cstheme="majorBidi"/>
          <w:sz w:val="20"/>
          <w:szCs w:val="20"/>
          <w:lang w:val="en-US"/>
        </w:rPr>
        <w:t>are willing t</w:t>
      </w:r>
      <w:r w:rsidR="00AB1F10" w:rsidRPr="007B566C">
        <w:rPr>
          <w:rFonts w:asciiTheme="majorBidi" w:hAnsiTheme="majorBidi" w:cstheme="majorBidi"/>
          <w:sz w:val="20"/>
          <w:szCs w:val="20"/>
          <w:lang w:val="en-US"/>
        </w:rPr>
        <w:t xml:space="preserve">o </w:t>
      </w:r>
      <w:r w:rsidR="00497518" w:rsidRPr="007B566C">
        <w:rPr>
          <w:rFonts w:asciiTheme="majorBidi" w:hAnsiTheme="majorBidi" w:cstheme="majorBidi"/>
          <w:sz w:val="20"/>
          <w:szCs w:val="20"/>
          <w:lang w:val="en-US"/>
        </w:rPr>
        <w:t>increase the size of the pie. Their</w:t>
      </w:r>
      <w:r w:rsidR="009F49F2" w:rsidRPr="007B566C">
        <w:rPr>
          <w:rFonts w:asciiTheme="majorBidi" w:hAnsiTheme="majorBidi" w:cstheme="majorBidi"/>
          <w:sz w:val="20"/>
          <w:szCs w:val="20"/>
          <w:lang w:val="en-US"/>
        </w:rPr>
        <w:t xml:space="preserve"> preference likely tilts towards lower dividends (</w:t>
      </w:r>
      <w:proofErr w:type="spellStart"/>
      <w:r w:rsidR="009F49F2" w:rsidRPr="007B566C">
        <w:rPr>
          <w:rFonts w:asciiTheme="majorBidi" w:hAnsiTheme="majorBidi" w:cstheme="majorBidi"/>
          <w:sz w:val="20"/>
          <w:szCs w:val="20"/>
          <w:lang w:val="en-US"/>
        </w:rPr>
        <w:t>Shleifer</w:t>
      </w:r>
      <w:proofErr w:type="spellEnd"/>
      <w:r w:rsidR="009F49F2" w:rsidRPr="007B566C">
        <w:rPr>
          <w:rFonts w:asciiTheme="majorBidi" w:hAnsiTheme="majorBidi" w:cstheme="majorBidi"/>
          <w:sz w:val="20"/>
          <w:szCs w:val="20"/>
          <w:lang w:val="en-US"/>
        </w:rPr>
        <w:t xml:space="preserve"> and </w:t>
      </w:r>
      <w:proofErr w:type="spellStart"/>
      <w:r w:rsidR="009F49F2" w:rsidRPr="007B566C">
        <w:rPr>
          <w:rFonts w:asciiTheme="majorBidi" w:hAnsiTheme="majorBidi" w:cstheme="majorBidi"/>
          <w:sz w:val="20"/>
          <w:szCs w:val="20"/>
          <w:lang w:val="en-US"/>
        </w:rPr>
        <w:t>Vishny</w:t>
      </w:r>
      <w:proofErr w:type="spellEnd"/>
      <w:r w:rsidR="009F49F2" w:rsidRPr="007B566C">
        <w:rPr>
          <w:rFonts w:asciiTheme="majorBidi" w:hAnsiTheme="majorBidi" w:cstheme="majorBidi"/>
          <w:sz w:val="20"/>
          <w:szCs w:val="20"/>
          <w:lang w:val="en-US"/>
        </w:rPr>
        <w:t>, 1997</w:t>
      </w:r>
      <w:r w:rsidR="00787572" w:rsidRPr="007B566C">
        <w:rPr>
          <w:rFonts w:asciiTheme="majorBidi" w:hAnsiTheme="majorBidi" w:cstheme="majorBidi"/>
          <w:sz w:val="20"/>
          <w:szCs w:val="20"/>
          <w:lang w:val="en-US"/>
        </w:rPr>
        <w:t xml:space="preserve">; </w:t>
      </w:r>
      <w:proofErr w:type="spellStart"/>
      <w:r w:rsidR="00787572" w:rsidRPr="007B566C">
        <w:rPr>
          <w:rFonts w:asciiTheme="majorBidi" w:hAnsiTheme="majorBidi" w:cstheme="majorBidi"/>
          <w:sz w:val="20"/>
          <w:szCs w:val="20"/>
          <w:lang w:val="en-US"/>
        </w:rPr>
        <w:t>Faccio</w:t>
      </w:r>
      <w:proofErr w:type="spellEnd"/>
      <w:r w:rsidR="00787572" w:rsidRPr="007B566C">
        <w:rPr>
          <w:rFonts w:asciiTheme="majorBidi" w:hAnsiTheme="majorBidi" w:cstheme="majorBidi"/>
          <w:sz w:val="20"/>
          <w:szCs w:val="20"/>
          <w:lang w:val="en-US"/>
        </w:rPr>
        <w:t xml:space="preserve"> et al., 2001; </w:t>
      </w:r>
      <w:proofErr w:type="spellStart"/>
      <w:r w:rsidR="00787572" w:rsidRPr="007B566C">
        <w:rPr>
          <w:rFonts w:asciiTheme="majorBidi" w:hAnsiTheme="majorBidi" w:cstheme="majorBidi"/>
          <w:sz w:val="20"/>
          <w:szCs w:val="20"/>
          <w:bdr w:val="none" w:sz="0" w:space="0" w:color="auto" w:frame="1"/>
          <w:shd w:val="clear" w:color="auto" w:fill="FFFFFF"/>
          <w:lang w:val="en-US"/>
        </w:rPr>
        <w:t>Gugler</w:t>
      </w:r>
      <w:proofErr w:type="spellEnd"/>
      <w:r w:rsidR="00787572" w:rsidRPr="007B566C">
        <w:rPr>
          <w:rFonts w:asciiTheme="majorBidi" w:hAnsiTheme="majorBidi" w:cstheme="majorBidi"/>
          <w:sz w:val="20"/>
          <w:szCs w:val="20"/>
          <w:bdr w:val="none" w:sz="0" w:space="0" w:color="auto" w:frame="1"/>
          <w:shd w:val="clear" w:color="auto" w:fill="FFFFFF"/>
          <w:lang w:val="en-US"/>
        </w:rPr>
        <w:t xml:space="preserve"> and </w:t>
      </w:r>
      <w:proofErr w:type="spellStart"/>
      <w:r w:rsidR="00787572" w:rsidRPr="007B566C">
        <w:rPr>
          <w:rFonts w:asciiTheme="majorBidi" w:hAnsiTheme="majorBidi" w:cstheme="majorBidi"/>
          <w:sz w:val="20"/>
          <w:szCs w:val="20"/>
          <w:bdr w:val="none" w:sz="0" w:space="0" w:color="auto" w:frame="1"/>
          <w:shd w:val="clear" w:color="auto" w:fill="FFFFFF"/>
          <w:lang w:val="en-US"/>
        </w:rPr>
        <w:t>Yurtoglu</w:t>
      </w:r>
      <w:proofErr w:type="spellEnd"/>
      <w:r w:rsidR="00787572" w:rsidRPr="007B566C">
        <w:rPr>
          <w:rFonts w:asciiTheme="majorBidi" w:hAnsiTheme="majorBidi" w:cstheme="majorBidi"/>
          <w:sz w:val="20"/>
          <w:szCs w:val="20"/>
          <w:bdr w:val="none" w:sz="0" w:space="0" w:color="auto" w:frame="1"/>
          <w:shd w:val="clear" w:color="auto" w:fill="FFFFFF"/>
          <w:lang w:val="en-US"/>
        </w:rPr>
        <w:t>, 2003</w:t>
      </w:r>
      <w:r w:rsidR="00356FB2">
        <w:rPr>
          <w:rFonts w:asciiTheme="majorBidi" w:hAnsiTheme="majorBidi" w:cstheme="majorBidi"/>
          <w:sz w:val="20"/>
          <w:szCs w:val="20"/>
          <w:bdr w:val="none" w:sz="0" w:space="0" w:color="auto" w:frame="1"/>
          <w:shd w:val="clear" w:color="auto" w:fill="FFFFFF"/>
          <w:lang w:val="en-US"/>
        </w:rPr>
        <w:t>;</w:t>
      </w:r>
      <w:r w:rsidR="00356FB2" w:rsidRPr="00356FB2">
        <w:rPr>
          <w:rFonts w:ascii="TimesNewRoman" w:eastAsia="Calibri" w:hAnsi="TimesNewRoman" w:cs="TimesNewRoman"/>
          <w:sz w:val="20"/>
          <w:szCs w:val="20"/>
          <w:lang w:val="en-US"/>
        </w:rPr>
        <w:t xml:space="preserve"> </w:t>
      </w:r>
      <w:proofErr w:type="spellStart"/>
      <w:r w:rsidR="00356FB2" w:rsidRPr="00356FB2">
        <w:rPr>
          <w:rFonts w:ascii="TimesNewRoman" w:eastAsia="Calibri" w:hAnsi="TimesNewRoman" w:cs="TimesNewRoman"/>
          <w:sz w:val="20"/>
          <w:szCs w:val="20"/>
          <w:lang w:val="en-US"/>
        </w:rPr>
        <w:t>Renneboog</w:t>
      </w:r>
      <w:proofErr w:type="spellEnd"/>
      <w:r w:rsidR="00356FB2" w:rsidRPr="00356FB2">
        <w:rPr>
          <w:rFonts w:ascii="TimesNewRoman" w:eastAsia="Calibri" w:hAnsi="TimesNewRoman" w:cs="TimesNewRoman"/>
          <w:sz w:val="20"/>
          <w:szCs w:val="20"/>
          <w:lang w:val="en-US"/>
        </w:rPr>
        <w:t xml:space="preserve"> and </w:t>
      </w:r>
      <w:proofErr w:type="spellStart"/>
      <w:r w:rsidR="00356FB2" w:rsidRPr="00356FB2">
        <w:rPr>
          <w:rFonts w:ascii="TimesNewRoman" w:eastAsia="Calibri" w:hAnsi="TimesNewRoman" w:cs="TimesNewRoman"/>
          <w:sz w:val="20"/>
          <w:szCs w:val="20"/>
          <w:lang w:val="en-US"/>
        </w:rPr>
        <w:t>Trojanowski</w:t>
      </w:r>
      <w:proofErr w:type="spellEnd"/>
      <w:r w:rsidR="00356FB2">
        <w:rPr>
          <w:rFonts w:ascii="TimesNewRoman" w:eastAsia="Calibri" w:hAnsi="TimesNewRoman" w:cs="TimesNewRoman"/>
          <w:sz w:val="20"/>
          <w:szCs w:val="20"/>
          <w:lang w:val="en-US"/>
        </w:rPr>
        <w:t xml:space="preserve">, </w:t>
      </w:r>
      <w:r w:rsidR="00356FB2" w:rsidRPr="00356FB2">
        <w:rPr>
          <w:rFonts w:ascii="TimesNewRoman" w:eastAsia="Calibri" w:hAnsi="TimesNewRoman" w:cs="TimesNewRoman"/>
          <w:sz w:val="20"/>
          <w:szCs w:val="20"/>
          <w:lang w:val="en-US"/>
        </w:rPr>
        <w:t>2005</w:t>
      </w:r>
      <w:r w:rsidR="00356FB2">
        <w:rPr>
          <w:rFonts w:ascii="TimesNewRoman" w:eastAsia="Calibri" w:hAnsi="TimesNewRoman" w:cs="TimesNewRoman"/>
          <w:sz w:val="20"/>
          <w:szCs w:val="20"/>
          <w:lang w:val="en-US"/>
        </w:rPr>
        <w:t xml:space="preserve">; </w:t>
      </w:r>
      <w:r w:rsidR="00E91EC3" w:rsidRPr="00356FB2">
        <w:rPr>
          <w:rFonts w:ascii="TimesNewRoman" w:eastAsia="Calibri" w:hAnsi="TimesNewRoman" w:cs="TimesNewRoman"/>
          <w:sz w:val="20"/>
          <w:szCs w:val="20"/>
          <w:lang w:val="en-US"/>
        </w:rPr>
        <w:t>Khan</w:t>
      </w:r>
      <w:r w:rsidR="00E91EC3">
        <w:rPr>
          <w:rFonts w:ascii="TimesNewRoman" w:eastAsia="Calibri" w:hAnsi="TimesNewRoman" w:cs="TimesNewRoman"/>
          <w:sz w:val="20"/>
          <w:szCs w:val="20"/>
          <w:lang w:val="en-US"/>
        </w:rPr>
        <w:t xml:space="preserve">, 2006). Highly-concentrated </w:t>
      </w:r>
      <w:r w:rsidR="00E91EC3" w:rsidRPr="00E91EC3">
        <w:rPr>
          <w:rFonts w:ascii="TimesNewRoman" w:eastAsia="Calibri" w:hAnsi="TimesNewRoman" w:cs="TimesNewRoman"/>
          <w:sz w:val="20"/>
          <w:szCs w:val="20"/>
          <w:lang w:val="en-US"/>
        </w:rPr>
        <w:t xml:space="preserve">ownership </w:t>
      </w:r>
      <w:r w:rsidR="00E91EC3">
        <w:rPr>
          <w:rFonts w:ascii="TimesNewRoman" w:eastAsia="Calibri" w:hAnsi="TimesNewRoman" w:cs="TimesNewRoman"/>
          <w:sz w:val="20"/>
          <w:szCs w:val="20"/>
          <w:lang w:val="en-US"/>
        </w:rPr>
        <w:t>firms are also</w:t>
      </w:r>
      <w:r w:rsidR="00E91EC3" w:rsidRPr="00E91EC3">
        <w:rPr>
          <w:rFonts w:ascii="TimesNewRoman" w:eastAsia="Calibri" w:hAnsi="TimesNewRoman" w:cs="TimesNewRoman"/>
          <w:sz w:val="20"/>
          <w:szCs w:val="20"/>
          <w:lang w:val="en-US"/>
        </w:rPr>
        <w:t xml:space="preserve"> less likely to raise dividends </w:t>
      </w:r>
      <w:r w:rsidR="00E91EC3">
        <w:rPr>
          <w:rFonts w:ascii="TimesNewRoman" w:eastAsia="Calibri" w:hAnsi="TimesNewRoman" w:cs="TimesNewRoman"/>
          <w:sz w:val="20"/>
          <w:szCs w:val="20"/>
          <w:lang w:val="en-US"/>
        </w:rPr>
        <w:t xml:space="preserve">despite an increase in </w:t>
      </w:r>
      <w:r w:rsidR="00E91EC3" w:rsidRPr="00E91EC3">
        <w:rPr>
          <w:rFonts w:ascii="TimesNewRoman" w:eastAsia="Calibri" w:hAnsi="TimesNewRoman" w:cs="TimesNewRoman"/>
          <w:sz w:val="20"/>
          <w:szCs w:val="20"/>
          <w:lang w:val="en-US"/>
        </w:rPr>
        <w:t xml:space="preserve">earnings </w:t>
      </w:r>
      <w:r w:rsidR="00E91EC3">
        <w:rPr>
          <w:rFonts w:ascii="TimesNewRoman" w:eastAsia="Calibri" w:hAnsi="TimesNewRoman" w:cs="TimesNewRoman"/>
          <w:sz w:val="20"/>
          <w:szCs w:val="20"/>
          <w:lang w:val="en-US"/>
        </w:rPr>
        <w:t>or a decrease in leverage (</w:t>
      </w:r>
      <w:r w:rsidR="00E91EC3" w:rsidRPr="00356FB2">
        <w:rPr>
          <w:rFonts w:ascii="TimesNewRoman" w:eastAsia="Calibri" w:hAnsi="TimesNewRoman" w:cs="TimesNewRoman"/>
          <w:sz w:val="20"/>
          <w:szCs w:val="20"/>
          <w:lang w:val="en-US"/>
        </w:rPr>
        <w:t>Harada and Nguyen</w:t>
      </w:r>
      <w:r w:rsidR="00E91EC3">
        <w:rPr>
          <w:rFonts w:ascii="TimesNewRoman" w:eastAsia="Calibri" w:hAnsi="TimesNewRoman" w:cs="TimesNewRoman"/>
          <w:sz w:val="20"/>
          <w:szCs w:val="20"/>
          <w:lang w:val="en-US"/>
        </w:rPr>
        <w:t xml:space="preserve">, </w:t>
      </w:r>
      <w:r w:rsidR="00E91EC3" w:rsidRPr="00356FB2">
        <w:rPr>
          <w:rFonts w:ascii="TimesNewRoman" w:eastAsia="Calibri" w:hAnsi="TimesNewRoman" w:cs="TimesNewRoman"/>
          <w:sz w:val="20"/>
          <w:szCs w:val="20"/>
          <w:lang w:val="en-US"/>
        </w:rPr>
        <w:t>2011</w:t>
      </w:r>
      <w:r w:rsidR="00E91EC3">
        <w:rPr>
          <w:rFonts w:ascii="TimesNewRoman" w:eastAsia="Calibri" w:hAnsi="TimesNewRoman" w:cs="TimesNewRoman"/>
          <w:sz w:val="20"/>
          <w:szCs w:val="20"/>
          <w:lang w:val="en-US"/>
        </w:rPr>
        <w:t>). Furthermore, d</w:t>
      </w:r>
      <w:r w:rsidR="00C63BEE" w:rsidRPr="007B566C">
        <w:rPr>
          <w:rFonts w:asciiTheme="majorBidi" w:hAnsiTheme="majorBidi" w:cstheme="majorBidi"/>
          <w:sz w:val="20"/>
          <w:szCs w:val="20"/>
          <w:lang w:val="en-US"/>
        </w:rPr>
        <w:t xml:space="preserve">ecision makers may prefer value-decreasing outcomes that are </w:t>
      </w:r>
      <w:r w:rsidR="003D4214">
        <w:rPr>
          <w:rFonts w:asciiTheme="majorBidi" w:hAnsiTheme="majorBidi" w:cstheme="majorBidi"/>
          <w:sz w:val="20"/>
          <w:szCs w:val="20"/>
          <w:lang w:val="en-US"/>
        </w:rPr>
        <w:t xml:space="preserve">only </w:t>
      </w:r>
      <w:r w:rsidR="003D4214" w:rsidRPr="007B566C">
        <w:rPr>
          <w:rFonts w:asciiTheme="majorBidi" w:hAnsiTheme="majorBidi" w:cstheme="majorBidi"/>
          <w:sz w:val="20"/>
          <w:szCs w:val="20"/>
          <w:lang w:val="en-US"/>
        </w:rPr>
        <w:t>justified</w:t>
      </w:r>
      <w:r w:rsidR="003D4214">
        <w:rPr>
          <w:rFonts w:asciiTheme="majorBidi" w:hAnsiTheme="majorBidi" w:cstheme="majorBidi"/>
          <w:sz w:val="20"/>
          <w:szCs w:val="20"/>
          <w:lang w:val="en-US"/>
        </w:rPr>
        <w:t xml:space="preserve"> </w:t>
      </w:r>
      <w:r w:rsidR="004A2A53">
        <w:rPr>
          <w:rFonts w:asciiTheme="majorBidi" w:hAnsiTheme="majorBidi" w:cstheme="majorBidi"/>
          <w:sz w:val="20"/>
          <w:szCs w:val="20"/>
          <w:lang w:val="en-US"/>
        </w:rPr>
        <w:t>b</w:t>
      </w:r>
      <w:r w:rsidR="00C63BEE" w:rsidRPr="007B566C">
        <w:rPr>
          <w:rFonts w:asciiTheme="majorBidi" w:hAnsiTheme="majorBidi" w:cstheme="majorBidi"/>
          <w:sz w:val="20"/>
          <w:szCs w:val="20"/>
          <w:lang w:val="en-US"/>
        </w:rPr>
        <w:t xml:space="preserve">ecause of wealth transfer from other stakeholders (Jensen and </w:t>
      </w:r>
      <w:proofErr w:type="spellStart"/>
      <w:r w:rsidR="00C63BEE" w:rsidRPr="007B566C">
        <w:rPr>
          <w:rFonts w:asciiTheme="majorBidi" w:hAnsiTheme="majorBidi" w:cstheme="majorBidi"/>
          <w:sz w:val="20"/>
          <w:szCs w:val="20"/>
          <w:lang w:val="en-US"/>
        </w:rPr>
        <w:t>Meckling</w:t>
      </w:r>
      <w:proofErr w:type="spellEnd"/>
      <w:r w:rsidR="00C63BEE" w:rsidRPr="007B566C">
        <w:rPr>
          <w:rFonts w:asciiTheme="majorBidi" w:hAnsiTheme="majorBidi" w:cstheme="majorBidi"/>
          <w:sz w:val="20"/>
          <w:szCs w:val="20"/>
          <w:lang w:val="en-US"/>
        </w:rPr>
        <w:t xml:space="preserve">, 1976). Likewise, </w:t>
      </w:r>
      <w:r w:rsidR="008A149A">
        <w:rPr>
          <w:rFonts w:asciiTheme="majorBidi" w:hAnsiTheme="majorBidi" w:cstheme="majorBidi"/>
          <w:sz w:val="20"/>
          <w:szCs w:val="20"/>
          <w:lang w:val="en-US"/>
        </w:rPr>
        <w:t>majority</w:t>
      </w:r>
      <w:r w:rsidR="00C63BEE" w:rsidRPr="007B566C">
        <w:rPr>
          <w:rFonts w:asciiTheme="majorBidi" w:hAnsiTheme="majorBidi" w:cstheme="majorBidi"/>
          <w:sz w:val="20"/>
          <w:szCs w:val="20"/>
          <w:lang w:val="en-US"/>
        </w:rPr>
        <w:t xml:space="preserve"> shareholders are tempted to accrue higher private benefits, leaving too little benefits to be shared with other </w:t>
      </w:r>
      <w:r w:rsidR="0052528D" w:rsidRPr="007B566C">
        <w:rPr>
          <w:rFonts w:asciiTheme="majorBidi" w:hAnsiTheme="majorBidi" w:cstheme="majorBidi"/>
          <w:sz w:val="20"/>
          <w:szCs w:val="20"/>
          <w:lang w:val="en-US"/>
        </w:rPr>
        <w:t>small</w:t>
      </w:r>
      <w:r w:rsidR="00C63BEE" w:rsidRPr="007B566C">
        <w:rPr>
          <w:rFonts w:asciiTheme="majorBidi" w:hAnsiTheme="majorBidi" w:cstheme="majorBidi"/>
          <w:sz w:val="20"/>
          <w:szCs w:val="20"/>
          <w:lang w:val="en-US"/>
        </w:rPr>
        <w:t xml:space="preserve"> </w:t>
      </w:r>
      <w:r w:rsidR="009E73AA">
        <w:rPr>
          <w:rFonts w:asciiTheme="majorBidi" w:hAnsiTheme="majorBidi" w:cstheme="majorBidi"/>
          <w:sz w:val="20"/>
          <w:szCs w:val="20"/>
          <w:lang w:val="en-US"/>
        </w:rPr>
        <w:t>investor</w:t>
      </w:r>
      <w:r w:rsidR="00C63BEE" w:rsidRPr="007B566C">
        <w:rPr>
          <w:rFonts w:asciiTheme="majorBidi" w:hAnsiTheme="majorBidi" w:cstheme="majorBidi"/>
          <w:sz w:val="20"/>
          <w:szCs w:val="20"/>
          <w:lang w:val="en-US"/>
        </w:rPr>
        <w:t>s</w:t>
      </w:r>
      <w:r w:rsidR="00787572" w:rsidRPr="007B566C">
        <w:rPr>
          <w:rFonts w:asciiTheme="majorBidi" w:hAnsiTheme="majorBidi" w:cstheme="majorBidi"/>
          <w:sz w:val="20"/>
          <w:szCs w:val="20"/>
          <w:lang w:val="en-US"/>
        </w:rPr>
        <w:t xml:space="preserve">; what results </w:t>
      </w:r>
      <w:r w:rsidR="00EE1021" w:rsidRPr="007B566C">
        <w:rPr>
          <w:rFonts w:asciiTheme="majorBidi" w:hAnsiTheme="majorBidi" w:cstheme="majorBidi"/>
          <w:sz w:val="20"/>
          <w:szCs w:val="20"/>
          <w:lang w:val="en-US"/>
        </w:rPr>
        <w:t>in lower payout ratios</w:t>
      </w:r>
      <w:r w:rsidR="00787572" w:rsidRPr="007B566C">
        <w:rPr>
          <w:rFonts w:asciiTheme="majorBidi" w:hAnsiTheme="majorBidi" w:cstheme="majorBidi"/>
          <w:sz w:val="20"/>
          <w:szCs w:val="20"/>
          <w:lang w:val="en-US"/>
        </w:rPr>
        <w:t xml:space="preserve">. </w:t>
      </w:r>
    </w:p>
    <w:p w:rsidR="0052528D" w:rsidRPr="007B566C" w:rsidRDefault="0052528D" w:rsidP="007B566C">
      <w:pPr>
        <w:widowControl w:val="0"/>
        <w:tabs>
          <w:tab w:val="left" w:pos="0"/>
          <w:tab w:val="left" w:pos="142"/>
        </w:tabs>
        <w:autoSpaceDE w:val="0"/>
        <w:autoSpaceDN w:val="0"/>
        <w:adjustRightInd w:val="0"/>
        <w:spacing w:after="0" w:line="240" w:lineRule="auto"/>
        <w:ind w:firstLine="709"/>
        <w:jc w:val="both"/>
        <w:rPr>
          <w:rFonts w:asciiTheme="majorBidi" w:hAnsiTheme="majorBidi" w:cstheme="majorBidi"/>
          <w:sz w:val="20"/>
          <w:szCs w:val="20"/>
          <w:lang w:val="en-US"/>
        </w:rPr>
      </w:pPr>
    </w:p>
    <w:p w:rsidR="0035383A" w:rsidRPr="007B566C" w:rsidRDefault="00F61E40" w:rsidP="009E73AA">
      <w:pPr>
        <w:widowControl w:val="0"/>
        <w:tabs>
          <w:tab w:val="left" w:pos="0"/>
          <w:tab w:val="left" w:pos="142"/>
        </w:tabs>
        <w:autoSpaceDE w:val="0"/>
        <w:autoSpaceDN w:val="0"/>
        <w:adjustRightInd w:val="0"/>
        <w:spacing w:after="0" w:line="240" w:lineRule="auto"/>
        <w:ind w:firstLine="709"/>
        <w:jc w:val="both"/>
        <w:rPr>
          <w:rFonts w:asciiTheme="majorBidi" w:hAnsiTheme="majorBidi" w:cstheme="majorBidi"/>
          <w:sz w:val="20"/>
          <w:szCs w:val="20"/>
          <w:lang w:val="en-US"/>
        </w:rPr>
      </w:pPr>
      <w:r>
        <w:rPr>
          <w:rFonts w:asciiTheme="majorBidi" w:hAnsiTheme="majorBidi" w:cstheme="majorBidi"/>
          <w:sz w:val="20"/>
          <w:szCs w:val="20"/>
          <w:lang w:val="en-US"/>
        </w:rPr>
        <w:t>Moreover</w:t>
      </w:r>
      <w:r w:rsidR="00826B3A" w:rsidRPr="007B566C">
        <w:rPr>
          <w:rFonts w:asciiTheme="majorBidi" w:hAnsiTheme="majorBidi" w:cstheme="majorBidi"/>
          <w:sz w:val="20"/>
          <w:szCs w:val="20"/>
          <w:lang w:val="en-US"/>
        </w:rPr>
        <w:t xml:space="preserve">, the presence of another large shareholder may </w:t>
      </w:r>
      <w:r w:rsidR="00445381" w:rsidRPr="007B566C">
        <w:rPr>
          <w:rFonts w:asciiTheme="majorBidi" w:hAnsiTheme="majorBidi" w:cstheme="majorBidi"/>
          <w:sz w:val="20"/>
          <w:szCs w:val="20"/>
          <w:lang w:val="en-US"/>
        </w:rPr>
        <w:t xml:space="preserve">contribute to curtail the expropriation problem as the presence of multiple </w:t>
      </w:r>
      <w:r w:rsidR="0052528D" w:rsidRPr="007B566C">
        <w:rPr>
          <w:rFonts w:asciiTheme="majorBidi" w:hAnsiTheme="majorBidi" w:cstheme="majorBidi"/>
          <w:sz w:val="20"/>
          <w:szCs w:val="20"/>
          <w:lang w:val="en-US"/>
        </w:rPr>
        <w:t>dominant</w:t>
      </w:r>
      <w:r w:rsidR="00445381" w:rsidRPr="007B566C">
        <w:rPr>
          <w:rFonts w:asciiTheme="majorBidi" w:hAnsiTheme="majorBidi" w:cstheme="majorBidi"/>
          <w:sz w:val="20"/>
          <w:szCs w:val="20"/>
          <w:lang w:val="en-US"/>
        </w:rPr>
        <w:t xml:space="preserve"> shareholders likely lead to a mutual monitoring; what might enhance corporate governance. The presence of another large shareholder is </w:t>
      </w:r>
      <w:r w:rsidR="0052528D" w:rsidRPr="007B566C">
        <w:rPr>
          <w:rFonts w:asciiTheme="majorBidi" w:hAnsiTheme="majorBidi" w:cstheme="majorBidi"/>
          <w:sz w:val="20"/>
          <w:szCs w:val="20"/>
          <w:lang w:val="en-US"/>
        </w:rPr>
        <w:t xml:space="preserve">therefore </w:t>
      </w:r>
      <w:r w:rsidR="00445381" w:rsidRPr="007B566C">
        <w:rPr>
          <w:rFonts w:asciiTheme="majorBidi" w:hAnsiTheme="majorBidi" w:cstheme="majorBidi"/>
          <w:sz w:val="20"/>
          <w:szCs w:val="20"/>
          <w:lang w:val="en-US"/>
        </w:rPr>
        <w:t xml:space="preserve">assessed to result </w:t>
      </w:r>
      <w:r w:rsidR="00826B3A" w:rsidRPr="007B566C">
        <w:rPr>
          <w:rFonts w:asciiTheme="majorBidi" w:hAnsiTheme="majorBidi" w:cstheme="majorBidi"/>
          <w:sz w:val="20"/>
          <w:szCs w:val="20"/>
          <w:lang w:val="en-US"/>
        </w:rPr>
        <w:t xml:space="preserve">in higher </w:t>
      </w:r>
      <w:r w:rsidR="00445381" w:rsidRPr="007B566C">
        <w:rPr>
          <w:rFonts w:asciiTheme="majorBidi" w:hAnsiTheme="majorBidi" w:cstheme="majorBidi"/>
          <w:sz w:val="20"/>
          <w:szCs w:val="20"/>
          <w:lang w:val="en-US"/>
        </w:rPr>
        <w:t>dividends (</w:t>
      </w:r>
      <w:proofErr w:type="spellStart"/>
      <w:r w:rsidR="00826B3A" w:rsidRPr="007B566C">
        <w:rPr>
          <w:rFonts w:asciiTheme="majorBidi" w:hAnsiTheme="majorBidi" w:cstheme="majorBidi"/>
          <w:sz w:val="20"/>
          <w:szCs w:val="20"/>
          <w:lang w:val="en-US"/>
        </w:rPr>
        <w:t>Faccio</w:t>
      </w:r>
      <w:proofErr w:type="spellEnd"/>
      <w:r w:rsidR="00826B3A" w:rsidRPr="007B566C">
        <w:rPr>
          <w:rFonts w:asciiTheme="majorBidi" w:hAnsiTheme="majorBidi" w:cstheme="majorBidi"/>
          <w:sz w:val="20"/>
          <w:szCs w:val="20"/>
          <w:lang w:val="en-US"/>
        </w:rPr>
        <w:t xml:space="preserve"> et al.</w:t>
      </w:r>
      <w:r w:rsidR="00445381" w:rsidRPr="007B566C">
        <w:rPr>
          <w:rFonts w:asciiTheme="majorBidi" w:hAnsiTheme="majorBidi" w:cstheme="majorBidi"/>
          <w:sz w:val="20"/>
          <w:szCs w:val="20"/>
          <w:lang w:val="en-US"/>
        </w:rPr>
        <w:t xml:space="preserve">, </w:t>
      </w:r>
      <w:r w:rsidR="00826B3A" w:rsidRPr="007B566C">
        <w:rPr>
          <w:rFonts w:asciiTheme="majorBidi" w:hAnsiTheme="majorBidi" w:cstheme="majorBidi"/>
          <w:sz w:val="20"/>
          <w:szCs w:val="20"/>
          <w:lang w:val="en-US"/>
        </w:rPr>
        <w:t>2001)</w:t>
      </w:r>
      <w:r w:rsidR="00445381" w:rsidRPr="007B566C">
        <w:rPr>
          <w:rFonts w:asciiTheme="majorBidi" w:hAnsiTheme="majorBidi" w:cstheme="majorBidi"/>
          <w:sz w:val="20"/>
          <w:szCs w:val="20"/>
          <w:lang w:val="en-US"/>
        </w:rPr>
        <w:t>.</w:t>
      </w:r>
      <w:r w:rsidR="002E2035" w:rsidRPr="007B566C">
        <w:rPr>
          <w:rFonts w:asciiTheme="majorBidi" w:hAnsiTheme="majorBidi" w:cstheme="majorBidi"/>
          <w:sz w:val="20"/>
          <w:szCs w:val="20"/>
          <w:lang w:val="en-US"/>
        </w:rPr>
        <w:t xml:space="preserve"> Similarly, regulation is likely to influence agency costs and to either facilitate or impede reaping out private benefits at the expense of </w:t>
      </w:r>
      <w:r w:rsidR="0052528D" w:rsidRPr="007B566C">
        <w:rPr>
          <w:rFonts w:asciiTheme="majorBidi" w:hAnsiTheme="majorBidi" w:cstheme="majorBidi"/>
          <w:sz w:val="20"/>
          <w:szCs w:val="20"/>
          <w:lang w:val="en-US"/>
        </w:rPr>
        <w:t xml:space="preserve">minority </w:t>
      </w:r>
      <w:r w:rsidR="002E2035" w:rsidRPr="007B566C">
        <w:rPr>
          <w:rFonts w:asciiTheme="majorBidi" w:hAnsiTheme="majorBidi" w:cstheme="majorBidi"/>
          <w:sz w:val="20"/>
          <w:szCs w:val="20"/>
          <w:lang w:val="en-US"/>
        </w:rPr>
        <w:t xml:space="preserve">shareholders (La </w:t>
      </w:r>
      <w:proofErr w:type="spellStart"/>
      <w:r w:rsidR="002E2035" w:rsidRPr="007B566C">
        <w:rPr>
          <w:rFonts w:asciiTheme="majorBidi" w:hAnsiTheme="majorBidi" w:cstheme="majorBidi"/>
          <w:sz w:val="20"/>
          <w:szCs w:val="20"/>
          <w:lang w:val="en-US"/>
        </w:rPr>
        <w:t>Porta</w:t>
      </w:r>
      <w:proofErr w:type="spellEnd"/>
      <w:r w:rsidR="002E2035" w:rsidRPr="007B566C">
        <w:rPr>
          <w:rFonts w:asciiTheme="majorBidi" w:hAnsiTheme="majorBidi" w:cstheme="majorBidi"/>
          <w:sz w:val="20"/>
          <w:szCs w:val="20"/>
          <w:lang w:val="en-US"/>
        </w:rPr>
        <w:t xml:space="preserve"> et al., 1997, 1999, 2000; </w:t>
      </w:r>
      <w:proofErr w:type="spellStart"/>
      <w:r w:rsidR="002E2035" w:rsidRPr="007B566C">
        <w:rPr>
          <w:rFonts w:asciiTheme="majorBidi" w:hAnsiTheme="majorBidi" w:cstheme="majorBidi"/>
          <w:sz w:val="20"/>
          <w:szCs w:val="20"/>
          <w:lang w:val="en-US"/>
        </w:rPr>
        <w:t>Pagano</w:t>
      </w:r>
      <w:proofErr w:type="spellEnd"/>
      <w:r w:rsidR="002E2035" w:rsidRPr="007B566C">
        <w:rPr>
          <w:rFonts w:asciiTheme="majorBidi" w:hAnsiTheme="majorBidi" w:cstheme="majorBidi"/>
          <w:sz w:val="20"/>
          <w:szCs w:val="20"/>
          <w:lang w:val="en-US"/>
        </w:rPr>
        <w:t xml:space="preserve"> and </w:t>
      </w:r>
      <w:proofErr w:type="spellStart"/>
      <w:r w:rsidR="002E2035" w:rsidRPr="007B566C">
        <w:rPr>
          <w:rFonts w:asciiTheme="majorBidi" w:hAnsiTheme="majorBidi" w:cstheme="majorBidi"/>
          <w:sz w:val="20"/>
          <w:szCs w:val="20"/>
          <w:lang w:val="en-US"/>
        </w:rPr>
        <w:t>Rôell</w:t>
      </w:r>
      <w:proofErr w:type="spellEnd"/>
      <w:r w:rsidR="002E2035" w:rsidRPr="007B566C">
        <w:rPr>
          <w:rFonts w:asciiTheme="majorBidi" w:hAnsiTheme="majorBidi" w:cstheme="majorBidi"/>
          <w:sz w:val="20"/>
          <w:szCs w:val="20"/>
          <w:lang w:val="en-US"/>
        </w:rPr>
        <w:t>, 1998; Franks and Mayer, 2001).</w:t>
      </w:r>
      <w:r w:rsidR="000F30CB" w:rsidRPr="007B566C">
        <w:rPr>
          <w:rFonts w:asciiTheme="majorBidi" w:hAnsiTheme="majorBidi" w:cstheme="majorBidi"/>
          <w:sz w:val="20"/>
          <w:szCs w:val="20"/>
          <w:lang w:val="en-US"/>
        </w:rPr>
        <w:t xml:space="preserve"> </w:t>
      </w:r>
      <w:r w:rsidR="00D6798F" w:rsidRPr="007B566C">
        <w:rPr>
          <w:rFonts w:asciiTheme="majorBidi" w:hAnsiTheme="majorBidi" w:cstheme="majorBidi"/>
          <w:sz w:val="20"/>
          <w:szCs w:val="20"/>
          <w:lang w:val="en-US"/>
        </w:rPr>
        <w:t xml:space="preserve">When the </w:t>
      </w:r>
      <w:r w:rsidR="0052528D" w:rsidRPr="007B566C">
        <w:rPr>
          <w:rFonts w:asciiTheme="majorBidi" w:hAnsiTheme="majorBidi" w:cstheme="majorBidi"/>
          <w:sz w:val="20"/>
          <w:szCs w:val="20"/>
          <w:lang w:val="en-US"/>
        </w:rPr>
        <w:t>judicial</w:t>
      </w:r>
      <w:r w:rsidR="00AB1F10" w:rsidRPr="007B566C">
        <w:rPr>
          <w:rFonts w:asciiTheme="majorBidi" w:hAnsiTheme="majorBidi" w:cstheme="majorBidi"/>
          <w:sz w:val="20"/>
          <w:szCs w:val="20"/>
          <w:lang w:val="en-US"/>
        </w:rPr>
        <w:t xml:space="preserve"> system is e</w:t>
      </w:r>
      <w:r w:rsidR="00362CA7" w:rsidRPr="007B566C">
        <w:rPr>
          <w:rFonts w:asciiTheme="majorBidi" w:hAnsiTheme="majorBidi" w:cstheme="majorBidi"/>
          <w:sz w:val="20"/>
          <w:szCs w:val="20"/>
          <w:lang w:val="en-US"/>
        </w:rPr>
        <w:t>ff</w:t>
      </w:r>
      <w:r w:rsidR="0052528D" w:rsidRPr="007B566C">
        <w:rPr>
          <w:rFonts w:asciiTheme="majorBidi" w:hAnsiTheme="majorBidi" w:cstheme="majorBidi"/>
          <w:sz w:val="20"/>
          <w:szCs w:val="20"/>
          <w:lang w:val="en-US"/>
        </w:rPr>
        <w:t xml:space="preserve">ective </w:t>
      </w:r>
      <w:r w:rsidR="00AB1F10" w:rsidRPr="007B566C">
        <w:rPr>
          <w:rFonts w:asciiTheme="majorBidi" w:hAnsiTheme="majorBidi" w:cstheme="majorBidi"/>
          <w:sz w:val="20"/>
          <w:szCs w:val="20"/>
          <w:lang w:val="en-US"/>
        </w:rPr>
        <w:t xml:space="preserve">in preventing exploitation of a control position </w:t>
      </w:r>
      <w:r w:rsidR="00D6798F" w:rsidRPr="007B566C">
        <w:rPr>
          <w:rFonts w:asciiTheme="majorBidi" w:hAnsiTheme="majorBidi" w:cstheme="majorBidi"/>
          <w:sz w:val="20"/>
          <w:szCs w:val="20"/>
          <w:lang w:val="en-US"/>
        </w:rPr>
        <w:t xml:space="preserve">and </w:t>
      </w:r>
      <w:r w:rsidR="0052528D" w:rsidRPr="007B566C">
        <w:rPr>
          <w:rFonts w:asciiTheme="majorBidi" w:hAnsiTheme="majorBidi" w:cstheme="majorBidi"/>
          <w:sz w:val="20"/>
          <w:szCs w:val="20"/>
          <w:lang w:val="en-US"/>
        </w:rPr>
        <w:t xml:space="preserve">that </w:t>
      </w:r>
      <w:r w:rsidR="00D6798F" w:rsidRPr="007B566C">
        <w:rPr>
          <w:rFonts w:asciiTheme="majorBidi" w:hAnsiTheme="majorBidi" w:cstheme="majorBidi"/>
          <w:sz w:val="20"/>
          <w:szCs w:val="20"/>
          <w:lang w:val="en-US"/>
        </w:rPr>
        <w:t xml:space="preserve">legal protection of minority shareholders is strong enough, firms likely </w:t>
      </w:r>
      <w:r w:rsidR="002776D3" w:rsidRPr="007B566C">
        <w:rPr>
          <w:rFonts w:asciiTheme="majorBidi" w:hAnsiTheme="majorBidi" w:cstheme="majorBidi"/>
          <w:sz w:val="20"/>
          <w:szCs w:val="20"/>
          <w:lang w:val="en-US"/>
        </w:rPr>
        <w:t>pay higher dividends</w:t>
      </w:r>
      <w:r w:rsidR="00D6798F" w:rsidRPr="007B566C">
        <w:rPr>
          <w:rFonts w:asciiTheme="majorBidi" w:hAnsiTheme="majorBidi" w:cstheme="majorBidi"/>
          <w:sz w:val="20"/>
          <w:szCs w:val="20"/>
          <w:lang w:val="en-US"/>
        </w:rPr>
        <w:t xml:space="preserve"> (</w:t>
      </w:r>
      <w:proofErr w:type="spellStart"/>
      <w:r w:rsidR="00D6798F" w:rsidRPr="007B566C">
        <w:rPr>
          <w:rFonts w:asciiTheme="majorBidi" w:hAnsiTheme="majorBidi" w:cstheme="majorBidi"/>
          <w:sz w:val="20"/>
          <w:szCs w:val="20"/>
          <w:lang w:val="en-US"/>
        </w:rPr>
        <w:t>Zingales</w:t>
      </w:r>
      <w:proofErr w:type="spellEnd"/>
      <w:r w:rsidR="00D6798F" w:rsidRPr="007B566C">
        <w:rPr>
          <w:rFonts w:asciiTheme="majorBidi" w:hAnsiTheme="majorBidi" w:cstheme="majorBidi"/>
          <w:sz w:val="20"/>
          <w:szCs w:val="20"/>
          <w:lang w:val="en-US"/>
        </w:rPr>
        <w:t xml:space="preserve">, 1994; </w:t>
      </w:r>
      <w:proofErr w:type="spellStart"/>
      <w:r w:rsidR="00D6798F" w:rsidRPr="007B566C">
        <w:rPr>
          <w:rFonts w:asciiTheme="majorBidi" w:hAnsiTheme="majorBidi" w:cstheme="majorBidi"/>
          <w:sz w:val="20"/>
          <w:szCs w:val="20"/>
          <w:lang w:val="en-US"/>
        </w:rPr>
        <w:t>Claessens</w:t>
      </w:r>
      <w:proofErr w:type="spellEnd"/>
      <w:r w:rsidR="00D6798F" w:rsidRPr="007B566C">
        <w:rPr>
          <w:rFonts w:asciiTheme="majorBidi" w:hAnsiTheme="majorBidi" w:cstheme="majorBidi"/>
          <w:sz w:val="20"/>
          <w:szCs w:val="20"/>
          <w:lang w:val="en-US"/>
        </w:rPr>
        <w:t xml:space="preserve"> et al., 1999; </w:t>
      </w:r>
      <w:proofErr w:type="spellStart"/>
      <w:r w:rsidR="002776D3" w:rsidRPr="007B566C">
        <w:rPr>
          <w:rFonts w:asciiTheme="majorBidi" w:hAnsiTheme="majorBidi" w:cstheme="majorBidi"/>
          <w:sz w:val="20"/>
          <w:szCs w:val="20"/>
          <w:lang w:val="en-US"/>
        </w:rPr>
        <w:t>Faccio</w:t>
      </w:r>
      <w:proofErr w:type="spellEnd"/>
      <w:r w:rsidR="002776D3" w:rsidRPr="007B566C">
        <w:rPr>
          <w:rFonts w:asciiTheme="majorBidi" w:hAnsiTheme="majorBidi" w:cstheme="majorBidi"/>
          <w:sz w:val="20"/>
          <w:szCs w:val="20"/>
          <w:lang w:val="en-US"/>
        </w:rPr>
        <w:t xml:space="preserve"> et al.</w:t>
      </w:r>
      <w:r w:rsidR="00D6798F" w:rsidRPr="007B566C">
        <w:rPr>
          <w:rFonts w:asciiTheme="majorBidi" w:hAnsiTheme="majorBidi" w:cstheme="majorBidi"/>
          <w:sz w:val="20"/>
          <w:szCs w:val="20"/>
          <w:lang w:val="en-US"/>
        </w:rPr>
        <w:t>, 2001</w:t>
      </w:r>
      <w:r w:rsidR="002776D3" w:rsidRPr="007B566C">
        <w:rPr>
          <w:rFonts w:asciiTheme="majorBidi" w:hAnsiTheme="majorBidi" w:cstheme="majorBidi"/>
          <w:sz w:val="20"/>
          <w:szCs w:val="20"/>
          <w:lang w:val="en-US"/>
        </w:rPr>
        <w:t>)</w:t>
      </w:r>
      <w:r w:rsidR="00D6798F" w:rsidRPr="007B566C">
        <w:rPr>
          <w:rFonts w:asciiTheme="majorBidi" w:hAnsiTheme="majorBidi" w:cstheme="majorBidi"/>
          <w:sz w:val="20"/>
          <w:szCs w:val="20"/>
          <w:lang w:val="en-US"/>
        </w:rPr>
        <w:t>.</w:t>
      </w:r>
      <w:r w:rsidR="000F30CB" w:rsidRPr="007B566C">
        <w:rPr>
          <w:rFonts w:asciiTheme="majorBidi" w:hAnsiTheme="majorBidi" w:cstheme="majorBidi"/>
          <w:sz w:val="20"/>
          <w:szCs w:val="20"/>
          <w:lang w:val="en-US"/>
        </w:rPr>
        <w:t xml:space="preserve"> Moreover, both f</w:t>
      </w:r>
      <w:r w:rsidR="00362CA7" w:rsidRPr="007B566C">
        <w:rPr>
          <w:rFonts w:asciiTheme="majorBidi" w:hAnsiTheme="majorBidi" w:cstheme="majorBidi"/>
          <w:sz w:val="20"/>
          <w:szCs w:val="20"/>
          <w:lang w:val="en-US"/>
        </w:rPr>
        <w:t xml:space="preserve">inancial constraints </w:t>
      </w:r>
      <w:r w:rsidR="000F30CB" w:rsidRPr="007B566C">
        <w:rPr>
          <w:rFonts w:asciiTheme="majorBidi" w:hAnsiTheme="majorBidi" w:cstheme="majorBidi"/>
          <w:sz w:val="20"/>
          <w:szCs w:val="20"/>
          <w:lang w:val="en-US"/>
        </w:rPr>
        <w:t>and</w:t>
      </w:r>
      <w:r w:rsidR="00362CA7" w:rsidRPr="007B566C">
        <w:rPr>
          <w:rFonts w:asciiTheme="majorBidi" w:hAnsiTheme="majorBidi" w:cstheme="majorBidi"/>
          <w:sz w:val="20"/>
          <w:szCs w:val="20"/>
          <w:lang w:val="en-US"/>
        </w:rPr>
        <w:t xml:space="preserve"> pecking order e</w:t>
      </w:r>
      <w:r w:rsidR="000F30CB" w:rsidRPr="007B566C">
        <w:rPr>
          <w:rFonts w:asciiTheme="majorBidi" w:hAnsiTheme="majorBidi" w:cstheme="majorBidi"/>
          <w:sz w:val="20"/>
          <w:szCs w:val="20"/>
          <w:lang w:val="en-US"/>
        </w:rPr>
        <w:t>ff</w:t>
      </w:r>
      <w:r w:rsidR="00362CA7" w:rsidRPr="007B566C">
        <w:rPr>
          <w:rFonts w:asciiTheme="majorBidi" w:hAnsiTheme="majorBidi" w:cstheme="majorBidi"/>
          <w:sz w:val="20"/>
          <w:szCs w:val="20"/>
          <w:lang w:val="en-US"/>
        </w:rPr>
        <w:t>ects may</w:t>
      </w:r>
      <w:r w:rsidR="000F30CB" w:rsidRPr="007B566C">
        <w:rPr>
          <w:rFonts w:asciiTheme="majorBidi" w:hAnsiTheme="majorBidi" w:cstheme="majorBidi"/>
          <w:sz w:val="20"/>
          <w:szCs w:val="20"/>
          <w:lang w:val="en-US"/>
        </w:rPr>
        <w:t xml:space="preserve"> affect the dividend policy, and consequently the above inferences about the relationship between private benefits and dividends. For instance, firms tend to payout lower dividends when they are financially constrained or their cost of external capital is greatly rising </w:t>
      </w:r>
      <w:r w:rsidR="00B779EF" w:rsidRPr="007B566C">
        <w:rPr>
          <w:rFonts w:asciiTheme="majorBidi" w:hAnsiTheme="majorBidi" w:cstheme="majorBidi"/>
          <w:sz w:val="20"/>
          <w:szCs w:val="20"/>
          <w:lang w:val="en-US"/>
        </w:rPr>
        <w:t xml:space="preserve">due to high </w:t>
      </w:r>
      <w:r w:rsidR="00362CA7" w:rsidRPr="007B566C">
        <w:rPr>
          <w:rFonts w:asciiTheme="majorBidi" w:hAnsiTheme="majorBidi" w:cstheme="majorBidi"/>
          <w:sz w:val="20"/>
          <w:szCs w:val="20"/>
          <w:lang w:val="en-US"/>
        </w:rPr>
        <w:t>asymmetry of information</w:t>
      </w:r>
      <w:r w:rsidR="00B779EF" w:rsidRPr="007B566C">
        <w:rPr>
          <w:rFonts w:asciiTheme="majorBidi" w:hAnsiTheme="majorBidi" w:cstheme="majorBidi"/>
          <w:sz w:val="20"/>
          <w:szCs w:val="20"/>
          <w:lang w:val="en-US"/>
        </w:rPr>
        <w:t>.</w:t>
      </w:r>
      <w:r w:rsidR="00001552" w:rsidRPr="007B566C">
        <w:rPr>
          <w:rFonts w:asciiTheme="majorBidi" w:hAnsiTheme="majorBidi" w:cstheme="majorBidi"/>
          <w:sz w:val="20"/>
          <w:szCs w:val="20"/>
          <w:lang w:val="en-US"/>
        </w:rPr>
        <w:t xml:space="preserve"> Firms can even omit dividends to meet the improvement of th</w:t>
      </w:r>
      <w:r w:rsidR="0035383A" w:rsidRPr="007B566C">
        <w:rPr>
          <w:rFonts w:asciiTheme="majorBidi" w:hAnsiTheme="majorBidi" w:cstheme="majorBidi"/>
          <w:sz w:val="20"/>
          <w:szCs w:val="20"/>
          <w:lang w:val="en-US"/>
        </w:rPr>
        <w:t>e</w:t>
      </w:r>
      <w:r w:rsidR="00001552" w:rsidRPr="007B566C">
        <w:rPr>
          <w:rFonts w:asciiTheme="majorBidi" w:hAnsiTheme="majorBidi" w:cstheme="majorBidi"/>
          <w:sz w:val="20"/>
          <w:szCs w:val="20"/>
          <w:lang w:val="en-US"/>
        </w:rPr>
        <w:t>ir growth opportunities</w:t>
      </w:r>
      <w:r w:rsidR="0035383A" w:rsidRPr="007B566C">
        <w:rPr>
          <w:rFonts w:asciiTheme="majorBidi" w:hAnsiTheme="majorBidi" w:cstheme="majorBidi"/>
          <w:sz w:val="20"/>
          <w:szCs w:val="20"/>
          <w:lang w:val="en-US"/>
        </w:rPr>
        <w:t xml:space="preserve"> and</w:t>
      </w:r>
      <w:r w:rsidR="009E73AA">
        <w:rPr>
          <w:rFonts w:asciiTheme="majorBidi" w:hAnsiTheme="majorBidi" w:cstheme="majorBidi"/>
          <w:sz w:val="20"/>
          <w:szCs w:val="20"/>
          <w:lang w:val="en-US"/>
        </w:rPr>
        <w:t>,</w:t>
      </w:r>
      <w:r w:rsidR="0035383A" w:rsidRPr="007B566C">
        <w:rPr>
          <w:rFonts w:asciiTheme="majorBidi" w:hAnsiTheme="majorBidi" w:cstheme="majorBidi"/>
          <w:sz w:val="20"/>
          <w:szCs w:val="20"/>
          <w:lang w:val="en-US"/>
        </w:rPr>
        <w:t xml:space="preserve"> hence</w:t>
      </w:r>
      <w:r w:rsidR="009E73AA">
        <w:rPr>
          <w:rFonts w:asciiTheme="majorBidi" w:hAnsiTheme="majorBidi" w:cstheme="majorBidi"/>
          <w:sz w:val="20"/>
          <w:szCs w:val="20"/>
          <w:lang w:val="en-US"/>
        </w:rPr>
        <w:t xml:space="preserve">, </w:t>
      </w:r>
      <w:r w:rsidR="009E73AA" w:rsidRPr="007B566C">
        <w:rPr>
          <w:rFonts w:asciiTheme="majorBidi" w:hAnsiTheme="majorBidi" w:cstheme="majorBidi"/>
          <w:sz w:val="20"/>
          <w:szCs w:val="20"/>
          <w:lang w:val="en-US"/>
        </w:rPr>
        <w:t>to lessen</w:t>
      </w:r>
      <w:r w:rsidR="0035383A" w:rsidRPr="007B566C">
        <w:rPr>
          <w:rFonts w:asciiTheme="majorBidi" w:hAnsiTheme="majorBidi" w:cstheme="majorBidi"/>
          <w:sz w:val="20"/>
          <w:szCs w:val="20"/>
          <w:lang w:val="en-US"/>
        </w:rPr>
        <w:t xml:space="preserve"> the need for future </w:t>
      </w:r>
      <w:r w:rsidR="009E73AA">
        <w:rPr>
          <w:rFonts w:asciiTheme="majorBidi" w:hAnsiTheme="majorBidi" w:cstheme="majorBidi"/>
          <w:sz w:val="20"/>
          <w:szCs w:val="20"/>
          <w:lang w:val="en-US"/>
        </w:rPr>
        <w:t xml:space="preserve">external </w:t>
      </w:r>
      <w:r w:rsidR="0035383A" w:rsidRPr="007B566C">
        <w:rPr>
          <w:rFonts w:asciiTheme="majorBidi" w:hAnsiTheme="majorBidi" w:cstheme="majorBidi"/>
          <w:sz w:val="20"/>
          <w:szCs w:val="20"/>
          <w:lang w:val="en-US"/>
        </w:rPr>
        <w:t xml:space="preserve">funding that may decrease the firm value (Myers and </w:t>
      </w:r>
      <w:proofErr w:type="spellStart"/>
      <w:r w:rsidR="0035383A" w:rsidRPr="007B566C">
        <w:rPr>
          <w:rFonts w:asciiTheme="majorBidi" w:hAnsiTheme="majorBidi" w:cstheme="majorBidi"/>
          <w:sz w:val="20"/>
          <w:szCs w:val="20"/>
          <w:lang w:val="en-US"/>
        </w:rPr>
        <w:t>Majluf</w:t>
      </w:r>
      <w:proofErr w:type="spellEnd"/>
      <w:r w:rsidR="0035383A" w:rsidRPr="007B566C">
        <w:rPr>
          <w:rFonts w:asciiTheme="majorBidi" w:hAnsiTheme="majorBidi" w:cstheme="majorBidi"/>
          <w:sz w:val="20"/>
          <w:szCs w:val="20"/>
          <w:lang w:val="en-US"/>
        </w:rPr>
        <w:t>, 1984).</w:t>
      </w:r>
    </w:p>
    <w:p w:rsidR="00D83590" w:rsidRPr="007B566C" w:rsidRDefault="00D83590" w:rsidP="007B566C">
      <w:pPr>
        <w:pStyle w:val="ListParagraph"/>
        <w:widowControl w:val="0"/>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0"/>
          <w:szCs w:val="20"/>
          <w:lang w:val="en-US"/>
        </w:rPr>
      </w:pPr>
    </w:p>
    <w:p w:rsidR="00D83590" w:rsidRPr="007B566C" w:rsidRDefault="00D83590" w:rsidP="009E73AA">
      <w:pPr>
        <w:pStyle w:val="ListParagraph"/>
        <w:widowControl w:val="0"/>
        <w:numPr>
          <w:ilvl w:val="1"/>
          <w:numId w:val="1"/>
        </w:numPr>
        <w:autoSpaceDE w:val="0"/>
        <w:autoSpaceDN w:val="0"/>
        <w:adjustRightInd w:val="0"/>
        <w:spacing w:after="0" w:line="240" w:lineRule="auto"/>
        <w:ind w:left="720" w:hanging="720"/>
        <w:jc w:val="both"/>
        <w:rPr>
          <w:rFonts w:ascii="Times New Roman" w:hAnsi="Times New Roman" w:cs="Times New Roman"/>
          <w:b/>
          <w:bCs/>
          <w:color w:val="000000" w:themeColor="text1"/>
          <w:sz w:val="20"/>
          <w:szCs w:val="20"/>
          <w:lang w:val="en-US"/>
        </w:rPr>
      </w:pPr>
      <w:r w:rsidRPr="007B566C">
        <w:rPr>
          <w:rFonts w:ascii="Times New Roman" w:hAnsi="Times New Roman" w:cs="Times New Roman"/>
          <w:b/>
          <w:bCs/>
          <w:color w:val="000000" w:themeColor="text1"/>
          <w:sz w:val="20"/>
          <w:szCs w:val="20"/>
          <w:lang w:val="en-US"/>
        </w:rPr>
        <w:t xml:space="preserve">On the influence of dividends on rent </w:t>
      </w:r>
      <w:r w:rsidR="009E73AA">
        <w:rPr>
          <w:rFonts w:ascii="Times New Roman" w:hAnsi="Times New Roman" w:cs="Times New Roman"/>
          <w:b/>
          <w:bCs/>
          <w:color w:val="000000" w:themeColor="text1"/>
          <w:sz w:val="20"/>
          <w:szCs w:val="20"/>
          <w:lang w:val="en-US"/>
        </w:rPr>
        <w:t>expropria</w:t>
      </w:r>
      <w:r w:rsidRPr="007B566C">
        <w:rPr>
          <w:rFonts w:ascii="Times New Roman" w:hAnsi="Times New Roman" w:cs="Times New Roman"/>
          <w:b/>
          <w:bCs/>
          <w:color w:val="000000" w:themeColor="text1"/>
          <w:sz w:val="20"/>
          <w:szCs w:val="20"/>
          <w:lang w:val="en-US"/>
        </w:rPr>
        <w:t>tion</w:t>
      </w:r>
    </w:p>
    <w:p w:rsidR="00AE50B6" w:rsidRPr="007B566C" w:rsidRDefault="00D83590" w:rsidP="007B566C">
      <w:pPr>
        <w:autoSpaceDE w:val="0"/>
        <w:autoSpaceDN w:val="0"/>
        <w:adjustRightInd w:val="0"/>
        <w:spacing w:after="0" w:line="240" w:lineRule="auto"/>
        <w:jc w:val="both"/>
        <w:rPr>
          <w:rFonts w:asciiTheme="majorBidi" w:hAnsiTheme="majorBidi" w:cstheme="majorBidi"/>
          <w:sz w:val="20"/>
          <w:szCs w:val="20"/>
          <w:lang w:val="en-US"/>
        </w:rPr>
      </w:pPr>
      <w:r w:rsidRPr="007B566C">
        <w:rPr>
          <w:rFonts w:ascii="TimesNewRomanPSMT" w:hAnsi="TimesNewRomanPSMT"/>
          <w:color w:val="000000"/>
          <w:sz w:val="20"/>
          <w:szCs w:val="20"/>
          <w:lang w:val="en-US"/>
        </w:rPr>
        <w:br/>
      </w:r>
      <w:r w:rsidR="00AE50B6" w:rsidRPr="007B566C">
        <w:rPr>
          <w:rFonts w:asciiTheme="majorBidi" w:hAnsiTheme="majorBidi" w:cstheme="majorBidi"/>
          <w:sz w:val="20"/>
          <w:szCs w:val="20"/>
          <w:lang w:val="en-US"/>
        </w:rPr>
        <w:t xml:space="preserve">Shared benefits, namely dividends, are argued to mitigate the expropriation problem of controlling shareholders at </w:t>
      </w:r>
      <w:r w:rsidR="00AE50B6" w:rsidRPr="007B566C">
        <w:rPr>
          <w:rFonts w:asciiTheme="majorBidi" w:hAnsiTheme="majorBidi" w:cstheme="majorBidi"/>
          <w:sz w:val="20"/>
          <w:szCs w:val="20"/>
          <w:lang w:val="en-US"/>
        </w:rPr>
        <w:lastRenderedPageBreak/>
        <w:t>the expense of small investors. But the very opposite argument also holds true.</w:t>
      </w:r>
      <w:r w:rsidR="00EA6FA1" w:rsidRPr="007B566C">
        <w:rPr>
          <w:rFonts w:asciiTheme="majorBidi" w:hAnsiTheme="majorBidi" w:cstheme="majorBidi"/>
          <w:sz w:val="20"/>
          <w:szCs w:val="20"/>
          <w:lang w:val="en-US"/>
        </w:rPr>
        <w:t xml:space="preserve"> Distributing higher dividends may lead to either more or less relevant private benefits of control.</w:t>
      </w:r>
    </w:p>
    <w:p w:rsidR="00962ED5" w:rsidRPr="007B566C" w:rsidRDefault="00962ED5" w:rsidP="007B566C">
      <w:pPr>
        <w:autoSpaceDE w:val="0"/>
        <w:autoSpaceDN w:val="0"/>
        <w:adjustRightInd w:val="0"/>
        <w:spacing w:after="0" w:line="240" w:lineRule="auto"/>
        <w:jc w:val="both"/>
        <w:rPr>
          <w:rFonts w:asciiTheme="majorBidi" w:hAnsiTheme="majorBidi" w:cstheme="majorBidi"/>
          <w:sz w:val="20"/>
          <w:szCs w:val="20"/>
          <w:lang w:val="en-US"/>
        </w:rPr>
      </w:pPr>
    </w:p>
    <w:p w:rsidR="00E64D82" w:rsidRPr="007B566C" w:rsidRDefault="00962ED5" w:rsidP="002C53E9">
      <w:pPr>
        <w:widowControl w:val="0"/>
        <w:autoSpaceDE w:val="0"/>
        <w:autoSpaceDN w:val="0"/>
        <w:adjustRightInd w:val="0"/>
        <w:spacing w:after="0" w:line="240" w:lineRule="auto"/>
        <w:ind w:firstLine="709"/>
        <w:jc w:val="both"/>
        <w:rPr>
          <w:rFonts w:asciiTheme="majorBidi" w:hAnsiTheme="majorBidi" w:cstheme="majorBidi"/>
          <w:color w:val="000000"/>
          <w:sz w:val="20"/>
          <w:szCs w:val="20"/>
          <w:lang w:val="en-US"/>
        </w:rPr>
      </w:pPr>
      <w:r w:rsidRPr="007B566C">
        <w:rPr>
          <w:rFonts w:asciiTheme="majorBidi" w:hAnsiTheme="majorBidi" w:cstheme="majorBidi"/>
          <w:sz w:val="20"/>
          <w:szCs w:val="20"/>
          <w:lang w:val="en-US"/>
        </w:rPr>
        <w:t xml:space="preserve">On one hand, </w:t>
      </w:r>
      <w:r w:rsidR="009C0944" w:rsidRPr="007B566C">
        <w:rPr>
          <w:rFonts w:asciiTheme="majorBidi" w:hAnsiTheme="majorBidi" w:cstheme="majorBidi"/>
          <w:sz w:val="20"/>
          <w:szCs w:val="20"/>
          <w:lang w:val="en-US"/>
        </w:rPr>
        <w:t xml:space="preserve">the </w:t>
      </w:r>
      <w:r w:rsidR="002C39B5" w:rsidRPr="007B566C">
        <w:rPr>
          <w:rFonts w:asciiTheme="majorBidi" w:hAnsiTheme="majorBidi" w:cstheme="majorBidi"/>
          <w:sz w:val="20"/>
          <w:szCs w:val="20"/>
          <w:lang w:val="en-US"/>
        </w:rPr>
        <w:t xml:space="preserve">free cash flow hypothesis </w:t>
      </w:r>
      <w:r w:rsidRPr="007B566C">
        <w:rPr>
          <w:rFonts w:asciiTheme="majorBidi" w:hAnsiTheme="majorBidi" w:cstheme="majorBidi"/>
          <w:sz w:val="20"/>
          <w:szCs w:val="20"/>
          <w:lang w:val="en-US"/>
        </w:rPr>
        <w:t>advocate</w:t>
      </w:r>
      <w:r w:rsidR="002C39B5" w:rsidRPr="007B566C">
        <w:rPr>
          <w:rFonts w:asciiTheme="majorBidi" w:hAnsiTheme="majorBidi" w:cstheme="majorBidi"/>
          <w:sz w:val="20"/>
          <w:szCs w:val="20"/>
          <w:lang w:val="en-US"/>
        </w:rPr>
        <w:t>s that dividends represent</w:t>
      </w:r>
      <w:r w:rsidRPr="007B566C">
        <w:rPr>
          <w:rFonts w:asciiTheme="majorBidi" w:hAnsiTheme="majorBidi" w:cstheme="majorBidi"/>
          <w:sz w:val="20"/>
          <w:szCs w:val="20"/>
          <w:lang w:val="en-US"/>
        </w:rPr>
        <w:t xml:space="preserve"> an ideal device to reduce free cash flow available to managers; what ultimately contributes to enhance financial discipline and corporate governance (</w:t>
      </w:r>
      <w:proofErr w:type="spellStart"/>
      <w:r w:rsidRPr="007B566C">
        <w:rPr>
          <w:rFonts w:asciiTheme="majorBidi" w:hAnsiTheme="majorBidi" w:cstheme="majorBidi"/>
          <w:sz w:val="20"/>
          <w:szCs w:val="20"/>
          <w:lang w:val="en-US"/>
        </w:rPr>
        <w:t>Rozeff</w:t>
      </w:r>
      <w:proofErr w:type="spellEnd"/>
      <w:r w:rsidRPr="007B566C">
        <w:rPr>
          <w:rFonts w:asciiTheme="majorBidi" w:hAnsiTheme="majorBidi" w:cstheme="majorBidi"/>
          <w:sz w:val="20"/>
          <w:szCs w:val="20"/>
          <w:lang w:val="en-US"/>
        </w:rPr>
        <w:t xml:space="preserve">, 1982; Easterbrook, 1984; Jensen, 1986). There is a large bulk of empirical evidence based on the seminal work of Jensen and </w:t>
      </w:r>
      <w:proofErr w:type="spellStart"/>
      <w:r w:rsidRPr="007B566C">
        <w:rPr>
          <w:rFonts w:asciiTheme="majorBidi" w:hAnsiTheme="majorBidi" w:cstheme="majorBidi"/>
          <w:sz w:val="20"/>
          <w:szCs w:val="20"/>
          <w:lang w:val="en-US"/>
        </w:rPr>
        <w:t>Meckling</w:t>
      </w:r>
      <w:proofErr w:type="spellEnd"/>
      <w:r w:rsidRPr="007B566C">
        <w:rPr>
          <w:rFonts w:asciiTheme="majorBidi" w:hAnsiTheme="majorBidi" w:cstheme="majorBidi"/>
          <w:sz w:val="20"/>
          <w:szCs w:val="20"/>
          <w:lang w:val="en-US"/>
        </w:rPr>
        <w:t xml:space="preserve"> (1976) that reports agency cost explanations for changes in dividends. </w:t>
      </w:r>
      <w:r w:rsidR="00E64D82" w:rsidRPr="007B566C">
        <w:rPr>
          <w:rFonts w:asciiTheme="majorBidi" w:hAnsiTheme="majorBidi" w:cstheme="majorBidi"/>
          <w:sz w:val="20"/>
          <w:szCs w:val="20"/>
          <w:lang w:val="en-US"/>
        </w:rPr>
        <w:t xml:space="preserve">Accordingly, an increase in dividends </w:t>
      </w:r>
      <w:r w:rsidR="00B51626" w:rsidRPr="007B566C">
        <w:rPr>
          <w:rFonts w:asciiTheme="majorBidi" w:hAnsiTheme="majorBidi" w:cstheme="majorBidi"/>
          <w:sz w:val="20"/>
          <w:szCs w:val="20"/>
          <w:lang w:val="en-US"/>
        </w:rPr>
        <w:t>may</w:t>
      </w:r>
      <w:r w:rsidR="00E64D82" w:rsidRPr="007B566C">
        <w:rPr>
          <w:rFonts w:asciiTheme="majorBidi" w:hAnsiTheme="majorBidi" w:cstheme="majorBidi"/>
          <w:sz w:val="20"/>
          <w:szCs w:val="20"/>
          <w:lang w:val="en-US"/>
        </w:rPr>
        <w:t xml:space="preserve"> reduce the discretionary funds on the hands of the controlling owner</w:t>
      </w:r>
      <w:r w:rsidR="00E64D82" w:rsidRPr="007B566C">
        <w:rPr>
          <w:rFonts w:asciiTheme="majorBidi" w:hAnsiTheme="majorBidi" w:cstheme="majorBidi"/>
          <w:color w:val="000000"/>
          <w:sz w:val="20"/>
          <w:szCs w:val="20"/>
          <w:lang w:val="en-US"/>
        </w:rPr>
        <w:t xml:space="preserve"> that he can potentially expropriate</w:t>
      </w:r>
      <w:r w:rsidR="00B51626" w:rsidRPr="007B566C">
        <w:rPr>
          <w:rFonts w:asciiTheme="majorBidi" w:hAnsiTheme="majorBidi" w:cstheme="majorBidi"/>
          <w:color w:val="000000"/>
          <w:sz w:val="20"/>
          <w:szCs w:val="20"/>
          <w:lang w:val="en-US"/>
        </w:rPr>
        <w:t xml:space="preserve">. </w:t>
      </w:r>
      <w:r w:rsidR="0013056F" w:rsidRPr="007B566C">
        <w:rPr>
          <w:rFonts w:asciiTheme="majorBidi" w:hAnsiTheme="majorBidi" w:cstheme="majorBidi"/>
          <w:color w:val="000000"/>
          <w:sz w:val="20"/>
          <w:szCs w:val="20"/>
          <w:lang w:val="en-US"/>
        </w:rPr>
        <w:t>By</w:t>
      </w:r>
      <w:r w:rsidR="00B51626" w:rsidRPr="007B566C">
        <w:rPr>
          <w:rFonts w:asciiTheme="majorBidi" w:hAnsiTheme="majorBidi" w:cstheme="majorBidi"/>
          <w:color w:val="000000"/>
          <w:sz w:val="20"/>
          <w:szCs w:val="20"/>
          <w:lang w:val="en-US"/>
        </w:rPr>
        <w:t xml:space="preserve"> contrast, </w:t>
      </w:r>
      <w:r w:rsidR="002C53E9">
        <w:rPr>
          <w:rFonts w:asciiTheme="majorBidi" w:hAnsiTheme="majorBidi" w:cstheme="majorBidi"/>
          <w:color w:val="000000"/>
          <w:sz w:val="20"/>
          <w:szCs w:val="20"/>
          <w:lang w:val="en-US"/>
        </w:rPr>
        <w:t xml:space="preserve">distributing fewer </w:t>
      </w:r>
      <w:r w:rsidR="00B51626" w:rsidRPr="007B566C">
        <w:rPr>
          <w:rFonts w:asciiTheme="majorBidi" w:hAnsiTheme="majorBidi" w:cstheme="majorBidi"/>
          <w:color w:val="000000"/>
          <w:sz w:val="20"/>
          <w:szCs w:val="20"/>
          <w:lang w:val="en-US"/>
        </w:rPr>
        <w:t xml:space="preserve">dividends </w:t>
      </w:r>
      <w:r w:rsidR="002C53E9">
        <w:rPr>
          <w:rFonts w:asciiTheme="majorBidi" w:hAnsiTheme="majorBidi" w:cstheme="majorBidi"/>
          <w:color w:val="000000"/>
          <w:sz w:val="20"/>
          <w:szCs w:val="20"/>
          <w:lang w:val="en-US"/>
        </w:rPr>
        <w:t xml:space="preserve">would likely </w:t>
      </w:r>
      <w:r w:rsidR="002C53E9" w:rsidRPr="007B566C">
        <w:rPr>
          <w:rFonts w:asciiTheme="majorBidi" w:hAnsiTheme="majorBidi" w:cstheme="majorBidi"/>
          <w:color w:val="000000"/>
          <w:sz w:val="20"/>
          <w:szCs w:val="20"/>
          <w:lang w:val="en-US"/>
        </w:rPr>
        <w:t>leav</w:t>
      </w:r>
      <w:r w:rsidR="002C53E9">
        <w:rPr>
          <w:rFonts w:asciiTheme="majorBidi" w:hAnsiTheme="majorBidi" w:cstheme="majorBidi"/>
          <w:color w:val="000000"/>
          <w:sz w:val="20"/>
          <w:szCs w:val="20"/>
          <w:lang w:val="en-US"/>
        </w:rPr>
        <w:t>e</w:t>
      </w:r>
      <w:r w:rsidR="002C53E9" w:rsidRPr="007B566C">
        <w:rPr>
          <w:rFonts w:asciiTheme="majorBidi" w:hAnsiTheme="majorBidi" w:cstheme="majorBidi"/>
          <w:color w:val="000000"/>
          <w:sz w:val="20"/>
          <w:szCs w:val="20"/>
          <w:lang w:val="en-US"/>
        </w:rPr>
        <w:t xml:space="preserve"> more money at the discretionary use of the dominant blockholders</w:t>
      </w:r>
      <w:r w:rsidR="002C53E9">
        <w:rPr>
          <w:rFonts w:asciiTheme="majorBidi" w:hAnsiTheme="majorBidi" w:cstheme="majorBidi"/>
          <w:color w:val="000000"/>
          <w:sz w:val="20"/>
          <w:szCs w:val="20"/>
          <w:lang w:val="en-US"/>
        </w:rPr>
        <w:t>, and hence a more serious issue of rent</w:t>
      </w:r>
      <w:r w:rsidR="002C53E9" w:rsidRPr="007B566C">
        <w:rPr>
          <w:rFonts w:asciiTheme="majorBidi" w:hAnsiTheme="majorBidi" w:cstheme="majorBidi"/>
          <w:color w:val="000000"/>
          <w:sz w:val="20"/>
          <w:szCs w:val="20"/>
          <w:lang w:val="en-US"/>
        </w:rPr>
        <w:t xml:space="preserve"> expropriation</w:t>
      </w:r>
      <w:r w:rsidR="002C53E9">
        <w:rPr>
          <w:rFonts w:asciiTheme="majorBidi" w:hAnsiTheme="majorBidi" w:cstheme="majorBidi"/>
          <w:color w:val="000000"/>
          <w:sz w:val="20"/>
          <w:szCs w:val="20"/>
          <w:lang w:val="en-US"/>
        </w:rPr>
        <w:t xml:space="preserve">. </w:t>
      </w:r>
      <w:r w:rsidR="00E64D82" w:rsidRPr="007B566C">
        <w:rPr>
          <w:rFonts w:asciiTheme="majorBidi" w:hAnsiTheme="majorBidi" w:cstheme="majorBidi"/>
          <w:color w:val="000000"/>
          <w:sz w:val="20"/>
          <w:szCs w:val="20"/>
          <w:lang w:val="en-US"/>
        </w:rPr>
        <w:t xml:space="preserve">Dividends are in fact believed to remove the corporate wealth from insider control (La </w:t>
      </w:r>
      <w:proofErr w:type="spellStart"/>
      <w:r w:rsidR="00E64D82" w:rsidRPr="007B566C">
        <w:rPr>
          <w:rFonts w:asciiTheme="majorBidi" w:hAnsiTheme="majorBidi" w:cstheme="majorBidi"/>
          <w:color w:val="000000"/>
          <w:sz w:val="20"/>
          <w:szCs w:val="20"/>
          <w:lang w:val="en-US"/>
        </w:rPr>
        <w:t>Porta</w:t>
      </w:r>
      <w:proofErr w:type="spellEnd"/>
      <w:r w:rsidR="00E64D82" w:rsidRPr="007B566C">
        <w:rPr>
          <w:rFonts w:asciiTheme="majorBidi" w:hAnsiTheme="majorBidi" w:cstheme="majorBidi"/>
          <w:color w:val="000000"/>
          <w:sz w:val="20"/>
          <w:szCs w:val="20"/>
          <w:lang w:val="en-US"/>
        </w:rPr>
        <w:t xml:space="preserve"> et al.,</w:t>
      </w:r>
      <w:r w:rsidR="004C1D62">
        <w:rPr>
          <w:rFonts w:asciiTheme="majorBidi" w:hAnsiTheme="majorBidi" w:cstheme="majorBidi"/>
          <w:color w:val="000000"/>
          <w:sz w:val="20"/>
          <w:szCs w:val="20"/>
          <w:lang w:val="en-US"/>
        </w:rPr>
        <w:t xml:space="preserve"> </w:t>
      </w:r>
      <w:r w:rsidR="00E64D82" w:rsidRPr="007B566C">
        <w:rPr>
          <w:rFonts w:asciiTheme="majorBidi" w:hAnsiTheme="majorBidi" w:cstheme="majorBidi"/>
          <w:color w:val="000000"/>
          <w:sz w:val="20"/>
          <w:szCs w:val="20"/>
          <w:lang w:val="en-US"/>
        </w:rPr>
        <w:t xml:space="preserve">2000). </w:t>
      </w:r>
      <w:r w:rsidR="00E64D82" w:rsidRPr="007B566C">
        <w:rPr>
          <w:rFonts w:asciiTheme="majorBidi" w:hAnsiTheme="majorBidi" w:cstheme="majorBidi"/>
          <w:sz w:val="20"/>
          <w:szCs w:val="20"/>
          <w:lang w:val="en-US"/>
        </w:rPr>
        <w:t xml:space="preserve">Therefore, dividends are argued to play a significant role in </w:t>
      </w:r>
      <w:r w:rsidR="00E64D82" w:rsidRPr="007B566C">
        <w:rPr>
          <w:rFonts w:asciiTheme="majorBidi" w:hAnsiTheme="majorBidi" w:cstheme="majorBidi"/>
          <w:color w:val="000000"/>
          <w:sz w:val="20"/>
          <w:szCs w:val="20"/>
          <w:lang w:val="en-US"/>
        </w:rPr>
        <w:t xml:space="preserve">limiting rent extraction </w:t>
      </w:r>
      <w:r w:rsidR="002C53E9">
        <w:rPr>
          <w:rFonts w:asciiTheme="majorBidi" w:hAnsiTheme="majorBidi" w:cstheme="majorBidi"/>
          <w:color w:val="000000"/>
          <w:sz w:val="20"/>
          <w:szCs w:val="20"/>
          <w:lang w:val="en-US"/>
        </w:rPr>
        <w:t xml:space="preserve">and expropriation </w:t>
      </w:r>
      <w:r w:rsidR="00E64D82" w:rsidRPr="007B566C">
        <w:rPr>
          <w:rFonts w:asciiTheme="majorBidi" w:hAnsiTheme="majorBidi" w:cstheme="majorBidi"/>
          <w:color w:val="000000"/>
          <w:sz w:val="20"/>
          <w:szCs w:val="20"/>
          <w:lang w:val="en-US"/>
        </w:rPr>
        <w:t xml:space="preserve">of minority shareholders. </w:t>
      </w:r>
      <w:r w:rsidR="00B51626" w:rsidRPr="007B566C">
        <w:rPr>
          <w:rFonts w:asciiTheme="majorBidi" w:hAnsiTheme="majorBidi" w:cstheme="majorBidi"/>
          <w:color w:val="000000"/>
          <w:sz w:val="20"/>
          <w:szCs w:val="20"/>
          <w:lang w:val="en-US"/>
        </w:rPr>
        <w:t>That is higher dividends are expected to be associated with lower private benefits of control.</w:t>
      </w:r>
    </w:p>
    <w:p w:rsidR="009C0944" w:rsidRDefault="009C0944" w:rsidP="007B566C">
      <w:pPr>
        <w:widowControl w:val="0"/>
        <w:autoSpaceDE w:val="0"/>
        <w:autoSpaceDN w:val="0"/>
        <w:adjustRightInd w:val="0"/>
        <w:spacing w:after="0" w:line="240" w:lineRule="auto"/>
        <w:ind w:firstLine="709"/>
        <w:jc w:val="both"/>
        <w:rPr>
          <w:rFonts w:asciiTheme="majorBidi" w:hAnsiTheme="majorBidi" w:cstheme="majorBidi"/>
          <w:color w:val="000000"/>
          <w:sz w:val="20"/>
          <w:szCs w:val="20"/>
          <w:lang w:val="en-US"/>
        </w:rPr>
      </w:pPr>
    </w:p>
    <w:p w:rsidR="00D83590" w:rsidRPr="007B566C" w:rsidRDefault="009C0944" w:rsidP="006E7B63">
      <w:pPr>
        <w:widowControl w:val="0"/>
        <w:autoSpaceDE w:val="0"/>
        <w:autoSpaceDN w:val="0"/>
        <w:adjustRightInd w:val="0"/>
        <w:spacing w:after="0" w:line="240" w:lineRule="auto"/>
        <w:ind w:firstLine="709"/>
        <w:jc w:val="both"/>
        <w:rPr>
          <w:rFonts w:ascii="TimesNewRomanPSMT" w:hAnsi="TimesNewRomanPSMT"/>
          <w:color w:val="000000"/>
          <w:sz w:val="20"/>
          <w:szCs w:val="20"/>
          <w:lang w:val="en-US"/>
        </w:rPr>
      </w:pPr>
      <w:r w:rsidRPr="007B566C">
        <w:rPr>
          <w:rFonts w:asciiTheme="majorBidi" w:hAnsiTheme="majorBidi" w:cstheme="majorBidi"/>
          <w:color w:val="000000"/>
          <w:sz w:val="20"/>
          <w:szCs w:val="20"/>
          <w:lang w:val="en-US"/>
        </w:rPr>
        <w:t xml:space="preserve">On the other hand, </w:t>
      </w:r>
      <w:r w:rsidR="0013056F" w:rsidRPr="007B566C">
        <w:rPr>
          <w:rFonts w:asciiTheme="majorBidi" w:hAnsiTheme="majorBidi" w:cstheme="majorBidi"/>
          <w:color w:val="000000"/>
          <w:sz w:val="20"/>
          <w:szCs w:val="20"/>
          <w:lang w:val="en-US"/>
        </w:rPr>
        <w:t>l</w:t>
      </w:r>
      <w:r w:rsidR="0013056F" w:rsidRPr="007B566C">
        <w:rPr>
          <w:rFonts w:asciiTheme="majorBidi" w:hAnsiTheme="majorBidi" w:cstheme="majorBidi"/>
          <w:sz w:val="20"/>
          <w:szCs w:val="20"/>
          <w:lang w:val="en-US"/>
        </w:rPr>
        <w:t xml:space="preserve">arge shareholders </w:t>
      </w:r>
      <w:r w:rsidR="000E14FC" w:rsidRPr="007B566C">
        <w:rPr>
          <w:rFonts w:asciiTheme="majorBidi" w:hAnsiTheme="majorBidi" w:cstheme="majorBidi"/>
          <w:sz w:val="20"/>
          <w:szCs w:val="20"/>
          <w:lang w:val="en-US"/>
        </w:rPr>
        <w:t>would rather</w:t>
      </w:r>
      <w:r w:rsidR="0013056F" w:rsidRPr="007B566C">
        <w:rPr>
          <w:rFonts w:asciiTheme="majorBidi" w:hAnsiTheme="majorBidi" w:cstheme="majorBidi"/>
          <w:sz w:val="20"/>
          <w:szCs w:val="20"/>
          <w:lang w:val="en-US"/>
        </w:rPr>
        <w:t xml:space="preserve"> grant higher dividends in order to signal their unwillingness to exploit minority shareholders (</w:t>
      </w:r>
      <w:proofErr w:type="spellStart"/>
      <w:r w:rsidR="0013056F" w:rsidRPr="007B566C">
        <w:rPr>
          <w:rFonts w:asciiTheme="majorBidi" w:hAnsiTheme="majorBidi" w:cstheme="majorBidi"/>
          <w:sz w:val="20"/>
          <w:szCs w:val="20"/>
          <w:bdr w:val="none" w:sz="0" w:space="0" w:color="auto" w:frame="1"/>
          <w:shd w:val="clear" w:color="auto" w:fill="FFFFFF"/>
          <w:lang w:val="en-US"/>
        </w:rPr>
        <w:t>Gugler</w:t>
      </w:r>
      <w:proofErr w:type="spellEnd"/>
      <w:r w:rsidR="0013056F" w:rsidRPr="007B566C">
        <w:rPr>
          <w:rFonts w:asciiTheme="majorBidi" w:hAnsiTheme="majorBidi" w:cstheme="majorBidi"/>
          <w:sz w:val="20"/>
          <w:szCs w:val="20"/>
          <w:bdr w:val="none" w:sz="0" w:space="0" w:color="auto" w:frame="1"/>
          <w:shd w:val="clear" w:color="auto" w:fill="FFFFFF"/>
          <w:lang w:val="en-US"/>
        </w:rPr>
        <w:t xml:space="preserve"> and </w:t>
      </w:r>
      <w:proofErr w:type="spellStart"/>
      <w:r w:rsidR="0013056F" w:rsidRPr="007B566C">
        <w:rPr>
          <w:rFonts w:asciiTheme="majorBidi" w:hAnsiTheme="majorBidi" w:cstheme="majorBidi"/>
          <w:sz w:val="20"/>
          <w:szCs w:val="20"/>
          <w:bdr w:val="none" w:sz="0" w:space="0" w:color="auto" w:frame="1"/>
          <w:shd w:val="clear" w:color="auto" w:fill="FFFFFF"/>
          <w:lang w:val="en-US"/>
        </w:rPr>
        <w:t>Yurtoglu</w:t>
      </w:r>
      <w:proofErr w:type="spellEnd"/>
      <w:r w:rsidR="0013056F" w:rsidRPr="007B566C">
        <w:rPr>
          <w:rFonts w:asciiTheme="majorBidi" w:hAnsiTheme="majorBidi" w:cstheme="majorBidi"/>
          <w:sz w:val="20"/>
          <w:szCs w:val="20"/>
          <w:bdr w:val="none" w:sz="0" w:space="0" w:color="auto" w:frame="1"/>
          <w:shd w:val="clear" w:color="auto" w:fill="FFFFFF"/>
          <w:lang w:val="en-US"/>
        </w:rPr>
        <w:t>, 2003)</w:t>
      </w:r>
      <w:r w:rsidR="0013056F" w:rsidRPr="007B566C">
        <w:rPr>
          <w:rFonts w:asciiTheme="majorBidi" w:hAnsiTheme="majorBidi" w:cstheme="majorBidi"/>
          <w:sz w:val="20"/>
          <w:szCs w:val="20"/>
          <w:lang w:val="en-US"/>
        </w:rPr>
        <w:t>. Indeed, insiders have more information about firms’ future cash flow than do outsiders. They particularly have incentive</w:t>
      </w:r>
      <w:r w:rsidR="00831564" w:rsidRPr="007B566C">
        <w:rPr>
          <w:rFonts w:asciiTheme="majorBidi" w:hAnsiTheme="majorBidi" w:cstheme="majorBidi"/>
          <w:sz w:val="20"/>
          <w:szCs w:val="20"/>
          <w:lang w:val="en-US"/>
        </w:rPr>
        <w:t>s</w:t>
      </w:r>
      <w:r w:rsidR="0013056F" w:rsidRPr="007B566C">
        <w:rPr>
          <w:rFonts w:asciiTheme="majorBidi" w:hAnsiTheme="majorBidi" w:cstheme="majorBidi"/>
          <w:sz w:val="20"/>
          <w:szCs w:val="20"/>
          <w:lang w:val="en-US"/>
        </w:rPr>
        <w:t xml:space="preserve"> to convey that information to outsiders</w:t>
      </w:r>
      <w:r w:rsidR="00831564" w:rsidRPr="007B566C">
        <w:rPr>
          <w:rFonts w:asciiTheme="majorBidi" w:hAnsiTheme="majorBidi" w:cstheme="majorBidi"/>
          <w:sz w:val="20"/>
          <w:szCs w:val="20"/>
          <w:lang w:val="en-US"/>
        </w:rPr>
        <w:t>. D</w:t>
      </w:r>
      <w:r w:rsidR="0013056F" w:rsidRPr="007B566C">
        <w:rPr>
          <w:rFonts w:asciiTheme="majorBidi" w:hAnsiTheme="majorBidi" w:cstheme="majorBidi"/>
          <w:sz w:val="20"/>
          <w:szCs w:val="20"/>
          <w:lang w:val="en-US"/>
        </w:rPr>
        <w:t xml:space="preserve">ividends </w:t>
      </w:r>
      <w:r w:rsidR="00831564" w:rsidRPr="007B566C">
        <w:rPr>
          <w:rFonts w:asciiTheme="majorBidi" w:hAnsiTheme="majorBidi" w:cstheme="majorBidi"/>
          <w:sz w:val="20"/>
          <w:szCs w:val="20"/>
          <w:lang w:val="en-US"/>
        </w:rPr>
        <w:t>can be a</w:t>
      </w:r>
      <w:r w:rsidR="00007FBF" w:rsidRPr="007B566C">
        <w:rPr>
          <w:rFonts w:asciiTheme="majorBidi" w:hAnsiTheme="majorBidi" w:cstheme="majorBidi"/>
          <w:sz w:val="20"/>
          <w:szCs w:val="20"/>
          <w:lang w:val="en-US"/>
        </w:rPr>
        <w:t>n excellent</w:t>
      </w:r>
      <w:r w:rsidR="00831564" w:rsidRPr="007B566C">
        <w:rPr>
          <w:rFonts w:asciiTheme="majorBidi" w:hAnsiTheme="majorBidi" w:cstheme="majorBidi"/>
          <w:sz w:val="20"/>
          <w:szCs w:val="20"/>
          <w:lang w:val="en-US"/>
        </w:rPr>
        <w:t xml:space="preserve"> signaling scheme of such information especially that they are believed to play a great role in </w:t>
      </w:r>
      <w:r w:rsidR="0013056F" w:rsidRPr="007B566C">
        <w:rPr>
          <w:rFonts w:asciiTheme="majorBidi" w:hAnsiTheme="majorBidi" w:cstheme="majorBidi"/>
          <w:sz w:val="20"/>
          <w:szCs w:val="20"/>
          <w:lang w:val="en-US"/>
        </w:rPr>
        <w:t xml:space="preserve">limiting rent </w:t>
      </w:r>
      <w:r w:rsidR="00007FBF" w:rsidRPr="007B566C">
        <w:rPr>
          <w:rFonts w:asciiTheme="majorBidi" w:hAnsiTheme="majorBidi" w:cstheme="majorBidi"/>
          <w:sz w:val="20"/>
          <w:szCs w:val="20"/>
          <w:lang w:val="en-US"/>
        </w:rPr>
        <w:t xml:space="preserve">expropriation </w:t>
      </w:r>
      <w:r w:rsidR="006E7B63">
        <w:rPr>
          <w:rFonts w:asciiTheme="majorBidi" w:hAnsiTheme="majorBidi" w:cstheme="majorBidi"/>
          <w:sz w:val="20"/>
          <w:szCs w:val="20"/>
          <w:lang w:val="en-US"/>
        </w:rPr>
        <w:t>scope</w:t>
      </w:r>
      <w:r w:rsidR="0013056F" w:rsidRPr="007B566C">
        <w:rPr>
          <w:rFonts w:asciiTheme="majorBidi" w:hAnsiTheme="majorBidi" w:cstheme="majorBidi"/>
          <w:sz w:val="20"/>
          <w:szCs w:val="20"/>
          <w:lang w:val="en-US"/>
        </w:rPr>
        <w:t>.</w:t>
      </w:r>
      <w:r w:rsidR="000E14FC" w:rsidRPr="007B566C">
        <w:rPr>
          <w:rFonts w:asciiTheme="majorBidi" w:hAnsiTheme="majorBidi" w:cstheme="majorBidi"/>
          <w:sz w:val="20"/>
          <w:szCs w:val="20"/>
          <w:lang w:val="en-US"/>
        </w:rPr>
        <w:t xml:space="preserve"> </w:t>
      </w:r>
      <w:r w:rsidR="00EC0D20" w:rsidRPr="007B566C">
        <w:rPr>
          <w:rFonts w:asciiTheme="majorBidi" w:hAnsiTheme="majorBidi" w:cstheme="majorBidi"/>
          <w:color w:val="000000"/>
          <w:sz w:val="20"/>
          <w:szCs w:val="20"/>
          <w:lang w:val="en-US"/>
        </w:rPr>
        <w:t>Therefore, dividends are claimed to signal the severity of such a problem, and likewise, dividend change announcements provide new information about that problem.</w:t>
      </w:r>
      <w:r w:rsidR="00EC0D20" w:rsidRPr="007B566C">
        <w:rPr>
          <w:rFonts w:asciiTheme="majorBidi" w:hAnsiTheme="majorBidi" w:cstheme="majorBidi"/>
          <w:sz w:val="20"/>
          <w:szCs w:val="20"/>
          <w:lang w:val="en-US"/>
        </w:rPr>
        <w:t xml:space="preserve"> </w:t>
      </w:r>
      <w:r w:rsidR="000E14FC" w:rsidRPr="007B566C">
        <w:rPr>
          <w:rFonts w:asciiTheme="majorBidi" w:hAnsiTheme="majorBidi" w:cstheme="majorBidi"/>
          <w:sz w:val="20"/>
          <w:szCs w:val="20"/>
          <w:lang w:val="en-US"/>
        </w:rPr>
        <w:t xml:space="preserve">However, the reality can be so far. Large shareholders are tempted to urge managers to distribute higher dividends so as to hide the severity </w:t>
      </w:r>
      <w:r w:rsidR="000E14FC" w:rsidRPr="007B566C">
        <w:rPr>
          <w:rFonts w:asciiTheme="majorBidi" w:hAnsiTheme="majorBidi" w:cstheme="majorBidi"/>
          <w:color w:val="000000"/>
          <w:sz w:val="20"/>
          <w:szCs w:val="20"/>
          <w:lang w:val="en-US"/>
        </w:rPr>
        <w:t xml:space="preserve">of the expropriation problem as well as the acute con1ict between the controlling owner and small outside shareholders and to ultimately reveal the unwillingness of the former to expropriate the latter. </w:t>
      </w:r>
      <w:r w:rsidR="00441B6A" w:rsidRPr="007B566C">
        <w:rPr>
          <w:rFonts w:asciiTheme="majorBidi" w:hAnsiTheme="majorBidi" w:cstheme="majorBidi"/>
          <w:color w:val="000000"/>
          <w:sz w:val="20"/>
          <w:szCs w:val="20"/>
          <w:lang w:val="en-US"/>
        </w:rPr>
        <w:t>Accordingly, the rent extraction hypothesis expects positive abnormal returns for dividend increases, implying significant levels of private benefits that the controlling party vainly tries to disguise.</w:t>
      </w:r>
      <w:r w:rsidR="00693012" w:rsidRPr="007B566C">
        <w:rPr>
          <w:rFonts w:asciiTheme="majorBidi" w:hAnsiTheme="majorBidi" w:cstheme="majorBidi"/>
          <w:color w:val="000000"/>
          <w:sz w:val="20"/>
          <w:szCs w:val="20"/>
          <w:lang w:val="en-US"/>
        </w:rPr>
        <w:t xml:space="preserve"> Meanwhile, higher dividends are a</w:t>
      </w:r>
      <w:r w:rsidR="000D3FDB" w:rsidRPr="007B566C">
        <w:rPr>
          <w:rFonts w:asciiTheme="majorBidi" w:hAnsiTheme="majorBidi" w:cstheme="majorBidi"/>
          <w:color w:val="000000"/>
          <w:sz w:val="20"/>
          <w:szCs w:val="20"/>
          <w:lang w:val="en-US"/>
        </w:rPr>
        <w:t xml:space="preserve">ssessed to positively influence the level of private benefits of control. </w:t>
      </w:r>
      <w:r w:rsidR="00E61EE5" w:rsidRPr="007B566C">
        <w:rPr>
          <w:rFonts w:asciiTheme="majorBidi" w:hAnsiTheme="majorBidi" w:cstheme="majorBidi"/>
          <w:color w:val="000000"/>
          <w:sz w:val="20"/>
          <w:szCs w:val="20"/>
          <w:lang w:val="en-US"/>
        </w:rPr>
        <w:t xml:space="preserve">Such a finding is also consistent for </w:t>
      </w:r>
      <w:r w:rsidR="006E7B63" w:rsidRPr="007B566C">
        <w:rPr>
          <w:rFonts w:asciiTheme="majorBidi" w:hAnsiTheme="majorBidi" w:cstheme="majorBidi"/>
          <w:color w:val="000000"/>
          <w:sz w:val="20"/>
          <w:szCs w:val="20"/>
          <w:lang w:val="en-US"/>
        </w:rPr>
        <w:t>personal</w:t>
      </w:r>
      <w:r w:rsidR="00E61EE5" w:rsidRPr="007B566C">
        <w:rPr>
          <w:rFonts w:asciiTheme="majorBidi" w:hAnsiTheme="majorBidi" w:cstheme="majorBidi"/>
          <w:color w:val="000000"/>
          <w:sz w:val="20"/>
          <w:szCs w:val="20"/>
          <w:lang w:val="en-US"/>
        </w:rPr>
        <w:t xml:space="preserve"> </w:t>
      </w:r>
      <w:r w:rsidR="006E7B63">
        <w:rPr>
          <w:rFonts w:asciiTheme="majorBidi" w:hAnsiTheme="majorBidi" w:cstheme="majorBidi"/>
          <w:color w:val="000000"/>
          <w:sz w:val="20"/>
          <w:szCs w:val="20"/>
          <w:lang w:val="en-US"/>
        </w:rPr>
        <w:t>profits</w:t>
      </w:r>
      <w:r w:rsidR="00E61EE5" w:rsidRPr="007B566C">
        <w:rPr>
          <w:rFonts w:asciiTheme="majorBidi" w:hAnsiTheme="majorBidi" w:cstheme="majorBidi"/>
          <w:color w:val="000000"/>
          <w:sz w:val="20"/>
          <w:szCs w:val="20"/>
          <w:lang w:val="en-US"/>
        </w:rPr>
        <w:t xml:space="preserve"> that are reaped by managers (</w:t>
      </w:r>
      <w:proofErr w:type="spellStart"/>
      <w:r w:rsidR="00E61EE5" w:rsidRPr="007B566C">
        <w:rPr>
          <w:rFonts w:asciiTheme="majorBidi" w:hAnsiTheme="majorBidi" w:cstheme="majorBidi"/>
          <w:sz w:val="20"/>
          <w:szCs w:val="20"/>
          <w:lang w:val="en-US"/>
        </w:rPr>
        <w:t>Fudenberg</w:t>
      </w:r>
      <w:proofErr w:type="spellEnd"/>
      <w:r w:rsidR="00E61EE5" w:rsidRPr="007B566C">
        <w:rPr>
          <w:rFonts w:asciiTheme="majorBidi" w:hAnsiTheme="majorBidi" w:cstheme="majorBidi"/>
          <w:sz w:val="20"/>
          <w:szCs w:val="20"/>
          <w:lang w:val="en-US"/>
        </w:rPr>
        <w:t xml:space="preserve"> and </w:t>
      </w:r>
      <w:proofErr w:type="spellStart"/>
      <w:r w:rsidR="00E61EE5" w:rsidRPr="007B566C">
        <w:rPr>
          <w:rFonts w:asciiTheme="majorBidi" w:hAnsiTheme="majorBidi" w:cstheme="majorBidi"/>
          <w:sz w:val="20"/>
          <w:szCs w:val="20"/>
          <w:lang w:val="en-US"/>
        </w:rPr>
        <w:t>Tirole</w:t>
      </w:r>
      <w:proofErr w:type="spellEnd"/>
      <w:r w:rsidR="00E61EE5" w:rsidRPr="007B566C">
        <w:rPr>
          <w:rFonts w:asciiTheme="majorBidi" w:hAnsiTheme="majorBidi" w:cstheme="majorBidi"/>
          <w:sz w:val="20"/>
          <w:szCs w:val="20"/>
          <w:lang w:val="en-US"/>
        </w:rPr>
        <w:t xml:space="preserve">, 1995). For instance, managers who derive private benefits from their key position have incentives to smooth dividends and to continue distributing high dividends even in bad times in order to </w:t>
      </w:r>
      <w:r w:rsidR="006E7B63">
        <w:rPr>
          <w:rFonts w:asciiTheme="majorBidi" w:hAnsiTheme="majorBidi" w:cstheme="majorBidi"/>
          <w:sz w:val="20"/>
          <w:szCs w:val="20"/>
          <w:lang w:val="en-US"/>
        </w:rPr>
        <w:t xml:space="preserve">entrench themselves and </w:t>
      </w:r>
      <w:r w:rsidR="00E61EE5" w:rsidRPr="007B566C">
        <w:rPr>
          <w:rFonts w:asciiTheme="majorBidi" w:hAnsiTheme="majorBidi" w:cstheme="majorBidi"/>
          <w:sz w:val="20"/>
          <w:szCs w:val="20"/>
          <w:lang w:val="en-US"/>
        </w:rPr>
        <w:t>lengthen their tenure.</w:t>
      </w:r>
      <w:r w:rsidR="00D83590" w:rsidRPr="007B566C">
        <w:rPr>
          <w:rFonts w:ascii="TimesNewRomanPSMT" w:hAnsi="TimesNewRomanPSMT"/>
          <w:color w:val="000000"/>
          <w:sz w:val="20"/>
          <w:szCs w:val="20"/>
          <w:lang w:val="en-US"/>
        </w:rPr>
        <w:t xml:space="preserve">  </w:t>
      </w:r>
    </w:p>
    <w:p w:rsidR="00884E1F" w:rsidRPr="007B566C" w:rsidRDefault="00884E1F" w:rsidP="007B566C">
      <w:pPr>
        <w:widowControl w:val="0"/>
        <w:autoSpaceDE w:val="0"/>
        <w:autoSpaceDN w:val="0"/>
        <w:adjustRightInd w:val="0"/>
        <w:spacing w:after="0" w:line="240" w:lineRule="auto"/>
        <w:ind w:firstLine="709"/>
        <w:jc w:val="both"/>
        <w:rPr>
          <w:rFonts w:ascii="TimesNewRomanPSMT" w:hAnsi="TimesNewRomanPSMT"/>
          <w:color w:val="000000"/>
          <w:sz w:val="20"/>
          <w:szCs w:val="20"/>
          <w:lang w:val="en-US"/>
        </w:rPr>
      </w:pPr>
    </w:p>
    <w:p w:rsidR="006417D4" w:rsidRPr="007B566C" w:rsidRDefault="00884E1F" w:rsidP="007B566C">
      <w:pPr>
        <w:widowControl w:val="0"/>
        <w:autoSpaceDE w:val="0"/>
        <w:autoSpaceDN w:val="0"/>
        <w:adjustRightInd w:val="0"/>
        <w:spacing w:after="0" w:line="240" w:lineRule="auto"/>
        <w:jc w:val="both"/>
        <w:rPr>
          <w:rFonts w:asciiTheme="majorBidi" w:hAnsiTheme="majorBidi" w:cstheme="majorBidi"/>
          <w:b/>
          <w:bCs/>
          <w:color w:val="000000"/>
          <w:sz w:val="20"/>
          <w:szCs w:val="20"/>
          <w:lang w:val="en-US"/>
        </w:rPr>
      </w:pPr>
      <w:r w:rsidRPr="007B566C">
        <w:rPr>
          <w:rFonts w:asciiTheme="majorBidi" w:hAnsiTheme="majorBidi" w:cstheme="majorBidi"/>
          <w:b/>
          <w:bCs/>
          <w:color w:val="000000"/>
          <w:sz w:val="20"/>
          <w:szCs w:val="20"/>
          <w:lang w:val="en-US"/>
        </w:rPr>
        <w:t>3. Data and research design</w:t>
      </w:r>
    </w:p>
    <w:p w:rsidR="00884E1F" w:rsidRPr="007B566C" w:rsidRDefault="00884E1F" w:rsidP="007B566C">
      <w:pPr>
        <w:widowControl w:val="0"/>
        <w:autoSpaceDE w:val="0"/>
        <w:autoSpaceDN w:val="0"/>
        <w:adjustRightInd w:val="0"/>
        <w:spacing w:after="0" w:line="240" w:lineRule="auto"/>
        <w:jc w:val="both"/>
        <w:rPr>
          <w:rFonts w:ascii="TimesNewRomanPSMT" w:hAnsi="TimesNewRomanPSMT"/>
          <w:b/>
          <w:bCs/>
          <w:color w:val="000000"/>
          <w:sz w:val="20"/>
          <w:szCs w:val="20"/>
          <w:lang w:val="en-US"/>
        </w:rPr>
      </w:pPr>
    </w:p>
    <w:p w:rsidR="006417D4" w:rsidRPr="007B566C" w:rsidRDefault="006417D4" w:rsidP="007B566C">
      <w:pPr>
        <w:spacing w:line="240" w:lineRule="auto"/>
        <w:jc w:val="both"/>
        <w:rPr>
          <w:rFonts w:asciiTheme="majorBidi" w:hAnsiTheme="majorBidi" w:cstheme="majorBidi"/>
          <w:b/>
          <w:bCs/>
          <w:i/>
          <w:iCs/>
          <w:color w:val="000000"/>
          <w:sz w:val="20"/>
          <w:szCs w:val="20"/>
          <w:lang w:val="en-US"/>
        </w:rPr>
      </w:pPr>
      <w:r w:rsidRPr="007B566C">
        <w:rPr>
          <w:rFonts w:asciiTheme="majorBidi" w:hAnsiTheme="majorBidi" w:cstheme="majorBidi"/>
          <w:b/>
          <w:bCs/>
          <w:i/>
          <w:iCs/>
          <w:color w:val="000000"/>
          <w:sz w:val="20"/>
          <w:szCs w:val="20"/>
          <w:lang w:val="en-US"/>
        </w:rPr>
        <w:t>3.1 Sample Selection and Data</w:t>
      </w:r>
    </w:p>
    <w:p w:rsidR="006417D4" w:rsidRPr="007B566C" w:rsidRDefault="006417D4" w:rsidP="0075612C">
      <w:pPr>
        <w:pStyle w:val="ListParagraph"/>
        <w:widowControl w:val="0"/>
        <w:spacing w:after="0" w:line="240" w:lineRule="auto"/>
        <w:ind w:left="0"/>
        <w:contextualSpacing w:val="0"/>
        <w:jc w:val="both"/>
        <w:rPr>
          <w:rFonts w:ascii="TimesNewRomanPSMT" w:hAnsi="TimesNewRomanPSMT"/>
          <w:color w:val="000000"/>
          <w:sz w:val="20"/>
          <w:szCs w:val="20"/>
          <w:lang w:val="en-US"/>
        </w:rPr>
      </w:pPr>
      <w:r w:rsidRPr="007B566C">
        <w:rPr>
          <w:rFonts w:ascii="TimesNewRomanPSMT" w:hAnsi="TimesNewRomanPSMT"/>
          <w:color w:val="000000"/>
          <w:sz w:val="20"/>
          <w:szCs w:val="20"/>
          <w:lang w:val="en-US"/>
        </w:rPr>
        <w:t xml:space="preserve">Our sample </w:t>
      </w:r>
      <w:r w:rsidR="00FE4E14" w:rsidRPr="007B566C">
        <w:rPr>
          <w:rFonts w:ascii="TimesNewRomanPSMT" w:hAnsi="TimesNewRomanPSMT"/>
          <w:color w:val="000000"/>
          <w:sz w:val="20"/>
          <w:szCs w:val="20"/>
          <w:lang w:val="en-US"/>
        </w:rPr>
        <w:t>is composed of 110</w:t>
      </w:r>
      <w:r w:rsidRPr="007B566C">
        <w:rPr>
          <w:rFonts w:ascii="TimesNewRomanPSMT" w:hAnsi="TimesNewRomanPSMT"/>
          <w:color w:val="000000"/>
          <w:sz w:val="20"/>
          <w:szCs w:val="20"/>
          <w:lang w:val="en-US"/>
        </w:rPr>
        <w:t xml:space="preserve"> French listed firms</w:t>
      </w:r>
      <w:r w:rsidR="0002448C" w:rsidRPr="007B566C">
        <w:rPr>
          <w:rFonts w:ascii="TimesNewRomanPSMT" w:hAnsi="TimesNewRomanPSMT"/>
          <w:color w:val="000000"/>
          <w:sz w:val="20"/>
          <w:szCs w:val="20"/>
          <w:lang w:val="en-US"/>
        </w:rPr>
        <w:t>,</w:t>
      </w:r>
      <w:r w:rsidRPr="007B566C">
        <w:rPr>
          <w:rFonts w:ascii="TimesNewRomanPSMT" w:hAnsi="TimesNewRomanPSMT"/>
          <w:color w:val="000000"/>
          <w:sz w:val="20"/>
          <w:szCs w:val="20"/>
          <w:lang w:val="en-US"/>
        </w:rPr>
        <w:t xml:space="preserve"> </w:t>
      </w:r>
      <w:r w:rsidR="0002448C" w:rsidRPr="007B566C">
        <w:rPr>
          <w:rFonts w:ascii="TimesNewRomanPSMT" w:hAnsi="TimesNewRomanPSMT"/>
          <w:sz w:val="20"/>
          <w:szCs w:val="20"/>
          <w:lang w:val="en-US"/>
        </w:rPr>
        <w:t xml:space="preserve">over the </w:t>
      </w:r>
      <w:r w:rsidR="0002448C" w:rsidRPr="00C71A33">
        <w:rPr>
          <w:rFonts w:ascii="TimesNewRomanPSMT" w:hAnsi="TimesNewRomanPSMT"/>
          <w:sz w:val="20"/>
          <w:szCs w:val="20"/>
          <w:lang w:val="en-US"/>
        </w:rPr>
        <w:t xml:space="preserve">period </w:t>
      </w:r>
      <w:r w:rsidR="0075612C" w:rsidRPr="00C71A33">
        <w:rPr>
          <w:rFonts w:asciiTheme="majorBidi" w:hAnsiTheme="majorBidi" w:cstheme="majorBidi"/>
          <w:sz w:val="20"/>
          <w:szCs w:val="20"/>
          <w:lang w:val="en-US"/>
        </w:rPr>
        <w:t>2009-2013</w:t>
      </w:r>
      <w:r w:rsidR="0002448C" w:rsidRPr="00C71A33">
        <w:rPr>
          <w:rFonts w:ascii="TimesNewRomanPSMT" w:hAnsi="TimesNewRomanPSMT"/>
          <w:sz w:val="20"/>
          <w:szCs w:val="20"/>
          <w:lang w:val="en-US"/>
        </w:rPr>
        <w:t>,</w:t>
      </w:r>
      <w:r w:rsidR="00392BCA" w:rsidRPr="00C71A33">
        <w:rPr>
          <w:rFonts w:ascii="TimesNewRomanPSMT" w:hAnsi="TimesNewRomanPSMT"/>
          <w:sz w:val="20"/>
          <w:szCs w:val="20"/>
          <w:lang w:val="en-US"/>
        </w:rPr>
        <w:t xml:space="preserve"> </w:t>
      </w:r>
      <w:r w:rsidRPr="00C71A33">
        <w:rPr>
          <w:rFonts w:ascii="TimesNewRomanPSMT" w:hAnsi="TimesNewRomanPSMT"/>
          <w:sz w:val="20"/>
          <w:szCs w:val="20"/>
          <w:lang w:val="en-US"/>
        </w:rPr>
        <w:t>belonging</w:t>
      </w:r>
      <w:r w:rsidRPr="007B566C">
        <w:rPr>
          <w:rFonts w:ascii="TimesNewRomanPSMT" w:hAnsi="TimesNewRomanPSMT"/>
          <w:color w:val="000000"/>
          <w:sz w:val="20"/>
          <w:szCs w:val="20"/>
          <w:lang w:val="en-US"/>
        </w:rPr>
        <w:t xml:space="preserve"> to the SBF250 </w:t>
      </w:r>
      <w:r w:rsidR="00FE4E14" w:rsidRPr="007B566C">
        <w:rPr>
          <w:rFonts w:ascii="TimesNewRomanPSMT" w:hAnsi="TimesNewRomanPSMT"/>
          <w:color w:val="000000"/>
          <w:sz w:val="20"/>
          <w:szCs w:val="20"/>
          <w:lang w:val="en-US"/>
        </w:rPr>
        <w:t xml:space="preserve">index </w:t>
      </w:r>
      <w:r w:rsidRPr="007B566C">
        <w:rPr>
          <w:rFonts w:ascii="TimesNewRomanPSMT" w:hAnsi="TimesNewRomanPSMT"/>
          <w:color w:val="000000"/>
          <w:sz w:val="20"/>
          <w:szCs w:val="20"/>
          <w:lang w:val="en-US"/>
        </w:rPr>
        <w:t>(</w:t>
      </w:r>
      <w:proofErr w:type="spellStart"/>
      <w:r w:rsidRPr="007B566C">
        <w:rPr>
          <w:rFonts w:ascii="TimesNewRomanPS-ItalicMT" w:hAnsi="TimesNewRomanPS-ItalicMT"/>
          <w:i/>
          <w:iCs/>
          <w:color w:val="000000"/>
          <w:sz w:val="20"/>
          <w:szCs w:val="20"/>
          <w:lang w:val="en-US"/>
        </w:rPr>
        <w:t>Société</w:t>
      </w:r>
      <w:proofErr w:type="spellEnd"/>
      <w:r w:rsidRPr="007B566C">
        <w:rPr>
          <w:rFonts w:ascii="TimesNewRomanPS-ItalicMT" w:hAnsi="TimesNewRomanPS-ItalicMT"/>
          <w:i/>
          <w:iCs/>
          <w:color w:val="000000"/>
          <w:sz w:val="20"/>
          <w:szCs w:val="20"/>
          <w:lang w:val="en-US"/>
        </w:rPr>
        <w:t xml:space="preserve"> des Bourses </w:t>
      </w:r>
      <w:proofErr w:type="spellStart"/>
      <w:r w:rsidRPr="007B566C">
        <w:rPr>
          <w:rFonts w:ascii="TimesNewRomanPS-ItalicMT" w:hAnsi="TimesNewRomanPS-ItalicMT"/>
          <w:i/>
          <w:iCs/>
          <w:color w:val="000000"/>
          <w:sz w:val="20"/>
          <w:szCs w:val="20"/>
          <w:lang w:val="en-US"/>
        </w:rPr>
        <w:t>Françaises</w:t>
      </w:r>
      <w:proofErr w:type="spellEnd"/>
      <w:r w:rsidRPr="007B566C">
        <w:rPr>
          <w:rFonts w:ascii="TimesNewRomanPS-ItalicMT" w:hAnsi="TimesNewRomanPS-ItalicMT"/>
          <w:i/>
          <w:iCs/>
          <w:color w:val="000000"/>
          <w:sz w:val="20"/>
          <w:szCs w:val="20"/>
          <w:lang w:val="en-US"/>
        </w:rPr>
        <w:t xml:space="preserve"> 250 index</w:t>
      </w:r>
      <w:r w:rsidR="00FE4E14" w:rsidRPr="007B566C">
        <w:rPr>
          <w:rFonts w:ascii="TimesNewRomanPSMT" w:hAnsi="TimesNewRomanPSMT"/>
          <w:color w:val="000000"/>
          <w:sz w:val="20"/>
          <w:szCs w:val="20"/>
          <w:lang w:val="en-US"/>
        </w:rPr>
        <w:t xml:space="preserve">) </w:t>
      </w:r>
      <w:r w:rsidR="0075612C">
        <w:rPr>
          <w:rFonts w:ascii="TimesNewRomanPSMT" w:hAnsi="TimesNewRomanPSMT"/>
          <w:color w:val="000000"/>
          <w:sz w:val="20"/>
          <w:szCs w:val="20"/>
          <w:lang w:val="en-US"/>
        </w:rPr>
        <w:t>which</w:t>
      </w:r>
      <w:r w:rsidR="00FE4E14" w:rsidRPr="007B566C">
        <w:rPr>
          <w:rFonts w:ascii="TimesNewRomanPSMT" w:hAnsi="TimesNewRomanPSMT"/>
          <w:color w:val="000000"/>
          <w:sz w:val="20"/>
          <w:szCs w:val="20"/>
          <w:lang w:val="en-US"/>
        </w:rPr>
        <w:t xml:space="preserve"> represent</w:t>
      </w:r>
      <w:r w:rsidR="0075612C">
        <w:rPr>
          <w:rFonts w:ascii="TimesNewRomanPSMT" w:hAnsi="TimesNewRomanPSMT"/>
          <w:color w:val="000000"/>
          <w:sz w:val="20"/>
          <w:szCs w:val="20"/>
          <w:lang w:val="en-US"/>
        </w:rPr>
        <w:t>s</w:t>
      </w:r>
      <w:r w:rsidRPr="007B566C">
        <w:rPr>
          <w:rFonts w:ascii="TimesNewRomanPSMT" w:hAnsi="TimesNewRomanPSMT"/>
          <w:color w:val="000000"/>
          <w:sz w:val="20"/>
          <w:szCs w:val="20"/>
          <w:lang w:val="en-US"/>
        </w:rPr>
        <w:t xml:space="preserve"> all sectors of the French economy. We </w:t>
      </w:r>
      <w:r w:rsidR="00FE4E14" w:rsidRPr="007B566C">
        <w:rPr>
          <w:rFonts w:ascii="TimesNewRomanPSMT" w:hAnsi="TimesNewRomanPSMT"/>
          <w:color w:val="000000"/>
          <w:sz w:val="20"/>
          <w:szCs w:val="20"/>
          <w:lang w:val="en-US"/>
        </w:rPr>
        <w:t xml:space="preserve">eliminate </w:t>
      </w:r>
      <w:r w:rsidR="006540E5">
        <w:rPr>
          <w:rFonts w:ascii="TimesNewRomanPSMT" w:hAnsi="TimesNewRomanPSMT"/>
          <w:color w:val="000000"/>
          <w:sz w:val="20"/>
          <w:szCs w:val="20"/>
          <w:lang w:val="en-US"/>
        </w:rPr>
        <w:t xml:space="preserve">both </w:t>
      </w:r>
      <w:r w:rsidR="00FE4E14" w:rsidRPr="007B566C">
        <w:rPr>
          <w:rFonts w:ascii="TimesNewRomanPSMT" w:hAnsi="TimesNewRomanPSMT"/>
          <w:color w:val="000000"/>
          <w:sz w:val="20"/>
          <w:szCs w:val="20"/>
          <w:lang w:val="en-US"/>
        </w:rPr>
        <w:t xml:space="preserve">regulated </w:t>
      </w:r>
      <w:r w:rsidR="006540E5">
        <w:rPr>
          <w:rFonts w:ascii="TimesNewRomanPSMT" w:hAnsi="TimesNewRomanPSMT"/>
          <w:color w:val="000000"/>
          <w:sz w:val="20"/>
          <w:szCs w:val="20"/>
          <w:lang w:val="en-US"/>
        </w:rPr>
        <w:t>and</w:t>
      </w:r>
      <w:r w:rsidR="00FE4E14" w:rsidRPr="007B566C">
        <w:rPr>
          <w:rFonts w:ascii="TimesNewRomanPSMT" w:hAnsi="TimesNewRomanPSMT"/>
          <w:color w:val="000000"/>
          <w:sz w:val="20"/>
          <w:szCs w:val="20"/>
          <w:lang w:val="en-US"/>
        </w:rPr>
        <w:t xml:space="preserve"> financial </w:t>
      </w:r>
      <w:r w:rsidR="006540E5">
        <w:rPr>
          <w:rFonts w:ascii="TimesNewRomanPSMT" w:hAnsi="TimesNewRomanPSMT"/>
          <w:color w:val="000000"/>
          <w:sz w:val="20"/>
          <w:szCs w:val="20"/>
          <w:lang w:val="en-US"/>
        </w:rPr>
        <w:t xml:space="preserve">firms as well as those </w:t>
      </w:r>
      <w:r w:rsidRPr="007B566C">
        <w:rPr>
          <w:rFonts w:ascii="TimesNewRomanPSMT" w:hAnsi="TimesNewRomanPSMT"/>
          <w:color w:val="000000"/>
          <w:sz w:val="20"/>
          <w:szCs w:val="20"/>
          <w:lang w:val="en-US"/>
        </w:rPr>
        <w:t xml:space="preserve">with missing data relative to the </w:t>
      </w:r>
      <w:r w:rsidR="00FE4E14" w:rsidRPr="007B566C">
        <w:rPr>
          <w:rFonts w:ascii="TimesNewRomanPSMT" w:hAnsi="TimesNewRomanPSMT"/>
          <w:color w:val="000000"/>
          <w:sz w:val="20"/>
          <w:szCs w:val="20"/>
          <w:lang w:val="en-US"/>
        </w:rPr>
        <w:t xml:space="preserve">amount of related party transactions, </w:t>
      </w:r>
      <w:r w:rsidRPr="007B566C">
        <w:rPr>
          <w:rFonts w:ascii="TimesNewRomanPSMT" w:hAnsi="TimesNewRomanPSMT"/>
          <w:color w:val="000000"/>
          <w:sz w:val="20"/>
          <w:szCs w:val="20"/>
          <w:lang w:val="en-US"/>
        </w:rPr>
        <w:t>ownership</w:t>
      </w:r>
      <w:r w:rsidR="00FE4E14" w:rsidRPr="007B566C">
        <w:rPr>
          <w:rFonts w:ascii="TimesNewRomanPSMT" w:hAnsi="TimesNewRomanPSMT"/>
          <w:color w:val="000000"/>
          <w:sz w:val="20"/>
          <w:szCs w:val="20"/>
          <w:lang w:val="en-US"/>
        </w:rPr>
        <w:t xml:space="preserve"> concentration</w:t>
      </w:r>
      <w:r w:rsidRPr="007B566C">
        <w:rPr>
          <w:rFonts w:ascii="TimesNewRomanPSMT" w:hAnsi="TimesNewRomanPSMT"/>
          <w:color w:val="000000"/>
          <w:sz w:val="20"/>
          <w:szCs w:val="20"/>
          <w:lang w:val="en-US"/>
        </w:rPr>
        <w:t xml:space="preserve">, dividend payout ratio and financial statement. </w:t>
      </w:r>
      <w:r w:rsidR="00FE4E14" w:rsidRPr="007B566C">
        <w:rPr>
          <w:rFonts w:ascii="TimesNewRomanPSMT" w:hAnsi="TimesNewRomanPSMT"/>
          <w:color w:val="000000"/>
          <w:sz w:val="20"/>
          <w:szCs w:val="20"/>
          <w:lang w:val="en-US"/>
        </w:rPr>
        <w:t>All d</w:t>
      </w:r>
      <w:r w:rsidRPr="007B566C">
        <w:rPr>
          <w:rFonts w:ascii="TimesNewRomanPSMT" w:hAnsi="TimesNewRomanPSMT"/>
          <w:color w:val="000000"/>
          <w:sz w:val="20"/>
          <w:szCs w:val="20"/>
          <w:lang w:val="en-US"/>
        </w:rPr>
        <w:t xml:space="preserve">ata </w:t>
      </w:r>
      <w:r w:rsidR="00FE4E14" w:rsidRPr="007B566C">
        <w:rPr>
          <w:rFonts w:ascii="TimesNewRomanPSMT" w:hAnsi="TimesNewRomanPSMT"/>
          <w:color w:val="000000"/>
          <w:sz w:val="20"/>
          <w:szCs w:val="20"/>
          <w:lang w:val="en-US"/>
        </w:rPr>
        <w:t>have</w:t>
      </w:r>
      <w:r w:rsidRPr="007B566C">
        <w:rPr>
          <w:rFonts w:ascii="TimesNewRomanPSMT" w:hAnsi="TimesNewRomanPSMT"/>
          <w:color w:val="000000"/>
          <w:sz w:val="20"/>
          <w:szCs w:val="20"/>
          <w:lang w:val="en-US"/>
        </w:rPr>
        <w:t xml:space="preserve"> been manual</w:t>
      </w:r>
      <w:r w:rsidR="00CC764F" w:rsidRPr="007B566C">
        <w:rPr>
          <w:rFonts w:ascii="TimesNewRomanPSMT" w:hAnsi="TimesNewRomanPSMT"/>
          <w:color w:val="000000"/>
          <w:sz w:val="20"/>
          <w:szCs w:val="20"/>
          <w:lang w:val="en-US"/>
        </w:rPr>
        <w:t xml:space="preserve">ly collected </w:t>
      </w:r>
      <w:r w:rsidRPr="007B566C">
        <w:rPr>
          <w:rFonts w:ascii="TimesNewRomanPSMT" w:hAnsi="TimesNewRomanPSMT"/>
          <w:color w:val="000000"/>
          <w:sz w:val="20"/>
          <w:szCs w:val="20"/>
          <w:lang w:val="en-US"/>
        </w:rPr>
        <w:t>from the reference document available on the website of the AMF (</w:t>
      </w:r>
      <w:proofErr w:type="spellStart"/>
      <w:r w:rsidRPr="007B566C">
        <w:rPr>
          <w:rFonts w:ascii="TimesNewRomanPS-ItalicMT" w:hAnsi="TimesNewRomanPS-ItalicMT"/>
          <w:i/>
          <w:iCs/>
          <w:color w:val="000000"/>
          <w:sz w:val="20"/>
          <w:szCs w:val="20"/>
          <w:lang w:val="en-US"/>
        </w:rPr>
        <w:t>Autorités</w:t>
      </w:r>
      <w:proofErr w:type="spellEnd"/>
      <w:r w:rsidRPr="007B566C">
        <w:rPr>
          <w:rFonts w:ascii="TimesNewRomanPS-ItalicMT" w:hAnsi="TimesNewRomanPS-ItalicMT"/>
          <w:i/>
          <w:iCs/>
          <w:color w:val="000000"/>
          <w:sz w:val="20"/>
          <w:szCs w:val="20"/>
          <w:lang w:val="en-US"/>
        </w:rPr>
        <w:t xml:space="preserve"> des </w:t>
      </w:r>
      <w:proofErr w:type="spellStart"/>
      <w:r w:rsidRPr="007B566C">
        <w:rPr>
          <w:rFonts w:ascii="TimesNewRomanPS-ItalicMT" w:hAnsi="TimesNewRomanPS-ItalicMT"/>
          <w:i/>
          <w:iCs/>
          <w:color w:val="000000"/>
          <w:sz w:val="20"/>
          <w:szCs w:val="20"/>
          <w:lang w:val="en-US"/>
        </w:rPr>
        <w:t>Marchés</w:t>
      </w:r>
      <w:proofErr w:type="spellEnd"/>
      <w:r w:rsidRPr="007B566C">
        <w:rPr>
          <w:rFonts w:ascii="TimesNewRomanPS-ItalicMT" w:hAnsi="TimesNewRomanPS-ItalicMT"/>
          <w:i/>
          <w:iCs/>
          <w:color w:val="000000"/>
          <w:sz w:val="20"/>
          <w:szCs w:val="20"/>
          <w:lang w:val="en-US"/>
        </w:rPr>
        <w:t xml:space="preserve"> Financiers</w:t>
      </w:r>
      <w:r w:rsidRPr="007B566C">
        <w:rPr>
          <w:rFonts w:ascii="TimesNewRomanPSMT" w:hAnsi="TimesNewRomanPSMT"/>
          <w:color w:val="000000"/>
          <w:sz w:val="20"/>
          <w:szCs w:val="20"/>
          <w:lang w:val="en-US"/>
        </w:rPr>
        <w:t>)</w:t>
      </w:r>
      <w:r w:rsidR="00CC764F" w:rsidRPr="007B566C">
        <w:rPr>
          <w:rFonts w:ascii="TimesNewRomanPSMT" w:hAnsi="TimesNewRomanPSMT"/>
          <w:color w:val="000000"/>
          <w:sz w:val="20"/>
          <w:szCs w:val="20"/>
          <w:lang w:val="en-US"/>
        </w:rPr>
        <w:t xml:space="preserve">; otherwise </w:t>
      </w:r>
      <w:r w:rsidR="00CC764F" w:rsidRPr="007B566C">
        <w:rPr>
          <w:rFonts w:ascii="TimesNewRomanPSMT" w:hAnsi="TimesNewRomanPSMT"/>
          <w:sz w:val="20"/>
          <w:szCs w:val="20"/>
          <w:lang w:val="en-US"/>
        </w:rPr>
        <w:t xml:space="preserve">we </w:t>
      </w:r>
      <w:r w:rsidR="00884E1F" w:rsidRPr="007B566C">
        <w:rPr>
          <w:rFonts w:ascii="TimesNewRomanPSMT" w:hAnsi="TimesNewRomanPSMT"/>
          <w:sz w:val="20"/>
          <w:szCs w:val="20"/>
          <w:lang w:val="en-US"/>
        </w:rPr>
        <w:t>use</w:t>
      </w:r>
      <w:r w:rsidR="00CC764F" w:rsidRPr="007B566C">
        <w:rPr>
          <w:rFonts w:ascii="TimesNewRomanPSMT" w:hAnsi="TimesNewRomanPSMT"/>
          <w:color w:val="FF0000"/>
          <w:sz w:val="20"/>
          <w:szCs w:val="20"/>
          <w:lang w:val="en-US"/>
        </w:rPr>
        <w:t xml:space="preserve"> </w:t>
      </w:r>
      <w:r w:rsidRPr="007B566C">
        <w:rPr>
          <w:rFonts w:ascii="TimesNewRomanPSMT" w:hAnsi="TimesNewRomanPSMT"/>
          <w:color w:val="000000"/>
          <w:sz w:val="20"/>
          <w:szCs w:val="20"/>
          <w:lang w:val="en-US"/>
        </w:rPr>
        <w:t>the annual repor</w:t>
      </w:r>
      <w:r w:rsidR="00392BCA" w:rsidRPr="007B566C">
        <w:rPr>
          <w:rFonts w:ascii="TimesNewRomanPSMT" w:hAnsi="TimesNewRomanPSMT"/>
          <w:color w:val="000000"/>
          <w:sz w:val="20"/>
          <w:szCs w:val="20"/>
          <w:lang w:val="en-US"/>
        </w:rPr>
        <w:t xml:space="preserve">ts. </w:t>
      </w:r>
    </w:p>
    <w:p w:rsidR="00CE5297" w:rsidRPr="007B566C" w:rsidRDefault="00CE5297" w:rsidP="007B566C">
      <w:pPr>
        <w:pStyle w:val="ListParagraph"/>
        <w:widowControl w:val="0"/>
        <w:spacing w:after="0" w:line="240" w:lineRule="auto"/>
        <w:ind w:left="0" w:firstLine="708"/>
        <w:contextualSpacing w:val="0"/>
        <w:jc w:val="both"/>
        <w:rPr>
          <w:rFonts w:ascii="TimesNewRomanPSMT" w:hAnsi="TimesNewRomanPSMT"/>
          <w:color w:val="000000"/>
          <w:sz w:val="20"/>
          <w:szCs w:val="20"/>
          <w:lang w:val="en-US"/>
        </w:rPr>
      </w:pPr>
    </w:p>
    <w:p w:rsidR="006417D4" w:rsidRPr="007B566C" w:rsidRDefault="006417D4" w:rsidP="007B566C">
      <w:pPr>
        <w:spacing w:line="240" w:lineRule="auto"/>
        <w:jc w:val="both"/>
        <w:rPr>
          <w:rFonts w:asciiTheme="majorBidi" w:hAnsiTheme="majorBidi" w:cstheme="majorBidi"/>
          <w:b/>
          <w:bCs/>
          <w:i/>
          <w:iCs/>
          <w:color w:val="000000"/>
          <w:sz w:val="20"/>
          <w:szCs w:val="20"/>
          <w:lang w:val="en-US"/>
        </w:rPr>
      </w:pPr>
      <w:r w:rsidRPr="007B566C">
        <w:rPr>
          <w:rFonts w:asciiTheme="majorBidi" w:hAnsiTheme="majorBidi" w:cstheme="majorBidi"/>
          <w:b/>
          <w:bCs/>
          <w:i/>
          <w:iCs/>
          <w:color w:val="000000"/>
          <w:sz w:val="20"/>
          <w:szCs w:val="20"/>
          <w:lang w:val="en-US"/>
        </w:rPr>
        <w:t>3.2 Variables Estimates</w:t>
      </w:r>
    </w:p>
    <w:p w:rsidR="006417D4" w:rsidRPr="007B566C" w:rsidRDefault="00FD39E4" w:rsidP="00395543">
      <w:pPr>
        <w:spacing w:line="240" w:lineRule="auto"/>
        <w:jc w:val="both"/>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 xml:space="preserve">Four </w:t>
      </w:r>
      <w:r w:rsidR="006417D4" w:rsidRPr="007B566C">
        <w:rPr>
          <w:rFonts w:asciiTheme="majorBidi" w:hAnsiTheme="majorBidi" w:cstheme="majorBidi"/>
          <w:color w:val="000000"/>
          <w:sz w:val="20"/>
          <w:szCs w:val="20"/>
          <w:lang w:val="en-US"/>
        </w:rPr>
        <w:t xml:space="preserve">sets of variables are used in our study: </w:t>
      </w:r>
      <w:r w:rsidR="006417D4" w:rsidRPr="007B566C">
        <w:rPr>
          <w:rFonts w:asciiTheme="majorBidi" w:hAnsiTheme="majorBidi" w:cstheme="majorBidi"/>
          <w:sz w:val="20"/>
          <w:szCs w:val="20"/>
          <w:lang w:val="en-US"/>
        </w:rPr>
        <w:t>t</w:t>
      </w:r>
      <w:r w:rsidR="005610B9" w:rsidRPr="007B566C">
        <w:rPr>
          <w:rFonts w:asciiTheme="majorBidi" w:hAnsiTheme="majorBidi" w:cstheme="majorBidi"/>
          <w:sz w:val="20"/>
          <w:szCs w:val="20"/>
          <w:lang w:val="en-US"/>
        </w:rPr>
        <w:t xml:space="preserve">he </w:t>
      </w:r>
      <w:r w:rsidR="006417D4" w:rsidRPr="007B566C">
        <w:rPr>
          <w:rFonts w:asciiTheme="majorBidi" w:hAnsiTheme="majorBidi" w:cstheme="majorBidi"/>
          <w:color w:val="000000"/>
          <w:sz w:val="20"/>
          <w:szCs w:val="20"/>
          <w:lang w:val="en-US"/>
        </w:rPr>
        <w:t xml:space="preserve">proxy </w:t>
      </w:r>
      <w:r w:rsidR="005610B9" w:rsidRPr="007B566C">
        <w:rPr>
          <w:rFonts w:asciiTheme="majorBidi" w:hAnsiTheme="majorBidi" w:cstheme="majorBidi"/>
          <w:color w:val="000000"/>
          <w:sz w:val="20"/>
          <w:szCs w:val="20"/>
          <w:lang w:val="en-US"/>
        </w:rPr>
        <w:t xml:space="preserve">of </w:t>
      </w:r>
      <w:r w:rsidR="006417D4" w:rsidRPr="007B566C">
        <w:rPr>
          <w:rFonts w:asciiTheme="majorBidi" w:hAnsiTheme="majorBidi" w:cstheme="majorBidi"/>
          <w:color w:val="000000"/>
          <w:sz w:val="20"/>
          <w:szCs w:val="20"/>
          <w:lang w:val="en-US"/>
        </w:rPr>
        <w:t>the private benefits of control, the dividend payout ratio</w:t>
      </w:r>
      <w:r w:rsidR="005D0CEB" w:rsidRPr="007B566C">
        <w:rPr>
          <w:rFonts w:asciiTheme="majorBidi" w:hAnsiTheme="majorBidi" w:cstheme="majorBidi"/>
          <w:color w:val="000000"/>
          <w:sz w:val="20"/>
          <w:szCs w:val="20"/>
          <w:lang w:val="en-US"/>
        </w:rPr>
        <w:t xml:space="preserve"> </w:t>
      </w:r>
      <w:r w:rsidR="006540E5">
        <w:rPr>
          <w:rFonts w:asciiTheme="majorBidi" w:hAnsiTheme="majorBidi" w:cstheme="majorBidi"/>
          <w:color w:val="000000"/>
          <w:sz w:val="20"/>
          <w:szCs w:val="20"/>
          <w:lang w:val="en-US"/>
        </w:rPr>
        <w:t>in addition to the estimates of</w:t>
      </w:r>
      <w:r w:rsidR="005D0CEB" w:rsidRPr="007B566C">
        <w:rPr>
          <w:rFonts w:asciiTheme="majorBidi" w:hAnsiTheme="majorBidi" w:cstheme="majorBidi"/>
          <w:color w:val="000000"/>
          <w:sz w:val="20"/>
          <w:szCs w:val="20"/>
          <w:lang w:val="en-US"/>
        </w:rPr>
        <w:t xml:space="preserve"> </w:t>
      </w:r>
      <w:r w:rsidR="006417D4" w:rsidRPr="007B566C">
        <w:rPr>
          <w:rFonts w:asciiTheme="majorBidi" w:hAnsiTheme="majorBidi" w:cstheme="majorBidi"/>
          <w:color w:val="000000"/>
          <w:sz w:val="20"/>
          <w:szCs w:val="20"/>
          <w:lang w:val="en-US"/>
        </w:rPr>
        <w:t xml:space="preserve">ownership </w:t>
      </w:r>
      <w:r w:rsidR="00395543">
        <w:rPr>
          <w:rFonts w:asciiTheme="majorBidi" w:hAnsiTheme="majorBidi" w:cstheme="majorBidi"/>
          <w:color w:val="000000"/>
          <w:sz w:val="20"/>
          <w:szCs w:val="20"/>
          <w:lang w:val="en-US"/>
        </w:rPr>
        <w:t>structure</w:t>
      </w:r>
      <w:r w:rsidR="006417D4" w:rsidRPr="007B566C">
        <w:rPr>
          <w:rFonts w:asciiTheme="majorBidi" w:hAnsiTheme="majorBidi" w:cstheme="majorBidi"/>
          <w:color w:val="000000"/>
          <w:sz w:val="20"/>
          <w:szCs w:val="20"/>
          <w:lang w:val="en-US"/>
        </w:rPr>
        <w:t xml:space="preserve"> and </w:t>
      </w:r>
      <w:r w:rsidR="006540E5">
        <w:rPr>
          <w:rFonts w:asciiTheme="majorBidi" w:hAnsiTheme="majorBidi" w:cstheme="majorBidi"/>
          <w:color w:val="000000"/>
          <w:sz w:val="20"/>
          <w:szCs w:val="20"/>
          <w:lang w:val="en-US"/>
        </w:rPr>
        <w:t>financial characteristic</w:t>
      </w:r>
      <w:r w:rsidR="006417D4" w:rsidRPr="007B566C">
        <w:rPr>
          <w:rFonts w:asciiTheme="majorBidi" w:hAnsiTheme="majorBidi" w:cstheme="majorBidi"/>
          <w:color w:val="000000"/>
          <w:sz w:val="20"/>
          <w:szCs w:val="20"/>
          <w:lang w:val="en-US"/>
        </w:rPr>
        <w:t>s</w:t>
      </w:r>
      <w:r w:rsidR="00F32CE9">
        <w:rPr>
          <w:rFonts w:asciiTheme="majorBidi" w:hAnsiTheme="majorBidi" w:cstheme="majorBidi"/>
          <w:color w:val="000000"/>
          <w:sz w:val="20"/>
          <w:szCs w:val="20"/>
          <w:lang w:val="en-US"/>
        </w:rPr>
        <w:t xml:space="preserve"> of the firm</w:t>
      </w:r>
      <w:r w:rsidR="006417D4" w:rsidRPr="007B566C">
        <w:rPr>
          <w:rFonts w:asciiTheme="majorBidi" w:hAnsiTheme="majorBidi" w:cstheme="majorBidi"/>
          <w:color w:val="000000"/>
          <w:sz w:val="20"/>
          <w:szCs w:val="20"/>
          <w:lang w:val="en-US"/>
        </w:rPr>
        <w:t>.</w:t>
      </w:r>
    </w:p>
    <w:p w:rsidR="006417D4" w:rsidRPr="002B4027" w:rsidRDefault="006417D4" w:rsidP="007B566C">
      <w:pPr>
        <w:spacing w:line="240" w:lineRule="auto"/>
        <w:jc w:val="both"/>
        <w:rPr>
          <w:rFonts w:asciiTheme="majorBidi" w:hAnsiTheme="majorBidi" w:cstheme="majorBidi"/>
          <w:i/>
          <w:iCs/>
          <w:color w:val="000000"/>
          <w:sz w:val="20"/>
          <w:szCs w:val="20"/>
          <w:lang w:val="en-US"/>
        </w:rPr>
      </w:pPr>
      <w:r w:rsidRPr="002B4027">
        <w:rPr>
          <w:rFonts w:asciiTheme="majorBidi" w:hAnsiTheme="majorBidi" w:cstheme="majorBidi"/>
          <w:i/>
          <w:iCs/>
          <w:color w:val="000000"/>
          <w:sz w:val="20"/>
          <w:szCs w:val="20"/>
          <w:lang w:val="en-US"/>
        </w:rPr>
        <w:t>3.2.1 Measuring Private Benefits of Control</w:t>
      </w:r>
      <w:r w:rsidR="00273509" w:rsidRPr="002B4027">
        <w:rPr>
          <w:rFonts w:asciiTheme="majorBidi" w:hAnsiTheme="majorBidi" w:cstheme="majorBidi"/>
          <w:i/>
          <w:iCs/>
          <w:color w:val="000000"/>
          <w:sz w:val="20"/>
          <w:szCs w:val="20"/>
          <w:lang w:val="en-US"/>
        </w:rPr>
        <w:t xml:space="preserve"> and Dividends</w:t>
      </w:r>
    </w:p>
    <w:p w:rsidR="00273509" w:rsidRDefault="006417D4" w:rsidP="00762F8D">
      <w:pPr>
        <w:widowControl w:val="0"/>
        <w:tabs>
          <w:tab w:val="left" w:pos="0"/>
          <w:tab w:val="left" w:pos="142"/>
        </w:tabs>
        <w:spacing w:after="0" w:line="240" w:lineRule="auto"/>
        <w:jc w:val="both"/>
        <w:rPr>
          <w:rFonts w:asciiTheme="majorBidi" w:hAnsiTheme="majorBidi" w:cstheme="majorBidi"/>
          <w:sz w:val="20"/>
          <w:szCs w:val="20"/>
          <w:lang w:val="en-US"/>
        </w:rPr>
      </w:pPr>
      <w:r w:rsidRPr="007B566C">
        <w:rPr>
          <w:rFonts w:asciiTheme="majorBidi" w:hAnsiTheme="majorBidi" w:cstheme="majorBidi"/>
          <w:color w:val="000000"/>
          <w:sz w:val="20"/>
          <w:szCs w:val="20"/>
          <w:lang w:val="en-US"/>
        </w:rPr>
        <w:t xml:space="preserve">Many studies have </w:t>
      </w:r>
      <w:r w:rsidR="00AA5056" w:rsidRPr="007B566C">
        <w:rPr>
          <w:rFonts w:asciiTheme="majorBidi" w:hAnsiTheme="majorBidi" w:cstheme="majorBidi"/>
          <w:color w:val="000000"/>
          <w:sz w:val="20"/>
          <w:szCs w:val="20"/>
          <w:lang w:val="en-US"/>
        </w:rPr>
        <w:t>estimated</w:t>
      </w:r>
      <w:r w:rsidRPr="007B566C">
        <w:rPr>
          <w:rFonts w:asciiTheme="majorBidi" w:hAnsiTheme="majorBidi" w:cstheme="majorBidi"/>
          <w:color w:val="000000"/>
          <w:sz w:val="20"/>
          <w:szCs w:val="20"/>
          <w:lang w:val="en-US"/>
        </w:rPr>
        <w:t xml:space="preserve"> private benefits of control through indirect </w:t>
      </w:r>
      <w:r w:rsidR="00AA5056" w:rsidRPr="007B566C">
        <w:rPr>
          <w:rFonts w:asciiTheme="majorBidi" w:hAnsiTheme="majorBidi" w:cstheme="majorBidi"/>
          <w:color w:val="000000"/>
          <w:sz w:val="20"/>
          <w:szCs w:val="20"/>
          <w:lang w:val="en-US"/>
        </w:rPr>
        <w:t xml:space="preserve">measures: </w:t>
      </w:r>
      <w:r w:rsidRPr="007B566C">
        <w:rPr>
          <w:rFonts w:asciiTheme="majorBidi" w:hAnsiTheme="majorBidi" w:cstheme="majorBidi"/>
          <w:color w:val="000000"/>
          <w:sz w:val="20"/>
          <w:szCs w:val="20"/>
          <w:lang w:val="en-US"/>
        </w:rPr>
        <w:t xml:space="preserve"> the legal system (</w:t>
      </w:r>
      <w:proofErr w:type="spellStart"/>
      <w:r w:rsidRPr="007B566C">
        <w:rPr>
          <w:rFonts w:asciiTheme="majorBidi" w:hAnsiTheme="majorBidi" w:cstheme="majorBidi"/>
          <w:color w:val="000000"/>
          <w:sz w:val="20"/>
          <w:szCs w:val="20"/>
          <w:lang w:val="en-US"/>
        </w:rPr>
        <w:t>Djankov</w:t>
      </w:r>
      <w:proofErr w:type="spellEnd"/>
      <w:r w:rsidRPr="007B566C">
        <w:rPr>
          <w:rFonts w:asciiTheme="majorBidi" w:hAnsiTheme="majorBidi" w:cstheme="majorBidi"/>
          <w:color w:val="000000"/>
          <w:sz w:val="20"/>
          <w:szCs w:val="20"/>
          <w:lang w:val="en-US"/>
        </w:rPr>
        <w:t xml:space="preserve"> et </w:t>
      </w:r>
      <w:r w:rsidRPr="007B566C">
        <w:rPr>
          <w:rFonts w:asciiTheme="majorBidi" w:hAnsiTheme="majorBidi" w:cstheme="majorBidi"/>
          <w:i/>
          <w:iCs/>
          <w:color w:val="000000"/>
          <w:sz w:val="20"/>
          <w:szCs w:val="20"/>
          <w:lang w:val="en-US"/>
        </w:rPr>
        <w:t xml:space="preserve">al., </w:t>
      </w:r>
      <w:r w:rsidRPr="007B566C">
        <w:rPr>
          <w:rFonts w:asciiTheme="majorBidi" w:hAnsiTheme="majorBidi" w:cstheme="majorBidi"/>
          <w:color w:val="000000"/>
          <w:sz w:val="20"/>
          <w:szCs w:val="20"/>
          <w:lang w:val="en-US"/>
        </w:rPr>
        <w:t xml:space="preserve">2008; La </w:t>
      </w:r>
      <w:proofErr w:type="spellStart"/>
      <w:r w:rsidRPr="007B566C">
        <w:rPr>
          <w:rFonts w:asciiTheme="majorBidi" w:hAnsiTheme="majorBidi" w:cstheme="majorBidi"/>
          <w:color w:val="000000"/>
          <w:sz w:val="20"/>
          <w:szCs w:val="20"/>
          <w:lang w:val="en-US"/>
        </w:rPr>
        <w:t>Porta</w:t>
      </w:r>
      <w:proofErr w:type="spellEnd"/>
      <w:r w:rsidRPr="007B566C">
        <w:rPr>
          <w:rFonts w:asciiTheme="majorBidi" w:hAnsiTheme="majorBidi" w:cstheme="majorBidi"/>
          <w:color w:val="000000"/>
          <w:sz w:val="20"/>
          <w:szCs w:val="20"/>
          <w:lang w:val="en-US"/>
        </w:rPr>
        <w:t xml:space="preserve"> et </w:t>
      </w:r>
      <w:r w:rsidRPr="007B566C">
        <w:rPr>
          <w:rFonts w:asciiTheme="majorBidi" w:hAnsiTheme="majorBidi" w:cstheme="majorBidi"/>
          <w:i/>
          <w:iCs/>
          <w:color w:val="000000"/>
          <w:sz w:val="20"/>
          <w:szCs w:val="20"/>
          <w:lang w:val="en-US"/>
        </w:rPr>
        <w:t xml:space="preserve">al., </w:t>
      </w:r>
      <w:r w:rsidR="00F47534" w:rsidRPr="007B566C">
        <w:rPr>
          <w:rFonts w:asciiTheme="majorBidi" w:hAnsiTheme="majorBidi" w:cstheme="majorBidi"/>
          <w:color w:val="000000"/>
          <w:sz w:val="20"/>
          <w:szCs w:val="20"/>
          <w:lang w:val="en-US"/>
        </w:rPr>
        <w:t xml:space="preserve">2000), </w:t>
      </w:r>
      <w:r w:rsidRPr="007B566C">
        <w:rPr>
          <w:rFonts w:asciiTheme="majorBidi" w:hAnsiTheme="majorBidi" w:cstheme="majorBidi"/>
          <w:color w:val="000000"/>
          <w:sz w:val="20"/>
          <w:szCs w:val="20"/>
          <w:lang w:val="en-US"/>
        </w:rPr>
        <w:t xml:space="preserve">the ratio of control rights on </w:t>
      </w:r>
      <w:r w:rsidR="00F47534" w:rsidRPr="007B566C">
        <w:rPr>
          <w:rFonts w:asciiTheme="majorBidi" w:hAnsiTheme="majorBidi" w:cstheme="majorBidi"/>
          <w:color w:val="000000"/>
          <w:sz w:val="20"/>
          <w:szCs w:val="20"/>
          <w:lang w:val="en-US"/>
        </w:rPr>
        <w:t>cash flow rights</w:t>
      </w:r>
      <w:r w:rsidRPr="007B566C">
        <w:rPr>
          <w:rFonts w:asciiTheme="majorBidi" w:hAnsiTheme="majorBidi" w:cstheme="majorBidi"/>
          <w:color w:val="000000"/>
          <w:sz w:val="20"/>
          <w:szCs w:val="20"/>
          <w:lang w:val="en-US"/>
        </w:rPr>
        <w:t xml:space="preserve"> (</w:t>
      </w:r>
      <w:proofErr w:type="spellStart"/>
      <w:r w:rsidR="00565C9E" w:rsidRPr="007B566C">
        <w:rPr>
          <w:rFonts w:asciiTheme="majorBidi" w:hAnsiTheme="majorBidi" w:cstheme="majorBidi"/>
          <w:color w:val="000000"/>
          <w:sz w:val="20"/>
          <w:szCs w:val="20"/>
          <w:lang w:val="en-US"/>
        </w:rPr>
        <w:t>Zingales</w:t>
      </w:r>
      <w:proofErr w:type="spellEnd"/>
      <w:r w:rsidR="00565C9E" w:rsidRPr="007B566C">
        <w:rPr>
          <w:rFonts w:asciiTheme="majorBidi" w:hAnsiTheme="majorBidi" w:cstheme="majorBidi"/>
          <w:color w:val="000000"/>
          <w:sz w:val="20"/>
          <w:szCs w:val="20"/>
          <w:lang w:val="en-US"/>
        </w:rPr>
        <w:t xml:space="preserve">, 1994). </w:t>
      </w:r>
      <w:r w:rsidR="00BF0D85" w:rsidRPr="007B566C">
        <w:rPr>
          <w:rFonts w:asciiTheme="majorBidi" w:hAnsiTheme="majorBidi" w:cstheme="majorBidi"/>
          <w:color w:val="000000"/>
          <w:sz w:val="20"/>
          <w:szCs w:val="20"/>
          <w:lang w:val="en-US"/>
        </w:rPr>
        <w:t>Few</w:t>
      </w:r>
      <w:r w:rsidRPr="007B566C">
        <w:rPr>
          <w:rFonts w:asciiTheme="majorBidi" w:hAnsiTheme="majorBidi" w:cstheme="majorBidi"/>
          <w:color w:val="000000"/>
          <w:sz w:val="20"/>
          <w:szCs w:val="20"/>
          <w:lang w:val="en-US"/>
        </w:rPr>
        <w:t xml:space="preserve"> studies have used direct proxies</w:t>
      </w:r>
      <w:r w:rsidR="00BF0D85" w:rsidRPr="007B566C">
        <w:rPr>
          <w:rFonts w:asciiTheme="majorBidi" w:hAnsiTheme="majorBidi" w:cstheme="majorBidi"/>
          <w:color w:val="000000"/>
          <w:sz w:val="20"/>
          <w:szCs w:val="20"/>
          <w:lang w:val="en-US"/>
        </w:rPr>
        <w:t xml:space="preserve"> to estimate benefits of control: </w:t>
      </w:r>
      <w:r w:rsidRPr="007B566C">
        <w:rPr>
          <w:rFonts w:asciiTheme="majorBidi" w:hAnsiTheme="majorBidi" w:cstheme="majorBidi"/>
          <w:color w:val="000000"/>
          <w:sz w:val="20"/>
          <w:szCs w:val="20"/>
          <w:lang w:val="en-US"/>
        </w:rPr>
        <w:t xml:space="preserve">the pricing of stock blocks trades (Barclay and Holderness, 1989; </w:t>
      </w:r>
      <w:proofErr w:type="spellStart"/>
      <w:r w:rsidRPr="007B566C">
        <w:rPr>
          <w:rFonts w:asciiTheme="majorBidi" w:hAnsiTheme="majorBidi" w:cstheme="majorBidi"/>
          <w:color w:val="000000"/>
          <w:sz w:val="20"/>
          <w:szCs w:val="20"/>
          <w:lang w:val="en-US"/>
        </w:rPr>
        <w:t>Dyck</w:t>
      </w:r>
      <w:proofErr w:type="spellEnd"/>
      <w:r w:rsidRPr="007B566C">
        <w:rPr>
          <w:rFonts w:asciiTheme="majorBidi" w:hAnsiTheme="majorBidi" w:cstheme="majorBidi"/>
          <w:color w:val="000000"/>
          <w:sz w:val="20"/>
          <w:szCs w:val="20"/>
          <w:lang w:val="en-US"/>
        </w:rPr>
        <w:t xml:space="preserve"> and </w:t>
      </w:r>
      <w:proofErr w:type="spellStart"/>
      <w:r w:rsidRPr="007B566C">
        <w:rPr>
          <w:rFonts w:asciiTheme="majorBidi" w:hAnsiTheme="majorBidi" w:cstheme="majorBidi"/>
          <w:color w:val="000000"/>
          <w:sz w:val="20"/>
          <w:szCs w:val="20"/>
          <w:lang w:val="en-US"/>
        </w:rPr>
        <w:t>Zinga</w:t>
      </w:r>
      <w:r w:rsidR="00BF0D85" w:rsidRPr="007B566C">
        <w:rPr>
          <w:rFonts w:asciiTheme="majorBidi" w:hAnsiTheme="majorBidi" w:cstheme="majorBidi"/>
          <w:color w:val="000000"/>
          <w:sz w:val="20"/>
          <w:szCs w:val="20"/>
          <w:lang w:val="en-US"/>
        </w:rPr>
        <w:t>les</w:t>
      </w:r>
      <w:proofErr w:type="spellEnd"/>
      <w:r w:rsidR="00BF0D85" w:rsidRPr="007B566C">
        <w:rPr>
          <w:rFonts w:asciiTheme="majorBidi" w:hAnsiTheme="majorBidi" w:cstheme="majorBidi"/>
          <w:color w:val="000000"/>
          <w:sz w:val="20"/>
          <w:szCs w:val="20"/>
          <w:lang w:val="en-US"/>
        </w:rPr>
        <w:t>, 2004), the control premium</w:t>
      </w:r>
      <w:r w:rsidRPr="007B566C">
        <w:rPr>
          <w:rFonts w:asciiTheme="majorBidi" w:hAnsiTheme="majorBidi" w:cstheme="majorBidi"/>
          <w:color w:val="000000"/>
          <w:sz w:val="20"/>
          <w:szCs w:val="20"/>
          <w:lang w:val="en-US"/>
        </w:rPr>
        <w:t xml:space="preserve"> (</w:t>
      </w:r>
      <w:proofErr w:type="spellStart"/>
      <w:r w:rsidRPr="007B566C">
        <w:rPr>
          <w:rFonts w:asciiTheme="majorBidi" w:hAnsiTheme="majorBidi" w:cstheme="majorBidi"/>
          <w:color w:val="000000"/>
          <w:sz w:val="20"/>
          <w:szCs w:val="20"/>
          <w:lang w:val="en-US"/>
        </w:rPr>
        <w:t>Nenova</w:t>
      </w:r>
      <w:proofErr w:type="spellEnd"/>
      <w:r w:rsidRPr="007B566C">
        <w:rPr>
          <w:rFonts w:asciiTheme="majorBidi" w:hAnsiTheme="majorBidi" w:cstheme="majorBidi"/>
          <w:color w:val="000000"/>
          <w:sz w:val="20"/>
          <w:szCs w:val="20"/>
          <w:lang w:val="en-US"/>
        </w:rPr>
        <w:t xml:space="preserve">, 2003; </w:t>
      </w:r>
      <w:proofErr w:type="spellStart"/>
      <w:r w:rsidRPr="007B566C">
        <w:rPr>
          <w:rFonts w:asciiTheme="majorBidi" w:hAnsiTheme="majorBidi" w:cstheme="majorBidi"/>
          <w:color w:val="000000"/>
          <w:sz w:val="20"/>
          <w:szCs w:val="20"/>
          <w:lang w:val="en-US"/>
        </w:rPr>
        <w:t>Masulis</w:t>
      </w:r>
      <w:proofErr w:type="spellEnd"/>
      <w:r w:rsidRPr="007B566C">
        <w:rPr>
          <w:rFonts w:asciiTheme="majorBidi" w:hAnsiTheme="majorBidi" w:cstheme="majorBidi"/>
          <w:color w:val="000000"/>
          <w:sz w:val="20"/>
          <w:szCs w:val="20"/>
          <w:lang w:val="en-US"/>
        </w:rPr>
        <w:t xml:space="preserve"> et </w:t>
      </w:r>
      <w:r w:rsidRPr="007B566C">
        <w:rPr>
          <w:rFonts w:asciiTheme="majorBidi" w:hAnsiTheme="majorBidi" w:cstheme="majorBidi"/>
          <w:i/>
          <w:iCs/>
          <w:color w:val="000000"/>
          <w:sz w:val="20"/>
          <w:szCs w:val="20"/>
          <w:lang w:val="en-US"/>
        </w:rPr>
        <w:t xml:space="preserve">al., </w:t>
      </w:r>
      <w:r w:rsidRPr="007B566C">
        <w:rPr>
          <w:rFonts w:asciiTheme="majorBidi" w:hAnsiTheme="majorBidi" w:cstheme="majorBidi"/>
          <w:color w:val="000000"/>
          <w:sz w:val="20"/>
          <w:szCs w:val="20"/>
          <w:lang w:val="en-US"/>
        </w:rPr>
        <w:t xml:space="preserve">2009), the </w:t>
      </w:r>
      <w:r w:rsidR="00BF0D85" w:rsidRPr="007B566C">
        <w:rPr>
          <w:rFonts w:asciiTheme="majorBidi" w:hAnsiTheme="majorBidi" w:cstheme="majorBidi"/>
          <w:color w:val="000000"/>
          <w:sz w:val="20"/>
          <w:szCs w:val="20"/>
          <w:lang w:val="en-US"/>
        </w:rPr>
        <w:t xml:space="preserve">CEO compensation </w:t>
      </w:r>
      <w:r w:rsidRPr="007B566C">
        <w:rPr>
          <w:rFonts w:asciiTheme="majorBidi" w:hAnsiTheme="majorBidi" w:cstheme="majorBidi"/>
          <w:color w:val="000000"/>
          <w:sz w:val="20"/>
          <w:szCs w:val="20"/>
          <w:lang w:val="en-US"/>
        </w:rPr>
        <w:t>(</w:t>
      </w:r>
      <w:proofErr w:type="spellStart"/>
      <w:r w:rsidRPr="007B566C">
        <w:rPr>
          <w:rFonts w:asciiTheme="majorBidi" w:hAnsiTheme="majorBidi" w:cstheme="majorBidi"/>
          <w:color w:val="000000"/>
          <w:sz w:val="20"/>
          <w:szCs w:val="20"/>
          <w:lang w:val="en-US"/>
        </w:rPr>
        <w:t>Ehrhardt</w:t>
      </w:r>
      <w:proofErr w:type="spellEnd"/>
      <w:r w:rsidRPr="007B566C">
        <w:rPr>
          <w:rFonts w:asciiTheme="majorBidi" w:hAnsiTheme="majorBidi" w:cstheme="majorBidi"/>
          <w:color w:val="000000"/>
          <w:sz w:val="20"/>
          <w:szCs w:val="20"/>
          <w:lang w:val="en-US"/>
        </w:rPr>
        <w:t xml:space="preserve"> and </w:t>
      </w:r>
      <w:r w:rsidR="00BF0D85" w:rsidRPr="007B566C">
        <w:rPr>
          <w:rFonts w:asciiTheme="majorBidi" w:hAnsiTheme="majorBidi" w:cstheme="majorBidi"/>
          <w:color w:val="000000"/>
          <w:sz w:val="20"/>
          <w:szCs w:val="20"/>
          <w:lang w:val="en-US"/>
        </w:rPr>
        <w:t xml:space="preserve">Nowak, 2003) </w:t>
      </w:r>
      <w:r w:rsidRPr="007B566C">
        <w:rPr>
          <w:rFonts w:asciiTheme="majorBidi" w:hAnsiTheme="majorBidi" w:cstheme="majorBidi"/>
          <w:color w:val="000000"/>
          <w:sz w:val="20"/>
          <w:szCs w:val="20"/>
          <w:lang w:val="en-US"/>
        </w:rPr>
        <w:t xml:space="preserve">and the amount of </w:t>
      </w:r>
      <w:r w:rsidR="00BF0D85" w:rsidRPr="007B566C">
        <w:rPr>
          <w:rFonts w:asciiTheme="majorBidi" w:hAnsiTheme="majorBidi" w:cstheme="majorBidi"/>
          <w:color w:val="000000"/>
          <w:sz w:val="20"/>
          <w:szCs w:val="20"/>
          <w:lang w:val="en-US"/>
        </w:rPr>
        <w:t>related party transactions</w:t>
      </w:r>
      <w:r w:rsidRPr="007B566C">
        <w:rPr>
          <w:rFonts w:asciiTheme="majorBidi" w:hAnsiTheme="majorBidi" w:cstheme="majorBidi"/>
          <w:color w:val="000000"/>
          <w:sz w:val="20"/>
          <w:szCs w:val="20"/>
          <w:lang w:val="en-US"/>
        </w:rPr>
        <w:t xml:space="preserve"> (</w:t>
      </w:r>
      <w:proofErr w:type="spellStart"/>
      <w:r w:rsidRPr="007B566C">
        <w:rPr>
          <w:rFonts w:asciiTheme="majorBidi" w:hAnsiTheme="majorBidi" w:cstheme="majorBidi"/>
          <w:color w:val="000000"/>
          <w:sz w:val="20"/>
          <w:szCs w:val="20"/>
          <w:lang w:val="en-US"/>
        </w:rPr>
        <w:t>Berkman</w:t>
      </w:r>
      <w:proofErr w:type="spellEnd"/>
      <w:r w:rsidRPr="007B566C">
        <w:rPr>
          <w:rFonts w:asciiTheme="majorBidi" w:hAnsiTheme="majorBidi" w:cstheme="majorBidi"/>
          <w:color w:val="000000"/>
          <w:sz w:val="20"/>
          <w:szCs w:val="20"/>
          <w:lang w:val="en-US"/>
        </w:rPr>
        <w:t xml:space="preserve"> et </w:t>
      </w:r>
      <w:r w:rsidRPr="007B566C">
        <w:rPr>
          <w:rFonts w:asciiTheme="majorBidi" w:hAnsiTheme="majorBidi" w:cstheme="majorBidi"/>
          <w:i/>
          <w:iCs/>
          <w:color w:val="000000"/>
          <w:sz w:val="20"/>
          <w:szCs w:val="20"/>
          <w:lang w:val="en-US"/>
        </w:rPr>
        <w:t xml:space="preserve">al., </w:t>
      </w:r>
      <w:r w:rsidRPr="007B566C">
        <w:rPr>
          <w:rFonts w:asciiTheme="majorBidi" w:hAnsiTheme="majorBidi" w:cstheme="majorBidi"/>
          <w:color w:val="000000"/>
          <w:sz w:val="20"/>
          <w:szCs w:val="20"/>
          <w:lang w:val="en-US"/>
        </w:rPr>
        <w:t xml:space="preserve">2009; Cheung et </w:t>
      </w:r>
      <w:r w:rsidRPr="007B566C">
        <w:rPr>
          <w:rFonts w:asciiTheme="majorBidi" w:hAnsiTheme="majorBidi" w:cstheme="majorBidi"/>
          <w:i/>
          <w:iCs/>
          <w:color w:val="000000"/>
          <w:sz w:val="20"/>
          <w:szCs w:val="20"/>
          <w:lang w:val="en-US"/>
        </w:rPr>
        <w:t xml:space="preserve">al., </w:t>
      </w:r>
      <w:r w:rsidRPr="007B566C">
        <w:rPr>
          <w:rFonts w:asciiTheme="majorBidi" w:hAnsiTheme="majorBidi" w:cstheme="majorBidi"/>
          <w:color w:val="000000"/>
          <w:sz w:val="20"/>
          <w:szCs w:val="20"/>
          <w:lang w:val="en-US"/>
        </w:rPr>
        <w:t>2009).</w:t>
      </w:r>
      <w:r w:rsidR="000B07DB" w:rsidRPr="007B566C">
        <w:rPr>
          <w:rFonts w:asciiTheme="majorBidi" w:hAnsiTheme="majorBidi" w:cstheme="majorBidi"/>
          <w:color w:val="000000"/>
          <w:sz w:val="20"/>
          <w:szCs w:val="20"/>
          <w:lang w:val="en-US"/>
        </w:rPr>
        <w:t xml:space="preserve"> </w:t>
      </w:r>
      <w:r w:rsidR="00CE5297" w:rsidRPr="007B566C">
        <w:rPr>
          <w:rFonts w:asciiTheme="majorBidi" w:hAnsiTheme="majorBidi" w:cstheme="majorBidi"/>
          <w:color w:val="000000"/>
          <w:sz w:val="20"/>
          <w:szCs w:val="20"/>
          <w:lang w:val="en-US"/>
        </w:rPr>
        <w:t>Our</w:t>
      </w:r>
      <w:r w:rsidR="00565C9E" w:rsidRPr="007B566C">
        <w:rPr>
          <w:rFonts w:asciiTheme="majorBidi" w:hAnsiTheme="majorBidi" w:cstheme="majorBidi"/>
          <w:color w:val="000000"/>
          <w:sz w:val="20"/>
          <w:szCs w:val="20"/>
          <w:lang w:val="en-US"/>
        </w:rPr>
        <w:t xml:space="preserve"> measure of private benefits of control is based on the</w:t>
      </w:r>
      <w:r w:rsidR="00CE5297" w:rsidRPr="007B566C">
        <w:rPr>
          <w:rFonts w:asciiTheme="majorBidi" w:hAnsiTheme="majorBidi" w:cstheme="majorBidi"/>
          <w:color w:val="000000"/>
          <w:sz w:val="20"/>
          <w:szCs w:val="20"/>
          <w:lang w:val="en-US"/>
        </w:rPr>
        <w:t xml:space="preserve"> amount of related party transactions </w:t>
      </w:r>
      <w:r w:rsidRPr="007B566C">
        <w:rPr>
          <w:rFonts w:asciiTheme="majorBidi" w:hAnsiTheme="majorBidi" w:cstheme="majorBidi"/>
          <w:color w:val="000000"/>
          <w:sz w:val="20"/>
          <w:szCs w:val="20"/>
          <w:lang w:val="en-US"/>
        </w:rPr>
        <w:t xml:space="preserve">that </w:t>
      </w:r>
      <w:r w:rsidRPr="007B566C">
        <w:rPr>
          <w:rFonts w:asciiTheme="majorBidi" w:hAnsiTheme="majorBidi" w:cstheme="majorBidi"/>
          <w:sz w:val="20"/>
          <w:szCs w:val="20"/>
          <w:lang w:val="en-US"/>
        </w:rPr>
        <w:t xml:space="preserve">accrue </w:t>
      </w:r>
      <w:r w:rsidR="00482395" w:rsidRPr="007B566C">
        <w:rPr>
          <w:rFonts w:asciiTheme="majorBidi" w:hAnsiTheme="majorBidi" w:cstheme="majorBidi"/>
          <w:sz w:val="20"/>
          <w:szCs w:val="20"/>
          <w:lang w:val="en-US"/>
        </w:rPr>
        <w:t xml:space="preserve">to large </w:t>
      </w:r>
      <w:r w:rsidRPr="007B566C">
        <w:rPr>
          <w:rFonts w:asciiTheme="majorBidi" w:hAnsiTheme="majorBidi" w:cstheme="majorBidi"/>
          <w:sz w:val="20"/>
          <w:szCs w:val="20"/>
          <w:lang w:val="en-US"/>
        </w:rPr>
        <w:lastRenderedPageBreak/>
        <w:t>shareholders</w:t>
      </w:r>
      <w:r w:rsidRPr="007B566C">
        <w:rPr>
          <w:rFonts w:asciiTheme="majorBidi" w:hAnsiTheme="majorBidi" w:cstheme="majorBidi"/>
          <w:color w:val="000000"/>
          <w:sz w:val="20"/>
          <w:szCs w:val="20"/>
          <w:lang w:val="en-US"/>
        </w:rPr>
        <w:t xml:space="preserve">. RPT is the proxy of the related party transactions. It is </w:t>
      </w:r>
      <w:proofErr w:type="spellStart"/>
      <w:r w:rsidR="000F65C5" w:rsidRPr="007B566C">
        <w:rPr>
          <w:rFonts w:asciiTheme="majorBidi" w:hAnsiTheme="majorBidi" w:cstheme="majorBidi"/>
          <w:sz w:val="20"/>
          <w:szCs w:val="20"/>
          <w:lang w:val="en-US"/>
        </w:rPr>
        <w:t>approximed</w:t>
      </w:r>
      <w:proofErr w:type="spellEnd"/>
      <w:r w:rsidRPr="007B566C">
        <w:rPr>
          <w:rFonts w:asciiTheme="majorBidi" w:hAnsiTheme="majorBidi" w:cstheme="majorBidi"/>
          <w:sz w:val="20"/>
          <w:szCs w:val="20"/>
          <w:lang w:val="en-US"/>
        </w:rPr>
        <w:t xml:space="preserve"> by the </w:t>
      </w:r>
      <w:proofErr w:type="spellStart"/>
      <w:r w:rsidRPr="007B566C">
        <w:rPr>
          <w:rFonts w:asciiTheme="majorBidi" w:hAnsiTheme="majorBidi" w:cstheme="majorBidi"/>
          <w:sz w:val="20"/>
          <w:szCs w:val="20"/>
          <w:lang w:val="en-US"/>
        </w:rPr>
        <w:t>neperian</w:t>
      </w:r>
      <w:proofErr w:type="spellEnd"/>
      <w:r w:rsidRPr="007B566C">
        <w:rPr>
          <w:rFonts w:asciiTheme="majorBidi" w:hAnsiTheme="majorBidi" w:cstheme="majorBidi"/>
          <w:sz w:val="20"/>
          <w:szCs w:val="20"/>
          <w:lang w:val="en-US"/>
        </w:rPr>
        <w:t xml:space="preserve"> logarithm of the sum (1+</w:t>
      </w:r>
      <w:r w:rsidR="00273509">
        <w:rPr>
          <w:rFonts w:asciiTheme="majorBidi" w:hAnsiTheme="majorBidi" w:cstheme="majorBidi"/>
          <w:sz w:val="20"/>
          <w:szCs w:val="20"/>
          <w:lang w:val="en-US"/>
        </w:rPr>
        <w:t xml:space="preserve"> </w:t>
      </w:r>
      <w:r w:rsidRPr="007B566C">
        <w:rPr>
          <w:rFonts w:asciiTheme="majorBidi" w:hAnsiTheme="majorBidi" w:cstheme="majorBidi"/>
          <w:sz w:val="20"/>
          <w:szCs w:val="20"/>
          <w:lang w:val="en-US"/>
        </w:rPr>
        <w:t xml:space="preserve">the amount of related party transactions). </w:t>
      </w:r>
      <w:r w:rsidR="00273509" w:rsidRPr="007B566C">
        <w:rPr>
          <w:rFonts w:asciiTheme="majorBidi" w:hAnsiTheme="majorBidi" w:cstheme="majorBidi"/>
          <w:sz w:val="20"/>
          <w:szCs w:val="20"/>
          <w:lang w:val="en-US"/>
        </w:rPr>
        <w:t xml:space="preserve">Following Bradford et al. (2013) and </w:t>
      </w:r>
      <w:proofErr w:type="spellStart"/>
      <w:r w:rsidR="00273509" w:rsidRPr="007B566C">
        <w:rPr>
          <w:rFonts w:asciiTheme="majorBidi" w:hAnsiTheme="majorBidi" w:cstheme="majorBidi"/>
          <w:sz w:val="20"/>
          <w:szCs w:val="20"/>
          <w:lang w:val="en-US"/>
        </w:rPr>
        <w:t>Adjaoud</w:t>
      </w:r>
      <w:proofErr w:type="spellEnd"/>
      <w:r w:rsidR="00273509" w:rsidRPr="007B566C">
        <w:rPr>
          <w:rFonts w:asciiTheme="majorBidi" w:hAnsiTheme="majorBidi" w:cstheme="majorBidi"/>
          <w:sz w:val="20"/>
          <w:szCs w:val="20"/>
          <w:lang w:val="en-US"/>
        </w:rPr>
        <w:t xml:space="preserve"> and Ben-</w:t>
      </w:r>
      <w:proofErr w:type="spellStart"/>
      <w:r w:rsidR="00273509" w:rsidRPr="007B566C">
        <w:rPr>
          <w:rFonts w:asciiTheme="majorBidi" w:hAnsiTheme="majorBidi" w:cstheme="majorBidi"/>
          <w:sz w:val="20"/>
          <w:szCs w:val="20"/>
          <w:lang w:val="en-US"/>
        </w:rPr>
        <w:t>Amar</w:t>
      </w:r>
      <w:proofErr w:type="spellEnd"/>
      <w:r w:rsidR="00273509" w:rsidRPr="007B566C">
        <w:rPr>
          <w:rFonts w:asciiTheme="majorBidi" w:hAnsiTheme="majorBidi" w:cstheme="majorBidi"/>
          <w:sz w:val="20"/>
          <w:szCs w:val="20"/>
          <w:lang w:val="en-US"/>
        </w:rPr>
        <w:t xml:space="preserve"> (2010), dividend payout </w:t>
      </w:r>
      <w:r w:rsidR="00762F8D">
        <w:rPr>
          <w:rFonts w:asciiTheme="majorBidi" w:hAnsiTheme="majorBidi" w:cstheme="majorBidi"/>
          <w:sz w:val="20"/>
          <w:szCs w:val="20"/>
          <w:lang w:val="en-US"/>
        </w:rPr>
        <w:t xml:space="preserve">(DPR) </w:t>
      </w:r>
      <w:r w:rsidR="00273509" w:rsidRPr="007B566C">
        <w:rPr>
          <w:rFonts w:asciiTheme="majorBidi" w:hAnsiTheme="majorBidi" w:cstheme="majorBidi"/>
          <w:sz w:val="20"/>
          <w:szCs w:val="20"/>
          <w:lang w:val="en-US"/>
        </w:rPr>
        <w:t xml:space="preserve">is defined by the ratio of cash dividend per share to earnings per share. </w:t>
      </w:r>
    </w:p>
    <w:p w:rsidR="00273509" w:rsidRPr="007B566C" w:rsidRDefault="00273509" w:rsidP="00273509">
      <w:pPr>
        <w:widowControl w:val="0"/>
        <w:tabs>
          <w:tab w:val="left" w:pos="0"/>
          <w:tab w:val="left" w:pos="142"/>
        </w:tabs>
        <w:spacing w:after="0" w:line="240" w:lineRule="auto"/>
        <w:jc w:val="both"/>
        <w:rPr>
          <w:rFonts w:asciiTheme="majorBidi" w:hAnsiTheme="majorBidi" w:cstheme="majorBidi"/>
          <w:sz w:val="20"/>
          <w:szCs w:val="20"/>
          <w:lang w:val="en-US"/>
        </w:rPr>
      </w:pPr>
    </w:p>
    <w:p w:rsidR="00834A68" w:rsidRPr="00834A68" w:rsidRDefault="003507F9" w:rsidP="00F21618">
      <w:pPr>
        <w:widowControl w:val="0"/>
        <w:tabs>
          <w:tab w:val="left" w:pos="0"/>
          <w:tab w:val="left" w:pos="142"/>
        </w:tabs>
        <w:autoSpaceDE w:val="0"/>
        <w:autoSpaceDN w:val="0"/>
        <w:adjustRightInd w:val="0"/>
        <w:spacing w:after="0" w:line="240" w:lineRule="auto"/>
        <w:ind w:firstLine="709"/>
        <w:jc w:val="both"/>
        <w:rPr>
          <w:rFonts w:asciiTheme="majorBidi" w:hAnsiTheme="majorBidi" w:cstheme="majorBidi"/>
          <w:sz w:val="20"/>
          <w:szCs w:val="20"/>
          <w:lang w:val="en-US"/>
        </w:rPr>
      </w:pPr>
      <w:r w:rsidRPr="007B566C">
        <w:rPr>
          <w:rFonts w:asciiTheme="majorBidi" w:hAnsiTheme="majorBidi" w:cstheme="majorBidi"/>
          <w:sz w:val="20"/>
          <w:szCs w:val="20"/>
          <w:lang w:val="en-US"/>
        </w:rPr>
        <w:t>Higher levels of private benefits of control can either increase the dividend payout ratio (</w:t>
      </w:r>
      <w:r w:rsidR="005365D6" w:rsidRPr="00834A68">
        <w:rPr>
          <w:rFonts w:asciiTheme="majorBidi" w:hAnsiTheme="majorBidi" w:cstheme="majorBidi"/>
          <w:sz w:val="20"/>
          <w:szCs w:val="20"/>
          <w:lang w:val="en-US"/>
        </w:rPr>
        <w:t xml:space="preserve">La </w:t>
      </w:r>
      <w:proofErr w:type="spellStart"/>
      <w:r w:rsidR="005365D6" w:rsidRPr="00834A68">
        <w:rPr>
          <w:rFonts w:asciiTheme="majorBidi" w:hAnsiTheme="majorBidi" w:cstheme="majorBidi"/>
          <w:sz w:val="20"/>
          <w:szCs w:val="20"/>
          <w:lang w:val="en-US"/>
        </w:rPr>
        <w:t>Porta</w:t>
      </w:r>
      <w:proofErr w:type="spellEnd"/>
      <w:r w:rsidR="005365D6" w:rsidRPr="00834A68">
        <w:rPr>
          <w:rFonts w:asciiTheme="majorBidi" w:hAnsiTheme="majorBidi" w:cstheme="majorBidi"/>
          <w:sz w:val="20"/>
          <w:szCs w:val="20"/>
          <w:lang w:val="en-US"/>
        </w:rPr>
        <w:t xml:space="preserve"> et al., 2000</w:t>
      </w:r>
      <w:r w:rsidR="005365D6">
        <w:rPr>
          <w:rFonts w:asciiTheme="majorBidi" w:hAnsiTheme="majorBidi" w:cstheme="majorBidi"/>
          <w:sz w:val="20"/>
          <w:szCs w:val="20"/>
          <w:lang w:val="en-US"/>
        </w:rPr>
        <w:t xml:space="preserve">; </w:t>
      </w:r>
      <w:proofErr w:type="spellStart"/>
      <w:r w:rsidRPr="007B566C">
        <w:rPr>
          <w:rFonts w:asciiTheme="majorBidi" w:hAnsiTheme="majorBidi" w:cstheme="majorBidi"/>
          <w:sz w:val="20"/>
          <w:szCs w:val="20"/>
          <w:lang w:val="en-US"/>
        </w:rPr>
        <w:t>Faccio</w:t>
      </w:r>
      <w:proofErr w:type="spellEnd"/>
      <w:r w:rsidRPr="007B566C">
        <w:rPr>
          <w:rFonts w:asciiTheme="majorBidi" w:hAnsiTheme="majorBidi" w:cstheme="majorBidi"/>
          <w:sz w:val="20"/>
          <w:szCs w:val="20"/>
          <w:lang w:val="en-US"/>
        </w:rPr>
        <w:t xml:space="preserve"> et al., 2001; </w:t>
      </w:r>
      <w:proofErr w:type="spellStart"/>
      <w:r w:rsidR="005365D6" w:rsidRPr="00834A68">
        <w:rPr>
          <w:rFonts w:asciiTheme="majorBidi" w:hAnsiTheme="majorBidi" w:cstheme="majorBidi"/>
          <w:sz w:val="20"/>
          <w:szCs w:val="20"/>
          <w:bdr w:val="none" w:sz="0" w:space="0" w:color="auto" w:frame="1"/>
          <w:shd w:val="clear" w:color="auto" w:fill="FFFFFF"/>
          <w:lang w:val="en-US"/>
        </w:rPr>
        <w:t>Gugler</w:t>
      </w:r>
      <w:proofErr w:type="spellEnd"/>
      <w:r w:rsidR="005365D6" w:rsidRPr="00834A68">
        <w:rPr>
          <w:rFonts w:asciiTheme="majorBidi" w:hAnsiTheme="majorBidi" w:cstheme="majorBidi"/>
          <w:sz w:val="20"/>
          <w:szCs w:val="20"/>
          <w:bdr w:val="none" w:sz="0" w:space="0" w:color="auto" w:frame="1"/>
          <w:shd w:val="clear" w:color="auto" w:fill="FFFFFF"/>
          <w:lang w:val="en-US"/>
        </w:rPr>
        <w:t xml:space="preserve"> and </w:t>
      </w:r>
      <w:proofErr w:type="spellStart"/>
      <w:r w:rsidR="005365D6" w:rsidRPr="00834A68">
        <w:rPr>
          <w:rFonts w:asciiTheme="majorBidi" w:hAnsiTheme="majorBidi" w:cstheme="majorBidi"/>
          <w:sz w:val="20"/>
          <w:szCs w:val="20"/>
          <w:bdr w:val="none" w:sz="0" w:space="0" w:color="auto" w:frame="1"/>
          <w:shd w:val="clear" w:color="auto" w:fill="FFFFFF"/>
          <w:lang w:val="en-US"/>
        </w:rPr>
        <w:t>Yurtoglu</w:t>
      </w:r>
      <w:proofErr w:type="spellEnd"/>
      <w:r w:rsidR="005365D6" w:rsidRPr="00834A68">
        <w:rPr>
          <w:rFonts w:asciiTheme="majorBidi" w:hAnsiTheme="majorBidi" w:cstheme="majorBidi"/>
          <w:sz w:val="20"/>
          <w:szCs w:val="20"/>
          <w:bdr w:val="none" w:sz="0" w:space="0" w:color="auto" w:frame="1"/>
          <w:shd w:val="clear" w:color="auto" w:fill="FFFFFF"/>
          <w:lang w:val="en-US"/>
        </w:rPr>
        <w:t>, 2003</w:t>
      </w:r>
      <w:r w:rsidRPr="007B566C">
        <w:rPr>
          <w:rFonts w:asciiTheme="majorBidi" w:hAnsiTheme="majorBidi" w:cstheme="majorBidi"/>
          <w:sz w:val="20"/>
          <w:szCs w:val="20"/>
          <w:lang w:val="en-US"/>
        </w:rPr>
        <w:t>)</w:t>
      </w:r>
      <w:r w:rsidRPr="007B566C">
        <w:rPr>
          <w:rFonts w:asciiTheme="majorBidi" w:hAnsiTheme="majorBidi" w:cstheme="majorBidi"/>
          <w:color w:val="FF0000"/>
          <w:sz w:val="20"/>
          <w:szCs w:val="20"/>
          <w:lang w:val="en-US"/>
        </w:rPr>
        <w:t xml:space="preserve"> </w:t>
      </w:r>
      <w:r w:rsidRPr="007B566C">
        <w:rPr>
          <w:rFonts w:asciiTheme="majorBidi" w:hAnsiTheme="majorBidi" w:cstheme="majorBidi"/>
          <w:sz w:val="20"/>
          <w:szCs w:val="20"/>
          <w:lang w:val="en-US"/>
        </w:rPr>
        <w:t xml:space="preserve">or decrease </w:t>
      </w:r>
      <w:r w:rsidR="005365D6">
        <w:rPr>
          <w:rFonts w:asciiTheme="majorBidi" w:hAnsiTheme="majorBidi" w:cstheme="majorBidi"/>
          <w:sz w:val="20"/>
          <w:szCs w:val="20"/>
          <w:lang w:val="en-US"/>
        </w:rPr>
        <w:t>it</w:t>
      </w:r>
      <w:r w:rsidRPr="007B566C">
        <w:rPr>
          <w:rFonts w:asciiTheme="majorBidi" w:hAnsiTheme="majorBidi" w:cstheme="majorBidi"/>
          <w:sz w:val="20"/>
          <w:szCs w:val="20"/>
          <w:lang w:val="en-US"/>
        </w:rPr>
        <w:t xml:space="preserve"> (</w:t>
      </w:r>
      <w:proofErr w:type="spellStart"/>
      <w:r w:rsidR="00834A68" w:rsidRPr="007B566C">
        <w:rPr>
          <w:rFonts w:asciiTheme="majorBidi" w:hAnsiTheme="majorBidi" w:cstheme="majorBidi"/>
          <w:sz w:val="20"/>
          <w:szCs w:val="20"/>
          <w:lang w:val="en-US"/>
        </w:rPr>
        <w:t>Shleifer</w:t>
      </w:r>
      <w:proofErr w:type="spellEnd"/>
      <w:r w:rsidR="00834A68" w:rsidRPr="007B566C">
        <w:rPr>
          <w:rFonts w:asciiTheme="majorBidi" w:hAnsiTheme="majorBidi" w:cstheme="majorBidi"/>
          <w:sz w:val="20"/>
          <w:szCs w:val="20"/>
          <w:lang w:val="en-US"/>
        </w:rPr>
        <w:t xml:space="preserve"> and </w:t>
      </w:r>
      <w:proofErr w:type="spellStart"/>
      <w:r w:rsidR="00834A68" w:rsidRPr="007B566C">
        <w:rPr>
          <w:rFonts w:asciiTheme="majorBidi" w:hAnsiTheme="majorBidi" w:cstheme="majorBidi"/>
          <w:sz w:val="20"/>
          <w:szCs w:val="20"/>
          <w:lang w:val="en-US"/>
        </w:rPr>
        <w:t>Vishny</w:t>
      </w:r>
      <w:proofErr w:type="spellEnd"/>
      <w:r w:rsidR="00834A68" w:rsidRPr="007B566C">
        <w:rPr>
          <w:rFonts w:asciiTheme="majorBidi" w:hAnsiTheme="majorBidi" w:cstheme="majorBidi"/>
          <w:sz w:val="20"/>
          <w:szCs w:val="20"/>
          <w:lang w:val="en-US"/>
        </w:rPr>
        <w:t xml:space="preserve">, 1997; </w:t>
      </w:r>
      <w:proofErr w:type="spellStart"/>
      <w:r w:rsidR="00834A68" w:rsidRPr="007B566C">
        <w:rPr>
          <w:rFonts w:asciiTheme="majorBidi" w:hAnsiTheme="majorBidi" w:cstheme="majorBidi"/>
          <w:sz w:val="20"/>
          <w:szCs w:val="20"/>
          <w:lang w:val="en-US"/>
        </w:rPr>
        <w:t>Faccio</w:t>
      </w:r>
      <w:proofErr w:type="spellEnd"/>
      <w:r w:rsidR="00834A68" w:rsidRPr="007B566C">
        <w:rPr>
          <w:rFonts w:asciiTheme="majorBidi" w:hAnsiTheme="majorBidi" w:cstheme="majorBidi"/>
          <w:sz w:val="20"/>
          <w:szCs w:val="20"/>
          <w:lang w:val="en-US"/>
        </w:rPr>
        <w:t xml:space="preserve"> et al., 2001;</w:t>
      </w:r>
      <w:r w:rsidR="00834A68" w:rsidRPr="00356FB2">
        <w:rPr>
          <w:rFonts w:ascii="TimesNewRoman" w:eastAsia="Calibri" w:hAnsi="TimesNewRoman" w:cs="TimesNewRoman"/>
          <w:sz w:val="20"/>
          <w:szCs w:val="20"/>
          <w:lang w:val="en-US"/>
        </w:rPr>
        <w:t xml:space="preserve"> </w:t>
      </w:r>
      <w:proofErr w:type="spellStart"/>
      <w:r w:rsidR="00834A68" w:rsidRPr="00356FB2">
        <w:rPr>
          <w:rFonts w:ascii="TimesNewRoman" w:eastAsia="Calibri" w:hAnsi="TimesNewRoman" w:cs="TimesNewRoman"/>
          <w:sz w:val="20"/>
          <w:szCs w:val="20"/>
          <w:lang w:val="en-US"/>
        </w:rPr>
        <w:t>Renneboog</w:t>
      </w:r>
      <w:proofErr w:type="spellEnd"/>
      <w:r w:rsidR="00834A68" w:rsidRPr="00356FB2">
        <w:rPr>
          <w:rFonts w:ascii="TimesNewRoman" w:eastAsia="Calibri" w:hAnsi="TimesNewRoman" w:cs="TimesNewRoman"/>
          <w:sz w:val="20"/>
          <w:szCs w:val="20"/>
          <w:lang w:val="en-US"/>
        </w:rPr>
        <w:t xml:space="preserve"> and </w:t>
      </w:r>
      <w:proofErr w:type="spellStart"/>
      <w:r w:rsidR="00834A68" w:rsidRPr="00356FB2">
        <w:rPr>
          <w:rFonts w:ascii="TimesNewRoman" w:eastAsia="Calibri" w:hAnsi="TimesNewRoman" w:cs="TimesNewRoman"/>
          <w:sz w:val="20"/>
          <w:szCs w:val="20"/>
          <w:lang w:val="en-US"/>
        </w:rPr>
        <w:t>Trojanowski</w:t>
      </w:r>
      <w:proofErr w:type="spellEnd"/>
      <w:r w:rsidR="00834A68">
        <w:rPr>
          <w:rFonts w:ascii="TimesNewRoman" w:eastAsia="Calibri" w:hAnsi="TimesNewRoman" w:cs="TimesNewRoman"/>
          <w:sz w:val="20"/>
          <w:szCs w:val="20"/>
          <w:lang w:val="en-US"/>
        </w:rPr>
        <w:t xml:space="preserve">, </w:t>
      </w:r>
      <w:r w:rsidR="00834A68" w:rsidRPr="00356FB2">
        <w:rPr>
          <w:rFonts w:ascii="TimesNewRoman" w:eastAsia="Calibri" w:hAnsi="TimesNewRoman" w:cs="TimesNewRoman"/>
          <w:sz w:val="20"/>
          <w:szCs w:val="20"/>
          <w:lang w:val="en-US"/>
        </w:rPr>
        <w:t>2005</w:t>
      </w:r>
      <w:r w:rsidR="00834A68">
        <w:rPr>
          <w:rFonts w:ascii="TimesNewRoman" w:eastAsia="Calibri" w:hAnsi="TimesNewRoman" w:cs="TimesNewRoman"/>
          <w:sz w:val="20"/>
          <w:szCs w:val="20"/>
          <w:lang w:val="en-US"/>
        </w:rPr>
        <w:t xml:space="preserve">; </w:t>
      </w:r>
      <w:r w:rsidR="00834A68" w:rsidRPr="00356FB2">
        <w:rPr>
          <w:rFonts w:ascii="TimesNewRoman" w:eastAsia="Calibri" w:hAnsi="TimesNewRoman" w:cs="TimesNewRoman"/>
          <w:sz w:val="20"/>
          <w:szCs w:val="20"/>
          <w:lang w:val="en-US"/>
        </w:rPr>
        <w:t>Khan</w:t>
      </w:r>
      <w:r w:rsidR="00834A68">
        <w:rPr>
          <w:rFonts w:ascii="TimesNewRoman" w:eastAsia="Calibri" w:hAnsi="TimesNewRoman" w:cs="TimesNewRoman"/>
          <w:sz w:val="20"/>
          <w:szCs w:val="20"/>
          <w:lang w:val="en-US"/>
        </w:rPr>
        <w:t xml:space="preserve">, 2006; </w:t>
      </w:r>
      <w:r w:rsidR="00834A68" w:rsidRPr="00356FB2">
        <w:rPr>
          <w:rFonts w:ascii="TimesNewRoman" w:eastAsia="Calibri" w:hAnsi="TimesNewRoman" w:cs="TimesNewRoman"/>
          <w:sz w:val="20"/>
          <w:szCs w:val="20"/>
          <w:lang w:val="en-US"/>
        </w:rPr>
        <w:t>Harada and Nguyen</w:t>
      </w:r>
      <w:r w:rsidR="00834A68">
        <w:rPr>
          <w:rFonts w:ascii="TimesNewRoman" w:eastAsia="Calibri" w:hAnsi="TimesNewRoman" w:cs="TimesNewRoman"/>
          <w:sz w:val="20"/>
          <w:szCs w:val="20"/>
          <w:lang w:val="en-US"/>
        </w:rPr>
        <w:t xml:space="preserve">, </w:t>
      </w:r>
      <w:r w:rsidR="00834A68" w:rsidRPr="00356FB2">
        <w:rPr>
          <w:rFonts w:ascii="TimesNewRoman" w:eastAsia="Calibri" w:hAnsi="TimesNewRoman" w:cs="TimesNewRoman"/>
          <w:sz w:val="20"/>
          <w:szCs w:val="20"/>
          <w:lang w:val="en-US"/>
        </w:rPr>
        <w:t>2011</w:t>
      </w:r>
      <w:r w:rsidR="00834A68">
        <w:rPr>
          <w:rFonts w:ascii="TimesNewRoman" w:eastAsia="Calibri" w:hAnsi="TimesNewRoman" w:cs="TimesNewRoman"/>
          <w:sz w:val="20"/>
          <w:szCs w:val="20"/>
          <w:lang w:val="en-US"/>
        </w:rPr>
        <w:t>).</w:t>
      </w:r>
      <w:r w:rsidR="005365D6">
        <w:rPr>
          <w:rFonts w:ascii="TimesNewRoman" w:eastAsia="Calibri" w:hAnsi="TimesNewRoman" w:cs="TimesNewRoman"/>
          <w:sz w:val="20"/>
          <w:szCs w:val="20"/>
          <w:lang w:val="en-US"/>
        </w:rPr>
        <w:t xml:space="preserve"> Alternatively, h</w:t>
      </w:r>
      <w:r w:rsidR="00834A68">
        <w:rPr>
          <w:rFonts w:asciiTheme="majorBidi" w:hAnsiTheme="majorBidi" w:cstheme="majorBidi"/>
          <w:sz w:val="20"/>
          <w:szCs w:val="20"/>
          <w:lang w:val="en-US"/>
        </w:rPr>
        <w:t xml:space="preserve">igher dividends </w:t>
      </w:r>
      <w:r w:rsidR="005365D6">
        <w:rPr>
          <w:rFonts w:asciiTheme="majorBidi" w:hAnsiTheme="majorBidi" w:cstheme="majorBidi"/>
          <w:sz w:val="20"/>
          <w:szCs w:val="20"/>
          <w:lang w:val="en-US"/>
        </w:rPr>
        <w:t xml:space="preserve">can </w:t>
      </w:r>
      <w:r w:rsidR="00834A68">
        <w:rPr>
          <w:rFonts w:asciiTheme="majorBidi" w:hAnsiTheme="majorBidi" w:cstheme="majorBidi"/>
          <w:sz w:val="20"/>
          <w:szCs w:val="20"/>
          <w:lang w:val="en-US"/>
        </w:rPr>
        <w:t xml:space="preserve">imply </w:t>
      </w:r>
      <w:r w:rsidR="005365D6">
        <w:rPr>
          <w:rFonts w:asciiTheme="majorBidi" w:hAnsiTheme="majorBidi" w:cstheme="majorBidi"/>
          <w:sz w:val="20"/>
          <w:szCs w:val="20"/>
          <w:lang w:val="en-US"/>
        </w:rPr>
        <w:t xml:space="preserve">either </w:t>
      </w:r>
      <w:r w:rsidR="00834A68">
        <w:rPr>
          <w:rFonts w:asciiTheme="majorBidi" w:hAnsiTheme="majorBidi" w:cstheme="majorBidi"/>
          <w:sz w:val="20"/>
          <w:szCs w:val="20"/>
          <w:lang w:val="en-US"/>
        </w:rPr>
        <w:t xml:space="preserve">a severe rent extraction and expropriation </w:t>
      </w:r>
      <w:r w:rsidR="005365D6">
        <w:rPr>
          <w:rFonts w:asciiTheme="majorBidi" w:hAnsiTheme="majorBidi" w:cstheme="majorBidi"/>
          <w:sz w:val="20"/>
          <w:szCs w:val="20"/>
          <w:lang w:val="en-US"/>
        </w:rPr>
        <w:t>(</w:t>
      </w:r>
      <w:proofErr w:type="spellStart"/>
      <w:r w:rsidR="00834A68" w:rsidRPr="007B566C">
        <w:rPr>
          <w:rFonts w:asciiTheme="majorBidi" w:hAnsiTheme="majorBidi" w:cstheme="majorBidi"/>
          <w:sz w:val="20"/>
          <w:szCs w:val="20"/>
          <w:lang w:val="en-US"/>
        </w:rPr>
        <w:t>Rozeff</w:t>
      </w:r>
      <w:proofErr w:type="spellEnd"/>
      <w:r w:rsidR="00834A68" w:rsidRPr="007B566C">
        <w:rPr>
          <w:rFonts w:asciiTheme="majorBidi" w:hAnsiTheme="majorBidi" w:cstheme="majorBidi"/>
          <w:sz w:val="20"/>
          <w:szCs w:val="20"/>
          <w:lang w:val="en-US"/>
        </w:rPr>
        <w:t>, 1982; Easterbrook, 1984; Jensen, 1986</w:t>
      </w:r>
      <w:r w:rsidR="005365D6">
        <w:rPr>
          <w:rFonts w:asciiTheme="majorBidi" w:hAnsiTheme="majorBidi" w:cstheme="majorBidi"/>
          <w:sz w:val="20"/>
          <w:szCs w:val="20"/>
          <w:lang w:val="en-US"/>
        </w:rPr>
        <w:t xml:space="preserve">; </w:t>
      </w:r>
      <w:r w:rsidR="005365D6" w:rsidRPr="007B566C">
        <w:rPr>
          <w:rFonts w:asciiTheme="majorBidi" w:hAnsiTheme="majorBidi" w:cstheme="majorBidi"/>
          <w:color w:val="000000"/>
          <w:sz w:val="20"/>
          <w:szCs w:val="20"/>
          <w:lang w:val="en-US"/>
        </w:rPr>
        <w:t xml:space="preserve">La </w:t>
      </w:r>
      <w:proofErr w:type="spellStart"/>
      <w:r w:rsidR="005365D6" w:rsidRPr="007B566C">
        <w:rPr>
          <w:rFonts w:asciiTheme="majorBidi" w:hAnsiTheme="majorBidi" w:cstheme="majorBidi"/>
          <w:color w:val="000000"/>
          <w:sz w:val="20"/>
          <w:szCs w:val="20"/>
          <w:lang w:val="en-US"/>
        </w:rPr>
        <w:t>Porta</w:t>
      </w:r>
      <w:proofErr w:type="spellEnd"/>
      <w:r w:rsidR="005365D6" w:rsidRPr="007B566C">
        <w:rPr>
          <w:rFonts w:asciiTheme="majorBidi" w:hAnsiTheme="majorBidi" w:cstheme="majorBidi"/>
          <w:color w:val="000000"/>
          <w:sz w:val="20"/>
          <w:szCs w:val="20"/>
          <w:lang w:val="en-US"/>
        </w:rPr>
        <w:t xml:space="preserve"> et al.,</w:t>
      </w:r>
      <w:r w:rsidR="005365D6">
        <w:rPr>
          <w:rFonts w:asciiTheme="majorBidi" w:hAnsiTheme="majorBidi" w:cstheme="majorBidi"/>
          <w:color w:val="000000"/>
          <w:sz w:val="20"/>
          <w:szCs w:val="20"/>
          <w:lang w:val="en-US"/>
        </w:rPr>
        <w:t xml:space="preserve"> </w:t>
      </w:r>
      <w:r w:rsidR="005365D6" w:rsidRPr="007B566C">
        <w:rPr>
          <w:rFonts w:asciiTheme="majorBidi" w:hAnsiTheme="majorBidi" w:cstheme="majorBidi"/>
          <w:color w:val="000000"/>
          <w:sz w:val="20"/>
          <w:szCs w:val="20"/>
          <w:lang w:val="en-US"/>
        </w:rPr>
        <w:t>2000</w:t>
      </w:r>
      <w:r w:rsidR="005365D6">
        <w:rPr>
          <w:rFonts w:asciiTheme="majorBidi" w:hAnsiTheme="majorBidi" w:cstheme="majorBidi"/>
          <w:color w:val="000000"/>
          <w:sz w:val="20"/>
          <w:szCs w:val="20"/>
          <w:lang w:val="en-US"/>
        </w:rPr>
        <w:t>) or a lower issue (</w:t>
      </w:r>
      <w:proofErr w:type="spellStart"/>
      <w:r w:rsidR="005365D6" w:rsidRPr="007B566C">
        <w:rPr>
          <w:rFonts w:asciiTheme="majorBidi" w:hAnsiTheme="majorBidi" w:cstheme="majorBidi"/>
          <w:sz w:val="20"/>
          <w:szCs w:val="20"/>
          <w:lang w:val="en-US"/>
        </w:rPr>
        <w:t>Fudenberg</w:t>
      </w:r>
      <w:proofErr w:type="spellEnd"/>
      <w:r w:rsidR="005365D6" w:rsidRPr="007B566C">
        <w:rPr>
          <w:rFonts w:asciiTheme="majorBidi" w:hAnsiTheme="majorBidi" w:cstheme="majorBidi"/>
          <w:sz w:val="20"/>
          <w:szCs w:val="20"/>
          <w:lang w:val="en-US"/>
        </w:rPr>
        <w:t xml:space="preserve"> and </w:t>
      </w:r>
      <w:proofErr w:type="spellStart"/>
      <w:r w:rsidR="005365D6" w:rsidRPr="007B566C">
        <w:rPr>
          <w:rFonts w:asciiTheme="majorBidi" w:hAnsiTheme="majorBidi" w:cstheme="majorBidi"/>
          <w:sz w:val="20"/>
          <w:szCs w:val="20"/>
          <w:lang w:val="en-US"/>
        </w:rPr>
        <w:t>Tirole</w:t>
      </w:r>
      <w:proofErr w:type="spellEnd"/>
      <w:r w:rsidR="005365D6" w:rsidRPr="007B566C">
        <w:rPr>
          <w:rFonts w:asciiTheme="majorBidi" w:hAnsiTheme="majorBidi" w:cstheme="majorBidi"/>
          <w:sz w:val="20"/>
          <w:szCs w:val="20"/>
          <w:lang w:val="en-US"/>
        </w:rPr>
        <w:t>, 1995</w:t>
      </w:r>
      <w:r w:rsidR="005365D6">
        <w:rPr>
          <w:rFonts w:asciiTheme="majorBidi" w:hAnsiTheme="majorBidi" w:cstheme="majorBidi"/>
          <w:sz w:val="20"/>
          <w:szCs w:val="20"/>
          <w:lang w:val="en-US"/>
        </w:rPr>
        <w:t xml:space="preserve">; </w:t>
      </w:r>
      <w:proofErr w:type="spellStart"/>
      <w:r w:rsidR="005365D6" w:rsidRPr="007B566C">
        <w:rPr>
          <w:rFonts w:asciiTheme="majorBidi" w:hAnsiTheme="majorBidi" w:cstheme="majorBidi"/>
          <w:sz w:val="20"/>
          <w:szCs w:val="20"/>
          <w:lang w:val="en-US"/>
        </w:rPr>
        <w:t>Gugler</w:t>
      </w:r>
      <w:proofErr w:type="spellEnd"/>
      <w:r w:rsidR="005365D6" w:rsidRPr="007B566C">
        <w:rPr>
          <w:rFonts w:asciiTheme="majorBidi" w:hAnsiTheme="majorBidi" w:cstheme="majorBidi"/>
          <w:sz w:val="20"/>
          <w:szCs w:val="20"/>
          <w:lang w:val="en-US"/>
        </w:rPr>
        <w:t xml:space="preserve"> and </w:t>
      </w:r>
      <w:proofErr w:type="spellStart"/>
      <w:r w:rsidR="005365D6" w:rsidRPr="007B566C">
        <w:rPr>
          <w:rFonts w:asciiTheme="majorBidi" w:hAnsiTheme="majorBidi" w:cstheme="majorBidi"/>
          <w:sz w:val="20"/>
          <w:szCs w:val="20"/>
          <w:lang w:val="en-US"/>
        </w:rPr>
        <w:t>Yurtoglu</w:t>
      </w:r>
      <w:proofErr w:type="spellEnd"/>
      <w:r w:rsidR="005365D6" w:rsidRPr="007B566C">
        <w:rPr>
          <w:rFonts w:asciiTheme="majorBidi" w:hAnsiTheme="majorBidi" w:cstheme="majorBidi"/>
          <w:sz w:val="20"/>
          <w:szCs w:val="20"/>
          <w:lang w:val="en-US"/>
        </w:rPr>
        <w:t>, 2003</w:t>
      </w:r>
      <w:r w:rsidR="005365D6">
        <w:rPr>
          <w:rFonts w:asciiTheme="majorBidi" w:hAnsiTheme="majorBidi" w:cstheme="majorBidi"/>
          <w:sz w:val="20"/>
          <w:szCs w:val="20"/>
          <w:lang w:val="en-US"/>
        </w:rPr>
        <w:t>)</w:t>
      </w:r>
    </w:p>
    <w:p w:rsidR="00834A68" w:rsidRDefault="00834A68" w:rsidP="003507F9">
      <w:pPr>
        <w:widowControl w:val="0"/>
        <w:tabs>
          <w:tab w:val="left" w:pos="0"/>
          <w:tab w:val="left" w:pos="142"/>
        </w:tabs>
        <w:spacing w:after="0" w:line="240" w:lineRule="auto"/>
        <w:jc w:val="both"/>
        <w:rPr>
          <w:rFonts w:asciiTheme="majorBidi" w:hAnsiTheme="majorBidi" w:cstheme="majorBidi"/>
          <w:sz w:val="20"/>
          <w:szCs w:val="20"/>
          <w:lang w:val="en-US"/>
        </w:rPr>
      </w:pPr>
    </w:p>
    <w:p w:rsidR="006417D4" w:rsidRPr="002B4027" w:rsidRDefault="006417D4" w:rsidP="00395543">
      <w:pPr>
        <w:spacing w:line="240" w:lineRule="auto"/>
        <w:jc w:val="both"/>
        <w:rPr>
          <w:rFonts w:asciiTheme="majorBidi" w:hAnsiTheme="majorBidi" w:cstheme="majorBidi"/>
          <w:i/>
          <w:iCs/>
          <w:color w:val="000000"/>
          <w:sz w:val="20"/>
          <w:szCs w:val="20"/>
          <w:lang w:val="en-US"/>
        </w:rPr>
      </w:pPr>
      <w:r w:rsidRPr="002B4027">
        <w:rPr>
          <w:rFonts w:asciiTheme="majorBidi" w:hAnsiTheme="majorBidi" w:cstheme="majorBidi"/>
          <w:i/>
          <w:iCs/>
          <w:color w:val="000000"/>
          <w:sz w:val="20"/>
          <w:szCs w:val="20"/>
          <w:lang w:val="en-US"/>
        </w:rPr>
        <w:t xml:space="preserve">3.2.2 Ownership </w:t>
      </w:r>
      <w:r w:rsidR="00395543" w:rsidRPr="002B4027">
        <w:rPr>
          <w:rFonts w:asciiTheme="majorBidi" w:hAnsiTheme="majorBidi" w:cstheme="majorBidi"/>
          <w:i/>
          <w:iCs/>
          <w:color w:val="000000"/>
          <w:sz w:val="20"/>
          <w:szCs w:val="20"/>
          <w:lang w:val="en-US"/>
        </w:rPr>
        <w:t xml:space="preserve">Structure </w:t>
      </w:r>
      <w:r w:rsidR="009E6692" w:rsidRPr="002B4027">
        <w:rPr>
          <w:rFonts w:asciiTheme="majorBidi" w:hAnsiTheme="majorBidi" w:cstheme="majorBidi"/>
          <w:i/>
          <w:iCs/>
          <w:color w:val="000000"/>
          <w:sz w:val="20"/>
          <w:szCs w:val="20"/>
          <w:lang w:val="en-US"/>
        </w:rPr>
        <w:t xml:space="preserve">and Corporate Governance </w:t>
      </w:r>
      <w:r w:rsidRPr="002B4027">
        <w:rPr>
          <w:rFonts w:asciiTheme="majorBidi" w:hAnsiTheme="majorBidi" w:cstheme="majorBidi"/>
          <w:i/>
          <w:iCs/>
          <w:color w:val="000000"/>
          <w:sz w:val="20"/>
          <w:szCs w:val="20"/>
          <w:lang w:val="en-US"/>
        </w:rPr>
        <w:t>Variables</w:t>
      </w:r>
    </w:p>
    <w:p w:rsidR="000F65C5" w:rsidRPr="00626939" w:rsidRDefault="00D94362" w:rsidP="005D1334">
      <w:pPr>
        <w:widowControl w:val="0"/>
        <w:autoSpaceDE w:val="0"/>
        <w:autoSpaceDN w:val="0"/>
        <w:adjustRightInd w:val="0"/>
        <w:spacing w:after="0" w:line="240" w:lineRule="auto"/>
        <w:jc w:val="both"/>
        <w:rPr>
          <w:rFonts w:asciiTheme="majorBidi" w:hAnsiTheme="majorBidi" w:cstheme="majorBidi"/>
          <w:color w:val="000000"/>
          <w:sz w:val="20"/>
          <w:szCs w:val="20"/>
          <w:lang w:val="en-US"/>
        </w:rPr>
      </w:pPr>
      <w:r w:rsidRPr="007B566C">
        <w:rPr>
          <w:rFonts w:ascii="TimesNewRoman" w:hAnsi="TimesNewRoman"/>
          <w:sz w:val="20"/>
          <w:szCs w:val="20"/>
          <w:lang w:val="en-US"/>
        </w:rPr>
        <w:t>T</w:t>
      </w:r>
      <w:r w:rsidR="000F65C5" w:rsidRPr="007B566C">
        <w:rPr>
          <w:rFonts w:ascii="TimesNewRoman" w:hAnsi="TimesNewRoman"/>
          <w:sz w:val="20"/>
          <w:szCs w:val="20"/>
          <w:lang w:val="en-US"/>
        </w:rPr>
        <w:t xml:space="preserve">wo variables </w:t>
      </w:r>
      <w:r w:rsidRPr="007B566C">
        <w:rPr>
          <w:rFonts w:ascii="TimesNewRoman" w:hAnsi="TimesNewRoman"/>
          <w:sz w:val="20"/>
          <w:szCs w:val="20"/>
          <w:lang w:val="en-US"/>
        </w:rPr>
        <w:t>are introduced to examine</w:t>
      </w:r>
      <w:r w:rsidR="000F65C5" w:rsidRPr="007B566C">
        <w:rPr>
          <w:rFonts w:ascii="TimesNewRoman" w:hAnsi="TimesNewRoman"/>
          <w:sz w:val="20"/>
          <w:szCs w:val="20"/>
          <w:lang w:val="en-US"/>
        </w:rPr>
        <w:t xml:space="preserve"> the </w:t>
      </w:r>
      <w:r w:rsidRPr="007B566C">
        <w:rPr>
          <w:rFonts w:ascii="TimesNewRoman" w:hAnsi="TimesNewRoman"/>
          <w:sz w:val="20"/>
          <w:szCs w:val="20"/>
          <w:lang w:val="en-US"/>
        </w:rPr>
        <w:t xml:space="preserve">impact of </w:t>
      </w:r>
      <w:r w:rsidR="000F65C5" w:rsidRPr="007B566C">
        <w:rPr>
          <w:rFonts w:ascii="TimesNewRoman" w:hAnsi="TimesNewRoman"/>
          <w:sz w:val="20"/>
          <w:szCs w:val="20"/>
          <w:lang w:val="en-US"/>
        </w:rPr>
        <w:t xml:space="preserve">ownership concentration: </w:t>
      </w:r>
      <w:r w:rsidR="000F65C5" w:rsidRPr="007B566C">
        <w:rPr>
          <w:rFonts w:ascii="TimesNewRoman" w:hAnsi="TimesNewRoman"/>
          <w:b/>
          <w:bCs/>
          <w:sz w:val="20"/>
          <w:szCs w:val="20"/>
          <w:lang w:val="en-US"/>
        </w:rPr>
        <w:t>CONC</w:t>
      </w:r>
      <w:r w:rsidR="000F65C5" w:rsidRPr="007B566C">
        <w:rPr>
          <w:rFonts w:ascii="TimesNewRoman" w:hAnsi="TimesNewRoman"/>
          <w:sz w:val="20"/>
          <w:szCs w:val="20"/>
          <w:lang w:val="en-US"/>
        </w:rPr>
        <w:t xml:space="preserve"> and </w:t>
      </w:r>
      <w:r w:rsidR="000F65C5" w:rsidRPr="007B566C">
        <w:rPr>
          <w:rFonts w:ascii="TimesNewRoman" w:hAnsi="TimesNewRoman"/>
          <w:b/>
          <w:bCs/>
          <w:sz w:val="20"/>
          <w:szCs w:val="20"/>
          <w:lang w:val="en-US"/>
        </w:rPr>
        <w:t>MULT</w:t>
      </w:r>
      <w:r w:rsidR="000F65C5" w:rsidRPr="007B566C">
        <w:rPr>
          <w:rFonts w:ascii="TimesNewRoman" w:hAnsi="TimesNewRoman"/>
          <w:sz w:val="20"/>
          <w:szCs w:val="20"/>
          <w:lang w:val="en-US"/>
        </w:rPr>
        <w:t xml:space="preserve">. </w:t>
      </w:r>
      <w:r w:rsidRPr="007B566C">
        <w:rPr>
          <w:rFonts w:ascii="TimesNewRoman" w:hAnsi="TimesNewRoman"/>
          <w:sz w:val="20"/>
          <w:szCs w:val="20"/>
          <w:lang w:val="en-US"/>
        </w:rPr>
        <w:t xml:space="preserve">Following </w:t>
      </w:r>
      <w:proofErr w:type="spellStart"/>
      <w:r w:rsidRPr="007B566C">
        <w:rPr>
          <w:rStyle w:val="longtext"/>
          <w:rFonts w:ascii="Times New Roman" w:hAnsi="Times New Roman" w:cs="Times New Roman"/>
          <w:sz w:val="20"/>
          <w:szCs w:val="20"/>
          <w:shd w:val="clear" w:color="auto" w:fill="FFFFFF"/>
          <w:lang w:val="en-US"/>
        </w:rPr>
        <w:t>Dyck</w:t>
      </w:r>
      <w:proofErr w:type="spellEnd"/>
      <w:r w:rsidRPr="007B566C">
        <w:rPr>
          <w:rStyle w:val="longtext"/>
          <w:rFonts w:ascii="Times New Roman" w:hAnsi="Times New Roman" w:cs="Times New Roman"/>
          <w:sz w:val="20"/>
          <w:szCs w:val="20"/>
          <w:shd w:val="clear" w:color="auto" w:fill="FFFFFF"/>
          <w:lang w:val="en-US"/>
        </w:rPr>
        <w:t xml:space="preserve"> and </w:t>
      </w:r>
      <w:proofErr w:type="spellStart"/>
      <w:r w:rsidRPr="007B566C">
        <w:rPr>
          <w:rStyle w:val="longtext"/>
          <w:rFonts w:ascii="Times New Roman" w:hAnsi="Times New Roman" w:cs="Times New Roman"/>
          <w:sz w:val="20"/>
          <w:szCs w:val="20"/>
          <w:shd w:val="clear" w:color="auto" w:fill="FFFFFF"/>
          <w:lang w:val="en-US"/>
        </w:rPr>
        <w:t>Zingales</w:t>
      </w:r>
      <w:proofErr w:type="spellEnd"/>
      <w:r w:rsidRPr="007B566C">
        <w:rPr>
          <w:rStyle w:val="longtext"/>
          <w:rFonts w:ascii="Times New Roman" w:hAnsi="Times New Roman" w:cs="Times New Roman"/>
          <w:sz w:val="20"/>
          <w:szCs w:val="20"/>
          <w:shd w:val="clear" w:color="auto" w:fill="FFFFFF"/>
          <w:lang w:val="en-US"/>
        </w:rPr>
        <w:t xml:space="preserve"> (2004), we use</w:t>
      </w:r>
      <w:r w:rsidR="000F65C5" w:rsidRPr="007B566C">
        <w:rPr>
          <w:rFonts w:ascii="TimesNewRoman" w:hAnsi="TimesNewRoman"/>
          <w:sz w:val="20"/>
          <w:szCs w:val="20"/>
          <w:lang w:val="en-US"/>
        </w:rPr>
        <w:t xml:space="preserve"> the </w:t>
      </w:r>
      <w:r w:rsidR="00395543">
        <w:rPr>
          <w:rFonts w:ascii="TimesNewRoman" w:hAnsi="TimesNewRoman"/>
          <w:sz w:val="20"/>
          <w:szCs w:val="20"/>
          <w:lang w:val="en-US"/>
        </w:rPr>
        <w:t>proportion of equity</w:t>
      </w:r>
      <w:r w:rsidRPr="007B566C">
        <w:rPr>
          <w:rFonts w:ascii="TimesNewRoman" w:hAnsi="TimesNewRoman"/>
          <w:sz w:val="20"/>
          <w:szCs w:val="20"/>
          <w:lang w:val="en-US"/>
        </w:rPr>
        <w:t xml:space="preserve"> held</w:t>
      </w:r>
      <w:r w:rsidR="000F65C5" w:rsidRPr="007B566C">
        <w:rPr>
          <w:rFonts w:ascii="TimesNewRoman" w:hAnsi="TimesNewRoman"/>
          <w:sz w:val="20"/>
          <w:szCs w:val="20"/>
          <w:lang w:val="en-US"/>
        </w:rPr>
        <w:t xml:space="preserve"> by the three largest shareholders </w:t>
      </w:r>
      <w:r w:rsidRPr="007B566C">
        <w:rPr>
          <w:rFonts w:ascii="TimesNewRoman" w:hAnsi="TimesNewRoman"/>
          <w:sz w:val="20"/>
          <w:szCs w:val="20"/>
          <w:lang w:val="en-US"/>
        </w:rPr>
        <w:t>to approximate the</w:t>
      </w:r>
      <w:r w:rsidR="000F65C5" w:rsidRPr="007B566C">
        <w:rPr>
          <w:rFonts w:ascii="TimesNewRoman" w:hAnsi="TimesNewRoman"/>
          <w:sz w:val="20"/>
          <w:szCs w:val="20"/>
          <w:lang w:val="en-US"/>
        </w:rPr>
        <w:t xml:space="preserve"> ownership concentration</w:t>
      </w:r>
      <w:r w:rsidRPr="007B566C">
        <w:rPr>
          <w:rFonts w:ascii="TimesNewRoman" w:hAnsi="TimesNewRoman"/>
          <w:sz w:val="20"/>
          <w:szCs w:val="20"/>
          <w:lang w:val="en-US"/>
        </w:rPr>
        <w:t xml:space="preserve"> (</w:t>
      </w:r>
      <w:r w:rsidRPr="007B566C">
        <w:rPr>
          <w:rFonts w:ascii="TimesNewRoman" w:hAnsi="TimesNewRoman"/>
          <w:b/>
          <w:bCs/>
          <w:sz w:val="20"/>
          <w:szCs w:val="20"/>
          <w:lang w:val="en-US"/>
        </w:rPr>
        <w:t>CONC</w:t>
      </w:r>
      <w:r w:rsidRPr="007B566C">
        <w:rPr>
          <w:rFonts w:ascii="TimesNewRoman" w:hAnsi="TimesNewRoman"/>
          <w:sz w:val="20"/>
          <w:szCs w:val="20"/>
          <w:lang w:val="en-US"/>
        </w:rPr>
        <w:t xml:space="preserve">). </w:t>
      </w:r>
      <w:r w:rsidRPr="007B566C">
        <w:rPr>
          <w:rFonts w:asciiTheme="majorBidi" w:hAnsiTheme="majorBidi" w:cstheme="majorBidi"/>
          <w:sz w:val="20"/>
          <w:szCs w:val="20"/>
          <w:lang w:val="en-US"/>
        </w:rPr>
        <w:t>Controlling shareholders can either</w:t>
      </w:r>
      <w:r w:rsidR="000F65C5" w:rsidRPr="007B566C">
        <w:rPr>
          <w:rFonts w:asciiTheme="majorBidi" w:hAnsiTheme="majorBidi" w:cstheme="majorBidi"/>
          <w:sz w:val="20"/>
          <w:szCs w:val="20"/>
          <w:lang w:val="en-US"/>
        </w:rPr>
        <w:t xml:space="preserve"> intensify or reduce </w:t>
      </w:r>
      <w:r w:rsidRPr="007B566C">
        <w:rPr>
          <w:rFonts w:asciiTheme="majorBidi" w:hAnsiTheme="majorBidi" w:cstheme="majorBidi"/>
          <w:sz w:val="20"/>
          <w:szCs w:val="20"/>
          <w:lang w:val="en-US"/>
        </w:rPr>
        <w:t>private benefits of control</w:t>
      </w:r>
      <w:r w:rsidR="000F65C5" w:rsidRPr="007B566C">
        <w:rPr>
          <w:rFonts w:asciiTheme="majorBidi" w:hAnsiTheme="majorBidi" w:cstheme="majorBidi"/>
          <w:sz w:val="20"/>
          <w:szCs w:val="20"/>
          <w:lang w:val="en-US"/>
        </w:rPr>
        <w:t xml:space="preserve">. Therefore, </w:t>
      </w:r>
      <w:r w:rsidR="005C7341" w:rsidRPr="007B566C">
        <w:rPr>
          <w:rFonts w:asciiTheme="majorBidi" w:hAnsiTheme="majorBidi" w:cstheme="majorBidi"/>
          <w:sz w:val="20"/>
          <w:szCs w:val="20"/>
          <w:lang w:val="en-US"/>
        </w:rPr>
        <w:t>largest shareholder</w:t>
      </w:r>
      <w:r w:rsidR="000F65C5" w:rsidRPr="007B566C">
        <w:rPr>
          <w:rFonts w:asciiTheme="majorBidi" w:hAnsiTheme="majorBidi" w:cstheme="majorBidi"/>
          <w:sz w:val="20"/>
          <w:szCs w:val="20"/>
          <w:lang w:val="en-US"/>
        </w:rPr>
        <w:t xml:space="preserve"> can either </w:t>
      </w:r>
      <w:r w:rsidR="005C7341" w:rsidRPr="007B566C">
        <w:rPr>
          <w:rFonts w:asciiTheme="majorBidi" w:hAnsiTheme="majorBidi" w:cstheme="majorBidi"/>
          <w:sz w:val="20"/>
          <w:szCs w:val="20"/>
          <w:lang w:val="en-US"/>
        </w:rPr>
        <w:t xml:space="preserve">increase </w:t>
      </w:r>
      <w:r w:rsidR="000F65C5" w:rsidRPr="007B566C">
        <w:rPr>
          <w:rFonts w:asciiTheme="majorBidi" w:hAnsiTheme="majorBidi" w:cstheme="majorBidi"/>
          <w:sz w:val="20"/>
          <w:szCs w:val="20"/>
          <w:lang w:val="en-US"/>
        </w:rPr>
        <w:t>dividend</w:t>
      </w:r>
      <w:r w:rsidR="005C7341" w:rsidRPr="007B566C">
        <w:rPr>
          <w:rFonts w:asciiTheme="majorBidi" w:hAnsiTheme="majorBidi" w:cstheme="majorBidi"/>
          <w:sz w:val="20"/>
          <w:szCs w:val="20"/>
          <w:lang w:val="en-US"/>
        </w:rPr>
        <w:t xml:space="preserve"> payout</w:t>
      </w:r>
      <w:r w:rsidR="000F65C5" w:rsidRPr="007B566C">
        <w:rPr>
          <w:rFonts w:asciiTheme="majorBidi" w:hAnsiTheme="majorBidi" w:cstheme="majorBidi"/>
          <w:sz w:val="20"/>
          <w:szCs w:val="20"/>
          <w:lang w:val="en-US"/>
        </w:rPr>
        <w:t xml:space="preserve"> (</w:t>
      </w:r>
      <w:r w:rsidR="000F65C5" w:rsidRPr="007B566C">
        <w:rPr>
          <w:rFonts w:ascii="Times New Roman" w:hAnsi="Times New Roman" w:cs="Times New Roman"/>
          <w:color w:val="000000" w:themeColor="text1"/>
          <w:sz w:val="20"/>
          <w:szCs w:val="20"/>
          <w:lang w:val="en-US"/>
        </w:rPr>
        <w:t xml:space="preserve">Jensen, 1986; </w:t>
      </w:r>
      <w:proofErr w:type="spellStart"/>
      <w:r w:rsidR="000F65C5" w:rsidRPr="007B566C">
        <w:rPr>
          <w:rFonts w:asciiTheme="majorBidi" w:hAnsiTheme="majorBidi" w:cstheme="majorBidi"/>
          <w:sz w:val="20"/>
          <w:szCs w:val="20"/>
          <w:lang w:val="en-US"/>
        </w:rPr>
        <w:t>Thanatawee</w:t>
      </w:r>
      <w:proofErr w:type="spellEnd"/>
      <w:r w:rsidR="000F65C5" w:rsidRPr="007B566C">
        <w:rPr>
          <w:rFonts w:asciiTheme="majorBidi" w:hAnsiTheme="majorBidi" w:cstheme="majorBidi"/>
          <w:sz w:val="20"/>
          <w:szCs w:val="20"/>
          <w:lang w:val="en-US"/>
        </w:rPr>
        <w:t xml:space="preserve">, 2013) or </w:t>
      </w:r>
      <w:r w:rsidR="005C7341" w:rsidRPr="007B566C">
        <w:rPr>
          <w:rFonts w:asciiTheme="majorBidi" w:hAnsiTheme="majorBidi" w:cstheme="majorBidi"/>
          <w:sz w:val="20"/>
          <w:szCs w:val="20"/>
          <w:lang w:val="en-US"/>
        </w:rPr>
        <w:t>reduce</w:t>
      </w:r>
      <w:r w:rsidR="000F65C5" w:rsidRPr="007B566C">
        <w:rPr>
          <w:rFonts w:asciiTheme="majorBidi" w:hAnsiTheme="majorBidi" w:cstheme="majorBidi"/>
          <w:sz w:val="20"/>
          <w:szCs w:val="20"/>
          <w:lang w:val="en-US"/>
        </w:rPr>
        <w:t xml:space="preserve"> dividends</w:t>
      </w:r>
      <w:r w:rsidR="005C7341" w:rsidRPr="007B566C">
        <w:rPr>
          <w:rFonts w:asciiTheme="majorBidi" w:hAnsiTheme="majorBidi" w:cstheme="majorBidi"/>
          <w:sz w:val="20"/>
          <w:szCs w:val="20"/>
          <w:lang w:val="en-US"/>
        </w:rPr>
        <w:t xml:space="preserve"> payments</w:t>
      </w:r>
      <w:r w:rsidR="000F65C5" w:rsidRPr="007B566C">
        <w:rPr>
          <w:rFonts w:asciiTheme="majorBidi" w:hAnsiTheme="majorBidi" w:cstheme="majorBidi"/>
          <w:sz w:val="20"/>
          <w:szCs w:val="20"/>
          <w:lang w:val="en-US"/>
        </w:rPr>
        <w:t xml:space="preserve"> (</w:t>
      </w:r>
      <w:proofErr w:type="spellStart"/>
      <w:r w:rsidR="000F65C5" w:rsidRPr="007B566C">
        <w:rPr>
          <w:rFonts w:asciiTheme="majorBidi" w:hAnsiTheme="majorBidi" w:cstheme="majorBidi"/>
          <w:sz w:val="20"/>
          <w:szCs w:val="20"/>
          <w:lang w:val="en-US"/>
        </w:rPr>
        <w:t>Dyck</w:t>
      </w:r>
      <w:proofErr w:type="spellEnd"/>
      <w:r w:rsidR="000F65C5" w:rsidRPr="007B566C">
        <w:rPr>
          <w:rFonts w:asciiTheme="majorBidi" w:hAnsiTheme="majorBidi" w:cstheme="majorBidi"/>
          <w:sz w:val="20"/>
          <w:szCs w:val="20"/>
          <w:lang w:val="en-US"/>
        </w:rPr>
        <w:t xml:space="preserve"> and </w:t>
      </w:r>
      <w:proofErr w:type="spellStart"/>
      <w:r w:rsidR="000F65C5" w:rsidRPr="007B566C">
        <w:rPr>
          <w:rFonts w:asciiTheme="majorBidi" w:hAnsiTheme="majorBidi" w:cstheme="majorBidi"/>
          <w:sz w:val="20"/>
          <w:szCs w:val="20"/>
          <w:lang w:val="en-US"/>
        </w:rPr>
        <w:t>Zingales</w:t>
      </w:r>
      <w:proofErr w:type="spellEnd"/>
      <w:r w:rsidR="000F65C5" w:rsidRPr="007B566C">
        <w:rPr>
          <w:rFonts w:asciiTheme="majorBidi" w:hAnsiTheme="majorBidi" w:cstheme="majorBidi"/>
          <w:sz w:val="20"/>
          <w:szCs w:val="20"/>
          <w:lang w:val="en-US"/>
        </w:rPr>
        <w:t xml:space="preserve">, 2004; Maury and </w:t>
      </w:r>
      <w:proofErr w:type="spellStart"/>
      <w:r w:rsidR="000F65C5" w:rsidRPr="007B566C">
        <w:rPr>
          <w:rFonts w:asciiTheme="majorBidi" w:hAnsiTheme="majorBidi" w:cstheme="majorBidi"/>
          <w:sz w:val="20"/>
          <w:szCs w:val="20"/>
          <w:lang w:val="en-US"/>
        </w:rPr>
        <w:t>Pajuste</w:t>
      </w:r>
      <w:proofErr w:type="spellEnd"/>
      <w:r w:rsidR="000F65C5" w:rsidRPr="007B566C">
        <w:rPr>
          <w:rFonts w:asciiTheme="majorBidi" w:hAnsiTheme="majorBidi" w:cstheme="majorBidi"/>
          <w:sz w:val="20"/>
          <w:szCs w:val="20"/>
          <w:lang w:val="en-US"/>
        </w:rPr>
        <w:t xml:space="preserve">, 2002).  </w:t>
      </w:r>
      <w:r w:rsidR="000F65C5" w:rsidRPr="007B566C">
        <w:rPr>
          <w:rFonts w:asciiTheme="majorBidi" w:hAnsiTheme="majorBidi" w:cstheme="majorBidi"/>
          <w:b/>
          <w:bCs/>
          <w:color w:val="000000"/>
          <w:sz w:val="20"/>
          <w:szCs w:val="20"/>
          <w:lang w:val="en-US"/>
        </w:rPr>
        <w:t>MULT</w:t>
      </w:r>
      <w:r w:rsidR="000F65C5" w:rsidRPr="007B566C">
        <w:rPr>
          <w:rFonts w:asciiTheme="majorBidi" w:hAnsiTheme="majorBidi" w:cstheme="majorBidi"/>
          <w:color w:val="000000"/>
          <w:sz w:val="20"/>
          <w:szCs w:val="20"/>
          <w:lang w:val="en-US"/>
        </w:rPr>
        <w:t xml:space="preserve"> is a </w:t>
      </w:r>
      <w:r w:rsidR="00A13FC1" w:rsidRPr="007B566C">
        <w:rPr>
          <w:rFonts w:asciiTheme="majorBidi" w:hAnsiTheme="majorBidi" w:cstheme="majorBidi"/>
          <w:color w:val="000000"/>
          <w:sz w:val="20"/>
          <w:szCs w:val="20"/>
          <w:lang w:val="en-US"/>
        </w:rPr>
        <w:t>binary</w:t>
      </w:r>
      <w:r w:rsidR="000F65C5" w:rsidRPr="007B566C">
        <w:rPr>
          <w:rFonts w:asciiTheme="majorBidi" w:hAnsiTheme="majorBidi" w:cstheme="majorBidi"/>
          <w:color w:val="000000"/>
          <w:sz w:val="20"/>
          <w:szCs w:val="20"/>
          <w:lang w:val="en-US"/>
        </w:rPr>
        <w:t xml:space="preserve"> variable that takes 1 if </w:t>
      </w:r>
      <w:r w:rsidR="00A13FC1" w:rsidRPr="007B566C">
        <w:rPr>
          <w:rFonts w:asciiTheme="majorBidi" w:hAnsiTheme="majorBidi" w:cstheme="majorBidi"/>
          <w:color w:val="000000"/>
          <w:sz w:val="20"/>
          <w:szCs w:val="20"/>
          <w:lang w:val="en-US"/>
        </w:rPr>
        <w:t>there is a second shareholder</w:t>
      </w:r>
      <w:r w:rsidR="000F65C5" w:rsidRPr="007B566C">
        <w:rPr>
          <w:rFonts w:asciiTheme="majorBidi" w:hAnsiTheme="majorBidi" w:cstheme="majorBidi"/>
          <w:color w:val="000000"/>
          <w:sz w:val="20"/>
          <w:szCs w:val="20"/>
          <w:lang w:val="en-US"/>
        </w:rPr>
        <w:t xml:space="preserve"> </w:t>
      </w:r>
      <w:r w:rsidR="00A13FC1" w:rsidRPr="007B566C">
        <w:rPr>
          <w:rFonts w:asciiTheme="majorBidi" w:hAnsiTheme="majorBidi" w:cstheme="majorBidi"/>
          <w:color w:val="000000"/>
          <w:sz w:val="20"/>
          <w:szCs w:val="20"/>
          <w:lang w:val="en-US"/>
        </w:rPr>
        <w:t xml:space="preserve">that held </w:t>
      </w:r>
      <w:r w:rsidR="000F65C5" w:rsidRPr="007B566C">
        <w:rPr>
          <w:rFonts w:asciiTheme="majorBidi" w:hAnsiTheme="majorBidi" w:cstheme="majorBidi"/>
          <w:color w:val="000000"/>
          <w:sz w:val="20"/>
          <w:szCs w:val="20"/>
          <w:lang w:val="en-US"/>
        </w:rPr>
        <w:t xml:space="preserve">at least 10% of the </w:t>
      </w:r>
      <w:r w:rsidR="00A13FC1" w:rsidRPr="007B566C">
        <w:rPr>
          <w:rFonts w:asciiTheme="majorBidi" w:hAnsiTheme="majorBidi" w:cstheme="majorBidi"/>
          <w:color w:val="000000"/>
          <w:sz w:val="20"/>
          <w:szCs w:val="20"/>
          <w:lang w:val="en-US"/>
        </w:rPr>
        <w:t>control</w:t>
      </w:r>
      <w:r w:rsidR="000F65C5" w:rsidRPr="007B566C">
        <w:rPr>
          <w:rFonts w:asciiTheme="majorBidi" w:hAnsiTheme="majorBidi" w:cstheme="majorBidi"/>
          <w:color w:val="000000"/>
          <w:sz w:val="20"/>
          <w:szCs w:val="20"/>
          <w:lang w:val="en-US"/>
        </w:rPr>
        <w:t xml:space="preserve"> rights</w:t>
      </w:r>
      <w:r w:rsidR="00A13FC1" w:rsidRPr="007B566C">
        <w:rPr>
          <w:rFonts w:asciiTheme="majorBidi" w:hAnsiTheme="majorBidi" w:cstheme="majorBidi"/>
          <w:color w:val="000000"/>
          <w:sz w:val="20"/>
          <w:szCs w:val="20"/>
          <w:lang w:val="en-US"/>
        </w:rPr>
        <w:t>,</w:t>
      </w:r>
      <w:r w:rsidR="000F65C5" w:rsidRPr="007B566C">
        <w:rPr>
          <w:rFonts w:asciiTheme="majorBidi" w:hAnsiTheme="majorBidi" w:cstheme="majorBidi"/>
          <w:color w:val="000000"/>
          <w:sz w:val="20"/>
          <w:szCs w:val="20"/>
          <w:lang w:val="en-US"/>
        </w:rPr>
        <w:t xml:space="preserve"> 0 otherwise. The presence of </w:t>
      </w:r>
      <w:r w:rsidR="00A13FC1" w:rsidRPr="007B566C">
        <w:rPr>
          <w:rFonts w:asciiTheme="majorBidi" w:hAnsiTheme="majorBidi" w:cstheme="majorBidi"/>
          <w:color w:val="000000"/>
          <w:sz w:val="20"/>
          <w:szCs w:val="20"/>
          <w:lang w:val="en-US"/>
        </w:rPr>
        <w:t>a second</w:t>
      </w:r>
      <w:r w:rsidR="000F65C5" w:rsidRPr="007B566C">
        <w:rPr>
          <w:rFonts w:asciiTheme="majorBidi" w:hAnsiTheme="majorBidi" w:cstheme="majorBidi"/>
          <w:color w:val="000000"/>
          <w:sz w:val="20"/>
          <w:szCs w:val="20"/>
          <w:lang w:val="en-US"/>
        </w:rPr>
        <w:t xml:space="preserve"> large shareholder may either </w:t>
      </w:r>
      <w:r w:rsidR="00A13FC1" w:rsidRPr="007B566C">
        <w:rPr>
          <w:rFonts w:asciiTheme="majorBidi" w:hAnsiTheme="majorBidi" w:cstheme="majorBidi"/>
          <w:color w:val="000000"/>
          <w:sz w:val="20"/>
          <w:szCs w:val="20"/>
          <w:lang w:val="en-US"/>
        </w:rPr>
        <w:t>intensify</w:t>
      </w:r>
      <w:r w:rsidR="000F65C5" w:rsidRPr="007B566C">
        <w:rPr>
          <w:rFonts w:asciiTheme="majorBidi" w:hAnsiTheme="majorBidi" w:cstheme="majorBidi"/>
          <w:color w:val="000000"/>
          <w:sz w:val="20"/>
          <w:szCs w:val="20"/>
          <w:lang w:val="en-US"/>
        </w:rPr>
        <w:t xml:space="preserve"> (</w:t>
      </w:r>
      <w:r w:rsidR="000F65C5" w:rsidRPr="004E6515">
        <w:rPr>
          <w:rFonts w:asciiTheme="majorBidi" w:hAnsiTheme="majorBidi" w:cstheme="majorBidi"/>
          <w:sz w:val="20"/>
          <w:szCs w:val="20"/>
          <w:lang w:val="en-US"/>
        </w:rPr>
        <w:t xml:space="preserve">Maury and </w:t>
      </w:r>
      <w:proofErr w:type="spellStart"/>
      <w:r w:rsidR="000F65C5" w:rsidRPr="004E6515">
        <w:rPr>
          <w:rFonts w:asciiTheme="majorBidi" w:hAnsiTheme="majorBidi" w:cstheme="majorBidi"/>
          <w:sz w:val="20"/>
          <w:szCs w:val="20"/>
          <w:lang w:val="en-US"/>
        </w:rPr>
        <w:t>Pajuste</w:t>
      </w:r>
      <w:proofErr w:type="spellEnd"/>
      <w:r w:rsidR="000F65C5" w:rsidRPr="004E6515">
        <w:rPr>
          <w:rFonts w:asciiTheme="majorBidi" w:hAnsiTheme="majorBidi" w:cstheme="majorBidi"/>
          <w:sz w:val="20"/>
          <w:szCs w:val="20"/>
          <w:lang w:val="en-US"/>
        </w:rPr>
        <w:t xml:space="preserve">, 2002) or </w:t>
      </w:r>
      <w:r w:rsidR="00A13FC1" w:rsidRPr="004E6515">
        <w:rPr>
          <w:rFonts w:asciiTheme="majorBidi" w:hAnsiTheme="majorBidi" w:cstheme="majorBidi"/>
          <w:sz w:val="20"/>
          <w:szCs w:val="20"/>
          <w:lang w:val="en-US"/>
        </w:rPr>
        <w:t>reduce</w:t>
      </w:r>
      <w:r w:rsidR="000F65C5" w:rsidRPr="004E6515">
        <w:rPr>
          <w:rFonts w:asciiTheme="majorBidi" w:hAnsiTheme="majorBidi" w:cstheme="majorBidi"/>
          <w:sz w:val="20"/>
          <w:szCs w:val="20"/>
          <w:lang w:val="en-US"/>
        </w:rPr>
        <w:t xml:space="preserve"> the conflicts of interest between controlling shareholders and minority shareholders (</w:t>
      </w:r>
      <w:proofErr w:type="spellStart"/>
      <w:r w:rsidR="000F65C5" w:rsidRPr="004E6515">
        <w:rPr>
          <w:rFonts w:asciiTheme="majorBidi" w:eastAsia="Calibri" w:hAnsiTheme="majorBidi" w:cstheme="majorBidi"/>
          <w:sz w:val="20"/>
          <w:szCs w:val="20"/>
          <w:lang w:val="en-US"/>
        </w:rPr>
        <w:t>Gugler</w:t>
      </w:r>
      <w:proofErr w:type="spellEnd"/>
      <w:r w:rsidR="000F65C5" w:rsidRPr="004E6515">
        <w:rPr>
          <w:rFonts w:asciiTheme="majorBidi" w:eastAsia="Calibri" w:hAnsiTheme="majorBidi" w:cstheme="majorBidi"/>
          <w:sz w:val="20"/>
          <w:szCs w:val="20"/>
          <w:lang w:val="en-US"/>
        </w:rPr>
        <w:t xml:space="preserve"> and </w:t>
      </w:r>
      <w:proofErr w:type="spellStart"/>
      <w:r w:rsidR="000F65C5" w:rsidRPr="004E6515">
        <w:rPr>
          <w:rFonts w:asciiTheme="majorBidi" w:eastAsia="Calibri" w:hAnsiTheme="majorBidi" w:cstheme="majorBidi"/>
          <w:sz w:val="20"/>
          <w:szCs w:val="20"/>
          <w:lang w:val="en-US"/>
        </w:rPr>
        <w:t>Yurtoglu</w:t>
      </w:r>
      <w:proofErr w:type="spellEnd"/>
      <w:r w:rsidR="000F65C5" w:rsidRPr="004E6515">
        <w:rPr>
          <w:rFonts w:asciiTheme="majorBidi" w:eastAsia="Calibri" w:hAnsiTheme="majorBidi" w:cstheme="majorBidi"/>
          <w:sz w:val="20"/>
          <w:szCs w:val="20"/>
          <w:lang w:val="en-US"/>
        </w:rPr>
        <w:t>, 2003</w:t>
      </w:r>
      <w:r w:rsidR="000F65C5" w:rsidRPr="007B566C">
        <w:rPr>
          <w:rFonts w:asciiTheme="majorBidi" w:hAnsiTheme="majorBidi" w:cstheme="majorBidi"/>
          <w:color w:val="000000"/>
          <w:sz w:val="20"/>
          <w:szCs w:val="20"/>
          <w:lang w:val="en-US"/>
        </w:rPr>
        <w:t>).</w:t>
      </w:r>
      <w:r w:rsidR="005D1334">
        <w:rPr>
          <w:rFonts w:asciiTheme="majorBidi" w:hAnsiTheme="majorBidi" w:cstheme="majorBidi"/>
          <w:color w:val="000000"/>
          <w:sz w:val="20"/>
          <w:szCs w:val="20"/>
          <w:lang w:val="en-US"/>
        </w:rPr>
        <w:t xml:space="preserve"> The presence of another controlling blockholder is believed to influence the level of </w:t>
      </w:r>
      <w:r w:rsidR="00626939">
        <w:rPr>
          <w:rFonts w:asciiTheme="majorBidi" w:hAnsiTheme="majorBidi" w:cstheme="majorBidi"/>
          <w:color w:val="000000"/>
          <w:sz w:val="20"/>
          <w:szCs w:val="20"/>
          <w:lang w:val="en-US"/>
        </w:rPr>
        <w:t xml:space="preserve">both </w:t>
      </w:r>
      <w:r w:rsidR="005D1334">
        <w:rPr>
          <w:rFonts w:asciiTheme="majorBidi" w:hAnsiTheme="majorBidi" w:cstheme="majorBidi"/>
          <w:color w:val="000000"/>
          <w:sz w:val="20"/>
          <w:szCs w:val="20"/>
          <w:lang w:val="en-US"/>
        </w:rPr>
        <w:t>distributed benefits</w:t>
      </w:r>
      <w:r w:rsidR="00626939">
        <w:rPr>
          <w:rFonts w:asciiTheme="majorBidi" w:hAnsiTheme="majorBidi" w:cstheme="majorBidi"/>
          <w:color w:val="000000"/>
          <w:sz w:val="20"/>
          <w:szCs w:val="20"/>
          <w:lang w:val="en-US"/>
        </w:rPr>
        <w:t xml:space="preserve"> and expropriated </w:t>
      </w:r>
      <w:r w:rsidR="00626939" w:rsidRPr="00626939">
        <w:rPr>
          <w:rFonts w:asciiTheme="majorBidi" w:hAnsiTheme="majorBidi" w:cstheme="majorBidi"/>
          <w:color w:val="000000"/>
          <w:sz w:val="20"/>
          <w:szCs w:val="20"/>
          <w:lang w:val="en-US"/>
        </w:rPr>
        <w:t>rent (</w:t>
      </w:r>
      <w:proofErr w:type="spellStart"/>
      <w:r w:rsidR="00626939" w:rsidRPr="00626939">
        <w:rPr>
          <w:rFonts w:asciiTheme="majorBidi" w:hAnsiTheme="majorBidi" w:cstheme="majorBidi"/>
          <w:sz w:val="20"/>
          <w:szCs w:val="20"/>
          <w:lang w:val="en-US"/>
        </w:rPr>
        <w:t>Pagano</w:t>
      </w:r>
      <w:proofErr w:type="spellEnd"/>
      <w:r w:rsidR="00626939" w:rsidRPr="00626939">
        <w:rPr>
          <w:rFonts w:asciiTheme="majorBidi" w:hAnsiTheme="majorBidi" w:cstheme="majorBidi"/>
          <w:sz w:val="20"/>
          <w:szCs w:val="20"/>
          <w:lang w:val="en-US"/>
        </w:rPr>
        <w:t xml:space="preserve"> and </w:t>
      </w:r>
      <w:proofErr w:type="spellStart"/>
      <w:r w:rsidR="00626939" w:rsidRPr="00626939">
        <w:rPr>
          <w:rFonts w:asciiTheme="majorBidi" w:hAnsiTheme="majorBidi" w:cstheme="majorBidi"/>
          <w:sz w:val="20"/>
          <w:szCs w:val="20"/>
          <w:lang w:val="en-US"/>
        </w:rPr>
        <w:t>Roell</w:t>
      </w:r>
      <w:proofErr w:type="spellEnd"/>
      <w:r w:rsidR="00626939" w:rsidRPr="00626939">
        <w:rPr>
          <w:rFonts w:asciiTheme="majorBidi" w:hAnsiTheme="majorBidi" w:cstheme="majorBidi"/>
          <w:sz w:val="20"/>
          <w:szCs w:val="20"/>
          <w:lang w:val="en-US"/>
        </w:rPr>
        <w:t xml:space="preserve">, 1998; </w:t>
      </w:r>
      <w:proofErr w:type="spellStart"/>
      <w:r w:rsidR="00626939" w:rsidRPr="00626939">
        <w:rPr>
          <w:rFonts w:asciiTheme="majorBidi" w:hAnsiTheme="majorBidi" w:cstheme="majorBidi"/>
          <w:sz w:val="20"/>
          <w:szCs w:val="20"/>
          <w:lang w:val="en-US"/>
        </w:rPr>
        <w:t>Faccio</w:t>
      </w:r>
      <w:proofErr w:type="spellEnd"/>
      <w:r w:rsidR="00626939" w:rsidRPr="00626939">
        <w:rPr>
          <w:rFonts w:asciiTheme="majorBidi" w:hAnsiTheme="majorBidi" w:cstheme="majorBidi"/>
          <w:sz w:val="20"/>
          <w:szCs w:val="20"/>
          <w:lang w:val="en-US"/>
        </w:rPr>
        <w:t xml:space="preserve"> et al., 2001; Maury and </w:t>
      </w:r>
      <w:proofErr w:type="spellStart"/>
      <w:r w:rsidR="00626939" w:rsidRPr="00626939">
        <w:rPr>
          <w:rFonts w:asciiTheme="majorBidi" w:hAnsiTheme="majorBidi" w:cstheme="majorBidi"/>
          <w:sz w:val="20"/>
          <w:szCs w:val="20"/>
          <w:lang w:val="en-US"/>
        </w:rPr>
        <w:t>Pajuste</w:t>
      </w:r>
      <w:proofErr w:type="spellEnd"/>
      <w:r w:rsidR="00626939" w:rsidRPr="00626939">
        <w:rPr>
          <w:rFonts w:asciiTheme="majorBidi" w:hAnsiTheme="majorBidi" w:cstheme="majorBidi"/>
          <w:sz w:val="20"/>
          <w:szCs w:val="20"/>
          <w:lang w:val="en-US"/>
        </w:rPr>
        <w:t>, 2002)</w:t>
      </w:r>
      <w:r w:rsidR="00626939" w:rsidRPr="00626939">
        <w:rPr>
          <w:rFonts w:asciiTheme="majorBidi" w:hAnsiTheme="majorBidi" w:cstheme="majorBidi"/>
          <w:color w:val="000000"/>
          <w:sz w:val="20"/>
          <w:szCs w:val="20"/>
          <w:lang w:val="en-US"/>
        </w:rPr>
        <w:t>.</w:t>
      </w:r>
    </w:p>
    <w:p w:rsidR="009E6692" w:rsidRPr="004E6515" w:rsidRDefault="009E6692" w:rsidP="00FD39E4">
      <w:pPr>
        <w:ind w:firstLine="709"/>
        <w:jc w:val="both"/>
        <w:rPr>
          <w:rFonts w:asciiTheme="majorBidi" w:hAnsiTheme="majorBidi" w:cstheme="majorBidi"/>
          <w:sz w:val="20"/>
          <w:szCs w:val="20"/>
          <w:lang w:val="en-US"/>
        </w:rPr>
      </w:pPr>
      <w:r>
        <w:rPr>
          <w:rFonts w:asciiTheme="majorBidi" w:hAnsiTheme="majorBidi" w:cstheme="majorBidi"/>
          <w:sz w:val="20"/>
          <w:szCs w:val="20"/>
          <w:lang w:val="en-US"/>
        </w:rPr>
        <w:t xml:space="preserve">In addition to ownership concentration, we add two other variables that might </w:t>
      </w:r>
      <w:r w:rsidRPr="007B566C">
        <w:rPr>
          <w:rFonts w:asciiTheme="majorBidi" w:hAnsiTheme="majorBidi" w:cstheme="majorBidi"/>
          <w:sz w:val="20"/>
          <w:szCs w:val="20"/>
          <w:lang w:val="en-US"/>
        </w:rPr>
        <w:t xml:space="preserve">explain the level of private benefits </w:t>
      </w:r>
      <w:r>
        <w:rPr>
          <w:rFonts w:asciiTheme="majorBidi" w:hAnsiTheme="majorBidi" w:cstheme="majorBidi"/>
          <w:sz w:val="20"/>
          <w:szCs w:val="20"/>
          <w:lang w:val="en-US"/>
        </w:rPr>
        <w:t>ba</w:t>
      </w:r>
      <w:r w:rsidRPr="007B566C">
        <w:rPr>
          <w:rFonts w:asciiTheme="majorBidi" w:hAnsiTheme="majorBidi" w:cstheme="majorBidi"/>
          <w:sz w:val="20"/>
          <w:szCs w:val="20"/>
          <w:lang w:val="en-US"/>
        </w:rPr>
        <w:t xml:space="preserve">sed on the theoretical arguments of </w:t>
      </w:r>
      <w:proofErr w:type="spellStart"/>
      <w:r w:rsidRPr="007B566C">
        <w:rPr>
          <w:rFonts w:asciiTheme="majorBidi" w:hAnsiTheme="majorBidi" w:cstheme="majorBidi"/>
          <w:sz w:val="20"/>
          <w:szCs w:val="20"/>
          <w:lang w:val="en-US"/>
        </w:rPr>
        <w:t>Bebchuk</w:t>
      </w:r>
      <w:proofErr w:type="spellEnd"/>
      <w:r w:rsidRPr="007B566C">
        <w:rPr>
          <w:rFonts w:asciiTheme="majorBidi" w:hAnsiTheme="majorBidi" w:cstheme="majorBidi"/>
          <w:sz w:val="20"/>
          <w:szCs w:val="20"/>
          <w:lang w:val="en-US"/>
        </w:rPr>
        <w:t xml:space="preserve"> (1999)</w:t>
      </w:r>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Faccio</w:t>
      </w:r>
      <w:proofErr w:type="spellEnd"/>
      <w:r>
        <w:rPr>
          <w:rFonts w:asciiTheme="majorBidi" w:hAnsiTheme="majorBidi" w:cstheme="majorBidi"/>
          <w:sz w:val="20"/>
          <w:szCs w:val="20"/>
          <w:lang w:val="en-US"/>
        </w:rPr>
        <w:t xml:space="preserve"> et al. (2001)</w:t>
      </w:r>
      <w:r w:rsidRPr="007B566C">
        <w:rPr>
          <w:rFonts w:asciiTheme="majorBidi" w:hAnsiTheme="majorBidi" w:cstheme="majorBidi"/>
          <w:sz w:val="20"/>
          <w:szCs w:val="20"/>
          <w:lang w:val="en-US"/>
        </w:rPr>
        <w:t xml:space="preserve"> and findings of </w:t>
      </w:r>
      <w:proofErr w:type="spellStart"/>
      <w:r w:rsidRPr="007B566C">
        <w:rPr>
          <w:rFonts w:asciiTheme="majorBidi" w:hAnsiTheme="majorBidi" w:cstheme="majorBidi"/>
          <w:sz w:val="20"/>
          <w:szCs w:val="20"/>
          <w:lang w:val="en-US"/>
        </w:rPr>
        <w:t>Dyck</w:t>
      </w:r>
      <w:proofErr w:type="spellEnd"/>
      <w:r w:rsidRPr="007B566C">
        <w:rPr>
          <w:rFonts w:asciiTheme="majorBidi" w:hAnsiTheme="majorBidi" w:cstheme="majorBidi"/>
          <w:sz w:val="20"/>
          <w:szCs w:val="20"/>
          <w:lang w:val="en-US"/>
        </w:rPr>
        <w:t xml:space="preserve"> and </w:t>
      </w:r>
      <w:proofErr w:type="spellStart"/>
      <w:r w:rsidRPr="007B566C">
        <w:rPr>
          <w:rFonts w:asciiTheme="majorBidi" w:hAnsiTheme="majorBidi" w:cstheme="majorBidi"/>
          <w:sz w:val="20"/>
          <w:szCs w:val="20"/>
          <w:lang w:val="en-US"/>
        </w:rPr>
        <w:t>Zingales</w:t>
      </w:r>
      <w:proofErr w:type="spellEnd"/>
      <w:r w:rsidRPr="007B566C">
        <w:rPr>
          <w:rFonts w:asciiTheme="majorBidi" w:hAnsiTheme="majorBidi" w:cstheme="majorBidi"/>
          <w:sz w:val="20"/>
          <w:szCs w:val="20"/>
          <w:lang w:val="en-US"/>
        </w:rPr>
        <w:t xml:space="preserve"> (2004), namely</w:t>
      </w:r>
      <w:r>
        <w:rPr>
          <w:rFonts w:asciiTheme="majorBidi" w:hAnsiTheme="majorBidi" w:cstheme="majorBidi"/>
          <w:sz w:val="20"/>
          <w:szCs w:val="20"/>
          <w:lang w:val="en-US"/>
        </w:rPr>
        <w:t xml:space="preserve"> </w:t>
      </w:r>
      <w:r w:rsidRPr="007B566C">
        <w:rPr>
          <w:rFonts w:asciiTheme="majorBidi" w:hAnsiTheme="majorBidi" w:cstheme="majorBidi"/>
          <w:sz w:val="20"/>
          <w:szCs w:val="20"/>
          <w:lang w:val="en-US"/>
        </w:rPr>
        <w:t>dual-class-</w:t>
      </w:r>
      <w:r>
        <w:rPr>
          <w:rFonts w:asciiTheme="majorBidi" w:hAnsiTheme="majorBidi" w:cstheme="majorBidi"/>
          <w:sz w:val="20"/>
          <w:szCs w:val="20"/>
          <w:lang w:val="en-US"/>
        </w:rPr>
        <w:t xml:space="preserve">shares and </w:t>
      </w:r>
      <w:r w:rsidRPr="007B566C">
        <w:rPr>
          <w:rFonts w:asciiTheme="majorBidi" w:hAnsiTheme="majorBidi" w:cstheme="majorBidi"/>
          <w:sz w:val="20"/>
          <w:szCs w:val="20"/>
          <w:lang w:val="en-US"/>
        </w:rPr>
        <w:t>cross-list</w:t>
      </w:r>
      <w:r>
        <w:rPr>
          <w:rFonts w:asciiTheme="majorBidi" w:hAnsiTheme="majorBidi" w:cstheme="majorBidi"/>
          <w:sz w:val="20"/>
          <w:szCs w:val="20"/>
          <w:lang w:val="en-US"/>
        </w:rPr>
        <w:t xml:space="preserve">ing. Private benefits are argued to be lower in US cross-listed </w:t>
      </w:r>
      <w:r w:rsidRPr="004E6515">
        <w:rPr>
          <w:rFonts w:asciiTheme="majorBidi" w:hAnsiTheme="majorBidi" w:cstheme="majorBidi"/>
          <w:sz w:val="20"/>
          <w:szCs w:val="20"/>
          <w:lang w:val="en-US"/>
        </w:rPr>
        <w:t>firms (</w:t>
      </w:r>
      <w:proofErr w:type="spellStart"/>
      <w:r w:rsidRPr="004E6515">
        <w:rPr>
          <w:rFonts w:asciiTheme="majorBidi" w:hAnsiTheme="majorBidi" w:cstheme="majorBidi"/>
          <w:sz w:val="20"/>
          <w:szCs w:val="20"/>
          <w:lang w:val="en-US"/>
        </w:rPr>
        <w:t>Doidge</w:t>
      </w:r>
      <w:proofErr w:type="spellEnd"/>
      <w:r w:rsidRPr="004E6515">
        <w:rPr>
          <w:rFonts w:asciiTheme="majorBidi" w:hAnsiTheme="majorBidi" w:cstheme="majorBidi"/>
          <w:sz w:val="20"/>
          <w:szCs w:val="20"/>
          <w:lang w:val="en-US"/>
        </w:rPr>
        <w:t xml:space="preserve"> et al., 2009) whereas in dual class firms they are significantly higher (</w:t>
      </w:r>
      <w:proofErr w:type="spellStart"/>
      <w:r w:rsidRPr="004E6515">
        <w:rPr>
          <w:rFonts w:asciiTheme="majorBidi" w:hAnsiTheme="majorBidi" w:cstheme="majorBidi"/>
          <w:sz w:val="20"/>
          <w:szCs w:val="20"/>
          <w:lang w:val="en-US"/>
        </w:rPr>
        <w:t>Masulis</w:t>
      </w:r>
      <w:proofErr w:type="spellEnd"/>
      <w:r w:rsidRPr="004E6515">
        <w:rPr>
          <w:rFonts w:asciiTheme="majorBidi" w:hAnsiTheme="majorBidi" w:cstheme="majorBidi"/>
          <w:sz w:val="20"/>
          <w:szCs w:val="20"/>
          <w:lang w:val="en-US"/>
        </w:rPr>
        <w:t xml:space="preserve"> et </w:t>
      </w:r>
      <w:r w:rsidRPr="004E6515">
        <w:rPr>
          <w:rFonts w:asciiTheme="majorBidi" w:hAnsiTheme="majorBidi" w:cstheme="majorBidi"/>
          <w:i/>
          <w:iCs/>
          <w:sz w:val="20"/>
          <w:szCs w:val="20"/>
          <w:lang w:val="en-US"/>
        </w:rPr>
        <w:t xml:space="preserve">al., </w:t>
      </w:r>
      <w:r w:rsidRPr="004E6515">
        <w:rPr>
          <w:rFonts w:asciiTheme="majorBidi" w:hAnsiTheme="majorBidi" w:cstheme="majorBidi"/>
          <w:sz w:val="20"/>
          <w:szCs w:val="20"/>
          <w:lang w:val="en-US"/>
        </w:rPr>
        <w:t>2009).</w:t>
      </w:r>
    </w:p>
    <w:p w:rsidR="006417D4" w:rsidRPr="002B4027" w:rsidRDefault="006417D4" w:rsidP="007B566C">
      <w:pPr>
        <w:spacing w:line="240" w:lineRule="auto"/>
        <w:jc w:val="both"/>
        <w:rPr>
          <w:rFonts w:asciiTheme="majorBidi" w:hAnsiTheme="majorBidi" w:cstheme="majorBidi"/>
          <w:i/>
          <w:iCs/>
          <w:sz w:val="20"/>
          <w:szCs w:val="20"/>
          <w:lang w:val="en-US"/>
        </w:rPr>
      </w:pPr>
      <w:r w:rsidRPr="002B4027">
        <w:rPr>
          <w:rFonts w:asciiTheme="majorBidi" w:hAnsiTheme="majorBidi" w:cstheme="majorBidi"/>
          <w:i/>
          <w:iCs/>
          <w:color w:val="000000"/>
          <w:sz w:val="20"/>
          <w:szCs w:val="20"/>
          <w:lang w:val="en-US"/>
        </w:rPr>
        <w:t xml:space="preserve">3.2.3 Firms </w:t>
      </w:r>
      <w:r w:rsidRPr="002B4027">
        <w:rPr>
          <w:rFonts w:asciiTheme="majorBidi" w:hAnsiTheme="majorBidi" w:cstheme="majorBidi"/>
          <w:i/>
          <w:iCs/>
          <w:sz w:val="20"/>
          <w:szCs w:val="20"/>
          <w:lang w:val="en-US"/>
        </w:rPr>
        <w:t>Characteristics Estimates</w:t>
      </w:r>
    </w:p>
    <w:p w:rsidR="00776C4F" w:rsidRPr="009E6692" w:rsidRDefault="00DD0E68" w:rsidP="00CA76DD">
      <w:pPr>
        <w:spacing w:line="240" w:lineRule="auto"/>
        <w:jc w:val="both"/>
        <w:rPr>
          <w:rFonts w:asciiTheme="majorBidi" w:hAnsiTheme="majorBidi" w:cstheme="majorBidi"/>
          <w:sz w:val="20"/>
          <w:szCs w:val="20"/>
          <w:lang w:val="en-US"/>
        </w:rPr>
      </w:pPr>
      <w:r w:rsidRPr="009E6692">
        <w:rPr>
          <w:rFonts w:asciiTheme="majorBidi" w:hAnsiTheme="majorBidi" w:cstheme="majorBidi"/>
          <w:sz w:val="20"/>
          <w:szCs w:val="20"/>
          <w:lang w:val="en-US"/>
        </w:rPr>
        <w:t>Five</w:t>
      </w:r>
      <w:r w:rsidR="006417D4" w:rsidRPr="009E6692">
        <w:rPr>
          <w:rFonts w:asciiTheme="majorBidi" w:hAnsiTheme="majorBidi" w:cstheme="majorBidi"/>
          <w:sz w:val="20"/>
          <w:szCs w:val="20"/>
          <w:lang w:val="en-US"/>
        </w:rPr>
        <w:t xml:space="preserve"> additional variables </w:t>
      </w:r>
      <w:r w:rsidR="00094509" w:rsidRPr="009E6692">
        <w:rPr>
          <w:rFonts w:asciiTheme="majorBidi" w:hAnsiTheme="majorBidi" w:cstheme="majorBidi"/>
          <w:sz w:val="20"/>
          <w:szCs w:val="20"/>
          <w:lang w:val="en-US"/>
        </w:rPr>
        <w:t xml:space="preserve">are introduced, namely the firm size (SIZE), </w:t>
      </w:r>
      <w:r w:rsidR="00CA76DD">
        <w:rPr>
          <w:rFonts w:asciiTheme="majorBidi" w:hAnsiTheme="majorBidi" w:cstheme="majorBidi"/>
          <w:sz w:val="20"/>
          <w:szCs w:val="20"/>
          <w:lang w:val="en-US"/>
        </w:rPr>
        <w:t xml:space="preserve">the </w:t>
      </w:r>
      <w:r w:rsidR="006417D4" w:rsidRPr="009E6692">
        <w:rPr>
          <w:rFonts w:asciiTheme="majorBidi" w:hAnsiTheme="majorBidi" w:cstheme="majorBidi"/>
          <w:sz w:val="20"/>
          <w:szCs w:val="20"/>
          <w:lang w:val="en-US"/>
        </w:rPr>
        <w:t xml:space="preserve">profitability (ROA), </w:t>
      </w:r>
      <w:r w:rsidR="00CA76DD">
        <w:rPr>
          <w:rFonts w:asciiTheme="majorBidi" w:hAnsiTheme="majorBidi" w:cstheme="majorBidi"/>
          <w:sz w:val="20"/>
          <w:szCs w:val="20"/>
          <w:lang w:val="en-US"/>
        </w:rPr>
        <w:t xml:space="preserve">the </w:t>
      </w:r>
      <w:r w:rsidR="006417D4" w:rsidRPr="009E6692">
        <w:rPr>
          <w:rFonts w:asciiTheme="majorBidi" w:hAnsiTheme="majorBidi" w:cstheme="majorBidi"/>
          <w:sz w:val="20"/>
          <w:szCs w:val="20"/>
          <w:lang w:val="en-US"/>
        </w:rPr>
        <w:t xml:space="preserve">growth opportunities (Growth), </w:t>
      </w:r>
      <w:r w:rsidR="00CA76DD">
        <w:rPr>
          <w:rFonts w:asciiTheme="majorBidi" w:hAnsiTheme="majorBidi" w:cstheme="majorBidi"/>
          <w:sz w:val="20"/>
          <w:szCs w:val="20"/>
          <w:lang w:val="en-US"/>
        </w:rPr>
        <w:t xml:space="preserve">the </w:t>
      </w:r>
      <w:r w:rsidR="006417D4" w:rsidRPr="009E6692">
        <w:rPr>
          <w:rFonts w:asciiTheme="majorBidi" w:hAnsiTheme="majorBidi" w:cstheme="majorBidi"/>
          <w:sz w:val="20"/>
          <w:szCs w:val="20"/>
          <w:lang w:val="en-US"/>
        </w:rPr>
        <w:t>leverage (LEV)</w:t>
      </w:r>
      <w:r w:rsidRPr="009E6692">
        <w:rPr>
          <w:rFonts w:asciiTheme="majorBidi" w:hAnsiTheme="majorBidi" w:cstheme="majorBidi"/>
          <w:sz w:val="20"/>
          <w:szCs w:val="20"/>
          <w:lang w:val="en-US"/>
        </w:rPr>
        <w:t xml:space="preserve"> and </w:t>
      </w:r>
      <w:r w:rsidR="00CA76DD">
        <w:rPr>
          <w:rFonts w:asciiTheme="majorBidi" w:hAnsiTheme="majorBidi" w:cstheme="majorBidi"/>
          <w:sz w:val="20"/>
          <w:szCs w:val="20"/>
          <w:lang w:val="en-US"/>
        </w:rPr>
        <w:t xml:space="preserve">the </w:t>
      </w:r>
      <w:r w:rsidRPr="009E6692">
        <w:rPr>
          <w:rFonts w:asciiTheme="majorBidi" w:hAnsiTheme="majorBidi" w:cstheme="majorBidi"/>
          <w:sz w:val="20"/>
          <w:szCs w:val="20"/>
          <w:lang w:val="en-US"/>
        </w:rPr>
        <w:t>asset tangibility (TANG)</w:t>
      </w:r>
      <w:r w:rsidR="006417D4" w:rsidRPr="009E6692">
        <w:rPr>
          <w:rFonts w:asciiTheme="majorBidi" w:hAnsiTheme="majorBidi" w:cstheme="majorBidi"/>
          <w:sz w:val="20"/>
          <w:szCs w:val="20"/>
          <w:lang w:val="en-US"/>
        </w:rPr>
        <w:t>.</w:t>
      </w:r>
      <w:r w:rsidR="00094509" w:rsidRPr="009E6692">
        <w:rPr>
          <w:rFonts w:asciiTheme="majorBidi" w:hAnsiTheme="majorBidi" w:cstheme="majorBidi"/>
          <w:sz w:val="20"/>
          <w:szCs w:val="20"/>
          <w:lang w:val="en-US"/>
        </w:rPr>
        <w:t xml:space="preserve"> These variables may </w:t>
      </w:r>
      <w:r w:rsidR="006417D4" w:rsidRPr="009E6692">
        <w:rPr>
          <w:rFonts w:asciiTheme="majorBidi" w:hAnsiTheme="majorBidi" w:cstheme="majorBidi"/>
          <w:sz w:val="20"/>
          <w:szCs w:val="20"/>
          <w:lang w:val="en-US"/>
        </w:rPr>
        <w:t>significant</w:t>
      </w:r>
      <w:r w:rsidR="001E1395" w:rsidRPr="009E6692">
        <w:rPr>
          <w:rFonts w:asciiTheme="majorBidi" w:hAnsiTheme="majorBidi" w:cstheme="majorBidi"/>
          <w:sz w:val="20"/>
          <w:szCs w:val="20"/>
          <w:lang w:val="en-US"/>
        </w:rPr>
        <w:t xml:space="preserve">ly </w:t>
      </w:r>
      <w:r w:rsidR="000A1688" w:rsidRPr="009E6692">
        <w:rPr>
          <w:rFonts w:asciiTheme="majorBidi" w:hAnsiTheme="majorBidi" w:cstheme="majorBidi"/>
          <w:sz w:val="20"/>
          <w:szCs w:val="20"/>
          <w:lang w:val="en-US"/>
        </w:rPr>
        <w:t xml:space="preserve">influence </w:t>
      </w:r>
      <w:r w:rsidR="006417D4" w:rsidRPr="009E6692">
        <w:rPr>
          <w:rFonts w:asciiTheme="majorBidi" w:hAnsiTheme="majorBidi" w:cstheme="majorBidi"/>
          <w:sz w:val="20"/>
          <w:szCs w:val="20"/>
          <w:lang w:val="en-US"/>
        </w:rPr>
        <w:t>both the dividend payout ratio</w:t>
      </w:r>
      <w:r w:rsidR="00776C4F" w:rsidRPr="009E6692">
        <w:rPr>
          <w:rFonts w:asciiTheme="majorBidi" w:hAnsiTheme="majorBidi" w:cstheme="majorBidi"/>
          <w:sz w:val="20"/>
          <w:szCs w:val="20"/>
          <w:lang w:val="en-US"/>
        </w:rPr>
        <w:t xml:space="preserve"> </w:t>
      </w:r>
      <w:r w:rsidR="00CA76DD">
        <w:rPr>
          <w:rFonts w:asciiTheme="majorBidi" w:hAnsiTheme="majorBidi" w:cstheme="majorBidi"/>
          <w:sz w:val="20"/>
          <w:szCs w:val="20"/>
          <w:lang w:val="en-US"/>
        </w:rPr>
        <w:t>as well as</w:t>
      </w:r>
      <w:r w:rsidR="00776C4F" w:rsidRPr="009E6692">
        <w:rPr>
          <w:rFonts w:asciiTheme="majorBidi" w:hAnsiTheme="majorBidi" w:cstheme="majorBidi"/>
          <w:sz w:val="20"/>
          <w:szCs w:val="20"/>
          <w:lang w:val="en-US"/>
        </w:rPr>
        <w:t xml:space="preserve"> the</w:t>
      </w:r>
      <w:r w:rsidR="006417D4" w:rsidRPr="009E6692">
        <w:rPr>
          <w:rFonts w:asciiTheme="majorBidi" w:hAnsiTheme="majorBidi" w:cstheme="majorBidi"/>
          <w:sz w:val="20"/>
          <w:szCs w:val="20"/>
          <w:lang w:val="en-US"/>
        </w:rPr>
        <w:t xml:space="preserve"> private benefits of control</w:t>
      </w:r>
      <w:r w:rsidR="00776C4F" w:rsidRPr="009E6692">
        <w:rPr>
          <w:rFonts w:asciiTheme="majorBidi" w:hAnsiTheme="majorBidi" w:cstheme="majorBidi"/>
          <w:sz w:val="20"/>
          <w:szCs w:val="20"/>
          <w:lang w:val="en-US"/>
        </w:rPr>
        <w:t>.</w:t>
      </w:r>
    </w:p>
    <w:p w:rsidR="00FD39E4" w:rsidRPr="004E6515" w:rsidRDefault="00FB0BA4" w:rsidP="00B51D44">
      <w:pPr>
        <w:ind w:firstLine="709"/>
        <w:jc w:val="both"/>
        <w:rPr>
          <w:rFonts w:asciiTheme="majorBidi" w:hAnsiTheme="majorBidi" w:cstheme="majorBidi"/>
          <w:sz w:val="20"/>
          <w:szCs w:val="20"/>
          <w:lang w:val="en-US"/>
        </w:rPr>
      </w:pPr>
      <w:r w:rsidRPr="009E6692">
        <w:rPr>
          <w:rFonts w:asciiTheme="majorBidi" w:hAnsiTheme="majorBidi" w:cstheme="majorBidi"/>
          <w:sz w:val="20"/>
          <w:szCs w:val="20"/>
          <w:lang w:val="en-US"/>
        </w:rPr>
        <w:t>SIZE</w:t>
      </w:r>
      <w:r w:rsidR="006417D4" w:rsidRPr="009E6692">
        <w:rPr>
          <w:rFonts w:asciiTheme="majorBidi" w:hAnsiTheme="majorBidi" w:cstheme="majorBidi"/>
          <w:sz w:val="20"/>
          <w:szCs w:val="20"/>
          <w:lang w:val="en-US"/>
        </w:rPr>
        <w:t xml:space="preserve"> </w:t>
      </w:r>
      <w:r w:rsidR="003C58BD" w:rsidRPr="009E6692">
        <w:rPr>
          <w:rFonts w:asciiTheme="majorBidi" w:hAnsiTheme="majorBidi" w:cstheme="majorBidi"/>
          <w:sz w:val="20"/>
          <w:szCs w:val="20"/>
          <w:lang w:val="en-US"/>
        </w:rPr>
        <w:t>measures</w:t>
      </w:r>
      <w:r w:rsidRPr="009E6692">
        <w:rPr>
          <w:rFonts w:asciiTheme="majorBidi" w:hAnsiTheme="majorBidi" w:cstheme="majorBidi"/>
          <w:sz w:val="20"/>
          <w:szCs w:val="20"/>
          <w:lang w:val="en-US"/>
        </w:rPr>
        <w:t xml:space="preserve"> the size of the firm</w:t>
      </w:r>
      <w:r w:rsidR="000A1688" w:rsidRPr="009E6692">
        <w:rPr>
          <w:rFonts w:asciiTheme="majorBidi" w:hAnsiTheme="majorBidi" w:cstheme="majorBidi"/>
          <w:sz w:val="20"/>
          <w:szCs w:val="20"/>
          <w:lang w:val="en-US"/>
        </w:rPr>
        <w:t xml:space="preserve"> and</w:t>
      </w:r>
      <w:r w:rsidRPr="009E6692">
        <w:rPr>
          <w:rFonts w:asciiTheme="majorBidi" w:hAnsiTheme="majorBidi" w:cstheme="majorBidi"/>
          <w:sz w:val="20"/>
          <w:szCs w:val="20"/>
          <w:lang w:val="en-US"/>
        </w:rPr>
        <w:t xml:space="preserve"> is </w:t>
      </w:r>
      <w:proofErr w:type="spellStart"/>
      <w:r w:rsidR="00412403" w:rsidRPr="009E6692">
        <w:rPr>
          <w:rFonts w:asciiTheme="majorBidi" w:hAnsiTheme="majorBidi" w:cstheme="majorBidi"/>
          <w:sz w:val="20"/>
          <w:szCs w:val="20"/>
          <w:lang w:val="en-US"/>
        </w:rPr>
        <w:t>approximed</w:t>
      </w:r>
      <w:proofErr w:type="spellEnd"/>
      <w:r w:rsidR="006417D4" w:rsidRPr="009E6692">
        <w:rPr>
          <w:rFonts w:asciiTheme="majorBidi" w:hAnsiTheme="majorBidi" w:cstheme="majorBidi"/>
          <w:sz w:val="20"/>
          <w:szCs w:val="20"/>
          <w:lang w:val="en-US"/>
        </w:rPr>
        <w:t xml:space="preserve"> by the </w:t>
      </w:r>
      <w:proofErr w:type="spellStart"/>
      <w:r w:rsidR="000A1688" w:rsidRPr="009E6692">
        <w:rPr>
          <w:rFonts w:asciiTheme="majorBidi" w:hAnsiTheme="majorBidi" w:cstheme="majorBidi"/>
          <w:sz w:val="20"/>
          <w:szCs w:val="20"/>
          <w:lang w:val="en-US"/>
        </w:rPr>
        <w:t>neperian</w:t>
      </w:r>
      <w:proofErr w:type="spellEnd"/>
      <w:r w:rsidR="006417D4" w:rsidRPr="009E6692">
        <w:rPr>
          <w:rFonts w:asciiTheme="majorBidi" w:hAnsiTheme="majorBidi" w:cstheme="majorBidi"/>
          <w:sz w:val="20"/>
          <w:szCs w:val="20"/>
          <w:lang w:val="en-US"/>
        </w:rPr>
        <w:t xml:space="preserve"> logarithm of total assets. </w:t>
      </w:r>
      <w:r w:rsidR="00660084" w:rsidRPr="009E6692">
        <w:rPr>
          <w:rFonts w:asciiTheme="majorBidi" w:hAnsiTheme="majorBidi" w:cstheme="majorBidi"/>
          <w:sz w:val="20"/>
          <w:szCs w:val="20"/>
          <w:lang w:val="en-US"/>
        </w:rPr>
        <w:t>L</w:t>
      </w:r>
      <w:r w:rsidR="009B34D7" w:rsidRPr="009E6692">
        <w:rPr>
          <w:rFonts w:asciiTheme="majorBidi" w:hAnsiTheme="majorBidi" w:cstheme="majorBidi"/>
          <w:sz w:val="20"/>
          <w:szCs w:val="20"/>
          <w:lang w:val="en-US"/>
        </w:rPr>
        <w:t>arger firms are more mature</w:t>
      </w:r>
      <w:r w:rsidR="0007520B" w:rsidRPr="009E6692">
        <w:rPr>
          <w:rFonts w:asciiTheme="majorBidi" w:hAnsiTheme="majorBidi" w:cstheme="majorBidi"/>
          <w:sz w:val="20"/>
          <w:szCs w:val="20"/>
          <w:lang w:val="en-US"/>
        </w:rPr>
        <w:t xml:space="preserve"> and</w:t>
      </w:r>
      <w:r w:rsidR="009B34D7" w:rsidRPr="009E6692">
        <w:rPr>
          <w:rFonts w:asciiTheme="majorBidi" w:hAnsiTheme="majorBidi" w:cstheme="majorBidi"/>
          <w:sz w:val="20"/>
          <w:szCs w:val="20"/>
          <w:lang w:val="en-US"/>
        </w:rPr>
        <w:t xml:space="preserve"> have higher free cash flows</w:t>
      </w:r>
      <w:r w:rsidR="0007520B" w:rsidRPr="009E6692">
        <w:rPr>
          <w:rFonts w:asciiTheme="majorBidi" w:hAnsiTheme="majorBidi" w:cstheme="majorBidi"/>
          <w:sz w:val="20"/>
          <w:szCs w:val="20"/>
          <w:lang w:val="en-US"/>
        </w:rPr>
        <w:t xml:space="preserve">. They are more able to distribute </w:t>
      </w:r>
      <w:r w:rsidR="009B34D7" w:rsidRPr="009E6692">
        <w:rPr>
          <w:rFonts w:asciiTheme="majorBidi" w:hAnsiTheme="majorBidi" w:cstheme="majorBidi"/>
          <w:sz w:val="20"/>
          <w:szCs w:val="20"/>
          <w:lang w:val="en-US"/>
        </w:rPr>
        <w:t xml:space="preserve">higher dividends </w:t>
      </w:r>
      <w:r w:rsidR="00660084" w:rsidRPr="009E6692">
        <w:rPr>
          <w:rFonts w:asciiTheme="majorBidi" w:hAnsiTheme="majorBidi" w:cstheme="majorBidi"/>
          <w:sz w:val="20"/>
          <w:szCs w:val="20"/>
          <w:lang w:val="en-US"/>
        </w:rPr>
        <w:t xml:space="preserve">than smaller firms </w:t>
      </w:r>
      <w:r w:rsidR="009B34D7" w:rsidRPr="009E6692">
        <w:rPr>
          <w:rFonts w:asciiTheme="majorBidi" w:hAnsiTheme="majorBidi" w:cstheme="majorBidi"/>
          <w:sz w:val="20"/>
          <w:szCs w:val="20"/>
          <w:lang w:val="en-US"/>
        </w:rPr>
        <w:t>(</w:t>
      </w:r>
      <w:proofErr w:type="spellStart"/>
      <w:r w:rsidR="009B34D7" w:rsidRPr="009E6692">
        <w:rPr>
          <w:rFonts w:asciiTheme="majorBidi" w:hAnsiTheme="majorBidi" w:cstheme="majorBidi"/>
          <w:sz w:val="20"/>
          <w:szCs w:val="20"/>
          <w:lang w:val="en-US"/>
        </w:rPr>
        <w:t>Fama</w:t>
      </w:r>
      <w:proofErr w:type="spellEnd"/>
      <w:r w:rsidR="009B34D7" w:rsidRPr="009E6692">
        <w:rPr>
          <w:rFonts w:asciiTheme="majorBidi" w:hAnsiTheme="majorBidi" w:cstheme="majorBidi"/>
          <w:sz w:val="20"/>
          <w:szCs w:val="20"/>
          <w:lang w:val="en-US"/>
        </w:rPr>
        <w:t xml:space="preserve"> and French, 2002). </w:t>
      </w:r>
      <w:r w:rsidR="0007520B" w:rsidRPr="009E6692">
        <w:rPr>
          <w:rFonts w:asciiTheme="majorBidi" w:hAnsiTheme="majorBidi" w:cstheme="majorBidi"/>
          <w:sz w:val="20"/>
          <w:szCs w:val="20"/>
          <w:lang w:val="en-US"/>
        </w:rPr>
        <w:t>A</w:t>
      </w:r>
      <w:r w:rsidR="009B34D7" w:rsidRPr="009E6692">
        <w:rPr>
          <w:rFonts w:asciiTheme="majorBidi" w:hAnsiTheme="majorBidi" w:cstheme="majorBidi"/>
          <w:sz w:val="20"/>
          <w:szCs w:val="20"/>
          <w:lang w:val="en-US"/>
        </w:rPr>
        <w:t xml:space="preserve"> positive relationship between firm size and dividends is </w:t>
      </w:r>
      <w:r w:rsidR="0007520B" w:rsidRPr="009E6692">
        <w:rPr>
          <w:rFonts w:asciiTheme="majorBidi" w:hAnsiTheme="majorBidi" w:cstheme="majorBidi"/>
          <w:sz w:val="20"/>
          <w:szCs w:val="20"/>
          <w:lang w:val="en-US"/>
        </w:rPr>
        <w:t xml:space="preserve">thus </w:t>
      </w:r>
      <w:r w:rsidR="009B34D7" w:rsidRPr="009E6692">
        <w:rPr>
          <w:rFonts w:asciiTheme="majorBidi" w:hAnsiTheme="majorBidi" w:cstheme="majorBidi"/>
          <w:sz w:val="20"/>
          <w:szCs w:val="20"/>
          <w:lang w:val="en-US"/>
        </w:rPr>
        <w:t>expected.</w:t>
      </w:r>
      <w:r w:rsidR="00693F9F" w:rsidRPr="009E6692">
        <w:rPr>
          <w:rFonts w:asciiTheme="majorBidi" w:hAnsiTheme="majorBidi" w:cstheme="majorBidi"/>
          <w:sz w:val="20"/>
          <w:szCs w:val="20"/>
          <w:lang w:val="en-US"/>
        </w:rPr>
        <w:t xml:space="preserve"> </w:t>
      </w:r>
      <w:r w:rsidR="00BA4838" w:rsidRPr="009E6692">
        <w:rPr>
          <w:rFonts w:asciiTheme="majorBidi" w:hAnsiTheme="majorBidi" w:cstheme="majorBidi"/>
          <w:sz w:val="20"/>
          <w:szCs w:val="20"/>
          <w:lang w:val="en-US"/>
        </w:rPr>
        <w:t xml:space="preserve">Similarly, larger firms are believed to provide more non-pecuniary and pecuniary benefits and private benefits of control can be more easily extracted (Barclay and Holderness, 1989; </w:t>
      </w:r>
      <w:proofErr w:type="spellStart"/>
      <w:r w:rsidR="00B51D44" w:rsidRPr="004E6515">
        <w:rPr>
          <w:rFonts w:ascii="TimesNewRomanPSMT" w:hAnsi="TimesNewRomanPSMT"/>
          <w:sz w:val="20"/>
          <w:szCs w:val="20"/>
          <w:lang w:val="en-US"/>
        </w:rPr>
        <w:t>Weifeng</w:t>
      </w:r>
      <w:proofErr w:type="spellEnd"/>
      <w:r w:rsidR="00BA4838" w:rsidRPr="004E6515">
        <w:rPr>
          <w:rFonts w:asciiTheme="majorBidi" w:hAnsiTheme="majorBidi" w:cstheme="majorBidi"/>
          <w:sz w:val="20"/>
          <w:szCs w:val="20"/>
          <w:lang w:val="en-US"/>
        </w:rPr>
        <w:t xml:space="preserve"> et al., 2008).</w:t>
      </w:r>
      <w:r w:rsidR="00FD39E4" w:rsidRPr="004E6515">
        <w:rPr>
          <w:rFonts w:asciiTheme="majorBidi" w:hAnsiTheme="majorBidi" w:cstheme="majorBidi"/>
          <w:sz w:val="20"/>
          <w:szCs w:val="20"/>
          <w:lang w:val="en-US"/>
        </w:rPr>
        <w:t xml:space="preserve"> We also consider the influence of asset tangibility (TANG) on private benefits. Asset tangibility is apprehended by the ratio of fixed assets divided by total assets. It is expected that large shareholders find it harder to extract resources from the firm when the assets are observable such as the tangible assets (</w:t>
      </w:r>
      <w:proofErr w:type="spellStart"/>
      <w:r w:rsidR="00FD39E4" w:rsidRPr="004E6515">
        <w:rPr>
          <w:rFonts w:asciiTheme="majorBidi" w:hAnsiTheme="majorBidi" w:cstheme="majorBidi"/>
          <w:sz w:val="20"/>
          <w:szCs w:val="20"/>
          <w:lang w:val="en-US"/>
        </w:rPr>
        <w:t>Dyck</w:t>
      </w:r>
      <w:proofErr w:type="spellEnd"/>
      <w:r w:rsidR="00FD39E4" w:rsidRPr="004E6515">
        <w:rPr>
          <w:rFonts w:asciiTheme="majorBidi" w:hAnsiTheme="majorBidi" w:cstheme="majorBidi"/>
          <w:sz w:val="20"/>
          <w:szCs w:val="20"/>
          <w:lang w:val="en-US"/>
        </w:rPr>
        <w:t xml:space="preserve"> and </w:t>
      </w:r>
      <w:proofErr w:type="spellStart"/>
      <w:r w:rsidR="00FD39E4" w:rsidRPr="004E6515">
        <w:rPr>
          <w:rFonts w:asciiTheme="majorBidi" w:hAnsiTheme="majorBidi" w:cstheme="majorBidi"/>
          <w:sz w:val="20"/>
          <w:szCs w:val="20"/>
          <w:lang w:val="en-US"/>
        </w:rPr>
        <w:t>Zingales</w:t>
      </w:r>
      <w:proofErr w:type="spellEnd"/>
      <w:r w:rsidR="00FD39E4" w:rsidRPr="004E6515">
        <w:rPr>
          <w:rFonts w:asciiTheme="majorBidi" w:hAnsiTheme="majorBidi" w:cstheme="majorBidi"/>
          <w:sz w:val="20"/>
          <w:szCs w:val="20"/>
          <w:lang w:val="en-US"/>
        </w:rPr>
        <w:t xml:space="preserve">, 2004; </w:t>
      </w:r>
      <w:r w:rsidR="00327AA9" w:rsidRPr="004E6515">
        <w:rPr>
          <w:rFonts w:asciiTheme="majorBidi" w:hAnsiTheme="majorBidi" w:cstheme="majorBidi"/>
          <w:sz w:val="20"/>
          <w:szCs w:val="20"/>
          <w:lang w:val="en-US"/>
        </w:rPr>
        <w:t>Hwan</w:t>
      </w:r>
      <w:r w:rsidR="00FD39E4" w:rsidRPr="004E6515">
        <w:rPr>
          <w:rFonts w:asciiTheme="majorBidi" w:hAnsiTheme="majorBidi" w:cstheme="majorBidi"/>
          <w:sz w:val="20"/>
          <w:szCs w:val="20"/>
          <w:lang w:val="en-US"/>
        </w:rPr>
        <w:t xml:space="preserve">g and </w:t>
      </w:r>
      <w:proofErr w:type="spellStart"/>
      <w:r w:rsidR="00FD39E4" w:rsidRPr="004E6515">
        <w:rPr>
          <w:rFonts w:asciiTheme="majorBidi" w:hAnsiTheme="majorBidi" w:cstheme="majorBidi"/>
          <w:sz w:val="20"/>
          <w:szCs w:val="20"/>
          <w:lang w:val="en-US"/>
        </w:rPr>
        <w:t>Hu</w:t>
      </w:r>
      <w:proofErr w:type="spellEnd"/>
      <w:r w:rsidR="00FD39E4" w:rsidRPr="004E6515">
        <w:rPr>
          <w:rFonts w:asciiTheme="majorBidi" w:hAnsiTheme="majorBidi" w:cstheme="majorBidi"/>
          <w:sz w:val="20"/>
          <w:szCs w:val="20"/>
          <w:lang w:val="en-US"/>
        </w:rPr>
        <w:t>, 2009).</w:t>
      </w:r>
    </w:p>
    <w:p w:rsidR="009E6692" w:rsidRPr="009E6692" w:rsidRDefault="00FB0BA4" w:rsidP="00B51D44">
      <w:pPr>
        <w:ind w:firstLine="709"/>
        <w:jc w:val="both"/>
        <w:rPr>
          <w:rFonts w:asciiTheme="majorBidi" w:hAnsiTheme="majorBidi" w:cstheme="majorBidi"/>
          <w:sz w:val="20"/>
          <w:szCs w:val="20"/>
          <w:lang w:val="en-US"/>
        </w:rPr>
      </w:pPr>
      <w:r w:rsidRPr="009E6692">
        <w:rPr>
          <w:rFonts w:asciiTheme="majorBidi" w:hAnsiTheme="majorBidi" w:cstheme="majorBidi"/>
          <w:sz w:val="20"/>
          <w:szCs w:val="20"/>
          <w:lang w:val="en-US"/>
        </w:rPr>
        <w:t>Return on assets ratio (ROA) measures p</w:t>
      </w:r>
      <w:r w:rsidR="006417D4" w:rsidRPr="009E6692">
        <w:rPr>
          <w:rFonts w:asciiTheme="majorBidi" w:hAnsiTheme="majorBidi" w:cstheme="majorBidi"/>
          <w:sz w:val="20"/>
          <w:szCs w:val="20"/>
          <w:lang w:val="en-US"/>
        </w:rPr>
        <w:t>rofitability</w:t>
      </w:r>
      <w:r w:rsidR="0007520B" w:rsidRPr="009E6692">
        <w:rPr>
          <w:rFonts w:asciiTheme="majorBidi" w:hAnsiTheme="majorBidi" w:cstheme="majorBidi"/>
          <w:sz w:val="20"/>
          <w:szCs w:val="20"/>
          <w:lang w:val="en-US"/>
        </w:rPr>
        <w:t xml:space="preserve"> and </w:t>
      </w:r>
      <w:r w:rsidR="006417D4" w:rsidRPr="009E6692">
        <w:rPr>
          <w:rFonts w:asciiTheme="majorBidi" w:hAnsiTheme="majorBidi" w:cstheme="majorBidi"/>
          <w:sz w:val="20"/>
          <w:szCs w:val="20"/>
          <w:lang w:val="en-US"/>
        </w:rPr>
        <w:t>is apprehended by the ratio of operating income and total assets</w:t>
      </w:r>
      <w:r w:rsidR="006417D4" w:rsidRPr="009E6692">
        <w:rPr>
          <w:rFonts w:asciiTheme="majorBidi" w:hAnsiTheme="majorBidi" w:cstheme="majorBidi"/>
          <w:b/>
          <w:bCs/>
          <w:sz w:val="20"/>
          <w:szCs w:val="20"/>
          <w:lang w:val="en-US"/>
        </w:rPr>
        <w:t>.</w:t>
      </w:r>
      <w:r w:rsidR="00C4076E" w:rsidRPr="009E6692">
        <w:rPr>
          <w:rFonts w:asciiTheme="majorBidi" w:hAnsiTheme="majorBidi" w:cstheme="majorBidi"/>
          <w:b/>
          <w:bCs/>
          <w:sz w:val="20"/>
          <w:szCs w:val="20"/>
          <w:lang w:val="en-US"/>
        </w:rPr>
        <w:t xml:space="preserve"> </w:t>
      </w:r>
      <w:r w:rsidR="00C4076E" w:rsidRPr="009E6692">
        <w:rPr>
          <w:rFonts w:asciiTheme="majorBidi" w:hAnsiTheme="majorBidi" w:cstheme="majorBidi"/>
          <w:sz w:val="20"/>
          <w:szCs w:val="20"/>
          <w:lang w:val="en-US"/>
        </w:rPr>
        <w:t xml:space="preserve">Jensen et al. (1992), Truong and Heaney (2007) find that firms with higher profitability tend to pay higher dividends than firms with lower profitability. Therefore, we </w:t>
      </w:r>
      <w:r w:rsidR="00CA76DD" w:rsidRPr="009E6692">
        <w:rPr>
          <w:rFonts w:asciiTheme="majorBidi" w:hAnsiTheme="majorBidi" w:cstheme="majorBidi"/>
          <w:sz w:val="20"/>
          <w:szCs w:val="20"/>
          <w:lang w:val="en-US"/>
        </w:rPr>
        <w:t>anticipate</w:t>
      </w:r>
      <w:r w:rsidR="00C4076E" w:rsidRPr="009E6692">
        <w:rPr>
          <w:rFonts w:asciiTheme="majorBidi" w:hAnsiTheme="majorBidi" w:cstheme="majorBidi"/>
          <w:sz w:val="20"/>
          <w:szCs w:val="20"/>
          <w:lang w:val="en-US"/>
        </w:rPr>
        <w:t xml:space="preserve"> a positive relationship between profitability and payout ratio.</w:t>
      </w:r>
      <w:r w:rsidR="00693F9F" w:rsidRPr="009E6692">
        <w:rPr>
          <w:rFonts w:asciiTheme="majorBidi" w:hAnsiTheme="majorBidi" w:cstheme="majorBidi"/>
          <w:sz w:val="20"/>
          <w:szCs w:val="20"/>
          <w:lang w:val="en-US"/>
        </w:rPr>
        <w:t xml:space="preserve"> </w:t>
      </w:r>
      <w:r w:rsidR="00BA4838" w:rsidRPr="009E6692">
        <w:rPr>
          <w:rFonts w:asciiTheme="majorBidi" w:hAnsiTheme="majorBidi" w:cstheme="majorBidi"/>
          <w:sz w:val="20"/>
          <w:szCs w:val="20"/>
          <w:lang w:val="en-US"/>
        </w:rPr>
        <w:t>Likewise, a similar relationship between private benefits and profitability is expected. Majority shareholders are likely to drain off larger benefits of control when the firm is more profitable (</w:t>
      </w:r>
      <w:proofErr w:type="spellStart"/>
      <w:r w:rsidR="00BA4838" w:rsidRPr="009E6692">
        <w:rPr>
          <w:rFonts w:asciiTheme="majorBidi" w:hAnsiTheme="majorBidi" w:cstheme="majorBidi"/>
          <w:sz w:val="20"/>
          <w:szCs w:val="20"/>
          <w:lang w:val="en-US"/>
        </w:rPr>
        <w:t>Dyck</w:t>
      </w:r>
      <w:proofErr w:type="spellEnd"/>
      <w:r w:rsidR="00BA4838" w:rsidRPr="009E6692">
        <w:rPr>
          <w:rFonts w:asciiTheme="majorBidi" w:hAnsiTheme="majorBidi" w:cstheme="majorBidi"/>
          <w:sz w:val="20"/>
          <w:szCs w:val="20"/>
          <w:lang w:val="en-US"/>
        </w:rPr>
        <w:t xml:space="preserve"> and </w:t>
      </w:r>
      <w:proofErr w:type="spellStart"/>
      <w:r w:rsidR="00BA4838" w:rsidRPr="009E6692">
        <w:rPr>
          <w:rFonts w:asciiTheme="majorBidi" w:hAnsiTheme="majorBidi" w:cstheme="majorBidi"/>
          <w:sz w:val="20"/>
          <w:szCs w:val="20"/>
          <w:lang w:val="en-US"/>
        </w:rPr>
        <w:t>Zingales</w:t>
      </w:r>
      <w:proofErr w:type="spellEnd"/>
      <w:r w:rsidR="00BA4838" w:rsidRPr="009E6692">
        <w:rPr>
          <w:rFonts w:asciiTheme="majorBidi" w:hAnsiTheme="majorBidi" w:cstheme="majorBidi"/>
          <w:sz w:val="20"/>
          <w:szCs w:val="20"/>
          <w:lang w:val="en-US"/>
        </w:rPr>
        <w:t>, 2004).</w:t>
      </w:r>
      <w:r w:rsidR="00FD39E4">
        <w:rPr>
          <w:rFonts w:asciiTheme="majorBidi" w:hAnsiTheme="majorBidi" w:cstheme="majorBidi"/>
          <w:sz w:val="20"/>
          <w:szCs w:val="20"/>
          <w:lang w:val="en-US"/>
        </w:rPr>
        <w:t xml:space="preserve"> Furthermore, </w:t>
      </w:r>
      <w:r w:rsidR="006417D4" w:rsidRPr="009E6692">
        <w:rPr>
          <w:rFonts w:asciiTheme="majorBidi" w:hAnsiTheme="majorBidi" w:cstheme="majorBidi"/>
          <w:sz w:val="20"/>
          <w:szCs w:val="20"/>
          <w:lang w:val="en-US"/>
        </w:rPr>
        <w:t>opportunities</w:t>
      </w:r>
      <w:r w:rsidR="009E6692" w:rsidRPr="009E6692">
        <w:rPr>
          <w:rFonts w:asciiTheme="majorBidi" w:hAnsiTheme="majorBidi" w:cstheme="majorBidi"/>
          <w:sz w:val="20"/>
          <w:szCs w:val="20"/>
          <w:lang w:val="en-US"/>
        </w:rPr>
        <w:t xml:space="preserve"> growth</w:t>
      </w:r>
      <w:r w:rsidR="006417D4" w:rsidRPr="009E6692">
        <w:rPr>
          <w:rFonts w:asciiTheme="majorBidi" w:hAnsiTheme="majorBidi" w:cstheme="majorBidi"/>
          <w:sz w:val="20"/>
          <w:szCs w:val="20"/>
          <w:lang w:val="en-US"/>
        </w:rPr>
        <w:t xml:space="preserve"> (</w:t>
      </w:r>
      <w:r w:rsidR="000F7C1A" w:rsidRPr="009E6692">
        <w:rPr>
          <w:rFonts w:asciiTheme="majorBidi" w:hAnsiTheme="majorBidi" w:cstheme="majorBidi"/>
          <w:sz w:val="20"/>
          <w:szCs w:val="20"/>
          <w:lang w:val="en-US"/>
        </w:rPr>
        <w:t>Growth</w:t>
      </w:r>
      <w:r w:rsidR="006417D4" w:rsidRPr="009E6692">
        <w:rPr>
          <w:rFonts w:asciiTheme="majorBidi" w:hAnsiTheme="majorBidi" w:cstheme="majorBidi"/>
          <w:sz w:val="20"/>
          <w:szCs w:val="20"/>
          <w:lang w:val="en-US"/>
        </w:rPr>
        <w:t xml:space="preserve">) </w:t>
      </w:r>
      <w:r w:rsidR="0007520B" w:rsidRPr="009E6692">
        <w:rPr>
          <w:rFonts w:asciiTheme="majorBidi" w:hAnsiTheme="majorBidi" w:cstheme="majorBidi"/>
          <w:sz w:val="20"/>
          <w:szCs w:val="20"/>
          <w:lang w:val="en-US"/>
        </w:rPr>
        <w:t>may</w:t>
      </w:r>
      <w:r w:rsidR="00C4076E" w:rsidRPr="009E6692">
        <w:rPr>
          <w:rFonts w:asciiTheme="majorBidi" w:hAnsiTheme="majorBidi" w:cstheme="majorBidi"/>
          <w:sz w:val="20"/>
          <w:szCs w:val="20"/>
          <w:lang w:val="en-US"/>
        </w:rPr>
        <w:t xml:space="preserve"> influence the dividend policy. </w:t>
      </w:r>
      <w:r w:rsidR="009E6692" w:rsidRPr="009E6692">
        <w:rPr>
          <w:rFonts w:asciiTheme="majorBidi" w:hAnsiTheme="majorBidi" w:cstheme="majorBidi"/>
          <w:sz w:val="20"/>
          <w:szCs w:val="20"/>
          <w:lang w:val="en-US"/>
        </w:rPr>
        <w:t>Opportunities growth is approximated by the market-to-book</w:t>
      </w:r>
      <w:r w:rsidR="009E6692" w:rsidRPr="009E6692">
        <w:rPr>
          <w:rFonts w:asciiTheme="majorBidi" w:hAnsiTheme="majorBidi" w:cstheme="majorBidi"/>
          <w:b/>
          <w:bCs/>
          <w:sz w:val="20"/>
          <w:szCs w:val="20"/>
          <w:lang w:val="en-US"/>
        </w:rPr>
        <w:t xml:space="preserve"> </w:t>
      </w:r>
      <w:r w:rsidR="009E6692" w:rsidRPr="009E6692">
        <w:rPr>
          <w:rFonts w:asciiTheme="majorBidi" w:hAnsiTheme="majorBidi" w:cstheme="majorBidi"/>
          <w:sz w:val="20"/>
          <w:szCs w:val="20"/>
          <w:lang w:val="en-US"/>
        </w:rPr>
        <w:t xml:space="preserve">ratio. </w:t>
      </w:r>
      <w:r w:rsidR="006417D4" w:rsidRPr="009E6692">
        <w:rPr>
          <w:rFonts w:asciiTheme="majorBidi" w:hAnsiTheme="majorBidi" w:cstheme="majorBidi"/>
          <w:sz w:val="20"/>
          <w:szCs w:val="20"/>
          <w:lang w:val="en-US"/>
        </w:rPr>
        <w:t>Truong and Heaney</w:t>
      </w:r>
      <w:r w:rsidR="00412403" w:rsidRPr="009E6692">
        <w:rPr>
          <w:rFonts w:asciiTheme="majorBidi" w:hAnsiTheme="majorBidi" w:cstheme="majorBidi"/>
          <w:sz w:val="20"/>
          <w:szCs w:val="20"/>
          <w:lang w:val="en-US"/>
        </w:rPr>
        <w:t xml:space="preserve"> (2007)</w:t>
      </w:r>
      <w:r w:rsidR="006417D4" w:rsidRPr="009E6692">
        <w:rPr>
          <w:rFonts w:asciiTheme="majorBidi" w:hAnsiTheme="majorBidi" w:cstheme="majorBidi"/>
          <w:sz w:val="20"/>
          <w:szCs w:val="20"/>
          <w:lang w:val="en-US"/>
        </w:rPr>
        <w:t xml:space="preserve"> find that </w:t>
      </w:r>
      <w:r w:rsidR="000F7C1A" w:rsidRPr="009E6692">
        <w:rPr>
          <w:rFonts w:asciiTheme="majorBidi" w:hAnsiTheme="majorBidi" w:cstheme="majorBidi"/>
          <w:sz w:val="20"/>
          <w:szCs w:val="20"/>
          <w:lang w:val="en-US"/>
        </w:rPr>
        <w:t>firms with higher growth opportunities retain cash for future investments and are less able to pay higher dividend</w:t>
      </w:r>
      <w:r w:rsidR="006417D4" w:rsidRPr="009E6692">
        <w:rPr>
          <w:sz w:val="20"/>
          <w:szCs w:val="20"/>
          <w:lang w:val="en-US"/>
        </w:rPr>
        <w:t xml:space="preserve">. </w:t>
      </w:r>
      <w:r w:rsidR="009E6692" w:rsidRPr="009E6692">
        <w:rPr>
          <w:rFonts w:asciiTheme="majorBidi" w:hAnsiTheme="majorBidi" w:cstheme="majorBidi"/>
          <w:sz w:val="20"/>
          <w:szCs w:val="20"/>
          <w:lang w:val="en-US"/>
        </w:rPr>
        <w:t>Likewise</w:t>
      </w:r>
      <w:r w:rsidR="00DD0E68" w:rsidRPr="009E6692">
        <w:rPr>
          <w:rFonts w:asciiTheme="majorBidi" w:hAnsiTheme="majorBidi" w:cstheme="majorBidi"/>
          <w:sz w:val="20"/>
          <w:szCs w:val="20"/>
          <w:lang w:val="en-US"/>
        </w:rPr>
        <w:t>, lower levels of private benefits are reported for firms with higher opportunities of growth (</w:t>
      </w:r>
      <w:proofErr w:type="spellStart"/>
      <w:r w:rsidR="00B51D44" w:rsidRPr="004E6515">
        <w:rPr>
          <w:rFonts w:ascii="TimesNewRomanPSMT" w:hAnsi="TimesNewRomanPSMT"/>
          <w:sz w:val="20"/>
          <w:szCs w:val="20"/>
          <w:lang w:val="en-US"/>
        </w:rPr>
        <w:t>Weifeng</w:t>
      </w:r>
      <w:proofErr w:type="spellEnd"/>
      <w:r w:rsidR="00DD0E68" w:rsidRPr="004E6515">
        <w:rPr>
          <w:rFonts w:asciiTheme="majorBidi" w:hAnsiTheme="majorBidi" w:cstheme="majorBidi"/>
          <w:sz w:val="20"/>
          <w:szCs w:val="20"/>
          <w:lang w:val="en-US"/>
        </w:rPr>
        <w:t xml:space="preserve"> et al., 2008; Mueller, 2008).</w:t>
      </w:r>
    </w:p>
    <w:p w:rsidR="00FD39E4" w:rsidRPr="009E6692" w:rsidRDefault="00FD39E4" w:rsidP="00FD39E4">
      <w:pPr>
        <w:ind w:firstLine="709"/>
        <w:jc w:val="both"/>
        <w:rPr>
          <w:rFonts w:asciiTheme="majorBidi" w:hAnsiTheme="majorBidi" w:cstheme="majorBidi"/>
          <w:sz w:val="20"/>
          <w:szCs w:val="20"/>
          <w:lang w:val="en-US"/>
        </w:rPr>
      </w:pPr>
      <w:r w:rsidRPr="009E6692">
        <w:rPr>
          <w:rFonts w:asciiTheme="majorBidi" w:hAnsiTheme="majorBidi" w:cstheme="majorBidi"/>
          <w:sz w:val="20"/>
          <w:szCs w:val="20"/>
          <w:lang w:val="en-US"/>
        </w:rPr>
        <w:lastRenderedPageBreak/>
        <w:t>Debt (LEV) may also influence the dividend policy. Thus, higher levered firms are financially constrained and less able to pay higher payout ratio (</w:t>
      </w:r>
      <w:proofErr w:type="spellStart"/>
      <w:r w:rsidRPr="009E6692">
        <w:rPr>
          <w:rFonts w:asciiTheme="majorBidi" w:hAnsiTheme="majorBidi" w:cstheme="majorBidi"/>
          <w:sz w:val="20"/>
          <w:szCs w:val="20"/>
          <w:lang w:val="en-US"/>
        </w:rPr>
        <w:t>Gugler</w:t>
      </w:r>
      <w:proofErr w:type="spellEnd"/>
      <w:r w:rsidRPr="009E6692">
        <w:rPr>
          <w:rFonts w:asciiTheme="majorBidi" w:hAnsiTheme="majorBidi" w:cstheme="majorBidi"/>
          <w:sz w:val="20"/>
          <w:szCs w:val="20"/>
          <w:lang w:val="en-US"/>
        </w:rPr>
        <w:t xml:space="preserve"> and </w:t>
      </w:r>
      <w:proofErr w:type="spellStart"/>
      <w:r w:rsidRPr="009E6692">
        <w:rPr>
          <w:rFonts w:asciiTheme="majorBidi" w:hAnsiTheme="majorBidi" w:cstheme="majorBidi"/>
          <w:sz w:val="20"/>
          <w:szCs w:val="20"/>
          <w:lang w:val="en-US"/>
        </w:rPr>
        <w:t>Yortuglu</w:t>
      </w:r>
      <w:proofErr w:type="spellEnd"/>
      <w:r w:rsidRPr="009E6692">
        <w:rPr>
          <w:rFonts w:asciiTheme="majorBidi" w:hAnsiTheme="majorBidi" w:cstheme="majorBidi"/>
          <w:sz w:val="20"/>
          <w:szCs w:val="20"/>
          <w:lang w:val="en-US"/>
        </w:rPr>
        <w:t>, 2003). (LEV)</w:t>
      </w:r>
      <w:r w:rsidRPr="009E6692">
        <w:rPr>
          <w:rFonts w:asciiTheme="majorBidi" w:hAnsiTheme="majorBidi" w:cstheme="majorBidi"/>
          <w:b/>
          <w:bCs/>
          <w:sz w:val="20"/>
          <w:szCs w:val="20"/>
          <w:lang w:val="en-US"/>
        </w:rPr>
        <w:t xml:space="preserve"> </w:t>
      </w:r>
      <w:r w:rsidRPr="009E6692">
        <w:rPr>
          <w:rFonts w:asciiTheme="majorBidi" w:hAnsiTheme="majorBidi" w:cstheme="majorBidi"/>
          <w:sz w:val="20"/>
          <w:szCs w:val="20"/>
          <w:lang w:val="en-US"/>
        </w:rPr>
        <w:t>is apprehended by the ratio of total liabilities to total assets</w:t>
      </w:r>
      <w:r w:rsidRPr="009E6692">
        <w:rPr>
          <w:rFonts w:asciiTheme="majorBidi" w:hAnsiTheme="majorBidi" w:cstheme="majorBidi"/>
          <w:b/>
          <w:bCs/>
          <w:sz w:val="20"/>
          <w:szCs w:val="20"/>
          <w:lang w:val="en-US"/>
        </w:rPr>
        <w:t>.</w:t>
      </w:r>
      <w:r w:rsidRPr="009E6692">
        <w:rPr>
          <w:rFonts w:asciiTheme="majorBidi" w:hAnsiTheme="majorBidi" w:cstheme="majorBidi"/>
          <w:sz w:val="20"/>
          <w:szCs w:val="20"/>
          <w:lang w:val="en-US"/>
        </w:rPr>
        <w:t xml:space="preserve"> It is expected that debt negatively affects the dividend payout ratio so as to shelter the debt from </w:t>
      </w:r>
      <w:r w:rsidRPr="009E6692">
        <w:rPr>
          <w:rFonts w:asciiTheme="majorBidi" w:eastAsia="Calibri" w:hAnsiTheme="majorBidi" w:cstheme="majorBidi"/>
          <w:sz w:val="20"/>
          <w:szCs w:val="20"/>
          <w:lang w:val="en-US"/>
        </w:rPr>
        <w:t>bankruptcy risks (</w:t>
      </w:r>
      <w:proofErr w:type="spellStart"/>
      <w:r w:rsidRPr="009E6692">
        <w:rPr>
          <w:rFonts w:asciiTheme="majorBidi" w:eastAsia="Calibri" w:hAnsiTheme="majorBidi" w:cstheme="majorBidi"/>
          <w:sz w:val="20"/>
          <w:szCs w:val="20"/>
          <w:lang w:val="en-US"/>
        </w:rPr>
        <w:t>Amihud</w:t>
      </w:r>
      <w:proofErr w:type="spellEnd"/>
      <w:r w:rsidRPr="009E6692">
        <w:rPr>
          <w:rFonts w:asciiTheme="majorBidi" w:eastAsia="Calibri" w:hAnsiTheme="majorBidi" w:cstheme="majorBidi"/>
          <w:sz w:val="20"/>
          <w:szCs w:val="20"/>
          <w:lang w:val="en-US"/>
        </w:rPr>
        <w:t xml:space="preserve"> and </w:t>
      </w:r>
      <w:proofErr w:type="spellStart"/>
      <w:r w:rsidRPr="009E6692">
        <w:rPr>
          <w:rFonts w:asciiTheme="majorBidi" w:eastAsia="Calibri" w:hAnsiTheme="majorBidi" w:cstheme="majorBidi"/>
          <w:sz w:val="20"/>
          <w:szCs w:val="20"/>
          <w:lang w:val="en-US"/>
        </w:rPr>
        <w:t>Murgia</w:t>
      </w:r>
      <w:proofErr w:type="spellEnd"/>
      <w:r w:rsidRPr="009E6692">
        <w:rPr>
          <w:rFonts w:asciiTheme="majorBidi" w:eastAsia="Calibri" w:hAnsiTheme="majorBidi" w:cstheme="majorBidi"/>
          <w:sz w:val="20"/>
          <w:szCs w:val="20"/>
          <w:lang w:val="en-US"/>
        </w:rPr>
        <w:t xml:space="preserve">, 1997; Jensen et al., 1992). </w:t>
      </w:r>
      <w:r w:rsidRPr="009E6692">
        <w:rPr>
          <w:rFonts w:asciiTheme="majorBidi" w:hAnsiTheme="majorBidi" w:cstheme="majorBidi"/>
          <w:sz w:val="20"/>
          <w:szCs w:val="20"/>
          <w:lang w:val="en-US"/>
        </w:rPr>
        <w:t>Debt is also expected to reduce rent extraction and expropriation. This is consistent with the free cash flow hypothesis (Jensen, 1986).</w:t>
      </w:r>
    </w:p>
    <w:p w:rsidR="006417D4" w:rsidRPr="007B566C" w:rsidRDefault="006417D4" w:rsidP="007B566C">
      <w:pPr>
        <w:spacing w:line="240" w:lineRule="auto"/>
        <w:jc w:val="both"/>
        <w:rPr>
          <w:rFonts w:asciiTheme="majorBidi" w:hAnsiTheme="majorBidi" w:cstheme="majorBidi"/>
          <w:b/>
          <w:bCs/>
          <w:i/>
          <w:iCs/>
          <w:color w:val="000000"/>
          <w:sz w:val="20"/>
          <w:szCs w:val="20"/>
          <w:lang w:val="en-US"/>
        </w:rPr>
      </w:pPr>
      <w:r w:rsidRPr="007B566C">
        <w:rPr>
          <w:rFonts w:asciiTheme="majorBidi" w:hAnsiTheme="majorBidi" w:cstheme="majorBidi"/>
          <w:b/>
          <w:bCs/>
          <w:i/>
          <w:iCs/>
          <w:color w:val="000000"/>
          <w:sz w:val="20"/>
          <w:szCs w:val="20"/>
          <w:lang w:val="en-US"/>
        </w:rPr>
        <w:t>3.3 Regressions Specifications</w:t>
      </w:r>
    </w:p>
    <w:p w:rsidR="007A3EE5" w:rsidRPr="00C5677E" w:rsidRDefault="000B07DB" w:rsidP="00F54730">
      <w:pPr>
        <w:spacing w:line="240" w:lineRule="auto"/>
        <w:jc w:val="both"/>
        <w:rPr>
          <w:rFonts w:asciiTheme="majorBidi" w:hAnsiTheme="majorBidi" w:cstheme="majorBidi"/>
          <w:sz w:val="20"/>
          <w:szCs w:val="20"/>
          <w:lang w:val="en-US"/>
        </w:rPr>
      </w:pPr>
      <w:r w:rsidRPr="007B566C">
        <w:rPr>
          <w:rFonts w:asciiTheme="majorBidi" w:hAnsiTheme="majorBidi" w:cstheme="majorBidi"/>
          <w:color w:val="000000"/>
          <w:sz w:val="20"/>
          <w:szCs w:val="20"/>
          <w:lang w:val="en-US"/>
        </w:rPr>
        <w:t>Previous studies try to explain each variable, the dividend payout decision and the level of private benefits of control, independently. B</w:t>
      </w:r>
      <w:r w:rsidR="006417D4" w:rsidRPr="007B566C">
        <w:rPr>
          <w:rFonts w:asciiTheme="majorBidi" w:hAnsiTheme="majorBidi" w:cstheme="majorBidi"/>
          <w:color w:val="000000"/>
          <w:sz w:val="20"/>
          <w:szCs w:val="20"/>
          <w:lang w:val="en-US"/>
        </w:rPr>
        <w:t xml:space="preserve">oth of them are determined conjointly and are related to the firm’s characteristics. </w:t>
      </w:r>
      <w:r w:rsidRPr="007B566C">
        <w:rPr>
          <w:rFonts w:asciiTheme="majorBidi" w:hAnsiTheme="majorBidi" w:cstheme="majorBidi"/>
          <w:color w:val="000000"/>
          <w:sz w:val="20"/>
          <w:szCs w:val="20"/>
          <w:lang w:val="en-US"/>
        </w:rPr>
        <w:t xml:space="preserve">Therefore, a simultaneous </w:t>
      </w:r>
      <w:r w:rsidR="00E82E30" w:rsidRPr="007B566C">
        <w:rPr>
          <w:rFonts w:asciiTheme="majorBidi" w:hAnsiTheme="majorBidi" w:cstheme="majorBidi"/>
          <w:color w:val="000000"/>
          <w:sz w:val="20"/>
          <w:szCs w:val="20"/>
          <w:lang w:val="en-US"/>
        </w:rPr>
        <w:t>equation</w:t>
      </w:r>
      <w:r w:rsidR="006417D4" w:rsidRPr="007B566C">
        <w:rPr>
          <w:rFonts w:asciiTheme="majorBidi" w:hAnsiTheme="majorBidi" w:cstheme="majorBidi"/>
          <w:color w:val="000000"/>
          <w:sz w:val="20"/>
          <w:szCs w:val="20"/>
          <w:lang w:val="en-US"/>
        </w:rPr>
        <w:t xml:space="preserve"> </w:t>
      </w:r>
      <w:r w:rsidR="00693F9F">
        <w:rPr>
          <w:rFonts w:asciiTheme="majorBidi" w:hAnsiTheme="majorBidi" w:cstheme="majorBidi"/>
          <w:color w:val="000000"/>
          <w:sz w:val="20"/>
          <w:szCs w:val="20"/>
          <w:lang w:val="en-US"/>
        </w:rPr>
        <w:t>would be</w:t>
      </w:r>
      <w:r w:rsidR="006417D4" w:rsidRPr="007B566C">
        <w:rPr>
          <w:rFonts w:asciiTheme="majorBidi" w:hAnsiTheme="majorBidi" w:cstheme="majorBidi"/>
          <w:color w:val="000000"/>
          <w:sz w:val="20"/>
          <w:szCs w:val="20"/>
          <w:lang w:val="en-US"/>
        </w:rPr>
        <w:t xml:space="preserve"> the </w:t>
      </w:r>
      <w:r w:rsidRPr="007B566C">
        <w:rPr>
          <w:rFonts w:asciiTheme="majorBidi" w:hAnsiTheme="majorBidi" w:cstheme="majorBidi"/>
          <w:color w:val="000000"/>
          <w:sz w:val="20"/>
          <w:szCs w:val="20"/>
          <w:lang w:val="en-US"/>
        </w:rPr>
        <w:t>best</w:t>
      </w:r>
      <w:r w:rsidR="006417D4" w:rsidRPr="007B566C">
        <w:rPr>
          <w:rFonts w:asciiTheme="majorBidi" w:hAnsiTheme="majorBidi" w:cstheme="majorBidi"/>
          <w:color w:val="000000"/>
          <w:sz w:val="20"/>
          <w:szCs w:val="20"/>
          <w:lang w:val="en-US"/>
        </w:rPr>
        <w:t xml:space="preserve"> tool to</w:t>
      </w:r>
      <w:r w:rsidR="00E82E30" w:rsidRPr="007B566C">
        <w:rPr>
          <w:rFonts w:asciiTheme="majorBidi" w:hAnsiTheme="majorBidi" w:cstheme="majorBidi"/>
          <w:color w:val="000000"/>
          <w:sz w:val="20"/>
          <w:szCs w:val="20"/>
          <w:lang w:val="en-US"/>
        </w:rPr>
        <w:t xml:space="preserve"> investigate</w:t>
      </w:r>
      <w:r w:rsidR="006417D4" w:rsidRPr="007B566C">
        <w:rPr>
          <w:rFonts w:asciiTheme="majorBidi" w:hAnsiTheme="majorBidi" w:cstheme="majorBidi"/>
          <w:color w:val="000000"/>
          <w:sz w:val="20"/>
          <w:szCs w:val="20"/>
          <w:lang w:val="en-US"/>
        </w:rPr>
        <w:t xml:space="preserve"> the effects of these two interdependent decisions.</w:t>
      </w:r>
      <w:r w:rsidR="00E82E30" w:rsidRPr="007B566C">
        <w:rPr>
          <w:rFonts w:asciiTheme="majorBidi" w:hAnsiTheme="majorBidi" w:cstheme="majorBidi"/>
          <w:b/>
          <w:bCs/>
          <w:color w:val="FF0000"/>
          <w:sz w:val="20"/>
          <w:szCs w:val="20"/>
          <w:lang w:val="en-US"/>
        </w:rPr>
        <w:t xml:space="preserve"> </w:t>
      </w:r>
      <w:r w:rsidRPr="007B566C">
        <w:rPr>
          <w:rFonts w:asciiTheme="majorBidi" w:hAnsiTheme="majorBidi" w:cstheme="majorBidi"/>
          <w:color w:val="000000"/>
          <w:sz w:val="20"/>
          <w:szCs w:val="20"/>
          <w:lang w:val="en-US"/>
        </w:rPr>
        <w:t>To estimate</w:t>
      </w:r>
      <w:r w:rsidR="006417D4" w:rsidRPr="007B566C">
        <w:rPr>
          <w:rFonts w:asciiTheme="majorBidi" w:hAnsiTheme="majorBidi" w:cstheme="majorBidi"/>
          <w:color w:val="000000"/>
          <w:sz w:val="20"/>
          <w:szCs w:val="20"/>
          <w:lang w:val="en-US"/>
        </w:rPr>
        <w:t xml:space="preserve"> the relation</w:t>
      </w:r>
      <w:r w:rsidRPr="007B566C">
        <w:rPr>
          <w:rFonts w:asciiTheme="majorBidi" w:hAnsiTheme="majorBidi" w:cstheme="majorBidi"/>
          <w:color w:val="000000"/>
          <w:sz w:val="20"/>
          <w:szCs w:val="20"/>
          <w:lang w:val="en-US"/>
        </w:rPr>
        <w:t>ship</w:t>
      </w:r>
      <w:r w:rsidR="006417D4" w:rsidRPr="007B566C">
        <w:rPr>
          <w:rFonts w:asciiTheme="majorBidi" w:hAnsiTheme="majorBidi" w:cstheme="majorBidi"/>
          <w:color w:val="000000"/>
          <w:sz w:val="20"/>
          <w:szCs w:val="20"/>
          <w:lang w:val="en-US"/>
        </w:rPr>
        <w:t xml:space="preserve"> between private benefits of control and dividend payout ratio, we </w:t>
      </w:r>
      <w:r w:rsidRPr="007B566C">
        <w:rPr>
          <w:rFonts w:asciiTheme="majorBidi" w:hAnsiTheme="majorBidi" w:cstheme="majorBidi"/>
          <w:color w:val="000000"/>
          <w:sz w:val="20"/>
          <w:szCs w:val="20"/>
          <w:lang w:val="en-US"/>
        </w:rPr>
        <w:t>examine successively three</w:t>
      </w:r>
      <w:r w:rsidR="006417D4" w:rsidRPr="007B566C">
        <w:rPr>
          <w:rFonts w:asciiTheme="majorBidi" w:hAnsiTheme="majorBidi" w:cstheme="majorBidi"/>
          <w:color w:val="000000"/>
          <w:sz w:val="20"/>
          <w:szCs w:val="20"/>
          <w:lang w:val="en-US"/>
        </w:rPr>
        <w:t xml:space="preserve"> </w:t>
      </w:r>
      <w:r w:rsidRPr="007B566C">
        <w:rPr>
          <w:rFonts w:asciiTheme="majorBidi" w:hAnsiTheme="majorBidi" w:cstheme="majorBidi"/>
          <w:color w:val="000000"/>
          <w:sz w:val="20"/>
          <w:szCs w:val="20"/>
          <w:lang w:val="en-US"/>
        </w:rPr>
        <w:t xml:space="preserve">models. </w:t>
      </w:r>
      <w:r w:rsidR="007A3EE5" w:rsidRPr="00C5677E">
        <w:rPr>
          <w:rFonts w:asciiTheme="majorBidi" w:hAnsiTheme="majorBidi" w:cstheme="majorBidi"/>
          <w:sz w:val="20"/>
          <w:szCs w:val="20"/>
          <w:lang w:val="en-US"/>
        </w:rPr>
        <w:t xml:space="preserve">We first assess </w:t>
      </w:r>
      <w:r w:rsidR="00F54730" w:rsidRPr="00C5677E">
        <w:rPr>
          <w:rFonts w:asciiTheme="majorBidi" w:hAnsiTheme="majorBidi" w:cstheme="majorBidi"/>
          <w:sz w:val="20"/>
          <w:szCs w:val="20"/>
          <w:lang w:val="en-US"/>
        </w:rPr>
        <w:t xml:space="preserve">the impact of the benefits of control on the payout ratio </w:t>
      </w:r>
      <w:r w:rsidR="00EE0FA7" w:rsidRPr="00C5677E">
        <w:rPr>
          <w:rFonts w:asciiTheme="majorBidi" w:hAnsiTheme="majorBidi" w:cstheme="majorBidi"/>
          <w:sz w:val="20"/>
          <w:szCs w:val="20"/>
          <w:lang w:val="en-US"/>
        </w:rPr>
        <w:t>(Model 1)</w:t>
      </w:r>
      <w:r w:rsidR="006417D4" w:rsidRPr="00C5677E">
        <w:rPr>
          <w:rFonts w:asciiTheme="majorBidi" w:hAnsiTheme="majorBidi" w:cstheme="majorBidi"/>
          <w:sz w:val="20"/>
          <w:szCs w:val="20"/>
          <w:lang w:val="en-US"/>
        </w:rPr>
        <w:t>, then</w:t>
      </w:r>
      <w:r w:rsidR="00F54730" w:rsidRPr="00C5677E">
        <w:rPr>
          <w:rFonts w:asciiTheme="majorBidi" w:hAnsiTheme="majorBidi" w:cstheme="majorBidi"/>
          <w:sz w:val="20"/>
          <w:szCs w:val="20"/>
          <w:lang w:val="en-US"/>
        </w:rPr>
        <w:t xml:space="preserve"> the influence of dividend payout ratio on the private benefits of control</w:t>
      </w:r>
      <w:r w:rsidR="006417D4" w:rsidRPr="00C5677E">
        <w:rPr>
          <w:rFonts w:asciiTheme="majorBidi" w:hAnsiTheme="majorBidi" w:cstheme="majorBidi"/>
          <w:sz w:val="20"/>
          <w:szCs w:val="20"/>
          <w:lang w:val="en-US"/>
        </w:rPr>
        <w:t xml:space="preserve"> </w:t>
      </w:r>
      <w:r w:rsidR="00EE0FA7" w:rsidRPr="00C5677E">
        <w:rPr>
          <w:rFonts w:asciiTheme="majorBidi" w:hAnsiTheme="majorBidi" w:cstheme="majorBidi"/>
          <w:sz w:val="20"/>
          <w:szCs w:val="20"/>
          <w:lang w:val="en-US"/>
        </w:rPr>
        <w:t>(Model 2)</w:t>
      </w:r>
      <w:r w:rsidR="006417D4" w:rsidRPr="00C5677E">
        <w:rPr>
          <w:rFonts w:asciiTheme="majorBidi" w:hAnsiTheme="majorBidi" w:cstheme="majorBidi"/>
          <w:sz w:val="20"/>
          <w:szCs w:val="20"/>
          <w:lang w:val="en-US"/>
        </w:rPr>
        <w:t xml:space="preserve"> and final</w:t>
      </w:r>
      <w:r w:rsidR="00E82E30" w:rsidRPr="00C5677E">
        <w:rPr>
          <w:rFonts w:asciiTheme="majorBidi" w:hAnsiTheme="majorBidi" w:cstheme="majorBidi"/>
          <w:sz w:val="20"/>
          <w:szCs w:val="20"/>
          <w:lang w:val="en-US"/>
        </w:rPr>
        <w:t>ly the simultaneous relation</w:t>
      </w:r>
      <w:r w:rsidR="006417D4" w:rsidRPr="00C5677E">
        <w:rPr>
          <w:rFonts w:asciiTheme="majorBidi" w:hAnsiTheme="majorBidi" w:cstheme="majorBidi"/>
          <w:sz w:val="20"/>
          <w:szCs w:val="20"/>
          <w:lang w:val="en-US"/>
        </w:rPr>
        <w:t xml:space="preserve"> between them</w:t>
      </w:r>
      <w:r w:rsidR="00EE0FA7" w:rsidRPr="00C5677E">
        <w:rPr>
          <w:rFonts w:asciiTheme="majorBidi" w:hAnsiTheme="majorBidi" w:cstheme="majorBidi"/>
          <w:sz w:val="20"/>
          <w:szCs w:val="20"/>
          <w:lang w:val="en-US"/>
        </w:rPr>
        <w:t xml:space="preserve"> (Model 3)</w:t>
      </w:r>
      <w:r w:rsidR="006417D4" w:rsidRPr="00C5677E">
        <w:rPr>
          <w:rFonts w:asciiTheme="majorBidi" w:hAnsiTheme="majorBidi" w:cstheme="majorBidi"/>
          <w:sz w:val="20"/>
          <w:szCs w:val="20"/>
          <w:lang w:val="en-US"/>
        </w:rPr>
        <w:t>.</w:t>
      </w:r>
      <w:r w:rsidR="007A3EE5" w:rsidRPr="00C5677E">
        <w:rPr>
          <w:rFonts w:asciiTheme="majorBidi" w:hAnsiTheme="majorBidi" w:cstheme="majorBidi"/>
          <w:sz w:val="20"/>
          <w:szCs w:val="20"/>
          <w:lang w:val="en-US"/>
        </w:rPr>
        <w:t xml:space="preserve"> To estimate models 1 and 2, we use panel data approach </w:t>
      </w:r>
      <w:r w:rsidR="001F1D2C" w:rsidRPr="00C5677E">
        <w:rPr>
          <w:rFonts w:asciiTheme="majorBidi" w:hAnsiTheme="majorBidi" w:cstheme="majorBidi"/>
          <w:sz w:val="20"/>
          <w:szCs w:val="20"/>
          <w:lang w:val="en-US"/>
        </w:rPr>
        <w:t>while the simultaneous equations relative to</w:t>
      </w:r>
      <w:r w:rsidR="007A3EE5" w:rsidRPr="00C5677E">
        <w:rPr>
          <w:rFonts w:asciiTheme="majorBidi" w:hAnsiTheme="majorBidi" w:cstheme="majorBidi"/>
          <w:sz w:val="20"/>
          <w:szCs w:val="20"/>
          <w:lang w:val="en-US"/>
        </w:rPr>
        <w:t xml:space="preserve"> model 3</w:t>
      </w:r>
      <w:r w:rsidR="001F1D2C" w:rsidRPr="00C5677E">
        <w:rPr>
          <w:rFonts w:asciiTheme="majorBidi" w:hAnsiTheme="majorBidi" w:cstheme="majorBidi"/>
          <w:sz w:val="20"/>
          <w:szCs w:val="20"/>
          <w:lang w:val="en-US"/>
        </w:rPr>
        <w:t xml:space="preserve"> are</w:t>
      </w:r>
      <w:r w:rsidR="007A3EE5" w:rsidRPr="00C5677E">
        <w:rPr>
          <w:rFonts w:asciiTheme="majorBidi" w:hAnsiTheme="majorBidi" w:cstheme="majorBidi"/>
          <w:sz w:val="20"/>
          <w:szCs w:val="20"/>
          <w:lang w:val="en-US"/>
        </w:rPr>
        <w:t xml:space="preserve"> estimated by t</w:t>
      </w:r>
      <w:r w:rsidR="001F1D2C" w:rsidRPr="00C5677E">
        <w:rPr>
          <w:rFonts w:asciiTheme="majorBidi" w:hAnsiTheme="majorBidi" w:cstheme="majorBidi"/>
          <w:sz w:val="20"/>
          <w:szCs w:val="20"/>
          <w:lang w:val="en-US"/>
        </w:rPr>
        <w:t>he t</w:t>
      </w:r>
      <w:r w:rsidR="007A3EE5" w:rsidRPr="00C5677E">
        <w:rPr>
          <w:rFonts w:asciiTheme="majorBidi" w:hAnsiTheme="majorBidi" w:cstheme="majorBidi"/>
          <w:sz w:val="20"/>
          <w:szCs w:val="20"/>
          <w:lang w:val="en-US"/>
        </w:rPr>
        <w:t xml:space="preserve">hree-stage least squares (3SLS) analysis. </w:t>
      </w:r>
    </w:p>
    <w:p w:rsidR="006417D4" w:rsidRPr="007B566C" w:rsidRDefault="006417D4" w:rsidP="00BE3381">
      <w:pPr>
        <w:spacing w:line="240" w:lineRule="auto"/>
        <w:jc w:val="both"/>
        <w:rPr>
          <w:rFonts w:asciiTheme="majorBidi" w:hAnsiTheme="majorBidi" w:cstheme="majorBidi"/>
          <w:color w:val="000000"/>
          <w:sz w:val="20"/>
          <w:szCs w:val="20"/>
          <w:lang w:val="en-US"/>
        </w:rPr>
      </w:pPr>
      <w:r w:rsidRPr="007B566C">
        <w:rPr>
          <w:rFonts w:asciiTheme="majorBidi" w:hAnsiTheme="majorBidi" w:cstheme="majorBidi"/>
          <w:b/>
          <w:bCs/>
          <w:color w:val="000000"/>
          <w:sz w:val="20"/>
          <w:szCs w:val="20"/>
          <w:lang w:val="en-US"/>
        </w:rPr>
        <w:t xml:space="preserve">Model 1: </w:t>
      </w:r>
      <w:r w:rsidR="00BE3381">
        <w:rPr>
          <w:rFonts w:asciiTheme="majorBidi" w:hAnsiTheme="majorBidi" w:cstheme="majorBidi"/>
          <w:b/>
          <w:bCs/>
          <w:color w:val="000000"/>
          <w:sz w:val="20"/>
          <w:szCs w:val="20"/>
          <w:lang w:val="en-US"/>
        </w:rPr>
        <w:t xml:space="preserve"> </w:t>
      </w:r>
      <w:r w:rsidR="00BE3381" w:rsidRPr="007B566C">
        <w:rPr>
          <w:rFonts w:asciiTheme="majorBidi" w:hAnsiTheme="majorBidi" w:cstheme="majorBidi"/>
          <w:i/>
          <w:iCs/>
          <w:color w:val="000000"/>
          <w:sz w:val="20"/>
          <w:szCs w:val="20"/>
          <w:lang w:val="en-US"/>
        </w:rPr>
        <w:t xml:space="preserve">Dividend payout ratio </w:t>
      </w:r>
      <w:r w:rsidR="00BE3381" w:rsidRPr="007B566C">
        <w:rPr>
          <w:rFonts w:asciiTheme="majorBidi" w:hAnsiTheme="majorBidi" w:cstheme="majorBidi"/>
          <w:color w:val="000000"/>
          <w:sz w:val="20"/>
          <w:szCs w:val="20"/>
          <w:lang w:val="en-US"/>
        </w:rPr>
        <w:t xml:space="preserve">= </w:t>
      </w:r>
      <w:r w:rsidR="00BE3381" w:rsidRPr="007B566C">
        <w:rPr>
          <w:rFonts w:asciiTheme="majorBidi" w:hAnsiTheme="majorBidi" w:cstheme="majorBidi"/>
          <w:i/>
          <w:iCs/>
          <w:color w:val="000000"/>
          <w:sz w:val="20"/>
          <w:szCs w:val="20"/>
          <w:lang w:val="en-US"/>
        </w:rPr>
        <w:t xml:space="preserve">f </w:t>
      </w:r>
      <w:r w:rsidR="00BE3381" w:rsidRPr="007B566C">
        <w:rPr>
          <w:rFonts w:asciiTheme="majorBidi" w:hAnsiTheme="majorBidi" w:cstheme="majorBidi"/>
          <w:color w:val="000000"/>
          <w:sz w:val="20"/>
          <w:szCs w:val="20"/>
          <w:lang w:val="en-US"/>
        </w:rPr>
        <w:t>(Private benefits of control, Ownership structure, Control Variables)</w:t>
      </w:r>
    </w:p>
    <w:p w:rsidR="00BE3381" w:rsidRPr="007B566C" w:rsidRDefault="006417D4" w:rsidP="00BE3381">
      <w:pPr>
        <w:spacing w:line="240" w:lineRule="auto"/>
        <w:jc w:val="both"/>
        <w:rPr>
          <w:rFonts w:asciiTheme="majorBidi" w:hAnsiTheme="majorBidi" w:cstheme="majorBidi"/>
          <w:color w:val="000000"/>
          <w:sz w:val="20"/>
          <w:szCs w:val="20"/>
          <w:lang w:val="en-US"/>
        </w:rPr>
      </w:pPr>
      <w:r w:rsidRPr="007B566C">
        <w:rPr>
          <w:rFonts w:asciiTheme="majorBidi" w:hAnsiTheme="majorBidi" w:cstheme="majorBidi"/>
          <w:b/>
          <w:bCs/>
          <w:color w:val="000000"/>
          <w:sz w:val="20"/>
          <w:szCs w:val="20"/>
          <w:lang w:val="en-US"/>
        </w:rPr>
        <w:t>Model 2:</w:t>
      </w:r>
      <w:r w:rsidR="00BE3381">
        <w:rPr>
          <w:rFonts w:asciiTheme="majorBidi" w:hAnsiTheme="majorBidi" w:cstheme="majorBidi"/>
          <w:b/>
          <w:bCs/>
          <w:color w:val="000000"/>
          <w:sz w:val="20"/>
          <w:szCs w:val="20"/>
          <w:lang w:val="en-US"/>
        </w:rPr>
        <w:t xml:space="preserve">  </w:t>
      </w:r>
      <w:r w:rsidR="00BE3381" w:rsidRPr="007B566C">
        <w:rPr>
          <w:rFonts w:asciiTheme="majorBidi" w:hAnsiTheme="majorBidi" w:cstheme="majorBidi"/>
          <w:i/>
          <w:iCs/>
          <w:color w:val="000000"/>
          <w:sz w:val="20"/>
          <w:szCs w:val="20"/>
          <w:lang w:val="en-US"/>
        </w:rPr>
        <w:t xml:space="preserve">Private benefits of control </w:t>
      </w:r>
      <w:r w:rsidR="00BE3381" w:rsidRPr="007B566C">
        <w:rPr>
          <w:rFonts w:asciiTheme="majorBidi" w:hAnsiTheme="majorBidi" w:cstheme="majorBidi"/>
          <w:color w:val="000000"/>
          <w:sz w:val="20"/>
          <w:szCs w:val="20"/>
          <w:lang w:val="en-US"/>
        </w:rPr>
        <w:t xml:space="preserve">= </w:t>
      </w:r>
      <w:r w:rsidR="00BE3381" w:rsidRPr="007B566C">
        <w:rPr>
          <w:rFonts w:asciiTheme="majorBidi" w:hAnsiTheme="majorBidi" w:cstheme="majorBidi"/>
          <w:i/>
          <w:iCs/>
          <w:color w:val="000000"/>
          <w:sz w:val="20"/>
          <w:szCs w:val="20"/>
          <w:lang w:val="en-US"/>
        </w:rPr>
        <w:t>f</w:t>
      </w:r>
      <w:r w:rsidR="00BE3381" w:rsidRPr="007B566C">
        <w:rPr>
          <w:rFonts w:asciiTheme="majorBidi" w:hAnsiTheme="majorBidi" w:cstheme="majorBidi"/>
          <w:color w:val="000000"/>
          <w:sz w:val="20"/>
          <w:szCs w:val="20"/>
          <w:lang w:val="en-US"/>
        </w:rPr>
        <w:t xml:space="preserve"> (Dividend payout ratio, Ownership </w:t>
      </w:r>
      <w:r w:rsidR="00BE3381">
        <w:rPr>
          <w:rFonts w:asciiTheme="majorBidi" w:hAnsiTheme="majorBidi" w:cstheme="majorBidi"/>
          <w:color w:val="000000"/>
          <w:sz w:val="20"/>
          <w:szCs w:val="20"/>
          <w:lang w:val="en-US"/>
        </w:rPr>
        <w:t>structure</w:t>
      </w:r>
      <w:r w:rsidR="00BE3381" w:rsidRPr="007B566C">
        <w:rPr>
          <w:rFonts w:asciiTheme="majorBidi" w:hAnsiTheme="majorBidi" w:cstheme="majorBidi"/>
          <w:color w:val="000000"/>
          <w:sz w:val="20"/>
          <w:szCs w:val="20"/>
          <w:lang w:val="en-US"/>
        </w:rPr>
        <w:t>, Control Variables)</w:t>
      </w:r>
    </w:p>
    <w:p w:rsidR="006417D4" w:rsidRPr="007B566C" w:rsidRDefault="006417D4" w:rsidP="007B566C">
      <w:pPr>
        <w:tabs>
          <w:tab w:val="left" w:pos="567"/>
          <w:tab w:val="left" w:pos="709"/>
        </w:tabs>
        <w:autoSpaceDE w:val="0"/>
        <w:autoSpaceDN w:val="0"/>
        <w:adjustRightInd w:val="0"/>
        <w:jc w:val="both"/>
        <w:rPr>
          <w:sz w:val="20"/>
          <w:szCs w:val="20"/>
          <w:lang w:val="en-US"/>
        </w:rPr>
      </w:pPr>
      <w:r w:rsidRPr="007B566C">
        <w:rPr>
          <w:rFonts w:ascii="Times New Roman" w:hAnsi="Times New Roman" w:cs="Times New Roman"/>
          <w:b/>
          <w:bCs/>
          <w:sz w:val="20"/>
          <w:szCs w:val="20"/>
          <w:lang w:val="en-US"/>
        </w:rPr>
        <w:t xml:space="preserve">Model 3: </w:t>
      </w:r>
      <w:r w:rsidRPr="007B566C">
        <w:rPr>
          <w:rFonts w:asciiTheme="majorBidi" w:hAnsiTheme="majorBidi" w:cstheme="majorBidi"/>
          <w:position w:val="-30"/>
          <w:sz w:val="20"/>
          <w:szCs w:val="20"/>
        </w:rPr>
        <w:object w:dxaOrig="9340" w:dyaOrig="720">
          <v:shape id="_x0000_i1025" type="#_x0000_t75" style="width:380.25pt;height:36.75pt" o:ole="">
            <v:imagedata r:id="rId8" o:title=""/>
          </v:shape>
          <o:OLEObject Type="Embed" ProgID="Equation.DSMT4" ShapeID="_x0000_i1025" DrawAspect="Content" ObjectID="_1488919537" r:id="rId9"/>
        </w:object>
      </w:r>
    </w:p>
    <w:p w:rsidR="006417D4" w:rsidRPr="007B566C" w:rsidRDefault="006417D4" w:rsidP="007B566C">
      <w:pPr>
        <w:spacing w:line="240" w:lineRule="auto"/>
        <w:jc w:val="both"/>
        <w:rPr>
          <w:rFonts w:asciiTheme="majorBidi" w:hAnsiTheme="majorBidi" w:cstheme="majorBidi"/>
          <w:b/>
          <w:bCs/>
          <w:color w:val="000000"/>
          <w:sz w:val="20"/>
          <w:szCs w:val="20"/>
          <w:lang w:val="en-US"/>
        </w:rPr>
      </w:pPr>
      <w:r w:rsidRPr="007B566C">
        <w:rPr>
          <w:rFonts w:asciiTheme="majorBidi" w:hAnsiTheme="majorBidi" w:cstheme="majorBidi"/>
          <w:b/>
          <w:bCs/>
          <w:color w:val="000000"/>
          <w:sz w:val="20"/>
          <w:szCs w:val="20"/>
          <w:lang w:val="en-US"/>
        </w:rPr>
        <w:t>4. Empirical Results</w:t>
      </w:r>
    </w:p>
    <w:p w:rsidR="006417D4" w:rsidRPr="007B566C" w:rsidRDefault="006417D4" w:rsidP="007B566C">
      <w:pPr>
        <w:spacing w:line="240" w:lineRule="auto"/>
        <w:jc w:val="both"/>
        <w:rPr>
          <w:rFonts w:asciiTheme="majorBidi" w:hAnsiTheme="majorBidi" w:cstheme="majorBidi"/>
          <w:b/>
          <w:bCs/>
          <w:i/>
          <w:iCs/>
          <w:color w:val="000000"/>
          <w:sz w:val="20"/>
          <w:szCs w:val="20"/>
          <w:lang w:val="en-US"/>
        </w:rPr>
      </w:pPr>
      <w:r w:rsidRPr="007B566C">
        <w:rPr>
          <w:rFonts w:asciiTheme="majorBidi" w:hAnsiTheme="majorBidi" w:cstheme="majorBidi"/>
          <w:b/>
          <w:bCs/>
          <w:i/>
          <w:iCs/>
          <w:color w:val="000000"/>
          <w:sz w:val="20"/>
          <w:szCs w:val="20"/>
          <w:lang w:val="en-US"/>
        </w:rPr>
        <w:t xml:space="preserve">4.1 Descriptive Statistics and </w:t>
      </w:r>
      <w:proofErr w:type="spellStart"/>
      <w:r w:rsidRPr="007B566C">
        <w:rPr>
          <w:rFonts w:asciiTheme="majorBidi" w:hAnsiTheme="majorBidi" w:cstheme="majorBidi"/>
          <w:b/>
          <w:bCs/>
          <w:i/>
          <w:iCs/>
          <w:color w:val="000000"/>
          <w:sz w:val="20"/>
          <w:szCs w:val="20"/>
          <w:lang w:val="en-US"/>
        </w:rPr>
        <w:t>Univariate</w:t>
      </w:r>
      <w:proofErr w:type="spellEnd"/>
      <w:r w:rsidRPr="007B566C">
        <w:rPr>
          <w:rFonts w:asciiTheme="majorBidi" w:hAnsiTheme="majorBidi" w:cstheme="majorBidi"/>
          <w:b/>
          <w:bCs/>
          <w:i/>
          <w:iCs/>
          <w:color w:val="000000"/>
          <w:sz w:val="20"/>
          <w:szCs w:val="20"/>
          <w:lang w:val="en-US"/>
        </w:rPr>
        <w:t xml:space="preserve"> Analysis</w:t>
      </w:r>
    </w:p>
    <w:p w:rsidR="00FD39E4" w:rsidRDefault="00FD39E4" w:rsidP="0075548D">
      <w:pPr>
        <w:pStyle w:val="ListParagraph"/>
        <w:widowControl w:val="0"/>
        <w:autoSpaceDE w:val="0"/>
        <w:autoSpaceDN w:val="0"/>
        <w:adjustRightInd w:val="0"/>
        <w:spacing w:after="0" w:line="240" w:lineRule="auto"/>
        <w:ind w:left="0"/>
        <w:contextualSpacing w:val="0"/>
        <w:jc w:val="both"/>
        <w:rPr>
          <w:rFonts w:asciiTheme="majorBidi" w:hAnsiTheme="majorBidi" w:cstheme="majorBidi"/>
          <w:sz w:val="20"/>
          <w:szCs w:val="20"/>
          <w:lang w:val="en-US"/>
        </w:rPr>
      </w:pPr>
      <w:r w:rsidRPr="007B566C">
        <w:rPr>
          <w:rFonts w:asciiTheme="majorBidi" w:hAnsiTheme="majorBidi" w:cstheme="majorBidi"/>
          <w:color w:val="000000"/>
          <w:sz w:val="20"/>
          <w:szCs w:val="20"/>
          <w:lang w:val="en-US"/>
        </w:rPr>
        <w:t>Table 1 presents the descriptive statistics of the dividend payout ratio, the related-party transactions as well as the firms</w:t>
      </w:r>
      <w:r>
        <w:rPr>
          <w:rFonts w:asciiTheme="majorBidi" w:hAnsiTheme="majorBidi" w:cstheme="majorBidi"/>
          <w:color w:val="000000"/>
          <w:sz w:val="20"/>
          <w:szCs w:val="20"/>
          <w:lang w:val="en-US"/>
        </w:rPr>
        <w:t>’</w:t>
      </w:r>
      <w:r w:rsidRPr="007B566C">
        <w:rPr>
          <w:rFonts w:asciiTheme="majorBidi" w:hAnsiTheme="majorBidi" w:cstheme="majorBidi"/>
          <w:color w:val="000000"/>
          <w:sz w:val="20"/>
          <w:szCs w:val="20"/>
          <w:lang w:val="en-US"/>
        </w:rPr>
        <w:t xml:space="preserve"> characteristics.</w:t>
      </w:r>
      <w:r w:rsidRPr="0007520B">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Table 1 puts in evidence that </w:t>
      </w:r>
      <w:r w:rsidRPr="007B566C">
        <w:rPr>
          <w:rFonts w:asciiTheme="majorBidi" w:hAnsiTheme="majorBidi" w:cstheme="majorBidi"/>
          <w:sz w:val="20"/>
          <w:szCs w:val="20"/>
          <w:lang w:val="en-US"/>
        </w:rPr>
        <w:t xml:space="preserve">French firms </w:t>
      </w:r>
      <w:r>
        <w:rPr>
          <w:rFonts w:asciiTheme="majorBidi" w:hAnsiTheme="majorBidi" w:cstheme="majorBidi"/>
          <w:sz w:val="20"/>
          <w:szCs w:val="20"/>
          <w:lang w:val="en-US"/>
        </w:rPr>
        <w:t>distribute less than the third of their earnings as dividends; t</w:t>
      </w:r>
      <w:r w:rsidRPr="007B566C">
        <w:rPr>
          <w:rFonts w:asciiTheme="majorBidi" w:hAnsiTheme="majorBidi" w:cstheme="majorBidi"/>
          <w:sz w:val="20"/>
          <w:szCs w:val="20"/>
          <w:lang w:val="en-US"/>
        </w:rPr>
        <w:t>he average ratio of dividend payout in is 27.12 percent</w:t>
      </w:r>
      <w:r>
        <w:rPr>
          <w:rFonts w:asciiTheme="majorBidi" w:hAnsiTheme="majorBidi" w:cstheme="majorBidi"/>
          <w:sz w:val="20"/>
          <w:szCs w:val="20"/>
          <w:lang w:val="en-US"/>
        </w:rPr>
        <w:t xml:space="preserve">. Table 1 also reveals that half the capital of most French firms is mainly held by </w:t>
      </w:r>
      <w:r w:rsidRPr="007B566C">
        <w:rPr>
          <w:rFonts w:asciiTheme="majorBidi" w:hAnsiTheme="majorBidi" w:cstheme="majorBidi"/>
          <w:sz w:val="20"/>
          <w:szCs w:val="20"/>
          <w:lang w:val="en-US"/>
        </w:rPr>
        <w:t>the three principal shareholders</w:t>
      </w:r>
      <w:r>
        <w:rPr>
          <w:rFonts w:asciiTheme="majorBidi" w:hAnsiTheme="majorBidi" w:cstheme="majorBidi"/>
          <w:sz w:val="20"/>
          <w:szCs w:val="20"/>
          <w:lang w:val="en-US"/>
        </w:rPr>
        <w:t>. T</w:t>
      </w:r>
      <w:r w:rsidRPr="007B566C">
        <w:rPr>
          <w:rFonts w:asciiTheme="majorBidi" w:hAnsiTheme="majorBidi" w:cstheme="majorBidi"/>
          <w:sz w:val="20"/>
          <w:szCs w:val="20"/>
          <w:lang w:val="en-US"/>
        </w:rPr>
        <w:t xml:space="preserve">he average percentage of common shares owned by the three largest shareholders is 44.4% and varies from 2% to 99.9%. </w:t>
      </w:r>
    </w:p>
    <w:p w:rsidR="0075548D" w:rsidRDefault="0075548D" w:rsidP="0075548D">
      <w:pPr>
        <w:pStyle w:val="ListParagraph"/>
        <w:widowControl w:val="0"/>
        <w:autoSpaceDE w:val="0"/>
        <w:autoSpaceDN w:val="0"/>
        <w:adjustRightInd w:val="0"/>
        <w:spacing w:after="0" w:line="240" w:lineRule="auto"/>
        <w:ind w:left="0"/>
        <w:contextualSpacing w:val="0"/>
        <w:jc w:val="both"/>
        <w:rPr>
          <w:rFonts w:asciiTheme="majorBidi" w:hAnsiTheme="majorBidi" w:cstheme="majorBidi"/>
          <w:sz w:val="20"/>
          <w:szCs w:val="20"/>
          <w:lang w:val="en-US"/>
        </w:rPr>
      </w:pPr>
    </w:p>
    <w:tbl>
      <w:tblPr>
        <w:tblW w:w="0" w:type="auto"/>
        <w:jc w:val="center"/>
        <w:tblBorders>
          <w:top w:val="single" w:sz="8" w:space="0" w:color="000000"/>
          <w:bottom w:val="single" w:sz="8" w:space="0" w:color="000000"/>
        </w:tblBorders>
        <w:tblLook w:val="04A0"/>
      </w:tblPr>
      <w:tblGrid>
        <w:gridCol w:w="1567"/>
        <w:gridCol w:w="1273"/>
        <w:gridCol w:w="1559"/>
        <w:gridCol w:w="1532"/>
        <w:gridCol w:w="1498"/>
      </w:tblGrid>
      <w:tr w:rsidR="0075548D" w:rsidRPr="007B566C" w:rsidTr="007D42CF">
        <w:trPr>
          <w:trHeight w:hRule="exact" w:val="284"/>
          <w:jc w:val="center"/>
        </w:trPr>
        <w:tc>
          <w:tcPr>
            <w:tcW w:w="7429" w:type="dxa"/>
            <w:gridSpan w:val="5"/>
            <w:tcBorders>
              <w:top w:val="nil"/>
              <w:left w:val="nil"/>
              <w:bottom w:val="single" w:sz="4" w:space="0" w:color="auto"/>
              <w:right w:val="nil"/>
            </w:tcBorders>
            <w:shd w:val="clear" w:color="auto" w:fill="auto"/>
            <w:tcMar>
              <w:left w:w="0" w:type="dxa"/>
              <w:right w:w="0" w:type="dxa"/>
            </w:tcMar>
          </w:tcPr>
          <w:p w:rsidR="0075548D" w:rsidRPr="007B566C" w:rsidRDefault="0075548D" w:rsidP="007D42CF">
            <w:pPr>
              <w:spacing w:after="0" w:line="240" w:lineRule="auto"/>
              <w:jc w:val="center"/>
              <w:rPr>
                <w:rStyle w:val="longtext"/>
                <w:rFonts w:ascii="Times New Roman" w:hAnsi="Times New Roman" w:cs="Times New Roman"/>
                <w:b/>
                <w:bCs/>
                <w:color w:val="000000"/>
                <w:sz w:val="20"/>
                <w:szCs w:val="20"/>
                <w:lang w:val="en-US"/>
              </w:rPr>
            </w:pPr>
            <w:r w:rsidRPr="007B566C">
              <w:rPr>
                <w:rStyle w:val="longtext"/>
                <w:rFonts w:ascii="Times New Roman" w:hAnsi="Times New Roman" w:cs="Times New Roman"/>
                <w:b/>
                <w:bCs/>
                <w:color w:val="000000"/>
                <w:sz w:val="20"/>
                <w:szCs w:val="20"/>
                <w:lang w:val="en-US"/>
              </w:rPr>
              <w:t>Table 1. Descriptive Statistics</w:t>
            </w:r>
          </w:p>
          <w:p w:rsidR="0075548D" w:rsidRPr="007B566C" w:rsidRDefault="0075548D" w:rsidP="007D42CF">
            <w:pPr>
              <w:spacing w:after="0" w:line="240" w:lineRule="auto"/>
              <w:jc w:val="both"/>
              <w:rPr>
                <w:rStyle w:val="longtext"/>
                <w:rFonts w:ascii="Times New Roman" w:eastAsia="Calibri" w:hAnsi="Times New Roman" w:cs="Times New Roman"/>
                <w:b/>
                <w:bCs/>
                <w:color w:val="000000"/>
                <w:sz w:val="20"/>
                <w:szCs w:val="20"/>
                <w:lang w:val="en-US"/>
              </w:rPr>
            </w:pPr>
          </w:p>
        </w:tc>
      </w:tr>
      <w:tr w:rsidR="0075548D" w:rsidRPr="007B566C" w:rsidTr="007D42CF">
        <w:trPr>
          <w:trHeight w:hRule="exact" w:val="284"/>
          <w:jc w:val="center"/>
        </w:trPr>
        <w:tc>
          <w:tcPr>
            <w:tcW w:w="1567" w:type="dxa"/>
            <w:tcBorders>
              <w:top w:val="single" w:sz="4" w:space="0" w:color="auto"/>
              <w:left w:val="single" w:sz="8" w:space="0" w:color="000000"/>
              <w:bottom w:val="single" w:sz="8" w:space="0" w:color="000000"/>
              <w:right w:val="single" w:sz="8" w:space="0" w:color="000000"/>
            </w:tcBorders>
            <w:shd w:val="clear" w:color="auto" w:fill="auto"/>
            <w:tcMar>
              <w:left w:w="0" w:type="dxa"/>
              <w:right w:w="0" w:type="dxa"/>
            </w:tcMar>
          </w:tcPr>
          <w:p w:rsidR="0075548D" w:rsidRPr="007B566C" w:rsidRDefault="0075548D" w:rsidP="007D42CF">
            <w:pPr>
              <w:spacing w:after="0" w:line="240" w:lineRule="auto"/>
              <w:jc w:val="both"/>
              <w:rPr>
                <w:rStyle w:val="longtext"/>
                <w:rFonts w:ascii="Times New Roman" w:eastAsia="Calibri" w:hAnsi="Times New Roman" w:cs="Times New Roman"/>
                <w:b/>
                <w:bCs/>
                <w:color w:val="000000"/>
                <w:sz w:val="20"/>
                <w:szCs w:val="20"/>
                <w:lang w:val="en-US"/>
              </w:rPr>
            </w:pPr>
            <w:r w:rsidRPr="007B566C">
              <w:rPr>
                <w:rStyle w:val="longtext"/>
                <w:rFonts w:ascii="Times New Roman" w:eastAsia="Calibri" w:hAnsi="Times New Roman" w:cs="Times New Roman"/>
                <w:b/>
                <w:bCs/>
                <w:color w:val="000000"/>
                <w:sz w:val="20"/>
                <w:szCs w:val="20"/>
                <w:lang w:val="en-US"/>
              </w:rPr>
              <w:t>Variables</w:t>
            </w:r>
          </w:p>
        </w:tc>
        <w:tc>
          <w:tcPr>
            <w:tcW w:w="1273" w:type="dxa"/>
            <w:tcBorders>
              <w:top w:val="single" w:sz="4" w:space="0" w:color="auto"/>
              <w:left w:val="nil"/>
              <w:bottom w:val="single" w:sz="8" w:space="0" w:color="000000"/>
              <w:right w:val="nil"/>
            </w:tcBorders>
            <w:shd w:val="clear" w:color="auto" w:fill="auto"/>
            <w:tcMar>
              <w:left w:w="0" w:type="dxa"/>
              <w:right w:w="0" w:type="dxa"/>
            </w:tcMar>
          </w:tcPr>
          <w:p w:rsidR="0075548D" w:rsidRPr="007B566C" w:rsidRDefault="0075548D" w:rsidP="007D42CF">
            <w:pPr>
              <w:spacing w:after="0" w:line="240" w:lineRule="auto"/>
              <w:jc w:val="center"/>
              <w:rPr>
                <w:rStyle w:val="longtext"/>
                <w:rFonts w:ascii="Times New Roman" w:eastAsia="Calibri" w:hAnsi="Times New Roman" w:cs="Times New Roman"/>
                <w:b/>
                <w:bCs/>
                <w:color w:val="000000"/>
                <w:sz w:val="20"/>
                <w:szCs w:val="20"/>
                <w:lang w:val="en-US"/>
              </w:rPr>
            </w:pPr>
            <w:r>
              <w:rPr>
                <w:rStyle w:val="longtext"/>
                <w:rFonts w:ascii="Times New Roman" w:eastAsia="Calibri" w:hAnsi="Times New Roman" w:cs="Times New Roman"/>
                <w:b/>
                <w:bCs/>
                <w:color w:val="000000"/>
                <w:sz w:val="20"/>
                <w:szCs w:val="20"/>
                <w:lang w:val="en-US"/>
              </w:rPr>
              <w:t xml:space="preserve">            </w:t>
            </w:r>
            <w:r w:rsidRPr="007B566C">
              <w:rPr>
                <w:rStyle w:val="longtext"/>
                <w:rFonts w:ascii="Times New Roman" w:eastAsia="Calibri" w:hAnsi="Times New Roman" w:cs="Times New Roman"/>
                <w:b/>
                <w:bCs/>
                <w:color w:val="000000"/>
                <w:sz w:val="20"/>
                <w:szCs w:val="20"/>
                <w:lang w:val="en-US"/>
              </w:rPr>
              <w:t>Mean</w:t>
            </w:r>
          </w:p>
        </w:tc>
        <w:tc>
          <w:tcPr>
            <w:tcW w:w="1559" w:type="dxa"/>
            <w:tcBorders>
              <w:top w:val="single" w:sz="4" w:space="0" w:color="auto"/>
              <w:left w:val="nil"/>
              <w:bottom w:val="single" w:sz="8" w:space="0" w:color="000000"/>
              <w:right w:val="nil"/>
            </w:tcBorders>
            <w:shd w:val="clear" w:color="auto" w:fill="auto"/>
            <w:tcMar>
              <w:left w:w="0" w:type="dxa"/>
              <w:right w:w="0" w:type="dxa"/>
            </w:tcMar>
          </w:tcPr>
          <w:p w:rsidR="0075548D" w:rsidRPr="007B566C" w:rsidRDefault="0075548D" w:rsidP="007D42CF">
            <w:pPr>
              <w:spacing w:after="0" w:line="240" w:lineRule="auto"/>
              <w:jc w:val="center"/>
              <w:rPr>
                <w:rStyle w:val="longtext"/>
                <w:rFonts w:ascii="Times New Roman" w:eastAsia="Calibri" w:hAnsi="Times New Roman" w:cs="Times New Roman"/>
                <w:b/>
                <w:bCs/>
                <w:color w:val="000000"/>
                <w:sz w:val="20"/>
                <w:szCs w:val="20"/>
                <w:lang w:val="en-US"/>
              </w:rPr>
            </w:pPr>
            <w:r>
              <w:rPr>
                <w:rStyle w:val="longtext"/>
                <w:rFonts w:ascii="Times New Roman" w:eastAsia="Calibri" w:hAnsi="Times New Roman" w:cs="Times New Roman"/>
                <w:b/>
                <w:bCs/>
                <w:color w:val="000000"/>
                <w:sz w:val="20"/>
                <w:szCs w:val="20"/>
                <w:lang w:val="en-US"/>
              </w:rPr>
              <w:t xml:space="preserve">                        </w:t>
            </w:r>
            <w:r w:rsidRPr="007B566C">
              <w:rPr>
                <w:rStyle w:val="longtext"/>
                <w:rFonts w:ascii="Times New Roman" w:eastAsia="Calibri" w:hAnsi="Times New Roman" w:cs="Times New Roman"/>
                <w:b/>
                <w:bCs/>
                <w:color w:val="000000"/>
                <w:sz w:val="20"/>
                <w:szCs w:val="20"/>
                <w:lang w:val="en-US"/>
              </w:rPr>
              <w:t>Min</w:t>
            </w:r>
          </w:p>
        </w:tc>
        <w:tc>
          <w:tcPr>
            <w:tcW w:w="1532" w:type="dxa"/>
            <w:tcBorders>
              <w:top w:val="single" w:sz="4" w:space="0" w:color="auto"/>
              <w:left w:val="nil"/>
              <w:bottom w:val="single" w:sz="8" w:space="0" w:color="000000"/>
              <w:right w:val="nil"/>
            </w:tcBorders>
            <w:shd w:val="clear" w:color="auto" w:fill="auto"/>
            <w:tcMar>
              <w:left w:w="0" w:type="dxa"/>
              <w:right w:w="0" w:type="dxa"/>
            </w:tcMar>
          </w:tcPr>
          <w:p w:rsidR="0075548D" w:rsidRPr="007B566C" w:rsidRDefault="0075548D" w:rsidP="007D42CF">
            <w:pPr>
              <w:spacing w:after="0" w:line="240" w:lineRule="auto"/>
              <w:jc w:val="center"/>
              <w:rPr>
                <w:rStyle w:val="longtext"/>
                <w:rFonts w:ascii="Times New Roman" w:eastAsia="Calibri" w:hAnsi="Times New Roman" w:cs="Times New Roman"/>
                <w:b/>
                <w:bCs/>
                <w:color w:val="000000"/>
                <w:sz w:val="20"/>
                <w:szCs w:val="20"/>
                <w:lang w:val="en-US"/>
              </w:rPr>
            </w:pPr>
            <w:r>
              <w:rPr>
                <w:rStyle w:val="longtext"/>
                <w:rFonts w:ascii="Times New Roman" w:eastAsia="Calibri" w:hAnsi="Times New Roman" w:cs="Times New Roman"/>
                <w:b/>
                <w:bCs/>
                <w:color w:val="000000"/>
                <w:sz w:val="20"/>
                <w:szCs w:val="20"/>
                <w:lang w:val="en-US"/>
              </w:rPr>
              <w:t xml:space="preserve">                   </w:t>
            </w:r>
            <w:r w:rsidRPr="007B566C">
              <w:rPr>
                <w:rStyle w:val="longtext"/>
                <w:rFonts w:ascii="Times New Roman" w:eastAsia="Calibri" w:hAnsi="Times New Roman" w:cs="Times New Roman"/>
                <w:b/>
                <w:bCs/>
                <w:color w:val="000000"/>
                <w:sz w:val="20"/>
                <w:szCs w:val="20"/>
                <w:lang w:val="en-US"/>
              </w:rPr>
              <w:t>Max</w:t>
            </w:r>
          </w:p>
        </w:tc>
        <w:tc>
          <w:tcPr>
            <w:tcW w:w="1498" w:type="dxa"/>
            <w:tcBorders>
              <w:top w:val="single" w:sz="4" w:space="0" w:color="auto"/>
              <w:left w:val="nil"/>
              <w:bottom w:val="single" w:sz="8" w:space="0" w:color="000000"/>
              <w:right w:val="single" w:sz="8" w:space="0" w:color="000000"/>
            </w:tcBorders>
            <w:shd w:val="clear" w:color="auto" w:fill="auto"/>
            <w:tcMar>
              <w:left w:w="0" w:type="dxa"/>
              <w:right w:w="0" w:type="dxa"/>
            </w:tcMar>
          </w:tcPr>
          <w:p w:rsidR="0075548D" w:rsidRPr="007B566C" w:rsidRDefault="0075548D" w:rsidP="007D42CF">
            <w:pPr>
              <w:spacing w:after="0" w:line="240" w:lineRule="auto"/>
              <w:jc w:val="center"/>
              <w:rPr>
                <w:rStyle w:val="longtext"/>
                <w:rFonts w:ascii="Times New Roman" w:eastAsia="Calibri" w:hAnsi="Times New Roman" w:cs="Times New Roman"/>
                <w:b/>
                <w:bCs/>
                <w:color w:val="000000"/>
                <w:sz w:val="20"/>
                <w:szCs w:val="20"/>
                <w:lang w:val="en-US"/>
              </w:rPr>
            </w:pPr>
            <w:r>
              <w:rPr>
                <w:rStyle w:val="longtext"/>
                <w:rFonts w:ascii="Times New Roman" w:eastAsia="Calibri" w:hAnsi="Times New Roman" w:cs="Times New Roman"/>
                <w:b/>
                <w:bCs/>
                <w:color w:val="000000"/>
                <w:sz w:val="20"/>
                <w:szCs w:val="20"/>
                <w:lang w:val="en-US"/>
              </w:rPr>
              <w:t xml:space="preserve">               </w:t>
            </w:r>
            <w:r w:rsidRPr="007B566C">
              <w:rPr>
                <w:rStyle w:val="longtext"/>
                <w:rFonts w:ascii="Times New Roman" w:eastAsia="Calibri" w:hAnsi="Times New Roman" w:cs="Times New Roman"/>
                <w:b/>
                <w:bCs/>
                <w:color w:val="000000"/>
                <w:sz w:val="20"/>
                <w:szCs w:val="20"/>
                <w:lang w:val="en-US"/>
              </w:rPr>
              <w:t>S.D</w:t>
            </w:r>
          </w:p>
        </w:tc>
      </w:tr>
      <w:tr w:rsidR="0075548D" w:rsidRPr="007B566C" w:rsidTr="007D42CF">
        <w:trPr>
          <w:trHeight w:hRule="exact" w:val="284"/>
          <w:jc w:val="center"/>
        </w:trPr>
        <w:tc>
          <w:tcPr>
            <w:tcW w:w="1567" w:type="dxa"/>
            <w:tcBorders>
              <w:top w:val="single" w:sz="8" w:space="0" w:color="000000"/>
              <w:left w:val="single" w:sz="8" w:space="0" w:color="000000"/>
              <w:bottom w:val="nil"/>
              <w:right w:val="single" w:sz="8" w:space="0" w:color="000000"/>
            </w:tcBorders>
            <w:shd w:val="clear" w:color="auto" w:fill="FFFFFF"/>
            <w:tcMar>
              <w:left w:w="0" w:type="dxa"/>
              <w:right w:w="0" w:type="dxa"/>
            </w:tcMar>
          </w:tcPr>
          <w:p w:rsidR="0075548D" w:rsidRPr="007B566C" w:rsidRDefault="0075548D" w:rsidP="007D42CF">
            <w:pPr>
              <w:spacing w:after="0" w:line="240" w:lineRule="auto"/>
              <w:jc w:val="both"/>
              <w:rPr>
                <w:rStyle w:val="longtext"/>
                <w:rFonts w:ascii="Times New Roman" w:eastAsia="Calibri" w:hAnsi="Times New Roman" w:cs="Times New Roman"/>
                <w:b/>
                <w:bCs/>
                <w:color w:val="000000"/>
                <w:sz w:val="20"/>
                <w:szCs w:val="20"/>
                <w:lang w:val="en-US"/>
              </w:rPr>
            </w:pPr>
            <w:r w:rsidRPr="007B566C">
              <w:rPr>
                <w:rStyle w:val="longtext"/>
                <w:rFonts w:ascii="Times New Roman" w:eastAsia="Calibri" w:hAnsi="Times New Roman" w:cs="Times New Roman"/>
                <w:b/>
                <w:bCs/>
                <w:color w:val="000000"/>
                <w:sz w:val="20"/>
                <w:szCs w:val="20"/>
                <w:lang w:val="en-US"/>
              </w:rPr>
              <w:t>DPR</w:t>
            </w:r>
          </w:p>
        </w:tc>
        <w:tc>
          <w:tcPr>
            <w:tcW w:w="1273" w:type="dxa"/>
            <w:tcBorders>
              <w:top w:val="single" w:sz="8" w:space="0" w:color="000000"/>
              <w:left w:val="nil"/>
              <w:bottom w:val="nil"/>
              <w:right w:val="nil"/>
            </w:tcBorders>
            <w:shd w:val="clear" w:color="auto" w:fill="FFFFFF"/>
            <w:tcMar>
              <w:left w:w="0" w:type="dxa"/>
              <w:right w:w="0" w:type="dxa"/>
            </w:tcMa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0.2712</w:t>
            </w:r>
          </w:p>
        </w:tc>
        <w:tc>
          <w:tcPr>
            <w:tcW w:w="1559" w:type="dxa"/>
            <w:tcBorders>
              <w:top w:val="single" w:sz="8" w:space="0" w:color="000000"/>
              <w:left w:val="nil"/>
              <w:bottom w:val="nil"/>
              <w:right w:val="nil"/>
            </w:tcBorders>
            <w:shd w:val="clear" w:color="auto" w:fill="FFFFFF"/>
            <w:tcMar>
              <w:left w:w="0" w:type="dxa"/>
              <w:right w:w="0" w:type="dxa"/>
            </w:tcMar>
          </w:tcPr>
          <w:p w:rsidR="0075548D" w:rsidRPr="007B566C" w:rsidRDefault="0075548D" w:rsidP="007D42CF">
            <w:pPr>
              <w:spacing w:after="0" w:line="240" w:lineRule="auto"/>
              <w:jc w:val="right"/>
              <w:rPr>
                <w:rStyle w:val="longtext"/>
                <w:rFonts w:ascii="Times New Roman" w:hAnsi="Times New Roman" w:cs="Times New Roman"/>
                <w:sz w:val="20"/>
                <w:szCs w:val="20"/>
                <w:lang w:val="en-US"/>
              </w:rPr>
            </w:pPr>
            <w:r w:rsidRPr="007B566C">
              <w:rPr>
                <w:rStyle w:val="longtext"/>
                <w:rFonts w:ascii="Times New Roman" w:hAnsi="Times New Roman" w:cs="Times New Roman"/>
                <w:sz w:val="20"/>
                <w:szCs w:val="20"/>
                <w:lang w:val="en-US"/>
              </w:rPr>
              <w:t>0</w:t>
            </w:r>
          </w:p>
        </w:tc>
        <w:tc>
          <w:tcPr>
            <w:tcW w:w="1532" w:type="dxa"/>
            <w:tcBorders>
              <w:top w:val="single" w:sz="8" w:space="0" w:color="000000"/>
              <w:left w:val="nil"/>
              <w:bottom w:val="nil"/>
              <w:right w:val="nil"/>
            </w:tcBorders>
            <w:shd w:val="clear" w:color="auto" w:fill="FFFFFF"/>
            <w:tcMar>
              <w:left w:w="0" w:type="dxa"/>
              <w:right w:w="0" w:type="dxa"/>
            </w:tcMar>
          </w:tcPr>
          <w:p w:rsidR="0075548D" w:rsidRPr="007B566C" w:rsidRDefault="0075548D" w:rsidP="007D42CF">
            <w:pPr>
              <w:spacing w:after="0" w:line="240" w:lineRule="auto"/>
              <w:jc w:val="right"/>
              <w:rPr>
                <w:rStyle w:val="longtext"/>
                <w:rFonts w:ascii="Times New Roman" w:hAnsi="Times New Roman" w:cs="Times New Roman"/>
                <w:sz w:val="20"/>
                <w:szCs w:val="20"/>
                <w:lang w:val="en-US"/>
              </w:rPr>
            </w:pPr>
            <w:r w:rsidRPr="007B566C">
              <w:rPr>
                <w:rStyle w:val="longtext"/>
                <w:rFonts w:ascii="Times New Roman" w:hAnsi="Times New Roman" w:cs="Times New Roman"/>
                <w:sz w:val="20"/>
                <w:szCs w:val="20"/>
                <w:lang w:val="en-US"/>
              </w:rPr>
              <w:t>4.53</w:t>
            </w:r>
          </w:p>
        </w:tc>
        <w:tc>
          <w:tcPr>
            <w:tcW w:w="1498" w:type="dxa"/>
            <w:tcBorders>
              <w:top w:val="single" w:sz="8" w:space="0" w:color="000000"/>
              <w:left w:val="nil"/>
              <w:bottom w:val="nil"/>
              <w:right w:val="single" w:sz="8" w:space="0" w:color="000000"/>
            </w:tcBorders>
            <w:shd w:val="clear" w:color="auto" w:fill="FFFFFF"/>
            <w:tcMar>
              <w:left w:w="0" w:type="dxa"/>
              <w:right w:w="0" w:type="dxa"/>
            </w:tcMar>
          </w:tcPr>
          <w:p w:rsidR="0075548D" w:rsidRPr="007B566C" w:rsidRDefault="0075548D" w:rsidP="007D42CF">
            <w:pPr>
              <w:spacing w:after="0" w:line="240" w:lineRule="auto"/>
              <w:jc w:val="center"/>
              <w:rPr>
                <w:rStyle w:val="longtext"/>
                <w:rFonts w:ascii="Times New Roman" w:hAnsi="Times New Roman" w:cs="Times New Roman"/>
                <w:color w:val="000000"/>
                <w:sz w:val="20"/>
                <w:szCs w:val="20"/>
                <w:lang w:val="en-US"/>
              </w:rPr>
            </w:pPr>
            <w:r>
              <w:rPr>
                <w:rStyle w:val="longtext"/>
                <w:rFonts w:ascii="Times New Roman" w:hAnsi="Times New Roman" w:cs="Times New Roman"/>
                <w:color w:val="000000"/>
                <w:sz w:val="20"/>
                <w:szCs w:val="20"/>
                <w:lang w:val="en-US"/>
              </w:rPr>
              <w:t xml:space="preserve">               </w:t>
            </w:r>
            <w:r w:rsidRPr="007B566C">
              <w:rPr>
                <w:rStyle w:val="longtext"/>
                <w:rFonts w:ascii="Times New Roman" w:hAnsi="Times New Roman" w:cs="Times New Roman"/>
                <w:color w:val="000000"/>
                <w:sz w:val="20"/>
                <w:szCs w:val="20"/>
                <w:lang w:val="en-US"/>
              </w:rPr>
              <w:t>0.7081</w:t>
            </w:r>
          </w:p>
        </w:tc>
      </w:tr>
      <w:tr w:rsidR="0075548D" w:rsidRPr="007B566C" w:rsidTr="007D42CF">
        <w:trPr>
          <w:trHeight w:hRule="exact" w:val="284"/>
          <w:jc w:val="center"/>
        </w:trPr>
        <w:tc>
          <w:tcPr>
            <w:tcW w:w="1567" w:type="dxa"/>
            <w:tcBorders>
              <w:top w:val="nil"/>
              <w:left w:val="single" w:sz="8" w:space="0" w:color="000000"/>
              <w:bottom w:val="nil"/>
              <w:right w:val="single" w:sz="8" w:space="0" w:color="000000"/>
            </w:tcBorders>
            <w:shd w:val="clear" w:color="auto" w:fill="FFFFFF"/>
            <w:tcMar>
              <w:left w:w="0" w:type="dxa"/>
              <w:right w:w="0" w:type="dxa"/>
            </w:tcMar>
          </w:tcPr>
          <w:p w:rsidR="0075548D" w:rsidRPr="007B566C" w:rsidRDefault="0075548D" w:rsidP="007D42CF">
            <w:pPr>
              <w:spacing w:after="0" w:line="240" w:lineRule="auto"/>
              <w:jc w:val="both"/>
              <w:rPr>
                <w:rStyle w:val="longtext"/>
                <w:rFonts w:ascii="Times New Roman" w:eastAsia="Calibri" w:hAnsi="Times New Roman" w:cs="Times New Roman"/>
                <w:b/>
                <w:bCs/>
                <w:color w:val="000000"/>
                <w:sz w:val="20"/>
                <w:szCs w:val="20"/>
                <w:lang w:val="en-US"/>
              </w:rPr>
            </w:pPr>
            <w:r w:rsidRPr="007B566C">
              <w:rPr>
                <w:rStyle w:val="longtext"/>
                <w:rFonts w:ascii="Times New Roman" w:eastAsia="Calibri" w:hAnsi="Times New Roman" w:cs="Times New Roman"/>
                <w:b/>
                <w:bCs/>
                <w:color w:val="000000"/>
                <w:sz w:val="20"/>
                <w:szCs w:val="20"/>
                <w:lang w:val="en-US"/>
              </w:rPr>
              <w:t>RPT</w:t>
            </w:r>
          </w:p>
        </w:tc>
        <w:tc>
          <w:tcPr>
            <w:tcW w:w="1273" w:type="dxa"/>
            <w:tcBorders>
              <w:top w:val="nil"/>
              <w:left w:val="nil"/>
              <w:bottom w:val="nil"/>
              <w:right w:val="nil"/>
            </w:tcBorders>
            <w:shd w:val="clear" w:color="auto" w:fill="FFFFFF"/>
            <w:tcMar>
              <w:left w:w="0" w:type="dxa"/>
              <w:right w:w="0" w:type="dxa"/>
            </w:tcMar>
          </w:tcPr>
          <w:p w:rsidR="0075548D" w:rsidRPr="007B566C" w:rsidRDefault="0075548D" w:rsidP="007D42CF">
            <w:pPr>
              <w:spacing w:after="0" w:line="240" w:lineRule="auto"/>
              <w:jc w:val="right"/>
              <w:rPr>
                <w:rStyle w:val="longtext"/>
                <w:rFonts w:ascii="Times New Roman" w:eastAsia="Calibri" w:hAnsi="Times New Roman" w:cs="Times New Roman"/>
                <w:color w:val="000000"/>
                <w:sz w:val="20"/>
                <w:szCs w:val="20"/>
                <w:lang w:val="en-US"/>
              </w:rPr>
            </w:pPr>
            <w:r w:rsidRPr="007B566C">
              <w:rPr>
                <w:rStyle w:val="longtext"/>
                <w:rFonts w:ascii="Times New Roman" w:eastAsia="Calibri" w:hAnsi="Times New Roman" w:cs="Times New Roman"/>
                <w:color w:val="000000"/>
                <w:sz w:val="20"/>
                <w:szCs w:val="20"/>
                <w:lang w:val="en-US"/>
              </w:rPr>
              <w:t>6.471</w:t>
            </w:r>
          </w:p>
        </w:tc>
        <w:tc>
          <w:tcPr>
            <w:tcW w:w="1559" w:type="dxa"/>
            <w:tcBorders>
              <w:top w:val="nil"/>
              <w:left w:val="nil"/>
              <w:bottom w:val="nil"/>
              <w:right w:val="nil"/>
            </w:tcBorders>
            <w:shd w:val="clear" w:color="auto" w:fill="FFFFFF"/>
            <w:tcMar>
              <w:left w:w="0" w:type="dxa"/>
              <w:right w:w="0" w:type="dxa"/>
            </w:tcMar>
          </w:tcPr>
          <w:p w:rsidR="0075548D" w:rsidRPr="007B566C" w:rsidRDefault="0075548D" w:rsidP="007D42CF">
            <w:pPr>
              <w:spacing w:after="0" w:line="240" w:lineRule="auto"/>
              <w:jc w:val="right"/>
              <w:rPr>
                <w:rStyle w:val="longtext"/>
                <w:rFonts w:ascii="Times New Roman" w:eastAsia="Calibri" w:hAnsi="Times New Roman" w:cs="Times New Roman"/>
                <w:color w:val="000000"/>
                <w:sz w:val="20"/>
                <w:szCs w:val="20"/>
                <w:lang w:val="en-US"/>
              </w:rPr>
            </w:pPr>
            <w:r w:rsidRPr="007B566C">
              <w:rPr>
                <w:rStyle w:val="longtext"/>
                <w:rFonts w:ascii="Times New Roman" w:eastAsia="Calibri" w:hAnsi="Times New Roman" w:cs="Times New Roman"/>
                <w:color w:val="000000"/>
                <w:sz w:val="20"/>
                <w:szCs w:val="20"/>
                <w:lang w:val="en-US"/>
              </w:rPr>
              <w:t>0</w:t>
            </w:r>
          </w:p>
        </w:tc>
        <w:tc>
          <w:tcPr>
            <w:tcW w:w="1532" w:type="dxa"/>
            <w:tcBorders>
              <w:top w:val="nil"/>
              <w:left w:val="nil"/>
              <w:bottom w:val="nil"/>
              <w:right w:val="nil"/>
            </w:tcBorders>
            <w:shd w:val="clear" w:color="auto" w:fill="FFFFFF"/>
            <w:tcMar>
              <w:left w:w="0" w:type="dxa"/>
              <w:right w:w="0" w:type="dxa"/>
            </w:tcMar>
          </w:tcPr>
          <w:p w:rsidR="0075548D" w:rsidRPr="007B566C" w:rsidRDefault="0075548D" w:rsidP="007D42CF">
            <w:pPr>
              <w:spacing w:after="0" w:line="240" w:lineRule="auto"/>
              <w:jc w:val="right"/>
              <w:rPr>
                <w:rStyle w:val="longtext"/>
                <w:rFonts w:ascii="Times New Roman" w:eastAsia="Calibri" w:hAnsi="Times New Roman" w:cs="Times New Roman"/>
                <w:color w:val="000000"/>
                <w:sz w:val="20"/>
                <w:szCs w:val="20"/>
                <w:lang w:val="en-US"/>
              </w:rPr>
            </w:pPr>
            <w:r w:rsidRPr="007B566C">
              <w:rPr>
                <w:rStyle w:val="longtext"/>
                <w:rFonts w:ascii="Times New Roman" w:eastAsia="Calibri" w:hAnsi="Times New Roman" w:cs="Times New Roman"/>
                <w:color w:val="000000"/>
                <w:sz w:val="20"/>
                <w:szCs w:val="20"/>
                <w:lang w:val="en-US"/>
              </w:rPr>
              <w:t>11.244</w:t>
            </w:r>
          </w:p>
        </w:tc>
        <w:tc>
          <w:tcPr>
            <w:tcW w:w="1498" w:type="dxa"/>
            <w:tcBorders>
              <w:top w:val="nil"/>
              <w:left w:val="nil"/>
              <w:bottom w:val="nil"/>
              <w:right w:val="single" w:sz="8" w:space="0" w:color="000000"/>
            </w:tcBorders>
            <w:shd w:val="clear" w:color="auto" w:fill="FFFFFF"/>
            <w:tcMar>
              <w:left w:w="0" w:type="dxa"/>
              <w:right w:w="0" w:type="dxa"/>
            </w:tcMar>
          </w:tcPr>
          <w:p w:rsidR="0075548D" w:rsidRPr="007B566C" w:rsidRDefault="0075548D" w:rsidP="007D42CF">
            <w:pPr>
              <w:spacing w:after="0" w:line="240" w:lineRule="auto"/>
              <w:jc w:val="center"/>
              <w:rPr>
                <w:rStyle w:val="longtext"/>
                <w:rFonts w:ascii="Times New Roman" w:eastAsia="Calibri" w:hAnsi="Times New Roman" w:cs="Times New Roman"/>
                <w:color w:val="000000"/>
                <w:sz w:val="20"/>
                <w:szCs w:val="20"/>
                <w:lang w:val="en-US"/>
              </w:rPr>
            </w:pPr>
            <w:r>
              <w:rPr>
                <w:rStyle w:val="longtext"/>
                <w:rFonts w:ascii="Times New Roman" w:eastAsia="Calibri" w:hAnsi="Times New Roman" w:cs="Times New Roman"/>
                <w:color w:val="000000"/>
                <w:sz w:val="20"/>
                <w:szCs w:val="20"/>
                <w:lang w:val="en-US"/>
              </w:rPr>
              <w:t xml:space="preserve">               </w:t>
            </w:r>
            <w:r w:rsidRPr="007B566C">
              <w:rPr>
                <w:rStyle w:val="longtext"/>
                <w:rFonts w:ascii="Times New Roman" w:eastAsia="Calibri" w:hAnsi="Times New Roman" w:cs="Times New Roman"/>
                <w:color w:val="000000"/>
                <w:sz w:val="20"/>
                <w:szCs w:val="20"/>
                <w:lang w:val="en-US"/>
              </w:rPr>
              <w:t>3.699</w:t>
            </w:r>
          </w:p>
        </w:tc>
      </w:tr>
      <w:tr w:rsidR="0075548D" w:rsidRPr="007B566C" w:rsidTr="007D42CF">
        <w:trPr>
          <w:trHeight w:hRule="exact" w:val="284"/>
          <w:jc w:val="center"/>
        </w:trPr>
        <w:tc>
          <w:tcPr>
            <w:tcW w:w="1567" w:type="dxa"/>
            <w:tcBorders>
              <w:top w:val="nil"/>
              <w:left w:val="single" w:sz="8" w:space="0" w:color="000000"/>
              <w:bottom w:val="nil"/>
              <w:right w:val="single" w:sz="8" w:space="0" w:color="000000"/>
            </w:tcBorders>
            <w:shd w:val="clear" w:color="auto" w:fill="FFFFFF"/>
            <w:tcMar>
              <w:left w:w="0" w:type="dxa"/>
              <w:right w:w="0" w:type="dxa"/>
            </w:tcMar>
          </w:tcPr>
          <w:p w:rsidR="0075548D" w:rsidRPr="007B566C" w:rsidRDefault="0075548D" w:rsidP="007D42CF">
            <w:pPr>
              <w:spacing w:after="0" w:line="240" w:lineRule="auto"/>
              <w:jc w:val="both"/>
              <w:rPr>
                <w:rStyle w:val="longtext"/>
                <w:rFonts w:ascii="Times New Roman" w:eastAsia="Calibri" w:hAnsi="Times New Roman" w:cs="Times New Roman"/>
                <w:b/>
                <w:bCs/>
                <w:color w:val="000000"/>
                <w:sz w:val="20"/>
                <w:szCs w:val="20"/>
                <w:lang w:val="en-US"/>
              </w:rPr>
            </w:pPr>
            <w:r w:rsidRPr="007B566C">
              <w:rPr>
                <w:rStyle w:val="longtext"/>
                <w:rFonts w:ascii="Times New Roman" w:eastAsia="Calibri" w:hAnsi="Times New Roman" w:cs="Times New Roman"/>
                <w:b/>
                <w:bCs/>
                <w:color w:val="000000"/>
                <w:sz w:val="20"/>
                <w:szCs w:val="20"/>
                <w:lang w:val="en-US"/>
              </w:rPr>
              <w:t>CONC</w:t>
            </w:r>
          </w:p>
        </w:tc>
        <w:tc>
          <w:tcPr>
            <w:tcW w:w="1273" w:type="dxa"/>
            <w:tcBorders>
              <w:top w:val="nil"/>
              <w:left w:val="nil"/>
              <w:bottom w:val="nil"/>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0.444</w:t>
            </w:r>
          </w:p>
        </w:tc>
        <w:tc>
          <w:tcPr>
            <w:tcW w:w="1559" w:type="dxa"/>
            <w:tcBorders>
              <w:top w:val="nil"/>
              <w:left w:val="nil"/>
              <w:bottom w:val="nil"/>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0.02</w:t>
            </w:r>
          </w:p>
        </w:tc>
        <w:tc>
          <w:tcPr>
            <w:tcW w:w="1532" w:type="dxa"/>
            <w:tcBorders>
              <w:top w:val="nil"/>
              <w:left w:val="nil"/>
              <w:bottom w:val="nil"/>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0.999</w:t>
            </w:r>
          </w:p>
        </w:tc>
        <w:tc>
          <w:tcPr>
            <w:tcW w:w="1498" w:type="dxa"/>
            <w:tcBorders>
              <w:top w:val="nil"/>
              <w:left w:val="nil"/>
              <w:bottom w:val="nil"/>
              <w:right w:val="single" w:sz="8" w:space="0" w:color="000000"/>
            </w:tcBorders>
            <w:shd w:val="clear" w:color="auto" w:fill="FFFFFF"/>
            <w:tcMar>
              <w:left w:w="0" w:type="dxa"/>
              <w:right w:w="0" w:type="dxa"/>
            </w:tcMar>
            <w:vAlign w:val="center"/>
          </w:tcPr>
          <w:p w:rsidR="0075548D" w:rsidRPr="007B566C" w:rsidRDefault="0075548D" w:rsidP="007D42CF">
            <w:pPr>
              <w:spacing w:after="0" w:line="240" w:lineRule="auto"/>
              <w:jc w:val="center"/>
              <w:rPr>
                <w:rStyle w:val="longtext"/>
                <w:rFonts w:ascii="Times New Roman" w:hAnsi="Times New Roman" w:cs="Times New Roman"/>
                <w:color w:val="000000"/>
                <w:sz w:val="20"/>
                <w:szCs w:val="20"/>
                <w:lang w:val="en-US"/>
              </w:rPr>
            </w:pPr>
            <w:r>
              <w:rPr>
                <w:rStyle w:val="longtext"/>
                <w:rFonts w:ascii="Times New Roman" w:hAnsi="Times New Roman" w:cs="Times New Roman"/>
                <w:color w:val="000000"/>
                <w:sz w:val="20"/>
                <w:szCs w:val="20"/>
                <w:lang w:val="en-US"/>
              </w:rPr>
              <w:t xml:space="preserve">                </w:t>
            </w:r>
            <w:r w:rsidRPr="007B566C">
              <w:rPr>
                <w:rStyle w:val="longtext"/>
                <w:rFonts w:ascii="Times New Roman" w:hAnsi="Times New Roman" w:cs="Times New Roman"/>
                <w:color w:val="000000"/>
                <w:sz w:val="20"/>
                <w:szCs w:val="20"/>
                <w:lang w:val="en-US"/>
              </w:rPr>
              <w:t>0.243</w:t>
            </w:r>
          </w:p>
        </w:tc>
      </w:tr>
      <w:tr w:rsidR="0075548D" w:rsidRPr="007B566C" w:rsidTr="007D42CF">
        <w:trPr>
          <w:trHeight w:hRule="exact" w:val="284"/>
          <w:jc w:val="center"/>
        </w:trPr>
        <w:tc>
          <w:tcPr>
            <w:tcW w:w="1567" w:type="dxa"/>
            <w:tcBorders>
              <w:top w:val="nil"/>
              <w:left w:val="single" w:sz="8" w:space="0" w:color="000000"/>
              <w:bottom w:val="nil"/>
              <w:right w:val="single" w:sz="8" w:space="0" w:color="000000"/>
            </w:tcBorders>
            <w:shd w:val="clear" w:color="auto" w:fill="FFFFFF"/>
            <w:tcMar>
              <w:left w:w="0" w:type="dxa"/>
              <w:right w:w="0" w:type="dxa"/>
            </w:tcMar>
          </w:tcPr>
          <w:p w:rsidR="0075548D" w:rsidRPr="007B566C" w:rsidRDefault="0075548D" w:rsidP="007D42CF">
            <w:pPr>
              <w:spacing w:after="0" w:line="240" w:lineRule="auto"/>
              <w:jc w:val="both"/>
              <w:rPr>
                <w:rStyle w:val="longtext"/>
                <w:rFonts w:ascii="Times New Roman" w:eastAsia="Calibri" w:hAnsi="Times New Roman" w:cs="Times New Roman"/>
                <w:b/>
                <w:bCs/>
                <w:color w:val="000000"/>
                <w:sz w:val="20"/>
                <w:szCs w:val="20"/>
                <w:lang w:val="en-US"/>
              </w:rPr>
            </w:pPr>
            <w:r w:rsidRPr="007B566C">
              <w:rPr>
                <w:rStyle w:val="longtext"/>
                <w:rFonts w:ascii="Times New Roman" w:eastAsia="Calibri" w:hAnsi="Times New Roman" w:cs="Times New Roman"/>
                <w:b/>
                <w:bCs/>
                <w:color w:val="000000"/>
                <w:sz w:val="20"/>
                <w:szCs w:val="20"/>
                <w:lang w:val="en-US"/>
              </w:rPr>
              <w:t>SIZE</w:t>
            </w:r>
          </w:p>
        </w:tc>
        <w:tc>
          <w:tcPr>
            <w:tcW w:w="1273" w:type="dxa"/>
            <w:tcBorders>
              <w:top w:val="nil"/>
              <w:left w:val="nil"/>
              <w:bottom w:val="nil"/>
              <w:right w:val="nil"/>
            </w:tcBorders>
            <w:shd w:val="clear" w:color="auto" w:fill="FFFFFF"/>
            <w:tcMar>
              <w:left w:w="0" w:type="dxa"/>
              <w:right w:w="0" w:type="dxa"/>
            </w:tcMa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14.13</w:t>
            </w:r>
          </w:p>
        </w:tc>
        <w:tc>
          <w:tcPr>
            <w:tcW w:w="1559" w:type="dxa"/>
            <w:tcBorders>
              <w:top w:val="nil"/>
              <w:left w:val="nil"/>
              <w:bottom w:val="nil"/>
              <w:right w:val="nil"/>
            </w:tcBorders>
            <w:shd w:val="clear" w:color="auto" w:fill="FFFFFF"/>
            <w:tcMar>
              <w:left w:w="0" w:type="dxa"/>
              <w:right w:w="0" w:type="dxa"/>
            </w:tcMa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7.6</w:t>
            </w:r>
          </w:p>
        </w:tc>
        <w:tc>
          <w:tcPr>
            <w:tcW w:w="1532" w:type="dxa"/>
            <w:tcBorders>
              <w:top w:val="nil"/>
              <w:left w:val="nil"/>
              <w:bottom w:val="nil"/>
              <w:right w:val="nil"/>
            </w:tcBorders>
            <w:shd w:val="clear" w:color="auto" w:fill="FFFFFF"/>
            <w:tcMar>
              <w:left w:w="0" w:type="dxa"/>
              <w:right w:w="0" w:type="dxa"/>
            </w:tcMa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19.003</w:t>
            </w:r>
          </w:p>
        </w:tc>
        <w:tc>
          <w:tcPr>
            <w:tcW w:w="1498" w:type="dxa"/>
            <w:tcBorders>
              <w:top w:val="nil"/>
              <w:left w:val="nil"/>
              <w:bottom w:val="nil"/>
              <w:right w:val="single" w:sz="8" w:space="0" w:color="000000"/>
            </w:tcBorders>
            <w:shd w:val="clear" w:color="auto" w:fill="FFFFFF"/>
            <w:tcMar>
              <w:left w:w="0" w:type="dxa"/>
              <w:right w:w="0" w:type="dxa"/>
            </w:tcMar>
          </w:tcPr>
          <w:p w:rsidR="0075548D" w:rsidRPr="007B566C" w:rsidRDefault="0075548D" w:rsidP="007D42CF">
            <w:pPr>
              <w:spacing w:after="0" w:line="240" w:lineRule="auto"/>
              <w:jc w:val="center"/>
              <w:rPr>
                <w:rStyle w:val="longtext"/>
                <w:rFonts w:ascii="Times New Roman" w:hAnsi="Times New Roman" w:cs="Times New Roman"/>
                <w:color w:val="000000"/>
                <w:sz w:val="20"/>
                <w:szCs w:val="20"/>
                <w:lang w:val="en-US"/>
              </w:rPr>
            </w:pPr>
            <w:r>
              <w:rPr>
                <w:rStyle w:val="longtext"/>
                <w:rFonts w:ascii="Times New Roman" w:hAnsi="Times New Roman" w:cs="Times New Roman"/>
                <w:color w:val="000000"/>
                <w:sz w:val="20"/>
                <w:szCs w:val="20"/>
                <w:lang w:val="en-US"/>
              </w:rPr>
              <w:t xml:space="preserve">                 </w:t>
            </w:r>
            <w:r w:rsidRPr="007B566C">
              <w:rPr>
                <w:rStyle w:val="longtext"/>
                <w:rFonts w:ascii="Times New Roman" w:hAnsi="Times New Roman" w:cs="Times New Roman"/>
                <w:color w:val="000000"/>
                <w:sz w:val="20"/>
                <w:szCs w:val="20"/>
                <w:lang w:val="en-US"/>
              </w:rPr>
              <w:t>2.109</w:t>
            </w:r>
          </w:p>
        </w:tc>
      </w:tr>
      <w:tr w:rsidR="0075548D" w:rsidRPr="007B566C" w:rsidTr="007D42CF">
        <w:trPr>
          <w:trHeight w:hRule="exact" w:val="284"/>
          <w:jc w:val="center"/>
        </w:trPr>
        <w:tc>
          <w:tcPr>
            <w:tcW w:w="1567" w:type="dxa"/>
            <w:tcBorders>
              <w:top w:val="nil"/>
              <w:left w:val="single" w:sz="8" w:space="0" w:color="000000"/>
              <w:bottom w:val="nil"/>
              <w:right w:val="single" w:sz="8" w:space="0" w:color="000000"/>
            </w:tcBorders>
            <w:shd w:val="clear" w:color="auto" w:fill="FFFFFF"/>
            <w:tcMar>
              <w:left w:w="0" w:type="dxa"/>
              <w:right w:w="0" w:type="dxa"/>
            </w:tcMar>
          </w:tcPr>
          <w:p w:rsidR="0075548D" w:rsidRPr="007B566C" w:rsidRDefault="0075548D" w:rsidP="007D42CF">
            <w:pPr>
              <w:spacing w:after="0" w:line="240" w:lineRule="auto"/>
              <w:jc w:val="both"/>
              <w:rPr>
                <w:rStyle w:val="longtext"/>
                <w:rFonts w:ascii="Times New Roman" w:eastAsia="Calibri" w:hAnsi="Times New Roman" w:cs="Times New Roman"/>
                <w:b/>
                <w:bCs/>
                <w:color w:val="000000"/>
                <w:sz w:val="20"/>
                <w:szCs w:val="20"/>
                <w:lang w:val="en-US"/>
              </w:rPr>
            </w:pPr>
            <w:r w:rsidRPr="007B566C">
              <w:rPr>
                <w:rStyle w:val="longtext"/>
                <w:rFonts w:ascii="Times New Roman" w:eastAsia="Calibri" w:hAnsi="Times New Roman" w:cs="Times New Roman"/>
                <w:b/>
                <w:bCs/>
                <w:color w:val="000000"/>
                <w:sz w:val="20"/>
                <w:szCs w:val="20"/>
                <w:lang w:val="en-US"/>
              </w:rPr>
              <w:t>LEV</w:t>
            </w:r>
          </w:p>
        </w:tc>
        <w:tc>
          <w:tcPr>
            <w:tcW w:w="1273" w:type="dxa"/>
            <w:tcBorders>
              <w:top w:val="nil"/>
              <w:left w:val="nil"/>
              <w:bottom w:val="nil"/>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0.563</w:t>
            </w:r>
          </w:p>
        </w:tc>
        <w:tc>
          <w:tcPr>
            <w:tcW w:w="1559" w:type="dxa"/>
            <w:tcBorders>
              <w:top w:val="nil"/>
              <w:left w:val="nil"/>
              <w:bottom w:val="nil"/>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0.040</w:t>
            </w:r>
          </w:p>
        </w:tc>
        <w:tc>
          <w:tcPr>
            <w:tcW w:w="1532" w:type="dxa"/>
            <w:tcBorders>
              <w:top w:val="nil"/>
              <w:left w:val="nil"/>
              <w:bottom w:val="nil"/>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1.3</w:t>
            </w:r>
          </w:p>
        </w:tc>
        <w:tc>
          <w:tcPr>
            <w:tcW w:w="1498" w:type="dxa"/>
            <w:tcBorders>
              <w:top w:val="nil"/>
              <w:left w:val="nil"/>
              <w:bottom w:val="nil"/>
              <w:right w:val="single" w:sz="8" w:space="0" w:color="000000"/>
            </w:tcBorders>
            <w:shd w:val="clear" w:color="auto" w:fill="FFFFFF"/>
            <w:tcMar>
              <w:left w:w="0" w:type="dxa"/>
              <w:right w:w="0" w:type="dxa"/>
            </w:tcMar>
            <w:vAlign w:val="center"/>
          </w:tcPr>
          <w:p w:rsidR="0075548D" w:rsidRPr="007B566C" w:rsidRDefault="0075548D" w:rsidP="007D42CF">
            <w:pPr>
              <w:spacing w:after="0" w:line="240" w:lineRule="auto"/>
              <w:jc w:val="center"/>
              <w:rPr>
                <w:rStyle w:val="longtext"/>
                <w:rFonts w:ascii="Times New Roman" w:hAnsi="Times New Roman" w:cs="Times New Roman"/>
                <w:color w:val="000000"/>
                <w:sz w:val="20"/>
                <w:szCs w:val="20"/>
                <w:lang w:val="en-US"/>
              </w:rPr>
            </w:pPr>
            <w:r>
              <w:rPr>
                <w:rStyle w:val="longtext"/>
                <w:rFonts w:ascii="Times New Roman" w:hAnsi="Times New Roman" w:cs="Times New Roman"/>
                <w:color w:val="000000"/>
                <w:sz w:val="20"/>
                <w:szCs w:val="20"/>
                <w:lang w:val="en-US"/>
              </w:rPr>
              <w:t xml:space="preserve">                 </w:t>
            </w:r>
            <w:r w:rsidRPr="007B566C">
              <w:rPr>
                <w:rStyle w:val="longtext"/>
                <w:rFonts w:ascii="Times New Roman" w:hAnsi="Times New Roman" w:cs="Times New Roman"/>
                <w:color w:val="000000"/>
                <w:sz w:val="20"/>
                <w:szCs w:val="20"/>
                <w:lang w:val="en-US"/>
              </w:rPr>
              <w:t>0.1969</w:t>
            </w:r>
          </w:p>
        </w:tc>
      </w:tr>
      <w:tr w:rsidR="0075548D" w:rsidRPr="007B566C" w:rsidTr="007D42CF">
        <w:trPr>
          <w:trHeight w:hRule="exact" w:val="284"/>
          <w:jc w:val="center"/>
        </w:trPr>
        <w:tc>
          <w:tcPr>
            <w:tcW w:w="1567" w:type="dxa"/>
            <w:tcBorders>
              <w:top w:val="nil"/>
              <w:left w:val="single" w:sz="8" w:space="0" w:color="000000"/>
              <w:bottom w:val="nil"/>
              <w:right w:val="single" w:sz="8" w:space="0" w:color="000000"/>
            </w:tcBorders>
            <w:shd w:val="clear" w:color="auto" w:fill="FFFFFF"/>
            <w:tcMar>
              <w:left w:w="0" w:type="dxa"/>
              <w:right w:w="0" w:type="dxa"/>
            </w:tcMar>
          </w:tcPr>
          <w:p w:rsidR="0075548D" w:rsidRPr="007B566C" w:rsidRDefault="0075548D" w:rsidP="007D42CF">
            <w:pPr>
              <w:spacing w:after="0" w:line="240" w:lineRule="auto"/>
              <w:jc w:val="both"/>
              <w:rPr>
                <w:rStyle w:val="longtext"/>
                <w:rFonts w:ascii="Times New Roman" w:eastAsia="Calibri" w:hAnsi="Times New Roman" w:cs="Times New Roman"/>
                <w:b/>
                <w:bCs/>
                <w:color w:val="000000"/>
                <w:sz w:val="20"/>
                <w:szCs w:val="20"/>
                <w:lang w:val="en-US"/>
              </w:rPr>
            </w:pPr>
            <w:r w:rsidRPr="007B566C">
              <w:rPr>
                <w:rStyle w:val="longtext"/>
                <w:rFonts w:ascii="Times New Roman" w:eastAsia="Calibri" w:hAnsi="Times New Roman" w:cs="Times New Roman"/>
                <w:b/>
                <w:bCs/>
                <w:color w:val="000000"/>
                <w:sz w:val="20"/>
                <w:szCs w:val="20"/>
                <w:lang w:val="en-US"/>
              </w:rPr>
              <w:t>TANG</w:t>
            </w:r>
          </w:p>
        </w:tc>
        <w:tc>
          <w:tcPr>
            <w:tcW w:w="1273" w:type="dxa"/>
            <w:tcBorders>
              <w:top w:val="nil"/>
              <w:left w:val="nil"/>
              <w:bottom w:val="nil"/>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0.2114</w:t>
            </w:r>
          </w:p>
        </w:tc>
        <w:tc>
          <w:tcPr>
            <w:tcW w:w="1559" w:type="dxa"/>
            <w:tcBorders>
              <w:top w:val="nil"/>
              <w:left w:val="nil"/>
              <w:bottom w:val="nil"/>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w:t>
            </w:r>
          </w:p>
        </w:tc>
        <w:tc>
          <w:tcPr>
            <w:tcW w:w="1532" w:type="dxa"/>
            <w:tcBorders>
              <w:top w:val="nil"/>
              <w:left w:val="nil"/>
              <w:bottom w:val="nil"/>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0.98</w:t>
            </w:r>
          </w:p>
        </w:tc>
        <w:tc>
          <w:tcPr>
            <w:tcW w:w="1498" w:type="dxa"/>
            <w:tcBorders>
              <w:top w:val="nil"/>
              <w:left w:val="nil"/>
              <w:bottom w:val="nil"/>
              <w:right w:val="single" w:sz="8" w:space="0" w:color="000000"/>
            </w:tcBorders>
            <w:shd w:val="clear" w:color="auto" w:fill="FFFFFF"/>
            <w:tcMar>
              <w:left w:w="0" w:type="dxa"/>
              <w:right w:w="0" w:type="dxa"/>
            </w:tcMar>
            <w:vAlign w:val="center"/>
          </w:tcPr>
          <w:p w:rsidR="0075548D" w:rsidRPr="007B566C" w:rsidRDefault="0075548D" w:rsidP="007D42CF">
            <w:pPr>
              <w:spacing w:after="0" w:line="240" w:lineRule="auto"/>
              <w:jc w:val="center"/>
              <w:rPr>
                <w:rStyle w:val="longtext"/>
                <w:rFonts w:ascii="Times New Roman" w:hAnsi="Times New Roman" w:cs="Times New Roman"/>
                <w:color w:val="000000"/>
                <w:sz w:val="20"/>
                <w:szCs w:val="20"/>
                <w:lang w:val="en-US"/>
              </w:rPr>
            </w:pPr>
            <w:r>
              <w:rPr>
                <w:rStyle w:val="longtext"/>
                <w:rFonts w:ascii="Times New Roman" w:hAnsi="Times New Roman" w:cs="Times New Roman"/>
                <w:color w:val="000000"/>
                <w:sz w:val="20"/>
                <w:szCs w:val="20"/>
                <w:lang w:val="en-US"/>
              </w:rPr>
              <w:t xml:space="preserve">                  </w:t>
            </w:r>
            <w:r w:rsidRPr="007B566C">
              <w:rPr>
                <w:rStyle w:val="longtext"/>
                <w:rFonts w:ascii="Times New Roman" w:hAnsi="Times New Roman" w:cs="Times New Roman"/>
                <w:color w:val="000000"/>
                <w:sz w:val="20"/>
                <w:szCs w:val="20"/>
                <w:lang w:val="en-US"/>
              </w:rPr>
              <w:t>0.191</w:t>
            </w:r>
          </w:p>
        </w:tc>
      </w:tr>
      <w:tr w:rsidR="0075548D" w:rsidRPr="007B566C" w:rsidTr="007D42CF">
        <w:trPr>
          <w:trHeight w:hRule="exact" w:val="284"/>
          <w:jc w:val="center"/>
        </w:trPr>
        <w:tc>
          <w:tcPr>
            <w:tcW w:w="1567" w:type="dxa"/>
            <w:tcBorders>
              <w:top w:val="nil"/>
              <w:left w:val="single" w:sz="8" w:space="0" w:color="000000"/>
              <w:bottom w:val="nil"/>
              <w:right w:val="single" w:sz="8" w:space="0" w:color="000000"/>
            </w:tcBorders>
            <w:shd w:val="clear" w:color="auto" w:fill="FFFFFF"/>
            <w:tcMar>
              <w:left w:w="0" w:type="dxa"/>
              <w:right w:w="0" w:type="dxa"/>
            </w:tcMar>
          </w:tcPr>
          <w:p w:rsidR="0075548D" w:rsidRPr="007B566C" w:rsidRDefault="0075548D" w:rsidP="007D42CF">
            <w:pPr>
              <w:spacing w:after="0" w:line="240" w:lineRule="auto"/>
              <w:jc w:val="both"/>
              <w:rPr>
                <w:rStyle w:val="longtext"/>
                <w:rFonts w:ascii="Times New Roman" w:eastAsia="Calibri" w:hAnsi="Times New Roman" w:cs="Times New Roman"/>
                <w:b/>
                <w:bCs/>
                <w:color w:val="000000"/>
                <w:sz w:val="20"/>
                <w:szCs w:val="20"/>
                <w:lang w:val="en-US"/>
              </w:rPr>
            </w:pPr>
            <w:r w:rsidRPr="007B566C">
              <w:rPr>
                <w:rStyle w:val="longtext"/>
                <w:rFonts w:ascii="Times New Roman" w:eastAsia="Calibri" w:hAnsi="Times New Roman" w:cs="Times New Roman"/>
                <w:b/>
                <w:bCs/>
                <w:color w:val="000000"/>
                <w:sz w:val="20"/>
                <w:szCs w:val="20"/>
                <w:lang w:val="en-US"/>
              </w:rPr>
              <w:t>ROA</w:t>
            </w:r>
          </w:p>
        </w:tc>
        <w:tc>
          <w:tcPr>
            <w:tcW w:w="1273" w:type="dxa"/>
            <w:tcBorders>
              <w:top w:val="nil"/>
              <w:left w:val="nil"/>
              <w:bottom w:val="nil"/>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0.066</w:t>
            </w:r>
          </w:p>
        </w:tc>
        <w:tc>
          <w:tcPr>
            <w:tcW w:w="1559" w:type="dxa"/>
            <w:tcBorders>
              <w:top w:val="nil"/>
              <w:left w:val="nil"/>
              <w:bottom w:val="nil"/>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-0.7</w:t>
            </w:r>
          </w:p>
        </w:tc>
        <w:tc>
          <w:tcPr>
            <w:tcW w:w="1532" w:type="dxa"/>
            <w:tcBorders>
              <w:top w:val="nil"/>
              <w:left w:val="nil"/>
              <w:bottom w:val="nil"/>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0.6</w:t>
            </w:r>
          </w:p>
        </w:tc>
        <w:tc>
          <w:tcPr>
            <w:tcW w:w="1498" w:type="dxa"/>
            <w:tcBorders>
              <w:top w:val="nil"/>
              <w:left w:val="nil"/>
              <w:bottom w:val="nil"/>
              <w:right w:val="single" w:sz="8" w:space="0" w:color="000000"/>
            </w:tcBorders>
            <w:shd w:val="clear" w:color="auto" w:fill="FFFFFF"/>
            <w:tcMar>
              <w:left w:w="0" w:type="dxa"/>
              <w:right w:w="0" w:type="dxa"/>
            </w:tcMar>
            <w:vAlign w:val="center"/>
          </w:tcPr>
          <w:p w:rsidR="0075548D" w:rsidRPr="007B566C" w:rsidRDefault="0075548D" w:rsidP="007D42CF">
            <w:pPr>
              <w:spacing w:after="0" w:line="240" w:lineRule="auto"/>
              <w:jc w:val="center"/>
              <w:rPr>
                <w:rStyle w:val="longtext"/>
                <w:rFonts w:ascii="Times New Roman" w:hAnsi="Times New Roman" w:cs="Times New Roman"/>
                <w:color w:val="000000"/>
                <w:sz w:val="20"/>
                <w:szCs w:val="20"/>
                <w:lang w:val="en-US"/>
              </w:rPr>
            </w:pPr>
            <w:r>
              <w:rPr>
                <w:rStyle w:val="longtext"/>
                <w:rFonts w:ascii="Times New Roman" w:hAnsi="Times New Roman" w:cs="Times New Roman"/>
                <w:color w:val="000000"/>
                <w:sz w:val="20"/>
                <w:szCs w:val="20"/>
                <w:lang w:val="en-US"/>
              </w:rPr>
              <w:t xml:space="preserve">                 </w:t>
            </w:r>
            <w:r w:rsidRPr="007B566C">
              <w:rPr>
                <w:rStyle w:val="longtext"/>
                <w:rFonts w:ascii="Times New Roman" w:hAnsi="Times New Roman" w:cs="Times New Roman"/>
                <w:color w:val="000000"/>
                <w:sz w:val="20"/>
                <w:szCs w:val="20"/>
                <w:lang w:val="en-US"/>
              </w:rPr>
              <w:t>0.0918</w:t>
            </w:r>
          </w:p>
        </w:tc>
      </w:tr>
      <w:tr w:rsidR="0075548D" w:rsidRPr="007B566C" w:rsidTr="007D42CF">
        <w:trPr>
          <w:trHeight w:hRule="exact" w:val="284"/>
          <w:jc w:val="center"/>
        </w:trPr>
        <w:tc>
          <w:tcPr>
            <w:tcW w:w="1567" w:type="dxa"/>
            <w:tcBorders>
              <w:top w:val="nil"/>
              <w:left w:val="single" w:sz="8" w:space="0" w:color="000000"/>
              <w:bottom w:val="single" w:sz="8" w:space="0" w:color="000000"/>
              <w:right w:val="single" w:sz="8" w:space="0" w:color="000000"/>
            </w:tcBorders>
            <w:shd w:val="clear" w:color="auto" w:fill="FFFFFF"/>
            <w:tcMar>
              <w:left w:w="0" w:type="dxa"/>
              <w:right w:w="0" w:type="dxa"/>
            </w:tcMar>
          </w:tcPr>
          <w:p w:rsidR="0075548D" w:rsidRPr="007B566C" w:rsidRDefault="0075548D" w:rsidP="007D42CF">
            <w:pPr>
              <w:spacing w:after="0" w:line="240" w:lineRule="auto"/>
              <w:jc w:val="both"/>
              <w:rPr>
                <w:rStyle w:val="longtext"/>
                <w:rFonts w:ascii="Times New Roman" w:eastAsia="Calibri" w:hAnsi="Times New Roman" w:cs="Times New Roman"/>
                <w:b/>
                <w:bCs/>
                <w:color w:val="000000"/>
                <w:sz w:val="20"/>
                <w:szCs w:val="20"/>
                <w:lang w:val="en-US"/>
              </w:rPr>
            </w:pPr>
            <w:r w:rsidRPr="007B566C">
              <w:rPr>
                <w:rStyle w:val="longtext"/>
                <w:rFonts w:ascii="Times New Roman" w:eastAsia="Calibri" w:hAnsi="Times New Roman" w:cs="Times New Roman"/>
                <w:b/>
                <w:bCs/>
                <w:color w:val="000000"/>
                <w:sz w:val="20"/>
                <w:szCs w:val="20"/>
                <w:lang w:val="en-US"/>
              </w:rPr>
              <w:t>Growth</w:t>
            </w:r>
          </w:p>
        </w:tc>
        <w:tc>
          <w:tcPr>
            <w:tcW w:w="1273" w:type="dxa"/>
            <w:tcBorders>
              <w:top w:val="nil"/>
              <w:left w:val="nil"/>
              <w:bottom w:val="single" w:sz="8" w:space="0" w:color="000000"/>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2.860</w:t>
            </w:r>
          </w:p>
        </w:tc>
        <w:tc>
          <w:tcPr>
            <w:tcW w:w="1559" w:type="dxa"/>
            <w:tcBorders>
              <w:top w:val="nil"/>
              <w:left w:val="nil"/>
              <w:bottom w:val="single" w:sz="8" w:space="0" w:color="000000"/>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color w:val="000000"/>
                <w:sz w:val="20"/>
                <w:szCs w:val="20"/>
                <w:lang w:val="en-US"/>
              </w:rPr>
            </w:pPr>
            <w:r w:rsidRPr="007B566C">
              <w:rPr>
                <w:rStyle w:val="longtext"/>
                <w:rFonts w:ascii="Times New Roman" w:hAnsi="Times New Roman" w:cs="Times New Roman"/>
                <w:color w:val="000000"/>
                <w:sz w:val="20"/>
                <w:szCs w:val="20"/>
                <w:lang w:val="en-US"/>
              </w:rPr>
              <w:t>0.180</w:t>
            </w:r>
          </w:p>
        </w:tc>
        <w:tc>
          <w:tcPr>
            <w:tcW w:w="1532" w:type="dxa"/>
            <w:tcBorders>
              <w:top w:val="nil"/>
              <w:left w:val="nil"/>
              <w:bottom w:val="single" w:sz="8" w:space="0" w:color="000000"/>
              <w:right w:val="nil"/>
            </w:tcBorders>
            <w:shd w:val="clear" w:color="auto" w:fill="FFFFFF"/>
            <w:tcMar>
              <w:left w:w="0" w:type="dxa"/>
              <w:right w:w="0" w:type="dxa"/>
            </w:tcMar>
            <w:vAlign w:val="center"/>
          </w:tcPr>
          <w:p w:rsidR="0075548D" w:rsidRPr="007B566C" w:rsidRDefault="0075548D" w:rsidP="007D42CF">
            <w:pPr>
              <w:spacing w:after="0" w:line="240" w:lineRule="auto"/>
              <w:jc w:val="right"/>
              <w:rPr>
                <w:rStyle w:val="longtext"/>
                <w:rFonts w:ascii="Times New Roman" w:hAnsi="Times New Roman" w:cs="Times New Roman"/>
                <w:sz w:val="20"/>
                <w:szCs w:val="20"/>
                <w:lang w:val="en-US"/>
              </w:rPr>
            </w:pPr>
            <w:r w:rsidRPr="007B566C">
              <w:rPr>
                <w:rStyle w:val="longtext"/>
                <w:rFonts w:ascii="Times New Roman" w:hAnsi="Times New Roman" w:cs="Times New Roman"/>
                <w:sz w:val="20"/>
                <w:szCs w:val="20"/>
                <w:lang w:val="en-US"/>
              </w:rPr>
              <w:t>12.87</w:t>
            </w:r>
          </w:p>
        </w:tc>
        <w:tc>
          <w:tcPr>
            <w:tcW w:w="1498" w:type="dxa"/>
            <w:tcBorders>
              <w:top w:val="nil"/>
              <w:left w:val="nil"/>
              <w:bottom w:val="single" w:sz="8" w:space="0" w:color="000000"/>
              <w:right w:val="single" w:sz="8" w:space="0" w:color="000000"/>
            </w:tcBorders>
            <w:shd w:val="clear" w:color="auto" w:fill="FFFFFF"/>
            <w:tcMar>
              <w:left w:w="0" w:type="dxa"/>
              <w:right w:w="0" w:type="dxa"/>
            </w:tcMar>
            <w:vAlign w:val="center"/>
          </w:tcPr>
          <w:p w:rsidR="0075548D" w:rsidRPr="007B566C" w:rsidRDefault="0075548D" w:rsidP="007D42CF">
            <w:pPr>
              <w:spacing w:after="0" w:line="240" w:lineRule="auto"/>
              <w:jc w:val="center"/>
              <w:rPr>
                <w:rStyle w:val="longtext"/>
                <w:rFonts w:ascii="Times New Roman" w:hAnsi="Times New Roman" w:cs="Times New Roman"/>
                <w:color w:val="000000"/>
                <w:sz w:val="20"/>
                <w:szCs w:val="20"/>
                <w:lang w:val="en-US"/>
              </w:rPr>
            </w:pPr>
            <w:r>
              <w:rPr>
                <w:rStyle w:val="longtext"/>
                <w:rFonts w:ascii="Times New Roman" w:hAnsi="Times New Roman" w:cs="Times New Roman"/>
                <w:color w:val="000000"/>
                <w:sz w:val="20"/>
                <w:szCs w:val="20"/>
                <w:lang w:val="en-US"/>
              </w:rPr>
              <w:t xml:space="preserve">                   </w:t>
            </w:r>
            <w:r w:rsidRPr="007B566C">
              <w:rPr>
                <w:rStyle w:val="longtext"/>
                <w:rFonts w:ascii="Times New Roman" w:hAnsi="Times New Roman" w:cs="Times New Roman"/>
                <w:color w:val="000000"/>
                <w:sz w:val="20"/>
                <w:szCs w:val="20"/>
                <w:lang w:val="en-US"/>
              </w:rPr>
              <w:t>3.619</w:t>
            </w:r>
          </w:p>
        </w:tc>
      </w:tr>
    </w:tbl>
    <w:p w:rsidR="0075548D" w:rsidRDefault="0075548D" w:rsidP="0075548D">
      <w:pPr>
        <w:pStyle w:val="ListParagraph"/>
        <w:widowControl w:val="0"/>
        <w:autoSpaceDE w:val="0"/>
        <w:autoSpaceDN w:val="0"/>
        <w:adjustRightInd w:val="0"/>
        <w:spacing w:after="0" w:line="240" w:lineRule="auto"/>
        <w:ind w:left="0"/>
        <w:contextualSpacing w:val="0"/>
        <w:jc w:val="both"/>
        <w:rPr>
          <w:rFonts w:asciiTheme="majorBidi" w:hAnsiTheme="majorBidi" w:cstheme="majorBidi"/>
          <w:sz w:val="20"/>
          <w:szCs w:val="20"/>
          <w:lang w:val="en-US"/>
        </w:rPr>
      </w:pPr>
    </w:p>
    <w:p w:rsidR="0075548D" w:rsidRDefault="0075548D" w:rsidP="00FD39E4">
      <w:pPr>
        <w:pStyle w:val="ListParagraph"/>
        <w:widowControl w:val="0"/>
        <w:spacing w:after="0" w:line="240" w:lineRule="auto"/>
        <w:ind w:left="0"/>
        <w:contextualSpacing w:val="0"/>
        <w:jc w:val="both"/>
        <w:rPr>
          <w:rFonts w:asciiTheme="majorBidi" w:hAnsiTheme="majorBidi" w:cstheme="majorBidi"/>
          <w:sz w:val="20"/>
          <w:szCs w:val="20"/>
          <w:lang w:val="en-US"/>
        </w:rPr>
      </w:pPr>
    </w:p>
    <w:p w:rsidR="0075548D" w:rsidRPr="007B566C" w:rsidRDefault="0075548D" w:rsidP="0075548D">
      <w:pPr>
        <w:pStyle w:val="ListParagraph"/>
        <w:widowControl w:val="0"/>
        <w:autoSpaceDE w:val="0"/>
        <w:autoSpaceDN w:val="0"/>
        <w:adjustRightInd w:val="0"/>
        <w:spacing w:after="0" w:line="240" w:lineRule="auto"/>
        <w:ind w:left="0" w:firstLine="709"/>
        <w:contextualSpacing w:val="0"/>
        <w:jc w:val="both"/>
        <w:rPr>
          <w:rFonts w:asciiTheme="majorBidi" w:hAnsiTheme="majorBidi" w:cstheme="majorBidi"/>
          <w:color w:val="FF0000"/>
          <w:sz w:val="20"/>
          <w:szCs w:val="20"/>
          <w:lang w:val="en-US"/>
        </w:rPr>
      </w:pPr>
      <w:r w:rsidRPr="007B566C">
        <w:rPr>
          <w:rFonts w:asciiTheme="majorBidi" w:hAnsiTheme="majorBidi" w:cstheme="majorBidi"/>
          <w:sz w:val="20"/>
          <w:szCs w:val="20"/>
          <w:lang w:val="en-US"/>
        </w:rPr>
        <w:t>Table 2 presents the Pearson correlation coefficients</w:t>
      </w:r>
      <w:r w:rsidRPr="007B566C">
        <w:rPr>
          <w:rFonts w:asciiTheme="majorBidi" w:hAnsiTheme="majorBidi" w:cstheme="majorBidi"/>
          <w:color w:val="000000"/>
          <w:sz w:val="20"/>
          <w:szCs w:val="20"/>
          <w:lang w:val="en-US"/>
        </w:rPr>
        <w:t xml:space="preserve"> of variables used in the analysis.</w:t>
      </w:r>
      <w:r w:rsidRPr="007B566C">
        <w:rPr>
          <w:rFonts w:asciiTheme="majorBidi" w:hAnsiTheme="majorBidi" w:cstheme="majorBidi"/>
          <w:color w:val="FF0000"/>
          <w:sz w:val="20"/>
          <w:szCs w:val="20"/>
          <w:lang w:val="en-US"/>
        </w:rPr>
        <w:t xml:space="preserve"> </w:t>
      </w:r>
      <w:r w:rsidRPr="007B566C">
        <w:rPr>
          <w:rFonts w:asciiTheme="majorBidi" w:hAnsiTheme="majorBidi" w:cstheme="majorBidi"/>
          <w:color w:val="000000"/>
          <w:sz w:val="20"/>
          <w:szCs w:val="20"/>
          <w:lang w:val="en-US"/>
        </w:rPr>
        <w:t xml:space="preserve">The results show a </w:t>
      </w:r>
      <w:r w:rsidRPr="007B566C">
        <w:rPr>
          <w:rFonts w:asciiTheme="majorBidi" w:hAnsiTheme="majorBidi" w:cstheme="majorBidi"/>
          <w:sz w:val="20"/>
          <w:szCs w:val="20"/>
          <w:lang w:val="en-US"/>
        </w:rPr>
        <w:t>significant negative relationship</w:t>
      </w:r>
      <w:r w:rsidRPr="007B566C">
        <w:rPr>
          <w:rFonts w:asciiTheme="majorBidi" w:hAnsiTheme="majorBidi" w:cstheme="majorBidi"/>
          <w:color w:val="000000"/>
          <w:sz w:val="20"/>
          <w:szCs w:val="20"/>
          <w:lang w:val="en-US"/>
        </w:rPr>
        <w:t xml:space="preserve"> between the related party transactions and the dividend payout ratio. Such results reveal that the dividend payout ratio decreases with the level of private benefits of control, as stipulated by the study of </w:t>
      </w:r>
      <w:proofErr w:type="spellStart"/>
      <w:r>
        <w:rPr>
          <w:rFonts w:asciiTheme="majorBidi" w:hAnsiTheme="majorBidi" w:cstheme="majorBidi"/>
          <w:sz w:val="20"/>
          <w:szCs w:val="20"/>
          <w:lang w:val="en-US"/>
        </w:rPr>
        <w:t>Gugler</w:t>
      </w:r>
      <w:proofErr w:type="spellEnd"/>
      <w:r>
        <w:rPr>
          <w:rFonts w:asciiTheme="majorBidi" w:hAnsiTheme="majorBidi" w:cstheme="majorBidi"/>
          <w:sz w:val="20"/>
          <w:szCs w:val="20"/>
          <w:lang w:val="en-US"/>
        </w:rPr>
        <w:t xml:space="preserve"> and </w:t>
      </w:r>
      <w:proofErr w:type="spellStart"/>
      <w:r>
        <w:rPr>
          <w:rFonts w:asciiTheme="majorBidi" w:hAnsiTheme="majorBidi" w:cstheme="majorBidi"/>
          <w:sz w:val="20"/>
          <w:szCs w:val="20"/>
          <w:lang w:val="en-US"/>
        </w:rPr>
        <w:t>Yurtoglu</w:t>
      </w:r>
      <w:proofErr w:type="spellEnd"/>
      <w:r>
        <w:rPr>
          <w:rFonts w:asciiTheme="majorBidi" w:hAnsiTheme="majorBidi" w:cstheme="majorBidi"/>
          <w:sz w:val="20"/>
          <w:szCs w:val="20"/>
          <w:lang w:val="en-US"/>
        </w:rPr>
        <w:t xml:space="preserve"> (</w:t>
      </w:r>
      <w:r w:rsidRPr="007B566C">
        <w:rPr>
          <w:rFonts w:asciiTheme="majorBidi" w:hAnsiTheme="majorBidi" w:cstheme="majorBidi"/>
          <w:sz w:val="20"/>
          <w:szCs w:val="20"/>
          <w:lang w:val="en-US"/>
        </w:rPr>
        <w:t>2003).</w:t>
      </w:r>
      <w:r>
        <w:rPr>
          <w:rFonts w:asciiTheme="majorBidi" w:hAnsiTheme="majorBidi" w:cstheme="majorBidi"/>
          <w:sz w:val="20"/>
          <w:szCs w:val="20"/>
          <w:lang w:val="en-US"/>
        </w:rPr>
        <w:t xml:space="preserve"> </w:t>
      </w:r>
      <w:r w:rsidRPr="007B566C">
        <w:rPr>
          <w:rFonts w:asciiTheme="majorBidi" w:hAnsiTheme="majorBidi" w:cstheme="majorBidi"/>
          <w:sz w:val="20"/>
          <w:szCs w:val="20"/>
          <w:lang w:val="en-US"/>
        </w:rPr>
        <w:t xml:space="preserve">Such result provides the </w:t>
      </w:r>
      <w:proofErr w:type="spellStart"/>
      <w:r w:rsidRPr="007B566C">
        <w:rPr>
          <w:rFonts w:asciiTheme="majorBidi" w:hAnsiTheme="majorBidi" w:cstheme="majorBidi"/>
          <w:sz w:val="20"/>
          <w:szCs w:val="20"/>
          <w:lang w:val="en-US"/>
        </w:rPr>
        <w:t>univariate</w:t>
      </w:r>
      <w:proofErr w:type="spellEnd"/>
      <w:r w:rsidRPr="007B566C">
        <w:rPr>
          <w:rFonts w:asciiTheme="majorBidi" w:hAnsiTheme="majorBidi" w:cstheme="majorBidi"/>
          <w:sz w:val="20"/>
          <w:szCs w:val="20"/>
          <w:lang w:val="en-US"/>
        </w:rPr>
        <w:t xml:space="preserve"> support for their importance.</w:t>
      </w:r>
      <w:r w:rsidRPr="007B566C">
        <w:rPr>
          <w:rFonts w:asciiTheme="majorBidi" w:hAnsiTheme="majorBidi" w:cstheme="majorBidi"/>
          <w:color w:val="FF0000"/>
          <w:sz w:val="20"/>
          <w:szCs w:val="20"/>
          <w:lang w:val="en-US"/>
        </w:rPr>
        <w:t xml:space="preserve"> </w:t>
      </w:r>
      <w:r w:rsidRPr="007B566C">
        <w:rPr>
          <w:rFonts w:asciiTheme="majorBidi" w:hAnsiTheme="majorBidi" w:cstheme="majorBidi"/>
          <w:color w:val="000000"/>
          <w:sz w:val="20"/>
          <w:szCs w:val="20"/>
          <w:lang w:val="en-US"/>
        </w:rPr>
        <w:t xml:space="preserve">This study </w:t>
      </w:r>
      <w:r w:rsidRPr="007B566C">
        <w:rPr>
          <w:rFonts w:asciiTheme="majorBidi" w:hAnsiTheme="majorBidi" w:cstheme="majorBidi"/>
          <w:color w:val="000000"/>
          <w:sz w:val="20"/>
          <w:szCs w:val="20"/>
          <w:lang w:val="en-US"/>
        </w:rPr>
        <w:lastRenderedPageBreak/>
        <w:t xml:space="preserve">stipulates that firms with high levels of private benefits of control are likely </w:t>
      </w:r>
      <w:r w:rsidRPr="007B566C">
        <w:rPr>
          <w:rFonts w:asciiTheme="majorBidi" w:eastAsia="Calibri" w:hAnsiTheme="majorBidi" w:cstheme="majorBidi"/>
          <w:sz w:val="20"/>
          <w:szCs w:val="20"/>
          <w:lang w:val="en-US"/>
        </w:rPr>
        <w:t>to distribute lower dividend</w:t>
      </w:r>
      <w:r w:rsidRPr="007B566C">
        <w:rPr>
          <w:rFonts w:asciiTheme="majorBidi" w:hAnsiTheme="majorBidi" w:cstheme="majorBidi"/>
          <w:color w:val="000000"/>
          <w:sz w:val="20"/>
          <w:szCs w:val="20"/>
          <w:lang w:val="en-US"/>
        </w:rPr>
        <w:t xml:space="preserve">. Table 2 points as well a positive correlation between </w:t>
      </w:r>
      <w:r w:rsidRPr="007B566C">
        <w:rPr>
          <w:rFonts w:ascii="TimesNewRomanPSMT" w:hAnsi="TimesNewRomanPSMT"/>
          <w:color w:val="000000"/>
          <w:sz w:val="20"/>
          <w:szCs w:val="20"/>
          <w:lang w:val="en-US"/>
        </w:rPr>
        <w:t xml:space="preserve">profitability and the payout ratio. Such results reveal that the payout ratio increases with profitability, </w:t>
      </w:r>
      <w:r>
        <w:rPr>
          <w:rFonts w:ascii="TimesNewRomanPSMT" w:hAnsi="TimesNewRomanPSMT"/>
          <w:color w:val="000000"/>
          <w:sz w:val="20"/>
          <w:szCs w:val="20"/>
          <w:lang w:val="en-US"/>
        </w:rPr>
        <w:t xml:space="preserve">which is in line with the findings of the study </w:t>
      </w:r>
      <w:r w:rsidRPr="007B566C">
        <w:rPr>
          <w:rFonts w:ascii="TimesNewRomanPSMT" w:hAnsi="TimesNewRomanPSMT"/>
          <w:color w:val="000000"/>
          <w:sz w:val="20"/>
          <w:szCs w:val="20"/>
          <w:lang w:val="en-US"/>
        </w:rPr>
        <w:t xml:space="preserve">of </w:t>
      </w:r>
      <w:r w:rsidRPr="007B566C">
        <w:rPr>
          <w:rFonts w:asciiTheme="majorBidi" w:hAnsiTheme="majorBidi" w:cstheme="majorBidi"/>
          <w:sz w:val="20"/>
          <w:szCs w:val="20"/>
          <w:lang w:val="en-US"/>
        </w:rPr>
        <w:t>Truong and Heaney (2007)</w:t>
      </w:r>
      <w:r w:rsidRPr="007B566C">
        <w:rPr>
          <w:rFonts w:ascii="TimesNewRomanPSMT" w:hAnsi="TimesNewRomanPSMT"/>
          <w:color w:val="000000"/>
          <w:sz w:val="20"/>
          <w:szCs w:val="20"/>
          <w:lang w:val="en-US"/>
        </w:rPr>
        <w:t xml:space="preserve">. However, the correlation between the dividend payout ratio and debt ratio is significantly negative. </w:t>
      </w:r>
    </w:p>
    <w:p w:rsidR="0075548D" w:rsidRDefault="0075548D" w:rsidP="00FD39E4">
      <w:pPr>
        <w:pStyle w:val="ListParagraph"/>
        <w:widowControl w:val="0"/>
        <w:spacing w:after="0" w:line="240" w:lineRule="auto"/>
        <w:ind w:left="0"/>
        <w:contextualSpacing w:val="0"/>
        <w:jc w:val="both"/>
        <w:rPr>
          <w:rFonts w:asciiTheme="majorBidi" w:hAnsiTheme="majorBidi" w:cstheme="majorBidi"/>
          <w:sz w:val="20"/>
          <w:szCs w:val="20"/>
          <w:lang w:val="en-US"/>
        </w:rPr>
      </w:pPr>
    </w:p>
    <w:tbl>
      <w:tblPr>
        <w:tblW w:w="9119" w:type="dxa"/>
        <w:jc w:val="center"/>
        <w:tblBorders>
          <w:top w:val="single" w:sz="8" w:space="0" w:color="000000"/>
          <w:bottom w:val="single" w:sz="8" w:space="0" w:color="000000"/>
        </w:tblBorders>
        <w:tblLook w:val="04A0"/>
      </w:tblPr>
      <w:tblGrid>
        <w:gridCol w:w="687"/>
        <w:gridCol w:w="1447"/>
        <w:gridCol w:w="1017"/>
        <w:gridCol w:w="1127"/>
        <w:gridCol w:w="1105"/>
        <w:gridCol w:w="1105"/>
        <w:gridCol w:w="1137"/>
        <w:gridCol w:w="1494"/>
      </w:tblGrid>
      <w:tr w:rsidR="007A3EE5" w:rsidRPr="007B566C" w:rsidTr="007A3EE5">
        <w:trPr>
          <w:trHeight w:hRule="exact" w:val="284"/>
          <w:jc w:val="center"/>
        </w:trPr>
        <w:tc>
          <w:tcPr>
            <w:tcW w:w="9119" w:type="dxa"/>
            <w:gridSpan w:val="8"/>
            <w:tcBorders>
              <w:top w:val="nil"/>
              <w:left w:val="nil"/>
              <w:bottom w:val="single" w:sz="4" w:space="0" w:color="auto"/>
              <w:right w:val="nil"/>
            </w:tcBorders>
            <w:shd w:val="clear" w:color="auto" w:fill="auto"/>
            <w:tcMar>
              <w:left w:w="0" w:type="dxa"/>
              <w:right w:w="0" w:type="dxa"/>
            </w:tcMar>
          </w:tcPr>
          <w:p w:rsidR="007A3EE5" w:rsidRPr="007A3EE5" w:rsidRDefault="007A3EE5" w:rsidP="00117AEE">
            <w:pPr>
              <w:spacing w:after="0" w:line="240" w:lineRule="auto"/>
              <w:jc w:val="center"/>
              <w:rPr>
                <w:rFonts w:asciiTheme="majorBidi" w:hAnsiTheme="majorBidi" w:cstheme="majorBidi"/>
                <w:b/>
                <w:bCs/>
                <w:color w:val="000000"/>
                <w:sz w:val="20"/>
                <w:szCs w:val="20"/>
                <w:lang w:val="en-US"/>
              </w:rPr>
            </w:pPr>
            <w:r w:rsidRPr="007B566C">
              <w:rPr>
                <w:rFonts w:asciiTheme="majorBidi" w:hAnsiTheme="majorBidi" w:cstheme="majorBidi"/>
                <w:b/>
                <w:bCs/>
                <w:color w:val="000000"/>
                <w:sz w:val="20"/>
                <w:szCs w:val="20"/>
                <w:lang w:val="en-US"/>
              </w:rPr>
              <w:t xml:space="preserve">Table 2. </w:t>
            </w:r>
            <w:proofErr w:type="spellStart"/>
            <w:r w:rsidRPr="007B566C">
              <w:rPr>
                <w:rFonts w:asciiTheme="majorBidi" w:hAnsiTheme="majorBidi" w:cstheme="majorBidi"/>
                <w:b/>
                <w:bCs/>
                <w:color w:val="000000"/>
                <w:sz w:val="20"/>
                <w:szCs w:val="20"/>
                <w:lang w:val="en-US"/>
              </w:rPr>
              <w:t>Pairewise</w:t>
            </w:r>
            <w:proofErr w:type="spellEnd"/>
            <w:r w:rsidRPr="007B566C">
              <w:rPr>
                <w:rFonts w:asciiTheme="majorBidi" w:hAnsiTheme="majorBidi" w:cstheme="majorBidi"/>
                <w:b/>
                <w:bCs/>
                <w:color w:val="000000"/>
                <w:sz w:val="20"/>
                <w:szCs w:val="20"/>
                <w:lang w:val="en-US"/>
              </w:rPr>
              <w:t xml:space="preserve"> correlation</w:t>
            </w:r>
          </w:p>
        </w:tc>
      </w:tr>
      <w:tr w:rsidR="007A3EE5" w:rsidRPr="007B566C" w:rsidTr="007A3EE5">
        <w:trPr>
          <w:trHeight w:hRule="exact" w:val="284"/>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color w:val="000000"/>
                <w:sz w:val="20"/>
                <w:szCs w:val="20"/>
                <w:lang w:val="en-US"/>
              </w:rPr>
            </w:pPr>
          </w:p>
        </w:tc>
        <w:tc>
          <w:tcPr>
            <w:tcW w:w="1447" w:type="dxa"/>
            <w:tcBorders>
              <w:top w:val="single" w:sz="4" w:space="0" w:color="auto"/>
              <w:left w:val="single" w:sz="8" w:space="0" w:color="000000"/>
              <w:bottom w:val="single" w:sz="8" w:space="0" w:color="000000"/>
              <w:right w:val="nil"/>
            </w:tcBorders>
            <w:shd w:val="clear" w:color="auto" w:fill="auto"/>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color w:val="000000"/>
                <w:sz w:val="20"/>
                <w:szCs w:val="20"/>
                <w:lang w:val="en-GB"/>
              </w:rPr>
            </w:pPr>
            <w:r w:rsidRPr="007B566C">
              <w:rPr>
                <w:rFonts w:ascii="Times New Roman" w:eastAsia="Calibri" w:hAnsi="Times New Roman" w:cs="Times New Roman"/>
                <w:b/>
                <w:bCs/>
                <w:color w:val="000000"/>
                <w:sz w:val="20"/>
                <w:szCs w:val="20"/>
                <w:lang w:val="en-GB"/>
              </w:rPr>
              <w:t>DPR</w:t>
            </w:r>
          </w:p>
        </w:tc>
        <w:tc>
          <w:tcPr>
            <w:tcW w:w="1017" w:type="dxa"/>
            <w:tcBorders>
              <w:top w:val="single" w:sz="4" w:space="0" w:color="auto"/>
              <w:left w:val="nil"/>
              <w:bottom w:val="single" w:sz="8" w:space="0" w:color="000000"/>
              <w:right w:val="nil"/>
            </w:tcBorders>
            <w:shd w:val="clear" w:color="auto" w:fill="auto"/>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color w:val="000000"/>
                <w:sz w:val="20"/>
                <w:szCs w:val="20"/>
                <w:lang w:val="en-GB"/>
              </w:rPr>
            </w:pPr>
            <w:r w:rsidRPr="007B566C">
              <w:rPr>
                <w:rFonts w:ascii="Times New Roman" w:eastAsia="Calibri" w:hAnsi="Times New Roman" w:cs="Times New Roman"/>
                <w:b/>
                <w:bCs/>
                <w:color w:val="000000"/>
                <w:sz w:val="20"/>
                <w:szCs w:val="20"/>
                <w:lang w:val="en-GB"/>
              </w:rPr>
              <w:t>RPT</w:t>
            </w:r>
          </w:p>
        </w:tc>
        <w:tc>
          <w:tcPr>
            <w:tcW w:w="0" w:type="auto"/>
            <w:tcBorders>
              <w:top w:val="single" w:sz="4" w:space="0" w:color="auto"/>
              <w:left w:val="nil"/>
              <w:bottom w:val="single" w:sz="8" w:space="0" w:color="000000"/>
              <w:right w:val="nil"/>
            </w:tcBorders>
            <w:shd w:val="clear" w:color="auto" w:fill="auto"/>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color w:val="000000"/>
                <w:sz w:val="20"/>
                <w:szCs w:val="20"/>
                <w:lang w:val="en-GB"/>
              </w:rPr>
            </w:pPr>
            <w:r w:rsidRPr="007B566C">
              <w:rPr>
                <w:rFonts w:ascii="Times New Roman" w:eastAsia="Calibri" w:hAnsi="Times New Roman" w:cs="Times New Roman"/>
                <w:b/>
                <w:bCs/>
                <w:color w:val="000000"/>
                <w:sz w:val="20"/>
                <w:szCs w:val="20"/>
                <w:lang w:val="en-GB"/>
              </w:rPr>
              <w:t>LEV</w:t>
            </w:r>
          </w:p>
        </w:tc>
        <w:tc>
          <w:tcPr>
            <w:tcW w:w="0" w:type="auto"/>
            <w:tcBorders>
              <w:top w:val="single" w:sz="4" w:space="0" w:color="auto"/>
              <w:left w:val="nil"/>
              <w:bottom w:val="single" w:sz="8" w:space="0" w:color="000000"/>
              <w:right w:val="nil"/>
            </w:tcBorders>
            <w:shd w:val="clear" w:color="auto" w:fill="auto"/>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color w:val="000000"/>
                <w:sz w:val="20"/>
                <w:szCs w:val="20"/>
                <w:lang w:val="en-GB"/>
              </w:rPr>
            </w:pPr>
            <w:r w:rsidRPr="007B566C">
              <w:rPr>
                <w:rFonts w:ascii="Times New Roman" w:eastAsia="Calibri" w:hAnsi="Times New Roman" w:cs="Times New Roman"/>
                <w:b/>
                <w:bCs/>
                <w:color w:val="000000"/>
                <w:sz w:val="20"/>
                <w:szCs w:val="20"/>
                <w:lang w:val="en-GB"/>
              </w:rPr>
              <w:t>CONC</w:t>
            </w:r>
          </w:p>
        </w:tc>
        <w:tc>
          <w:tcPr>
            <w:tcW w:w="0" w:type="auto"/>
            <w:tcBorders>
              <w:top w:val="single" w:sz="4" w:space="0" w:color="auto"/>
              <w:left w:val="nil"/>
              <w:bottom w:val="single" w:sz="8" w:space="0" w:color="000000"/>
              <w:right w:val="nil"/>
            </w:tcBorders>
            <w:shd w:val="clear" w:color="auto" w:fill="auto"/>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color w:val="000000"/>
                <w:sz w:val="20"/>
                <w:szCs w:val="20"/>
                <w:lang w:val="en-GB"/>
              </w:rPr>
            </w:pPr>
            <w:r w:rsidRPr="007B566C">
              <w:rPr>
                <w:rFonts w:ascii="Times New Roman" w:eastAsia="Calibri" w:hAnsi="Times New Roman" w:cs="Times New Roman"/>
                <w:b/>
                <w:bCs/>
                <w:color w:val="000000"/>
                <w:sz w:val="20"/>
                <w:szCs w:val="20"/>
                <w:lang w:val="en-GB"/>
              </w:rPr>
              <w:t>SIZE</w:t>
            </w:r>
          </w:p>
        </w:tc>
        <w:tc>
          <w:tcPr>
            <w:tcW w:w="0" w:type="auto"/>
            <w:tcBorders>
              <w:top w:val="single" w:sz="4" w:space="0" w:color="auto"/>
              <w:left w:val="nil"/>
              <w:bottom w:val="single" w:sz="8" w:space="0" w:color="000000"/>
              <w:right w:val="nil"/>
            </w:tcBorders>
            <w:shd w:val="clear" w:color="auto" w:fill="auto"/>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color w:val="000000"/>
                <w:sz w:val="20"/>
                <w:szCs w:val="20"/>
                <w:lang w:val="en-GB"/>
              </w:rPr>
            </w:pPr>
            <w:r w:rsidRPr="007B566C">
              <w:rPr>
                <w:rFonts w:ascii="Times New Roman" w:eastAsia="Calibri" w:hAnsi="Times New Roman" w:cs="Times New Roman"/>
                <w:b/>
                <w:bCs/>
                <w:color w:val="000000"/>
                <w:sz w:val="20"/>
                <w:szCs w:val="20"/>
                <w:lang w:val="en-GB"/>
              </w:rPr>
              <w:t>Growth</w:t>
            </w:r>
          </w:p>
        </w:tc>
        <w:tc>
          <w:tcPr>
            <w:tcW w:w="1494" w:type="dxa"/>
            <w:tcBorders>
              <w:top w:val="single" w:sz="4" w:space="0" w:color="auto"/>
              <w:left w:val="nil"/>
              <w:bottom w:val="single" w:sz="8" w:space="0" w:color="000000"/>
              <w:right w:val="single" w:sz="8" w:space="0" w:color="000000"/>
            </w:tcBorders>
            <w:shd w:val="clear" w:color="auto" w:fill="auto"/>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color w:val="000000"/>
                <w:sz w:val="20"/>
                <w:szCs w:val="20"/>
                <w:lang w:val="en-GB"/>
              </w:rPr>
            </w:pPr>
            <w:r w:rsidRPr="007B566C">
              <w:rPr>
                <w:rFonts w:ascii="Times New Roman" w:eastAsia="Calibri" w:hAnsi="Times New Roman" w:cs="Times New Roman"/>
                <w:b/>
                <w:bCs/>
                <w:color w:val="000000"/>
                <w:sz w:val="20"/>
                <w:szCs w:val="20"/>
                <w:lang w:val="en-GB"/>
              </w:rPr>
              <w:t>ROA</w:t>
            </w:r>
            <w:r>
              <w:rPr>
                <w:rFonts w:ascii="Times New Roman" w:eastAsia="Calibri" w:hAnsi="Times New Roman" w:cs="Times New Roman"/>
                <w:b/>
                <w:bCs/>
                <w:color w:val="000000"/>
                <w:sz w:val="20"/>
                <w:szCs w:val="20"/>
                <w:lang w:val="en-GB"/>
              </w:rPr>
              <w:t xml:space="preserve">     TANG</w:t>
            </w:r>
          </w:p>
        </w:tc>
      </w:tr>
      <w:tr w:rsidR="007A3EE5" w:rsidRPr="007B566C" w:rsidTr="007A3EE5">
        <w:trPr>
          <w:trHeight w:val="148"/>
          <w:jc w:val="center"/>
        </w:trPr>
        <w:tc>
          <w:tcPr>
            <w:tcW w:w="0" w:type="auto"/>
            <w:tcBorders>
              <w:top w:val="single" w:sz="8" w:space="0" w:color="000000"/>
              <w:left w:val="single" w:sz="8" w:space="0" w:color="000000"/>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sz w:val="20"/>
                <w:szCs w:val="20"/>
                <w:lang w:val="en-GB"/>
              </w:rPr>
            </w:pPr>
            <w:r w:rsidRPr="007B566C">
              <w:rPr>
                <w:rFonts w:ascii="Times New Roman" w:eastAsia="Calibri" w:hAnsi="Times New Roman" w:cs="Times New Roman"/>
                <w:b/>
                <w:bCs/>
                <w:sz w:val="20"/>
                <w:szCs w:val="20"/>
                <w:lang w:val="en-GB"/>
              </w:rPr>
              <w:t>DPR</w:t>
            </w:r>
          </w:p>
        </w:tc>
        <w:tc>
          <w:tcPr>
            <w:tcW w:w="1447" w:type="dxa"/>
            <w:tcBorders>
              <w:top w:val="single" w:sz="8" w:space="0" w:color="000000"/>
              <w:left w:val="single" w:sz="8" w:space="0" w:color="000000"/>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r w:rsidRPr="007B566C">
              <w:rPr>
                <w:rFonts w:ascii="Times New Roman" w:eastAsia="Calibri" w:hAnsi="Times New Roman" w:cs="Times New Roman"/>
                <w:sz w:val="20"/>
                <w:szCs w:val="20"/>
                <w:lang w:val="en-GB"/>
              </w:rPr>
              <w:t>1.000</w:t>
            </w:r>
          </w:p>
        </w:tc>
        <w:tc>
          <w:tcPr>
            <w:tcW w:w="1017" w:type="dxa"/>
            <w:tcBorders>
              <w:top w:val="single" w:sz="8" w:space="0" w:color="000000"/>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p>
        </w:tc>
        <w:tc>
          <w:tcPr>
            <w:tcW w:w="0" w:type="auto"/>
            <w:tcBorders>
              <w:top w:val="single" w:sz="8" w:space="0" w:color="000000"/>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p>
        </w:tc>
        <w:tc>
          <w:tcPr>
            <w:tcW w:w="0" w:type="auto"/>
            <w:tcBorders>
              <w:top w:val="single" w:sz="8" w:space="0" w:color="000000"/>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p>
        </w:tc>
        <w:tc>
          <w:tcPr>
            <w:tcW w:w="0" w:type="auto"/>
            <w:tcBorders>
              <w:top w:val="single" w:sz="8" w:space="0" w:color="000000"/>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p>
        </w:tc>
        <w:tc>
          <w:tcPr>
            <w:tcW w:w="0" w:type="auto"/>
            <w:tcBorders>
              <w:top w:val="single" w:sz="8" w:space="0" w:color="000000"/>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p>
        </w:tc>
        <w:tc>
          <w:tcPr>
            <w:tcW w:w="1494" w:type="dxa"/>
            <w:tcBorders>
              <w:top w:val="single" w:sz="8" w:space="0" w:color="000000"/>
              <w:left w:val="nil"/>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p>
        </w:tc>
      </w:tr>
      <w:tr w:rsidR="007A3EE5" w:rsidRPr="007B566C" w:rsidTr="007A3EE5">
        <w:trPr>
          <w:trHeight w:val="187"/>
          <w:jc w:val="center"/>
        </w:trPr>
        <w:tc>
          <w:tcPr>
            <w:tcW w:w="0" w:type="auto"/>
            <w:tcBorders>
              <w:top w:val="nil"/>
              <w:left w:val="single" w:sz="8" w:space="0" w:color="000000"/>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sz w:val="20"/>
                <w:szCs w:val="20"/>
                <w:lang w:val="en-GB"/>
              </w:rPr>
            </w:pPr>
            <w:r w:rsidRPr="007B566C">
              <w:rPr>
                <w:rFonts w:ascii="Times New Roman" w:eastAsia="Calibri" w:hAnsi="Times New Roman" w:cs="Times New Roman"/>
                <w:b/>
                <w:bCs/>
                <w:sz w:val="20"/>
                <w:szCs w:val="20"/>
                <w:lang w:val="en-GB"/>
              </w:rPr>
              <w:t>RPT</w:t>
            </w:r>
          </w:p>
        </w:tc>
        <w:tc>
          <w:tcPr>
            <w:tcW w:w="1447" w:type="dxa"/>
            <w:tcBorders>
              <w:top w:val="nil"/>
              <w:left w:val="single" w:sz="8" w:space="0" w:color="000000"/>
              <w:bottom w:val="nil"/>
              <w:right w:val="nil"/>
            </w:tcBorders>
            <w:shd w:val="clear" w:color="auto" w:fill="FFFFFF"/>
            <w:tcMar>
              <w:left w:w="0" w:type="dxa"/>
              <w:right w:w="0" w:type="dxa"/>
            </w:tcMar>
          </w:tcPr>
          <w:p w:rsidR="007A3EE5" w:rsidRPr="00F10B2D" w:rsidRDefault="007A3EE5" w:rsidP="00117AEE">
            <w:pPr>
              <w:spacing w:after="0" w:line="240" w:lineRule="auto"/>
              <w:jc w:val="both"/>
              <w:rPr>
                <w:rFonts w:ascii="Times New Roman" w:eastAsia="Calibri" w:hAnsi="Times New Roman" w:cs="Times New Roman"/>
                <w:sz w:val="20"/>
                <w:szCs w:val="20"/>
                <w:lang w:val="en-GB"/>
              </w:rPr>
            </w:pPr>
            <w:r w:rsidRPr="00F10B2D">
              <w:rPr>
                <w:rFonts w:ascii="Times New Roman" w:eastAsia="Calibri" w:hAnsi="Times New Roman" w:cs="Times New Roman"/>
                <w:sz w:val="20"/>
                <w:szCs w:val="20"/>
                <w:lang w:val="en-GB"/>
              </w:rPr>
              <w:t>-0.0013*(-0.007)</w:t>
            </w:r>
          </w:p>
        </w:tc>
        <w:tc>
          <w:tcPr>
            <w:tcW w:w="1017" w:type="dxa"/>
            <w:tcBorders>
              <w:top w:val="nil"/>
              <w:left w:val="nil"/>
              <w:bottom w:val="nil"/>
              <w:right w:val="nil"/>
            </w:tcBorders>
            <w:shd w:val="clear" w:color="auto" w:fill="FFFFFF"/>
            <w:tcMar>
              <w:left w:w="0" w:type="dxa"/>
              <w:right w:w="0" w:type="dxa"/>
            </w:tcMar>
          </w:tcPr>
          <w:p w:rsidR="007A3EE5" w:rsidRPr="00F10B2D" w:rsidRDefault="007A3EE5" w:rsidP="00117AEE">
            <w:pPr>
              <w:spacing w:after="0" w:line="240" w:lineRule="auto"/>
              <w:jc w:val="both"/>
              <w:rPr>
                <w:rFonts w:ascii="Times New Roman" w:eastAsia="Calibri" w:hAnsi="Times New Roman" w:cs="Times New Roman"/>
                <w:sz w:val="20"/>
                <w:szCs w:val="20"/>
                <w:lang w:val="en-GB"/>
              </w:rPr>
            </w:pPr>
            <w:r w:rsidRPr="00F10B2D">
              <w:rPr>
                <w:rFonts w:ascii="Times New Roman" w:eastAsia="Calibri" w:hAnsi="Times New Roman" w:cs="Times New Roman"/>
                <w:sz w:val="20"/>
                <w:szCs w:val="20"/>
                <w:lang w:val="en-GB"/>
              </w:rPr>
              <w:t>1.000</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p>
        </w:tc>
        <w:tc>
          <w:tcPr>
            <w:tcW w:w="1494" w:type="dxa"/>
            <w:tcBorders>
              <w:top w:val="nil"/>
              <w:left w:val="nil"/>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p>
        </w:tc>
      </w:tr>
      <w:tr w:rsidR="007A3EE5" w:rsidRPr="007B566C" w:rsidTr="007A3EE5">
        <w:trPr>
          <w:trHeight w:val="521"/>
          <w:jc w:val="center"/>
        </w:trPr>
        <w:tc>
          <w:tcPr>
            <w:tcW w:w="0" w:type="auto"/>
            <w:tcBorders>
              <w:top w:val="nil"/>
              <w:left w:val="single" w:sz="8" w:space="0" w:color="000000"/>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sz w:val="20"/>
                <w:szCs w:val="20"/>
                <w:lang w:val="en-GB"/>
              </w:rPr>
            </w:pPr>
            <w:r w:rsidRPr="007B566C">
              <w:rPr>
                <w:rFonts w:ascii="Times New Roman" w:eastAsia="Calibri" w:hAnsi="Times New Roman" w:cs="Times New Roman"/>
                <w:b/>
                <w:bCs/>
                <w:sz w:val="20"/>
                <w:szCs w:val="20"/>
                <w:lang w:val="en-GB"/>
              </w:rPr>
              <w:t>LEV</w:t>
            </w:r>
          </w:p>
        </w:tc>
        <w:tc>
          <w:tcPr>
            <w:tcW w:w="1447" w:type="dxa"/>
            <w:tcBorders>
              <w:top w:val="nil"/>
              <w:left w:val="single" w:sz="8" w:space="0" w:color="000000"/>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lang w:val="en-GB"/>
              </w:rPr>
            </w:pPr>
            <w:r w:rsidRPr="007B566C">
              <w:rPr>
                <w:rFonts w:ascii="Times New Roman" w:eastAsia="Calibri" w:hAnsi="Times New Roman" w:cs="Times New Roman"/>
                <w:sz w:val="20"/>
                <w:szCs w:val="20"/>
                <w:lang w:val="en-GB"/>
              </w:rPr>
              <w:t>-0.087* (0.0328)</w:t>
            </w:r>
          </w:p>
        </w:tc>
        <w:tc>
          <w:tcPr>
            <w:tcW w:w="1017" w:type="dxa"/>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lang w:val="en-GB"/>
              </w:rPr>
              <w:t>0.</w:t>
            </w:r>
            <w:r w:rsidRPr="007B566C">
              <w:rPr>
                <w:rFonts w:ascii="Times New Roman" w:eastAsia="Calibri" w:hAnsi="Times New Roman" w:cs="Times New Roman"/>
                <w:sz w:val="20"/>
                <w:szCs w:val="20"/>
                <w:lang w:val="en-US"/>
              </w:rPr>
              <w:t>0864* (0.0</w:t>
            </w:r>
            <w:r w:rsidRPr="007B566C">
              <w:rPr>
                <w:rFonts w:ascii="Times New Roman" w:eastAsia="Calibri" w:hAnsi="Times New Roman" w:cs="Times New Roman"/>
                <w:sz w:val="20"/>
                <w:szCs w:val="20"/>
              </w:rPr>
              <w:t>918)</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1.000</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p>
        </w:tc>
        <w:tc>
          <w:tcPr>
            <w:tcW w:w="1494" w:type="dxa"/>
            <w:tcBorders>
              <w:top w:val="nil"/>
              <w:left w:val="nil"/>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p>
        </w:tc>
      </w:tr>
      <w:tr w:rsidR="007A3EE5" w:rsidRPr="007B566C" w:rsidTr="007A3EE5">
        <w:trPr>
          <w:trHeight w:val="521"/>
          <w:jc w:val="center"/>
        </w:trPr>
        <w:tc>
          <w:tcPr>
            <w:tcW w:w="0" w:type="auto"/>
            <w:tcBorders>
              <w:top w:val="nil"/>
              <w:left w:val="single" w:sz="8" w:space="0" w:color="000000"/>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sz w:val="20"/>
                <w:szCs w:val="20"/>
              </w:rPr>
            </w:pPr>
            <w:r w:rsidRPr="007B566C">
              <w:rPr>
                <w:rFonts w:ascii="Times New Roman" w:eastAsia="Calibri" w:hAnsi="Times New Roman" w:cs="Times New Roman"/>
                <w:b/>
                <w:bCs/>
                <w:sz w:val="20"/>
                <w:szCs w:val="20"/>
              </w:rPr>
              <w:t>CONC</w:t>
            </w:r>
          </w:p>
        </w:tc>
        <w:tc>
          <w:tcPr>
            <w:tcW w:w="1447" w:type="dxa"/>
            <w:tcBorders>
              <w:top w:val="nil"/>
              <w:left w:val="single" w:sz="8" w:space="0" w:color="000000"/>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0.0222* (0.014)</w:t>
            </w:r>
          </w:p>
        </w:tc>
        <w:tc>
          <w:tcPr>
            <w:tcW w:w="1017" w:type="dxa"/>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0.1480* (0.0039)</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0.0096 (0.825)</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1.000</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p>
        </w:tc>
        <w:tc>
          <w:tcPr>
            <w:tcW w:w="1494" w:type="dxa"/>
            <w:tcBorders>
              <w:top w:val="nil"/>
              <w:left w:val="nil"/>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p>
        </w:tc>
      </w:tr>
      <w:tr w:rsidR="007A3EE5" w:rsidRPr="007B566C" w:rsidTr="007A3EE5">
        <w:trPr>
          <w:trHeight w:val="521"/>
          <w:jc w:val="center"/>
        </w:trPr>
        <w:tc>
          <w:tcPr>
            <w:tcW w:w="0" w:type="auto"/>
            <w:tcBorders>
              <w:top w:val="nil"/>
              <w:left w:val="single" w:sz="8" w:space="0" w:color="000000"/>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sz w:val="20"/>
                <w:szCs w:val="20"/>
              </w:rPr>
            </w:pPr>
            <w:r w:rsidRPr="007B566C">
              <w:rPr>
                <w:rFonts w:ascii="Times New Roman" w:eastAsia="Calibri" w:hAnsi="Times New Roman" w:cs="Times New Roman"/>
                <w:b/>
                <w:bCs/>
                <w:sz w:val="20"/>
                <w:szCs w:val="20"/>
              </w:rPr>
              <w:t>SIZE</w:t>
            </w:r>
          </w:p>
        </w:tc>
        <w:tc>
          <w:tcPr>
            <w:tcW w:w="1447" w:type="dxa"/>
            <w:tcBorders>
              <w:top w:val="nil"/>
              <w:left w:val="single" w:sz="8" w:space="0" w:color="000000"/>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0.066 (0.1056)</w:t>
            </w:r>
          </w:p>
        </w:tc>
        <w:tc>
          <w:tcPr>
            <w:tcW w:w="1017" w:type="dxa"/>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-0.2371* (0.000)</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0.0886* (0.0260)</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-0.2990* (0.000)</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1.000</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p>
        </w:tc>
        <w:tc>
          <w:tcPr>
            <w:tcW w:w="1494" w:type="dxa"/>
            <w:tcBorders>
              <w:top w:val="nil"/>
              <w:left w:val="nil"/>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p>
        </w:tc>
      </w:tr>
      <w:tr w:rsidR="007A3EE5" w:rsidRPr="007B566C" w:rsidTr="007A3EE5">
        <w:trPr>
          <w:trHeight w:val="505"/>
          <w:jc w:val="center"/>
        </w:trPr>
        <w:tc>
          <w:tcPr>
            <w:tcW w:w="0" w:type="auto"/>
            <w:tcBorders>
              <w:top w:val="nil"/>
              <w:left w:val="single" w:sz="8" w:space="0" w:color="000000"/>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sz w:val="20"/>
                <w:szCs w:val="20"/>
              </w:rPr>
            </w:pPr>
            <w:proofErr w:type="spellStart"/>
            <w:r w:rsidRPr="007B566C">
              <w:rPr>
                <w:rFonts w:ascii="Times New Roman" w:eastAsia="Calibri" w:hAnsi="Times New Roman" w:cs="Times New Roman"/>
                <w:b/>
                <w:bCs/>
                <w:sz w:val="20"/>
                <w:szCs w:val="20"/>
              </w:rPr>
              <w:t>Growth</w:t>
            </w:r>
            <w:proofErr w:type="spellEnd"/>
          </w:p>
        </w:tc>
        <w:tc>
          <w:tcPr>
            <w:tcW w:w="1447" w:type="dxa"/>
            <w:tcBorders>
              <w:top w:val="nil"/>
              <w:left w:val="single" w:sz="8" w:space="0" w:color="000000"/>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0.0019 (0.9679)</w:t>
            </w:r>
          </w:p>
        </w:tc>
        <w:tc>
          <w:tcPr>
            <w:tcW w:w="1017" w:type="dxa"/>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-0.1112* (0.0344)</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-0.0683 (0.1331)</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0.0657 (0.1696)</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-0.0543 (0.2324)</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1.000</w:t>
            </w:r>
          </w:p>
        </w:tc>
        <w:tc>
          <w:tcPr>
            <w:tcW w:w="1494" w:type="dxa"/>
            <w:tcBorders>
              <w:top w:val="nil"/>
              <w:left w:val="nil"/>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p>
        </w:tc>
      </w:tr>
      <w:tr w:rsidR="007A3EE5" w:rsidRPr="007B566C" w:rsidTr="007A3EE5">
        <w:trPr>
          <w:trHeight w:val="465"/>
          <w:jc w:val="center"/>
        </w:trPr>
        <w:tc>
          <w:tcPr>
            <w:tcW w:w="0" w:type="auto"/>
            <w:tcBorders>
              <w:top w:val="nil"/>
              <w:left w:val="single" w:sz="8" w:space="0" w:color="000000"/>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b/>
                <w:bCs/>
                <w:sz w:val="20"/>
                <w:szCs w:val="20"/>
              </w:rPr>
            </w:pPr>
            <w:r w:rsidRPr="007B566C">
              <w:rPr>
                <w:rFonts w:ascii="Times New Roman" w:eastAsia="Calibri" w:hAnsi="Times New Roman" w:cs="Times New Roman"/>
                <w:b/>
                <w:bCs/>
                <w:sz w:val="20"/>
                <w:szCs w:val="20"/>
              </w:rPr>
              <w:t>ROA</w:t>
            </w:r>
          </w:p>
        </w:tc>
        <w:tc>
          <w:tcPr>
            <w:tcW w:w="1447" w:type="dxa"/>
            <w:tcBorders>
              <w:top w:val="nil"/>
              <w:left w:val="single" w:sz="8" w:space="0" w:color="000000"/>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0.1036* (0.011)</w:t>
            </w:r>
          </w:p>
        </w:tc>
        <w:tc>
          <w:tcPr>
            <w:tcW w:w="1017" w:type="dxa"/>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 xml:space="preserve"> 0.030 (0.4839)</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-0.2041* (0.000)</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0.0491 (0.2576)</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0.0525 (0.1875)</w:t>
            </w:r>
          </w:p>
        </w:tc>
        <w:tc>
          <w:tcPr>
            <w:tcW w:w="0" w:type="auto"/>
            <w:tcBorders>
              <w:top w:val="nil"/>
              <w:left w:val="nil"/>
              <w:bottom w:val="nil"/>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0.0323 (0.4784)</w:t>
            </w:r>
          </w:p>
        </w:tc>
        <w:tc>
          <w:tcPr>
            <w:tcW w:w="1494" w:type="dxa"/>
            <w:tcBorders>
              <w:top w:val="nil"/>
              <w:left w:val="nil"/>
              <w:bottom w:val="nil"/>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1.000</w:t>
            </w:r>
          </w:p>
        </w:tc>
      </w:tr>
      <w:tr w:rsidR="007A3EE5" w:rsidRPr="007B566C" w:rsidTr="007A3EE5">
        <w:trPr>
          <w:trHeight w:val="465"/>
          <w:jc w:val="center"/>
        </w:trPr>
        <w:tc>
          <w:tcPr>
            <w:tcW w:w="0" w:type="auto"/>
            <w:tcBorders>
              <w:top w:val="nil"/>
              <w:left w:val="single" w:sz="8" w:space="0" w:color="000000"/>
              <w:bottom w:val="single" w:sz="8" w:space="0" w:color="000000"/>
              <w:right w:val="single" w:sz="8" w:space="0" w:color="000000"/>
            </w:tcBorders>
            <w:shd w:val="clear" w:color="auto" w:fill="FFFFFF"/>
            <w:tcMar>
              <w:left w:w="0" w:type="dxa"/>
              <w:right w:w="0" w:type="dxa"/>
            </w:tcMar>
          </w:tcPr>
          <w:p w:rsidR="007A3EE5" w:rsidRPr="007B566C" w:rsidRDefault="007A3EE5" w:rsidP="00117AEE">
            <w:pPr>
              <w:spacing w:after="0" w:line="240" w:lineRule="auto"/>
              <w:ind w:left="708" w:hanging="708"/>
              <w:jc w:val="both"/>
              <w:rPr>
                <w:rFonts w:ascii="Times New Roman" w:eastAsia="Calibri" w:hAnsi="Times New Roman" w:cs="Times New Roman"/>
                <w:b/>
                <w:bCs/>
                <w:sz w:val="20"/>
                <w:szCs w:val="20"/>
              </w:rPr>
            </w:pPr>
            <w:r w:rsidRPr="007B566C">
              <w:rPr>
                <w:rFonts w:ascii="Times New Roman" w:eastAsia="Calibri" w:hAnsi="Times New Roman" w:cs="Times New Roman"/>
                <w:b/>
                <w:bCs/>
                <w:sz w:val="20"/>
                <w:szCs w:val="20"/>
              </w:rPr>
              <w:t>TANG</w:t>
            </w:r>
          </w:p>
        </w:tc>
        <w:tc>
          <w:tcPr>
            <w:tcW w:w="1447" w:type="dxa"/>
            <w:tcBorders>
              <w:top w:val="nil"/>
              <w:left w:val="single" w:sz="8" w:space="0" w:color="000000"/>
              <w:bottom w:val="single" w:sz="8" w:space="0" w:color="000000"/>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0.0414 (0.335)</w:t>
            </w:r>
          </w:p>
        </w:tc>
        <w:tc>
          <w:tcPr>
            <w:tcW w:w="1017" w:type="dxa"/>
            <w:tcBorders>
              <w:top w:val="nil"/>
              <w:left w:val="nil"/>
              <w:bottom w:val="single" w:sz="8" w:space="0" w:color="000000"/>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-0.136* (0.007)</w:t>
            </w:r>
          </w:p>
        </w:tc>
        <w:tc>
          <w:tcPr>
            <w:tcW w:w="0" w:type="auto"/>
            <w:tcBorders>
              <w:top w:val="nil"/>
              <w:left w:val="nil"/>
              <w:bottom w:val="single" w:sz="8" w:space="0" w:color="000000"/>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-0.1504* (0.000)</w:t>
            </w:r>
          </w:p>
        </w:tc>
        <w:tc>
          <w:tcPr>
            <w:tcW w:w="0" w:type="auto"/>
            <w:tcBorders>
              <w:top w:val="nil"/>
              <w:left w:val="nil"/>
              <w:bottom w:val="single" w:sz="8" w:space="0" w:color="000000"/>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-0.0339 (0.4571)</w:t>
            </w:r>
          </w:p>
        </w:tc>
        <w:tc>
          <w:tcPr>
            <w:tcW w:w="0" w:type="auto"/>
            <w:tcBorders>
              <w:top w:val="nil"/>
              <w:left w:val="nil"/>
              <w:bottom w:val="single" w:sz="8" w:space="0" w:color="000000"/>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sidRPr="007B566C">
              <w:rPr>
                <w:rFonts w:ascii="Times New Roman" w:eastAsia="Calibri" w:hAnsi="Times New Roman" w:cs="Times New Roman"/>
                <w:sz w:val="20"/>
                <w:szCs w:val="20"/>
              </w:rPr>
              <w:t>0.2669* (0.000)</w:t>
            </w:r>
          </w:p>
        </w:tc>
        <w:tc>
          <w:tcPr>
            <w:tcW w:w="0" w:type="auto"/>
            <w:tcBorders>
              <w:top w:val="nil"/>
              <w:left w:val="nil"/>
              <w:bottom w:val="single" w:sz="8" w:space="0" w:color="000000"/>
              <w:right w:val="nil"/>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B566C">
              <w:rPr>
                <w:rFonts w:ascii="Times New Roman" w:eastAsia="Calibri" w:hAnsi="Times New Roman" w:cs="Times New Roman"/>
                <w:sz w:val="20"/>
                <w:szCs w:val="20"/>
              </w:rPr>
              <w:t>-0.0634 (0.1641)</w:t>
            </w:r>
          </w:p>
        </w:tc>
        <w:tc>
          <w:tcPr>
            <w:tcW w:w="1494" w:type="dxa"/>
            <w:tcBorders>
              <w:top w:val="nil"/>
              <w:left w:val="nil"/>
              <w:bottom w:val="single" w:sz="8" w:space="0" w:color="000000"/>
              <w:right w:val="single" w:sz="8" w:space="0" w:color="000000"/>
            </w:tcBorders>
            <w:shd w:val="clear" w:color="auto" w:fill="FFFFFF"/>
            <w:tcMar>
              <w:left w:w="0" w:type="dxa"/>
              <w:right w:w="0" w:type="dxa"/>
            </w:tcMar>
          </w:tcPr>
          <w:p w:rsidR="007A3EE5" w:rsidRPr="007B566C" w:rsidRDefault="007A3EE5" w:rsidP="00117AE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B566C">
              <w:rPr>
                <w:rFonts w:ascii="Times New Roman" w:eastAsia="Calibri" w:hAnsi="Times New Roman" w:cs="Times New Roman"/>
                <w:sz w:val="20"/>
                <w:szCs w:val="20"/>
              </w:rPr>
              <w:t>1.000</w:t>
            </w:r>
          </w:p>
        </w:tc>
      </w:tr>
    </w:tbl>
    <w:p w:rsidR="00626939" w:rsidRDefault="00626939" w:rsidP="00FD39E4">
      <w:pPr>
        <w:pStyle w:val="ListParagraph"/>
        <w:widowControl w:val="0"/>
        <w:spacing w:after="0" w:line="240" w:lineRule="auto"/>
        <w:ind w:left="0"/>
        <w:contextualSpacing w:val="0"/>
        <w:jc w:val="both"/>
        <w:rPr>
          <w:rFonts w:asciiTheme="majorBidi" w:hAnsiTheme="majorBidi" w:cstheme="majorBidi"/>
          <w:sz w:val="20"/>
          <w:szCs w:val="20"/>
          <w:lang w:val="en-US"/>
        </w:rPr>
      </w:pPr>
    </w:p>
    <w:p w:rsidR="00FD39E4" w:rsidRDefault="00FD39E4" w:rsidP="00B35A05">
      <w:pPr>
        <w:spacing w:line="240" w:lineRule="auto"/>
        <w:jc w:val="both"/>
        <w:rPr>
          <w:rFonts w:asciiTheme="majorBidi" w:hAnsiTheme="majorBidi" w:cstheme="majorBidi"/>
          <w:b/>
          <w:bCs/>
          <w:i/>
          <w:iCs/>
          <w:color w:val="000000"/>
          <w:sz w:val="20"/>
          <w:szCs w:val="20"/>
          <w:lang w:val="en-US"/>
        </w:rPr>
      </w:pPr>
    </w:p>
    <w:p w:rsidR="005B28B4" w:rsidRPr="007B566C" w:rsidRDefault="005B28B4" w:rsidP="00B35A05">
      <w:pPr>
        <w:spacing w:line="240" w:lineRule="auto"/>
        <w:jc w:val="both"/>
        <w:rPr>
          <w:rFonts w:asciiTheme="majorBidi" w:hAnsiTheme="majorBidi" w:cstheme="majorBidi"/>
          <w:b/>
          <w:bCs/>
          <w:i/>
          <w:iCs/>
          <w:color w:val="000000"/>
          <w:sz w:val="20"/>
          <w:szCs w:val="20"/>
          <w:lang w:val="en-US"/>
        </w:rPr>
      </w:pPr>
      <w:r w:rsidRPr="007B566C">
        <w:rPr>
          <w:rFonts w:asciiTheme="majorBidi" w:hAnsiTheme="majorBidi" w:cstheme="majorBidi"/>
          <w:b/>
          <w:bCs/>
          <w:i/>
          <w:iCs/>
          <w:color w:val="000000"/>
          <w:sz w:val="20"/>
          <w:szCs w:val="20"/>
          <w:lang w:val="en-US"/>
        </w:rPr>
        <w:t>4.</w:t>
      </w:r>
      <w:r w:rsidR="000F6E19" w:rsidRPr="007B566C">
        <w:rPr>
          <w:rFonts w:asciiTheme="majorBidi" w:hAnsiTheme="majorBidi" w:cstheme="majorBidi"/>
          <w:b/>
          <w:bCs/>
          <w:i/>
          <w:iCs/>
          <w:color w:val="000000"/>
          <w:sz w:val="20"/>
          <w:szCs w:val="20"/>
          <w:lang w:val="en-US"/>
        </w:rPr>
        <w:t>2</w:t>
      </w:r>
      <w:r w:rsidRPr="007B566C">
        <w:rPr>
          <w:rFonts w:asciiTheme="majorBidi" w:hAnsiTheme="majorBidi" w:cstheme="majorBidi"/>
          <w:b/>
          <w:bCs/>
          <w:i/>
          <w:iCs/>
          <w:color w:val="000000"/>
          <w:sz w:val="20"/>
          <w:szCs w:val="20"/>
          <w:lang w:val="en-US"/>
        </w:rPr>
        <w:t xml:space="preserve"> </w:t>
      </w:r>
      <w:r w:rsidR="00B35A05">
        <w:rPr>
          <w:rFonts w:asciiTheme="majorBidi" w:hAnsiTheme="majorBidi" w:cstheme="majorBidi"/>
          <w:b/>
          <w:bCs/>
          <w:i/>
          <w:iCs/>
          <w:color w:val="000000"/>
          <w:sz w:val="20"/>
          <w:szCs w:val="20"/>
          <w:lang w:val="en-US"/>
        </w:rPr>
        <w:t>On the Relationship between Private Benefits and Dividends</w:t>
      </w:r>
    </w:p>
    <w:p w:rsidR="0050311A" w:rsidRDefault="005B28B4" w:rsidP="0050311A">
      <w:pPr>
        <w:spacing w:line="240" w:lineRule="auto"/>
        <w:jc w:val="both"/>
        <w:rPr>
          <w:rFonts w:asciiTheme="majorBidi" w:hAnsiTheme="majorBidi" w:cstheme="majorBidi"/>
          <w:color w:val="000000"/>
          <w:sz w:val="20"/>
          <w:szCs w:val="20"/>
          <w:lang w:val="en-US"/>
        </w:rPr>
      </w:pPr>
      <w:r w:rsidRPr="007B566C">
        <w:rPr>
          <w:rFonts w:asciiTheme="majorBidi" w:hAnsiTheme="majorBidi" w:cstheme="majorBidi"/>
          <w:color w:val="000000"/>
          <w:sz w:val="20"/>
          <w:szCs w:val="20"/>
          <w:lang w:val="en-US"/>
        </w:rPr>
        <w:t xml:space="preserve">Table </w:t>
      </w:r>
      <w:r w:rsidR="000F6E19" w:rsidRPr="007B566C">
        <w:rPr>
          <w:rFonts w:asciiTheme="majorBidi" w:hAnsiTheme="majorBidi" w:cstheme="majorBidi"/>
          <w:color w:val="000000"/>
          <w:sz w:val="20"/>
          <w:szCs w:val="20"/>
          <w:lang w:val="en-US"/>
        </w:rPr>
        <w:t>3</w:t>
      </w:r>
      <w:r w:rsidRPr="007B566C">
        <w:rPr>
          <w:rFonts w:asciiTheme="majorBidi" w:hAnsiTheme="majorBidi" w:cstheme="majorBidi"/>
          <w:color w:val="000000"/>
          <w:sz w:val="20"/>
          <w:szCs w:val="20"/>
          <w:lang w:val="en-US"/>
        </w:rPr>
        <w:t xml:space="preserve"> </w:t>
      </w:r>
      <w:r w:rsidR="0050311A">
        <w:rPr>
          <w:rFonts w:asciiTheme="majorBidi" w:hAnsiTheme="majorBidi" w:cstheme="majorBidi"/>
          <w:color w:val="000000"/>
          <w:sz w:val="20"/>
          <w:szCs w:val="20"/>
          <w:lang w:val="en-US"/>
        </w:rPr>
        <w:t xml:space="preserve">summarizes the three sets of empirical results: those related to the influence of private benefits on dividends (Panel 1), those issued from the effect of dividends on private benefits of control (Panel 2) and finally the outcomes of the simultaneous relationship between private and shared benefits (Panel 3). </w:t>
      </w:r>
    </w:p>
    <w:p w:rsidR="00FD39E4" w:rsidRDefault="00FD39E4" w:rsidP="000A388B">
      <w:pPr>
        <w:ind w:firstLine="709"/>
        <w:jc w:val="both"/>
        <w:rPr>
          <w:rFonts w:asciiTheme="majorBidi" w:hAnsiTheme="majorBidi" w:cstheme="majorBidi"/>
          <w:sz w:val="20"/>
          <w:szCs w:val="20"/>
          <w:lang w:val="en-US"/>
        </w:rPr>
      </w:pPr>
      <w:r>
        <w:rPr>
          <w:rFonts w:asciiTheme="majorBidi" w:hAnsiTheme="majorBidi" w:cstheme="majorBidi"/>
          <w:color w:val="000000"/>
          <w:sz w:val="20"/>
          <w:szCs w:val="20"/>
          <w:lang w:val="en-US"/>
        </w:rPr>
        <w:t xml:space="preserve">Panel 1 shows </w:t>
      </w:r>
      <w:r w:rsidRPr="007B566C">
        <w:rPr>
          <w:rFonts w:asciiTheme="majorBidi" w:hAnsiTheme="majorBidi" w:cstheme="majorBidi"/>
          <w:color w:val="000000"/>
          <w:sz w:val="20"/>
          <w:szCs w:val="20"/>
          <w:lang w:val="en-US"/>
        </w:rPr>
        <w:t xml:space="preserve">that dividend payout ratio increases with the related-party transactions. The higher </w:t>
      </w:r>
      <w:r>
        <w:rPr>
          <w:rFonts w:asciiTheme="majorBidi" w:hAnsiTheme="majorBidi" w:cstheme="majorBidi"/>
          <w:color w:val="000000"/>
          <w:sz w:val="20"/>
          <w:szCs w:val="20"/>
          <w:lang w:val="en-US"/>
        </w:rPr>
        <w:t xml:space="preserve">are </w:t>
      </w:r>
      <w:r w:rsidRPr="007B566C">
        <w:rPr>
          <w:rFonts w:asciiTheme="majorBidi" w:hAnsiTheme="majorBidi" w:cstheme="majorBidi"/>
          <w:color w:val="000000"/>
          <w:sz w:val="20"/>
          <w:szCs w:val="20"/>
          <w:lang w:val="en-US"/>
        </w:rPr>
        <w:t xml:space="preserve">private benefits accumulated through related party transactions, the more </w:t>
      </w:r>
      <w:r>
        <w:rPr>
          <w:rFonts w:asciiTheme="majorBidi" w:hAnsiTheme="majorBidi" w:cstheme="majorBidi"/>
          <w:color w:val="000000"/>
          <w:sz w:val="20"/>
          <w:szCs w:val="20"/>
          <w:lang w:val="en-US"/>
        </w:rPr>
        <w:t xml:space="preserve">dividends the </w:t>
      </w:r>
      <w:r w:rsidRPr="007B566C">
        <w:rPr>
          <w:rFonts w:asciiTheme="majorBidi" w:hAnsiTheme="majorBidi" w:cstheme="majorBidi"/>
          <w:color w:val="000000"/>
          <w:sz w:val="20"/>
          <w:szCs w:val="20"/>
          <w:lang w:val="en-US"/>
        </w:rPr>
        <w:t>firm</w:t>
      </w:r>
      <w:r>
        <w:rPr>
          <w:rFonts w:asciiTheme="majorBidi" w:hAnsiTheme="majorBidi" w:cstheme="majorBidi"/>
          <w:color w:val="000000"/>
          <w:sz w:val="20"/>
          <w:szCs w:val="20"/>
          <w:lang w:val="en-US"/>
        </w:rPr>
        <w:t>s</w:t>
      </w:r>
      <w:r w:rsidRPr="007B566C">
        <w:rPr>
          <w:rFonts w:asciiTheme="majorBidi" w:hAnsiTheme="majorBidi" w:cstheme="majorBidi"/>
          <w:color w:val="000000"/>
          <w:sz w:val="20"/>
          <w:szCs w:val="20"/>
          <w:lang w:val="en-US"/>
        </w:rPr>
        <w:t xml:space="preserve"> distribute. </w:t>
      </w:r>
      <w:r>
        <w:rPr>
          <w:rFonts w:asciiTheme="majorBidi" w:hAnsiTheme="majorBidi" w:cstheme="majorBidi"/>
          <w:color w:val="000000"/>
          <w:sz w:val="20"/>
          <w:szCs w:val="20"/>
          <w:lang w:val="en-US"/>
        </w:rPr>
        <w:t xml:space="preserve">Thus, in presence of higher private benefits, rational investors that expect being expropriated from controlling owners would demand higher dividends to reduce the scope of rent extraction and expropriation. This finding corroborates those of </w:t>
      </w:r>
      <w:proofErr w:type="spellStart"/>
      <w:r>
        <w:rPr>
          <w:rFonts w:asciiTheme="majorBidi" w:hAnsiTheme="majorBidi" w:cstheme="majorBidi"/>
          <w:color w:val="000000"/>
          <w:sz w:val="20"/>
          <w:szCs w:val="20"/>
          <w:lang w:val="en-US"/>
        </w:rPr>
        <w:t>Faccio</w:t>
      </w:r>
      <w:proofErr w:type="spellEnd"/>
      <w:r>
        <w:rPr>
          <w:rFonts w:asciiTheme="majorBidi" w:hAnsiTheme="majorBidi" w:cstheme="majorBidi"/>
          <w:color w:val="000000"/>
          <w:sz w:val="20"/>
          <w:szCs w:val="20"/>
          <w:lang w:val="en-US"/>
        </w:rPr>
        <w:t xml:space="preserve"> et al. (2001). Panel 1 also highlights that highly-concentrated ownership firms </w:t>
      </w:r>
      <w:r w:rsidRPr="00791BBB">
        <w:rPr>
          <w:rFonts w:asciiTheme="majorBidi" w:hAnsiTheme="majorBidi" w:cstheme="majorBidi"/>
          <w:color w:val="000000"/>
          <w:sz w:val="20"/>
          <w:szCs w:val="20"/>
          <w:lang w:val="en-US"/>
        </w:rPr>
        <w:t xml:space="preserve">distribute higher dividends. This is consistent with La </w:t>
      </w:r>
      <w:proofErr w:type="spellStart"/>
      <w:r w:rsidRPr="00791BBB">
        <w:rPr>
          <w:rFonts w:asciiTheme="majorBidi" w:hAnsiTheme="majorBidi" w:cstheme="majorBidi"/>
          <w:color w:val="000000"/>
          <w:sz w:val="20"/>
          <w:szCs w:val="20"/>
          <w:lang w:val="en-US"/>
        </w:rPr>
        <w:t>Porta</w:t>
      </w:r>
      <w:proofErr w:type="spellEnd"/>
      <w:r w:rsidRPr="00791BBB">
        <w:rPr>
          <w:rFonts w:asciiTheme="majorBidi" w:hAnsiTheme="majorBidi" w:cstheme="majorBidi"/>
          <w:color w:val="000000"/>
          <w:sz w:val="20"/>
          <w:szCs w:val="20"/>
          <w:lang w:val="en-US"/>
        </w:rPr>
        <w:t xml:space="preserve"> et al. (2000), Jensen et al. (1992) and Harada and Nguyen (2011)</w:t>
      </w:r>
      <w:r>
        <w:rPr>
          <w:rFonts w:asciiTheme="majorBidi" w:hAnsiTheme="majorBidi" w:cstheme="majorBidi"/>
          <w:color w:val="000000"/>
          <w:sz w:val="20"/>
          <w:szCs w:val="20"/>
          <w:lang w:val="en-US"/>
        </w:rPr>
        <w:t>,</w:t>
      </w:r>
      <w:r w:rsidRPr="00791BBB">
        <w:rPr>
          <w:rFonts w:asciiTheme="majorBidi" w:hAnsiTheme="majorBidi" w:cstheme="majorBidi"/>
          <w:color w:val="000000"/>
          <w:sz w:val="20"/>
          <w:szCs w:val="20"/>
          <w:lang w:val="en-US"/>
        </w:rPr>
        <w:t xml:space="preserve"> who f</w:t>
      </w:r>
      <w:r>
        <w:rPr>
          <w:rFonts w:asciiTheme="majorBidi" w:hAnsiTheme="majorBidi" w:cstheme="majorBidi"/>
          <w:color w:val="000000"/>
          <w:sz w:val="20"/>
          <w:szCs w:val="20"/>
          <w:lang w:val="en-US"/>
        </w:rPr>
        <w:t>ou</w:t>
      </w:r>
      <w:r w:rsidRPr="00791BBB">
        <w:rPr>
          <w:rFonts w:asciiTheme="majorBidi" w:hAnsiTheme="majorBidi" w:cstheme="majorBidi"/>
          <w:color w:val="000000"/>
          <w:sz w:val="20"/>
          <w:szCs w:val="20"/>
          <w:lang w:val="en-US"/>
        </w:rPr>
        <w:t>nd substitution between d</w:t>
      </w:r>
      <w:r w:rsidRPr="00791BBB">
        <w:rPr>
          <w:rFonts w:asciiTheme="majorBidi" w:hAnsiTheme="majorBidi" w:cstheme="majorBidi"/>
          <w:color w:val="000000" w:themeColor="text1"/>
          <w:sz w:val="20"/>
          <w:szCs w:val="20"/>
          <w:lang w:val="en-US"/>
        </w:rPr>
        <w:t>ividends and insider ownership as monitoring devices.</w:t>
      </w:r>
      <w:r>
        <w:rPr>
          <w:rFonts w:asciiTheme="majorBidi" w:hAnsiTheme="majorBidi" w:cstheme="majorBidi"/>
          <w:color w:val="000000" w:themeColor="text1"/>
          <w:sz w:val="20"/>
          <w:szCs w:val="20"/>
          <w:lang w:val="en-US"/>
        </w:rPr>
        <w:t xml:space="preserve"> </w:t>
      </w:r>
      <w:r w:rsidR="00046EFD">
        <w:rPr>
          <w:rFonts w:asciiTheme="majorBidi" w:hAnsiTheme="majorBidi" w:cstheme="majorBidi"/>
          <w:color w:val="000000" w:themeColor="text1"/>
          <w:sz w:val="20"/>
          <w:szCs w:val="20"/>
          <w:lang w:val="en-US"/>
        </w:rPr>
        <w:t xml:space="preserve">However, empirical results reported in Panel 1 reveal that firms </w:t>
      </w:r>
      <w:r w:rsidR="00046EFD" w:rsidRPr="005E47A7">
        <w:rPr>
          <w:rFonts w:asciiTheme="majorBidi" w:hAnsiTheme="majorBidi" w:cstheme="majorBidi"/>
          <w:sz w:val="20"/>
          <w:szCs w:val="20"/>
          <w:lang w:val="en-US"/>
        </w:rPr>
        <w:t xml:space="preserve">with multiple blockholders distribute fewer dividends. Perhaps, the presence of multiple </w:t>
      </w:r>
      <w:r w:rsidR="00046EFD" w:rsidRPr="005E47A7">
        <w:rPr>
          <w:rFonts w:asciiTheme="majorBidi" w:hAnsiTheme="majorBidi" w:cstheme="majorBidi"/>
          <w:color w:val="000000" w:themeColor="text1"/>
          <w:sz w:val="20"/>
          <w:szCs w:val="20"/>
          <w:lang w:val="en-US"/>
        </w:rPr>
        <w:t xml:space="preserve">dominant </w:t>
      </w:r>
      <w:r w:rsidR="005E47A7" w:rsidRPr="005E47A7">
        <w:rPr>
          <w:rFonts w:asciiTheme="majorBidi" w:hAnsiTheme="majorBidi" w:cstheme="majorBidi"/>
          <w:color w:val="000000" w:themeColor="text1"/>
          <w:sz w:val="20"/>
          <w:szCs w:val="20"/>
          <w:lang w:val="en-US"/>
        </w:rPr>
        <w:t>shareholders</w:t>
      </w:r>
      <w:r w:rsidR="00046EFD" w:rsidRPr="005E47A7">
        <w:rPr>
          <w:rFonts w:asciiTheme="majorBidi" w:hAnsiTheme="majorBidi" w:cstheme="majorBidi"/>
          <w:color w:val="000000" w:themeColor="text1"/>
          <w:sz w:val="20"/>
          <w:szCs w:val="20"/>
          <w:lang w:val="en-US"/>
        </w:rPr>
        <w:t xml:space="preserve"> may lead to </w:t>
      </w:r>
      <w:r w:rsidR="005E47A7" w:rsidRPr="005E47A7">
        <w:rPr>
          <w:rFonts w:asciiTheme="majorBidi" w:hAnsiTheme="majorBidi" w:cstheme="majorBidi"/>
          <w:color w:val="000000" w:themeColor="text1"/>
          <w:sz w:val="20"/>
          <w:szCs w:val="20"/>
          <w:lang w:val="en-US"/>
        </w:rPr>
        <w:t>collusion</w:t>
      </w:r>
      <w:r w:rsidR="00046EFD" w:rsidRPr="005E47A7">
        <w:rPr>
          <w:rFonts w:asciiTheme="majorBidi" w:hAnsiTheme="majorBidi" w:cstheme="majorBidi"/>
          <w:color w:val="000000" w:themeColor="text1"/>
          <w:sz w:val="20"/>
          <w:szCs w:val="20"/>
          <w:lang w:val="en-US"/>
        </w:rPr>
        <w:t xml:space="preserve"> between them; what </w:t>
      </w:r>
      <w:r w:rsidR="005E47A7" w:rsidRPr="005E47A7">
        <w:rPr>
          <w:rFonts w:asciiTheme="majorBidi" w:hAnsiTheme="majorBidi" w:cstheme="majorBidi"/>
          <w:color w:val="000000" w:themeColor="text1"/>
          <w:sz w:val="20"/>
          <w:szCs w:val="20"/>
          <w:lang w:val="en-US"/>
        </w:rPr>
        <w:t xml:space="preserve">facilitates rent expropriation </w:t>
      </w:r>
      <w:r w:rsidR="00046EFD" w:rsidRPr="005E47A7">
        <w:rPr>
          <w:rFonts w:asciiTheme="majorBidi" w:hAnsiTheme="majorBidi" w:cstheme="majorBidi"/>
          <w:sz w:val="20"/>
          <w:szCs w:val="20"/>
          <w:lang w:val="en-US"/>
        </w:rPr>
        <w:t xml:space="preserve">at the expense of </w:t>
      </w:r>
      <w:r w:rsidR="00046EFD" w:rsidRPr="005E47A7">
        <w:rPr>
          <w:rFonts w:asciiTheme="majorBidi" w:hAnsiTheme="majorBidi" w:cstheme="majorBidi"/>
          <w:color w:val="000000" w:themeColor="text1"/>
          <w:sz w:val="20"/>
          <w:szCs w:val="20"/>
          <w:lang w:val="en-US"/>
        </w:rPr>
        <w:t xml:space="preserve">minority </w:t>
      </w:r>
      <w:r w:rsidR="005E47A7" w:rsidRPr="005E47A7">
        <w:rPr>
          <w:rFonts w:asciiTheme="majorBidi" w:hAnsiTheme="majorBidi" w:cstheme="majorBidi"/>
          <w:color w:val="000000" w:themeColor="text1"/>
          <w:sz w:val="20"/>
          <w:szCs w:val="20"/>
          <w:lang w:val="en-US"/>
        </w:rPr>
        <w:t>investors</w:t>
      </w:r>
      <w:r w:rsidR="00046EFD" w:rsidRPr="005E47A7">
        <w:rPr>
          <w:rFonts w:asciiTheme="majorBidi" w:hAnsiTheme="majorBidi" w:cstheme="majorBidi"/>
          <w:color w:val="000000" w:themeColor="text1"/>
          <w:sz w:val="20"/>
          <w:szCs w:val="20"/>
          <w:lang w:val="en-US"/>
        </w:rPr>
        <w:t xml:space="preserve"> </w:t>
      </w:r>
      <w:r w:rsidR="00046EFD" w:rsidRPr="005E47A7">
        <w:rPr>
          <w:rFonts w:asciiTheme="majorBidi" w:hAnsiTheme="majorBidi" w:cstheme="majorBidi"/>
          <w:sz w:val="20"/>
          <w:szCs w:val="20"/>
          <w:lang w:val="en-US"/>
        </w:rPr>
        <w:t>(</w:t>
      </w:r>
      <w:proofErr w:type="spellStart"/>
      <w:r w:rsidR="00046EFD" w:rsidRPr="005E47A7">
        <w:rPr>
          <w:rFonts w:asciiTheme="majorBidi" w:hAnsiTheme="majorBidi" w:cstheme="majorBidi"/>
          <w:sz w:val="20"/>
          <w:szCs w:val="20"/>
          <w:lang w:val="en-US"/>
        </w:rPr>
        <w:t>Pagano</w:t>
      </w:r>
      <w:proofErr w:type="spellEnd"/>
      <w:r w:rsidR="00046EFD" w:rsidRPr="005E47A7">
        <w:rPr>
          <w:rFonts w:asciiTheme="majorBidi" w:hAnsiTheme="majorBidi" w:cstheme="majorBidi"/>
          <w:sz w:val="20"/>
          <w:szCs w:val="20"/>
          <w:lang w:val="en-US"/>
        </w:rPr>
        <w:t xml:space="preserve"> and </w:t>
      </w:r>
      <w:proofErr w:type="spellStart"/>
      <w:r w:rsidR="00046EFD" w:rsidRPr="005E47A7">
        <w:rPr>
          <w:rFonts w:asciiTheme="majorBidi" w:hAnsiTheme="majorBidi" w:cstheme="majorBidi"/>
          <w:sz w:val="20"/>
          <w:szCs w:val="20"/>
          <w:lang w:val="en-US"/>
        </w:rPr>
        <w:t>Roell</w:t>
      </w:r>
      <w:proofErr w:type="spellEnd"/>
      <w:r w:rsidR="00046EFD" w:rsidRPr="005E47A7">
        <w:rPr>
          <w:rFonts w:asciiTheme="majorBidi" w:hAnsiTheme="majorBidi" w:cstheme="majorBidi"/>
          <w:sz w:val="20"/>
          <w:szCs w:val="20"/>
          <w:lang w:val="en-US"/>
        </w:rPr>
        <w:t xml:space="preserve">, 1998; </w:t>
      </w:r>
      <w:proofErr w:type="spellStart"/>
      <w:r w:rsidR="00046EFD" w:rsidRPr="005E47A7">
        <w:rPr>
          <w:rFonts w:asciiTheme="majorBidi" w:hAnsiTheme="majorBidi" w:cstheme="majorBidi"/>
          <w:sz w:val="20"/>
          <w:szCs w:val="20"/>
          <w:lang w:val="en-US"/>
        </w:rPr>
        <w:t>Faccio</w:t>
      </w:r>
      <w:proofErr w:type="spellEnd"/>
      <w:r w:rsidR="00046EFD" w:rsidRPr="005E47A7">
        <w:rPr>
          <w:rFonts w:asciiTheme="majorBidi" w:hAnsiTheme="majorBidi" w:cstheme="majorBidi"/>
          <w:sz w:val="20"/>
          <w:szCs w:val="20"/>
          <w:lang w:val="en-US"/>
        </w:rPr>
        <w:t xml:space="preserve"> et al., 2001; Maury and </w:t>
      </w:r>
      <w:proofErr w:type="spellStart"/>
      <w:r w:rsidR="00046EFD" w:rsidRPr="005E47A7">
        <w:rPr>
          <w:rFonts w:asciiTheme="majorBidi" w:hAnsiTheme="majorBidi" w:cstheme="majorBidi"/>
          <w:sz w:val="20"/>
          <w:szCs w:val="20"/>
          <w:lang w:val="en-US"/>
        </w:rPr>
        <w:t>Pajuste</w:t>
      </w:r>
      <w:proofErr w:type="spellEnd"/>
      <w:r w:rsidR="00046EFD" w:rsidRPr="005E47A7">
        <w:rPr>
          <w:rFonts w:asciiTheme="majorBidi" w:hAnsiTheme="majorBidi" w:cstheme="majorBidi"/>
          <w:sz w:val="20"/>
          <w:szCs w:val="20"/>
          <w:lang w:val="en-US"/>
        </w:rPr>
        <w:t>, 2002)</w:t>
      </w:r>
      <w:r w:rsidR="00046EFD" w:rsidRPr="005E47A7">
        <w:rPr>
          <w:rFonts w:asciiTheme="majorBidi" w:hAnsiTheme="majorBidi" w:cstheme="majorBidi"/>
          <w:color w:val="000000" w:themeColor="text1"/>
          <w:sz w:val="20"/>
          <w:szCs w:val="20"/>
          <w:lang w:val="en-US"/>
        </w:rPr>
        <w:t>.</w:t>
      </w:r>
      <w:r w:rsidR="000A388B">
        <w:rPr>
          <w:rFonts w:asciiTheme="majorBidi" w:hAnsiTheme="majorBidi" w:cstheme="majorBidi"/>
          <w:color w:val="000000" w:themeColor="text1"/>
          <w:sz w:val="20"/>
          <w:szCs w:val="20"/>
          <w:lang w:val="en-US"/>
        </w:rPr>
        <w:t xml:space="preserve"> </w:t>
      </w:r>
      <w:r w:rsidRPr="00791BBB">
        <w:rPr>
          <w:rFonts w:asciiTheme="majorBidi" w:hAnsiTheme="majorBidi" w:cstheme="majorBidi"/>
          <w:color w:val="000000"/>
          <w:sz w:val="20"/>
          <w:szCs w:val="20"/>
          <w:lang w:val="en-US"/>
        </w:rPr>
        <w:t xml:space="preserve">Besides, </w:t>
      </w:r>
      <w:r>
        <w:rPr>
          <w:rFonts w:asciiTheme="majorBidi" w:hAnsiTheme="majorBidi" w:cstheme="majorBidi"/>
          <w:color w:val="000000"/>
          <w:sz w:val="20"/>
          <w:szCs w:val="20"/>
          <w:lang w:val="en-US"/>
        </w:rPr>
        <w:t xml:space="preserve">Panel 1 </w:t>
      </w:r>
      <w:r w:rsidRPr="00791BBB">
        <w:rPr>
          <w:rFonts w:asciiTheme="majorBidi" w:hAnsiTheme="majorBidi" w:cstheme="majorBidi"/>
          <w:color w:val="000000"/>
          <w:sz w:val="20"/>
          <w:szCs w:val="20"/>
          <w:lang w:val="en-US"/>
        </w:rPr>
        <w:t xml:space="preserve">reports that dividend payout ratio increases with the size and profitability of the firm accordingly to the arguments of </w:t>
      </w:r>
      <w:proofErr w:type="spellStart"/>
      <w:r w:rsidRPr="00791BBB">
        <w:rPr>
          <w:rFonts w:asciiTheme="majorBidi" w:hAnsiTheme="majorBidi" w:cstheme="majorBidi"/>
          <w:color w:val="000000" w:themeColor="text1"/>
          <w:sz w:val="20"/>
          <w:szCs w:val="20"/>
          <w:lang w:val="en-US"/>
        </w:rPr>
        <w:t>Fama</w:t>
      </w:r>
      <w:proofErr w:type="spellEnd"/>
      <w:r w:rsidRPr="00791BBB">
        <w:rPr>
          <w:rFonts w:asciiTheme="majorBidi" w:hAnsiTheme="majorBidi" w:cstheme="majorBidi"/>
          <w:color w:val="000000" w:themeColor="text1"/>
          <w:sz w:val="20"/>
          <w:szCs w:val="20"/>
          <w:lang w:val="en-US"/>
        </w:rPr>
        <w:t xml:space="preserve"> and French (2002) as well as Truong and Heaney (2007). Dividends however d</w:t>
      </w:r>
      <w:r w:rsidRPr="00791BBB">
        <w:rPr>
          <w:rFonts w:asciiTheme="majorBidi" w:hAnsiTheme="majorBidi" w:cstheme="majorBidi"/>
          <w:color w:val="000000"/>
          <w:sz w:val="20"/>
          <w:szCs w:val="20"/>
          <w:lang w:val="en-US"/>
        </w:rPr>
        <w:t>ecrease with the firm leverage which</w:t>
      </w:r>
      <w:r w:rsidRPr="00791BBB">
        <w:rPr>
          <w:rFonts w:asciiTheme="majorBidi" w:eastAsia="Calibri" w:hAnsiTheme="majorBidi" w:cstheme="majorBidi"/>
          <w:sz w:val="20"/>
          <w:szCs w:val="20"/>
          <w:lang w:val="en-US"/>
        </w:rPr>
        <w:t xml:space="preserve"> highlights firms’ incentives to favor lower and not necessarily stable dividend payouts to protect its debt better from bankruptcy risks (</w:t>
      </w:r>
      <w:proofErr w:type="spellStart"/>
      <w:r w:rsidRPr="00791BBB">
        <w:rPr>
          <w:rFonts w:asciiTheme="majorBidi" w:eastAsia="Calibri" w:hAnsiTheme="majorBidi" w:cstheme="majorBidi"/>
          <w:sz w:val="20"/>
          <w:szCs w:val="20"/>
          <w:lang w:val="en-US"/>
        </w:rPr>
        <w:t>Amihud</w:t>
      </w:r>
      <w:proofErr w:type="spellEnd"/>
      <w:r w:rsidRPr="00791BBB">
        <w:rPr>
          <w:rFonts w:asciiTheme="majorBidi" w:eastAsia="Calibri" w:hAnsiTheme="majorBidi" w:cstheme="majorBidi"/>
          <w:sz w:val="20"/>
          <w:szCs w:val="20"/>
          <w:lang w:val="en-US"/>
        </w:rPr>
        <w:t xml:space="preserve"> and </w:t>
      </w:r>
      <w:proofErr w:type="spellStart"/>
      <w:r w:rsidRPr="00791BBB">
        <w:rPr>
          <w:rFonts w:asciiTheme="majorBidi" w:eastAsia="Calibri" w:hAnsiTheme="majorBidi" w:cstheme="majorBidi"/>
          <w:sz w:val="20"/>
          <w:szCs w:val="20"/>
          <w:lang w:val="en-US"/>
        </w:rPr>
        <w:t>Murgia</w:t>
      </w:r>
      <w:proofErr w:type="spellEnd"/>
      <w:r w:rsidRPr="00791BBB">
        <w:rPr>
          <w:rFonts w:asciiTheme="majorBidi" w:eastAsia="Calibri" w:hAnsiTheme="majorBidi" w:cstheme="majorBidi"/>
          <w:sz w:val="20"/>
          <w:szCs w:val="20"/>
          <w:lang w:val="en-US"/>
        </w:rPr>
        <w:t>, 1997; Jensen et al., 1992).</w:t>
      </w:r>
      <w:r w:rsidRPr="00791BBB">
        <w:rPr>
          <w:rFonts w:asciiTheme="majorBidi" w:hAnsiTheme="majorBidi" w:cstheme="majorBidi"/>
          <w:sz w:val="20"/>
          <w:szCs w:val="20"/>
          <w:lang w:val="en-US"/>
        </w:rPr>
        <w:t xml:space="preserve"> </w:t>
      </w:r>
    </w:p>
    <w:p w:rsidR="00B076D7" w:rsidRDefault="0050311A" w:rsidP="00C41670">
      <w:pPr>
        <w:ind w:firstLine="709"/>
        <w:jc w:val="both"/>
        <w:rPr>
          <w:rFonts w:asciiTheme="majorBidi" w:hAnsiTheme="majorBidi" w:cstheme="majorBidi"/>
          <w:sz w:val="20"/>
          <w:szCs w:val="20"/>
          <w:lang w:val="en-US"/>
        </w:rPr>
      </w:pPr>
      <w:r>
        <w:rPr>
          <w:rFonts w:asciiTheme="majorBidi" w:hAnsiTheme="majorBidi" w:cstheme="majorBidi"/>
          <w:sz w:val="20"/>
          <w:szCs w:val="20"/>
          <w:lang w:val="en-US"/>
        </w:rPr>
        <w:t>Panel 2</w:t>
      </w:r>
      <w:r w:rsidR="00791BBB" w:rsidRPr="007B566C">
        <w:rPr>
          <w:rFonts w:asciiTheme="majorBidi" w:hAnsiTheme="majorBidi" w:cstheme="majorBidi"/>
          <w:sz w:val="20"/>
          <w:szCs w:val="20"/>
          <w:lang w:val="en-US"/>
        </w:rPr>
        <w:t xml:space="preserve"> puts in evidence that the </w:t>
      </w:r>
      <w:r w:rsidR="00791BBB">
        <w:rPr>
          <w:rFonts w:asciiTheme="majorBidi" w:hAnsiTheme="majorBidi" w:cstheme="majorBidi"/>
          <w:sz w:val="20"/>
          <w:szCs w:val="20"/>
          <w:lang w:val="en-US"/>
        </w:rPr>
        <w:t xml:space="preserve">level of </w:t>
      </w:r>
      <w:r w:rsidR="00791BBB" w:rsidRPr="007B566C">
        <w:rPr>
          <w:rFonts w:asciiTheme="majorBidi" w:hAnsiTheme="majorBidi" w:cstheme="majorBidi"/>
          <w:sz w:val="20"/>
          <w:szCs w:val="20"/>
          <w:lang w:val="en-US"/>
        </w:rPr>
        <w:t>private benefits decrease</w:t>
      </w:r>
      <w:r w:rsidR="00791BBB">
        <w:rPr>
          <w:rFonts w:asciiTheme="majorBidi" w:hAnsiTheme="majorBidi" w:cstheme="majorBidi"/>
          <w:sz w:val="20"/>
          <w:szCs w:val="20"/>
          <w:lang w:val="en-US"/>
        </w:rPr>
        <w:t>s</w:t>
      </w:r>
      <w:r w:rsidR="00791BBB" w:rsidRPr="007B566C">
        <w:rPr>
          <w:rFonts w:asciiTheme="majorBidi" w:hAnsiTheme="majorBidi" w:cstheme="majorBidi"/>
          <w:sz w:val="20"/>
          <w:szCs w:val="20"/>
          <w:lang w:val="en-US"/>
        </w:rPr>
        <w:t xml:space="preserve"> with </w:t>
      </w:r>
      <w:r w:rsidR="00791BBB">
        <w:rPr>
          <w:rFonts w:asciiTheme="majorBidi" w:hAnsiTheme="majorBidi" w:cstheme="majorBidi"/>
          <w:sz w:val="20"/>
          <w:szCs w:val="20"/>
          <w:lang w:val="en-US"/>
        </w:rPr>
        <w:t xml:space="preserve">the </w:t>
      </w:r>
      <w:r w:rsidR="00791BBB" w:rsidRPr="007B566C">
        <w:rPr>
          <w:rFonts w:asciiTheme="majorBidi" w:hAnsiTheme="majorBidi" w:cstheme="majorBidi"/>
          <w:sz w:val="20"/>
          <w:szCs w:val="20"/>
          <w:lang w:val="en-US"/>
        </w:rPr>
        <w:t xml:space="preserve">dividend payout ratio. </w:t>
      </w:r>
      <w:r w:rsidR="00791BBB">
        <w:rPr>
          <w:rFonts w:asciiTheme="majorBidi" w:hAnsiTheme="majorBidi" w:cstheme="majorBidi"/>
          <w:sz w:val="20"/>
          <w:szCs w:val="20"/>
          <w:lang w:val="en-US"/>
        </w:rPr>
        <w:t xml:space="preserve">Thus, an increase in dividends would reduce </w:t>
      </w:r>
      <w:r w:rsidR="002F7E95">
        <w:rPr>
          <w:rFonts w:asciiTheme="majorBidi" w:hAnsiTheme="majorBidi" w:cstheme="majorBidi"/>
          <w:sz w:val="20"/>
          <w:szCs w:val="20"/>
          <w:lang w:val="en-US"/>
        </w:rPr>
        <w:t xml:space="preserve">the size of private rents that controlling owners would extract and expropriate from small investors. This is consistent with </w:t>
      </w:r>
      <w:r w:rsidR="00791BBB">
        <w:rPr>
          <w:rFonts w:asciiTheme="majorBidi" w:hAnsiTheme="majorBidi" w:cstheme="majorBidi"/>
          <w:sz w:val="20"/>
          <w:szCs w:val="20"/>
          <w:lang w:val="en-US"/>
        </w:rPr>
        <w:t xml:space="preserve">free cash flow </w:t>
      </w:r>
      <w:r w:rsidR="002F7E95">
        <w:rPr>
          <w:rFonts w:asciiTheme="majorBidi" w:hAnsiTheme="majorBidi" w:cstheme="majorBidi"/>
          <w:sz w:val="20"/>
          <w:szCs w:val="20"/>
          <w:lang w:val="en-US"/>
        </w:rPr>
        <w:t>hypothesis</w:t>
      </w:r>
      <w:r w:rsidR="00791BBB">
        <w:rPr>
          <w:rFonts w:asciiTheme="majorBidi" w:hAnsiTheme="majorBidi" w:cstheme="majorBidi"/>
          <w:sz w:val="20"/>
          <w:szCs w:val="20"/>
          <w:lang w:val="en-US"/>
        </w:rPr>
        <w:t xml:space="preserve"> of Jensen (1986)</w:t>
      </w:r>
      <w:r w:rsidR="002F7E95">
        <w:rPr>
          <w:rFonts w:asciiTheme="majorBidi" w:hAnsiTheme="majorBidi" w:cstheme="majorBidi"/>
          <w:sz w:val="20"/>
          <w:szCs w:val="20"/>
          <w:lang w:val="en-US"/>
        </w:rPr>
        <w:t xml:space="preserve"> that advocates that </w:t>
      </w:r>
      <w:r w:rsidR="00791BBB">
        <w:rPr>
          <w:rFonts w:asciiTheme="majorBidi" w:hAnsiTheme="majorBidi" w:cstheme="majorBidi"/>
          <w:sz w:val="20"/>
          <w:szCs w:val="20"/>
          <w:lang w:val="en-US"/>
        </w:rPr>
        <w:t xml:space="preserve">dividends play a significant role in reducing </w:t>
      </w:r>
      <w:r w:rsidR="002F7E95">
        <w:rPr>
          <w:rFonts w:asciiTheme="majorBidi" w:hAnsiTheme="majorBidi" w:cstheme="majorBidi"/>
          <w:sz w:val="20"/>
          <w:szCs w:val="20"/>
          <w:lang w:val="en-US"/>
        </w:rPr>
        <w:t>agency conflicts and enhancing corporate governance</w:t>
      </w:r>
      <w:r w:rsidR="00791BBB" w:rsidRPr="005F7934">
        <w:rPr>
          <w:rFonts w:asciiTheme="majorBidi" w:hAnsiTheme="majorBidi" w:cstheme="majorBidi"/>
          <w:sz w:val="20"/>
          <w:szCs w:val="20"/>
          <w:lang w:val="en-US"/>
        </w:rPr>
        <w:t xml:space="preserve">. </w:t>
      </w:r>
      <w:r>
        <w:rPr>
          <w:rFonts w:asciiTheme="majorBidi" w:hAnsiTheme="majorBidi" w:cstheme="majorBidi"/>
          <w:sz w:val="20"/>
          <w:szCs w:val="20"/>
          <w:lang w:val="en-US"/>
        </w:rPr>
        <w:t>Panel 2</w:t>
      </w:r>
      <w:r w:rsidR="00791BBB" w:rsidRPr="005F7934">
        <w:rPr>
          <w:rFonts w:asciiTheme="majorBidi" w:hAnsiTheme="majorBidi" w:cstheme="majorBidi"/>
          <w:sz w:val="20"/>
          <w:szCs w:val="20"/>
          <w:lang w:val="en-US"/>
        </w:rPr>
        <w:t xml:space="preserve"> also points that the </w:t>
      </w:r>
      <w:r w:rsidR="002F7E95">
        <w:rPr>
          <w:rFonts w:asciiTheme="majorBidi" w:hAnsiTheme="majorBidi" w:cstheme="majorBidi"/>
          <w:sz w:val="20"/>
          <w:szCs w:val="20"/>
          <w:lang w:val="en-US"/>
        </w:rPr>
        <w:t>level</w:t>
      </w:r>
      <w:r w:rsidR="00791BBB" w:rsidRPr="005F7934">
        <w:rPr>
          <w:rFonts w:asciiTheme="majorBidi" w:hAnsiTheme="majorBidi" w:cstheme="majorBidi"/>
          <w:sz w:val="20"/>
          <w:szCs w:val="20"/>
          <w:lang w:val="en-US"/>
        </w:rPr>
        <w:t xml:space="preserve"> of private benefits increases with the ownership concentration</w:t>
      </w:r>
      <w:r w:rsidR="002F7E95">
        <w:rPr>
          <w:rFonts w:asciiTheme="majorBidi" w:hAnsiTheme="majorBidi" w:cstheme="majorBidi"/>
          <w:sz w:val="20"/>
          <w:szCs w:val="20"/>
          <w:lang w:val="en-US"/>
        </w:rPr>
        <w:t xml:space="preserve">. Such a finding provides further </w:t>
      </w:r>
      <w:r w:rsidR="002F7E95">
        <w:rPr>
          <w:rFonts w:asciiTheme="majorBidi" w:hAnsiTheme="majorBidi" w:cstheme="majorBidi"/>
          <w:sz w:val="20"/>
          <w:szCs w:val="20"/>
          <w:lang w:val="en-US"/>
        </w:rPr>
        <w:lastRenderedPageBreak/>
        <w:t xml:space="preserve">support for the rent extraction hypothesis by revealing that dominant blockholders are tempted to accrue private benefits at the expense of other outside minority shareholders </w:t>
      </w:r>
      <w:r w:rsidR="00791BBB" w:rsidRPr="005F7934">
        <w:rPr>
          <w:rFonts w:asciiTheme="majorBidi" w:hAnsiTheme="majorBidi" w:cstheme="majorBidi"/>
          <w:sz w:val="20"/>
          <w:szCs w:val="20"/>
          <w:lang w:val="en-US"/>
        </w:rPr>
        <w:t>(Barclay and Holderness, 1989</w:t>
      </w:r>
      <w:r w:rsidR="002F7E95">
        <w:rPr>
          <w:rFonts w:asciiTheme="majorBidi" w:hAnsiTheme="majorBidi" w:cstheme="majorBidi"/>
          <w:sz w:val="20"/>
          <w:szCs w:val="20"/>
          <w:lang w:val="en-US"/>
        </w:rPr>
        <w:t xml:space="preserve">; </w:t>
      </w:r>
      <w:proofErr w:type="spellStart"/>
      <w:r w:rsidR="002F7E95">
        <w:rPr>
          <w:rFonts w:asciiTheme="majorBidi" w:hAnsiTheme="majorBidi" w:cstheme="majorBidi"/>
          <w:sz w:val="20"/>
          <w:szCs w:val="20"/>
          <w:lang w:val="en-US"/>
        </w:rPr>
        <w:t>Shleifer</w:t>
      </w:r>
      <w:proofErr w:type="spellEnd"/>
      <w:r w:rsidR="002F7E95">
        <w:rPr>
          <w:rFonts w:asciiTheme="majorBidi" w:hAnsiTheme="majorBidi" w:cstheme="majorBidi"/>
          <w:sz w:val="20"/>
          <w:szCs w:val="20"/>
          <w:lang w:val="en-US"/>
        </w:rPr>
        <w:t xml:space="preserve"> and </w:t>
      </w:r>
      <w:proofErr w:type="spellStart"/>
      <w:r w:rsidR="002F7E95">
        <w:rPr>
          <w:rFonts w:asciiTheme="majorBidi" w:hAnsiTheme="majorBidi" w:cstheme="majorBidi"/>
          <w:sz w:val="20"/>
          <w:szCs w:val="20"/>
          <w:lang w:val="en-US"/>
        </w:rPr>
        <w:t>Vishny</w:t>
      </w:r>
      <w:proofErr w:type="spellEnd"/>
      <w:r w:rsidR="002F7E95">
        <w:rPr>
          <w:rFonts w:asciiTheme="majorBidi" w:hAnsiTheme="majorBidi" w:cstheme="majorBidi"/>
          <w:sz w:val="20"/>
          <w:szCs w:val="20"/>
          <w:lang w:val="en-US"/>
        </w:rPr>
        <w:t>, 1997</w:t>
      </w:r>
      <w:r w:rsidR="00791BBB" w:rsidRPr="005F7934">
        <w:rPr>
          <w:rFonts w:asciiTheme="majorBidi" w:hAnsiTheme="majorBidi" w:cstheme="majorBidi"/>
          <w:sz w:val="20"/>
          <w:szCs w:val="20"/>
          <w:lang w:val="en-US"/>
        </w:rPr>
        <w:t>).</w:t>
      </w:r>
      <w:r w:rsidR="00791BBB" w:rsidRPr="007B566C">
        <w:rPr>
          <w:rFonts w:asciiTheme="majorBidi" w:hAnsiTheme="majorBidi" w:cstheme="majorBidi"/>
          <w:color w:val="FF0000"/>
          <w:sz w:val="20"/>
          <w:szCs w:val="20"/>
          <w:lang w:val="en-US"/>
        </w:rPr>
        <w:t xml:space="preserve"> </w:t>
      </w:r>
      <w:r w:rsidR="00791BBB">
        <w:rPr>
          <w:rFonts w:asciiTheme="majorBidi" w:hAnsiTheme="majorBidi" w:cstheme="majorBidi"/>
          <w:color w:val="FF0000"/>
          <w:sz w:val="20"/>
          <w:szCs w:val="20"/>
          <w:lang w:val="en-US"/>
        </w:rPr>
        <w:t xml:space="preserve"> </w:t>
      </w:r>
      <w:r w:rsidR="00791BBB" w:rsidRPr="0029299B">
        <w:rPr>
          <w:rFonts w:asciiTheme="majorBidi" w:hAnsiTheme="majorBidi" w:cstheme="majorBidi"/>
          <w:sz w:val="20"/>
          <w:szCs w:val="20"/>
          <w:lang w:val="en-US"/>
        </w:rPr>
        <w:t xml:space="preserve">However, </w:t>
      </w:r>
      <w:r>
        <w:rPr>
          <w:rFonts w:asciiTheme="majorBidi" w:hAnsiTheme="majorBidi" w:cstheme="majorBidi"/>
          <w:sz w:val="20"/>
          <w:szCs w:val="20"/>
          <w:lang w:val="en-US"/>
        </w:rPr>
        <w:t>Panel 2</w:t>
      </w:r>
      <w:r w:rsidR="00FA62B4">
        <w:rPr>
          <w:rFonts w:asciiTheme="majorBidi" w:hAnsiTheme="majorBidi" w:cstheme="majorBidi"/>
          <w:sz w:val="20"/>
          <w:szCs w:val="20"/>
          <w:lang w:val="en-US"/>
        </w:rPr>
        <w:t xml:space="preserve"> highlights that the presence of another blockholder implies </w:t>
      </w:r>
      <w:r w:rsidR="00FA62B4" w:rsidRPr="007B566C">
        <w:rPr>
          <w:rFonts w:asciiTheme="majorBidi" w:hAnsiTheme="majorBidi" w:cstheme="majorBidi"/>
          <w:sz w:val="20"/>
          <w:szCs w:val="20"/>
          <w:lang w:val="en-US"/>
        </w:rPr>
        <w:t>a mutual monitoring</w:t>
      </w:r>
      <w:r w:rsidR="00FA62B4">
        <w:rPr>
          <w:rFonts w:asciiTheme="majorBidi" w:hAnsiTheme="majorBidi" w:cstheme="majorBidi"/>
          <w:sz w:val="20"/>
          <w:szCs w:val="20"/>
          <w:lang w:val="en-US"/>
        </w:rPr>
        <w:t xml:space="preserve"> and thus would curtail the problem of rent expropriation; which is already argued by Bloch and </w:t>
      </w:r>
      <w:proofErr w:type="spellStart"/>
      <w:r w:rsidR="00FA62B4">
        <w:rPr>
          <w:rFonts w:asciiTheme="majorBidi" w:hAnsiTheme="majorBidi" w:cstheme="majorBidi"/>
          <w:sz w:val="20"/>
          <w:szCs w:val="20"/>
          <w:lang w:val="en-US"/>
        </w:rPr>
        <w:t>Hege</w:t>
      </w:r>
      <w:proofErr w:type="spellEnd"/>
      <w:r w:rsidR="00FA62B4">
        <w:rPr>
          <w:rFonts w:asciiTheme="majorBidi" w:hAnsiTheme="majorBidi" w:cstheme="majorBidi"/>
          <w:sz w:val="20"/>
          <w:szCs w:val="20"/>
          <w:lang w:val="en-US"/>
        </w:rPr>
        <w:t xml:space="preserve"> (2001)</w:t>
      </w:r>
      <w:r w:rsidR="000616F5">
        <w:rPr>
          <w:rFonts w:asciiTheme="majorBidi" w:hAnsiTheme="majorBidi" w:cstheme="majorBidi"/>
          <w:sz w:val="20"/>
          <w:szCs w:val="20"/>
          <w:lang w:val="en-US"/>
        </w:rPr>
        <w:t xml:space="preserve">, </w:t>
      </w:r>
      <w:proofErr w:type="spellStart"/>
      <w:r w:rsidR="000616F5">
        <w:rPr>
          <w:rFonts w:asciiTheme="majorBidi" w:hAnsiTheme="majorBidi" w:cstheme="majorBidi"/>
          <w:sz w:val="20"/>
          <w:szCs w:val="20"/>
          <w:lang w:val="en-US"/>
        </w:rPr>
        <w:t>Faccio</w:t>
      </w:r>
      <w:proofErr w:type="spellEnd"/>
      <w:r w:rsidR="000616F5">
        <w:rPr>
          <w:rFonts w:asciiTheme="majorBidi" w:hAnsiTheme="majorBidi" w:cstheme="majorBidi"/>
          <w:sz w:val="20"/>
          <w:szCs w:val="20"/>
          <w:lang w:val="en-US"/>
        </w:rPr>
        <w:t xml:space="preserve"> et al. (2001)</w:t>
      </w:r>
      <w:r w:rsidR="00FA62B4">
        <w:rPr>
          <w:rFonts w:asciiTheme="majorBidi" w:hAnsiTheme="majorBidi" w:cstheme="majorBidi"/>
          <w:sz w:val="20"/>
          <w:szCs w:val="20"/>
          <w:lang w:val="en-US"/>
        </w:rPr>
        <w:t xml:space="preserve"> and </w:t>
      </w:r>
      <w:r w:rsidR="00FA62B4" w:rsidRPr="00C71A33">
        <w:rPr>
          <w:rFonts w:asciiTheme="majorBidi" w:hAnsiTheme="majorBidi" w:cstheme="majorBidi"/>
          <w:sz w:val="20"/>
          <w:szCs w:val="20"/>
          <w:lang w:val="en-US"/>
        </w:rPr>
        <w:t>Maur</w:t>
      </w:r>
      <w:r w:rsidR="00C41670" w:rsidRPr="00C71A33">
        <w:rPr>
          <w:rFonts w:asciiTheme="majorBidi" w:hAnsiTheme="majorBidi" w:cstheme="majorBidi"/>
          <w:sz w:val="20"/>
          <w:szCs w:val="20"/>
          <w:lang w:val="en-US"/>
        </w:rPr>
        <w:t>y</w:t>
      </w:r>
      <w:r w:rsidR="00FA62B4" w:rsidRPr="00C71A33">
        <w:rPr>
          <w:rFonts w:asciiTheme="majorBidi" w:hAnsiTheme="majorBidi" w:cstheme="majorBidi"/>
          <w:sz w:val="20"/>
          <w:szCs w:val="20"/>
          <w:lang w:val="en-US"/>
        </w:rPr>
        <w:t xml:space="preserve"> and</w:t>
      </w:r>
      <w:r w:rsidR="00FA62B4">
        <w:rPr>
          <w:rFonts w:asciiTheme="majorBidi" w:hAnsiTheme="majorBidi" w:cstheme="majorBidi"/>
          <w:sz w:val="20"/>
          <w:szCs w:val="20"/>
          <w:lang w:val="en-US"/>
        </w:rPr>
        <w:t xml:space="preserve"> </w:t>
      </w:r>
      <w:proofErr w:type="spellStart"/>
      <w:r w:rsidR="00FA62B4" w:rsidRPr="00BA019C">
        <w:rPr>
          <w:rFonts w:asciiTheme="majorBidi" w:hAnsiTheme="majorBidi" w:cstheme="majorBidi"/>
          <w:sz w:val="20"/>
          <w:szCs w:val="20"/>
          <w:lang w:val="en-US"/>
        </w:rPr>
        <w:t>Pajuste</w:t>
      </w:r>
      <w:proofErr w:type="spellEnd"/>
      <w:r w:rsidR="00FA62B4">
        <w:rPr>
          <w:rFonts w:asciiTheme="majorBidi" w:hAnsiTheme="majorBidi" w:cstheme="majorBidi"/>
          <w:sz w:val="20"/>
          <w:szCs w:val="20"/>
          <w:lang w:val="en-US"/>
        </w:rPr>
        <w:t xml:space="preserve"> </w:t>
      </w:r>
      <w:r w:rsidR="00FA62B4" w:rsidRPr="00BA019C">
        <w:rPr>
          <w:rFonts w:asciiTheme="majorBidi" w:hAnsiTheme="majorBidi" w:cstheme="majorBidi"/>
          <w:sz w:val="20"/>
          <w:szCs w:val="20"/>
          <w:lang w:val="en-US"/>
        </w:rPr>
        <w:t>(200</w:t>
      </w:r>
      <w:r w:rsidR="000616F5">
        <w:rPr>
          <w:rFonts w:asciiTheme="majorBidi" w:hAnsiTheme="majorBidi" w:cstheme="majorBidi"/>
          <w:sz w:val="20"/>
          <w:szCs w:val="20"/>
          <w:lang w:val="en-US"/>
        </w:rPr>
        <w:t>5)</w:t>
      </w:r>
      <w:r w:rsidR="00FA62B4">
        <w:rPr>
          <w:rFonts w:asciiTheme="majorBidi" w:hAnsiTheme="majorBidi" w:cstheme="majorBidi"/>
          <w:sz w:val="20"/>
          <w:szCs w:val="20"/>
          <w:lang w:val="en-US"/>
        </w:rPr>
        <w:t xml:space="preserve">. Similarly, </w:t>
      </w:r>
      <w:r w:rsidR="000616F5">
        <w:rPr>
          <w:rFonts w:asciiTheme="majorBidi" w:hAnsiTheme="majorBidi" w:cstheme="majorBidi"/>
          <w:sz w:val="20"/>
          <w:szCs w:val="20"/>
          <w:lang w:val="en-US"/>
        </w:rPr>
        <w:t>rent expropriation</w:t>
      </w:r>
      <w:r w:rsidR="00FA62B4">
        <w:rPr>
          <w:rFonts w:asciiTheme="majorBidi" w:hAnsiTheme="majorBidi" w:cstheme="majorBidi"/>
          <w:sz w:val="20"/>
          <w:szCs w:val="20"/>
          <w:lang w:val="en-US"/>
        </w:rPr>
        <w:t xml:space="preserve"> is more difficult when firms are</w:t>
      </w:r>
      <w:r w:rsidR="00791BBB" w:rsidRPr="0029299B">
        <w:rPr>
          <w:rFonts w:asciiTheme="majorBidi" w:hAnsiTheme="majorBidi" w:cstheme="majorBidi"/>
          <w:sz w:val="20"/>
          <w:szCs w:val="20"/>
          <w:lang w:val="en-US"/>
        </w:rPr>
        <w:t xml:space="preserve"> cross-listed in the United States (</w:t>
      </w:r>
      <w:proofErr w:type="spellStart"/>
      <w:r w:rsidR="00791BBB" w:rsidRPr="0029299B">
        <w:rPr>
          <w:rFonts w:asciiTheme="majorBidi" w:hAnsiTheme="majorBidi" w:cstheme="majorBidi"/>
          <w:sz w:val="20"/>
          <w:szCs w:val="20"/>
          <w:lang w:val="en-US"/>
        </w:rPr>
        <w:t>Doidge</w:t>
      </w:r>
      <w:proofErr w:type="spellEnd"/>
      <w:r w:rsidR="00791BBB" w:rsidRPr="0029299B">
        <w:rPr>
          <w:rFonts w:asciiTheme="majorBidi" w:hAnsiTheme="majorBidi" w:cstheme="majorBidi"/>
          <w:sz w:val="20"/>
          <w:szCs w:val="20"/>
          <w:lang w:val="en-US"/>
        </w:rPr>
        <w:t xml:space="preserve"> et </w:t>
      </w:r>
      <w:r w:rsidR="00791BBB" w:rsidRPr="0029299B">
        <w:rPr>
          <w:rFonts w:asciiTheme="majorBidi" w:hAnsiTheme="majorBidi" w:cstheme="majorBidi"/>
          <w:i/>
          <w:iCs/>
          <w:sz w:val="20"/>
          <w:szCs w:val="20"/>
          <w:lang w:val="en-US"/>
        </w:rPr>
        <w:t xml:space="preserve">al., </w:t>
      </w:r>
      <w:r w:rsidR="00791BBB" w:rsidRPr="0029299B">
        <w:rPr>
          <w:rFonts w:asciiTheme="majorBidi" w:hAnsiTheme="majorBidi" w:cstheme="majorBidi"/>
          <w:sz w:val="20"/>
          <w:szCs w:val="20"/>
          <w:lang w:val="en-US"/>
        </w:rPr>
        <w:t>2009)</w:t>
      </w:r>
      <w:r w:rsidR="000616F5">
        <w:rPr>
          <w:rFonts w:asciiTheme="majorBidi" w:hAnsiTheme="majorBidi" w:cstheme="majorBidi"/>
          <w:sz w:val="20"/>
          <w:szCs w:val="20"/>
          <w:lang w:val="en-US"/>
        </w:rPr>
        <w:t xml:space="preserve">, thanks to strong legal protection and effective regulation. In the contrast, private </w:t>
      </w:r>
      <w:r w:rsidR="000616F5" w:rsidRPr="00117AEE">
        <w:rPr>
          <w:rFonts w:asciiTheme="majorBidi" w:hAnsiTheme="majorBidi" w:cstheme="majorBidi"/>
          <w:sz w:val="20"/>
          <w:szCs w:val="20"/>
          <w:lang w:val="en-US"/>
        </w:rPr>
        <w:t xml:space="preserve">benefits are more easily extracted in </w:t>
      </w:r>
      <w:r w:rsidR="00791BBB" w:rsidRPr="00117AEE">
        <w:rPr>
          <w:rFonts w:asciiTheme="majorBidi" w:hAnsiTheme="majorBidi" w:cstheme="majorBidi"/>
          <w:sz w:val="20"/>
          <w:szCs w:val="20"/>
          <w:lang w:val="en-US"/>
        </w:rPr>
        <w:t xml:space="preserve">dual class firms </w:t>
      </w:r>
      <w:r w:rsidR="000616F5" w:rsidRPr="00117AEE">
        <w:rPr>
          <w:rFonts w:asciiTheme="majorBidi" w:hAnsiTheme="majorBidi" w:cstheme="majorBidi"/>
          <w:sz w:val="20"/>
          <w:szCs w:val="20"/>
          <w:lang w:val="en-US"/>
        </w:rPr>
        <w:t xml:space="preserve">in which the major issue is between majority and minority shareholders rather than shareholders and managers </w:t>
      </w:r>
      <w:r w:rsidR="00791BBB" w:rsidRPr="00117AEE">
        <w:rPr>
          <w:rFonts w:asciiTheme="majorBidi" w:hAnsiTheme="majorBidi" w:cstheme="majorBidi"/>
          <w:sz w:val="20"/>
          <w:szCs w:val="20"/>
          <w:lang w:val="en-US"/>
        </w:rPr>
        <w:t>(</w:t>
      </w:r>
      <w:proofErr w:type="spellStart"/>
      <w:r w:rsidR="00791BBB" w:rsidRPr="00117AEE">
        <w:rPr>
          <w:rFonts w:asciiTheme="majorBidi" w:hAnsiTheme="majorBidi" w:cstheme="majorBidi"/>
          <w:sz w:val="20"/>
          <w:szCs w:val="20"/>
          <w:lang w:val="en-US"/>
        </w:rPr>
        <w:t>Masulis</w:t>
      </w:r>
      <w:proofErr w:type="spellEnd"/>
      <w:r w:rsidR="00791BBB" w:rsidRPr="00117AEE">
        <w:rPr>
          <w:rFonts w:asciiTheme="majorBidi" w:hAnsiTheme="majorBidi" w:cstheme="majorBidi"/>
          <w:sz w:val="20"/>
          <w:szCs w:val="20"/>
          <w:lang w:val="en-US"/>
        </w:rPr>
        <w:t xml:space="preserve"> et </w:t>
      </w:r>
      <w:r w:rsidR="00791BBB" w:rsidRPr="00117AEE">
        <w:rPr>
          <w:rFonts w:asciiTheme="majorBidi" w:hAnsiTheme="majorBidi" w:cstheme="majorBidi"/>
          <w:i/>
          <w:iCs/>
          <w:sz w:val="20"/>
          <w:szCs w:val="20"/>
          <w:lang w:val="en-US"/>
        </w:rPr>
        <w:t xml:space="preserve">al., </w:t>
      </w:r>
      <w:r w:rsidR="00791BBB" w:rsidRPr="00117AEE">
        <w:rPr>
          <w:rFonts w:asciiTheme="majorBidi" w:hAnsiTheme="majorBidi" w:cstheme="majorBidi"/>
          <w:sz w:val="20"/>
          <w:szCs w:val="20"/>
          <w:lang w:val="en-US"/>
        </w:rPr>
        <w:t xml:space="preserve">2009). </w:t>
      </w:r>
      <w:r w:rsidR="000616F5" w:rsidRPr="00117AEE">
        <w:rPr>
          <w:rFonts w:asciiTheme="majorBidi" w:hAnsiTheme="majorBidi" w:cstheme="majorBidi"/>
          <w:sz w:val="20"/>
          <w:szCs w:val="20"/>
          <w:lang w:val="en-US"/>
        </w:rPr>
        <w:t>F</w:t>
      </w:r>
      <w:r w:rsidR="00791BBB" w:rsidRPr="00117AEE">
        <w:rPr>
          <w:rFonts w:asciiTheme="majorBidi" w:hAnsiTheme="majorBidi" w:cstheme="majorBidi"/>
          <w:sz w:val="20"/>
          <w:szCs w:val="20"/>
          <w:lang w:val="en-US"/>
        </w:rPr>
        <w:t>inally</w:t>
      </w:r>
      <w:r w:rsidR="000616F5" w:rsidRPr="00117AEE">
        <w:rPr>
          <w:rFonts w:asciiTheme="majorBidi" w:hAnsiTheme="majorBidi" w:cstheme="majorBidi"/>
          <w:sz w:val="20"/>
          <w:szCs w:val="20"/>
          <w:lang w:val="en-US"/>
        </w:rPr>
        <w:t xml:space="preserve">, </w:t>
      </w:r>
      <w:r w:rsidRPr="00117AEE">
        <w:rPr>
          <w:rFonts w:asciiTheme="majorBidi" w:hAnsiTheme="majorBidi" w:cstheme="majorBidi"/>
          <w:sz w:val="20"/>
          <w:szCs w:val="20"/>
          <w:lang w:val="en-US"/>
        </w:rPr>
        <w:t>Panel 2</w:t>
      </w:r>
      <w:r w:rsidR="000616F5" w:rsidRPr="00117AEE">
        <w:rPr>
          <w:rFonts w:asciiTheme="majorBidi" w:hAnsiTheme="majorBidi" w:cstheme="majorBidi"/>
          <w:sz w:val="20"/>
          <w:szCs w:val="20"/>
          <w:lang w:val="en-US"/>
        </w:rPr>
        <w:t xml:space="preserve"> </w:t>
      </w:r>
      <w:r w:rsidR="00791BBB" w:rsidRPr="00117AEE">
        <w:rPr>
          <w:rFonts w:asciiTheme="majorBidi" w:hAnsiTheme="majorBidi" w:cstheme="majorBidi"/>
          <w:sz w:val="20"/>
          <w:szCs w:val="20"/>
          <w:lang w:val="en-US"/>
        </w:rPr>
        <w:t xml:space="preserve">shows that </w:t>
      </w:r>
      <w:r w:rsidRPr="00117AEE">
        <w:rPr>
          <w:rFonts w:asciiTheme="majorBidi" w:hAnsiTheme="majorBidi" w:cstheme="majorBidi"/>
          <w:sz w:val="20"/>
          <w:szCs w:val="20"/>
          <w:lang w:val="en-US"/>
        </w:rPr>
        <w:t>according to Barclays and Holderness (1989) and</w:t>
      </w:r>
      <w:r w:rsidRPr="00C71A33">
        <w:rPr>
          <w:rFonts w:asciiTheme="majorBidi" w:hAnsiTheme="majorBidi" w:cstheme="majorBidi"/>
          <w:sz w:val="20"/>
          <w:szCs w:val="20"/>
          <w:lang w:val="en-US"/>
        </w:rPr>
        <w:t xml:space="preserve"> </w:t>
      </w:r>
      <w:proofErr w:type="spellStart"/>
      <w:r w:rsidR="00C41670" w:rsidRPr="00C71A33">
        <w:rPr>
          <w:rFonts w:ascii="TimesNewRomanPSMT" w:hAnsi="TimesNewRomanPSMT"/>
          <w:sz w:val="20"/>
          <w:szCs w:val="20"/>
          <w:lang w:val="en-US"/>
        </w:rPr>
        <w:t>Weifeng</w:t>
      </w:r>
      <w:proofErr w:type="spellEnd"/>
      <w:r w:rsidRPr="00C41670">
        <w:rPr>
          <w:rFonts w:asciiTheme="majorBidi" w:hAnsiTheme="majorBidi" w:cstheme="majorBidi"/>
          <w:color w:val="FF0000"/>
          <w:sz w:val="20"/>
          <w:szCs w:val="20"/>
          <w:lang w:val="en-US"/>
        </w:rPr>
        <w:t xml:space="preserve"> </w:t>
      </w:r>
      <w:r w:rsidRPr="00117AEE">
        <w:rPr>
          <w:rFonts w:asciiTheme="majorBidi" w:hAnsiTheme="majorBidi" w:cstheme="majorBidi"/>
          <w:sz w:val="20"/>
          <w:szCs w:val="20"/>
          <w:lang w:val="en-US"/>
        </w:rPr>
        <w:t xml:space="preserve">et al. (2008), higher private benefits are likely accrued in </w:t>
      </w:r>
      <w:r w:rsidR="00995665" w:rsidRPr="00117AEE">
        <w:rPr>
          <w:rFonts w:asciiTheme="majorBidi" w:hAnsiTheme="majorBidi" w:cstheme="majorBidi"/>
          <w:sz w:val="20"/>
          <w:szCs w:val="20"/>
          <w:lang w:val="en-US"/>
        </w:rPr>
        <w:t>bigger firms</w:t>
      </w:r>
      <w:r w:rsidRPr="00117AEE">
        <w:rPr>
          <w:rFonts w:asciiTheme="majorBidi" w:hAnsiTheme="majorBidi" w:cstheme="majorBidi"/>
          <w:sz w:val="20"/>
          <w:szCs w:val="20"/>
          <w:lang w:val="en-US"/>
        </w:rPr>
        <w:t xml:space="preserve">. Similarly </w:t>
      </w:r>
      <w:r w:rsidR="000616F5" w:rsidRPr="00117AEE">
        <w:rPr>
          <w:rFonts w:asciiTheme="majorBidi" w:hAnsiTheme="majorBidi" w:cstheme="majorBidi"/>
          <w:sz w:val="20"/>
          <w:szCs w:val="20"/>
          <w:lang w:val="en-US"/>
        </w:rPr>
        <w:t xml:space="preserve">excessive leverage would imply a severe rent extraction </w:t>
      </w:r>
      <w:r w:rsidR="009736E6" w:rsidRPr="00117AEE">
        <w:rPr>
          <w:rFonts w:asciiTheme="majorBidi" w:hAnsiTheme="majorBidi" w:cstheme="majorBidi"/>
          <w:sz w:val="20"/>
          <w:szCs w:val="20"/>
          <w:lang w:val="en-US"/>
        </w:rPr>
        <w:t>(</w:t>
      </w:r>
      <w:proofErr w:type="spellStart"/>
      <w:r w:rsidRPr="00117AEE">
        <w:rPr>
          <w:rFonts w:asciiTheme="majorBidi" w:hAnsiTheme="majorBidi" w:cstheme="majorBidi"/>
          <w:sz w:val="20"/>
          <w:szCs w:val="20"/>
          <w:lang w:val="en-US"/>
        </w:rPr>
        <w:t>Nicodano</w:t>
      </w:r>
      <w:proofErr w:type="spellEnd"/>
      <w:r w:rsidRPr="00117AEE">
        <w:rPr>
          <w:rFonts w:asciiTheme="majorBidi" w:hAnsiTheme="majorBidi" w:cstheme="majorBidi"/>
          <w:sz w:val="20"/>
          <w:szCs w:val="20"/>
          <w:lang w:val="en-US"/>
        </w:rPr>
        <w:t xml:space="preserve"> and </w:t>
      </w:r>
      <w:proofErr w:type="spellStart"/>
      <w:r w:rsidRPr="00117AEE">
        <w:rPr>
          <w:rFonts w:asciiTheme="majorBidi" w:hAnsiTheme="majorBidi" w:cstheme="majorBidi"/>
          <w:sz w:val="20"/>
          <w:szCs w:val="20"/>
          <w:lang w:val="en-US"/>
        </w:rPr>
        <w:t>Sembenelli</w:t>
      </w:r>
      <w:proofErr w:type="spellEnd"/>
      <w:r w:rsidRPr="00117AEE">
        <w:rPr>
          <w:rFonts w:asciiTheme="majorBidi" w:hAnsiTheme="majorBidi" w:cstheme="majorBidi"/>
          <w:sz w:val="20"/>
          <w:szCs w:val="20"/>
          <w:lang w:val="en-US"/>
        </w:rPr>
        <w:t xml:space="preserve">, 2004) </w:t>
      </w:r>
      <w:r w:rsidR="009736E6" w:rsidRPr="00117AEE">
        <w:rPr>
          <w:rFonts w:asciiTheme="majorBidi" w:hAnsiTheme="majorBidi" w:cstheme="majorBidi"/>
          <w:sz w:val="20"/>
          <w:szCs w:val="20"/>
          <w:lang w:val="en-US"/>
        </w:rPr>
        <w:t>and so does high profitability (</w:t>
      </w:r>
      <w:proofErr w:type="spellStart"/>
      <w:r w:rsidR="009736E6" w:rsidRPr="00117AEE">
        <w:rPr>
          <w:rFonts w:asciiTheme="majorBidi" w:hAnsiTheme="majorBidi" w:cstheme="majorBidi"/>
          <w:sz w:val="20"/>
          <w:szCs w:val="20"/>
          <w:lang w:val="en-US"/>
        </w:rPr>
        <w:t>Dyck</w:t>
      </w:r>
      <w:proofErr w:type="spellEnd"/>
      <w:r w:rsidR="009736E6" w:rsidRPr="00117AEE">
        <w:rPr>
          <w:rFonts w:asciiTheme="majorBidi" w:hAnsiTheme="majorBidi" w:cstheme="majorBidi"/>
          <w:sz w:val="20"/>
          <w:szCs w:val="20"/>
          <w:lang w:val="en-US"/>
        </w:rPr>
        <w:t xml:space="preserve"> and </w:t>
      </w:r>
      <w:proofErr w:type="spellStart"/>
      <w:r w:rsidR="009736E6" w:rsidRPr="00117AEE">
        <w:rPr>
          <w:rFonts w:asciiTheme="majorBidi" w:hAnsiTheme="majorBidi" w:cstheme="majorBidi"/>
          <w:sz w:val="20"/>
          <w:szCs w:val="20"/>
          <w:lang w:val="en-US"/>
        </w:rPr>
        <w:t>Zingales</w:t>
      </w:r>
      <w:proofErr w:type="spellEnd"/>
      <w:r w:rsidR="009736E6" w:rsidRPr="00117AEE">
        <w:rPr>
          <w:rFonts w:asciiTheme="majorBidi" w:hAnsiTheme="majorBidi" w:cstheme="majorBidi"/>
          <w:sz w:val="20"/>
          <w:szCs w:val="20"/>
          <w:lang w:val="en-US"/>
        </w:rPr>
        <w:t>, 2004). However, firms</w:t>
      </w:r>
      <w:r w:rsidR="00995665" w:rsidRPr="00117AEE">
        <w:rPr>
          <w:rFonts w:asciiTheme="majorBidi" w:hAnsiTheme="majorBidi" w:cstheme="majorBidi"/>
          <w:sz w:val="20"/>
          <w:szCs w:val="20"/>
          <w:lang w:val="en-US"/>
        </w:rPr>
        <w:t xml:space="preserve"> </w:t>
      </w:r>
      <w:r w:rsidR="00791BBB" w:rsidRPr="00117AEE">
        <w:rPr>
          <w:rFonts w:asciiTheme="majorBidi" w:hAnsiTheme="majorBidi" w:cstheme="majorBidi"/>
          <w:sz w:val="20"/>
          <w:szCs w:val="20"/>
          <w:lang w:val="en-US"/>
        </w:rPr>
        <w:t xml:space="preserve">with higher fixed assets </w:t>
      </w:r>
      <w:r w:rsidR="000616F5" w:rsidRPr="00117AEE">
        <w:rPr>
          <w:rFonts w:asciiTheme="majorBidi" w:hAnsiTheme="majorBidi" w:cstheme="majorBidi"/>
          <w:sz w:val="20"/>
          <w:szCs w:val="20"/>
          <w:lang w:val="en-US"/>
        </w:rPr>
        <w:t xml:space="preserve">and greater growth of opportunities are associated with </w:t>
      </w:r>
      <w:r w:rsidR="00791BBB" w:rsidRPr="00117AEE">
        <w:rPr>
          <w:rFonts w:asciiTheme="majorBidi" w:hAnsiTheme="majorBidi" w:cstheme="majorBidi"/>
          <w:sz w:val="20"/>
          <w:szCs w:val="20"/>
          <w:lang w:val="en-US"/>
        </w:rPr>
        <w:t xml:space="preserve">a lower level of private benefits of control. </w:t>
      </w:r>
      <w:r w:rsidR="00D70EF3" w:rsidRPr="00117AEE">
        <w:rPr>
          <w:rFonts w:asciiTheme="majorBidi" w:hAnsiTheme="majorBidi" w:cstheme="majorBidi"/>
          <w:sz w:val="20"/>
          <w:szCs w:val="20"/>
          <w:lang w:val="en-US"/>
        </w:rPr>
        <w:t xml:space="preserve">The negative effect of </w:t>
      </w:r>
      <w:r w:rsidR="000616F5" w:rsidRPr="00117AEE">
        <w:rPr>
          <w:rFonts w:asciiTheme="majorBidi" w:hAnsiTheme="majorBidi" w:cstheme="majorBidi"/>
          <w:sz w:val="20"/>
          <w:szCs w:val="20"/>
          <w:lang w:val="en-US"/>
        </w:rPr>
        <w:t xml:space="preserve">growth opportunities </w:t>
      </w:r>
      <w:r w:rsidR="00D70EF3" w:rsidRPr="00117AEE">
        <w:rPr>
          <w:rFonts w:asciiTheme="majorBidi" w:hAnsiTheme="majorBidi" w:cstheme="majorBidi"/>
          <w:sz w:val="20"/>
          <w:szCs w:val="20"/>
          <w:lang w:val="en-US"/>
        </w:rPr>
        <w:t xml:space="preserve">on rent expropriation is argued by </w:t>
      </w:r>
      <w:proofErr w:type="spellStart"/>
      <w:r w:rsidR="001D397F" w:rsidRPr="00B51D44">
        <w:rPr>
          <w:rFonts w:ascii="TimesNewRomanPSMT" w:hAnsi="TimesNewRomanPSMT"/>
          <w:color w:val="000000"/>
          <w:sz w:val="20"/>
          <w:szCs w:val="20"/>
          <w:lang w:val="en-US"/>
        </w:rPr>
        <w:t>Weifeng</w:t>
      </w:r>
      <w:proofErr w:type="spellEnd"/>
      <w:r w:rsidR="00B076D7" w:rsidRPr="00117AEE">
        <w:rPr>
          <w:rFonts w:asciiTheme="majorBidi" w:hAnsiTheme="majorBidi" w:cstheme="majorBidi"/>
          <w:sz w:val="20"/>
          <w:szCs w:val="20"/>
          <w:lang w:val="en-US"/>
        </w:rPr>
        <w:t xml:space="preserve"> et al. (2008) </w:t>
      </w:r>
      <w:r w:rsidR="009736E6" w:rsidRPr="00117AEE">
        <w:rPr>
          <w:rFonts w:asciiTheme="majorBidi" w:hAnsiTheme="majorBidi" w:cstheme="majorBidi"/>
          <w:sz w:val="20"/>
          <w:szCs w:val="20"/>
          <w:lang w:val="en-US"/>
        </w:rPr>
        <w:t>as well as</w:t>
      </w:r>
      <w:r w:rsidR="00B076D7" w:rsidRPr="00117AEE">
        <w:rPr>
          <w:rFonts w:asciiTheme="majorBidi" w:hAnsiTheme="majorBidi" w:cstheme="majorBidi"/>
          <w:sz w:val="20"/>
          <w:szCs w:val="20"/>
          <w:lang w:val="en-US"/>
        </w:rPr>
        <w:t xml:space="preserve"> </w:t>
      </w:r>
      <w:r w:rsidR="000616F5" w:rsidRPr="00117AEE">
        <w:rPr>
          <w:rFonts w:asciiTheme="majorBidi" w:hAnsiTheme="majorBidi" w:cstheme="majorBidi"/>
          <w:sz w:val="20"/>
          <w:szCs w:val="20"/>
          <w:lang w:val="en-US"/>
        </w:rPr>
        <w:t>Mueller</w:t>
      </w:r>
      <w:r w:rsidR="00D70EF3" w:rsidRPr="00117AEE">
        <w:rPr>
          <w:rFonts w:asciiTheme="majorBidi" w:hAnsiTheme="majorBidi" w:cstheme="majorBidi"/>
          <w:sz w:val="20"/>
          <w:szCs w:val="20"/>
          <w:lang w:val="en-US"/>
        </w:rPr>
        <w:t xml:space="preserve"> (2008) and that of tangible assets is assessed by </w:t>
      </w:r>
      <w:proofErr w:type="spellStart"/>
      <w:r w:rsidR="00D70EF3" w:rsidRPr="00117AEE">
        <w:rPr>
          <w:rFonts w:asciiTheme="majorBidi" w:hAnsiTheme="majorBidi" w:cstheme="majorBidi"/>
          <w:sz w:val="20"/>
          <w:szCs w:val="20"/>
          <w:lang w:val="en-US"/>
        </w:rPr>
        <w:t>Dyck</w:t>
      </w:r>
      <w:proofErr w:type="spellEnd"/>
      <w:r w:rsidR="00D70EF3" w:rsidRPr="00117AEE">
        <w:rPr>
          <w:rFonts w:asciiTheme="majorBidi" w:hAnsiTheme="majorBidi" w:cstheme="majorBidi"/>
          <w:sz w:val="20"/>
          <w:szCs w:val="20"/>
          <w:lang w:val="en-US"/>
        </w:rPr>
        <w:t xml:space="preserve"> and </w:t>
      </w:r>
      <w:proofErr w:type="spellStart"/>
      <w:r w:rsidR="00D70EF3" w:rsidRPr="00117AEE">
        <w:rPr>
          <w:rFonts w:asciiTheme="majorBidi" w:hAnsiTheme="majorBidi" w:cstheme="majorBidi"/>
          <w:sz w:val="20"/>
          <w:szCs w:val="20"/>
          <w:lang w:val="en-US"/>
        </w:rPr>
        <w:t>Zingales</w:t>
      </w:r>
      <w:proofErr w:type="spellEnd"/>
      <w:r w:rsidR="00D70EF3" w:rsidRPr="00117AEE">
        <w:rPr>
          <w:rFonts w:asciiTheme="majorBidi" w:hAnsiTheme="majorBidi" w:cstheme="majorBidi"/>
          <w:sz w:val="20"/>
          <w:szCs w:val="20"/>
          <w:lang w:val="en-US"/>
        </w:rPr>
        <w:t xml:space="preserve"> (2004) and </w:t>
      </w:r>
      <w:r w:rsidR="00B076D7" w:rsidRPr="00117AEE">
        <w:rPr>
          <w:rFonts w:asciiTheme="majorBidi" w:hAnsiTheme="majorBidi" w:cstheme="majorBidi"/>
          <w:sz w:val="20"/>
          <w:szCs w:val="20"/>
          <w:lang w:val="en-US"/>
        </w:rPr>
        <w:t>H</w:t>
      </w:r>
      <w:r w:rsidR="001D397F">
        <w:rPr>
          <w:rFonts w:asciiTheme="majorBidi" w:hAnsiTheme="majorBidi" w:cstheme="majorBidi"/>
          <w:sz w:val="20"/>
          <w:szCs w:val="20"/>
          <w:lang w:val="en-US"/>
        </w:rPr>
        <w:t>wan</w:t>
      </w:r>
      <w:r w:rsidR="00B076D7" w:rsidRPr="00117AEE">
        <w:rPr>
          <w:rFonts w:asciiTheme="majorBidi" w:hAnsiTheme="majorBidi" w:cstheme="majorBidi"/>
          <w:sz w:val="20"/>
          <w:szCs w:val="20"/>
          <w:lang w:val="en-US"/>
        </w:rPr>
        <w:t xml:space="preserve">g and </w:t>
      </w:r>
      <w:proofErr w:type="spellStart"/>
      <w:r w:rsidR="00B076D7" w:rsidRPr="00117AEE">
        <w:rPr>
          <w:rFonts w:asciiTheme="majorBidi" w:hAnsiTheme="majorBidi" w:cstheme="majorBidi"/>
          <w:sz w:val="20"/>
          <w:szCs w:val="20"/>
          <w:lang w:val="en-US"/>
        </w:rPr>
        <w:t>Hu</w:t>
      </w:r>
      <w:proofErr w:type="spellEnd"/>
      <w:r w:rsidR="00B076D7" w:rsidRPr="00117AEE">
        <w:rPr>
          <w:rFonts w:asciiTheme="majorBidi" w:hAnsiTheme="majorBidi" w:cstheme="majorBidi"/>
          <w:sz w:val="20"/>
          <w:szCs w:val="20"/>
          <w:lang w:val="en-US"/>
        </w:rPr>
        <w:t xml:space="preserve"> (2009).</w:t>
      </w:r>
    </w:p>
    <w:tbl>
      <w:tblPr>
        <w:tblW w:w="0" w:type="auto"/>
        <w:jc w:val="center"/>
        <w:tblInd w:w="10" w:type="dxa"/>
        <w:tblLook w:val="04A0"/>
      </w:tblPr>
      <w:tblGrid>
        <w:gridCol w:w="1654"/>
        <w:gridCol w:w="1877"/>
        <w:gridCol w:w="1836"/>
        <w:gridCol w:w="1776"/>
        <w:gridCol w:w="1663"/>
      </w:tblGrid>
      <w:tr w:rsidR="0075548D" w:rsidRPr="00D17490" w:rsidTr="007D42CF">
        <w:trPr>
          <w:trHeight w:hRule="exact" w:val="291"/>
          <w:jc w:val="center"/>
        </w:trPr>
        <w:tc>
          <w:tcPr>
            <w:tcW w:w="8806" w:type="dxa"/>
            <w:gridSpan w:val="5"/>
            <w:tcBorders>
              <w:bottom w:val="single" w:sz="4" w:space="0" w:color="auto"/>
            </w:tcBorders>
            <w:shd w:val="clear" w:color="auto" w:fill="auto"/>
            <w:tcMar>
              <w:left w:w="0" w:type="dxa"/>
              <w:right w:w="0" w:type="dxa"/>
            </w:tcMar>
          </w:tcPr>
          <w:p w:rsidR="0075548D" w:rsidRPr="00B35A05" w:rsidRDefault="0075548D" w:rsidP="007D42CF">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B35A05">
              <w:rPr>
                <w:rStyle w:val="longtext"/>
                <w:rFonts w:ascii="Times New Roman" w:hAnsi="Times New Roman" w:cs="Times New Roman"/>
                <w:b/>
                <w:bCs/>
                <w:color w:val="000000"/>
                <w:shd w:val="clear" w:color="auto" w:fill="FFFFFF"/>
                <w:lang w:val="en-US"/>
              </w:rPr>
              <w:t>Table 3.</w:t>
            </w:r>
            <w:r w:rsidRPr="00B35A05">
              <w:rPr>
                <w:rStyle w:val="longtext"/>
                <w:rFonts w:ascii="Times New Roman" w:hAnsi="Times New Roman" w:cs="Times New Roman"/>
                <w:color w:val="000000"/>
                <w:shd w:val="clear" w:color="auto" w:fill="FFFFFF"/>
                <w:lang w:val="en-US"/>
              </w:rPr>
              <w:t xml:space="preserve"> </w:t>
            </w:r>
            <w:r w:rsidRPr="00B35A05">
              <w:rPr>
                <w:rFonts w:asciiTheme="majorBidi" w:hAnsiTheme="majorBidi" w:cstheme="majorBidi"/>
                <w:b/>
                <w:bCs/>
                <w:color w:val="000000"/>
                <w:lang w:val="en-US"/>
              </w:rPr>
              <w:t>Relationship between Private Benefits and Dividends</w:t>
            </w:r>
          </w:p>
        </w:tc>
      </w:tr>
      <w:tr w:rsidR="0075548D" w:rsidRPr="00B35A05" w:rsidTr="007D42CF">
        <w:trPr>
          <w:trHeight w:hRule="exact" w:val="291"/>
          <w:jc w:val="center"/>
        </w:trPr>
        <w:tc>
          <w:tcPr>
            <w:tcW w:w="1654" w:type="dxa"/>
            <w:tcBorders>
              <w:top w:val="single" w:sz="4" w:space="0" w:color="auto"/>
              <w:left w:val="single" w:sz="8" w:space="0" w:color="000000"/>
              <w:bottom w:val="single" w:sz="4" w:space="0" w:color="auto"/>
              <w:right w:val="single" w:sz="4" w:space="0" w:color="auto"/>
            </w:tcBorders>
            <w:shd w:val="clear" w:color="auto" w:fill="auto"/>
            <w:tcMar>
              <w:left w:w="0" w:type="dxa"/>
              <w:right w:w="0" w:type="dxa"/>
            </w:tcMar>
          </w:tcPr>
          <w:p w:rsidR="0075548D" w:rsidRPr="00B35A05" w:rsidRDefault="0075548D" w:rsidP="007D42CF">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p>
        </w:tc>
        <w:tc>
          <w:tcPr>
            <w:tcW w:w="187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5548D" w:rsidRPr="00B35A05" w:rsidRDefault="0075548D" w:rsidP="007D42CF">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B35A05">
              <w:rPr>
                <w:rStyle w:val="longtext"/>
                <w:rFonts w:ascii="Times New Roman" w:hAnsi="Times New Roman" w:cs="Times New Roman"/>
                <w:color w:val="000000"/>
                <w:shd w:val="clear" w:color="auto" w:fill="FFFFFF"/>
                <w:lang w:val="en-US"/>
              </w:rPr>
              <w:t>Panel 1</w:t>
            </w:r>
          </w:p>
        </w:tc>
        <w:tc>
          <w:tcPr>
            <w:tcW w:w="1836" w:type="dxa"/>
            <w:tcBorders>
              <w:top w:val="single" w:sz="4" w:space="0" w:color="auto"/>
              <w:left w:val="single" w:sz="4" w:space="0" w:color="auto"/>
              <w:bottom w:val="single" w:sz="4" w:space="0" w:color="auto"/>
              <w:right w:val="single" w:sz="4" w:space="0" w:color="auto"/>
            </w:tcBorders>
          </w:tcPr>
          <w:p w:rsidR="0075548D" w:rsidRPr="00B35A05" w:rsidRDefault="0075548D" w:rsidP="007D42CF">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B35A05">
              <w:rPr>
                <w:rStyle w:val="longtext"/>
                <w:rFonts w:ascii="Times New Roman" w:hAnsi="Times New Roman" w:cs="Times New Roman"/>
                <w:color w:val="000000"/>
                <w:shd w:val="clear" w:color="auto" w:fill="FFFFFF"/>
                <w:lang w:val="en-US"/>
              </w:rPr>
              <w:t>Panel 2</w:t>
            </w:r>
          </w:p>
        </w:tc>
        <w:tc>
          <w:tcPr>
            <w:tcW w:w="3439" w:type="dxa"/>
            <w:gridSpan w:val="2"/>
            <w:tcBorders>
              <w:top w:val="single" w:sz="4" w:space="0" w:color="auto"/>
              <w:left w:val="single" w:sz="4" w:space="0" w:color="auto"/>
              <w:bottom w:val="single" w:sz="4" w:space="0" w:color="auto"/>
              <w:right w:val="single" w:sz="4" w:space="0" w:color="auto"/>
            </w:tcBorders>
          </w:tcPr>
          <w:p w:rsidR="0075548D" w:rsidRPr="00B35A05" w:rsidRDefault="0075548D" w:rsidP="007D42CF">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B35A05">
              <w:rPr>
                <w:rStyle w:val="longtext"/>
                <w:rFonts w:asciiTheme="majorBidi" w:hAnsiTheme="majorBidi" w:cstheme="majorBidi"/>
                <w:color w:val="000000"/>
                <w:shd w:val="clear" w:color="auto" w:fill="FFFFFF"/>
                <w:lang w:val="en-US"/>
              </w:rPr>
              <w:t>Panel 3</w:t>
            </w:r>
          </w:p>
        </w:tc>
      </w:tr>
      <w:tr w:rsidR="0075548D" w:rsidRPr="007B566C" w:rsidTr="007D42CF">
        <w:trPr>
          <w:trHeight w:hRule="exact" w:val="291"/>
          <w:jc w:val="center"/>
        </w:trPr>
        <w:tc>
          <w:tcPr>
            <w:tcW w:w="1654" w:type="dxa"/>
            <w:tcBorders>
              <w:top w:val="single" w:sz="4" w:space="0" w:color="auto"/>
              <w:left w:val="single" w:sz="4" w:space="0" w:color="auto"/>
              <w:right w:val="single" w:sz="4" w:space="0" w:color="auto"/>
            </w:tcBorders>
            <w:shd w:val="clear" w:color="auto" w:fill="auto"/>
            <w:tcMar>
              <w:left w:w="0" w:type="dxa"/>
              <w:right w:w="0" w:type="dxa"/>
            </w:tcMar>
          </w:tcPr>
          <w:p w:rsidR="0075548D" w:rsidRPr="007B566C" w:rsidRDefault="0075548D" w:rsidP="007D42CF">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p>
        </w:tc>
        <w:tc>
          <w:tcPr>
            <w:tcW w:w="1877" w:type="dxa"/>
            <w:tcBorders>
              <w:top w:val="single" w:sz="4" w:space="0" w:color="auto"/>
              <w:left w:val="single" w:sz="4" w:space="0" w:color="auto"/>
              <w:right w:val="single" w:sz="4" w:space="0" w:color="auto"/>
            </w:tcBorders>
            <w:shd w:val="clear" w:color="auto" w:fill="auto"/>
            <w:tcMar>
              <w:left w:w="0" w:type="dxa"/>
              <w:right w:w="0" w:type="dxa"/>
            </w:tcMar>
          </w:tcPr>
          <w:p w:rsidR="0075548D" w:rsidRPr="007B566C" w:rsidRDefault="0075548D" w:rsidP="007D42CF">
            <w:pPr>
              <w:pStyle w:val="PlainText"/>
              <w:shd w:val="clear" w:color="auto" w:fill="FFFFFF"/>
              <w:spacing w:line="240" w:lineRule="auto"/>
              <w:jc w:val="center"/>
              <w:rPr>
                <w:rStyle w:val="longtext"/>
                <w:rFonts w:ascii="Times New Roman" w:hAnsi="Times New Roman" w:cs="Times New Roman"/>
                <w:b/>
                <w:bCs/>
                <w:color w:val="000000"/>
                <w:shd w:val="clear" w:color="auto" w:fill="FFFFFF"/>
                <w:lang w:val="en-US"/>
              </w:rPr>
            </w:pPr>
            <w:r w:rsidRPr="007B566C">
              <w:rPr>
                <w:rStyle w:val="longtext"/>
                <w:rFonts w:ascii="Times New Roman" w:hAnsi="Times New Roman" w:cs="Times New Roman"/>
                <w:b/>
                <w:bCs/>
                <w:color w:val="000000"/>
                <w:shd w:val="clear" w:color="auto" w:fill="FFFFFF"/>
                <w:lang w:val="en-US"/>
              </w:rPr>
              <w:t>DPR</w:t>
            </w:r>
          </w:p>
        </w:tc>
        <w:tc>
          <w:tcPr>
            <w:tcW w:w="1836" w:type="dxa"/>
            <w:tcBorders>
              <w:top w:val="single" w:sz="4" w:space="0" w:color="auto"/>
              <w:left w:val="single" w:sz="4" w:space="0" w:color="auto"/>
              <w:right w:val="single" w:sz="4" w:space="0" w:color="auto"/>
            </w:tcBorders>
          </w:tcPr>
          <w:p w:rsidR="0075548D" w:rsidRPr="007B566C" w:rsidRDefault="0075548D" w:rsidP="007D42CF">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7B566C">
              <w:rPr>
                <w:rStyle w:val="longtext"/>
                <w:rFonts w:asciiTheme="majorBidi" w:hAnsiTheme="majorBidi" w:cstheme="majorBidi"/>
                <w:b/>
                <w:bCs/>
                <w:color w:val="000000"/>
                <w:shd w:val="clear" w:color="auto" w:fill="FFFFFF"/>
                <w:lang w:val="en-US"/>
              </w:rPr>
              <w:t>RPT</w:t>
            </w:r>
          </w:p>
        </w:tc>
        <w:tc>
          <w:tcPr>
            <w:tcW w:w="1776" w:type="dxa"/>
            <w:tcBorders>
              <w:top w:val="single" w:sz="4" w:space="0" w:color="auto"/>
              <w:left w:val="single" w:sz="4" w:space="0" w:color="auto"/>
            </w:tcBorders>
          </w:tcPr>
          <w:p w:rsidR="0075548D" w:rsidRPr="007B566C" w:rsidRDefault="0075548D" w:rsidP="007D42CF">
            <w:pPr>
              <w:pStyle w:val="PlainText"/>
              <w:shd w:val="clear" w:color="auto" w:fill="FFFFFF"/>
              <w:spacing w:line="240" w:lineRule="auto"/>
              <w:jc w:val="center"/>
              <w:rPr>
                <w:rStyle w:val="longtext"/>
                <w:rFonts w:asciiTheme="majorBidi" w:hAnsiTheme="majorBidi" w:cstheme="majorBidi"/>
                <w:color w:val="000000"/>
                <w:shd w:val="clear" w:color="auto" w:fill="FFFFFF"/>
                <w:lang w:val="en-US"/>
              </w:rPr>
            </w:pPr>
            <w:r w:rsidRPr="007B566C">
              <w:rPr>
                <w:rStyle w:val="longtext"/>
                <w:rFonts w:asciiTheme="majorBidi" w:hAnsiTheme="majorBidi" w:cstheme="majorBidi"/>
                <w:b/>
                <w:bCs/>
                <w:color w:val="000000"/>
                <w:shd w:val="clear" w:color="auto" w:fill="FFFFFF"/>
                <w:lang w:val="en-US"/>
              </w:rPr>
              <w:t>DPR</w:t>
            </w:r>
          </w:p>
        </w:tc>
        <w:tc>
          <w:tcPr>
            <w:tcW w:w="1663" w:type="dxa"/>
            <w:tcBorders>
              <w:top w:val="single" w:sz="4" w:space="0" w:color="auto"/>
              <w:right w:val="single" w:sz="4" w:space="0" w:color="auto"/>
            </w:tcBorders>
          </w:tcPr>
          <w:p w:rsidR="0075548D" w:rsidRPr="007B566C" w:rsidRDefault="0075548D" w:rsidP="007D42CF">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7B566C">
              <w:rPr>
                <w:rStyle w:val="longtext"/>
                <w:rFonts w:asciiTheme="majorBidi" w:hAnsiTheme="majorBidi" w:cstheme="majorBidi"/>
                <w:b/>
                <w:bCs/>
                <w:color w:val="000000"/>
                <w:shd w:val="clear" w:color="auto" w:fill="FFFFFF"/>
                <w:lang w:val="en-US"/>
              </w:rPr>
              <w:t>RPT</w:t>
            </w:r>
          </w:p>
        </w:tc>
      </w:tr>
      <w:tr w:rsidR="0075548D" w:rsidRPr="007B566C" w:rsidTr="007D42CF">
        <w:trPr>
          <w:trHeight w:hRule="exact" w:val="291"/>
          <w:jc w:val="center"/>
        </w:trPr>
        <w:tc>
          <w:tcPr>
            <w:tcW w:w="1654" w:type="dxa"/>
            <w:tcBorders>
              <w:left w:val="single" w:sz="4" w:space="0" w:color="auto"/>
              <w:right w:val="single" w:sz="4" w:space="0" w:color="auto"/>
            </w:tcBorders>
            <w:shd w:val="clear" w:color="auto" w:fill="auto"/>
            <w:tcMar>
              <w:left w:w="0" w:type="dxa"/>
              <w:right w:w="0" w:type="dxa"/>
            </w:tcMar>
          </w:tcPr>
          <w:p w:rsidR="0075548D" w:rsidRPr="007B566C" w:rsidRDefault="0075548D" w:rsidP="007D42CF">
            <w:pPr>
              <w:pStyle w:val="PlainText"/>
              <w:shd w:val="clear" w:color="auto" w:fill="FFFFFF"/>
              <w:spacing w:line="240" w:lineRule="auto"/>
              <w:rPr>
                <w:rStyle w:val="longtext"/>
                <w:rFonts w:asciiTheme="majorBidi" w:hAnsiTheme="majorBidi" w:cstheme="majorBidi"/>
                <w:b/>
                <w:bCs/>
                <w:color w:val="000000"/>
                <w:shd w:val="clear" w:color="auto" w:fill="FFFFFF"/>
                <w:lang w:val="en-US"/>
              </w:rPr>
            </w:pPr>
            <w:r w:rsidRPr="007B566C">
              <w:rPr>
                <w:rStyle w:val="longtext"/>
                <w:rFonts w:asciiTheme="majorBidi" w:hAnsiTheme="majorBidi" w:cstheme="majorBidi"/>
                <w:b/>
                <w:bCs/>
                <w:color w:val="000000"/>
                <w:shd w:val="clear" w:color="auto" w:fill="FFFFFF"/>
                <w:lang w:val="en-US"/>
              </w:rPr>
              <w:t>Intercept</w:t>
            </w:r>
          </w:p>
        </w:tc>
        <w:tc>
          <w:tcPr>
            <w:tcW w:w="1877" w:type="dxa"/>
            <w:tcBorders>
              <w:left w:val="single" w:sz="4" w:space="0" w:color="auto"/>
              <w:right w:val="single" w:sz="4" w:space="0" w:color="auto"/>
            </w:tcBorders>
            <w:shd w:val="clear" w:color="auto" w:fill="auto"/>
            <w:tcMar>
              <w:left w:w="0" w:type="dxa"/>
              <w:right w:w="0" w:type="dxa"/>
            </w:tcMar>
          </w:tcPr>
          <w:p w:rsidR="0075548D" w:rsidRPr="007B566C" w:rsidRDefault="0075548D" w:rsidP="0075548D">
            <w:pPr>
              <w:shd w:val="clear" w:color="auto" w:fill="FFFFFF"/>
              <w:spacing w:after="0" w:line="240" w:lineRule="auto"/>
              <w:jc w:val="center"/>
              <w:rPr>
                <w:rStyle w:val="longtext"/>
                <w:rFonts w:ascii="Times New Roman" w:eastAsia="Calibri" w:hAnsi="Times New Roman" w:cs="Times New Roman"/>
                <w:color w:val="000000"/>
                <w:sz w:val="20"/>
                <w:szCs w:val="20"/>
                <w:shd w:val="clear" w:color="auto" w:fill="FFFFFF"/>
                <w:lang w:val="en-US"/>
              </w:rPr>
            </w:pPr>
            <w:r w:rsidRPr="007B566C">
              <w:rPr>
                <w:rStyle w:val="longtext"/>
                <w:rFonts w:ascii="Times New Roman" w:eastAsia="Calibri" w:hAnsi="Times New Roman" w:cs="Times New Roman"/>
                <w:sz w:val="20"/>
                <w:szCs w:val="20"/>
                <w:shd w:val="clear" w:color="auto" w:fill="FFFFFF"/>
                <w:lang w:val="en-US"/>
              </w:rPr>
              <w:t>-0.1302   (-3.51***)</w:t>
            </w:r>
          </w:p>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p>
        </w:tc>
        <w:tc>
          <w:tcPr>
            <w:tcW w:w="1836" w:type="dxa"/>
            <w:tcBorders>
              <w:left w:val="single" w:sz="4" w:space="0" w:color="auto"/>
              <w:right w:val="single" w:sz="4" w:space="0" w:color="auto"/>
            </w:tcBorders>
          </w:tcPr>
          <w:p w:rsidR="0075548D" w:rsidRPr="007B566C" w:rsidRDefault="0075548D" w:rsidP="0075548D">
            <w:pPr>
              <w:shd w:val="clear" w:color="auto" w:fill="FFFFFF"/>
              <w:spacing w:after="0" w:line="240" w:lineRule="auto"/>
              <w:jc w:val="center"/>
              <w:rPr>
                <w:rStyle w:val="longtext"/>
                <w:rFonts w:ascii="Times New Roman" w:eastAsia="Calibri" w:hAnsi="Times New Roman" w:cs="Times New Roman"/>
                <w:color w:val="000000"/>
                <w:sz w:val="20"/>
                <w:szCs w:val="20"/>
                <w:shd w:val="clear" w:color="auto" w:fill="FFFFFF"/>
                <w:lang w:val="en-US"/>
              </w:rPr>
            </w:pPr>
            <w:r w:rsidRPr="007B566C">
              <w:rPr>
                <w:rStyle w:val="longtext"/>
                <w:rFonts w:ascii="Times New Roman" w:eastAsia="Calibri" w:hAnsi="Times New Roman" w:cs="Times New Roman"/>
                <w:sz w:val="20"/>
                <w:szCs w:val="20"/>
                <w:shd w:val="clear" w:color="auto" w:fill="FFFFFF"/>
                <w:lang w:val="en-US"/>
              </w:rPr>
              <w:t>10.409   (15.01***)</w:t>
            </w:r>
          </w:p>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p>
        </w:tc>
        <w:tc>
          <w:tcPr>
            <w:tcW w:w="1776" w:type="dxa"/>
            <w:tcBorders>
              <w:left w:val="single" w:sz="4" w:space="0" w:color="auto"/>
            </w:tcBorders>
          </w:tcPr>
          <w:p w:rsidR="0075548D" w:rsidRPr="007B566C" w:rsidRDefault="0075548D" w:rsidP="0075548D">
            <w:pPr>
              <w:shd w:val="clear" w:color="auto" w:fill="FFFFFF"/>
              <w:spacing w:after="0" w:line="240" w:lineRule="auto"/>
              <w:jc w:val="center"/>
              <w:rPr>
                <w:rStyle w:val="longtext"/>
                <w:rFonts w:asciiTheme="majorBidi" w:eastAsia="Calibri" w:hAnsiTheme="majorBidi" w:cstheme="majorBidi"/>
                <w:sz w:val="20"/>
                <w:szCs w:val="20"/>
                <w:shd w:val="clear" w:color="auto" w:fill="FFFFFF"/>
                <w:lang w:val="en-US"/>
              </w:rPr>
            </w:pPr>
            <w:r w:rsidRPr="007B566C">
              <w:rPr>
                <w:rStyle w:val="longtext"/>
                <w:rFonts w:asciiTheme="majorBidi" w:eastAsia="Calibri" w:hAnsiTheme="majorBidi" w:cstheme="majorBidi"/>
                <w:sz w:val="20"/>
                <w:szCs w:val="20"/>
                <w:shd w:val="clear" w:color="auto" w:fill="FFFFFF"/>
                <w:lang w:val="en-US"/>
              </w:rPr>
              <w:t>-0.6760   (-2.09*)</w:t>
            </w:r>
          </w:p>
          <w:p w:rsidR="0075548D" w:rsidRPr="007B566C" w:rsidRDefault="0075548D" w:rsidP="0075548D">
            <w:pPr>
              <w:shd w:val="clear" w:color="auto" w:fill="FFFFFF"/>
              <w:spacing w:after="0" w:line="240" w:lineRule="auto"/>
              <w:jc w:val="center"/>
              <w:rPr>
                <w:rStyle w:val="longtext"/>
                <w:rFonts w:asciiTheme="majorBidi" w:eastAsia="Calibri" w:hAnsiTheme="majorBidi" w:cstheme="majorBidi"/>
                <w:color w:val="000000"/>
                <w:sz w:val="20"/>
                <w:szCs w:val="20"/>
                <w:shd w:val="clear" w:color="auto" w:fill="FFFFFF"/>
                <w:lang w:val="en-US"/>
              </w:rPr>
            </w:pPr>
          </w:p>
          <w:p w:rsidR="0075548D" w:rsidRPr="007B566C" w:rsidRDefault="0075548D" w:rsidP="0075548D">
            <w:pPr>
              <w:pStyle w:val="PlainText"/>
              <w:shd w:val="clear" w:color="auto" w:fill="FFFFFF"/>
              <w:spacing w:line="240" w:lineRule="auto"/>
              <w:jc w:val="center"/>
              <w:rPr>
                <w:rStyle w:val="longtext"/>
                <w:rFonts w:asciiTheme="majorBidi" w:hAnsiTheme="majorBidi" w:cstheme="majorBidi"/>
                <w:color w:val="000000"/>
                <w:shd w:val="clear" w:color="auto" w:fill="FFFFFF"/>
                <w:lang w:val="en-US"/>
              </w:rPr>
            </w:pPr>
          </w:p>
        </w:tc>
        <w:tc>
          <w:tcPr>
            <w:tcW w:w="1663" w:type="dxa"/>
            <w:tcBorders>
              <w:right w:val="single" w:sz="4" w:space="0" w:color="auto"/>
            </w:tcBorders>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7B566C">
              <w:rPr>
                <w:rStyle w:val="longtext"/>
                <w:rFonts w:asciiTheme="majorBidi" w:eastAsia="Calibri" w:hAnsiTheme="majorBidi" w:cstheme="majorBidi"/>
                <w:shd w:val="clear" w:color="auto" w:fill="FFFFFF"/>
                <w:lang w:val="en-US"/>
              </w:rPr>
              <w:t>4.9319 (4.05***)</w:t>
            </w:r>
          </w:p>
        </w:tc>
      </w:tr>
      <w:tr w:rsidR="0075548D" w:rsidRPr="007B566C" w:rsidTr="007D42CF">
        <w:trPr>
          <w:trHeight w:hRule="exact" w:val="291"/>
          <w:jc w:val="center"/>
        </w:trPr>
        <w:tc>
          <w:tcPr>
            <w:tcW w:w="1654" w:type="dxa"/>
            <w:tcBorders>
              <w:left w:val="single" w:sz="4" w:space="0" w:color="auto"/>
              <w:right w:val="single" w:sz="4" w:space="0" w:color="auto"/>
            </w:tcBorders>
            <w:shd w:val="clear" w:color="auto" w:fill="auto"/>
            <w:tcMar>
              <w:left w:w="0" w:type="dxa"/>
              <w:right w:w="0" w:type="dxa"/>
            </w:tcMar>
          </w:tcPr>
          <w:p w:rsidR="0075548D" w:rsidRPr="007B566C" w:rsidRDefault="0075548D" w:rsidP="007D42CF">
            <w:pPr>
              <w:pStyle w:val="PlainText"/>
              <w:shd w:val="clear" w:color="auto" w:fill="FFFFFF"/>
              <w:spacing w:line="240" w:lineRule="auto"/>
              <w:rPr>
                <w:rStyle w:val="longtext"/>
                <w:rFonts w:asciiTheme="majorBidi" w:hAnsiTheme="majorBidi" w:cstheme="majorBidi"/>
                <w:b/>
                <w:bCs/>
                <w:color w:val="000000"/>
                <w:shd w:val="clear" w:color="auto" w:fill="FFFFFF"/>
                <w:lang w:val="en-US"/>
              </w:rPr>
            </w:pPr>
            <w:r w:rsidRPr="007B566C">
              <w:rPr>
                <w:rStyle w:val="longtext"/>
                <w:rFonts w:asciiTheme="majorBidi" w:hAnsiTheme="majorBidi" w:cstheme="majorBidi"/>
                <w:b/>
                <w:bCs/>
                <w:color w:val="000000"/>
                <w:shd w:val="clear" w:color="auto" w:fill="FFFFFF"/>
                <w:lang w:val="en-US"/>
              </w:rPr>
              <w:t>RPT</w:t>
            </w:r>
          </w:p>
        </w:tc>
        <w:tc>
          <w:tcPr>
            <w:tcW w:w="1877" w:type="dxa"/>
            <w:tcBorders>
              <w:left w:val="single" w:sz="4" w:space="0" w:color="auto"/>
              <w:right w:val="single" w:sz="4" w:space="0" w:color="auto"/>
            </w:tcBorders>
            <w:shd w:val="clear" w:color="auto" w:fill="auto"/>
            <w:tcMar>
              <w:left w:w="0" w:type="dxa"/>
              <w:right w:w="0" w:type="dxa"/>
            </w:tcMar>
          </w:tcPr>
          <w:p w:rsidR="0075548D" w:rsidRPr="007B566C" w:rsidRDefault="0075548D" w:rsidP="0075548D">
            <w:pPr>
              <w:shd w:val="clear" w:color="auto" w:fill="FFFFFF"/>
              <w:spacing w:after="0" w:line="240" w:lineRule="auto"/>
              <w:jc w:val="center"/>
              <w:rPr>
                <w:rFonts w:ascii="Times New Roman" w:eastAsia="Calibri" w:hAnsi="Times New Roman" w:cs="Times New Roman"/>
                <w:color w:val="000000"/>
                <w:sz w:val="20"/>
                <w:szCs w:val="20"/>
                <w:lang w:val="en-US"/>
              </w:rPr>
            </w:pPr>
            <w:r w:rsidRPr="007B566C">
              <w:rPr>
                <w:rStyle w:val="longtext"/>
                <w:rFonts w:ascii="Times New Roman" w:eastAsia="Calibri" w:hAnsi="Times New Roman" w:cs="Times New Roman"/>
                <w:sz w:val="20"/>
                <w:szCs w:val="20"/>
                <w:shd w:val="clear" w:color="auto" w:fill="FFFFFF"/>
                <w:lang w:val="en-US"/>
              </w:rPr>
              <w:t>0.0039 (3.27***)</w:t>
            </w:r>
          </w:p>
          <w:p w:rsidR="0075548D" w:rsidRPr="007B566C" w:rsidRDefault="0075548D" w:rsidP="0075548D">
            <w:pPr>
              <w:shd w:val="clear" w:color="auto" w:fill="FFFFFF"/>
              <w:spacing w:after="0" w:line="240" w:lineRule="auto"/>
              <w:jc w:val="center"/>
              <w:rPr>
                <w:rStyle w:val="longtext"/>
                <w:rFonts w:ascii="Times New Roman" w:eastAsia="Calibri" w:hAnsi="Times New Roman" w:cs="Times New Roman"/>
                <w:sz w:val="20"/>
                <w:szCs w:val="20"/>
                <w:shd w:val="clear" w:color="auto" w:fill="FFFFFF"/>
                <w:lang w:val="en-US"/>
              </w:rPr>
            </w:pPr>
          </w:p>
        </w:tc>
        <w:tc>
          <w:tcPr>
            <w:tcW w:w="1836" w:type="dxa"/>
            <w:tcBorders>
              <w:left w:val="single" w:sz="4" w:space="0" w:color="auto"/>
              <w:right w:val="single" w:sz="4" w:space="0" w:color="auto"/>
            </w:tcBorders>
          </w:tcPr>
          <w:p w:rsidR="0075548D" w:rsidRPr="007B566C" w:rsidRDefault="0075548D" w:rsidP="0075548D">
            <w:pPr>
              <w:shd w:val="clear" w:color="auto" w:fill="FFFFFF"/>
              <w:spacing w:after="0" w:line="240" w:lineRule="auto"/>
              <w:jc w:val="center"/>
              <w:rPr>
                <w:rStyle w:val="longtext"/>
                <w:rFonts w:ascii="Times New Roman" w:eastAsia="Calibri" w:hAnsi="Times New Roman" w:cs="Times New Roman"/>
                <w:sz w:val="20"/>
                <w:szCs w:val="20"/>
                <w:shd w:val="clear" w:color="auto" w:fill="FFFFFF"/>
                <w:lang w:val="en-US"/>
              </w:rPr>
            </w:pPr>
          </w:p>
        </w:tc>
        <w:tc>
          <w:tcPr>
            <w:tcW w:w="1776" w:type="dxa"/>
            <w:tcBorders>
              <w:left w:val="single" w:sz="4" w:space="0" w:color="auto"/>
            </w:tcBorders>
          </w:tcPr>
          <w:p w:rsidR="0075548D" w:rsidRPr="007B566C" w:rsidRDefault="0075548D" w:rsidP="0075548D">
            <w:pPr>
              <w:shd w:val="clear" w:color="auto" w:fill="FFFFFF"/>
              <w:spacing w:after="0" w:line="240" w:lineRule="auto"/>
              <w:jc w:val="center"/>
              <w:rPr>
                <w:rStyle w:val="longtext"/>
                <w:rFonts w:asciiTheme="majorBidi" w:eastAsia="Calibri" w:hAnsiTheme="majorBidi" w:cstheme="majorBidi"/>
                <w:sz w:val="20"/>
                <w:szCs w:val="20"/>
                <w:shd w:val="clear" w:color="auto" w:fill="FFFFFF"/>
                <w:lang w:val="en-US"/>
              </w:rPr>
            </w:pPr>
            <w:r w:rsidRPr="007B566C">
              <w:rPr>
                <w:rStyle w:val="longtext"/>
                <w:rFonts w:asciiTheme="majorBidi" w:eastAsia="Calibri" w:hAnsiTheme="majorBidi" w:cstheme="majorBidi"/>
                <w:sz w:val="20"/>
                <w:szCs w:val="20"/>
                <w:shd w:val="clear" w:color="auto" w:fill="FFFFFF"/>
                <w:lang w:val="en-US"/>
              </w:rPr>
              <w:t>0.05213 (2.14*)</w:t>
            </w:r>
          </w:p>
        </w:tc>
        <w:tc>
          <w:tcPr>
            <w:tcW w:w="1663" w:type="dxa"/>
            <w:tcBorders>
              <w:right w:val="single" w:sz="4" w:space="0" w:color="auto"/>
            </w:tcBorders>
          </w:tcPr>
          <w:p w:rsidR="0075548D" w:rsidRPr="007B566C" w:rsidRDefault="0075548D" w:rsidP="0075548D">
            <w:pPr>
              <w:shd w:val="clear" w:color="auto" w:fill="FFFFFF"/>
              <w:spacing w:after="0" w:line="240" w:lineRule="auto"/>
              <w:jc w:val="center"/>
              <w:rPr>
                <w:rFonts w:asciiTheme="majorBidi" w:eastAsia="Calibri" w:hAnsiTheme="majorBidi" w:cstheme="majorBidi"/>
                <w:color w:val="000000"/>
                <w:sz w:val="20"/>
                <w:szCs w:val="20"/>
                <w:lang w:val="en-US"/>
              </w:rPr>
            </w:pPr>
            <w:r w:rsidRPr="007B566C">
              <w:rPr>
                <w:rStyle w:val="longtext"/>
                <w:rFonts w:asciiTheme="majorBidi" w:eastAsia="Calibri" w:hAnsiTheme="majorBidi" w:cstheme="majorBidi"/>
                <w:sz w:val="20"/>
                <w:szCs w:val="20"/>
                <w:shd w:val="clear" w:color="auto" w:fill="FFFFFF"/>
                <w:lang w:val="en-US"/>
              </w:rPr>
              <w:t>-</w:t>
            </w:r>
          </w:p>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17375E"/>
                <w:shd w:val="clear" w:color="auto" w:fill="FFFFFF"/>
                <w:lang w:val="en-US"/>
              </w:rPr>
            </w:pPr>
          </w:p>
        </w:tc>
      </w:tr>
      <w:tr w:rsidR="0075548D" w:rsidRPr="007B566C" w:rsidTr="007D42CF">
        <w:trPr>
          <w:trHeight w:hRule="exact" w:val="291"/>
          <w:jc w:val="center"/>
        </w:trPr>
        <w:tc>
          <w:tcPr>
            <w:tcW w:w="1654" w:type="dxa"/>
            <w:tcBorders>
              <w:left w:val="single" w:sz="4" w:space="0" w:color="auto"/>
              <w:right w:val="single" w:sz="4" w:space="0" w:color="auto"/>
            </w:tcBorders>
            <w:shd w:val="clear" w:color="auto" w:fill="auto"/>
            <w:tcMar>
              <w:left w:w="0" w:type="dxa"/>
              <w:right w:w="0" w:type="dxa"/>
            </w:tcMar>
          </w:tcPr>
          <w:p w:rsidR="0075548D" w:rsidRPr="007B566C" w:rsidRDefault="0075548D" w:rsidP="007D42CF">
            <w:pPr>
              <w:pStyle w:val="PlainText"/>
              <w:shd w:val="clear" w:color="auto" w:fill="FFFFFF"/>
              <w:spacing w:line="240" w:lineRule="auto"/>
              <w:rPr>
                <w:rStyle w:val="longtext"/>
                <w:rFonts w:asciiTheme="majorBidi" w:hAnsiTheme="majorBidi" w:cstheme="majorBidi"/>
                <w:b/>
                <w:bCs/>
                <w:color w:val="000000"/>
                <w:shd w:val="clear" w:color="auto" w:fill="FFFFFF"/>
                <w:lang w:val="en-US"/>
              </w:rPr>
            </w:pPr>
            <w:r w:rsidRPr="007B566C">
              <w:rPr>
                <w:rStyle w:val="longtext"/>
                <w:rFonts w:asciiTheme="majorBidi" w:hAnsiTheme="majorBidi" w:cstheme="majorBidi"/>
                <w:b/>
                <w:bCs/>
                <w:color w:val="000000"/>
                <w:shd w:val="clear" w:color="auto" w:fill="FFFFFF"/>
                <w:lang w:val="en-US"/>
              </w:rPr>
              <w:t>DPR</w:t>
            </w:r>
          </w:p>
        </w:tc>
        <w:tc>
          <w:tcPr>
            <w:tcW w:w="1877" w:type="dxa"/>
            <w:tcBorders>
              <w:left w:val="single" w:sz="4" w:space="0" w:color="auto"/>
              <w:right w:val="single" w:sz="4" w:space="0" w:color="auto"/>
            </w:tcBorders>
            <w:shd w:val="clear" w:color="auto" w:fill="auto"/>
            <w:tcMar>
              <w:left w:w="0" w:type="dxa"/>
              <w:right w:w="0" w:type="dxa"/>
            </w:tcMar>
          </w:tcPr>
          <w:p w:rsidR="0075548D" w:rsidRPr="007B566C" w:rsidRDefault="0075548D" w:rsidP="0075548D">
            <w:pPr>
              <w:shd w:val="clear" w:color="auto" w:fill="FFFFFF"/>
              <w:spacing w:after="0" w:line="240" w:lineRule="auto"/>
              <w:jc w:val="center"/>
              <w:rPr>
                <w:rStyle w:val="longtext"/>
                <w:rFonts w:ascii="Times New Roman" w:eastAsia="Calibri" w:hAnsi="Times New Roman" w:cs="Times New Roman"/>
                <w:sz w:val="20"/>
                <w:szCs w:val="20"/>
                <w:shd w:val="clear" w:color="auto" w:fill="FFFFFF"/>
                <w:lang w:val="en-US"/>
              </w:rPr>
            </w:pPr>
          </w:p>
        </w:tc>
        <w:tc>
          <w:tcPr>
            <w:tcW w:w="1836" w:type="dxa"/>
            <w:tcBorders>
              <w:left w:val="single" w:sz="4" w:space="0" w:color="auto"/>
              <w:right w:val="single" w:sz="4" w:space="0" w:color="auto"/>
            </w:tcBorders>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B566C">
              <w:rPr>
                <w:rStyle w:val="longtext"/>
                <w:rFonts w:ascii="Times New Roman" w:eastAsia="Calibri" w:hAnsi="Times New Roman" w:cs="Times New Roman"/>
                <w:sz w:val="20"/>
                <w:szCs w:val="20"/>
                <w:shd w:val="clear" w:color="auto" w:fill="FFFFFF"/>
                <w:lang w:val="en-US"/>
              </w:rPr>
              <w:t>-0.4207 (-2.78**)</w:t>
            </w:r>
          </w:p>
          <w:p w:rsidR="0075548D" w:rsidRPr="007B566C" w:rsidRDefault="0075548D" w:rsidP="0075548D">
            <w:pPr>
              <w:shd w:val="clear" w:color="auto" w:fill="FFFFFF"/>
              <w:spacing w:after="0" w:line="240" w:lineRule="auto"/>
              <w:jc w:val="center"/>
              <w:rPr>
                <w:rStyle w:val="longtext"/>
                <w:rFonts w:ascii="Times New Roman" w:eastAsia="Calibri" w:hAnsi="Times New Roman" w:cs="Times New Roman"/>
                <w:sz w:val="20"/>
                <w:szCs w:val="20"/>
                <w:shd w:val="clear" w:color="auto" w:fill="FFFFFF"/>
                <w:lang w:val="en-US"/>
              </w:rPr>
            </w:pPr>
          </w:p>
        </w:tc>
        <w:tc>
          <w:tcPr>
            <w:tcW w:w="1776" w:type="dxa"/>
            <w:tcBorders>
              <w:left w:val="single" w:sz="4" w:space="0" w:color="auto"/>
            </w:tcBorders>
          </w:tcPr>
          <w:p w:rsidR="0075548D" w:rsidRPr="007B566C" w:rsidRDefault="0075548D" w:rsidP="0075548D">
            <w:pPr>
              <w:pStyle w:val="ListParagraph"/>
              <w:numPr>
                <w:ilvl w:val="0"/>
                <w:numId w:val="24"/>
              </w:numPr>
              <w:shd w:val="clear" w:color="auto" w:fill="FFFFFF"/>
              <w:spacing w:after="0" w:line="240" w:lineRule="auto"/>
              <w:jc w:val="center"/>
              <w:rPr>
                <w:rStyle w:val="longtext"/>
                <w:rFonts w:asciiTheme="majorBidi" w:eastAsia="Calibri" w:hAnsiTheme="majorBidi" w:cstheme="majorBidi"/>
                <w:sz w:val="20"/>
                <w:szCs w:val="20"/>
                <w:shd w:val="clear" w:color="auto" w:fill="FFFFFF"/>
                <w:lang w:val="en-US"/>
              </w:rPr>
            </w:pPr>
          </w:p>
        </w:tc>
        <w:tc>
          <w:tcPr>
            <w:tcW w:w="1663" w:type="dxa"/>
            <w:tcBorders>
              <w:right w:val="single" w:sz="4" w:space="0" w:color="auto"/>
            </w:tcBorders>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17375E"/>
                <w:shd w:val="clear" w:color="auto" w:fill="FFFFFF"/>
                <w:lang w:val="en-US"/>
              </w:rPr>
            </w:pPr>
            <w:r w:rsidRPr="007B566C">
              <w:rPr>
                <w:rStyle w:val="longtext"/>
                <w:rFonts w:asciiTheme="majorBidi" w:eastAsia="Calibri" w:hAnsiTheme="majorBidi" w:cstheme="majorBidi"/>
                <w:shd w:val="clear" w:color="auto" w:fill="FFFFFF"/>
                <w:lang w:val="en-US"/>
              </w:rPr>
              <w:t>-5.4858 (-2.10*)</w:t>
            </w:r>
          </w:p>
        </w:tc>
      </w:tr>
      <w:tr w:rsidR="0075548D" w:rsidRPr="007B566C" w:rsidTr="007D42CF">
        <w:trPr>
          <w:trHeight w:hRule="exact" w:val="291"/>
          <w:jc w:val="center"/>
        </w:trPr>
        <w:tc>
          <w:tcPr>
            <w:tcW w:w="1654" w:type="dxa"/>
            <w:tcBorders>
              <w:left w:val="single" w:sz="4" w:space="0" w:color="auto"/>
              <w:right w:val="single" w:sz="4" w:space="0" w:color="auto"/>
            </w:tcBorders>
            <w:shd w:val="clear" w:color="auto" w:fill="FFFFFF"/>
            <w:tcMar>
              <w:left w:w="0" w:type="dxa"/>
              <w:right w:w="0" w:type="dxa"/>
            </w:tcMar>
          </w:tcPr>
          <w:p w:rsidR="0075548D" w:rsidRPr="007B566C" w:rsidRDefault="0075548D" w:rsidP="007D42CF">
            <w:pPr>
              <w:pStyle w:val="PlainText"/>
              <w:shd w:val="clear" w:color="auto" w:fill="FFFFFF"/>
              <w:spacing w:line="240" w:lineRule="auto"/>
              <w:rPr>
                <w:rStyle w:val="longtext"/>
                <w:rFonts w:asciiTheme="majorBidi" w:hAnsiTheme="majorBidi" w:cstheme="majorBidi"/>
                <w:b/>
                <w:bCs/>
                <w:shd w:val="clear" w:color="auto" w:fill="FFFFFF"/>
                <w:lang w:val="en-US"/>
              </w:rPr>
            </w:pPr>
            <w:r w:rsidRPr="007B566C">
              <w:rPr>
                <w:rStyle w:val="longtext"/>
                <w:rFonts w:asciiTheme="majorBidi" w:hAnsiTheme="majorBidi" w:cstheme="majorBidi"/>
                <w:b/>
                <w:bCs/>
                <w:shd w:val="clear" w:color="auto" w:fill="FFFFFF"/>
                <w:lang w:val="en-US"/>
              </w:rPr>
              <w:t>CONC</w:t>
            </w:r>
          </w:p>
        </w:tc>
        <w:tc>
          <w:tcPr>
            <w:tcW w:w="1877" w:type="dxa"/>
            <w:tcBorders>
              <w:left w:val="single" w:sz="4" w:space="0" w:color="auto"/>
              <w:right w:val="single" w:sz="4" w:space="0" w:color="auto"/>
            </w:tcBorders>
            <w:shd w:val="clear" w:color="auto" w:fill="FFFFFF"/>
            <w:tcMar>
              <w:left w:w="0" w:type="dxa"/>
              <w:right w:w="0" w:type="dxa"/>
            </w:tcMar>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B566C">
              <w:rPr>
                <w:rFonts w:ascii="Times New Roman" w:eastAsia="Calibri" w:hAnsi="Times New Roman" w:cs="Times New Roman"/>
                <w:sz w:val="20"/>
                <w:szCs w:val="20"/>
                <w:lang w:val="en-US"/>
              </w:rPr>
              <w:t>0.1071 (5.83***)</w:t>
            </w:r>
          </w:p>
          <w:p w:rsidR="0075548D" w:rsidRPr="007B566C" w:rsidRDefault="0075548D" w:rsidP="0075548D">
            <w:pPr>
              <w:shd w:val="clear" w:color="auto" w:fill="FFFFFF"/>
              <w:spacing w:after="0" w:line="240" w:lineRule="auto"/>
              <w:jc w:val="center"/>
              <w:rPr>
                <w:rStyle w:val="longtext"/>
                <w:rFonts w:ascii="Times New Roman" w:eastAsia="Calibri" w:hAnsi="Times New Roman" w:cs="Times New Roman"/>
                <w:sz w:val="20"/>
                <w:szCs w:val="20"/>
                <w:shd w:val="clear" w:color="auto" w:fill="FFFFFF"/>
                <w:lang w:val="en-US"/>
              </w:rPr>
            </w:pPr>
          </w:p>
        </w:tc>
        <w:tc>
          <w:tcPr>
            <w:tcW w:w="1836" w:type="dxa"/>
            <w:tcBorders>
              <w:left w:val="single" w:sz="4" w:space="0" w:color="auto"/>
              <w:right w:val="single" w:sz="4" w:space="0" w:color="auto"/>
            </w:tcBorders>
            <w:shd w:val="clear" w:color="auto" w:fill="FFFFFF"/>
          </w:tcPr>
          <w:p w:rsidR="0075548D" w:rsidRPr="007B566C" w:rsidRDefault="0075548D" w:rsidP="0075548D">
            <w:pPr>
              <w:shd w:val="clear" w:color="auto" w:fill="FFFFFF"/>
              <w:spacing w:after="0" w:line="240" w:lineRule="auto"/>
              <w:jc w:val="center"/>
              <w:rPr>
                <w:rFonts w:ascii="Times New Roman" w:eastAsia="Calibri" w:hAnsi="Times New Roman" w:cs="Times New Roman"/>
                <w:color w:val="000000"/>
                <w:sz w:val="20"/>
                <w:szCs w:val="20"/>
                <w:lang w:val="en-US"/>
              </w:rPr>
            </w:pPr>
            <w:r w:rsidRPr="007B566C">
              <w:rPr>
                <w:rFonts w:ascii="Times New Roman" w:eastAsia="Calibri" w:hAnsi="Times New Roman" w:cs="Times New Roman"/>
                <w:sz w:val="20"/>
                <w:szCs w:val="20"/>
                <w:lang w:val="en-US"/>
              </w:rPr>
              <w:t>1.204 (3.69***)</w:t>
            </w:r>
          </w:p>
          <w:p w:rsidR="0075548D" w:rsidRPr="007B566C" w:rsidRDefault="0075548D" w:rsidP="0075548D">
            <w:pPr>
              <w:shd w:val="clear" w:color="auto" w:fill="FFFFFF"/>
              <w:spacing w:after="0" w:line="240" w:lineRule="auto"/>
              <w:jc w:val="center"/>
              <w:rPr>
                <w:rStyle w:val="longtext"/>
                <w:rFonts w:ascii="Times New Roman" w:eastAsia="Calibri" w:hAnsi="Times New Roman" w:cs="Times New Roman"/>
                <w:sz w:val="20"/>
                <w:szCs w:val="20"/>
                <w:shd w:val="clear" w:color="auto" w:fill="FFFFFF"/>
                <w:lang w:val="en-US"/>
              </w:rPr>
            </w:pPr>
          </w:p>
        </w:tc>
        <w:tc>
          <w:tcPr>
            <w:tcW w:w="1776" w:type="dxa"/>
            <w:tcBorders>
              <w:left w:val="single" w:sz="4" w:space="0" w:color="auto"/>
            </w:tcBorders>
            <w:shd w:val="clear" w:color="auto" w:fill="FFFFFF"/>
          </w:tcPr>
          <w:p w:rsidR="0075548D" w:rsidRPr="007B566C" w:rsidRDefault="0075548D" w:rsidP="0075548D">
            <w:pPr>
              <w:shd w:val="clear" w:color="auto" w:fill="FFFFFF"/>
              <w:spacing w:after="0" w:line="240" w:lineRule="auto"/>
              <w:jc w:val="center"/>
              <w:rPr>
                <w:rStyle w:val="longtext"/>
                <w:rFonts w:asciiTheme="majorBidi" w:eastAsia="Calibri" w:hAnsiTheme="majorBidi" w:cstheme="majorBidi"/>
                <w:sz w:val="20"/>
                <w:szCs w:val="20"/>
                <w:shd w:val="clear" w:color="auto" w:fill="FFFFFF"/>
                <w:lang w:val="en-US"/>
              </w:rPr>
            </w:pPr>
            <w:r>
              <w:rPr>
                <w:rFonts w:asciiTheme="majorBidi" w:eastAsia="Calibri" w:hAnsiTheme="majorBidi" w:cstheme="majorBidi"/>
                <w:sz w:val="20"/>
                <w:szCs w:val="20"/>
                <w:lang w:val="en-US"/>
              </w:rPr>
              <w:t>0.1604 (</w:t>
            </w:r>
            <w:r w:rsidRPr="007B566C">
              <w:rPr>
                <w:rFonts w:asciiTheme="majorBidi" w:eastAsia="Calibri" w:hAnsiTheme="majorBidi" w:cstheme="majorBidi"/>
                <w:sz w:val="20"/>
                <w:szCs w:val="20"/>
                <w:lang w:val="en-US"/>
              </w:rPr>
              <w:t>1.41)</w:t>
            </w:r>
          </w:p>
        </w:tc>
        <w:tc>
          <w:tcPr>
            <w:tcW w:w="1663" w:type="dxa"/>
            <w:tcBorders>
              <w:right w:val="single" w:sz="4" w:space="0" w:color="auto"/>
            </w:tcBorders>
            <w:shd w:val="clear" w:color="auto" w:fill="FFFFFF"/>
          </w:tcPr>
          <w:p w:rsidR="0075548D" w:rsidRPr="007B566C" w:rsidRDefault="0075548D" w:rsidP="0075548D">
            <w:pPr>
              <w:shd w:val="clear" w:color="auto" w:fill="FFFFFF"/>
              <w:spacing w:after="0" w:line="240" w:lineRule="auto"/>
              <w:jc w:val="center"/>
              <w:rPr>
                <w:rFonts w:asciiTheme="majorBidi" w:eastAsia="Calibri" w:hAnsiTheme="majorBidi" w:cstheme="majorBidi"/>
                <w:sz w:val="20"/>
                <w:szCs w:val="20"/>
                <w:lang w:val="en-US"/>
              </w:rPr>
            </w:pPr>
            <w:r w:rsidRPr="007B566C">
              <w:rPr>
                <w:rFonts w:asciiTheme="majorBidi" w:eastAsia="Calibri" w:hAnsiTheme="majorBidi" w:cstheme="majorBidi"/>
                <w:sz w:val="20"/>
                <w:szCs w:val="20"/>
                <w:lang w:val="en-US"/>
              </w:rPr>
              <w:t>1.3775 (1.53)</w:t>
            </w:r>
          </w:p>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p>
        </w:tc>
      </w:tr>
      <w:tr w:rsidR="0075548D" w:rsidRPr="003C6D71" w:rsidTr="007D42CF">
        <w:trPr>
          <w:trHeight w:hRule="exact" w:val="291"/>
          <w:jc w:val="center"/>
        </w:trPr>
        <w:tc>
          <w:tcPr>
            <w:tcW w:w="1654" w:type="dxa"/>
            <w:tcBorders>
              <w:left w:val="single" w:sz="4" w:space="0" w:color="auto"/>
              <w:right w:val="single" w:sz="4" w:space="0" w:color="auto"/>
            </w:tcBorders>
            <w:shd w:val="clear" w:color="auto" w:fill="FFFFFF"/>
            <w:tcMar>
              <w:left w:w="0" w:type="dxa"/>
              <w:right w:w="0" w:type="dxa"/>
            </w:tcMar>
          </w:tcPr>
          <w:p w:rsidR="0075548D" w:rsidRPr="007A44B4" w:rsidRDefault="0075548D" w:rsidP="007D42CF">
            <w:pPr>
              <w:pStyle w:val="PlainText"/>
              <w:shd w:val="clear" w:color="auto" w:fill="FFFFFF"/>
              <w:spacing w:line="240" w:lineRule="auto"/>
              <w:rPr>
                <w:rStyle w:val="longtext"/>
                <w:rFonts w:asciiTheme="majorBidi" w:hAnsiTheme="majorBidi" w:cstheme="majorBidi"/>
                <w:b/>
                <w:bCs/>
                <w:shd w:val="clear" w:color="auto" w:fill="FFFFFF"/>
                <w:lang w:val="en-US"/>
              </w:rPr>
            </w:pPr>
            <w:r w:rsidRPr="007A44B4">
              <w:rPr>
                <w:rStyle w:val="longtext"/>
                <w:rFonts w:ascii="Times New Roman" w:hAnsi="Times New Roman" w:cs="Times New Roman"/>
                <w:b/>
                <w:bCs/>
                <w:shd w:val="clear" w:color="auto" w:fill="FFFFFF"/>
                <w:lang w:val="en-US"/>
              </w:rPr>
              <w:t>MULT</w:t>
            </w:r>
          </w:p>
        </w:tc>
        <w:tc>
          <w:tcPr>
            <w:tcW w:w="1877" w:type="dxa"/>
            <w:tcBorders>
              <w:left w:val="single" w:sz="4" w:space="0" w:color="auto"/>
              <w:right w:val="single" w:sz="4" w:space="0" w:color="auto"/>
            </w:tcBorders>
            <w:shd w:val="clear" w:color="auto" w:fill="FFFFFF"/>
            <w:tcMar>
              <w:left w:w="0" w:type="dxa"/>
              <w:right w:w="0" w:type="dxa"/>
            </w:tcMar>
          </w:tcPr>
          <w:p w:rsidR="0075548D" w:rsidRPr="007A44B4"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A44B4">
              <w:rPr>
                <w:rStyle w:val="longtext"/>
                <w:rFonts w:ascii="Times New Roman" w:hAnsi="Times New Roman" w:cs="Times New Roman"/>
                <w:sz w:val="20"/>
                <w:szCs w:val="20"/>
                <w:shd w:val="clear" w:color="auto" w:fill="FFFFFF"/>
                <w:lang w:val="en-US"/>
              </w:rPr>
              <w:t>-0.07 (-6.55***)</w:t>
            </w:r>
          </w:p>
        </w:tc>
        <w:tc>
          <w:tcPr>
            <w:tcW w:w="1836" w:type="dxa"/>
            <w:tcBorders>
              <w:left w:val="single" w:sz="4" w:space="0" w:color="auto"/>
              <w:right w:val="single" w:sz="4" w:space="0" w:color="auto"/>
            </w:tcBorders>
            <w:shd w:val="clear" w:color="auto" w:fill="FFFFFF"/>
          </w:tcPr>
          <w:p w:rsidR="0075548D" w:rsidRPr="007A44B4"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A44B4">
              <w:rPr>
                <w:rFonts w:ascii="Times New Roman" w:eastAsia="Calibri" w:hAnsi="Times New Roman" w:cs="Times New Roman"/>
                <w:sz w:val="20"/>
                <w:szCs w:val="20"/>
                <w:lang w:val="en-US"/>
              </w:rPr>
              <w:t>-0.7005 (-4.02***)</w:t>
            </w:r>
          </w:p>
        </w:tc>
        <w:tc>
          <w:tcPr>
            <w:tcW w:w="1776" w:type="dxa"/>
            <w:tcBorders>
              <w:left w:val="single" w:sz="4" w:space="0" w:color="auto"/>
            </w:tcBorders>
            <w:shd w:val="clear" w:color="auto" w:fill="FFFFFF"/>
          </w:tcPr>
          <w:p w:rsidR="0075548D" w:rsidRPr="007A44B4" w:rsidRDefault="0075548D" w:rsidP="0075548D">
            <w:pPr>
              <w:shd w:val="clear" w:color="auto" w:fill="FFFFFF"/>
              <w:spacing w:after="0" w:line="240" w:lineRule="auto"/>
              <w:jc w:val="center"/>
              <w:rPr>
                <w:rFonts w:asciiTheme="majorBidi" w:eastAsia="Calibri" w:hAnsiTheme="majorBidi" w:cstheme="majorBidi"/>
                <w:sz w:val="20"/>
                <w:szCs w:val="20"/>
                <w:lang w:val="en-US"/>
              </w:rPr>
            </w:pPr>
            <w:r w:rsidRPr="007A44B4">
              <w:rPr>
                <w:rStyle w:val="longtext"/>
                <w:rFonts w:ascii="Times New Roman" w:hAnsi="Times New Roman" w:cs="Times New Roman"/>
                <w:sz w:val="20"/>
                <w:szCs w:val="20"/>
                <w:shd w:val="clear" w:color="auto" w:fill="FFFFFF"/>
                <w:lang w:val="en-US"/>
              </w:rPr>
              <w:t>-0.069 (-5.33***)</w:t>
            </w:r>
          </w:p>
        </w:tc>
        <w:tc>
          <w:tcPr>
            <w:tcW w:w="1663" w:type="dxa"/>
            <w:tcBorders>
              <w:right w:val="single" w:sz="4" w:space="0" w:color="auto"/>
            </w:tcBorders>
            <w:shd w:val="clear" w:color="auto" w:fill="FFFFFF"/>
          </w:tcPr>
          <w:p w:rsidR="0075548D" w:rsidRPr="007A44B4" w:rsidRDefault="0075548D" w:rsidP="0075548D">
            <w:pPr>
              <w:pStyle w:val="PlainText"/>
              <w:shd w:val="clear" w:color="auto" w:fill="FFFFFF"/>
              <w:spacing w:line="240" w:lineRule="auto"/>
              <w:jc w:val="center"/>
              <w:rPr>
                <w:rFonts w:asciiTheme="majorBidi" w:eastAsia="Calibri" w:hAnsiTheme="majorBidi" w:cstheme="majorBidi"/>
                <w:lang w:val="en-US"/>
              </w:rPr>
            </w:pPr>
            <w:r w:rsidRPr="007A44B4">
              <w:rPr>
                <w:rFonts w:ascii="Times New Roman" w:eastAsia="Calibri" w:hAnsi="Times New Roman" w:cs="Times New Roman"/>
                <w:lang w:val="en-US"/>
              </w:rPr>
              <w:t>-0.744 (-1.47***)</w:t>
            </w:r>
          </w:p>
        </w:tc>
      </w:tr>
      <w:tr w:rsidR="0075548D" w:rsidRPr="007B566C" w:rsidTr="007D42CF">
        <w:trPr>
          <w:trHeight w:hRule="exact" w:val="291"/>
          <w:jc w:val="center"/>
        </w:trPr>
        <w:tc>
          <w:tcPr>
            <w:tcW w:w="1654" w:type="dxa"/>
            <w:tcBorders>
              <w:left w:val="single" w:sz="4" w:space="0" w:color="auto"/>
              <w:right w:val="single" w:sz="4" w:space="0" w:color="auto"/>
            </w:tcBorders>
            <w:shd w:val="clear" w:color="auto" w:fill="FFFFFF"/>
            <w:tcMar>
              <w:left w:w="0" w:type="dxa"/>
              <w:right w:w="0" w:type="dxa"/>
            </w:tcMar>
          </w:tcPr>
          <w:p w:rsidR="0075548D" w:rsidRPr="007B566C" w:rsidRDefault="0075548D" w:rsidP="007D42CF">
            <w:pPr>
              <w:pStyle w:val="PlainText"/>
              <w:shd w:val="clear" w:color="auto" w:fill="FFFFFF"/>
              <w:spacing w:line="240" w:lineRule="auto"/>
              <w:rPr>
                <w:rStyle w:val="longtext"/>
                <w:rFonts w:asciiTheme="majorBidi" w:hAnsiTheme="majorBidi" w:cstheme="majorBidi"/>
                <w:b/>
                <w:bCs/>
                <w:shd w:val="clear" w:color="auto" w:fill="FFFFFF"/>
                <w:lang w:val="en-US"/>
              </w:rPr>
            </w:pPr>
            <w:proofErr w:type="spellStart"/>
            <w:r w:rsidRPr="007B566C">
              <w:rPr>
                <w:rStyle w:val="longtext"/>
                <w:rFonts w:asciiTheme="majorBidi" w:hAnsiTheme="majorBidi" w:cstheme="majorBidi"/>
                <w:b/>
                <w:bCs/>
                <w:shd w:val="clear" w:color="auto" w:fill="FFFFFF"/>
                <w:lang w:val="en-US"/>
              </w:rPr>
              <w:t>Dual_class</w:t>
            </w:r>
            <w:proofErr w:type="spellEnd"/>
          </w:p>
          <w:p w:rsidR="0075548D" w:rsidRPr="007B566C" w:rsidRDefault="0075548D" w:rsidP="007D42CF">
            <w:pPr>
              <w:pStyle w:val="PlainText"/>
              <w:shd w:val="clear" w:color="auto" w:fill="FFFFFF"/>
              <w:spacing w:line="240" w:lineRule="auto"/>
              <w:rPr>
                <w:rStyle w:val="longtext"/>
                <w:rFonts w:asciiTheme="majorBidi" w:hAnsiTheme="majorBidi" w:cstheme="majorBidi"/>
                <w:b/>
                <w:bCs/>
                <w:shd w:val="clear" w:color="auto" w:fill="FFFFFF"/>
                <w:lang w:val="en-US"/>
              </w:rPr>
            </w:pPr>
          </w:p>
          <w:p w:rsidR="0075548D" w:rsidRPr="007B566C" w:rsidRDefault="0075548D" w:rsidP="007D42CF">
            <w:pPr>
              <w:pStyle w:val="PlainText"/>
              <w:shd w:val="clear" w:color="auto" w:fill="FFFFFF"/>
              <w:spacing w:line="240" w:lineRule="auto"/>
              <w:rPr>
                <w:rStyle w:val="longtext"/>
                <w:rFonts w:asciiTheme="majorBidi" w:hAnsiTheme="majorBidi" w:cstheme="majorBidi"/>
                <w:b/>
                <w:bCs/>
                <w:shd w:val="clear" w:color="auto" w:fill="FFFFFF"/>
                <w:lang w:val="en-US"/>
              </w:rPr>
            </w:pPr>
          </w:p>
          <w:p w:rsidR="0075548D" w:rsidRPr="007B566C" w:rsidRDefault="0075548D" w:rsidP="007D42CF">
            <w:pPr>
              <w:pStyle w:val="PlainText"/>
              <w:shd w:val="clear" w:color="auto" w:fill="FFFFFF"/>
              <w:spacing w:line="240" w:lineRule="auto"/>
              <w:rPr>
                <w:rStyle w:val="longtext"/>
                <w:rFonts w:asciiTheme="majorBidi" w:hAnsiTheme="majorBidi" w:cstheme="majorBidi"/>
                <w:b/>
                <w:bCs/>
                <w:shd w:val="clear" w:color="auto" w:fill="FFFFFF"/>
                <w:lang w:val="en-US"/>
              </w:rPr>
            </w:pPr>
          </w:p>
        </w:tc>
        <w:tc>
          <w:tcPr>
            <w:tcW w:w="1877" w:type="dxa"/>
            <w:tcBorders>
              <w:left w:val="single" w:sz="4" w:space="0" w:color="auto"/>
              <w:right w:val="single" w:sz="4" w:space="0" w:color="auto"/>
            </w:tcBorders>
            <w:shd w:val="clear" w:color="auto" w:fill="FFFFFF"/>
            <w:tcMar>
              <w:left w:w="0" w:type="dxa"/>
              <w:right w:w="0" w:type="dxa"/>
            </w:tcMar>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p>
        </w:tc>
        <w:tc>
          <w:tcPr>
            <w:tcW w:w="1836" w:type="dxa"/>
            <w:tcBorders>
              <w:left w:val="single" w:sz="4" w:space="0" w:color="auto"/>
              <w:right w:val="single" w:sz="4" w:space="0" w:color="auto"/>
            </w:tcBorders>
            <w:shd w:val="clear" w:color="auto" w:fill="FFFFFF"/>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B566C">
              <w:rPr>
                <w:rFonts w:ascii="Times New Roman" w:eastAsia="Calibri" w:hAnsi="Times New Roman" w:cs="Times New Roman"/>
                <w:sz w:val="20"/>
                <w:szCs w:val="20"/>
                <w:lang w:val="en-US"/>
              </w:rPr>
              <w:t>2.21 (7.52***)</w:t>
            </w:r>
          </w:p>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p>
        </w:tc>
        <w:tc>
          <w:tcPr>
            <w:tcW w:w="1776" w:type="dxa"/>
            <w:tcBorders>
              <w:left w:val="single" w:sz="4" w:space="0" w:color="auto"/>
            </w:tcBorders>
            <w:shd w:val="clear" w:color="auto" w:fill="FFFFFF"/>
          </w:tcPr>
          <w:p w:rsidR="0075548D" w:rsidRPr="007B566C" w:rsidRDefault="0075548D" w:rsidP="0075548D">
            <w:pPr>
              <w:pStyle w:val="ListParagraph"/>
              <w:numPr>
                <w:ilvl w:val="0"/>
                <w:numId w:val="24"/>
              </w:numPr>
              <w:shd w:val="clear" w:color="auto" w:fill="FFFFFF"/>
              <w:spacing w:after="0" w:line="240" w:lineRule="auto"/>
              <w:jc w:val="center"/>
              <w:rPr>
                <w:rFonts w:asciiTheme="majorBidi" w:eastAsia="Calibri" w:hAnsiTheme="majorBidi" w:cstheme="majorBidi"/>
                <w:sz w:val="20"/>
                <w:szCs w:val="20"/>
                <w:lang w:val="en-US"/>
              </w:rPr>
            </w:pPr>
          </w:p>
        </w:tc>
        <w:tc>
          <w:tcPr>
            <w:tcW w:w="1663" w:type="dxa"/>
            <w:tcBorders>
              <w:right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7B566C">
              <w:rPr>
                <w:rFonts w:asciiTheme="majorBidi" w:eastAsia="Calibri" w:hAnsiTheme="majorBidi" w:cstheme="majorBidi"/>
                <w:lang w:val="en-US"/>
              </w:rPr>
              <w:t>3.1944 (5.31***)</w:t>
            </w:r>
          </w:p>
        </w:tc>
      </w:tr>
      <w:tr w:rsidR="0075548D" w:rsidRPr="007B566C" w:rsidTr="007D42CF">
        <w:trPr>
          <w:trHeight w:hRule="exact" w:val="291"/>
          <w:jc w:val="center"/>
        </w:trPr>
        <w:tc>
          <w:tcPr>
            <w:tcW w:w="1654" w:type="dxa"/>
            <w:tcBorders>
              <w:left w:val="single" w:sz="4" w:space="0" w:color="auto"/>
              <w:right w:val="single" w:sz="4" w:space="0" w:color="auto"/>
            </w:tcBorders>
            <w:shd w:val="clear" w:color="auto" w:fill="FFFFFF"/>
            <w:tcMar>
              <w:left w:w="0" w:type="dxa"/>
              <w:right w:w="0" w:type="dxa"/>
            </w:tcMar>
          </w:tcPr>
          <w:p w:rsidR="0075548D" w:rsidRPr="007B566C" w:rsidRDefault="0075548D" w:rsidP="007D42CF">
            <w:pPr>
              <w:pStyle w:val="PlainText"/>
              <w:shd w:val="clear" w:color="auto" w:fill="FFFFFF"/>
              <w:spacing w:line="240" w:lineRule="auto"/>
              <w:rPr>
                <w:rStyle w:val="longtext"/>
                <w:rFonts w:asciiTheme="majorBidi" w:hAnsiTheme="majorBidi" w:cstheme="majorBidi"/>
                <w:b/>
                <w:bCs/>
                <w:shd w:val="clear" w:color="auto" w:fill="FFFFFF"/>
                <w:lang w:val="en-US"/>
              </w:rPr>
            </w:pPr>
            <w:proofErr w:type="spellStart"/>
            <w:r w:rsidRPr="007B566C">
              <w:rPr>
                <w:rStyle w:val="longtext"/>
                <w:rFonts w:ascii="Times New Roman" w:hAnsi="Times New Roman" w:cs="Times New Roman"/>
                <w:b/>
                <w:bCs/>
                <w:color w:val="000000"/>
                <w:shd w:val="clear" w:color="auto" w:fill="FFFFFF"/>
                <w:lang w:val="en-US"/>
              </w:rPr>
              <w:t>Cross_list</w:t>
            </w:r>
            <w:proofErr w:type="spellEnd"/>
          </w:p>
        </w:tc>
        <w:tc>
          <w:tcPr>
            <w:tcW w:w="1877" w:type="dxa"/>
            <w:tcBorders>
              <w:left w:val="single" w:sz="4" w:space="0" w:color="auto"/>
              <w:right w:val="single" w:sz="4" w:space="0" w:color="auto"/>
            </w:tcBorders>
            <w:shd w:val="clear" w:color="auto" w:fill="FFFFFF"/>
            <w:tcMar>
              <w:left w:w="0" w:type="dxa"/>
              <w:right w:w="0" w:type="dxa"/>
            </w:tcMar>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p>
        </w:tc>
        <w:tc>
          <w:tcPr>
            <w:tcW w:w="1836" w:type="dxa"/>
            <w:tcBorders>
              <w:left w:val="single" w:sz="4" w:space="0" w:color="auto"/>
              <w:right w:val="single" w:sz="4" w:space="0" w:color="auto"/>
            </w:tcBorders>
            <w:shd w:val="clear" w:color="auto" w:fill="FFFFFF"/>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B566C">
              <w:rPr>
                <w:rFonts w:ascii="Times New Roman" w:eastAsia="Calibri" w:hAnsi="Times New Roman" w:cs="Times New Roman"/>
                <w:sz w:val="20"/>
                <w:szCs w:val="20"/>
                <w:lang w:val="en-US"/>
              </w:rPr>
              <w:t>-1.0304 (-2.4**)</w:t>
            </w:r>
          </w:p>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p>
        </w:tc>
        <w:tc>
          <w:tcPr>
            <w:tcW w:w="1776" w:type="dxa"/>
            <w:tcBorders>
              <w:left w:val="single" w:sz="4" w:space="0" w:color="auto"/>
            </w:tcBorders>
            <w:shd w:val="clear" w:color="auto" w:fill="FFFFFF"/>
          </w:tcPr>
          <w:p w:rsidR="0075548D" w:rsidRPr="007B566C" w:rsidRDefault="0075548D" w:rsidP="0075548D">
            <w:pPr>
              <w:pStyle w:val="ListParagraph"/>
              <w:numPr>
                <w:ilvl w:val="0"/>
                <w:numId w:val="24"/>
              </w:numPr>
              <w:shd w:val="clear" w:color="auto" w:fill="FFFFFF"/>
              <w:spacing w:after="0" w:line="240" w:lineRule="auto"/>
              <w:jc w:val="center"/>
              <w:rPr>
                <w:rFonts w:asciiTheme="majorBidi" w:eastAsia="Calibri" w:hAnsiTheme="majorBidi" w:cstheme="majorBidi"/>
                <w:sz w:val="20"/>
                <w:szCs w:val="20"/>
                <w:lang w:val="en-US"/>
              </w:rPr>
            </w:pPr>
          </w:p>
        </w:tc>
        <w:tc>
          <w:tcPr>
            <w:tcW w:w="1663" w:type="dxa"/>
            <w:tcBorders>
              <w:right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7B566C">
              <w:rPr>
                <w:rFonts w:asciiTheme="majorBidi" w:eastAsia="Calibri" w:hAnsiTheme="majorBidi" w:cstheme="majorBidi"/>
                <w:lang w:val="en-US"/>
              </w:rPr>
              <w:t>-1.3876 (-2.09*)</w:t>
            </w:r>
          </w:p>
        </w:tc>
      </w:tr>
      <w:tr w:rsidR="0075548D" w:rsidRPr="007B566C" w:rsidTr="007D42CF">
        <w:trPr>
          <w:trHeight w:hRule="exact" w:val="291"/>
          <w:jc w:val="center"/>
        </w:trPr>
        <w:tc>
          <w:tcPr>
            <w:tcW w:w="1654" w:type="dxa"/>
            <w:tcBorders>
              <w:left w:val="single" w:sz="4" w:space="0" w:color="auto"/>
              <w:right w:val="single" w:sz="4" w:space="0" w:color="auto"/>
            </w:tcBorders>
            <w:shd w:val="clear" w:color="auto" w:fill="FFFFFF"/>
            <w:tcMar>
              <w:left w:w="0" w:type="dxa"/>
              <w:right w:w="0" w:type="dxa"/>
            </w:tcMar>
          </w:tcPr>
          <w:p w:rsidR="0075548D" w:rsidRPr="007B566C" w:rsidRDefault="0075548D" w:rsidP="007D42CF">
            <w:pPr>
              <w:pStyle w:val="PlainText"/>
              <w:shd w:val="clear" w:color="auto" w:fill="FFFFFF"/>
              <w:spacing w:line="240" w:lineRule="auto"/>
              <w:rPr>
                <w:rStyle w:val="longtext"/>
                <w:rFonts w:asciiTheme="majorBidi" w:hAnsiTheme="majorBidi" w:cstheme="majorBidi"/>
                <w:b/>
                <w:bCs/>
                <w:color w:val="000000"/>
                <w:shd w:val="clear" w:color="auto" w:fill="FFFFFF"/>
                <w:lang w:val="en-US"/>
              </w:rPr>
            </w:pPr>
            <w:r w:rsidRPr="007B566C">
              <w:rPr>
                <w:rStyle w:val="longtext"/>
                <w:rFonts w:asciiTheme="majorBidi" w:hAnsiTheme="majorBidi" w:cstheme="majorBidi"/>
                <w:b/>
                <w:bCs/>
                <w:color w:val="000000"/>
                <w:shd w:val="clear" w:color="auto" w:fill="FFFFFF"/>
                <w:lang w:val="en-US"/>
              </w:rPr>
              <w:t>LEV</w:t>
            </w:r>
          </w:p>
        </w:tc>
        <w:tc>
          <w:tcPr>
            <w:tcW w:w="1877" w:type="dxa"/>
            <w:tcBorders>
              <w:left w:val="single" w:sz="4" w:space="0" w:color="auto"/>
              <w:right w:val="single" w:sz="4" w:space="0" w:color="auto"/>
            </w:tcBorders>
            <w:shd w:val="clear" w:color="auto" w:fill="FFFFFF"/>
            <w:tcMar>
              <w:left w:w="0" w:type="dxa"/>
              <w:right w:w="0" w:type="dxa"/>
            </w:tcMar>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B566C">
              <w:rPr>
                <w:rFonts w:ascii="Times New Roman" w:eastAsia="Calibri" w:hAnsi="Times New Roman" w:cs="Times New Roman"/>
                <w:sz w:val="20"/>
                <w:szCs w:val="20"/>
                <w:lang w:val="en-US"/>
              </w:rPr>
              <w:t>-0.1544    (-5.23***)</w:t>
            </w:r>
          </w:p>
        </w:tc>
        <w:tc>
          <w:tcPr>
            <w:tcW w:w="1836" w:type="dxa"/>
            <w:tcBorders>
              <w:left w:val="single" w:sz="4" w:space="0" w:color="auto"/>
              <w:right w:val="single" w:sz="4" w:space="0" w:color="auto"/>
            </w:tcBorders>
            <w:shd w:val="clear" w:color="auto" w:fill="FFFFFF"/>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B566C">
              <w:rPr>
                <w:rFonts w:ascii="Times New Roman" w:eastAsia="Calibri" w:hAnsi="Times New Roman" w:cs="Times New Roman"/>
                <w:sz w:val="20"/>
                <w:szCs w:val="20"/>
                <w:lang w:val="en-US"/>
              </w:rPr>
              <w:t>2.661    (8.55***)</w:t>
            </w:r>
          </w:p>
        </w:tc>
        <w:tc>
          <w:tcPr>
            <w:tcW w:w="1776" w:type="dxa"/>
            <w:tcBorders>
              <w:left w:val="single" w:sz="4" w:space="0" w:color="auto"/>
            </w:tcBorders>
            <w:shd w:val="clear" w:color="auto" w:fill="FFFFFF"/>
          </w:tcPr>
          <w:p w:rsidR="0075548D" w:rsidRPr="007B566C" w:rsidRDefault="0075548D" w:rsidP="0075548D">
            <w:pPr>
              <w:shd w:val="clear" w:color="auto" w:fill="FFFFFF"/>
              <w:spacing w:after="0" w:line="240" w:lineRule="auto"/>
              <w:jc w:val="center"/>
              <w:rPr>
                <w:rFonts w:asciiTheme="majorBidi" w:eastAsia="Calibri" w:hAnsiTheme="majorBidi" w:cstheme="majorBidi"/>
                <w:sz w:val="20"/>
                <w:szCs w:val="20"/>
                <w:lang w:val="en-US"/>
              </w:rPr>
            </w:pPr>
            <w:r w:rsidRPr="007B566C">
              <w:rPr>
                <w:rFonts w:asciiTheme="majorBidi" w:eastAsia="Calibri" w:hAnsiTheme="majorBidi" w:cstheme="majorBidi"/>
                <w:sz w:val="20"/>
                <w:szCs w:val="20"/>
                <w:lang w:val="en-US"/>
              </w:rPr>
              <w:t>-0.3728    (-2.7**)</w:t>
            </w:r>
          </w:p>
        </w:tc>
        <w:tc>
          <w:tcPr>
            <w:tcW w:w="1663" w:type="dxa"/>
            <w:tcBorders>
              <w:right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7B566C">
              <w:rPr>
                <w:rFonts w:asciiTheme="majorBidi" w:eastAsia="Calibri" w:hAnsiTheme="majorBidi" w:cstheme="majorBidi"/>
                <w:lang w:val="en-US"/>
              </w:rPr>
              <w:t>1.8731 (1.46)</w:t>
            </w:r>
          </w:p>
        </w:tc>
      </w:tr>
      <w:tr w:rsidR="0075548D" w:rsidRPr="007B566C" w:rsidTr="007D42CF">
        <w:trPr>
          <w:trHeight w:hRule="exact" w:val="291"/>
          <w:jc w:val="center"/>
        </w:trPr>
        <w:tc>
          <w:tcPr>
            <w:tcW w:w="1654" w:type="dxa"/>
            <w:tcBorders>
              <w:left w:val="single" w:sz="4" w:space="0" w:color="auto"/>
              <w:right w:val="single" w:sz="4" w:space="0" w:color="auto"/>
            </w:tcBorders>
            <w:shd w:val="clear" w:color="auto" w:fill="FFFFFF"/>
            <w:tcMar>
              <w:left w:w="0" w:type="dxa"/>
              <w:right w:w="0" w:type="dxa"/>
            </w:tcMar>
          </w:tcPr>
          <w:p w:rsidR="0075548D" w:rsidRPr="007B566C" w:rsidRDefault="0075548D" w:rsidP="007D42CF">
            <w:pPr>
              <w:pStyle w:val="PlainText"/>
              <w:shd w:val="clear" w:color="auto" w:fill="FFFFFF"/>
              <w:spacing w:line="240" w:lineRule="auto"/>
              <w:rPr>
                <w:rStyle w:val="longtext"/>
                <w:rFonts w:asciiTheme="majorBidi" w:hAnsiTheme="majorBidi" w:cstheme="majorBidi"/>
                <w:b/>
                <w:bCs/>
                <w:color w:val="000000"/>
                <w:shd w:val="clear" w:color="auto" w:fill="FFFFFF"/>
                <w:lang w:val="en-US"/>
              </w:rPr>
            </w:pPr>
            <w:r w:rsidRPr="007B566C">
              <w:rPr>
                <w:rStyle w:val="longtext"/>
                <w:rFonts w:asciiTheme="majorBidi" w:hAnsiTheme="majorBidi" w:cstheme="majorBidi"/>
                <w:b/>
                <w:bCs/>
                <w:color w:val="000000"/>
                <w:shd w:val="clear" w:color="auto" w:fill="FFFFFF"/>
                <w:lang w:val="en-US"/>
              </w:rPr>
              <w:t>Growth</w:t>
            </w:r>
          </w:p>
        </w:tc>
        <w:tc>
          <w:tcPr>
            <w:tcW w:w="1877" w:type="dxa"/>
            <w:tcBorders>
              <w:left w:val="single" w:sz="4" w:space="0" w:color="auto"/>
              <w:right w:val="single" w:sz="4" w:space="0" w:color="auto"/>
            </w:tcBorders>
            <w:shd w:val="clear" w:color="auto" w:fill="FFFFFF"/>
            <w:tcMar>
              <w:left w:w="0" w:type="dxa"/>
              <w:right w:w="0" w:type="dxa"/>
            </w:tcMar>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7B566C">
              <w:rPr>
                <w:rStyle w:val="longtext"/>
                <w:rFonts w:ascii="Times New Roman" w:hAnsi="Times New Roman" w:cs="Times New Roman"/>
                <w:color w:val="000000"/>
                <w:shd w:val="clear" w:color="auto" w:fill="FFFFFF"/>
                <w:lang w:val="en-US"/>
              </w:rPr>
              <w:t>-0.00004 (-0.18)</w:t>
            </w:r>
          </w:p>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p>
        </w:tc>
        <w:tc>
          <w:tcPr>
            <w:tcW w:w="1836" w:type="dxa"/>
            <w:tcBorders>
              <w:left w:val="single" w:sz="4" w:space="0" w:color="auto"/>
              <w:right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7B566C">
              <w:rPr>
                <w:rStyle w:val="longtext"/>
                <w:rFonts w:ascii="Times New Roman" w:hAnsi="Times New Roman" w:cs="Times New Roman"/>
                <w:color w:val="000000"/>
                <w:shd w:val="clear" w:color="auto" w:fill="FFFFFF"/>
                <w:lang w:val="en-US"/>
              </w:rPr>
              <w:t>-0.0035 (-0.89)</w:t>
            </w:r>
          </w:p>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p>
        </w:tc>
        <w:tc>
          <w:tcPr>
            <w:tcW w:w="1776" w:type="dxa"/>
            <w:tcBorders>
              <w:left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Fonts w:asciiTheme="majorBidi" w:eastAsia="Calibri" w:hAnsiTheme="majorBidi" w:cstheme="majorBidi"/>
                <w:lang w:val="en-US"/>
              </w:rPr>
            </w:pPr>
            <w:r w:rsidRPr="007B566C">
              <w:rPr>
                <w:rStyle w:val="longtext"/>
                <w:rFonts w:asciiTheme="majorBidi" w:hAnsiTheme="majorBidi" w:cstheme="majorBidi"/>
                <w:color w:val="000000"/>
                <w:shd w:val="clear" w:color="auto" w:fill="FFFFFF"/>
                <w:lang w:val="en-US"/>
              </w:rPr>
              <w:t>0.0008 ( 1.65)</w:t>
            </w:r>
          </w:p>
        </w:tc>
        <w:tc>
          <w:tcPr>
            <w:tcW w:w="1663" w:type="dxa"/>
            <w:tcBorders>
              <w:right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Style w:val="longtext"/>
                <w:rFonts w:asciiTheme="majorBidi" w:hAnsiTheme="majorBidi" w:cstheme="majorBidi"/>
                <w:color w:val="000000"/>
                <w:shd w:val="clear" w:color="auto" w:fill="FFFFFF"/>
                <w:lang w:val="en-US"/>
              </w:rPr>
            </w:pPr>
            <w:r w:rsidRPr="007B566C">
              <w:rPr>
                <w:rStyle w:val="longtext"/>
                <w:rFonts w:asciiTheme="majorBidi" w:hAnsiTheme="majorBidi" w:cstheme="majorBidi"/>
                <w:color w:val="000000"/>
                <w:shd w:val="clear" w:color="auto" w:fill="FFFFFF"/>
                <w:lang w:val="en-US"/>
              </w:rPr>
              <w:t>-0.00796 (-2.24*)</w:t>
            </w:r>
          </w:p>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p>
        </w:tc>
      </w:tr>
      <w:tr w:rsidR="0075548D" w:rsidRPr="007B566C" w:rsidTr="007D42CF">
        <w:trPr>
          <w:trHeight w:hRule="exact" w:val="291"/>
          <w:jc w:val="center"/>
        </w:trPr>
        <w:tc>
          <w:tcPr>
            <w:tcW w:w="1654" w:type="dxa"/>
            <w:tcBorders>
              <w:left w:val="single" w:sz="4" w:space="0" w:color="auto"/>
              <w:right w:val="single" w:sz="4" w:space="0" w:color="auto"/>
            </w:tcBorders>
            <w:shd w:val="clear" w:color="auto" w:fill="FFFFFF"/>
            <w:tcMar>
              <w:left w:w="0" w:type="dxa"/>
              <w:right w:w="0" w:type="dxa"/>
            </w:tcMar>
          </w:tcPr>
          <w:p w:rsidR="0075548D" w:rsidRPr="007B566C" w:rsidRDefault="0075548D" w:rsidP="007D42CF">
            <w:pPr>
              <w:pStyle w:val="PlainText"/>
              <w:shd w:val="clear" w:color="auto" w:fill="FFFFFF"/>
              <w:spacing w:line="240" w:lineRule="auto"/>
              <w:rPr>
                <w:rStyle w:val="longtext"/>
                <w:rFonts w:asciiTheme="majorBidi" w:hAnsiTheme="majorBidi" w:cstheme="majorBidi"/>
                <w:b/>
                <w:bCs/>
                <w:color w:val="000000"/>
                <w:shd w:val="clear" w:color="auto" w:fill="FFFFFF"/>
                <w:lang w:val="en-US"/>
              </w:rPr>
            </w:pPr>
            <w:r w:rsidRPr="007B566C">
              <w:rPr>
                <w:rStyle w:val="longtext"/>
                <w:rFonts w:asciiTheme="majorBidi" w:hAnsiTheme="majorBidi" w:cstheme="majorBidi"/>
                <w:b/>
                <w:bCs/>
                <w:color w:val="000000"/>
                <w:shd w:val="clear" w:color="auto" w:fill="FFFFFF"/>
                <w:lang w:val="en-US"/>
              </w:rPr>
              <w:t>ROA</w:t>
            </w:r>
          </w:p>
        </w:tc>
        <w:tc>
          <w:tcPr>
            <w:tcW w:w="1877" w:type="dxa"/>
            <w:tcBorders>
              <w:left w:val="single" w:sz="4" w:space="0" w:color="auto"/>
              <w:right w:val="single" w:sz="4" w:space="0" w:color="auto"/>
            </w:tcBorders>
            <w:shd w:val="clear" w:color="auto" w:fill="FFFFFF"/>
            <w:tcMar>
              <w:left w:w="0" w:type="dxa"/>
              <w:right w:w="0" w:type="dxa"/>
            </w:tcMar>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B566C">
              <w:rPr>
                <w:rFonts w:ascii="Times New Roman" w:eastAsia="Calibri" w:hAnsi="Times New Roman" w:cs="Times New Roman"/>
                <w:sz w:val="20"/>
                <w:szCs w:val="20"/>
                <w:lang w:val="en-US"/>
              </w:rPr>
              <w:t>0.6346    (9.29***)</w:t>
            </w:r>
          </w:p>
        </w:tc>
        <w:tc>
          <w:tcPr>
            <w:tcW w:w="1836" w:type="dxa"/>
            <w:tcBorders>
              <w:left w:val="single" w:sz="4" w:space="0" w:color="auto"/>
              <w:right w:val="single" w:sz="4" w:space="0" w:color="auto"/>
            </w:tcBorders>
            <w:shd w:val="clear" w:color="auto" w:fill="FFFFFF"/>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B566C">
              <w:rPr>
                <w:rFonts w:ascii="Times New Roman" w:eastAsia="Calibri" w:hAnsi="Times New Roman" w:cs="Times New Roman"/>
                <w:sz w:val="20"/>
                <w:szCs w:val="20"/>
                <w:lang w:val="en-US"/>
              </w:rPr>
              <w:t>3.0195    (3.52***)</w:t>
            </w:r>
          </w:p>
        </w:tc>
        <w:tc>
          <w:tcPr>
            <w:tcW w:w="1776" w:type="dxa"/>
            <w:tcBorders>
              <w:left w:val="single" w:sz="4" w:space="0" w:color="auto"/>
            </w:tcBorders>
            <w:shd w:val="clear" w:color="auto" w:fill="FFFFFF"/>
          </w:tcPr>
          <w:p w:rsidR="0075548D" w:rsidRPr="007B566C" w:rsidRDefault="0075548D" w:rsidP="0075548D">
            <w:pPr>
              <w:shd w:val="clear" w:color="auto" w:fill="FFFFFF"/>
              <w:spacing w:after="0" w:line="240" w:lineRule="auto"/>
              <w:jc w:val="center"/>
              <w:rPr>
                <w:rFonts w:asciiTheme="majorBidi" w:eastAsia="Calibri" w:hAnsiTheme="majorBidi" w:cstheme="majorBidi"/>
                <w:sz w:val="20"/>
                <w:szCs w:val="20"/>
                <w:lang w:val="en-US"/>
              </w:rPr>
            </w:pPr>
            <w:r w:rsidRPr="007B566C">
              <w:rPr>
                <w:rFonts w:asciiTheme="majorBidi" w:eastAsia="Calibri" w:hAnsiTheme="majorBidi" w:cstheme="majorBidi"/>
                <w:sz w:val="20"/>
                <w:szCs w:val="20"/>
                <w:lang w:val="en-US"/>
              </w:rPr>
              <w:t>0.6022    (2.41**)</w:t>
            </w:r>
          </w:p>
        </w:tc>
        <w:tc>
          <w:tcPr>
            <w:tcW w:w="1663" w:type="dxa"/>
            <w:tcBorders>
              <w:right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7B566C">
              <w:rPr>
                <w:rFonts w:asciiTheme="majorBidi" w:eastAsia="Calibri" w:hAnsiTheme="majorBidi" w:cstheme="majorBidi"/>
                <w:lang w:val="en-US"/>
              </w:rPr>
              <w:t>7.3764 (1.71*)</w:t>
            </w:r>
          </w:p>
        </w:tc>
      </w:tr>
      <w:tr w:rsidR="0075548D" w:rsidRPr="007B566C" w:rsidTr="007D42CF">
        <w:trPr>
          <w:trHeight w:hRule="exact" w:val="291"/>
          <w:jc w:val="center"/>
        </w:trPr>
        <w:tc>
          <w:tcPr>
            <w:tcW w:w="1654" w:type="dxa"/>
            <w:tcBorders>
              <w:left w:val="single" w:sz="4" w:space="0" w:color="auto"/>
              <w:right w:val="single" w:sz="4" w:space="0" w:color="auto"/>
            </w:tcBorders>
            <w:shd w:val="clear" w:color="auto" w:fill="FFFFFF"/>
            <w:tcMar>
              <w:left w:w="0" w:type="dxa"/>
              <w:right w:w="0" w:type="dxa"/>
            </w:tcMar>
          </w:tcPr>
          <w:p w:rsidR="0075548D" w:rsidRPr="007B566C" w:rsidRDefault="0075548D" w:rsidP="007D42CF">
            <w:pPr>
              <w:pStyle w:val="PlainText"/>
              <w:shd w:val="clear" w:color="auto" w:fill="FFFFFF"/>
              <w:spacing w:line="240" w:lineRule="auto"/>
              <w:rPr>
                <w:rStyle w:val="longtext"/>
                <w:rFonts w:asciiTheme="majorBidi" w:hAnsiTheme="majorBidi" w:cstheme="majorBidi"/>
                <w:b/>
                <w:bCs/>
                <w:color w:val="000000"/>
                <w:shd w:val="clear" w:color="auto" w:fill="FFFFFF"/>
                <w:lang w:val="en-US"/>
              </w:rPr>
            </w:pPr>
            <w:r w:rsidRPr="007B566C">
              <w:rPr>
                <w:rStyle w:val="longtext"/>
                <w:rFonts w:asciiTheme="majorBidi" w:hAnsiTheme="majorBidi" w:cstheme="majorBidi"/>
                <w:b/>
                <w:bCs/>
                <w:color w:val="000000"/>
                <w:shd w:val="clear" w:color="auto" w:fill="FFFFFF"/>
                <w:lang w:val="en-US"/>
              </w:rPr>
              <w:t>TANG</w:t>
            </w:r>
          </w:p>
        </w:tc>
        <w:tc>
          <w:tcPr>
            <w:tcW w:w="1877" w:type="dxa"/>
            <w:tcBorders>
              <w:left w:val="single" w:sz="4" w:space="0" w:color="auto"/>
              <w:right w:val="single" w:sz="4" w:space="0" w:color="auto"/>
            </w:tcBorders>
            <w:shd w:val="clear" w:color="auto" w:fill="FFFFFF"/>
            <w:tcMar>
              <w:left w:w="0" w:type="dxa"/>
              <w:right w:w="0" w:type="dxa"/>
            </w:tcMar>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p>
        </w:tc>
        <w:tc>
          <w:tcPr>
            <w:tcW w:w="1836" w:type="dxa"/>
            <w:tcBorders>
              <w:left w:val="single" w:sz="4" w:space="0" w:color="auto"/>
              <w:right w:val="single" w:sz="4" w:space="0" w:color="auto"/>
            </w:tcBorders>
            <w:shd w:val="clear" w:color="auto" w:fill="FFFFFF"/>
          </w:tcPr>
          <w:p w:rsidR="0075548D" w:rsidRPr="007B566C" w:rsidRDefault="0075548D" w:rsidP="0075548D">
            <w:pPr>
              <w:shd w:val="clear" w:color="auto" w:fill="FFFFFF"/>
              <w:spacing w:after="0" w:line="240" w:lineRule="auto"/>
              <w:jc w:val="center"/>
              <w:rPr>
                <w:rFonts w:ascii="Times New Roman" w:eastAsia="Calibri" w:hAnsi="Times New Roman" w:cs="Times New Roman"/>
                <w:color w:val="FF0000"/>
                <w:sz w:val="20"/>
                <w:szCs w:val="20"/>
                <w:lang w:val="en-US"/>
              </w:rPr>
            </w:pPr>
            <w:r w:rsidRPr="007B566C">
              <w:rPr>
                <w:rFonts w:ascii="Times New Roman" w:eastAsia="Calibri" w:hAnsi="Times New Roman" w:cs="Times New Roman"/>
                <w:sz w:val="20"/>
                <w:szCs w:val="20"/>
                <w:lang w:val="en-US"/>
              </w:rPr>
              <w:t>-2.70 (-4.79***)</w:t>
            </w:r>
          </w:p>
        </w:tc>
        <w:tc>
          <w:tcPr>
            <w:tcW w:w="1776" w:type="dxa"/>
            <w:tcBorders>
              <w:left w:val="single" w:sz="4" w:space="0" w:color="auto"/>
            </w:tcBorders>
            <w:shd w:val="clear" w:color="auto" w:fill="FFFFFF"/>
          </w:tcPr>
          <w:p w:rsidR="0075548D" w:rsidRPr="007B566C" w:rsidRDefault="0075548D" w:rsidP="0075548D">
            <w:pPr>
              <w:pStyle w:val="ListParagraph"/>
              <w:shd w:val="clear" w:color="auto" w:fill="FFFFFF"/>
              <w:spacing w:after="0" w:line="240" w:lineRule="auto"/>
              <w:ind w:left="495"/>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w:t>
            </w:r>
          </w:p>
        </w:tc>
        <w:tc>
          <w:tcPr>
            <w:tcW w:w="1663" w:type="dxa"/>
            <w:tcBorders>
              <w:right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7B566C">
              <w:rPr>
                <w:rFonts w:asciiTheme="majorBidi" w:eastAsia="Calibri" w:hAnsiTheme="majorBidi" w:cstheme="majorBidi"/>
                <w:lang w:val="en-US"/>
              </w:rPr>
              <w:t>-2.346 (-1.92*)</w:t>
            </w:r>
          </w:p>
        </w:tc>
      </w:tr>
      <w:tr w:rsidR="0075548D" w:rsidRPr="007B566C" w:rsidTr="007D42CF">
        <w:trPr>
          <w:trHeight w:hRule="exact" w:val="291"/>
          <w:jc w:val="center"/>
        </w:trPr>
        <w:tc>
          <w:tcPr>
            <w:tcW w:w="1654" w:type="dxa"/>
            <w:tcBorders>
              <w:left w:val="single" w:sz="4" w:space="0" w:color="auto"/>
              <w:right w:val="single" w:sz="4" w:space="0" w:color="auto"/>
            </w:tcBorders>
            <w:shd w:val="clear" w:color="auto" w:fill="FFFFFF"/>
            <w:tcMar>
              <w:left w:w="0" w:type="dxa"/>
              <w:right w:w="0" w:type="dxa"/>
            </w:tcMar>
          </w:tcPr>
          <w:p w:rsidR="0075548D" w:rsidRPr="007B566C" w:rsidRDefault="0075548D" w:rsidP="007D42CF">
            <w:pPr>
              <w:pStyle w:val="PlainText"/>
              <w:shd w:val="clear" w:color="auto" w:fill="FFFFFF"/>
              <w:spacing w:line="240" w:lineRule="auto"/>
              <w:rPr>
                <w:rStyle w:val="longtext"/>
                <w:rFonts w:asciiTheme="majorBidi" w:hAnsiTheme="majorBidi" w:cstheme="majorBidi"/>
                <w:b/>
                <w:bCs/>
                <w:color w:val="000000"/>
                <w:shd w:val="clear" w:color="auto" w:fill="FFFFFF"/>
                <w:lang w:val="en-US"/>
              </w:rPr>
            </w:pPr>
            <w:r w:rsidRPr="007B566C">
              <w:rPr>
                <w:rStyle w:val="longtext"/>
                <w:rFonts w:asciiTheme="majorBidi" w:hAnsiTheme="majorBidi" w:cstheme="majorBidi"/>
                <w:b/>
                <w:bCs/>
                <w:color w:val="000000"/>
                <w:shd w:val="clear" w:color="auto" w:fill="FFFFFF"/>
                <w:lang w:val="en-US"/>
              </w:rPr>
              <w:t>SIZE</w:t>
            </w:r>
          </w:p>
        </w:tc>
        <w:tc>
          <w:tcPr>
            <w:tcW w:w="1877" w:type="dxa"/>
            <w:tcBorders>
              <w:left w:val="single" w:sz="4" w:space="0" w:color="auto"/>
              <w:right w:val="single" w:sz="4" w:space="0" w:color="auto"/>
            </w:tcBorders>
            <w:shd w:val="clear" w:color="auto" w:fill="FFFFFF"/>
            <w:tcMar>
              <w:left w:w="0" w:type="dxa"/>
              <w:right w:w="0" w:type="dxa"/>
            </w:tcMar>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B566C">
              <w:rPr>
                <w:rFonts w:ascii="Times New Roman" w:eastAsia="Calibri" w:hAnsi="Times New Roman" w:cs="Times New Roman"/>
                <w:sz w:val="20"/>
                <w:szCs w:val="20"/>
                <w:lang w:val="en-US"/>
              </w:rPr>
              <w:t>0.0286   ( 12.07***)</w:t>
            </w:r>
          </w:p>
        </w:tc>
        <w:tc>
          <w:tcPr>
            <w:tcW w:w="1836" w:type="dxa"/>
            <w:tcBorders>
              <w:left w:val="single" w:sz="4" w:space="0" w:color="auto"/>
              <w:right w:val="single" w:sz="4" w:space="0" w:color="auto"/>
            </w:tcBorders>
            <w:shd w:val="clear" w:color="auto" w:fill="FFFFFF"/>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B566C">
              <w:rPr>
                <w:rFonts w:ascii="Times New Roman" w:eastAsia="Calibri" w:hAnsi="Times New Roman" w:cs="Times New Roman"/>
                <w:sz w:val="20"/>
                <w:szCs w:val="20"/>
                <w:lang w:val="en-US"/>
              </w:rPr>
              <w:t>0.4169   ( 8.27***)</w:t>
            </w:r>
          </w:p>
        </w:tc>
        <w:tc>
          <w:tcPr>
            <w:tcW w:w="1776" w:type="dxa"/>
            <w:tcBorders>
              <w:left w:val="single" w:sz="4" w:space="0" w:color="auto"/>
            </w:tcBorders>
            <w:shd w:val="clear" w:color="auto" w:fill="FFFFFF"/>
          </w:tcPr>
          <w:p w:rsidR="0075548D" w:rsidRPr="007B566C" w:rsidRDefault="0075548D" w:rsidP="0075548D">
            <w:pPr>
              <w:shd w:val="clear" w:color="auto" w:fill="FFFFFF"/>
              <w:spacing w:after="0" w:line="240" w:lineRule="auto"/>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w:t>
            </w:r>
          </w:p>
        </w:tc>
        <w:tc>
          <w:tcPr>
            <w:tcW w:w="1663" w:type="dxa"/>
            <w:tcBorders>
              <w:right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7B566C">
              <w:rPr>
                <w:rFonts w:asciiTheme="majorBidi" w:eastAsia="Calibri" w:hAnsiTheme="majorBidi" w:cstheme="majorBidi"/>
                <w:lang w:val="en-US"/>
              </w:rPr>
              <w:t>0.1837 (1.02)</w:t>
            </w:r>
          </w:p>
        </w:tc>
      </w:tr>
      <w:tr w:rsidR="0075548D" w:rsidRPr="007B566C" w:rsidTr="007D42CF">
        <w:trPr>
          <w:trHeight w:hRule="exact" w:val="291"/>
          <w:jc w:val="center"/>
        </w:trPr>
        <w:tc>
          <w:tcPr>
            <w:tcW w:w="1654" w:type="dxa"/>
            <w:tcBorders>
              <w:left w:val="single" w:sz="4" w:space="0" w:color="auto"/>
              <w:right w:val="single" w:sz="4" w:space="0" w:color="auto"/>
            </w:tcBorders>
            <w:shd w:val="clear" w:color="auto" w:fill="FFFFFF"/>
            <w:tcMar>
              <w:left w:w="0" w:type="dxa"/>
              <w:right w:w="0" w:type="dxa"/>
            </w:tcMar>
          </w:tcPr>
          <w:p w:rsidR="0075548D" w:rsidRPr="007B566C" w:rsidRDefault="0075548D" w:rsidP="007D42CF">
            <w:pPr>
              <w:pStyle w:val="PlainText"/>
              <w:shd w:val="clear" w:color="auto" w:fill="FFFFFF"/>
              <w:spacing w:line="240" w:lineRule="auto"/>
              <w:rPr>
                <w:rStyle w:val="longtext"/>
                <w:rFonts w:asciiTheme="majorBidi" w:hAnsiTheme="majorBidi" w:cstheme="majorBidi"/>
                <w:b/>
                <w:bCs/>
                <w:color w:val="000000"/>
                <w:shd w:val="clear" w:color="auto" w:fill="FFFFFF"/>
                <w:lang w:val="en-US"/>
              </w:rPr>
            </w:pPr>
            <w:r w:rsidRPr="007B566C">
              <w:rPr>
                <w:rStyle w:val="longtext"/>
                <w:rFonts w:asciiTheme="majorBidi" w:hAnsiTheme="majorBidi" w:cstheme="majorBidi"/>
                <w:b/>
                <w:bCs/>
                <w:color w:val="000000"/>
                <w:shd w:val="clear" w:color="auto" w:fill="FFFFFF"/>
                <w:lang w:val="en-US"/>
              </w:rPr>
              <w:t>Adj. R²</w:t>
            </w:r>
          </w:p>
        </w:tc>
        <w:tc>
          <w:tcPr>
            <w:tcW w:w="1877" w:type="dxa"/>
            <w:tcBorders>
              <w:left w:val="single" w:sz="4" w:space="0" w:color="auto"/>
              <w:right w:val="single" w:sz="4" w:space="0" w:color="auto"/>
            </w:tcBorders>
            <w:shd w:val="clear" w:color="auto" w:fill="FFFFFF"/>
            <w:tcMar>
              <w:left w:w="0" w:type="dxa"/>
              <w:right w:w="0" w:type="dxa"/>
            </w:tcMar>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sidRPr="007B566C">
              <w:rPr>
                <w:rStyle w:val="longtext"/>
                <w:rFonts w:ascii="Times New Roman" w:eastAsia="Calibri" w:hAnsi="Times New Roman" w:cs="Times New Roman"/>
                <w:color w:val="000000"/>
                <w:sz w:val="20"/>
                <w:szCs w:val="20"/>
                <w:shd w:val="clear" w:color="auto" w:fill="FFFFFF"/>
                <w:lang w:val="en-US"/>
              </w:rPr>
              <w:t>18</w:t>
            </w:r>
            <w:r>
              <w:rPr>
                <w:rStyle w:val="longtext"/>
                <w:rFonts w:ascii="Times New Roman" w:eastAsia="Calibri" w:hAnsi="Times New Roman" w:cs="Times New Roman"/>
                <w:color w:val="000000"/>
                <w:sz w:val="20"/>
                <w:szCs w:val="20"/>
                <w:shd w:val="clear" w:color="auto" w:fill="FFFFFF"/>
                <w:lang w:val="en-US"/>
              </w:rPr>
              <w:t>.</w:t>
            </w:r>
            <w:r w:rsidRPr="007B566C">
              <w:rPr>
                <w:rStyle w:val="longtext"/>
                <w:rFonts w:ascii="Times New Roman" w:eastAsia="Calibri" w:hAnsi="Times New Roman" w:cs="Times New Roman"/>
                <w:color w:val="000000"/>
                <w:sz w:val="20"/>
                <w:szCs w:val="20"/>
                <w:shd w:val="clear" w:color="auto" w:fill="FFFFFF"/>
                <w:lang w:val="en-US"/>
              </w:rPr>
              <w:t>08</w:t>
            </w:r>
            <w:r>
              <w:rPr>
                <w:rStyle w:val="longtext"/>
                <w:rFonts w:ascii="Times New Roman" w:eastAsia="Calibri" w:hAnsi="Times New Roman" w:cs="Times New Roman"/>
                <w:color w:val="000000"/>
                <w:sz w:val="20"/>
                <w:szCs w:val="20"/>
                <w:shd w:val="clear" w:color="auto" w:fill="FFFFFF"/>
                <w:lang w:val="en-US"/>
              </w:rPr>
              <w:t>%</w:t>
            </w:r>
          </w:p>
        </w:tc>
        <w:tc>
          <w:tcPr>
            <w:tcW w:w="1836" w:type="dxa"/>
            <w:tcBorders>
              <w:left w:val="single" w:sz="4" w:space="0" w:color="auto"/>
              <w:right w:val="single" w:sz="4" w:space="0" w:color="auto"/>
            </w:tcBorders>
            <w:shd w:val="clear" w:color="auto" w:fill="FFFFFF"/>
          </w:tcPr>
          <w:p w:rsidR="0075548D" w:rsidRPr="007B566C" w:rsidRDefault="0075548D" w:rsidP="0075548D">
            <w:pPr>
              <w:shd w:val="clear" w:color="auto" w:fill="FFFFFF"/>
              <w:spacing w:after="0" w:line="240" w:lineRule="auto"/>
              <w:jc w:val="center"/>
              <w:rPr>
                <w:rStyle w:val="longtext"/>
                <w:rFonts w:ascii="Times New Roman" w:eastAsia="Calibri" w:hAnsi="Times New Roman" w:cs="Times New Roman"/>
                <w:color w:val="000000"/>
                <w:sz w:val="20"/>
                <w:szCs w:val="20"/>
                <w:shd w:val="clear" w:color="auto" w:fill="FFFFFF"/>
                <w:lang w:val="en-US"/>
              </w:rPr>
            </w:pPr>
            <w:r w:rsidRPr="007B566C">
              <w:rPr>
                <w:rStyle w:val="longtext"/>
                <w:rFonts w:ascii="Times New Roman" w:eastAsia="Calibri" w:hAnsi="Times New Roman" w:cs="Times New Roman"/>
                <w:color w:val="000000"/>
                <w:sz w:val="20"/>
                <w:szCs w:val="20"/>
                <w:shd w:val="clear" w:color="auto" w:fill="FFFFFF"/>
                <w:lang w:val="en-US"/>
              </w:rPr>
              <w:t>16</w:t>
            </w:r>
            <w:r>
              <w:rPr>
                <w:rStyle w:val="longtext"/>
                <w:rFonts w:ascii="Times New Roman" w:eastAsia="Calibri" w:hAnsi="Times New Roman" w:cs="Times New Roman"/>
                <w:color w:val="000000"/>
                <w:sz w:val="20"/>
                <w:szCs w:val="20"/>
                <w:shd w:val="clear" w:color="auto" w:fill="FFFFFF"/>
                <w:lang w:val="en-US"/>
              </w:rPr>
              <w:t>.</w:t>
            </w:r>
            <w:r w:rsidRPr="007B566C">
              <w:rPr>
                <w:rStyle w:val="longtext"/>
                <w:rFonts w:ascii="Times New Roman" w:eastAsia="Calibri" w:hAnsi="Times New Roman" w:cs="Times New Roman"/>
                <w:color w:val="000000"/>
                <w:sz w:val="20"/>
                <w:szCs w:val="20"/>
                <w:shd w:val="clear" w:color="auto" w:fill="FFFFFF"/>
                <w:lang w:val="en-US"/>
              </w:rPr>
              <w:t>2</w:t>
            </w:r>
            <w:r>
              <w:rPr>
                <w:rStyle w:val="longtext"/>
                <w:rFonts w:ascii="Times New Roman" w:eastAsia="Calibri" w:hAnsi="Times New Roman" w:cs="Times New Roman"/>
                <w:color w:val="000000"/>
                <w:sz w:val="20"/>
                <w:szCs w:val="20"/>
                <w:shd w:val="clear" w:color="auto" w:fill="FFFFFF"/>
                <w:lang w:val="en-US"/>
              </w:rPr>
              <w:t>%</w:t>
            </w:r>
          </w:p>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p>
        </w:tc>
        <w:tc>
          <w:tcPr>
            <w:tcW w:w="1776" w:type="dxa"/>
            <w:tcBorders>
              <w:left w:val="single" w:sz="4" w:space="0" w:color="auto"/>
            </w:tcBorders>
            <w:shd w:val="clear" w:color="auto" w:fill="FFFFFF"/>
          </w:tcPr>
          <w:p w:rsidR="0075548D" w:rsidRPr="007B566C" w:rsidRDefault="0075548D" w:rsidP="0075548D">
            <w:pPr>
              <w:shd w:val="clear" w:color="auto" w:fill="FFFFFF"/>
              <w:spacing w:after="0" w:line="240" w:lineRule="auto"/>
              <w:jc w:val="center"/>
              <w:rPr>
                <w:rFonts w:asciiTheme="majorBidi" w:eastAsia="Calibri" w:hAnsiTheme="majorBidi" w:cstheme="majorBidi"/>
                <w:sz w:val="20"/>
                <w:szCs w:val="20"/>
                <w:lang w:val="en-US"/>
              </w:rPr>
            </w:pPr>
            <w:r w:rsidRPr="007B566C">
              <w:rPr>
                <w:rStyle w:val="longtext"/>
                <w:rFonts w:asciiTheme="majorBidi" w:hAnsiTheme="majorBidi" w:cstheme="majorBidi"/>
                <w:color w:val="000000"/>
                <w:sz w:val="20"/>
                <w:szCs w:val="20"/>
                <w:shd w:val="clear" w:color="auto" w:fill="FFFFFF"/>
              </w:rPr>
              <w:t>9.13%</w:t>
            </w:r>
          </w:p>
        </w:tc>
        <w:tc>
          <w:tcPr>
            <w:tcW w:w="1663" w:type="dxa"/>
            <w:tcBorders>
              <w:right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sidRPr="007B566C">
              <w:rPr>
                <w:rStyle w:val="longtext"/>
                <w:rFonts w:asciiTheme="majorBidi" w:hAnsiTheme="majorBidi" w:cstheme="majorBidi"/>
                <w:color w:val="000000"/>
                <w:shd w:val="clear" w:color="auto" w:fill="FFFFFF"/>
              </w:rPr>
              <w:t>25.72%</w:t>
            </w:r>
          </w:p>
        </w:tc>
      </w:tr>
      <w:tr w:rsidR="0075548D" w:rsidRPr="007B566C" w:rsidTr="007D42CF">
        <w:trPr>
          <w:trHeight w:hRule="exact" w:val="254"/>
          <w:jc w:val="center"/>
        </w:trPr>
        <w:tc>
          <w:tcPr>
            <w:tcW w:w="1654" w:type="dxa"/>
            <w:tcBorders>
              <w:left w:val="single" w:sz="4" w:space="0" w:color="auto"/>
              <w:bottom w:val="single" w:sz="4" w:space="0" w:color="auto"/>
              <w:right w:val="single" w:sz="4" w:space="0" w:color="auto"/>
            </w:tcBorders>
            <w:shd w:val="clear" w:color="auto" w:fill="FFFFFF"/>
            <w:tcMar>
              <w:left w:w="0" w:type="dxa"/>
              <w:right w:w="0" w:type="dxa"/>
            </w:tcMar>
          </w:tcPr>
          <w:p w:rsidR="0075548D" w:rsidRPr="007B566C" w:rsidRDefault="0075548D" w:rsidP="007D42CF">
            <w:pPr>
              <w:pStyle w:val="PlainText"/>
              <w:shd w:val="clear" w:color="auto" w:fill="FFFFFF"/>
              <w:spacing w:line="240" w:lineRule="auto"/>
              <w:rPr>
                <w:rStyle w:val="longtext"/>
                <w:rFonts w:ascii="Times New Roman" w:hAnsi="Times New Roman" w:cs="Times New Roman"/>
                <w:b/>
                <w:bCs/>
                <w:color w:val="000000"/>
                <w:shd w:val="clear" w:color="auto" w:fill="FFFFFF"/>
                <w:lang w:val="en-US"/>
              </w:rPr>
            </w:pPr>
            <w:r>
              <w:rPr>
                <w:rStyle w:val="longtext"/>
                <w:rFonts w:ascii="Times New Roman" w:hAnsi="Times New Roman" w:cs="Times New Roman"/>
                <w:b/>
                <w:bCs/>
                <w:color w:val="000000"/>
                <w:shd w:val="clear" w:color="auto" w:fill="FFFFFF"/>
                <w:lang w:val="en-US"/>
              </w:rPr>
              <w:t>N</w:t>
            </w:r>
          </w:p>
        </w:tc>
        <w:tc>
          <w:tcPr>
            <w:tcW w:w="1877" w:type="dxa"/>
            <w:tcBorders>
              <w:left w:val="single" w:sz="4" w:space="0" w:color="auto"/>
              <w:bottom w:val="single" w:sz="4" w:space="0" w:color="auto"/>
              <w:right w:val="single" w:sz="4" w:space="0" w:color="auto"/>
            </w:tcBorders>
            <w:shd w:val="clear" w:color="auto" w:fill="FFFFFF"/>
            <w:tcMar>
              <w:left w:w="0" w:type="dxa"/>
              <w:right w:w="0" w:type="dxa"/>
            </w:tcMar>
          </w:tcPr>
          <w:p w:rsidR="0075548D" w:rsidRPr="007B566C" w:rsidRDefault="0075548D" w:rsidP="0075548D">
            <w:pPr>
              <w:shd w:val="clear" w:color="auto" w:fill="FFFFFF"/>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534</w:t>
            </w:r>
          </w:p>
        </w:tc>
        <w:tc>
          <w:tcPr>
            <w:tcW w:w="1836" w:type="dxa"/>
            <w:tcBorders>
              <w:left w:val="single" w:sz="4" w:space="0" w:color="auto"/>
              <w:bottom w:val="single" w:sz="4" w:space="0" w:color="auto"/>
              <w:right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Pr>
                <w:rFonts w:ascii="Times New Roman" w:eastAsia="Calibri" w:hAnsi="Times New Roman" w:cs="Times New Roman"/>
                <w:lang w:val="en-US"/>
              </w:rPr>
              <w:t>534</w:t>
            </w:r>
          </w:p>
        </w:tc>
        <w:tc>
          <w:tcPr>
            <w:tcW w:w="1776" w:type="dxa"/>
            <w:tcBorders>
              <w:left w:val="single" w:sz="4" w:space="0" w:color="auto"/>
              <w:bottom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Pr>
                <w:rFonts w:ascii="Times New Roman" w:eastAsia="Calibri" w:hAnsi="Times New Roman" w:cs="Times New Roman"/>
                <w:lang w:val="en-US"/>
              </w:rPr>
              <w:t>534</w:t>
            </w:r>
          </w:p>
        </w:tc>
        <w:tc>
          <w:tcPr>
            <w:tcW w:w="1663" w:type="dxa"/>
            <w:tcBorders>
              <w:bottom w:val="single" w:sz="4" w:space="0" w:color="auto"/>
              <w:right w:val="single" w:sz="4" w:space="0" w:color="auto"/>
            </w:tcBorders>
            <w:shd w:val="clear" w:color="auto" w:fill="FFFFFF"/>
          </w:tcPr>
          <w:p w:rsidR="0075548D" w:rsidRPr="007B566C" w:rsidRDefault="0075548D" w:rsidP="0075548D">
            <w:pPr>
              <w:pStyle w:val="PlainText"/>
              <w:shd w:val="clear" w:color="auto" w:fill="FFFFFF"/>
              <w:spacing w:line="240" w:lineRule="auto"/>
              <w:jc w:val="center"/>
              <w:rPr>
                <w:rStyle w:val="longtext"/>
                <w:rFonts w:ascii="Times New Roman" w:hAnsi="Times New Roman" w:cs="Times New Roman"/>
                <w:color w:val="000000"/>
                <w:shd w:val="clear" w:color="auto" w:fill="FFFFFF"/>
                <w:lang w:val="en-US"/>
              </w:rPr>
            </w:pPr>
            <w:r>
              <w:rPr>
                <w:rFonts w:ascii="Times New Roman" w:eastAsia="Calibri" w:hAnsi="Times New Roman" w:cs="Times New Roman"/>
                <w:lang w:val="en-US"/>
              </w:rPr>
              <w:t>534</w:t>
            </w:r>
          </w:p>
        </w:tc>
      </w:tr>
      <w:tr w:rsidR="0075548D" w:rsidRPr="00D17490" w:rsidTr="007D42CF">
        <w:trPr>
          <w:trHeight w:hRule="exact" w:val="1859"/>
          <w:jc w:val="center"/>
        </w:trPr>
        <w:tc>
          <w:tcPr>
            <w:tcW w:w="8806" w:type="dxa"/>
            <w:gridSpan w:val="5"/>
            <w:tcBorders>
              <w:top w:val="single" w:sz="4" w:space="0" w:color="auto"/>
            </w:tcBorders>
            <w:shd w:val="clear" w:color="auto" w:fill="FFFFFF"/>
            <w:tcMar>
              <w:left w:w="0" w:type="dxa"/>
              <w:right w:w="0" w:type="dxa"/>
            </w:tcMar>
          </w:tcPr>
          <w:p w:rsidR="0075548D" w:rsidRDefault="0075548D" w:rsidP="007D42CF">
            <w:pPr>
              <w:spacing w:after="0" w:line="240" w:lineRule="auto"/>
              <w:jc w:val="both"/>
              <w:rPr>
                <w:rStyle w:val="longtext"/>
                <w:rFonts w:ascii="Times New Roman" w:eastAsia="Calibri" w:hAnsi="Times New Roman" w:cs="Times New Roman"/>
                <w:sz w:val="20"/>
                <w:szCs w:val="20"/>
                <w:lang w:val="en-US"/>
              </w:rPr>
            </w:pPr>
            <w:r w:rsidRPr="007B566C">
              <w:rPr>
                <w:rStyle w:val="longtext"/>
                <w:rFonts w:ascii="Times New Roman" w:eastAsia="Calibri" w:hAnsi="Times New Roman" w:cs="Times New Roman"/>
                <w:sz w:val="20"/>
                <w:szCs w:val="20"/>
                <w:lang w:val="en-US"/>
              </w:rPr>
              <w:t>RPT</w:t>
            </w:r>
            <w:r>
              <w:rPr>
                <w:rStyle w:val="longtext"/>
                <w:rFonts w:ascii="Times New Roman" w:eastAsia="Calibri" w:hAnsi="Times New Roman" w:cs="Times New Roman"/>
                <w:sz w:val="20"/>
                <w:szCs w:val="20"/>
                <w:lang w:val="en-US"/>
              </w:rPr>
              <w:t xml:space="preserve">: </w:t>
            </w:r>
            <w:proofErr w:type="spellStart"/>
            <w:r w:rsidRPr="007B566C">
              <w:rPr>
                <w:rStyle w:val="longtext"/>
                <w:rFonts w:ascii="Times New Roman" w:eastAsia="Calibri" w:hAnsi="Times New Roman" w:cs="Times New Roman"/>
                <w:sz w:val="20"/>
                <w:szCs w:val="20"/>
                <w:lang w:val="en-US"/>
              </w:rPr>
              <w:t>neperian</w:t>
            </w:r>
            <w:proofErr w:type="spellEnd"/>
            <w:r w:rsidRPr="007B566C">
              <w:rPr>
                <w:rStyle w:val="longtext"/>
                <w:rFonts w:ascii="Times New Roman" w:eastAsia="Calibri" w:hAnsi="Times New Roman" w:cs="Times New Roman"/>
                <w:sz w:val="20"/>
                <w:szCs w:val="20"/>
                <w:lang w:val="en-US"/>
              </w:rPr>
              <w:t xml:space="preserve"> logarithm (1+the amoun</w:t>
            </w:r>
            <w:r>
              <w:rPr>
                <w:rStyle w:val="longtext"/>
                <w:rFonts w:ascii="Times New Roman" w:eastAsia="Calibri" w:hAnsi="Times New Roman" w:cs="Times New Roman"/>
                <w:sz w:val="20"/>
                <w:szCs w:val="20"/>
                <w:lang w:val="en-US"/>
              </w:rPr>
              <w:t>t of related party transactions</w:t>
            </w:r>
            <w:r w:rsidRPr="007B566C">
              <w:rPr>
                <w:rStyle w:val="longtext"/>
                <w:rFonts w:ascii="Times New Roman" w:eastAsia="Calibri" w:hAnsi="Times New Roman" w:cs="Times New Roman"/>
                <w:sz w:val="20"/>
                <w:szCs w:val="20"/>
                <w:lang w:val="en-US"/>
              </w:rPr>
              <w:t xml:space="preserve">; </w:t>
            </w:r>
            <w:r>
              <w:rPr>
                <w:rStyle w:val="longtext"/>
                <w:rFonts w:asciiTheme="majorBidi" w:hAnsiTheme="majorBidi" w:cstheme="majorBidi"/>
                <w:sz w:val="20"/>
                <w:szCs w:val="20"/>
                <w:lang w:val="en-US"/>
              </w:rPr>
              <w:t xml:space="preserve">DPR: </w:t>
            </w:r>
            <w:r w:rsidRPr="007B566C">
              <w:rPr>
                <w:rStyle w:val="longtext"/>
                <w:rFonts w:asciiTheme="majorBidi" w:hAnsiTheme="majorBidi" w:cstheme="majorBidi"/>
                <w:sz w:val="20"/>
                <w:szCs w:val="20"/>
                <w:lang w:val="en-US"/>
              </w:rPr>
              <w:t xml:space="preserve">ratio of dividend per share and </w:t>
            </w:r>
            <w:r w:rsidRPr="007B566C">
              <w:rPr>
                <w:rFonts w:asciiTheme="majorBidi" w:hAnsiTheme="majorBidi" w:cstheme="majorBidi"/>
                <w:sz w:val="20"/>
                <w:szCs w:val="20"/>
                <w:lang w:val="en-US"/>
              </w:rPr>
              <w:t>earnings per share</w:t>
            </w:r>
            <w:r w:rsidRPr="007B566C">
              <w:rPr>
                <w:rStyle w:val="longtext"/>
                <w:rFonts w:ascii="Times New Roman" w:eastAsia="Calibri" w:hAnsi="Times New Roman" w:cs="Times New Roman"/>
                <w:sz w:val="20"/>
                <w:szCs w:val="20"/>
                <w:lang w:val="en-US"/>
              </w:rPr>
              <w:t xml:space="preserve">; </w:t>
            </w:r>
            <w:r>
              <w:rPr>
                <w:rStyle w:val="longtext"/>
                <w:rFonts w:ascii="Times New Roman" w:eastAsia="Calibri" w:hAnsi="Times New Roman" w:cs="Times New Roman"/>
                <w:sz w:val="20"/>
                <w:szCs w:val="20"/>
                <w:lang w:val="en-US"/>
              </w:rPr>
              <w:t xml:space="preserve">CONC: </w:t>
            </w:r>
            <w:r w:rsidRPr="007B566C">
              <w:rPr>
                <w:rStyle w:val="longtext"/>
                <w:rFonts w:ascii="Times New Roman" w:eastAsia="Calibri" w:hAnsi="Times New Roman" w:cs="Times New Roman"/>
                <w:sz w:val="20"/>
                <w:szCs w:val="20"/>
                <w:lang w:val="en-US"/>
              </w:rPr>
              <w:t xml:space="preserve">sum of the shares of the three major shareholders; </w:t>
            </w:r>
            <w:r w:rsidRPr="007B566C">
              <w:rPr>
                <w:rFonts w:asciiTheme="majorBidi" w:hAnsiTheme="majorBidi" w:cstheme="majorBidi"/>
                <w:sz w:val="20"/>
                <w:szCs w:val="20"/>
                <w:lang w:val="en-US"/>
              </w:rPr>
              <w:t>MULT: a dummy variable that takes 1 if</w:t>
            </w:r>
            <w:r>
              <w:rPr>
                <w:rFonts w:asciiTheme="majorBidi" w:hAnsiTheme="majorBidi" w:cstheme="majorBidi"/>
                <w:sz w:val="20"/>
                <w:szCs w:val="20"/>
                <w:lang w:val="en-US"/>
              </w:rPr>
              <w:t xml:space="preserve"> the firm</w:t>
            </w:r>
            <w:r w:rsidRPr="007B566C">
              <w:rPr>
                <w:rFonts w:asciiTheme="majorBidi" w:hAnsiTheme="majorBidi" w:cstheme="majorBidi"/>
                <w:sz w:val="20"/>
                <w:szCs w:val="20"/>
                <w:lang w:val="en-US"/>
              </w:rPr>
              <w:t xml:space="preserve"> has a second shareholder with at least 10% of the voting rights and 0 otherwise;</w:t>
            </w:r>
            <w:r>
              <w:rPr>
                <w:rStyle w:val="longtext"/>
                <w:rFonts w:ascii="Times New Roman" w:eastAsia="Calibri" w:hAnsi="Times New Roman" w:cs="Times New Roman"/>
                <w:sz w:val="20"/>
                <w:szCs w:val="20"/>
                <w:lang w:val="en-US"/>
              </w:rPr>
              <w:t xml:space="preserve"> </w:t>
            </w:r>
            <w:proofErr w:type="spellStart"/>
            <w:r>
              <w:rPr>
                <w:rStyle w:val="longtext"/>
                <w:rFonts w:ascii="Times New Roman" w:eastAsia="Calibri" w:hAnsi="Times New Roman" w:cs="Times New Roman"/>
                <w:sz w:val="20"/>
                <w:szCs w:val="20"/>
                <w:lang w:val="en-US"/>
              </w:rPr>
              <w:t>Dual_class</w:t>
            </w:r>
            <w:proofErr w:type="spellEnd"/>
            <w:r>
              <w:rPr>
                <w:rStyle w:val="longtext"/>
                <w:rFonts w:ascii="Times New Roman" w:eastAsia="Calibri" w:hAnsi="Times New Roman" w:cs="Times New Roman"/>
                <w:sz w:val="20"/>
                <w:szCs w:val="20"/>
                <w:lang w:val="en-US"/>
              </w:rPr>
              <w:t>: binary variable that indicates whether f</w:t>
            </w:r>
            <w:r w:rsidRPr="007B566C">
              <w:rPr>
                <w:rStyle w:val="longtext"/>
                <w:rFonts w:ascii="Times New Roman" w:eastAsia="Calibri" w:hAnsi="Times New Roman" w:cs="Times New Roman"/>
                <w:sz w:val="20"/>
                <w:szCs w:val="20"/>
                <w:lang w:val="en-US"/>
              </w:rPr>
              <w:t>irms have dual class share; Cro</w:t>
            </w:r>
            <w:r>
              <w:rPr>
                <w:rStyle w:val="longtext"/>
                <w:rFonts w:ascii="Times New Roman" w:eastAsia="Calibri" w:hAnsi="Times New Roman" w:cs="Times New Roman"/>
                <w:sz w:val="20"/>
                <w:szCs w:val="20"/>
                <w:lang w:val="en-US"/>
              </w:rPr>
              <w:t xml:space="preserve">ss-list: </w:t>
            </w:r>
            <w:r w:rsidRPr="007B566C">
              <w:rPr>
                <w:rStyle w:val="longtext"/>
                <w:rFonts w:ascii="Times New Roman" w:eastAsia="Calibri" w:hAnsi="Times New Roman" w:cs="Times New Roman"/>
                <w:sz w:val="20"/>
                <w:szCs w:val="20"/>
                <w:lang w:val="en-US"/>
              </w:rPr>
              <w:t>an indicator to identify whether a company is listed on a</w:t>
            </w:r>
            <w:r w:rsidRPr="007B566C">
              <w:rPr>
                <w:rFonts w:ascii="Times New Roman" w:eastAsia="Calibri" w:hAnsi="Times New Roman" w:cs="Times New Roman"/>
                <w:sz w:val="20"/>
                <w:szCs w:val="20"/>
                <w:lang w:val="en-US"/>
              </w:rPr>
              <w:t xml:space="preserve"> </w:t>
            </w:r>
            <w:r>
              <w:rPr>
                <w:rStyle w:val="longtext"/>
                <w:rFonts w:ascii="Times New Roman" w:eastAsia="Calibri" w:hAnsi="Times New Roman" w:cs="Times New Roman"/>
                <w:sz w:val="20"/>
                <w:szCs w:val="20"/>
                <w:lang w:val="en-US"/>
              </w:rPr>
              <w:t>US exchange</w:t>
            </w:r>
            <w:r w:rsidRPr="007B566C">
              <w:rPr>
                <w:rStyle w:val="longtext"/>
                <w:rFonts w:ascii="Times New Roman" w:eastAsia="Calibri" w:hAnsi="Times New Roman" w:cs="Times New Roman"/>
                <w:sz w:val="20"/>
                <w:szCs w:val="20"/>
                <w:lang w:val="en-US"/>
              </w:rPr>
              <w:t>; LEV</w:t>
            </w:r>
            <w:r>
              <w:rPr>
                <w:rStyle w:val="longtext"/>
                <w:rFonts w:ascii="Times New Roman" w:eastAsia="Calibri" w:hAnsi="Times New Roman" w:cs="Times New Roman"/>
                <w:sz w:val="20"/>
                <w:szCs w:val="20"/>
                <w:lang w:val="en-US"/>
              </w:rPr>
              <w:t xml:space="preserve">: </w:t>
            </w:r>
            <w:r w:rsidRPr="007B566C">
              <w:rPr>
                <w:rStyle w:val="longtext"/>
                <w:rFonts w:ascii="Times New Roman" w:eastAsia="Calibri" w:hAnsi="Times New Roman" w:cs="Times New Roman"/>
                <w:sz w:val="20"/>
                <w:szCs w:val="20"/>
                <w:lang w:val="en-US"/>
              </w:rPr>
              <w:t>total debt over assets</w:t>
            </w:r>
            <w:r>
              <w:rPr>
                <w:rStyle w:val="longtext"/>
                <w:rFonts w:ascii="Times New Roman" w:eastAsia="Calibri" w:hAnsi="Times New Roman" w:cs="Times New Roman"/>
                <w:sz w:val="20"/>
                <w:szCs w:val="20"/>
                <w:lang w:val="en-US"/>
              </w:rPr>
              <w:t xml:space="preserve">; </w:t>
            </w:r>
            <w:r w:rsidRPr="007B566C">
              <w:rPr>
                <w:rStyle w:val="longtext"/>
                <w:rFonts w:ascii="Times New Roman" w:eastAsia="Calibri" w:hAnsi="Times New Roman" w:cs="Times New Roman"/>
                <w:sz w:val="20"/>
                <w:szCs w:val="20"/>
                <w:lang w:val="en-US"/>
              </w:rPr>
              <w:t>Growth</w:t>
            </w:r>
            <w:r>
              <w:rPr>
                <w:rStyle w:val="longtext"/>
                <w:rFonts w:ascii="Times New Roman" w:eastAsia="Calibri" w:hAnsi="Times New Roman" w:cs="Times New Roman"/>
                <w:sz w:val="20"/>
                <w:szCs w:val="20"/>
                <w:lang w:val="en-US"/>
              </w:rPr>
              <w:t xml:space="preserve">: </w:t>
            </w:r>
            <w:r w:rsidRPr="007B566C">
              <w:rPr>
                <w:rStyle w:val="longtext"/>
                <w:rFonts w:ascii="Times New Roman" w:eastAsia="Calibri" w:hAnsi="Times New Roman" w:cs="Times New Roman"/>
                <w:sz w:val="20"/>
                <w:szCs w:val="20"/>
                <w:lang w:val="en-US"/>
              </w:rPr>
              <w:t>market-to-book ratio; ROA</w:t>
            </w:r>
            <w:r>
              <w:rPr>
                <w:rStyle w:val="longtext"/>
                <w:rFonts w:ascii="Times New Roman" w:eastAsia="Calibri" w:hAnsi="Times New Roman" w:cs="Times New Roman"/>
                <w:sz w:val="20"/>
                <w:szCs w:val="20"/>
                <w:lang w:val="en-US"/>
              </w:rPr>
              <w:t xml:space="preserve">: </w:t>
            </w:r>
            <w:r w:rsidRPr="007B566C">
              <w:rPr>
                <w:rStyle w:val="longtext"/>
                <w:rFonts w:ascii="Times New Roman" w:eastAsia="Calibri" w:hAnsi="Times New Roman" w:cs="Times New Roman"/>
                <w:sz w:val="20"/>
                <w:szCs w:val="20"/>
                <w:shd w:val="clear" w:color="auto" w:fill="FFFFFF"/>
                <w:lang w:val="en-US"/>
              </w:rPr>
              <w:t>ratio of profit before interest and tax to total assets</w:t>
            </w:r>
            <w:r w:rsidRPr="007B566C">
              <w:rPr>
                <w:rStyle w:val="longtext"/>
                <w:rFonts w:ascii="Times New Roman" w:eastAsia="Calibri" w:hAnsi="Times New Roman" w:cs="Times New Roman"/>
                <w:sz w:val="20"/>
                <w:szCs w:val="20"/>
                <w:lang w:val="en-US"/>
              </w:rPr>
              <w:t>; TANG</w:t>
            </w:r>
            <w:r>
              <w:rPr>
                <w:rStyle w:val="longtext"/>
                <w:rFonts w:ascii="Times New Roman" w:eastAsia="Calibri" w:hAnsi="Times New Roman" w:cs="Times New Roman"/>
                <w:sz w:val="20"/>
                <w:szCs w:val="20"/>
                <w:lang w:val="en-US"/>
              </w:rPr>
              <w:t xml:space="preserve">: </w:t>
            </w:r>
            <w:r w:rsidRPr="007B566C">
              <w:rPr>
                <w:rStyle w:val="longtext"/>
                <w:rFonts w:ascii="Times New Roman" w:eastAsia="Calibri" w:hAnsi="Times New Roman" w:cs="Times New Roman"/>
                <w:sz w:val="20"/>
                <w:szCs w:val="20"/>
                <w:shd w:val="clear" w:color="auto" w:fill="FFFFFF"/>
                <w:lang w:val="en-US"/>
              </w:rPr>
              <w:t>ratio of fixed assets to total assets</w:t>
            </w:r>
            <w:r w:rsidRPr="007B566C">
              <w:rPr>
                <w:rStyle w:val="longtext"/>
                <w:rFonts w:ascii="Times New Roman" w:eastAsia="Calibri" w:hAnsi="Times New Roman" w:cs="Times New Roman"/>
                <w:sz w:val="20"/>
                <w:szCs w:val="20"/>
                <w:lang w:val="en-US"/>
              </w:rPr>
              <w:t>; SIZE</w:t>
            </w:r>
            <w:r>
              <w:rPr>
                <w:rStyle w:val="longtext"/>
                <w:rFonts w:ascii="Times New Roman" w:eastAsia="Calibri" w:hAnsi="Times New Roman" w:cs="Times New Roman"/>
                <w:sz w:val="20"/>
                <w:szCs w:val="20"/>
                <w:lang w:val="en-US"/>
              </w:rPr>
              <w:t xml:space="preserve">: </w:t>
            </w:r>
            <w:proofErr w:type="spellStart"/>
            <w:r w:rsidRPr="007B566C">
              <w:rPr>
                <w:rStyle w:val="longtext"/>
                <w:rFonts w:ascii="Times New Roman" w:eastAsia="Calibri" w:hAnsi="Times New Roman" w:cs="Times New Roman"/>
                <w:sz w:val="20"/>
                <w:szCs w:val="20"/>
                <w:lang w:val="en-US"/>
              </w:rPr>
              <w:t>neperian</w:t>
            </w:r>
            <w:proofErr w:type="spellEnd"/>
            <w:r w:rsidRPr="007B566C">
              <w:rPr>
                <w:rStyle w:val="longtext"/>
                <w:rFonts w:ascii="Times New Roman" w:eastAsia="Calibri" w:hAnsi="Times New Roman" w:cs="Times New Roman"/>
                <w:sz w:val="20"/>
                <w:szCs w:val="20"/>
                <w:lang w:val="en-US"/>
              </w:rPr>
              <w:t xml:space="preserve"> logarithm of book value of the total assets of the firm. </w:t>
            </w:r>
          </w:p>
          <w:p w:rsidR="0075548D" w:rsidRPr="007B566C" w:rsidRDefault="0075548D" w:rsidP="007D42CF">
            <w:pPr>
              <w:spacing w:after="0" w:line="240" w:lineRule="auto"/>
              <w:jc w:val="both"/>
              <w:rPr>
                <w:rStyle w:val="longtext"/>
                <w:rFonts w:ascii="Times New Roman" w:hAnsi="Times New Roman" w:cs="Times New Roman"/>
                <w:color w:val="000000"/>
                <w:shd w:val="clear" w:color="auto" w:fill="FFFFFF"/>
                <w:lang w:val="en-US"/>
              </w:rPr>
            </w:pPr>
            <w:r w:rsidRPr="007B566C">
              <w:rPr>
                <w:rStyle w:val="longtext"/>
                <w:rFonts w:ascii="Times New Roman" w:eastAsia="Calibri" w:hAnsi="Times New Roman" w:cs="Times New Roman"/>
                <w:sz w:val="20"/>
                <w:szCs w:val="20"/>
                <w:lang w:val="en-US"/>
              </w:rPr>
              <w:t>***, **, * denote significance at 1%, 5%, and 10% level, respectively.</w:t>
            </w:r>
          </w:p>
        </w:tc>
      </w:tr>
    </w:tbl>
    <w:p w:rsidR="0075548D" w:rsidRPr="00117AEE" w:rsidRDefault="0075548D" w:rsidP="001D397F">
      <w:pPr>
        <w:ind w:firstLine="709"/>
        <w:jc w:val="both"/>
        <w:rPr>
          <w:rFonts w:asciiTheme="majorBidi" w:hAnsiTheme="majorBidi" w:cstheme="majorBidi"/>
          <w:sz w:val="20"/>
          <w:szCs w:val="20"/>
          <w:lang w:val="en-US"/>
        </w:rPr>
      </w:pPr>
    </w:p>
    <w:p w:rsidR="00A81B40" w:rsidRDefault="009736E6" w:rsidP="005D016A">
      <w:pPr>
        <w:ind w:firstLine="709"/>
        <w:jc w:val="both"/>
        <w:rPr>
          <w:rFonts w:asciiTheme="majorBidi" w:hAnsiTheme="majorBidi" w:cstheme="majorBidi"/>
          <w:sz w:val="20"/>
          <w:szCs w:val="20"/>
          <w:lang w:val="en-US"/>
        </w:rPr>
      </w:pPr>
      <w:r w:rsidRPr="00117AEE">
        <w:rPr>
          <w:rFonts w:asciiTheme="majorBidi" w:hAnsiTheme="majorBidi" w:cstheme="majorBidi"/>
          <w:sz w:val="20"/>
          <w:szCs w:val="20"/>
          <w:lang w:val="en-US"/>
        </w:rPr>
        <w:t>Panel 3</w:t>
      </w:r>
      <w:r w:rsidR="00D77069" w:rsidRPr="00117AEE">
        <w:rPr>
          <w:rFonts w:asciiTheme="majorBidi" w:hAnsiTheme="majorBidi" w:cstheme="majorBidi"/>
          <w:sz w:val="20"/>
          <w:szCs w:val="20"/>
          <w:lang w:val="en-US"/>
        </w:rPr>
        <w:t xml:space="preserve"> presents the results of the three-stage least squares (3SLS) analysis</w:t>
      </w:r>
      <w:r w:rsidR="00D41F8C" w:rsidRPr="00117AEE">
        <w:rPr>
          <w:rFonts w:asciiTheme="majorBidi" w:hAnsiTheme="majorBidi" w:cstheme="majorBidi"/>
          <w:sz w:val="20"/>
          <w:szCs w:val="20"/>
          <w:lang w:val="en-US"/>
        </w:rPr>
        <w:t xml:space="preserve"> in which both private benefits of control and dividend payout are endogenous variables and simultaneously interrelate. Most findings reported in </w:t>
      </w:r>
      <w:r w:rsidRPr="00117AEE">
        <w:rPr>
          <w:rFonts w:asciiTheme="majorBidi" w:hAnsiTheme="majorBidi" w:cstheme="majorBidi"/>
          <w:sz w:val="20"/>
          <w:szCs w:val="20"/>
          <w:lang w:val="en-US"/>
        </w:rPr>
        <w:t xml:space="preserve">Panel 3 </w:t>
      </w:r>
      <w:r w:rsidR="00D41F8C" w:rsidRPr="00117AEE">
        <w:rPr>
          <w:rFonts w:asciiTheme="majorBidi" w:hAnsiTheme="majorBidi" w:cstheme="majorBidi"/>
          <w:sz w:val="20"/>
          <w:szCs w:val="20"/>
          <w:lang w:val="en-US"/>
        </w:rPr>
        <w:t xml:space="preserve">converge with those already exhibited in </w:t>
      </w:r>
      <w:r w:rsidRPr="00117AEE">
        <w:rPr>
          <w:rFonts w:asciiTheme="majorBidi" w:hAnsiTheme="majorBidi" w:cstheme="majorBidi"/>
          <w:sz w:val="20"/>
          <w:szCs w:val="20"/>
          <w:lang w:val="en-US"/>
        </w:rPr>
        <w:t>Panel 1</w:t>
      </w:r>
      <w:r w:rsidR="00D77069" w:rsidRPr="00117AEE">
        <w:rPr>
          <w:rFonts w:asciiTheme="majorBidi" w:hAnsiTheme="majorBidi" w:cstheme="majorBidi"/>
          <w:sz w:val="20"/>
          <w:szCs w:val="20"/>
          <w:lang w:val="en-US"/>
        </w:rPr>
        <w:t xml:space="preserve"> and </w:t>
      </w:r>
      <w:r w:rsidRPr="00117AEE">
        <w:rPr>
          <w:rFonts w:asciiTheme="majorBidi" w:hAnsiTheme="majorBidi" w:cstheme="majorBidi"/>
          <w:sz w:val="20"/>
          <w:szCs w:val="20"/>
          <w:lang w:val="en-US"/>
        </w:rPr>
        <w:t>Panel 2</w:t>
      </w:r>
      <w:r w:rsidR="00D77069" w:rsidRPr="00117AEE">
        <w:rPr>
          <w:rFonts w:asciiTheme="majorBidi" w:hAnsiTheme="majorBidi" w:cstheme="majorBidi"/>
          <w:sz w:val="20"/>
          <w:szCs w:val="20"/>
          <w:lang w:val="en-US"/>
        </w:rPr>
        <w:t xml:space="preserve"> which separately </w:t>
      </w:r>
      <w:r w:rsidR="00D41F8C" w:rsidRPr="00117AEE">
        <w:rPr>
          <w:rFonts w:asciiTheme="majorBidi" w:hAnsiTheme="majorBidi" w:cstheme="majorBidi"/>
          <w:sz w:val="20"/>
          <w:szCs w:val="20"/>
          <w:lang w:val="en-US"/>
        </w:rPr>
        <w:t xml:space="preserve">investigate </w:t>
      </w:r>
      <w:r w:rsidR="00D77069" w:rsidRPr="00117AEE">
        <w:rPr>
          <w:rFonts w:asciiTheme="majorBidi" w:hAnsiTheme="majorBidi" w:cstheme="majorBidi"/>
          <w:sz w:val="20"/>
          <w:szCs w:val="20"/>
          <w:lang w:val="en-US"/>
        </w:rPr>
        <w:t>the influence of benefits of control on dividend payout ratio and the impact of</w:t>
      </w:r>
      <w:r w:rsidR="00D41F8C" w:rsidRPr="00117AEE">
        <w:rPr>
          <w:rFonts w:asciiTheme="majorBidi" w:hAnsiTheme="majorBidi" w:cstheme="majorBidi"/>
          <w:sz w:val="20"/>
          <w:szCs w:val="20"/>
          <w:lang w:val="en-US"/>
        </w:rPr>
        <w:t xml:space="preserve"> latter on the former</w:t>
      </w:r>
      <w:r w:rsidR="00D77069" w:rsidRPr="00117AEE">
        <w:rPr>
          <w:rFonts w:asciiTheme="majorBidi" w:hAnsiTheme="majorBidi" w:cstheme="majorBidi"/>
          <w:sz w:val="20"/>
          <w:szCs w:val="20"/>
          <w:lang w:val="en-US"/>
        </w:rPr>
        <w:t>. That is</w:t>
      </w:r>
      <w:r w:rsidR="00AE640D">
        <w:rPr>
          <w:rFonts w:asciiTheme="majorBidi" w:hAnsiTheme="majorBidi" w:cstheme="majorBidi"/>
          <w:sz w:val="20"/>
          <w:szCs w:val="20"/>
          <w:lang w:val="en-US"/>
        </w:rPr>
        <w:t>,</w:t>
      </w:r>
      <w:r w:rsidR="00D77069" w:rsidRPr="00117AEE">
        <w:rPr>
          <w:rFonts w:asciiTheme="majorBidi" w:hAnsiTheme="majorBidi" w:cstheme="majorBidi"/>
          <w:sz w:val="20"/>
          <w:szCs w:val="20"/>
          <w:lang w:val="en-US"/>
        </w:rPr>
        <w:t xml:space="preserve"> not only the dividend policy that influences the level of the private benefits of control; but also the latter does interfere when the </w:t>
      </w:r>
      <w:r w:rsidR="00D77069" w:rsidRPr="00117AEE">
        <w:rPr>
          <w:rFonts w:asciiTheme="majorBidi" w:hAnsiTheme="majorBidi" w:cstheme="majorBidi"/>
          <w:sz w:val="20"/>
          <w:szCs w:val="20"/>
          <w:lang w:val="en-US"/>
        </w:rPr>
        <w:lastRenderedPageBreak/>
        <w:t xml:space="preserve">controlling holder decides the payout ratio of the firm. </w:t>
      </w:r>
      <w:r w:rsidR="00AE640D">
        <w:rPr>
          <w:rFonts w:asciiTheme="majorBidi" w:hAnsiTheme="majorBidi" w:cstheme="majorBidi"/>
          <w:sz w:val="20"/>
          <w:szCs w:val="20"/>
          <w:lang w:val="en-US"/>
        </w:rPr>
        <w:t>On one hand</w:t>
      </w:r>
      <w:r w:rsidR="001365DA" w:rsidRPr="00117AEE">
        <w:rPr>
          <w:rFonts w:asciiTheme="majorBidi" w:hAnsiTheme="majorBidi" w:cstheme="majorBidi"/>
          <w:sz w:val="20"/>
          <w:szCs w:val="20"/>
          <w:lang w:val="en-US"/>
        </w:rPr>
        <w:t>, higher private benefits result in higher dividends</w:t>
      </w:r>
      <w:r w:rsidR="00AE640D">
        <w:rPr>
          <w:rFonts w:asciiTheme="majorBidi" w:hAnsiTheme="majorBidi" w:cstheme="majorBidi"/>
          <w:sz w:val="20"/>
          <w:szCs w:val="20"/>
          <w:lang w:val="en-US"/>
        </w:rPr>
        <w:t xml:space="preserve">; what reveals the incentives of rational investors </w:t>
      </w:r>
      <w:r w:rsidR="005D016A">
        <w:rPr>
          <w:rFonts w:asciiTheme="majorBidi" w:hAnsiTheme="majorBidi" w:cstheme="majorBidi"/>
          <w:sz w:val="20"/>
          <w:szCs w:val="20"/>
          <w:lang w:val="en-US"/>
        </w:rPr>
        <w:t>concerned with the potential expropriation</w:t>
      </w:r>
      <w:r w:rsidR="00AE640D">
        <w:rPr>
          <w:rFonts w:asciiTheme="majorBidi" w:hAnsiTheme="majorBidi" w:cstheme="majorBidi"/>
          <w:sz w:val="20"/>
          <w:szCs w:val="20"/>
          <w:lang w:val="en-US"/>
        </w:rPr>
        <w:t xml:space="preserve"> </w:t>
      </w:r>
      <w:r w:rsidR="00A81B40">
        <w:rPr>
          <w:rFonts w:asciiTheme="majorBidi" w:hAnsiTheme="majorBidi" w:cstheme="majorBidi"/>
          <w:sz w:val="20"/>
          <w:szCs w:val="20"/>
          <w:lang w:val="en-US"/>
        </w:rPr>
        <w:t xml:space="preserve">to demand higher dividends. On the other hand, </w:t>
      </w:r>
      <w:r w:rsidR="001365DA" w:rsidRPr="00117AEE">
        <w:rPr>
          <w:rFonts w:asciiTheme="majorBidi" w:hAnsiTheme="majorBidi" w:cstheme="majorBidi"/>
          <w:sz w:val="20"/>
          <w:szCs w:val="20"/>
          <w:lang w:val="en-US"/>
        </w:rPr>
        <w:t xml:space="preserve">distributing </w:t>
      </w:r>
      <w:r w:rsidR="00A81B40">
        <w:rPr>
          <w:rFonts w:asciiTheme="majorBidi" w:hAnsiTheme="majorBidi" w:cstheme="majorBidi"/>
          <w:sz w:val="20"/>
          <w:szCs w:val="20"/>
          <w:lang w:val="en-US"/>
        </w:rPr>
        <w:t>higher dividends</w:t>
      </w:r>
      <w:r w:rsidR="001365DA" w:rsidRPr="00117AEE">
        <w:rPr>
          <w:rFonts w:asciiTheme="majorBidi" w:hAnsiTheme="majorBidi" w:cstheme="majorBidi"/>
          <w:sz w:val="20"/>
          <w:szCs w:val="20"/>
          <w:lang w:val="en-US"/>
        </w:rPr>
        <w:t xml:space="preserve"> </w:t>
      </w:r>
      <w:r w:rsidR="00A81B40">
        <w:rPr>
          <w:rFonts w:asciiTheme="majorBidi" w:hAnsiTheme="majorBidi" w:cstheme="majorBidi"/>
          <w:sz w:val="20"/>
          <w:szCs w:val="20"/>
          <w:lang w:val="en-US"/>
        </w:rPr>
        <w:t>contributes to lessening the level of private benefits; what puts in evidence the role of dividends as a monitoring scheme.</w:t>
      </w:r>
      <w:r w:rsidR="007A44B4">
        <w:rPr>
          <w:rFonts w:asciiTheme="majorBidi" w:hAnsiTheme="majorBidi" w:cstheme="majorBidi"/>
          <w:sz w:val="20"/>
          <w:szCs w:val="20"/>
          <w:lang w:val="en-US"/>
        </w:rPr>
        <w:t xml:space="preserve"> Furthermore, highly-concentrated firms exhibit higher levels of both private and shared benefits. Blockholders are tempted therefore to accrue profits, whatever is the kind. However, the presence of multiple dominant blockholders would reduce dividend distribution as well as rent expropriation; leaving hence more cash flows to the firm for reinvestment and future opportunities.</w:t>
      </w:r>
    </w:p>
    <w:p w:rsidR="00D96936" w:rsidRPr="007B566C" w:rsidRDefault="00D96936" w:rsidP="007B566C">
      <w:pPr>
        <w:spacing w:line="240" w:lineRule="auto"/>
        <w:jc w:val="both"/>
        <w:rPr>
          <w:rFonts w:asciiTheme="majorBidi" w:hAnsiTheme="majorBidi" w:cstheme="majorBidi"/>
          <w:b/>
          <w:bCs/>
          <w:color w:val="000000"/>
          <w:sz w:val="20"/>
          <w:szCs w:val="20"/>
          <w:lang w:val="en-US"/>
        </w:rPr>
      </w:pPr>
      <w:r w:rsidRPr="007B566C">
        <w:rPr>
          <w:rFonts w:asciiTheme="majorBidi" w:hAnsiTheme="majorBidi" w:cstheme="majorBidi"/>
          <w:b/>
          <w:bCs/>
          <w:color w:val="000000"/>
          <w:sz w:val="20"/>
          <w:szCs w:val="20"/>
          <w:lang w:val="en-US"/>
        </w:rPr>
        <w:t>5. Conclusion</w:t>
      </w:r>
    </w:p>
    <w:p w:rsidR="0039761E" w:rsidRPr="00D644CA" w:rsidRDefault="003C6D71" w:rsidP="005D016A">
      <w:pPr>
        <w:jc w:val="both"/>
        <w:rPr>
          <w:rFonts w:asciiTheme="majorBidi" w:hAnsiTheme="majorBidi" w:cstheme="majorBidi"/>
          <w:sz w:val="20"/>
          <w:szCs w:val="20"/>
          <w:lang w:val="en-US"/>
        </w:rPr>
      </w:pPr>
      <w:r w:rsidRPr="00D644CA">
        <w:rPr>
          <w:rFonts w:asciiTheme="majorBidi" w:hAnsiTheme="majorBidi" w:cstheme="majorBidi"/>
          <w:sz w:val="20"/>
          <w:szCs w:val="20"/>
          <w:lang w:val="en-US"/>
        </w:rPr>
        <w:t xml:space="preserve">This study investigates whether the dividend policy affects </w:t>
      </w:r>
      <w:r w:rsidR="00A24650" w:rsidRPr="00D644CA">
        <w:rPr>
          <w:rFonts w:asciiTheme="majorBidi" w:hAnsiTheme="majorBidi" w:cstheme="majorBidi"/>
          <w:sz w:val="20"/>
          <w:szCs w:val="20"/>
          <w:lang w:val="en-US"/>
        </w:rPr>
        <w:t xml:space="preserve">the </w:t>
      </w:r>
      <w:r w:rsidRPr="00D644CA">
        <w:rPr>
          <w:rFonts w:asciiTheme="majorBidi" w:hAnsiTheme="majorBidi" w:cstheme="majorBidi"/>
          <w:sz w:val="20"/>
          <w:szCs w:val="20"/>
          <w:lang w:val="en-US"/>
        </w:rPr>
        <w:t xml:space="preserve">private benefits of control in France; or that is the level of private benefits of control that drive the firm payout policy. </w:t>
      </w:r>
      <w:r w:rsidR="003E33FF" w:rsidRPr="00D644CA">
        <w:rPr>
          <w:rFonts w:asciiTheme="majorBidi" w:hAnsiTheme="majorBidi" w:cstheme="majorBidi"/>
          <w:sz w:val="20"/>
          <w:szCs w:val="20"/>
          <w:lang w:val="en-US"/>
        </w:rPr>
        <w:t xml:space="preserve">The study is carried on </w:t>
      </w:r>
      <w:r w:rsidRPr="00D644CA">
        <w:rPr>
          <w:rFonts w:asciiTheme="majorBidi" w:hAnsiTheme="majorBidi" w:cstheme="majorBidi"/>
          <w:sz w:val="20"/>
          <w:szCs w:val="20"/>
          <w:lang w:val="en-US"/>
        </w:rPr>
        <w:t xml:space="preserve">110 </w:t>
      </w:r>
      <w:r w:rsidR="003E33FF" w:rsidRPr="00D644CA">
        <w:rPr>
          <w:rFonts w:asciiTheme="majorBidi" w:hAnsiTheme="majorBidi" w:cstheme="majorBidi"/>
          <w:sz w:val="20"/>
          <w:szCs w:val="20"/>
          <w:lang w:val="en-US"/>
        </w:rPr>
        <w:t xml:space="preserve">French </w:t>
      </w:r>
      <w:r w:rsidRPr="00D644CA">
        <w:rPr>
          <w:rFonts w:asciiTheme="majorBidi" w:hAnsiTheme="majorBidi" w:cstheme="majorBidi"/>
          <w:sz w:val="20"/>
          <w:szCs w:val="20"/>
          <w:lang w:val="en-US"/>
        </w:rPr>
        <w:t xml:space="preserve">firms during </w:t>
      </w:r>
      <w:r w:rsidRPr="00C71A33">
        <w:rPr>
          <w:rFonts w:asciiTheme="majorBidi" w:hAnsiTheme="majorBidi" w:cstheme="majorBidi"/>
          <w:sz w:val="20"/>
          <w:szCs w:val="20"/>
          <w:lang w:val="en-US"/>
        </w:rPr>
        <w:t>200</w:t>
      </w:r>
      <w:r w:rsidR="005D016A" w:rsidRPr="00C71A33">
        <w:rPr>
          <w:rFonts w:asciiTheme="majorBidi" w:hAnsiTheme="majorBidi" w:cstheme="majorBidi"/>
          <w:sz w:val="20"/>
          <w:szCs w:val="20"/>
          <w:lang w:val="en-US"/>
        </w:rPr>
        <w:t>9</w:t>
      </w:r>
      <w:r w:rsidRPr="00C71A33">
        <w:rPr>
          <w:rFonts w:asciiTheme="majorBidi" w:hAnsiTheme="majorBidi" w:cstheme="majorBidi"/>
          <w:sz w:val="20"/>
          <w:szCs w:val="20"/>
          <w:lang w:val="en-US"/>
        </w:rPr>
        <w:t>-20</w:t>
      </w:r>
      <w:r w:rsidR="005D016A" w:rsidRPr="00C71A33">
        <w:rPr>
          <w:rFonts w:asciiTheme="majorBidi" w:hAnsiTheme="majorBidi" w:cstheme="majorBidi"/>
          <w:sz w:val="20"/>
          <w:szCs w:val="20"/>
          <w:lang w:val="en-US"/>
        </w:rPr>
        <w:t>13</w:t>
      </w:r>
      <w:r w:rsidR="0039761E" w:rsidRPr="00C71A33">
        <w:rPr>
          <w:rFonts w:asciiTheme="majorBidi" w:hAnsiTheme="majorBidi" w:cstheme="majorBidi"/>
          <w:sz w:val="20"/>
          <w:szCs w:val="20"/>
          <w:lang w:val="en-US"/>
        </w:rPr>
        <w:t>.</w:t>
      </w:r>
      <w:r w:rsidR="0039761E" w:rsidRPr="00D644CA">
        <w:rPr>
          <w:rFonts w:asciiTheme="majorBidi" w:hAnsiTheme="majorBidi" w:cstheme="majorBidi"/>
          <w:sz w:val="20"/>
          <w:szCs w:val="20"/>
          <w:lang w:val="en-US"/>
        </w:rPr>
        <w:t xml:space="preserve"> The empirical findings of this study suggest that the private benefits of control and the dividend payout ratio are interdependent. Specifically, higher private benefits result in higher dividends and distributing out fair profits, namely dividends, implies lower rent extraction and expropriation. This simultaneous relationship is in line with both the rent-protection theory and the agency theory.</w:t>
      </w:r>
    </w:p>
    <w:p w:rsidR="005D016A" w:rsidRPr="00E35065" w:rsidRDefault="00F2341B" w:rsidP="0075548D">
      <w:pPr>
        <w:widowControl w:val="0"/>
        <w:autoSpaceDE w:val="0"/>
        <w:autoSpaceDN w:val="0"/>
        <w:adjustRightInd w:val="0"/>
        <w:spacing w:after="0" w:line="240" w:lineRule="auto"/>
        <w:ind w:firstLine="709"/>
        <w:jc w:val="both"/>
        <w:rPr>
          <w:rFonts w:asciiTheme="majorBidi" w:eastAsia="Calibri" w:hAnsiTheme="majorBidi" w:cstheme="majorBidi"/>
          <w:sz w:val="20"/>
          <w:szCs w:val="20"/>
          <w:lang w:val="en-US"/>
        </w:rPr>
      </w:pPr>
      <w:r w:rsidRPr="00D644CA">
        <w:rPr>
          <w:rFonts w:asciiTheme="majorBidi" w:hAnsiTheme="majorBidi" w:cstheme="majorBidi"/>
          <w:sz w:val="20"/>
          <w:szCs w:val="20"/>
          <w:lang w:val="en-US"/>
        </w:rPr>
        <w:t xml:space="preserve">On one hand, higher levels of dividends reduce the private benefits of control in the hands of the dominant blockholders. In contrast, a decrease in dividends implies more severe rent extraction and expropriation of small shareholders by controlling shareholders. Therefore, dividends play a significant role in reducing rent extraction of minority shareholders. This result </w:t>
      </w:r>
      <w:r w:rsidR="00C8581C" w:rsidRPr="00D644CA">
        <w:rPr>
          <w:rFonts w:asciiTheme="majorBidi" w:eastAsia="Arial Unicode MS" w:hAnsiTheme="majorBidi" w:cstheme="majorBidi"/>
          <w:sz w:val="20"/>
          <w:szCs w:val="20"/>
          <w:lang w:val="en-US"/>
        </w:rPr>
        <w:t xml:space="preserve">consistently supports </w:t>
      </w:r>
      <w:r w:rsidRPr="00D644CA">
        <w:rPr>
          <w:rFonts w:asciiTheme="majorBidi" w:hAnsiTheme="majorBidi" w:cstheme="majorBidi"/>
          <w:sz w:val="20"/>
          <w:szCs w:val="20"/>
          <w:lang w:val="en-US"/>
        </w:rPr>
        <w:t>the free cash flow hypothesis that highlighted the monitoring role of dividends. On the other hand, an increase in private benefits of control contributes in improving the dividend payout ratio. Thus, rational investors anticipating being expropriated require higher dividends. Likewise, large shareholders would rather grant higher dividends in order to signal their unwillingness to expropriate minority shareholders. Such a finding takes into account the rent extraction property of dividends.</w:t>
      </w:r>
      <w:r w:rsidR="005D016A" w:rsidRPr="005D016A">
        <w:rPr>
          <w:rFonts w:asciiTheme="majorBidi" w:eastAsia="Calibri" w:hAnsiTheme="majorBidi" w:cstheme="majorBidi"/>
          <w:sz w:val="20"/>
          <w:szCs w:val="20"/>
          <w:lang w:val="en-US"/>
        </w:rPr>
        <w:t xml:space="preserve"> </w:t>
      </w:r>
      <w:r w:rsidR="005D016A">
        <w:rPr>
          <w:rFonts w:asciiTheme="majorBidi" w:eastAsia="Calibri" w:hAnsiTheme="majorBidi" w:cstheme="majorBidi"/>
          <w:sz w:val="20"/>
          <w:szCs w:val="20"/>
          <w:lang w:val="en-US"/>
        </w:rPr>
        <w:t xml:space="preserve">The study also shows that blockholders prefer more cash through either dividends or private benefits. In contrast, the presence of many blockholders would contribute to reducing dividend distribution as well as private benefits extraction </w:t>
      </w:r>
      <w:r w:rsidR="005D016A" w:rsidRPr="00E35065">
        <w:rPr>
          <w:rFonts w:asciiTheme="majorBidi" w:eastAsia="Calibri" w:hAnsiTheme="majorBidi" w:cstheme="majorBidi"/>
          <w:sz w:val="20"/>
          <w:szCs w:val="20"/>
          <w:lang w:val="en-US"/>
        </w:rPr>
        <w:t xml:space="preserve">and expropriation. The presence of multiple dominant investors would prioritize the firm value. More specifically, it enables the firm </w:t>
      </w:r>
      <w:r w:rsidR="005D016A" w:rsidRPr="00DF4DA5">
        <w:rPr>
          <w:rFonts w:asciiTheme="majorBidi" w:eastAsia="Arial Unicode MS" w:hAnsiTheme="majorBidi" w:cstheme="majorBidi"/>
          <w:sz w:val="20"/>
          <w:szCs w:val="20"/>
          <w:lang w:val="en-US"/>
        </w:rPr>
        <w:t>to hold more cash to pursue investment opportunities</w:t>
      </w:r>
      <w:r w:rsidR="005D016A" w:rsidRPr="00DF4DA5">
        <w:rPr>
          <w:rFonts w:asciiTheme="majorBidi" w:eastAsia="Calibri" w:hAnsiTheme="majorBidi" w:cstheme="majorBidi"/>
          <w:sz w:val="20"/>
          <w:szCs w:val="20"/>
          <w:lang w:val="en-US"/>
        </w:rPr>
        <w:t>.</w:t>
      </w:r>
    </w:p>
    <w:p w:rsidR="009F2B47" w:rsidRPr="00D644CA" w:rsidRDefault="009F2B47" w:rsidP="009F2B47">
      <w:pPr>
        <w:widowControl w:val="0"/>
        <w:autoSpaceDE w:val="0"/>
        <w:autoSpaceDN w:val="0"/>
        <w:adjustRightInd w:val="0"/>
        <w:spacing w:after="0" w:line="240" w:lineRule="auto"/>
        <w:ind w:firstLine="709"/>
        <w:jc w:val="both"/>
        <w:rPr>
          <w:rFonts w:asciiTheme="majorBidi" w:hAnsiTheme="majorBidi" w:cstheme="majorBidi"/>
          <w:sz w:val="20"/>
          <w:szCs w:val="20"/>
          <w:lang w:val="en-US"/>
        </w:rPr>
      </w:pPr>
    </w:p>
    <w:p w:rsidR="0039761E" w:rsidRDefault="0039761E" w:rsidP="005D016A">
      <w:pPr>
        <w:widowControl w:val="0"/>
        <w:autoSpaceDE w:val="0"/>
        <w:autoSpaceDN w:val="0"/>
        <w:adjustRightInd w:val="0"/>
        <w:spacing w:after="0" w:line="240" w:lineRule="auto"/>
        <w:ind w:firstLine="709"/>
        <w:jc w:val="both"/>
        <w:rPr>
          <w:rFonts w:asciiTheme="majorBidi" w:eastAsia="Calibri" w:hAnsiTheme="majorBidi" w:cstheme="majorBidi"/>
          <w:sz w:val="20"/>
          <w:szCs w:val="20"/>
          <w:lang w:val="en-US"/>
        </w:rPr>
      </w:pPr>
      <w:r w:rsidRPr="00D644CA">
        <w:rPr>
          <w:rFonts w:asciiTheme="majorBidi" w:hAnsiTheme="majorBidi" w:cstheme="majorBidi"/>
          <w:sz w:val="20"/>
          <w:szCs w:val="20"/>
          <w:lang w:val="en-US"/>
        </w:rPr>
        <w:t xml:space="preserve">This research adds new insights to the existing literature </w:t>
      </w:r>
      <w:r w:rsidR="00FF3BDC" w:rsidRPr="00D644CA">
        <w:rPr>
          <w:rFonts w:asciiTheme="majorBidi" w:hAnsiTheme="majorBidi" w:cstheme="majorBidi"/>
          <w:sz w:val="20"/>
          <w:szCs w:val="20"/>
          <w:lang w:val="en-US"/>
        </w:rPr>
        <w:t xml:space="preserve">on agency theory and international corporate </w:t>
      </w:r>
      <w:r w:rsidR="00AB78A9" w:rsidRPr="00D644CA">
        <w:rPr>
          <w:rFonts w:asciiTheme="majorBidi" w:hAnsiTheme="majorBidi" w:cstheme="majorBidi"/>
          <w:sz w:val="20"/>
          <w:szCs w:val="20"/>
          <w:lang w:val="en-US"/>
        </w:rPr>
        <w:t>governance</w:t>
      </w:r>
      <w:r w:rsidR="00FF3BDC" w:rsidRPr="00D644CA">
        <w:rPr>
          <w:rFonts w:asciiTheme="majorBidi" w:hAnsiTheme="majorBidi" w:cstheme="majorBidi"/>
          <w:sz w:val="20"/>
          <w:szCs w:val="20"/>
          <w:lang w:val="en-US"/>
        </w:rPr>
        <w:t xml:space="preserve"> </w:t>
      </w:r>
      <w:r w:rsidRPr="00D644CA">
        <w:rPr>
          <w:rFonts w:asciiTheme="majorBidi" w:hAnsiTheme="majorBidi" w:cstheme="majorBidi"/>
          <w:sz w:val="20"/>
          <w:szCs w:val="20"/>
          <w:lang w:val="en-US"/>
        </w:rPr>
        <w:t>thro</w:t>
      </w:r>
      <w:r w:rsidR="00FF3BDC" w:rsidRPr="00D644CA">
        <w:rPr>
          <w:rFonts w:asciiTheme="majorBidi" w:hAnsiTheme="majorBidi" w:cstheme="majorBidi"/>
          <w:sz w:val="20"/>
          <w:szCs w:val="20"/>
          <w:lang w:val="en-US"/>
        </w:rPr>
        <w:t>ugh</w:t>
      </w:r>
      <w:r w:rsidRPr="00D644CA">
        <w:rPr>
          <w:rFonts w:asciiTheme="majorBidi" w:hAnsiTheme="majorBidi" w:cstheme="majorBidi"/>
          <w:sz w:val="20"/>
          <w:szCs w:val="20"/>
          <w:lang w:val="en-US"/>
        </w:rPr>
        <w:t xml:space="preserve"> at least three channels. First of all, we take advantage to derive our measure of private benefits of control through direct proxy: the related-party transactions. Second, we focus on the </w:t>
      </w:r>
      <w:r w:rsidR="003C6D71" w:rsidRPr="00D644CA">
        <w:rPr>
          <w:rFonts w:asciiTheme="majorBidi" w:hAnsiTheme="majorBidi" w:cstheme="majorBidi"/>
          <w:sz w:val="20"/>
          <w:szCs w:val="20"/>
          <w:lang w:val="en-US"/>
        </w:rPr>
        <w:t xml:space="preserve">simultaneous </w:t>
      </w:r>
      <w:r w:rsidRPr="00D644CA">
        <w:rPr>
          <w:rFonts w:asciiTheme="majorBidi" w:hAnsiTheme="majorBidi" w:cstheme="majorBidi"/>
          <w:sz w:val="20"/>
          <w:szCs w:val="20"/>
          <w:lang w:val="en-US"/>
        </w:rPr>
        <w:t xml:space="preserve">relationship that might directly exist between these two kinds of benefits. Most previous studies deal with the </w:t>
      </w:r>
      <w:r w:rsidRPr="00D644CA">
        <w:rPr>
          <w:rFonts w:asciiTheme="majorBidi" w:eastAsia="Calibri" w:hAnsiTheme="majorBidi" w:cstheme="majorBidi"/>
          <w:sz w:val="20"/>
          <w:szCs w:val="20"/>
          <w:lang w:val="en-US"/>
        </w:rPr>
        <w:t>relationship</w:t>
      </w:r>
      <w:r w:rsidRPr="007B566C">
        <w:rPr>
          <w:rFonts w:asciiTheme="majorBidi" w:eastAsia="Calibri" w:hAnsiTheme="majorBidi" w:cstheme="majorBidi"/>
          <w:sz w:val="20"/>
          <w:szCs w:val="20"/>
          <w:lang w:val="en-US"/>
        </w:rPr>
        <w:t xml:space="preserve"> between</w:t>
      </w:r>
      <w:r>
        <w:rPr>
          <w:rFonts w:asciiTheme="majorBidi" w:eastAsia="Calibri" w:hAnsiTheme="majorBidi" w:cstheme="majorBidi"/>
          <w:sz w:val="20"/>
          <w:szCs w:val="20"/>
          <w:lang w:val="en-US"/>
        </w:rPr>
        <w:t>, on one hand, block ownership, and on the other hand, either</w:t>
      </w:r>
      <w:r w:rsidRPr="007B566C">
        <w:rPr>
          <w:rFonts w:asciiTheme="majorBidi" w:eastAsia="Calibri" w:hAnsiTheme="majorBidi" w:cstheme="majorBidi"/>
          <w:sz w:val="20"/>
          <w:szCs w:val="20"/>
          <w:lang w:val="en-US"/>
        </w:rPr>
        <w:t xml:space="preserve"> private benefits </w:t>
      </w:r>
      <w:r>
        <w:rPr>
          <w:rFonts w:asciiTheme="majorBidi" w:eastAsia="Calibri" w:hAnsiTheme="majorBidi" w:cstheme="majorBidi"/>
          <w:sz w:val="20"/>
          <w:szCs w:val="20"/>
          <w:lang w:val="en-US"/>
        </w:rPr>
        <w:t>or dividends. Third, we investigate such a simultaneous relationship in an ideal pattern that exhibits a highly concentrated ownership; and hence the problem of rent expropriation is so acute.</w:t>
      </w:r>
      <w:r w:rsidR="00FF3BDC">
        <w:rPr>
          <w:rFonts w:asciiTheme="majorBidi" w:eastAsia="Calibri" w:hAnsiTheme="majorBidi" w:cstheme="majorBidi"/>
          <w:sz w:val="20"/>
          <w:szCs w:val="20"/>
          <w:lang w:val="en-US"/>
        </w:rPr>
        <w:t xml:space="preserve"> </w:t>
      </w:r>
    </w:p>
    <w:p w:rsidR="005D016A" w:rsidRDefault="005D016A" w:rsidP="005D016A">
      <w:pPr>
        <w:widowControl w:val="0"/>
        <w:autoSpaceDE w:val="0"/>
        <w:autoSpaceDN w:val="0"/>
        <w:adjustRightInd w:val="0"/>
        <w:spacing w:after="0" w:line="240" w:lineRule="auto"/>
        <w:ind w:firstLine="709"/>
        <w:jc w:val="both"/>
        <w:rPr>
          <w:rFonts w:asciiTheme="majorBidi" w:eastAsia="Calibri" w:hAnsiTheme="majorBidi" w:cstheme="majorBidi"/>
          <w:sz w:val="20"/>
          <w:szCs w:val="20"/>
          <w:lang w:val="en-US"/>
        </w:rPr>
      </w:pPr>
    </w:p>
    <w:p w:rsidR="005D016A" w:rsidRPr="00DF4DA5" w:rsidRDefault="005D016A" w:rsidP="004F6B67">
      <w:pPr>
        <w:widowControl w:val="0"/>
        <w:autoSpaceDE w:val="0"/>
        <w:autoSpaceDN w:val="0"/>
        <w:adjustRightInd w:val="0"/>
        <w:spacing w:after="0" w:line="240" w:lineRule="auto"/>
        <w:ind w:firstLine="709"/>
        <w:jc w:val="both"/>
        <w:rPr>
          <w:rFonts w:asciiTheme="majorBidi" w:eastAsia="Calibri" w:hAnsiTheme="majorBidi" w:cstheme="majorBidi"/>
          <w:sz w:val="20"/>
          <w:szCs w:val="20"/>
          <w:lang w:val="en-US"/>
        </w:rPr>
      </w:pPr>
      <w:r>
        <w:rPr>
          <w:rFonts w:asciiTheme="majorBidi" w:eastAsia="Calibri" w:hAnsiTheme="majorBidi" w:cstheme="majorBidi"/>
          <w:sz w:val="20"/>
          <w:szCs w:val="20"/>
          <w:lang w:val="en-US"/>
        </w:rPr>
        <w:t xml:space="preserve">Several practical implications can be associated with this study. For instance, large shareholding, which is an eminent </w:t>
      </w:r>
      <w:r w:rsidR="002A69EF">
        <w:rPr>
          <w:rFonts w:asciiTheme="majorBidi" w:eastAsia="Calibri" w:hAnsiTheme="majorBidi" w:cstheme="majorBidi"/>
          <w:sz w:val="20"/>
          <w:szCs w:val="20"/>
          <w:lang w:val="en-US"/>
        </w:rPr>
        <w:t>criterion</w:t>
      </w:r>
      <w:r>
        <w:rPr>
          <w:rFonts w:asciiTheme="majorBidi" w:eastAsia="Calibri" w:hAnsiTheme="majorBidi" w:cstheme="majorBidi"/>
          <w:sz w:val="20"/>
          <w:szCs w:val="20"/>
          <w:lang w:val="en-US"/>
        </w:rPr>
        <w:t xml:space="preserve"> of civil law countries such as France, </w:t>
      </w:r>
      <w:r w:rsidR="002A69EF">
        <w:rPr>
          <w:rFonts w:asciiTheme="majorBidi" w:eastAsia="Calibri" w:hAnsiTheme="majorBidi" w:cstheme="majorBidi"/>
          <w:sz w:val="20"/>
          <w:szCs w:val="20"/>
          <w:lang w:val="en-US"/>
        </w:rPr>
        <w:t>is a double-edged sword. It works as a monitoring scheme that enables both majority and minority shareholders to get better return on their investments;</w:t>
      </w:r>
      <w:r w:rsidR="002A69EF" w:rsidRPr="002A69EF">
        <w:rPr>
          <w:rFonts w:asciiTheme="majorBidi" w:eastAsia="Calibri" w:hAnsiTheme="majorBidi" w:cstheme="majorBidi"/>
          <w:sz w:val="20"/>
          <w:szCs w:val="20"/>
          <w:lang w:val="en-US"/>
        </w:rPr>
        <w:t xml:space="preserve"> </w:t>
      </w:r>
      <w:r w:rsidR="002A69EF">
        <w:rPr>
          <w:rFonts w:asciiTheme="majorBidi" w:eastAsia="Calibri" w:hAnsiTheme="majorBidi" w:cstheme="majorBidi"/>
          <w:sz w:val="20"/>
          <w:szCs w:val="20"/>
          <w:lang w:val="en-US"/>
        </w:rPr>
        <w:t>but also offers incentives for the former to siphon off private benefits at the expense of the latter. Therefore, determining whether this higher level of dividends ensures</w:t>
      </w:r>
      <w:r w:rsidR="00352491">
        <w:rPr>
          <w:rFonts w:asciiTheme="majorBidi" w:eastAsia="Calibri" w:hAnsiTheme="majorBidi" w:cstheme="majorBidi"/>
          <w:sz w:val="20"/>
          <w:szCs w:val="20"/>
          <w:lang w:val="en-US"/>
        </w:rPr>
        <w:t xml:space="preserve"> better protection of minority shareholders deserves further investigation. Besides, aware shareholders should not look for high dividends as such, even though large dividends do not necessarily hide an acute problem of expropriation</w:t>
      </w:r>
      <w:r w:rsidR="00977BC3">
        <w:rPr>
          <w:rFonts w:asciiTheme="majorBidi" w:eastAsia="Calibri" w:hAnsiTheme="majorBidi" w:cstheme="majorBidi"/>
          <w:sz w:val="20"/>
          <w:szCs w:val="20"/>
          <w:lang w:val="en-US"/>
        </w:rPr>
        <w:t xml:space="preserve">. </w:t>
      </w:r>
      <w:r w:rsidR="00352491">
        <w:rPr>
          <w:rFonts w:asciiTheme="majorBidi" w:eastAsia="Calibri" w:hAnsiTheme="majorBidi" w:cstheme="majorBidi"/>
          <w:sz w:val="20"/>
          <w:szCs w:val="20"/>
          <w:lang w:val="en-US"/>
        </w:rPr>
        <w:t>Shareholders should be concerned with the firm sake rather than their own interest</w:t>
      </w:r>
      <w:r w:rsidR="00977BC3">
        <w:rPr>
          <w:rFonts w:asciiTheme="majorBidi" w:eastAsia="Calibri" w:hAnsiTheme="majorBidi" w:cstheme="majorBidi"/>
          <w:sz w:val="20"/>
          <w:szCs w:val="20"/>
          <w:lang w:val="en-US"/>
        </w:rPr>
        <w:t xml:space="preserve">s as higher dividends may result in an increase in the need for external funds or even in the loss of good growth opportunities. Thus, adjusting the ownership structure of firms or enacting new rules for ownership control may be a crucial step for policy makers in civil law countries, such as France, if they wish to </w:t>
      </w:r>
      <w:r w:rsidR="004F6B67">
        <w:rPr>
          <w:rFonts w:asciiTheme="majorBidi" w:eastAsia="Calibri" w:hAnsiTheme="majorBidi" w:cstheme="majorBidi"/>
          <w:sz w:val="20"/>
          <w:szCs w:val="20"/>
          <w:lang w:val="en-US"/>
        </w:rPr>
        <w:t>appeal to</w:t>
      </w:r>
      <w:r w:rsidR="00977BC3">
        <w:rPr>
          <w:rFonts w:asciiTheme="majorBidi" w:eastAsia="Arial Unicode MS" w:hAnsiTheme="majorBidi" w:cstheme="majorBidi"/>
          <w:color w:val="2E2E2E"/>
          <w:sz w:val="20"/>
          <w:szCs w:val="20"/>
          <w:lang w:val="en-US"/>
        </w:rPr>
        <w:t xml:space="preserve"> more </w:t>
      </w:r>
      <w:r w:rsidR="00977BC3" w:rsidRPr="00DF4DA5">
        <w:rPr>
          <w:rFonts w:asciiTheme="majorBidi" w:eastAsia="Arial Unicode MS" w:hAnsiTheme="majorBidi" w:cstheme="majorBidi"/>
          <w:sz w:val="20"/>
          <w:szCs w:val="20"/>
          <w:lang w:val="en-US"/>
        </w:rPr>
        <w:t>investors</w:t>
      </w:r>
      <w:r w:rsidR="004F6B67" w:rsidRPr="00DF4DA5">
        <w:rPr>
          <w:rFonts w:asciiTheme="majorBidi" w:eastAsia="Arial Unicode MS" w:hAnsiTheme="majorBidi" w:cstheme="majorBidi"/>
          <w:sz w:val="20"/>
          <w:szCs w:val="20"/>
          <w:lang w:val="en-US"/>
        </w:rPr>
        <w:t xml:space="preserve"> and to improve the protection of their interests; </w:t>
      </w:r>
      <w:r w:rsidR="00977BC3" w:rsidRPr="00DF4DA5">
        <w:rPr>
          <w:rFonts w:asciiTheme="majorBidi" w:eastAsia="Arial Unicode MS" w:hAnsiTheme="majorBidi" w:cstheme="majorBidi"/>
          <w:sz w:val="20"/>
          <w:szCs w:val="20"/>
          <w:lang w:val="en-US"/>
        </w:rPr>
        <w:t xml:space="preserve">and hence to </w:t>
      </w:r>
      <w:r w:rsidR="004F6B67" w:rsidRPr="00DF4DA5">
        <w:rPr>
          <w:rFonts w:asciiTheme="majorBidi" w:eastAsia="Arial Unicode MS" w:hAnsiTheme="majorBidi" w:cstheme="majorBidi"/>
          <w:sz w:val="20"/>
          <w:szCs w:val="20"/>
          <w:lang w:val="en-US"/>
        </w:rPr>
        <w:t xml:space="preserve">their </w:t>
      </w:r>
      <w:r w:rsidR="00977BC3" w:rsidRPr="00DF4DA5">
        <w:rPr>
          <w:rFonts w:asciiTheme="majorBidi" w:eastAsia="Calibri" w:hAnsiTheme="majorBidi" w:cstheme="majorBidi"/>
          <w:sz w:val="20"/>
          <w:szCs w:val="20"/>
          <w:lang w:val="en-US"/>
        </w:rPr>
        <w:t>rival common law peers.</w:t>
      </w:r>
    </w:p>
    <w:p w:rsidR="0075548D" w:rsidRDefault="0075548D" w:rsidP="004F6B67">
      <w:pPr>
        <w:widowControl w:val="0"/>
        <w:autoSpaceDE w:val="0"/>
        <w:autoSpaceDN w:val="0"/>
        <w:adjustRightInd w:val="0"/>
        <w:spacing w:after="0" w:line="240" w:lineRule="auto"/>
        <w:ind w:firstLine="709"/>
        <w:jc w:val="both"/>
        <w:rPr>
          <w:rFonts w:asciiTheme="majorBidi" w:eastAsia="Calibri" w:hAnsiTheme="majorBidi" w:cstheme="majorBidi"/>
          <w:sz w:val="20"/>
          <w:szCs w:val="20"/>
          <w:lang w:val="en-US"/>
        </w:rPr>
      </w:pPr>
    </w:p>
    <w:p w:rsidR="0075548D" w:rsidRDefault="0075548D" w:rsidP="004F6B67">
      <w:pPr>
        <w:widowControl w:val="0"/>
        <w:autoSpaceDE w:val="0"/>
        <w:autoSpaceDN w:val="0"/>
        <w:adjustRightInd w:val="0"/>
        <w:spacing w:after="0" w:line="240" w:lineRule="auto"/>
        <w:ind w:firstLine="709"/>
        <w:jc w:val="both"/>
        <w:rPr>
          <w:rFonts w:asciiTheme="majorBidi" w:eastAsia="Calibri" w:hAnsiTheme="majorBidi" w:cstheme="majorBidi"/>
          <w:sz w:val="20"/>
          <w:szCs w:val="20"/>
          <w:lang w:val="en-US"/>
        </w:rPr>
      </w:pPr>
    </w:p>
    <w:p w:rsidR="005D016A" w:rsidRDefault="005D016A" w:rsidP="005D016A">
      <w:pPr>
        <w:widowControl w:val="0"/>
        <w:autoSpaceDE w:val="0"/>
        <w:autoSpaceDN w:val="0"/>
        <w:adjustRightInd w:val="0"/>
        <w:spacing w:after="0" w:line="240" w:lineRule="auto"/>
        <w:ind w:firstLine="709"/>
        <w:jc w:val="both"/>
        <w:rPr>
          <w:rFonts w:asciiTheme="majorBidi" w:eastAsia="Calibri" w:hAnsiTheme="majorBidi" w:cstheme="majorBidi"/>
          <w:sz w:val="20"/>
          <w:szCs w:val="20"/>
          <w:lang w:val="en-US"/>
        </w:rPr>
      </w:pPr>
    </w:p>
    <w:p w:rsidR="00BD5083" w:rsidRPr="007B566C" w:rsidRDefault="00615673" w:rsidP="007B566C">
      <w:pPr>
        <w:pStyle w:val="ListParagraph"/>
        <w:widowControl w:val="0"/>
        <w:autoSpaceDE w:val="0"/>
        <w:autoSpaceDN w:val="0"/>
        <w:adjustRightInd w:val="0"/>
        <w:spacing w:after="0" w:line="240" w:lineRule="auto"/>
        <w:ind w:left="0"/>
        <w:jc w:val="both"/>
        <w:rPr>
          <w:rFonts w:ascii="Times New Roman" w:hAnsi="Times New Roman" w:cs="Times New Roman"/>
          <w:b/>
          <w:bCs/>
          <w:smallCaps/>
          <w:color w:val="000000" w:themeColor="text1"/>
          <w:sz w:val="20"/>
          <w:szCs w:val="20"/>
          <w:lang w:val="en-US"/>
        </w:rPr>
      </w:pPr>
      <w:r w:rsidRPr="007B566C">
        <w:rPr>
          <w:rFonts w:ascii="Times New Roman" w:hAnsi="Times New Roman" w:cs="Times New Roman"/>
          <w:b/>
          <w:bCs/>
          <w:smallCaps/>
          <w:color w:val="000000" w:themeColor="text1"/>
          <w:sz w:val="20"/>
          <w:szCs w:val="20"/>
          <w:lang w:val="en-US"/>
        </w:rPr>
        <w:lastRenderedPageBreak/>
        <w:t>REFERENCES</w:t>
      </w:r>
    </w:p>
    <w:p w:rsidR="001E4744" w:rsidRPr="00117AEE" w:rsidRDefault="001E4744" w:rsidP="0075548D">
      <w:pPr>
        <w:pStyle w:val="ListParagraph"/>
        <w:numPr>
          <w:ilvl w:val="0"/>
          <w:numId w:val="10"/>
        </w:numPr>
        <w:tabs>
          <w:tab w:val="left" w:pos="284"/>
        </w:tabs>
        <w:autoSpaceDE w:val="0"/>
        <w:autoSpaceDN w:val="0"/>
        <w:adjustRightInd w:val="0"/>
        <w:spacing w:before="120" w:after="0" w:line="240" w:lineRule="auto"/>
        <w:ind w:left="284" w:hanging="284"/>
        <w:contextualSpacing w:val="0"/>
        <w:jc w:val="both"/>
        <w:rPr>
          <w:rFonts w:ascii="AdvPSTim" w:eastAsia="Calibri" w:hAnsi="AdvPSTim" w:cs="AdvPSTim"/>
          <w:sz w:val="16"/>
          <w:szCs w:val="16"/>
          <w:lang w:val="en-US"/>
        </w:rPr>
      </w:pPr>
      <w:proofErr w:type="spellStart"/>
      <w:r w:rsidRPr="00791BBB">
        <w:rPr>
          <w:rFonts w:asciiTheme="majorBidi" w:hAnsiTheme="majorBidi" w:cstheme="majorBidi"/>
          <w:sz w:val="20"/>
          <w:szCs w:val="20"/>
          <w:lang w:val="en-US"/>
        </w:rPr>
        <w:t>Adjaoud</w:t>
      </w:r>
      <w:proofErr w:type="spellEnd"/>
      <w:r w:rsidRPr="00791BBB">
        <w:rPr>
          <w:rFonts w:asciiTheme="majorBidi" w:hAnsiTheme="majorBidi" w:cstheme="majorBidi"/>
          <w:sz w:val="20"/>
          <w:szCs w:val="20"/>
          <w:lang w:val="en-US"/>
        </w:rPr>
        <w:t>, F</w:t>
      </w:r>
      <w:r w:rsidR="00D17490">
        <w:rPr>
          <w:rFonts w:asciiTheme="majorBidi" w:hAnsiTheme="majorBidi" w:cstheme="majorBidi"/>
          <w:sz w:val="20"/>
          <w:szCs w:val="20"/>
          <w:lang w:val="en-US"/>
        </w:rPr>
        <w:t>.</w:t>
      </w:r>
      <w:r w:rsidRPr="00791BBB">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&amp; </w:t>
      </w:r>
      <w:r w:rsidRPr="00791BBB">
        <w:rPr>
          <w:rFonts w:asciiTheme="majorBidi" w:hAnsiTheme="majorBidi" w:cstheme="majorBidi"/>
          <w:sz w:val="20"/>
          <w:szCs w:val="20"/>
          <w:lang w:val="en-US"/>
        </w:rPr>
        <w:t xml:space="preserve">Ben </w:t>
      </w:r>
      <w:proofErr w:type="spellStart"/>
      <w:r w:rsidRPr="00791BBB">
        <w:rPr>
          <w:rFonts w:asciiTheme="majorBidi" w:hAnsiTheme="majorBidi" w:cstheme="majorBidi"/>
          <w:sz w:val="20"/>
          <w:szCs w:val="20"/>
          <w:lang w:val="en-US"/>
        </w:rPr>
        <w:t>Amar</w:t>
      </w:r>
      <w:proofErr w:type="spellEnd"/>
      <w:r w:rsidRPr="00791BBB">
        <w:rPr>
          <w:rFonts w:asciiTheme="majorBidi" w:hAnsiTheme="majorBidi" w:cstheme="majorBidi"/>
          <w:sz w:val="20"/>
          <w:szCs w:val="20"/>
          <w:lang w:val="en-US"/>
        </w:rPr>
        <w:t xml:space="preserve">, W. (2010).  </w:t>
      </w:r>
      <w:r w:rsidRPr="00791BBB">
        <w:rPr>
          <w:rFonts w:asciiTheme="majorBidi" w:hAnsiTheme="majorBidi" w:cstheme="majorBidi"/>
          <w:kern w:val="36"/>
          <w:sz w:val="20"/>
          <w:szCs w:val="20"/>
          <w:lang w:val="en-US"/>
        </w:rPr>
        <w:t xml:space="preserve">Corporate Governance and Dividend Policy: Shareholders’ Protection or Expropriation? </w:t>
      </w:r>
      <w:r w:rsidRPr="00791BBB">
        <w:rPr>
          <w:rFonts w:asciiTheme="majorBidi" w:hAnsiTheme="majorBidi" w:cstheme="majorBidi"/>
          <w:sz w:val="20"/>
          <w:szCs w:val="20"/>
          <w:lang w:val="en-US"/>
        </w:rPr>
        <w:t>Journal of Business Finance &amp; Accounting, 37, 648-667.</w:t>
      </w:r>
    </w:p>
    <w:p w:rsidR="001E4744" w:rsidRPr="00791BBB" w:rsidRDefault="001E4744" w:rsidP="0075548D">
      <w:pPr>
        <w:pStyle w:val="ListParagraph"/>
        <w:numPr>
          <w:ilvl w:val="0"/>
          <w:numId w:val="10"/>
        </w:numPr>
        <w:tabs>
          <w:tab w:val="left" w:pos="284"/>
        </w:tabs>
        <w:autoSpaceDE w:val="0"/>
        <w:autoSpaceDN w:val="0"/>
        <w:adjustRightInd w:val="0"/>
        <w:spacing w:before="120" w:after="0" w:line="240" w:lineRule="auto"/>
        <w:ind w:left="284" w:hanging="284"/>
        <w:contextualSpacing w:val="0"/>
        <w:jc w:val="both"/>
        <w:rPr>
          <w:rFonts w:asciiTheme="majorBidi" w:hAnsiTheme="majorBidi" w:cstheme="majorBidi"/>
          <w:kern w:val="36"/>
          <w:sz w:val="20"/>
          <w:szCs w:val="20"/>
          <w:lang w:val="en-US"/>
        </w:rPr>
      </w:pPr>
      <w:proofErr w:type="spellStart"/>
      <w:r w:rsidRPr="00791BBB">
        <w:rPr>
          <w:rFonts w:asciiTheme="majorBidi" w:eastAsia="Calibri" w:hAnsiTheme="majorBidi" w:cstheme="majorBidi"/>
          <w:sz w:val="20"/>
          <w:szCs w:val="20"/>
          <w:lang w:val="en-US"/>
        </w:rPr>
        <w:t>Amihud</w:t>
      </w:r>
      <w:proofErr w:type="spellEnd"/>
      <w:r w:rsidRPr="00791BBB">
        <w:rPr>
          <w:rFonts w:asciiTheme="majorBidi" w:eastAsia="Calibri" w:hAnsiTheme="majorBidi" w:cstheme="majorBidi"/>
          <w:sz w:val="20"/>
          <w:szCs w:val="20"/>
          <w:lang w:val="en-US"/>
        </w:rPr>
        <w:t xml:space="preserve">, Y., &amp; </w:t>
      </w:r>
      <w:proofErr w:type="spellStart"/>
      <w:r w:rsidRPr="00791BBB">
        <w:rPr>
          <w:rFonts w:asciiTheme="majorBidi" w:eastAsia="Calibri" w:hAnsiTheme="majorBidi" w:cstheme="majorBidi"/>
          <w:sz w:val="20"/>
          <w:szCs w:val="20"/>
          <w:lang w:val="en-US"/>
        </w:rPr>
        <w:t>Murgia</w:t>
      </w:r>
      <w:proofErr w:type="spellEnd"/>
      <w:r w:rsidRPr="00791BBB">
        <w:rPr>
          <w:rFonts w:asciiTheme="majorBidi" w:eastAsia="Calibri" w:hAnsiTheme="majorBidi" w:cstheme="majorBidi"/>
          <w:sz w:val="20"/>
          <w:szCs w:val="20"/>
          <w:lang w:val="en-US"/>
        </w:rPr>
        <w:t xml:space="preserve">, M. (1997). Dividends, taxes, and signaling: evidence from Germany. </w:t>
      </w:r>
      <w:r w:rsidRPr="00791BBB">
        <w:rPr>
          <w:rFonts w:asciiTheme="majorBidi" w:eastAsia="Calibri" w:hAnsiTheme="majorBidi" w:cstheme="majorBidi"/>
          <w:sz w:val="20"/>
          <w:szCs w:val="20"/>
        </w:rPr>
        <w:t>The Journal</w:t>
      </w:r>
      <w:r>
        <w:rPr>
          <w:rFonts w:asciiTheme="majorBidi" w:eastAsia="Calibri" w:hAnsiTheme="majorBidi" w:cstheme="majorBidi"/>
          <w:sz w:val="20"/>
          <w:szCs w:val="20"/>
        </w:rPr>
        <w:t xml:space="preserve"> </w:t>
      </w:r>
      <w:r w:rsidRPr="00791BBB">
        <w:rPr>
          <w:rFonts w:asciiTheme="majorBidi" w:eastAsia="Calibri" w:hAnsiTheme="majorBidi" w:cstheme="majorBidi"/>
          <w:sz w:val="20"/>
          <w:szCs w:val="20"/>
        </w:rPr>
        <w:t>of Finance LII (1), 397–408.</w:t>
      </w:r>
    </w:p>
    <w:p w:rsidR="001E4744" w:rsidRDefault="001E4744" w:rsidP="00D17490">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r w:rsidRPr="001E4744">
        <w:rPr>
          <w:rFonts w:asciiTheme="majorBidi" w:hAnsiTheme="majorBidi" w:cstheme="majorBidi"/>
          <w:sz w:val="20"/>
          <w:szCs w:val="20"/>
          <w:lang w:val="en-US"/>
        </w:rPr>
        <w:t>Barclay, M.</w:t>
      </w:r>
      <w:r w:rsidR="00D17490">
        <w:rPr>
          <w:rFonts w:asciiTheme="majorBidi" w:hAnsiTheme="majorBidi" w:cstheme="majorBidi"/>
          <w:sz w:val="20"/>
          <w:szCs w:val="20"/>
          <w:lang w:val="en-US"/>
        </w:rPr>
        <w:t>, &amp;</w:t>
      </w:r>
      <w:r w:rsidRPr="001E4744">
        <w:rPr>
          <w:rFonts w:asciiTheme="majorBidi" w:hAnsiTheme="majorBidi" w:cstheme="majorBidi"/>
          <w:sz w:val="20"/>
          <w:szCs w:val="20"/>
          <w:lang w:val="en-US"/>
        </w:rPr>
        <w:t xml:space="preserve"> Holderness, C.</w:t>
      </w:r>
      <w:r w:rsidR="0075548D">
        <w:rPr>
          <w:rFonts w:asciiTheme="majorBidi" w:hAnsiTheme="majorBidi" w:cstheme="majorBidi"/>
          <w:sz w:val="20"/>
          <w:szCs w:val="20"/>
          <w:lang w:val="en-US"/>
        </w:rPr>
        <w:t xml:space="preserve"> (</w:t>
      </w:r>
      <w:r w:rsidRPr="001E4744">
        <w:rPr>
          <w:rFonts w:asciiTheme="majorBidi" w:hAnsiTheme="majorBidi" w:cstheme="majorBidi"/>
          <w:sz w:val="20"/>
          <w:szCs w:val="20"/>
          <w:lang w:val="en-US"/>
        </w:rPr>
        <w:t>1989</w:t>
      </w:r>
      <w:r w:rsidR="0075548D">
        <w:rPr>
          <w:rFonts w:asciiTheme="majorBidi" w:hAnsiTheme="majorBidi" w:cstheme="majorBidi"/>
          <w:sz w:val="20"/>
          <w:szCs w:val="20"/>
          <w:lang w:val="en-US"/>
        </w:rPr>
        <w:t>)</w:t>
      </w:r>
      <w:r w:rsidRPr="001E4744">
        <w:rPr>
          <w:rFonts w:asciiTheme="majorBidi" w:hAnsiTheme="majorBidi" w:cstheme="majorBidi"/>
          <w:sz w:val="20"/>
          <w:szCs w:val="20"/>
          <w:lang w:val="en-US"/>
        </w:rPr>
        <w:t>.The private benefits from control of public corporations. Journal of Financial Economics. 25, 371-395.</w:t>
      </w:r>
    </w:p>
    <w:p w:rsidR="001E4744" w:rsidRP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imes-Roman" w:eastAsia="Calibri" w:hAnsi="Times-Roman" w:cs="Times-Roman"/>
          <w:sz w:val="20"/>
          <w:szCs w:val="20"/>
          <w:lang w:val="en-US"/>
        </w:rPr>
      </w:pPr>
      <w:proofErr w:type="spellStart"/>
      <w:r w:rsidRPr="001E4744">
        <w:rPr>
          <w:rFonts w:asciiTheme="majorBidi" w:hAnsiTheme="majorBidi" w:cstheme="majorBidi"/>
          <w:sz w:val="20"/>
          <w:szCs w:val="20"/>
          <w:lang w:val="en-US"/>
        </w:rPr>
        <w:t>Bebchuk</w:t>
      </w:r>
      <w:proofErr w:type="spellEnd"/>
      <w:r w:rsidRPr="001E4744">
        <w:rPr>
          <w:rFonts w:asciiTheme="majorBidi" w:hAnsiTheme="majorBidi" w:cstheme="majorBidi"/>
          <w:sz w:val="20"/>
          <w:szCs w:val="20"/>
          <w:lang w:val="en-US"/>
        </w:rPr>
        <w:t xml:space="preserve">, L., </w:t>
      </w:r>
      <w:proofErr w:type="spellStart"/>
      <w:r w:rsidRPr="001E4744">
        <w:rPr>
          <w:rFonts w:asciiTheme="majorBidi" w:hAnsiTheme="majorBidi" w:cstheme="majorBidi"/>
          <w:sz w:val="20"/>
          <w:szCs w:val="20"/>
          <w:lang w:val="en-US"/>
        </w:rPr>
        <w:t>Kraakman</w:t>
      </w:r>
      <w:proofErr w:type="spellEnd"/>
      <w:r w:rsidRPr="001E4744">
        <w:rPr>
          <w:rFonts w:asciiTheme="majorBidi" w:hAnsiTheme="majorBidi" w:cstheme="majorBidi"/>
          <w:sz w:val="20"/>
          <w:szCs w:val="20"/>
          <w:lang w:val="en-US"/>
        </w:rPr>
        <w:t>, R., &amp; Triantis, G. (1999). Stock pyramids, cross-ownership, and dual class equity: The creation and agency costs of separating control from cash flow rights. NBER WP 6951.</w:t>
      </w:r>
    </w:p>
    <w:p w:rsid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imes-Roman" w:eastAsia="Calibri" w:hAnsi="Times-Roman" w:cs="Times-Roman"/>
          <w:sz w:val="20"/>
          <w:szCs w:val="20"/>
          <w:lang w:val="en-US"/>
        </w:rPr>
      </w:pPr>
      <w:proofErr w:type="spellStart"/>
      <w:r w:rsidRPr="001E4744">
        <w:rPr>
          <w:rFonts w:ascii="Times-Roman" w:eastAsia="Calibri" w:hAnsi="Times-Roman" w:cs="Times-Roman"/>
          <w:sz w:val="20"/>
          <w:szCs w:val="20"/>
          <w:lang w:val="en-US"/>
        </w:rPr>
        <w:t>Becht</w:t>
      </w:r>
      <w:proofErr w:type="spellEnd"/>
      <w:r w:rsidRPr="001E4744">
        <w:rPr>
          <w:rFonts w:ascii="Times-Roman" w:eastAsia="Calibri" w:hAnsi="Times-Roman" w:cs="Times-Roman"/>
          <w:sz w:val="20"/>
          <w:szCs w:val="20"/>
          <w:lang w:val="en-US"/>
        </w:rPr>
        <w:t xml:space="preserve">, M., &amp; Mayer, C. (2000). </w:t>
      </w:r>
      <w:r w:rsidRPr="001E4744">
        <w:rPr>
          <w:rFonts w:ascii="Times-Italic" w:eastAsia="Calibri" w:hAnsi="Times-Italic" w:cs="Times-Italic"/>
          <w:sz w:val="20"/>
          <w:szCs w:val="20"/>
          <w:lang w:val="en-US"/>
        </w:rPr>
        <w:t>Corporate control in Europe</w:t>
      </w:r>
      <w:r w:rsidRPr="001E4744">
        <w:rPr>
          <w:rFonts w:ascii="Times-Roman" w:eastAsia="Calibri" w:hAnsi="Times-Roman" w:cs="Times-Roman"/>
          <w:sz w:val="20"/>
          <w:szCs w:val="20"/>
          <w:lang w:val="en-US"/>
        </w:rPr>
        <w:t>. Working Paper, University of Oxford.</w:t>
      </w:r>
    </w:p>
    <w:p w:rsidR="001E4744" w:rsidRP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1E4744">
        <w:rPr>
          <w:rFonts w:ascii="TimesNewRomanPSMT" w:hAnsi="TimesNewRomanPSMT"/>
          <w:color w:val="000000"/>
          <w:sz w:val="20"/>
          <w:szCs w:val="20"/>
          <w:lang w:val="en-US"/>
        </w:rPr>
        <w:t>Berkman</w:t>
      </w:r>
      <w:proofErr w:type="spellEnd"/>
      <w:r w:rsidRPr="001E4744">
        <w:rPr>
          <w:rFonts w:ascii="TimesNewRomanPSMT" w:hAnsi="TimesNewRomanPSMT"/>
          <w:color w:val="000000"/>
          <w:sz w:val="20"/>
          <w:szCs w:val="20"/>
          <w:lang w:val="en-US"/>
        </w:rPr>
        <w:t xml:space="preserve">, H., Cole, R.A., &amp; Fu, L.J. (2009). Expropriation through loan guarantees to related parties: Evidence from China. </w:t>
      </w:r>
      <w:r w:rsidRPr="001E4744">
        <w:rPr>
          <w:rFonts w:ascii="TimesNewRomanPS-ItalicMT" w:hAnsi="TimesNewRomanPS-ItalicMT"/>
          <w:color w:val="000000"/>
          <w:sz w:val="20"/>
          <w:szCs w:val="20"/>
          <w:lang w:val="en-US"/>
        </w:rPr>
        <w:t>Journal of Banking &amp; Finance</w:t>
      </w:r>
      <w:r w:rsidRPr="001E4744">
        <w:rPr>
          <w:rFonts w:ascii="TimesNewRomanPSMT" w:hAnsi="TimesNewRomanPSMT"/>
          <w:color w:val="000000"/>
          <w:sz w:val="20"/>
          <w:szCs w:val="20"/>
          <w:lang w:val="en-US"/>
        </w:rPr>
        <w:t xml:space="preserve">, 33, 141-156. </w:t>
      </w:r>
    </w:p>
    <w:p w:rsidR="001E4744" w:rsidRP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pPr>
      <w:proofErr w:type="spellStart"/>
      <w:r w:rsidRPr="001E4744">
        <w:rPr>
          <w:rFonts w:ascii="Times-Roman" w:eastAsia="Calibri" w:hAnsi="Times-Roman" w:cs="Times-Roman"/>
          <w:sz w:val="20"/>
          <w:szCs w:val="20"/>
          <w:lang w:val="en-US"/>
        </w:rPr>
        <w:t>Berle</w:t>
      </w:r>
      <w:proofErr w:type="spellEnd"/>
      <w:r w:rsidRPr="001E4744">
        <w:rPr>
          <w:rFonts w:ascii="Times-Roman" w:eastAsia="Calibri" w:hAnsi="Times-Roman" w:cs="Times-Roman"/>
          <w:sz w:val="20"/>
          <w:szCs w:val="20"/>
          <w:lang w:val="en-US"/>
        </w:rPr>
        <w:t xml:space="preserve">, A., &amp; Means, G. (1932). </w:t>
      </w:r>
      <w:r w:rsidRPr="001E4744">
        <w:rPr>
          <w:rFonts w:ascii="Times-Italic" w:eastAsia="Calibri" w:hAnsi="Times-Italic" w:cs="Times-Italic"/>
          <w:sz w:val="20"/>
          <w:szCs w:val="20"/>
          <w:lang w:val="en-US"/>
        </w:rPr>
        <w:t xml:space="preserve">The </w:t>
      </w:r>
      <w:r w:rsidR="0075548D" w:rsidRPr="001E4744">
        <w:rPr>
          <w:rFonts w:ascii="Times-Italic" w:eastAsia="Calibri" w:hAnsi="Times-Italic" w:cs="Times-Italic"/>
          <w:sz w:val="20"/>
          <w:szCs w:val="20"/>
          <w:lang w:val="en-US"/>
        </w:rPr>
        <w:t>Modern Corporation</w:t>
      </w:r>
      <w:r w:rsidRPr="001E4744">
        <w:rPr>
          <w:rFonts w:ascii="Times-Italic" w:eastAsia="Calibri" w:hAnsi="Times-Italic" w:cs="Times-Italic"/>
          <w:sz w:val="20"/>
          <w:szCs w:val="20"/>
          <w:lang w:val="en-US"/>
        </w:rPr>
        <w:t xml:space="preserve"> and private property</w:t>
      </w:r>
      <w:r w:rsidRPr="001E4744">
        <w:rPr>
          <w:rFonts w:ascii="Times-Roman" w:eastAsia="Calibri" w:hAnsi="Times-Roman" w:cs="Times-Roman"/>
          <w:sz w:val="20"/>
          <w:szCs w:val="20"/>
          <w:lang w:val="en-US"/>
        </w:rPr>
        <w:t>. New York: The Macmillan Company.</w:t>
      </w:r>
    </w:p>
    <w:p w:rsid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color w:val="000000"/>
          <w:sz w:val="20"/>
          <w:szCs w:val="20"/>
          <w:lang w:val="en-US"/>
        </w:rPr>
      </w:pPr>
      <w:r w:rsidRPr="00B34525">
        <w:rPr>
          <w:rFonts w:asciiTheme="majorBidi" w:hAnsiTheme="majorBidi" w:cstheme="majorBidi"/>
          <w:color w:val="000000"/>
          <w:sz w:val="20"/>
          <w:szCs w:val="20"/>
          <w:lang w:val="en-US"/>
        </w:rPr>
        <w:t xml:space="preserve">Bhattacharya, S. (1979). Imperfect information, dividend policy and “the bird in the hand” fallacy. </w:t>
      </w:r>
      <w:r>
        <w:rPr>
          <w:rFonts w:asciiTheme="majorBidi" w:hAnsiTheme="majorBidi" w:cstheme="majorBidi"/>
          <w:color w:val="000000"/>
          <w:sz w:val="20"/>
          <w:szCs w:val="20"/>
          <w:lang w:val="en-US"/>
        </w:rPr>
        <w:t>Bell J</w:t>
      </w:r>
      <w:r w:rsidRPr="00B34525">
        <w:rPr>
          <w:rFonts w:asciiTheme="majorBidi" w:hAnsiTheme="majorBidi" w:cstheme="majorBidi"/>
          <w:color w:val="000000"/>
          <w:sz w:val="20"/>
          <w:szCs w:val="20"/>
          <w:lang w:val="en-US"/>
        </w:rPr>
        <w:t>ournal of Economics. 10, 259-270.</w:t>
      </w:r>
    </w:p>
    <w:p w:rsidR="00343D1B" w:rsidRPr="00343D1B" w:rsidRDefault="00343D1B" w:rsidP="00343D1B">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color w:val="000000"/>
          <w:sz w:val="20"/>
          <w:szCs w:val="20"/>
          <w:lang w:val="en-US"/>
        </w:rPr>
      </w:pPr>
      <w:r w:rsidRPr="00343D1B">
        <w:rPr>
          <w:rFonts w:asciiTheme="majorBidi" w:hAnsiTheme="majorBidi" w:cstheme="majorBidi"/>
          <w:sz w:val="20"/>
          <w:szCs w:val="20"/>
          <w:lang w:val="en-US"/>
        </w:rPr>
        <w:t>Bloch, F.</w:t>
      </w:r>
      <w:r w:rsidR="007F549F">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&amp; </w:t>
      </w:r>
      <w:proofErr w:type="spellStart"/>
      <w:r>
        <w:rPr>
          <w:rFonts w:asciiTheme="majorBidi" w:hAnsiTheme="majorBidi" w:cstheme="majorBidi"/>
          <w:sz w:val="20"/>
          <w:szCs w:val="20"/>
          <w:lang w:val="en-US"/>
        </w:rPr>
        <w:t>Hege</w:t>
      </w:r>
      <w:proofErr w:type="spellEnd"/>
      <w:r>
        <w:rPr>
          <w:rFonts w:asciiTheme="majorBidi" w:hAnsiTheme="majorBidi" w:cstheme="majorBidi"/>
          <w:sz w:val="20"/>
          <w:szCs w:val="20"/>
          <w:lang w:val="en-US"/>
        </w:rPr>
        <w:t xml:space="preserve">, U. (2001). </w:t>
      </w:r>
      <w:r w:rsidRPr="00343D1B">
        <w:rPr>
          <w:rFonts w:asciiTheme="majorBidi" w:hAnsiTheme="majorBidi" w:cstheme="majorBidi"/>
          <w:sz w:val="20"/>
          <w:szCs w:val="20"/>
          <w:lang w:val="en-US"/>
        </w:rPr>
        <w:t>Multiple Sh</w:t>
      </w:r>
      <w:r>
        <w:rPr>
          <w:rFonts w:asciiTheme="majorBidi" w:hAnsiTheme="majorBidi" w:cstheme="majorBidi"/>
          <w:sz w:val="20"/>
          <w:szCs w:val="20"/>
          <w:lang w:val="en-US"/>
        </w:rPr>
        <w:t>areholders and Control Contests.</w:t>
      </w:r>
      <w:r w:rsidRPr="00343D1B">
        <w:rPr>
          <w:rFonts w:asciiTheme="majorBidi" w:hAnsiTheme="majorBidi" w:cstheme="majorBidi"/>
          <w:sz w:val="20"/>
          <w:szCs w:val="20"/>
          <w:lang w:val="en-US"/>
        </w:rPr>
        <w:t xml:space="preserve"> Aix-Marseille University working paper</w:t>
      </w:r>
    </w:p>
    <w:p w:rsidR="001E4744" w:rsidRP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sz w:val="20"/>
          <w:szCs w:val="20"/>
        </w:rPr>
      </w:pPr>
      <w:proofErr w:type="spellStart"/>
      <w:r w:rsidRPr="001E4744">
        <w:rPr>
          <w:rFonts w:asciiTheme="majorBidi" w:hAnsiTheme="majorBidi" w:cstheme="majorBidi"/>
          <w:sz w:val="20"/>
          <w:szCs w:val="20"/>
          <w:lang w:val="en-US"/>
        </w:rPr>
        <w:t>Boubaker</w:t>
      </w:r>
      <w:proofErr w:type="spellEnd"/>
      <w:r w:rsidRPr="001E4744">
        <w:rPr>
          <w:rFonts w:asciiTheme="majorBidi" w:hAnsiTheme="majorBidi" w:cstheme="majorBidi"/>
          <w:sz w:val="20"/>
          <w:szCs w:val="20"/>
          <w:lang w:val="en-US"/>
        </w:rPr>
        <w:t xml:space="preserve">, S., </w:t>
      </w:r>
      <w:r w:rsidR="00D17490">
        <w:rPr>
          <w:rFonts w:asciiTheme="majorBidi" w:hAnsiTheme="majorBidi" w:cstheme="majorBidi"/>
          <w:sz w:val="20"/>
          <w:szCs w:val="20"/>
          <w:lang w:val="en-US"/>
        </w:rPr>
        <w:t xml:space="preserve">&amp; </w:t>
      </w:r>
      <w:proofErr w:type="spellStart"/>
      <w:r w:rsidRPr="001E4744">
        <w:rPr>
          <w:rFonts w:asciiTheme="majorBidi" w:hAnsiTheme="majorBidi" w:cstheme="majorBidi"/>
          <w:sz w:val="20"/>
          <w:szCs w:val="20"/>
          <w:lang w:val="en-US"/>
        </w:rPr>
        <w:t>Labégorre</w:t>
      </w:r>
      <w:proofErr w:type="spellEnd"/>
      <w:r w:rsidRPr="001E4744">
        <w:rPr>
          <w:rFonts w:asciiTheme="majorBidi" w:hAnsiTheme="majorBidi" w:cstheme="majorBidi"/>
          <w:sz w:val="20"/>
          <w:szCs w:val="20"/>
          <w:lang w:val="en-US"/>
        </w:rPr>
        <w:t>, F.</w:t>
      </w:r>
      <w:r w:rsidR="0075548D">
        <w:rPr>
          <w:rFonts w:asciiTheme="majorBidi" w:hAnsiTheme="majorBidi" w:cstheme="majorBidi"/>
          <w:sz w:val="20"/>
          <w:szCs w:val="20"/>
          <w:lang w:val="en-US"/>
        </w:rPr>
        <w:t xml:space="preserve"> (</w:t>
      </w:r>
      <w:r w:rsidRPr="001E4744">
        <w:rPr>
          <w:rFonts w:asciiTheme="majorBidi" w:hAnsiTheme="majorBidi" w:cstheme="majorBidi"/>
          <w:sz w:val="20"/>
          <w:szCs w:val="20"/>
          <w:lang w:val="en-US"/>
        </w:rPr>
        <w:t>2008</w:t>
      </w:r>
      <w:r w:rsidR="0075548D">
        <w:rPr>
          <w:rFonts w:asciiTheme="majorBidi" w:hAnsiTheme="majorBidi" w:cstheme="majorBidi"/>
          <w:sz w:val="20"/>
          <w:szCs w:val="20"/>
          <w:lang w:val="en-US"/>
        </w:rPr>
        <w:t>)</w:t>
      </w:r>
      <w:r w:rsidRPr="001E4744">
        <w:rPr>
          <w:rFonts w:asciiTheme="majorBidi" w:hAnsiTheme="majorBidi" w:cstheme="majorBidi"/>
          <w:sz w:val="20"/>
          <w:szCs w:val="20"/>
          <w:lang w:val="en-US"/>
        </w:rPr>
        <w:t>. Ownership structure, corporate governance and analyst following: a study of French listed firms. Journal of Banking and Finance 32(6), 961-976.</w:t>
      </w:r>
    </w:p>
    <w:p w:rsidR="001E4744" w:rsidRP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imesNewRomanPSMT" w:hAnsi="TimesNewRomanPSMT"/>
          <w:color w:val="000000"/>
          <w:sz w:val="20"/>
          <w:szCs w:val="20"/>
          <w:lang w:val="en-US"/>
        </w:rPr>
      </w:pPr>
      <w:r w:rsidRPr="001E4744">
        <w:rPr>
          <w:rFonts w:asciiTheme="majorBidi" w:hAnsiTheme="majorBidi" w:cstheme="majorBidi"/>
          <w:sz w:val="20"/>
          <w:szCs w:val="20"/>
          <w:lang w:val="en-US"/>
        </w:rPr>
        <w:t xml:space="preserve">Bradford, W., Chen, C., &amp; Zhu, S. (2013). Cash dividend policy, corporate pyramids, and ownership structure: Evidence from China. International Review of Economics and Finance, 27, 445–464. </w:t>
      </w:r>
    </w:p>
    <w:p w:rsidR="001E4744" w:rsidRP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r w:rsidRPr="001E4744">
        <w:rPr>
          <w:rFonts w:ascii="TimesNewRomanPSMT" w:hAnsi="TimesNewRomanPSMT"/>
          <w:color w:val="000000"/>
          <w:sz w:val="20"/>
          <w:szCs w:val="20"/>
        </w:rPr>
        <w:t xml:space="preserve">Cheung, Y.L., </w:t>
      </w:r>
      <w:proofErr w:type="spellStart"/>
      <w:r w:rsidRPr="001E4744">
        <w:rPr>
          <w:rFonts w:ascii="TimesNewRomanPSMT" w:hAnsi="TimesNewRomanPSMT"/>
          <w:color w:val="000000"/>
          <w:sz w:val="20"/>
          <w:szCs w:val="20"/>
        </w:rPr>
        <w:t>Jing</w:t>
      </w:r>
      <w:proofErr w:type="spellEnd"/>
      <w:r w:rsidRPr="001E4744">
        <w:rPr>
          <w:rFonts w:ascii="TimesNewRomanPSMT" w:hAnsi="TimesNewRomanPSMT"/>
          <w:color w:val="000000"/>
          <w:sz w:val="20"/>
          <w:szCs w:val="20"/>
        </w:rPr>
        <w:t xml:space="preserve">, L., Lu, T., </w:t>
      </w:r>
      <w:proofErr w:type="spellStart"/>
      <w:r w:rsidRPr="001E4744">
        <w:rPr>
          <w:rFonts w:ascii="TimesNewRomanPSMT" w:hAnsi="TimesNewRomanPSMT"/>
          <w:color w:val="000000"/>
          <w:sz w:val="20"/>
          <w:szCs w:val="20"/>
        </w:rPr>
        <w:t>Rau</w:t>
      </w:r>
      <w:proofErr w:type="spellEnd"/>
      <w:r w:rsidRPr="001E4744">
        <w:rPr>
          <w:rFonts w:ascii="TimesNewRomanPSMT" w:hAnsi="TimesNewRomanPSMT"/>
          <w:color w:val="000000"/>
          <w:sz w:val="20"/>
          <w:szCs w:val="20"/>
        </w:rPr>
        <w:t xml:space="preserve">, P.R., &amp; </w:t>
      </w:r>
      <w:proofErr w:type="spellStart"/>
      <w:r w:rsidRPr="001E4744">
        <w:rPr>
          <w:rFonts w:ascii="TimesNewRomanPSMT" w:hAnsi="TimesNewRomanPSMT"/>
          <w:color w:val="000000"/>
          <w:sz w:val="20"/>
          <w:szCs w:val="20"/>
        </w:rPr>
        <w:t>Stouraitis</w:t>
      </w:r>
      <w:proofErr w:type="spellEnd"/>
      <w:r w:rsidRPr="001E4744">
        <w:rPr>
          <w:rFonts w:ascii="TimesNewRomanPSMT" w:hAnsi="TimesNewRomanPSMT"/>
          <w:color w:val="000000"/>
          <w:sz w:val="20"/>
          <w:szCs w:val="20"/>
        </w:rPr>
        <w:t xml:space="preserve">, A. (2009). </w:t>
      </w:r>
      <w:r w:rsidRPr="001E4744">
        <w:rPr>
          <w:rFonts w:ascii="TimesNewRomanPSMT" w:hAnsi="TimesNewRomanPSMT"/>
          <w:color w:val="000000"/>
          <w:sz w:val="20"/>
          <w:szCs w:val="20"/>
          <w:lang w:val="en-US"/>
        </w:rPr>
        <w:t xml:space="preserve">Tunneling &amp; propping up: An analysis of related party transactions by Chinese listed companies. </w:t>
      </w:r>
      <w:r w:rsidRPr="001E4744">
        <w:rPr>
          <w:rFonts w:ascii="TimesNewRomanPS-ItalicMT" w:hAnsi="TimesNewRomanPS-ItalicMT"/>
          <w:color w:val="000000"/>
          <w:sz w:val="20"/>
          <w:szCs w:val="20"/>
        </w:rPr>
        <w:t>Pacific-Basin Finance Journal</w:t>
      </w:r>
      <w:r w:rsidRPr="001E4744">
        <w:rPr>
          <w:rFonts w:ascii="TimesNewRomanPSMT" w:hAnsi="TimesNewRomanPSMT"/>
          <w:color w:val="000000"/>
          <w:sz w:val="20"/>
          <w:szCs w:val="20"/>
        </w:rPr>
        <w:t>, 17, 372-393.</w:t>
      </w:r>
    </w:p>
    <w:p w:rsidR="001E4744" w:rsidRP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imesNewRomanPSMT" w:hAnsi="TimesNewRomanPSMT"/>
          <w:color w:val="000000"/>
          <w:sz w:val="20"/>
          <w:szCs w:val="20"/>
          <w:lang w:val="en-US"/>
        </w:rPr>
      </w:pPr>
      <w:r w:rsidRPr="001E4744">
        <w:rPr>
          <w:rFonts w:asciiTheme="majorBidi" w:hAnsiTheme="majorBidi" w:cstheme="majorBidi"/>
          <w:sz w:val="20"/>
          <w:szCs w:val="20"/>
        </w:rPr>
        <w:t>Claessens</w:t>
      </w:r>
      <w:r w:rsidR="00DB6E32">
        <w:rPr>
          <w:rFonts w:asciiTheme="majorBidi" w:hAnsiTheme="majorBidi" w:cstheme="majorBidi"/>
          <w:sz w:val="20"/>
          <w:szCs w:val="20"/>
        </w:rPr>
        <w:t>,</w:t>
      </w:r>
      <w:r w:rsidRPr="001E4744">
        <w:rPr>
          <w:rFonts w:asciiTheme="majorBidi" w:hAnsiTheme="majorBidi" w:cstheme="majorBidi"/>
          <w:sz w:val="20"/>
          <w:szCs w:val="20"/>
        </w:rPr>
        <w:t xml:space="preserve"> S., </w:t>
      </w:r>
      <w:proofErr w:type="spellStart"/>
      <w:r w:rsidRPr="001E4744">
        <w:rPr>
          <w:rFonts w:asciiTheme="majorBidi" w:hAnsiTheme="majorBidi" w:cstheme="majorBidi"/>
          <w:sz w:val="20"/>
          <w:szCs w:val="20"/>
        </w:rPr>
        <w:t>Djankov</w:t>
      </w:r>
      <w:proofErr w:type="spellEnd"/>
      <w:r w:rsidRPr="001E4744">
        <w:rPr>
          <w:rFonts w:asciiTheme="majorBidi" w:hAnsiTheme="majorBidi" w:cstheme="majorBidi"/>
          <w:sz w:val="20"/>
          <w:szCs w:val="20"/>
        </w:rPr>
        <w:t xml:space="preserve"> S. &amp; Lang L. </w:t>
      </w:r>
      <w:r w:rsidR="0075548D">
        <w:rPr>
          <w:rFonts w:asciiTheme="majorBidi" w:hAnsiTheme="majorBidi" w:cstheme="majorBidi"/>
          <w:sz w:val="20"/>
          <w:szCs w:val="20"/>
        </w:rPr>
        <w:t>(</w:t>
      </w:r>
      <w:r w:rsidRPr="001E4744">
        <w:rPr>
          <w:rFonts w:asciiTheme="majorBidi" w:hAnsiTheme="majorBidi" w:cstheme="majorBidi"/>
          <w:sz w:val="20"/>
          <w:szCs w:val="20"/>
        </w:rPr>
        <w:t>2000</w:t>
      </w:r>
      <w:r w:rsidR="0075548D">
        <w:rPr>
          <w:rFonts w:asciiTheme="majorBidi" w:hAnsiTheme="majorBidi" w:cstheme="majorBidi"/>
          <w:sz w:val="20"/>
          <w:szCs w:val="20"/>
        </w:rPr>
        <w:t>)</w:t>
      </w:r>
      <w:r w:rsidRPr="001E4744">
        <w:rPr>
          <w:rFonts w:asciiTheme="majorBidi" w:hAnsiTheme="majorBidi" w:cstheme="majorBidi"/>
          <w:sz w:val="20"/>
          <w:szCs w:val="20"/>
        </w:rPr>
        <w:t xml:space="preserve">. </w:t>
      </w:r>
      <w:r w:rsidRPr="001E4744">
        <w:rPr>
          <w:rFonts w:asciiTheme="majorBidi" w:hAnsiTheme="majorBidi" w:cstheme="majorBidi"/>
          <w:sz w:val="20"/>
          <w:szCs w:val="20"/>
          <w:lang w:val="en-GB"/>
        </w:rPr>
        <w:t>The separation of ownership and control in East Asian Corporations. Journal of Financial Economics, 58, 81-112.</w:t>
      </w:r>
    </w:p>
    <w:p w:rsidR="001E4744" w:rsidRP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imesNewRomanPSMT" w:hAnsi="TimesNewRomanPSMT"/>
          <w:color w:val="000000"/>
          <w:sz w:val="20"/>
          <w:szCs w:val="20"/>
        </w:rPr>
      </w:pPr>
      <w:r w:rsidRPr="001E4744">
        <w:rPr>
          <w:rFonts w:ascii="TimesNewRomanPSMT" w:hAnsi="TimesNewRomanPSMT"/>
          <w:color w:val="000000"/>
          <w:sz w:val="20"/>
          <w:szCs w:val="20"/>
        </w:rPr>
        <w:t xml:space="preserve">Claessens, S., </w:t>
      </w:r>
      <w:proofErr w:type="spellStart"/>
      <w:r w:rsidRPr="001E4744">
        <w:rPr>
          <w:rFonts w:ascii="TimesNewRomanPSMT" w:hAnsi="TimesNewRomanPSMT"/>
          <w:color w:val="000000"/>
          <w:sz w:val="20"/>
          <w:szCs w:val="20"/>
        </w:rPr>
        <w:t>Djankov</w:t>
      </w:r>
      <w:proofErr w:type="spellEnd"/>
      <w:r w:rsidRPr="001E4744">
        <w:rPr>
          <w:rFonts w:ascii="TimesNewRomanPSMT" w:hAnsi="TimesNewRomanPSMT"/>
          <w:color w:val="000000"/>
          <w:sz w:val="20"/>
          <w:szCs w:val="20"/>
        </w:rPr>
        <w:t xml:space="preserve">, S., Fan, J., &amp; Lang, L. (1999). </w:t>
      </w:r>
      <w:r w:rsidRPr="001E4744">
        <w:rPr>
          <w:rFonts w:ascii="TimesNewRomanPSMT" w:hAnsi="TimesNewRomanPSMT"/>
          <w:color w:val="000000"/>
          <w:sz w:val="20"/>
          <w:szCs w:val="20"/>
          <w:lang w:val="en-US"/>
        </w:rPr>
        <w:t>Expropriation of minority shareholders: Evidence from East Asia. Policy Research WP Series, 2088, World Bank, Washington, D.C.</w:t>
      </w:r>
    </w:p>
    <w:p w:rsidR="001E4744" w:rsidRPr="00327AA9"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GB"/>
        </w:rPr>
      </w:pPr>
      <w:proofErr w:type="spellStart"/>
      <w:r w:rsidRPr="001E4744">
        <w:rPr>
          <w:rFonts w:ascii="TimesNewRomanPSMT" w:hAnsi="TimesNewRomanPSMT"/>
          <w:color w:val="000000"/>
          <w:sz w:val="20"/>
          <w:szCs w:val="20"/>
        </w:rPr>
        <w:t>Djankov</w:t>
      </w:r>
      <w:proofErr w:type="spellEnd"/>
      <w:r w:rsidRPr="001E4744">
        <w:rPr>
          <w:rFonts w:ascii="TimesNewRomanPSMT" w:hAnsi="TimesNewRomanPSMT"/>
          <w:color w:val="000000"/>
          <w:sz w:val="20"/>
          <w:szCs w:val="20"/>
        </w:rPr>
        <w:t xml:space="preserve">, S., La Porta, R., Lopez-de-Silanes, F., &amp; </w:t>
      </w:r>
      <w:proofErr w:type="spellStart"/>
      <w:r w:rsidRPr="001E4744">
        <w:rPr>
          <w:rFonts w:ascii="TimesNewRomanPSMT" w:hAnsi="TimesNewRomanPSMT"/>
          <w:color w:val="000000"/>
          <w:sz w:val="20"/>
          <w:szCs w:val="20"/>
        </w:rPr>
        <w:t>Shleifer</w:t>
      </w:r>
      <w:proofErr w:type="spellEnd"/>
      <w:r w:rsidRPr="001E4744">
        <w:rPr>
          <w:rFonts w:ascii="TimesNewRomanPSMT" w:hAnsi="TimesNewRomanPSMT"/>
          <w:color w:val="000000"/>
          <w:sz w:val="20"/>
          <w:szCs w:val="20"/>
        </w:rPr>
        <w:t xml:space="preserve">, A. (2008). </w:t>
      </w:r>
      <w:r w:rsidRPr="001E4744">
        <w:rPr>
          <w:rFonts w:ascii="TimesNewRomanPSMT" w:hAnsi="TimesNewRomanPSMT"/>
          <w:color w:val="000000"/>
          <w:sz w:val="20"/>
          <w:szCs w:val="20"/>
          <w:lang w:val="en-US"/>
        </w:rPr>
        <w:t>The law &amp; economics of self-dealing.</w:t>
      </w:r>
      <w:r w:rsidRPr="001E4744">
        <w:rPr>
          <w:rFonts w:ascii="TimesNewRomanPSMT" w:hAnsi="TimesNewRomanPSMT"/>
          <w:color w:val="000000"/>
          <w:sz w:val="20"/>
          <w:szCs w:val="20"/>
          <w:lang w:val="en-US"/>
        </w:rPr>
        <w:br/>
      </w:r>
      <w:r w:rsidRPr="001E4744">
        <w:rPr>
          <w:rFonts w:ascii="TimesNewRomanPS-ItalicMT" w:hAnsi="TimesNewRomanPS-ItalicMT"/>
          <w:color w:val="000000"/>
          <w:sz w:val="20"/>
          <w:szCs w:val="20"/>
          <w:lang w:val="en-US"/>
        </w:rPr>
        <w:t>Journal of Financial Economics</w:t>
      </w:r>
      <w:r w:rsidRPr="001E4744">
        <w:rPr>
          <w:rFonts w:ascii="TimesNewRomanPSMT" w:hAnsi="TimesNewRomanPSMT"/>
          <w:color w:val="000000"/>
          <w:sz w:val="20"/>
          <w:szCs w:val="20"/>
          <w:lang w:val="en-US"/>
        </w:rPr>
        <w:t>, 88, 430–465.</w:t>
      </w:r>
    </w:p>
    <w:p w:rsidR="00327AA9" w:rsidRPr="001545FF" w:rsidRDefault="00327AA9" w:rsidP="00D17490">
      <w:pPr>
        <w:pStyle w:val="BodyText2"/>
        <w:numPr>
          <w:ilvl w:val="0"/>
          <w:numId w:val="10"/>
        </w:numPr>
        <w:spacing w:before="120" w:after="0" w:line="240" w:lineRule="auto"/>
        <w:ind w:left="284" w:hanging="284"/>
        <w:rPr>
          <w:sz w:val="20"/>
          <w:szCs w:val="20"/>
          <w:lang w:val="en-GB"/>
        </w:rPr>
      </w:pPr>
      <w:proofErr w:type="spellStart"/>
      <w:r w:rsidRPr="001545FF">
        <w:rPr>
          <w:sz w:val="20"/>
          <w:szCs w:val="20"/>
          <w:lang w:val="en-GB"/>
        </w:rPr>
        <w:t>Doidge</w:t>
      </w:r>
      <w:proofErr w:type="spellEnd"/>
      <w:r w:rsidR="00DB6E32">
        <w:rPr>
          <w:sz w:val="20"/>
          <w:szCs w:val="20"/>
          <w:lang w:val="en-GB"/>
        </w:rPr>
        <w:t>,</w:t>
      </w:r>
      <w:r w:rsidRPr="001545FF">
        <w:rPr>
          <w:sz w:val="20"/>
          <w:szCs w:val="20"/>
          <w:lang w:val="en-GB"/>
        </w:rPr>
        <w:t xml:space="preserve"> C., </w:t>
      </w:r>
      <w:proofErr w:type="spellStart"/>
      <w:r w:rsidRPr="001545FF">
        <w:rPr>
          <w:sz w:val="20"/>
          <w:szCs w:val="20"/>
          <w:lang w:val="en-GB"/>
        </w:rPr>
        <w:t>Karolyi</w:t>
      </w:r>
      <w:proofErr w:type="spellEnd"/>
      <w:r w:rsidRPr="001545FF">
        <w:rPr>
          <w:sz w:val="20"/>
          <w:szCs w:val="20"/>
          <w:lang w:val="en-GB"/>
        </w:rPr>
        <w:t xml:space="preserve"> G., </w:t>
      </w:r>
      <w:proofErr w:type="spellStart"/>
      <w:r w:rsidRPr="001545FF">
        <w:rPr>
          <w:sz w:val="20"/>
          <w:szCs w:val="20"/>
          <w:lang w:val="en-GB"/>
        </w:rPr>
        <w:t>Lins</w:t>
      </w:r>
      <w:proofErr w:type="spellEnd"/>
      <w:r w:rsidRPr="001545FF">
        <w:rPr>
          <w:sz w:val="20"/>
          <w:szCs w:val="20"/>
          <w:lang w:val="en-GB"/>
        </w:rPr>
        <w:t xml:space="preserve"> K., Miller D. </w:t>
      </w:r>
      <w:r w:rsidR="00D17490">
        <w:rPr>
          <w:sz w:val="20"/>
          <w:szCs w:val="20"/>
          <w:lang w:val="en-GB"/>
        </w:rPr>
        <w:t>&amp;</w:t>
      </w:r>
      <w:r w:rsidRPr="001545FF">
        <w:rPr>
          <w:sz w:val="20"/>
          <w:szCs w:val="20"/>
          <w:lang w:val="en-GB"/>
        </w:rPr>
        <w:t xml:space="preserve"> </w:t>
      </w:r>
      <w:proofErr w:type="spellStart"/>
      <w:r w:rsidRPr="001545FF">
        <w:rPr>
          <w:sz w:val="20"/>
          <w:szCs w:val="20"/>
          <w:lang w:val="en-GB"/>
        </w:rPr>
        <w:t>Stulz</w:t>
      </w:r>
      <w:proofErr w:type="spellEnd"/>
      <w:r w:rsidRPr="001545FF">
        <w:rPr>
          <w:sz w:val="20"/>
          <w:szCs w:val="20"/>
          <w:lang w:val="en-GB"/>
        </w:rPr>
        <w:t xml:space="preserve"> R. </w:t>
      </w:r>
      <w:r w:rsidR="0075548D">
        <w:rPr>
          <w:sz w:val="20"/>
          <w:szCs w:val="20"/>
          <w:lang w:val="en-GB"/>
        </w:rPr>
        <w:t>(</w:t>
      </w:r>
      <w:r w:rsidRPr="001545FF">
        <w:rPr>
          <w:sz w:val="20"/>
          <w:szCs w:val="20"/>
          <w:lang w:val="en-GB"/>
        </w:rPr>
        <w:t>2009</w:t>
      </w:r>
      <w:r w:rsidR="0075548D">
        <w:rPr>
          <w:sz w:val="20"/>
          <w:szCs w:val="20"/>
          <w:lang w:val="en-GB"/>
        </w:rPr>
        <w:t xml:space="preserve">). </w:t>
      </w:r>
      <w:r w:rsidRPr="001545FF">
        <w:rPr>
          <w:sz w:val="20"/>
          <w:szCs w:val="20"/>
          <w:lang w:val="en-GB"/>
        </w:rPr>
        <w:t>Private Benefits of Control, Ownership, and the Cross-listing Decision</w:t>
      </w:r>
      <w:r w:rsidR="0075548D" w:rsidRPr="0075548D">
        <w:rPr>
          <w:sz w:val="20"/>
          <w:szCs w:val="20"/>
          <w:lang w:val="en-GB"/>
        </w:rPr>
        <w:t xml:space="preserve">. </w:t>
      </w:r>
      <w:r w:rsidRPr="0075548D">
        <w:rPr>
          <w:sz w:val="20"/>
          <w:szCs w:val="20"/>
          <w:lang w:val="en-GB"/>
        </w:rPr>
        <w:t>Journal of Finance, 64, 425</w:t>
      </w:r>
      <w:r w:rsidRPr="001545FF">
        <w:rPr>
          <w:sz w:val="20"/>
          <w:szCs w:val="20"/>
          <w:lang w:val="en-GB"/>
        </w:rPr>
        <w:t>-466.</w:t>
      </w:r>
    </w:p>
    <w:p w:rsidR="001E4744" w:rsidRP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CA76DD">
        <w:rPr>
          <w:rFonts w:asciiTheme="majorBidi" w:hAnsiTheme="majorBidi" w:cstheme="majorBidi"/>
          <w:sz w:val="20"/>
          <w:szCs w:val="20"/>
          <w:lang w:val="en-US"/>
        </w:rPr>
        <w:t>Dyck</w:t>
      </w:r>
      <w:proofErr w:type="spellEnd"/>
      <w:r w:rsidR="00DB6E32">
        <w:rPr>
          <w:rFonts w:asciiTheme="majorBidi" w:hAnsiTheme="majorBidi" w:cstheme="majorBidi"/>
          <w:sz w:val="20"/>
          <w:szCs w:val="20"/>
          <w:lang w:val="en-US"/>
        </w:rPr>
        <w:t>,</w:t>
      </w:r>
      <w:r w:rsidRPr="00CA76DD">
        <w:rPr>
          <w:rFonts w:asciiTheme="majorBidi" w:hAnsiTheme="majorBidi" w:cstheme="majorBidi"/>
          <w:sz w:val="20"/>
          <w:szCs w:val="20"/>
          <w:lang w:val="en-US"/>
        </w:rPr>
        <w:t xml:space="preserve"> A. &amp; </w:t>
      </w:r>
      <w:proofErr w:type="spellStart"/>
      <w:r w:rsidRPr="00CA76DD">
        <w:rPr>
          <w:rFonts w:asciiTheme="majorBidi" w:hAnsiTheme="majorBidi" w:cstheme="majorBidi"/>
          <w:sz w:val="20"/>
          <w:szCs w:val="20"/>
          <w:lang w:val="en-US"/>
        </w:rPr>
        <w:t>Zingales</w:t>
      </w:r>
      <w:proofErr w:type="spellEnd"/>
      <w:r w:rsidRPr="00CA76DD">
        <w:rPr>
          <w:rFonts w:asciiTheme="majorBidi" w:hAnsiTheme="majorBidi" w:cstheme="majorBidi"/>
          <w:sz w:val="20"/>
          <w:szCs w:val="20"/>
          <w:lang w:val="en-US"/>
        </w:rPr>
        <w:t xml:space="preserve"> L. (2004). </w:t>
      </w:r>
      <w:r w:rsidRPr="001E4744">
        <w:rPr>
          <w:rFonts w:asciiTheme="majorBidi" w:hAnsiTheme="majorBidi" w:cstheme="majorBidi"/>
          <w:sz w:val="20"/>
          <w:szCs w:val="20"/>
          <w:lang w:val="en-GB"/>
        </w:rPr>
        <w:t>Private benefits of control: An international comparison. Journal of Finance, 59, 537-600.</w:t>
      </w:r>
    </w:p>
    <w:p w:rsidR="001E4744" w:rsidRP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imesNewRomanPSMT" w:hAnsi="TimesNewRomanPSMT"/>
          <w:color w:val="000000"/>
          <w:sz w:val="20"/>
          <w:szCs w:val="20"/>
          <w:lang w:val="en-US"/>
        </w:rPr>
      </w:pPr>
      <w:r w:rsidRPr="001E4744">
        <w:rPr>
          <w:rFonts w:asciiTheme="majorBidi" w:hAnsiTheme="majorBidi" w:cstheme="majorBidi"/>
          <w:sz w:val="20"/>
          <w:szCs w:val="20"/>
          <w:lang w:val="en-US"/>
        </w:rPr>
        <w:t>Easterbrook, F. (1984). Two agency-cost explanations of dividends. American Economic Review, 74, 650–659.</w:t>
      </w:r>
    </w:p>
    <w:p w:rsidR="001E4744" w:rsidRP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1E4744">
        <w:rPr>
          <w:rFonts w:ascii="TimesNewRomanPSMT" w:hAnsi="TimesNewRomanPSMT"/>
          <w:color w:val="000000"/>
          <w:sz w:val="20"/>
          <w:szCs w:val="20"/>
          <w:lang w:val="en-US"/>
        </w:rPr>
        <w:t>Ehrhards</w:t>
      </w:r>
      <w:proofErr w:type="spellEnd"/>
      <w:r w:rsidRPr="001E4744">
        <w:rPr>
          <w:rFonts w:ascii="TimesNewRomanPSMT" w:hAnsi="TimesNewRomanPSMT"/>
          <w:color w:val="000000"/>
          <w:sz w:val="20"/>
          <w:szCs w:val="20"/>
          <w:lang w:val="en-US"/>
        </w:rPr>
        <w:t>, O., &amp; Nowak, E. (2003). Private benefits &amp; minority shareholder expropriation: empirical evidence from IPOs of German family-owned firms. Working paper, Humboldt University.</w:t>
      </w:r>
    </w:p>
    <w:p w:rsid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1E4744">
        <w:rPr>
          <w:rFonts w:asciiTheme="majorBidi" w:hAnsiTheme="majorBidi" w:cstheme="majorBidi"/>
          <w:sz w:val="20"/>
          <w:szCs w:val="20"/>
          <w:lang w:val="en-US"/>
        </w:rPr>
        <w:t>Faccio</w:t>
      </w:r>
      <w:proofErr w:type="spellEnd"/>
      <w:r w:rsidRPr="001E4744">
        <w:rPr>
          <w:rFonts w:asciiTheme="majorBidi" w:hAnsiTheme="majorBidi" w:cstheme="majorBidi"/>
          <w:sz w:val="20"/>
          <w:szCs w:val="20"/>
          <w:lang w:val="en-US"/>
        </w:rPr>
        <w:t>, M., Lang, L.H.P., &amp; Young, L. (2001). Dividends and expropriation. American Economic Review, 91, 54-78.</w:t>
      </w:r>
    </w:p>
    <w:p w:rsidR="001E4744" w:rsidRPr="001E4744" w:rsidRDefault="001E4744" w:rsidP="0075548D">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GB"/>
        </w:rPr>
      </w:pPr>
      <w:proofErr w:type="spellStart"/>
      <w:r w:rsidRPr="001E4744">
        <w:rPr>
          <w:rFonts w:asciiTheme="majorBidi" w:hAnsiTheme="majorBidi" w:cstheme="majorBidi"/>
          <w:color w:val="000000"/>
          <w:sz w:val="20"/>
          <w:szCs w:val="20"/>
          <w:lang w:val="en-US"/>
        </w:rPr>
        <w:t>Fama</w:t>
      </w:r>
      <w:proofErr w:type="spellEnd"/>
      <w:r w:rsidRPr="001E4744">
        <w:rPr>
          <w:rFonts w:asciiTheme="majorBidi" w:hAnsiTheme="majorBidi" w:cstheme="majorBidi"/>
          <w:color w:val="000000"/>
          <w:sz w:val="20"/>
          <w:szCs w:val="20"/>
          <w:lang w:val="en-US"/>
        </w:rPr>
        <w:t>, E., &amp; French, K. (2002). Testing trade-off and pecking order predictions about dividends and debt. The Review of Financial Studies, 15, 1–33.</w:t>
      </w:r>
    </w:p>
    <w:p w:rsidR="001E4744" w:rsidRPr="001E4744" w:rsidRDefault="001E4744" w:rsidP="00D17490">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GB"/>
        </w:rPr>
      </w:pPr>
      <w:proofErr w:type="spellStart"/>
      <w:r w:rsidRPr="001E4744">
        <w:rPr>
          <w:rFonts w:asciiTheme="majorBidi" w:hAnsiTheme="majorBidi" w:cstheme="majorBidi"/>
          <w:sz w:val="20"/>
          <w:szCs w:val="20"/>
          <w:lang w:val="en-US"/>
        </w:rPr>
        <w:t>Fama</w:t>
      </w:r>
      <w:proofErr w:type="spellEnd"/>
      <w:r w:rsidRPr="001E4744">
        <w:rPr>
          <w:rFonts w:asciiTheme="majorBidi" w:hAnsiTheme="majorBidi" w:cstheme="majorBidi"/>
          <w:sz w:val="20"/>
          <w:szCs w:val="20"/>
          <w:lang w:val="en-US"/>
        </w:rPr>
        <w:t>, E.F.</w:t>
      </w:r>
      <w:proofErr w:type="gramStart"/>
      <w:r w:rsidR="00D17490">
        <w:rPr>
          <w:rFonts w:asciiTheme="majorBidi" w:hAnsiTheme="majorBidi" w:cstheme="majorBidi"/>
          <w:sz w:val="20"/>
          <w:szCs w:val="20"/>
          <w:lang w:val="en-US"/>
        </w:rPr>
        <w:t>,&amp;</w:t>
      </w:r>
      <w:proofErr w:type="gramEnd"/>
      <w:r w:rsidRPr="001E4744">
        <w:rPr>
          <w:rFonts w:asciiTheme="majorBidi" w:hAnsiTheme="majorBidi" w:cstheme="majorBidi"/>
          <w:sz w:val="20"/>
          <w:szCs w:val="20"/>
          <w:lang w:val="en-US"/>
        </w:rPr>
        <w:t xml:space="preserve"> Miller M.H. (1972). The Theory of Finance. New York: Holt, Rinehart and Winston.</w:t>
      </w:r>
    </w:p>
    <w:p w:rsidR="001E4744" w:rsidRDefault="001E4744" w:rsidP="00D17490">
      <w:pPr>
        <w:pStyle w:val="ListParagraph"/>
        <w:numPr>
          <w:ilvl w:val="0"/>
          <w:numId w:val="10"/>
        </w:numPr>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GB"/>
        </w:rPr>
      </w:pPr>
      <w:r w:rsidRPr="001E4744">
        <w:rPr>
          <w:rFonts w:asciiTheme="majorBidi" w:hAnsiTheme="majorBidi" w:cstheme="majorBidi"/>
          <w:sz w:val="20"/>
          <w:szCs w:val="20"/>
          <w:lang w:val="en-GB"/>
        </w:rPr>
        <w:lastRenderedPageBreak/>
        <w:t>Franks</w:t>
      </w:r>
      <w:r w:rsidR="00DB6E32">
        <w:rPr>
          <w:rFonts w:asciiTheme="majorBidi" w:hAnsiTheme="majorBidi" w:cstheme="majorBidi"/>
          <w:sz w:val="20"/>
          <w:szCs w:val="20"/>
          <w:lang w:val="en-GB"/>
        </w:rPr>
        <w:t>,</w:t>
      </w:r>
      <w:r w:rsidR="00D17490">
        <w:rPr>
          <w:rFonts w:asciiTheme="majorBidi" w:hAnsiTheme="majorBidi" w:cstheme="majorBidi"/>
          <w:sz w:val="20"/>
          <w:szCs w:val="20"/>
          <w:lang w:val="en-GB"/>
        </w:rPr>
        <w:t xml:space="preserve"> J., &amp; </w:t>
      </w:r>
      <w:r w:rsidRPr="001E4744">
        <w:rPr>
          <w:rFonts w:asciiTheme="majorBidi" w:hAnsiTheme="majorBidi" w:cstheme="majorBidi"/>
          <w:sz w:val="20"/>
          <w:szCs w:val="20"/>
          <w:lang w:val="en-GB"/>
        </w:rPr>
        <w:t>Mayer C.</w:t>
      </w:r>
      <w:r w:rsidR="0075548D">
        <w:rPr>
          <w:rFonts w:asciiTheme="majorBidi" w:hAnsiTheme="majorBidi" w:cstheme="majorBidi"/>
          <w:sz w:val="20"/>
          <w:szCs w:val="20"/>
          <w:lang w:val="en-GB"/>
        </w:rPr>
        <w:t xml:space="preserve"> (</w:t>
      </w:r>
      <w:r w:rsidRPr="001E4744">
        <w:rPr>
          <w:rFonts w:asciiTheme="majorBidi" w:hAnsiTheme="majorBidi" w:cstheme="majorBidi"/>
          <w:sz w:val="20"/>
          <w:szCs w:val="20"/>
          <w:lang w:val="en-GB"/>
        </w:rPr>
        <w:t>2001</w:t>
      </w:r>
      <w:r w:rsidR="0075548D">
        <w:rPr>
          <w:rFonts w:asciiTheme="majorBidi" w:hAnsiTheme="majorBidi" w:cstheme="majorBidi"/>
          <w:sz w:val="20"/>
          <w:szCs w:val="20"/>
          <w:lang w:val="en-GB"/>
        </w:rPr>
        <w:t xml:space="preserve">). </w:t>
      </w:r>
      <w:r w:rsidRPr="001E4744">
        <w:rPr>
          <w:rFonts w:asciiTheme="majorBidi" w:hAnsiTheme="majorBidi" w:cstheme="majorBidi"/>
          <w:sz w:val="20"/>
          <w:szCs w:val="20"/>
          <w:lang w:val="en-GB"/>
        </w:rPr>
        <w:t>Ownership and control of German corporations</w:t>
      </w:r>
      <w:r w:rsidR="0075548D">
        <w:rPr>
          <w:rFonts w:asciiTheme="majorBidi" w:hAnsiTheme="majorBidi" w:cstheme="majorBidi"/>
          <w:sz w:val="20"/>
          <w:szCs w:val="20"/>
          <w:lang w:val="en-GB"/>
        </w:rPr>
        <w:t xml:space="preserve">. </w:t>
      </w:r>
      <w:r w:rsidRPr="001E4744">
        <w:rPr>
          <w:rFonts w:asciiTheme="majorBidi" w:hAnsiTheme="majorBidi" w:cstheme="majorBidi"/>
          <w:sz w:val="20"/>
          <w:szCs w:val="20"/>
          <w:lang w:val="en-GB"/>
        </w:rPr>
        <w:t>The Review of Financial Studies, 14, 943-977.</w:t>
      </w:r>
    </w:p>
    <w:p w:rsidR="001E4744" w:rsidRDefault="001E4744" w:rsidP="002E1CE3">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1E4744">
        <w:rPr>
          <w:rFonts w:asciiTheme="majorBidi" w:hAnsiTheme="majorBidi" w:cstheme="majorBidi"/>
          <w:sz w:val="20"/>
          <w:szCs w:val="20"/>
          <w:lang w:val="en-US"/>
        </w:rPr>
        <w:t>Fudenberg</w:t>
      </w:r>
      <w:proofErr w:type="spellEnd"/>
      <w:r w:rsidRPr="001E4744">
        <w:rPr>
          <w:rFonts w:asciiTheme="majorBidi" w:hAnsiTheme="majorBidi" w:cstheme="majorBidi"/>
          <w:sz w:val="20"/>
          <w:szCs w:val="20"/>
          <w:lang w:val="en-US"/>
        </w:rPr>
        <w:t xml:space="preserve">, D., </w:t>
      </w:r>
      <w:r w:rsidR="00D17490">
        <w:rPr>
          <w:rFonts w:asciiTheme="majorBidi" w:hAnsiTheme="majorBidi" w:cstheme="majorBidi"/>
          <w:sz w:val="20"/>
          <w:szCs w:val="20"/>
          <w:lang w:val="en-US"/>
        </w:rPr>
        <w:t xml:space="preserve">&amp; </w:t>
      </w:r>
      <w:proofErr w:type="spellStart"/>
      <w:r w:rsidRPr="001E4744">
        <w:rPr>
          <w:rFonts w:asciiTheme="majorBidi" w:hAnsiTheme="majorBidi" w:cstheme="majorBidi"/>
          <w:sz w:val="20"/>
          <w:szCs w:val="20"/>
          <w:lang w:val="en-US"/>
        </w:rPr>
        <w:t>Tirole</w:t>
      </w:r>
      <w:proofErr w:type="spellEnd"/>
      <w:r w:rsidRPr="001E4744">
        <w:rPr>
          <w:rFonts w:asciiTheme="majorBidi" w:hAnsiTheme="majorBidi" w:cstheme="majorBidi"/>
          <w:sz w:val="20"/>
          <w:szCs w:val="20"/>
          <w:lang w:val="en-US"/>
        </w:rPr>
        <w:t>, J.</w:t>
      </w:r>
      <w:r w:rsidR="002E1CE3">
        <w:rPr>
          <w:rFonts w:asciiTheme="majorBidi" w:hAnsiTheme="majorBidi" w:cstheme="majorBidi"/>
          <w:sz w:val="20"/>
          <w:szCs w:val="20"/>
          <w:lang w:val="en-US"/>
        </w:rPr>
        <w:t xml:space="preserve"> (</w:t>
      </w:r>
      <w:r w:rsidRPr="001E4744">
        <w:rPr>
          <w:rFonts w:asciiTheme="majorBidi" w:hAnsiTheme="majorBidi" w:cstheme="majorBidi"/>
          <w:sz w:val="20"/>
          <w:szCs w:val="20"/>
          <w:lang w:val="en-US"/>
        </w:rPr>
        <w:t>1995</w:t>
      </w:r>
      <w:r w:rsidR="002E1CE3">
        <w:rPr>
          <w:rFonts w:asciiTheme="majorBidi" w:hAnsiTheme="majorBidi" w:cstheme="majorBidi"/>
          <w:sz w:val="20"/>
          <w:szCs w:val="20"/>
          <w:lang w:val="en-US"/>
        </w:rPr>
        <w:t>)</w:t>
      </w:r>
      <w:r w:rsidRPr="001E4744">
        <w:rPr>
          <w:rFonts w:asciiTheme="majorBidi" w:hAnsiTheme="majorBidi" w:cstheme="majorBidi"/>
          <w:sz w:val="20"/>
          <w:szCs w:val="20"/>
          <w:lang w:val="en-US"/>
        </w:rPr>
        <w:t>. A theory of income and dividend smoothing based on incumbency rents. Journal of Political Economy 103, 75–93.</w:t>
      </w:r>
    </w:p>
    <w:p w:rsidR="001E4744" w:rsidRPr="001E4744" w:rsidRDefault="001E4744" w:rsidP="002E1CE3">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GB"/>
        </w:rPr>
      </w:pPr>
      <w:r w:rsidRPr="001E4744">
        <w:rPr>
          <w:rFonts w:asciiTheme="majorBidi" w:hAnsiTheme="majorBidi" w:cstheme="majorBidi"/>
          <w:sz w:val="20"/>
          <w:szCs w:val="20"/>
          <w:lang w:val="en-US"/>
        </w:rPr>
        <w:t>Gordon, R</w:t>
      </w:r>
      <w:r w:rsidR="002E1CE3">
        <w:rPr>
          <w:rFonts w:asciiTheme="majorBidi" w:hAnsiTheme="majorBidi" w:cstheme="majorBidi"/>
          <w:sz w:val="20"/>
          <w:szCs w:val="20"/>
          <w:lang w:val="en-US"/>
        </w:rPr>
        <w:t>., &amp;</w:t>
      </w:r>
      <w:r w:rsidRPr="001E4744">
        <w:rPr>
          <w:rFonts w:asciiTheme="majorBidi" w:hAnsiTheme="majorBidi" w:cstheme="majorBidi"/>
          <w:sz w:val="20"/>
          <w:szCs w:val="20"/>
          <w:lang w:val="en-US"/>
        </w:rPr>
        <w:t xml:space="preserve"> </w:t>
      </w:r>
      <w:proofErr w:type="spellStart"/>
      <w:r w:rsidRPr="001E4744">
        <w:rPr>
          <w:rFonts w:asciiTheme="majorBidi" w:hAnsiTheme="majorBidi" w:cstheme="majorBidi"/>
          <w:sz w:val="20"/>
          <w:szCs w:val="20"/>
          <w:lang w:val="en-US"/>
        </w:rPr>
        <w:t>Malkiel</w:t>
      </w:r>
      <w:proofErr w:type="spellEnd"/>
      <w:r w:rsidRPr="001E4744">
        <w:rPr>
          <w:rFonts w:asciiTheme="majorBidi" w:hAnsiTheme="majorBidi" w:cstheme="majorBidi"/>
          <w:sz w:val="20"/>
          <w:szCs w:val="20"/>
          <w:lang w:val="en-US"/>
        </w:rPr>
        <w:t>,</w:t>
      </w:r>
      <w:r w:rsidR="002E1CE3">
        <w:rPr>
          <w:rFonts w:asciiTheme="majorBidi" w:hAnsiTheme="majorBidi" w:cstheme="majorBidi"/>
          <w:sz w:val="20"/>
          <w:szCs w:val="20"/>
          <w:lang w:val="en-US"/>
        </w:rPr>
        <w:t xml:space="preserve"> B. (1979). </w:t>
      </w:r>
      <w:r w:rsidRPr="001E4744">
        <w:rPr>
          <w:rFonts w:asciiTheme="majorBidi" w:hAnsiTheme="majorBidi" w:cstheme="majorBidi"/>
          <w:sz w:val="20"/>
          <w:szCs w:val="20"/>
          <w:lang w:val="en-US"/>
        </w:rPr>
        <w:t>Corporate Financial Structure</w:t>
      </w:r>
      <w:r w:rsidR="002E1CE3">
        <w:rPr>
          <w:rFonts w:asciiTheme="majorBidi" w:hAnsiTheme="majorBidi" w:cstheme="majorBidi"/>
          <w:sz w:val="20"/>
          <w:szCs w:val="20"/>
          <w:lang w:val="en-US"/>
        </w:rPr>
        <w:t>. P</w:t>
      </w:r>
      <w:r w:rsidRPr="001E4744">
        <w:rPr>
          <w:rFonts w:asciiTheme="majorBidi" w:hAnsiTheme="majorBidi" w:cstheme="majorBidi"/>
          <w:sz w:val="20"/>
          <w:szCs w:val="20"/>
          <w:lang w:val="en-US"/>
        </w:rPr>
        <w:t xml:space="preserve">aper presented at Brookings </w:t>
      </w:r>
      <w:proofErr w:type="gramStart"/>
      <w:r w:rsidRPr="001E4744">
        <w:rPr>
          <w:rFonts w:asciiTheme="majorBidi" w:hAnsiTheme="majorBidi" w:cstheme="majorBidi"/>
          <w:sz w:val="20"/>
          <w:szCs w:val="20"/>
          <w:lang w:val="en-US"/>
        </w:rPr>
        <w:t>conference  on</w:t>
      </w:r>
      <w:proofErr w:type="gramEnd"/>
      <w:r w:rsidRPr="001E4744">
        <w:rPr>
          <w:rFonts w:asciiTheme="majorBidi" w:hAnsiTheme="majorBidi" w:cstheme="majorBidi"/>
          <w:sz w:val="20"/>
          <w:szCs w:val="20"/>
          <w:lang w:val="en-US"/>
        </w:rPr>
        <w:t xml:space="preserve"> Economic Effects of Federal Taxes, October 18 and 19</w:t>
      </w:r>
      <w:r w:rsidR="002E1CE3">
        <w:rPr>
          <w:rFonts w:asciiTheme="majorBidi" w:hAnsiTheme="majorBidi" w:cstheme="majorBidi"/>
          <w:sz w:val="20"/>
          <w:szCs w:val="20"/>
          <w:lang w:val="en-US"/>
        </w:rPr>
        <w:t>.</w:t>
      </w:r>
    </w:p>
    <w:p w:rsidR="001E4744" w:rsidRPr="001E4744" w:rsidRDefault="001E4744" w:rsidP="0075548D">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color w:val="000000"/>
          <w:sz w:val="20"/>
          <w:szCs w:val="20"/>
          <w:shd w:val="clear" w:color="auto" w:fill="FFFFFF"/>
          <w:lang w:val="en-US"/>
        </w:rPr>
      </w:pPr>
      <w:r w:rsidRPr="001E4744">
        <w:rPr>
          <w:rFonts w:asciiTheme="majorBidi" w:hAnsiTheme="majorBidi" w:cstheme="majorBidi"/>
          <w:sz w:val="20"/>
          <w:szCs w:val="20"/>
          <w:lang w:val="en-GB"/>
        </w:rPr>
        <w:t>Grossman</w:t>
      </w:r>
      <w:r w:rsidR="00DB6E32">
        <w:rPr>
          <w:rFonts w:asciiTheme="majorBidi" w:hAnsiTheme="majorBidi" w:cstheme="majorBidi"/>
          <w:sz w:val="20"/>
          <w:szCs w:val="20"/>
          <w:lang w:val="en-GB"/>
        </w:rPr>
        <w:t>,</w:t>
      </w:r>
      <w:r w:rsidRPr="001E4744">
        <w:rPr>
          <w:rFonts w:asciiTheme="majorBidi" w:hAnsiTheme="majorBidi" w:cstheme="majorBidi"/>
          <w:sz w:val="20"/>
          <w:szCs w:val="20"/>
          <w:lang w:val="en-GB"/>
        </w:rPr>
        <w:t xml:space="preserve"> S.J. &amp; Hart O.D. (1980). Takeover bids, the free-rider problem and the theory of the corporation. Bell Journal of Economics, 11, 42-64.</w:t>
      </w:r>
    </w:p>
    <w:p w:rsidR="001E4744" w:rsidRPr="001E4744" w:rsidRDefault="001E4744" w:rsidP="0075548D">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shd w:val="clear" w:color="auto" w:fill="FFFFFF"/>
          <w:lang w:val="en-US"/>
        </w:rPr>
      </w:pPr>
      <w:proofErr w:type="spellStart"/>
      <w:r w:rsidRPr="001E4744">
        <w:rPr>
          <w:rFonts w:asciiTheme="majorBidi" w:hAnsiTheme="majorBidi" w:cstheme="majorBidi"/>
          <w:color w:val="000000"/>
          <w:sz w:val="20"/>
          <w:szCs w:val="20"/>
          <w:bdr w:val="none" w:sz="0" w:space="0" w:color="auto" w:frame="1"/>
          <w:shd w:val="clear" w:color="auto" w:fill="FFFFFF"/>
        </w:rPr>
        <w:t>Gugler</w:t>
      </w:r>
      <w:proofErr w:type="spellEnd"/>
      <w:r w:rsidRPr="001E4744">
        <w:rPr>
          <w:rFonts w:asciiTheme="majorBidi" w:hAnsiTheme="majorBidi" w:cstheme="majorBidi"/>
          <w:color w:val="000000"/>
          <w:sz w:val="20"/>
          <w:szCs w:val="20"/>
          <w:shd w:val="clear" w:color="auto" w:fill="FFFFFF"/>
        </w:rPr>
        <w:t xml:space="preserve">, K., &amp; </w:t>
      </w:r>
      <w:proofErr w:type="spellStart"/>
      <w:r w:rsidRPr="001E4744">
        <w:rPr>
          <w:rFonts w:asciiTheme="majorBidi" w:hAnsiTheme="majorBidi" w:cstheme="majorBidi"/>
          <w:color w:val="000000"/>
          <w:sz w:val="20"/>
          <w:szCs w:val="20"/>
          <w:bdr w:val="none" w:sz="0" w:space="0" w:color="auto" w:frame="1"/>
          <w:shd w:val="clear" w:color="auto" w:fill="FFFFFF"/>
        </w:rPr>
        <w:t>Yurtoglu</w:t>
      </w:r>
      <w:proofErr w:type="spellEnd"/>
      <w:r w:rsidRPr="001E4744">
        <w:rPr>
          <w:rFonts w:asciiTheme="majorBidi" w:hAnsiTheme="majorBidi" w:cstheme="majorBidi"/>
          <w:color w:val="000000"/>
          <w:sz w:val="20"/>
          <w:szCs w:val="20"/>
          <w:bdr w:val="none" w:sz="0" w:space="0" w:color="auto" w:frame="1"/>
          <w:shd w:val="clear" w:color="auto" w:fill="FFFFFF"/>
        </w:rPr>
        <w:t xml:space="preserve">, B.B. (2003). </w:t>
      </w:r>
      <w:r w:rsidRPr="001E4744">
        <w:rPr>
          <w:rFonts w:asciiTheme="majorBidi" w:hAnsiTheme="majorBidi" w:cstheme="majorBidi"/>
          <w:color w:val="000000"/>
          <w:sz w:val="20"/>
          <w:szCs w:val="20"/>
          <w:bdr w:val="none" w:sz="0" w:space="0" w:color="auto" w:frame="1"/>
          <w:shd w:val="clear" w:color="auto" w:fill="FFFFFF"/>
          <w:lang w:val="en-US"/>
        </w:rPr>
        <w:t>Corporate governance and dividend pay-out policy in Germany.</w:t>
      </w:r>
      <w:r w:rsidRPr="001E4744">
        <w:rPr>
          <w:rFonts w:asciiTheme="majorBidi" w:hAnsiTheme="majorBidi" w:cstheme="majorBidi"/>
          <w:b/>
          <w:bCs/>
          <w:color w:val="000000"/>
          <w:sz w:val="20"/>
          <w:szCs w:val="20"/>
          <w:bdr w:val="none" w:sz="0" w:space="0" w:color="auto" w:frame="1"/>
          <w:shd w:val="clear" w:color="auto" w:fill="FFFFFF"/>
          <w:lang w:val="en-US"/>
        </w:rPr>
        <w:t xml:space="preserve"> </w:t>
      </w:r>
      <w:r w:rsidRPr="001E4744">
        <w:rPr>
          <w:rFonts w:asciiTheme="majorBidi" w:hAnsiTheme="majorBidi" w:cstheme="majorBidi"/>
          <w:color w:val="000000"/>
          <w:sz w:val="20"/>
          <w:szCs w:val="20"/>
          <w:shd w:val="clear" w:color="auto" w:fill="FFFFFF"/>
          <w:lang w:val="en-US"/>
        </w:rPr>
        <w:t>European Economic Review, 47, 731-758.</w:t>
      </w:r>
    </w:p>
    <w:p w:rsidR="001E4744" w:rsidRPr="001E4744" w:rsidRDefault="001E4744" w:rsidP="0075548D">
      <w:pPr>
        <w:pStyle w:val="ListParagraph"/>
        <w:numPr>
          <w:ilvl w:val="0"/>
          <w:numId w:val="10"/>
        </w:numPr>
        <w:tabs>
          <w:tab w:val="left" w:pos="0"/>
          <w:tab w:val="left" w:pos="142"/>
          <w:tab w:val="left" w:pos="426"/>
          <w:tab w:val="left" w:pos="567"/>
        </w:tabs>
        <w:autoSpaceDE w:val="0"/>
        <w:autoSpaceDN w:val="0"/>
        <w:adjustRightInd w:val="0"/>
        <w:spacing w:before="120" w:after="0" w:line="240" w:lineRule="auto"/>
        <w:ind w:left="284" w:hanging="284"/>
        <w:contextualSpacing w:val="0"/>
        <w:jc w:val="both"/>
        <w:rPr>
          <w:rFonts w:ascii="TimesNewRoman,Italic" w:eastAsia="Calibri" w:hAnsi="TimesNewRoman,Italic" w:cs="TimesNewRoman,Italic"/>
          <w:i/>
          <w:iCs/>
          <w:sz w:val="20"/>
          <w:szCs w:val="20"/>
          <w:lang w:val="en-US"/>
        </w:rPr>
      </w:pPr>
      <w:r w:rsidRPr="001E4744">
        <w:rPr>
          <w:rFonts w:ascii="TimesNewRoman" w:eastAsia="Calibri" w:hAnsi="TimesNewRoman" w:cs="TimesNewRoman"/>
          <w:sz w:val="20"/>
          <w:szCs w:val="20"/>
          <w:lang w:val="en-US"/>
        </w:rPr>
        <w:t>Harada, K., &amp; Nguyen, P</w:t>
      </w:r>
      <w:r w:rsidRPr="007549A1">
        <w:rPr>
          <w:rFonts w:ascii="TimesNewRoman" w:eastAsia="Calibri" w:hAnsi="TimesNewRoman" w:cs="TimesNewRoman"/>
          <w:sz w:val="20"/>
          <w:szCs w:val="20"/>
          <w:lang w:val="en-US"/>
        </w:rPr>
        <w:t>. (2011</w:t>
      </w:r>
      <w:r w:rsidRPr="001E4744">
        <w:rPr>
          <w:rFonts w:ascii="TimesNewRoman" w:eastAsia="Calibri" w:hAnsi="TimesNewRoman" w:cs="TimesNewRoman"/>
          <w:sz w:val="20"/>
          <w:szCs w:val="20"/>
          <w:lang w:val="en-US"/>
        </w:rPr>
        <w:t xml:space="preserve">). Ownership concentration and dividend policy in Japan. </w:t>
      </w:r>
      <w:r w:rsidRPr="001E4744">
        <w:rPr>
          <w:rFonts w:ascii="TimesNewRoman,Italic" w:eastAsia="Calibri" w:hAnsi="TimesNewRoman,Italic" w:cs="TimesNewRoman,Italic"/>
          <w:i/>
          <w:iCs/>
          <w:sz w:val="20"/>
          <w:szCs w:val="20"/>
          <w:lang w:val="en-US"/>
        </w:rPr>
        <w:t>Managerial Finance</w:t>
      </w:r>
      <w:r w:rsidRPr="001E4744">
        <w:rPr>
          <w:rFonts w:ascii="TimesNewRoman" w:eastAsia="Calibri" w:hAnsi="TimesNewRoman" w:cs="TimesNewRoman"/>
          <w:sz w:val="20"/>
          <w:szCs w:val="20"/>
          <w:lang w:val="en-US"/>
        </w:rPr>
        <w:t xml:space="preserve">, </w:t>
      </w:r>
      <w:r w:rsidRPr="001E4744">
        <w:rPr>
          <w:rFonts w:ascii="TimesNewRoman,Italic" w:eastAsia="Calibri" w:hAnsi="TimesNewRoman,Italic" w:cs="TimesNewRoman,Italic"/>
          <w:i/>
          <w:iCs/>
          <w:sz w:val="20"/>
          <w:szCs w:val="20"/>
          <w:lang w:val="en-US"/>
        </w:rPr>
        <w:t>37</w:t>
      </w:r>
      <w:r w:rsidRPr="001E4744">
        <w:rPr>
          <w:rFonts w:ascii="TimesNewRoman" w:eastAsia="Calibri" w:hAnsi="TimesNewRoman" w:cs="TimesNewRoman"/>
          <w:sz w:val="20"/>
          <w:szCs w:val="20"/>
          <w:lang w:val="en-US"/>
        </w:rPr>
        <w:t>, 362-379.</w:t>
      </w:r>
    </w:p>
    <w:p w:rsidR="001E4744" w:rsidRPr="00B51D44" w:rsidRDefault="001E4744" w:rsidP="002E1CE3">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imesNewRomanPSMT" w:hAnsi="TimesNewRomanPSMT"/>
          <w:color w:val="000000"/>
          <w:sz w:val="20"/>
          <w:szCs w:val="20"/>
          <w:lang w:val="en-US"/>
        </w:rPr>
      </w:pPr>
      <w:r w:rsidRPr="001E4744">
        <w:rPr>
          <w:rFonts w:asciiTheme="majorBidi" w:hAnsiTheme="majorBidi" w:cstheme="majorBidi"/>
          <w:sz w:val="20"/>
          <w:szCs w:val="20"/>
          <w:lang w:val="en-US"/>
        </w:rPr>
        <w:t xml:space="preserve">Harris, M., </w:t>
      </w:r>
      <w:r w:rsidR="00D17490">
        <w:rPr>
          <w:rFonts w:asciiTheme="majorBidi" w:hAnsiTheme="majorBidi" w:cstheme="majorBidi"/>
          <w:sz w:val="20"/>
          <w:szCs w:val="20"/>
          <w:lang w:val="en-US"/>
        </w:rPr>
        <w:t xml:space="preserve">&amp; </w:t>
      </w:r>
      <w:proofErr w:type="spellStart"/>
      <w:r w:rsidRPr="001E4744">
        <w:rPr>
          <w:rFonts w:asciiTheme="majorBidi" w:hAnsiTheme="majorBidi" w:cstheme="majorBidi"/>
          <w:sz w:val="20"/>
          <w:szCs w:val="20"/>
          <w:lang w:val="en-US"/>
        </w:rPr>
        <w:t>Raviv</w:t>
      </w:r>
      <w:proofErr w:type="spellEnd"/>
      <w:r w:rsidRPr="001E4744">
        <w:rPr>
          <w:rFonts w:asciiTheme="majorBidi" w:hAnsiTheme="majorBidi" w:cstheme="majorBidi"/>
          <w:sz w:val="20"/>
          <w:szCs w:val="20"/>
          <w:lang w:val="en-US"/>
        </w:rPr>
        <w:t>, A.</w:t>
      </w:r>
      <w:r w:rsidR="002E1CE3">
        <w:rPr>
          <w:rFonts w:asciiTheme="majorBidi" w:hAnsiTheme="majorBidi" w:cstheme="majorBidi"/>
          <w:sz w:val="20"/>
          <w:szCs w:val="20"/>
          <w:lang w:val="en-US"/>
        </w:rPr>
        <w:t xml:space="preserve"> (</w:t>
      </w:r>
      <w:r w:rsidRPr="001E4744">
        <w:rPr>
          <w:rFonts w:asciiTheme="majorBidi" w:hAnsiTheme="majorBidi" w:cstheme="majorBidi"/>
          <w:sz w:val="20"/>
          <w:szCs w:val="20"/>
          <w:lang w:val="en-US"/>
        </w:rPr>
        <w:t>1988</w:t>
      </w:r>
      <w:r w:rsidR="002E1CE3">
        <w:rPr>
          <w:rFonts w:asciiTheme="majorBidi" w:hAnsiTheme="majorBidi" w:cstheme="majorBidi"/>
          <w:sz w:val="20"/>
          <w:szCs w:val="20"/>
          <w:lang w:val="en-US"/>
        </w:rPr>
        <w:t>)</w:t>
      </w:r>
      <w:r w:rsidRPr="001E4744">
        <w:rPr>
          <w:rFonts w:asciiTheme="majorBidi" w:hAnsiTheme="majorBidi" w:cstheme="majorBidi"/>
          <w:sz w:val="20"/>
          <w:szCs w:val="20"/>
          <w:lang w:val="en-US"/>
        </w:rPr>
        <w:t>.</w:t>
      </w:r>
      <w:r w:rsidR="002E1CE3">
        <w:rPr>
          <w:rFonts w:asciiTheme="majorBidi" w:hAnsiTheme="majorBidi" w:cstheme="majorBidi"/>
          <w:sz w:val="20"/>
          <w:szCs w:val="20"/>
          <w:lang w:val="en-US"/>
        </w:rPr>
        <w:t xml:space="preserve"> </w:t>
      </w:r>
      <w:r w:rsidRPr="001E4744">
        <w:rPr>
          <w:rFonts w:asciiTheme="majorBidi" w:hAnsiTheme="majorBidi" w:cstheme="majorBidi"/>
          <w:sz w:val="20"/>
          <w:szCs w:val="20"/>
          <w:lang w:val="en-US"/>
        </w:rPr>
        <w:t>Corporate control, contests and capital structures. Journal of Financial Economics 20, 175-202.</w:t>
      </w:r>
    </w:p>
    <w:p w:rsidR="001E4744" w:rsidRPr="001E4744" w:rsidRDefault="001E4744" w:rsidP="0075548D">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r w:rsidRPr="001E4744">
        <w:rPr>
          <w:rFonts w:ascii="TimesNewRomanPSMT" w:hAnsi="TimesNewRomanPSMT"/>
          <w:color w:val="000000"/>
          <w:sz w:val="20"/>
          <w:szCs w:val="20"/>
          <w:lang w:val="en-US"/>
        </w:rPr>
        <w:t>Holderness, C.G. (2003). A survey of block-holders &amp; corporate control. Economic Policy Review - Federal Reserve Bank of New York, April, 51-64.</w:t>
      </w:r>
    </w:p>
    <w:p w:rsidR="001E4744" w:rsidRDefault="001E4744" w:rsidP="002E1CE3">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r w:rsidRPr="001E4744">
        <w:rPr>
          <w:rFonts w:asciiTheme="majorBidi" w:hAnsiTheme="majorBidi" w:cstheme="majorBidi"/>
          <w:sz w:val="20"/>
          <w:szCs w:val="20"/>
          <w:lang w:val="en-US"/>
        </w:rPr>
        <w:t xml:space="preserve">Holderness, C.G., </w:t>
      </w:r>
      <w:r w:rsidR="00D17490">
        <w:rPr>
          <w:rFonts w:asciiTheme="majorBidi" w:hAnsiTheme="majorBidi" w:cstheme="majorBidi"/>
          <w:sz w:val="20"/>
          <w:szCs w:val="20"/>
          <w:lang w:val="en-US"/>
        </w:rPr>
        <w:t xml:space="preserve">&amp; </w:t>
      </w:r>
      <w:r w:rsidRPr="001E4744">
        <w:rPr>
          <w:rFonts w:asciiTheme="majorBidi" w:hAnsiTheme="majorBidi" w:cstheme="majorBidi"/>
          <w:sz w:val="20"/>
          <w:szCs w:val="20"/>
          <w:lang w:val="en-US"/>
        </w:rPr>
        <w:t>Sheehan, D.P.</w:t>
      </w:r>
      <w:r w:rsidR="002E1CE3">
        <w:rPr>
          <w:rFonts w:asciiTheme="majorBidi" w:hAnsiTheme="majorBidi" w:cstheme="majorBidi"/>
          <w:sz w:val="20"/>
          <w:szCs w:val="20"/>
          <w:lang w:val="en-US"/>
        </w:rPr>
        <w:t xml:space="preserve"> (</w:t>
      </w:r>
      <w:r w:rsidRPr="001E4744">
        <w:rPr>
          <w:rFonts w:asciiTheme="majorBidi" w:hAnsiTheme="majorBidi" w:cstheme="majorBidi"/>
          <w:sz w:val="20"/>
          <w:szCs w:val="20"/>
          <w:lang w:val="en-US"/>
        </w:rPr>
        <w:t>1988</w:t>
      </w:r>
      <w:r w:rsidR="002E1CE3">
        <w:rPr>
          <w:rFonts w:asciiTheme="majorBidi" w:hAnsiTheme="majorBidi" w:cstheme="majorBidi"/>
          <w:sz w:val="20"/>
          <w:szCs w:val="20"/>
          <w:lang w:val="en-US"/>
        </w:rPr>
        <w:t>)</w:t>
      </w:r>
      <w:r w:rsidRPr="001E4744">
        <w:rPr>
          <w:rFonts w:asciiTheme="majorBidi" w:hAnsiTheme="majorBidi" w:cstheme="majorBidi"/>
          <w:sz w:val="20"/>
          <w:szCs w:val="20"/>
          <w:lang w:val="en-US"/>
        </w:rPr>
        <w:t>. The role of majority shareholders in publicly held corporations. Journal of Financial Economics 20, 317-346.</w:t>
      </w:r>
    </w:p>
    <w:p w:rsidR="00327AA9" w:rsidRPr="002E1CE3" w:rsidRDefault="002E1CE3" w:rsidP="00DB6E32">
      <w:pPr>
        <w:pStyle w:val="Title"/>
        <w:numPr>
          <w:ilvl w:val="0"/>
          <w:numId w:val="10"/>
        </w:numPr>
        <w:spacing w:before="120" w:line="240" w:lineRule="auto"/>
        <w:ind w:left="284" w:hanging="284"/>
        <w:jc w:val="both"/>
        <w:rPr>
          <w:i w:val="0"/>
          <w:iCs w:val="0"/>
          <w:sz w:val="20"/>
          <w:szCs w:val="20"/>
          <w:lang w:val="en-US"/>
        </w:rPr>
      </w:pPr>
      <w:proofErr w:type="gramStart"/>
      <w:r>
        <w:rPr>
          <w:b w:val="0"/>
          <w:bCs w:val="0"/>
          <w:i w:val="0"/>
          <w:iCs w:val="0"/>
          <w:sz w:val="20"/>
          <w:szCs w:val="20"/>
          <w:lang w:val="en-US"/>
        </w:rPr>
        <w:t>Hwang</w:t>
      </w:r>
      <w:r w:rsidR="00DB6E32">
        <w:rPr>
          <w:b w:val="0"/>
          <w:bCs w:val="0"/>
          <w:i w:val="0"/>
          <w:iCs w:val="0"/>
          <w:sz w:val="20"/>
          <w:szCs w:val="20"/>
          <w:lang w:val="en-US"/>
        </w:rPr>
        <w:t xml:space="preserve">, </w:t>
      </w:r>
      <w:r>
        <w:rPr>
          <w:b w:val="0"/>
          <w:bCs w:val="0"/>
          <w:i w:val="0"/>
          <w:iCs w:val="0"/>
          <w:sz w:val="20"/>
          <w:szCs w:val="20"/>
          <w:lang w:val="en-US"/>
        </w:rPr>
        <w:t xml:space="preserve">J. </w:t>
      </w:r>
      <w:r w:rsidR="00DB6E32">
        <w:rPr>
          <w:b w:val="0"/>
          <w:bCs w:val="0"/>
          <w:i w:val="0"/>
          <w:iCs w:val="0"/>
          <w:sz w:val="20"/>
          <w:szCs w:val="20"/>
          <w:lang w:val="en-US"/>
        </w:rPr>
        <w:t>&amp;</w:t>
      </w:r>
      <w:r>
        <w:rPr>
          <w:b w:val="0"/>
          <w:bCs w:val="0"/>
          <w:i w:val="0"/>
          <w:iCs w:val="0"/>
          <w:sz w:val="20"/>
          <w:szCs w:val="20"/>
          <w:lang w:val="en-US"/>
        </w:rPr>
        <w:t xml:space="preserve"> </w:t>
      </w:r>
      <w:proofErr w:type="spellStart"/>
      <w:r>
        <w:rPr>
          <w:b w:val="0"/>
          <w:bCs w:val="0"/>
          <w:i w:val="0"/>
          <w:iCs w:val="0"/>
          <w:sz w:val="20"/>
          <w:szCs w:val="20"/>
          <w:lang w:val="en-US"/>
        </w:rPr>
        <w:t>Hu</w:t>
      </w:r>
      <w:proofErr w:type="spellEnd"/>
      <w:r w:rsidR="00DB6E32">
        <w:rPr>
          <w:b w:val="0"/>
          <w:bCs w:val="0"/>
          <w:i w:val="0"/>
          <w:iCs w:val="0"/>
          <w:sz w:val="20"/>
          <w:szCs w:val="20"/>
          <w:lang w:val="en-US"/>
        </w:rPr>
        <w:t>,</w:t>
      </w:r>
      <w:r>
        <w:rPr>
          <w:b w:val="0"/>
          <w:bCs w:val="0"/>
          <w:i w:val="0"/>
          <w:iCs w:val="0"/>
          <w:sz w:val="20"/>
          <w:szCs w:val="20"/>
          <w:lang w:val="en-US"/>
        </w:rPr>
        <w:t xml:space="preserve"> B. (2</w:t>
      </w:r>
      <w:r w:rsidR="00327AA9" w:rsidRPr="000B4805">
        <w:rPr>
          <w:b w:val="0"/>
          <w:bCs w:val="0"/>
          <w:i w:val="0"/>
          <w:iCs w:val="0"/>
          <w:sz w:val="20"/>
          <w:szCs w:val="20"/>
          <w:lang w:val="en-US"/>
        </w:rPr>
        <w:t>009</w:t>
      </w:r>
      <w:r>
        <w:rPr>
          <w:b w:val="0"/>
          <w:bCs w:val="0"/>
          <w:i w:val="0"/>
          <w:iCs w:val="0"/>
          <w:sz w:val="20"/>
          <w:szCs w:val="20"/>
          <w:lang w:val="en-US"/>
        </w:rPr>
        <w:t>).</w:t>
      </w:r>
      <w:proofErr w:type="gramEnd"/>
      <w:r>
        <w:rPr>
          <w:b w:val="0"/>
          <w:bCs w:val="0"/>
          <w:i w:val="0"/>
          <w:iCs w:val="0"/>
          <w:sz w:val="20"/>
          <w:szCs w:val="20"/>
          <w:lang w:val="en-US"/>
        </w:rPr>
        <w:t xml:space="preserve"> </w:t>
      </w:r>
      <w:r w:rsidR="00327AA9" w:rsidRPr="000B4805">
        <w:rPr>
          <w:b w:val="0"/>
          <w:bCs w:val="0"/>
          <w:i w:val="0"/>
          <w:iCs w:val="0"/>
          <w:sz w:val="20"/>
          <w:szCs w:val="20"/>
          <w:lang w:val="en-US"/>
        </w:rPr>
        <w:t>Private Benefits: Ownership versus Control</w:t>
      </w:r>
      <w:r>
        <w:rPr>
          <w:b w:val="0"/>
          <w:bCs w:val="0"/>
          <w:i w:val="0"/>
          <w:iCs w:val="0"/>
          <w:sz w:val="20"/>
          <w:szCs w:val="20"/>
          <w:lang w:val="en-US"/>
        </w:rPr>
        <w:t xml:space="preserve">. </w:t>
      </w:r>
      <w:r w:rsidR="00327AA9" w:rsidRPr="002E1CE3">
        <w:rPr>
          <w:b w:val="0"/>
          <w:bCs w:val="0"/>
          <w:i w:val="0"/>
          <w:iCs w:val="0"/>
          <w:sz w:val="20"/>
          <w:szCs w:val="20"/>
          <w:lang w:val="en-US"/>
        </w:rPr>
        <w:t>Journal of Financial Research, 32, 365-393.</w:t>
      </w:r>
    </w:p>
    <w:p w:rsidR="001E4744" w:rsidRPr="001E4744" w:rsidRDefault="001E4744" w:rsidP="0075548D">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r w:rsidRPr="001E4744">
        <w:rPr>
          <w:rFonts w:asciiTheme="majorBidi" w:hAnsiTheme="majorBidi" w:cstheme="majorBidi"/>
          <w:sz w:val="20"/>
          <w:szCs w:val="20"/>
          <w:lang w:val="en-GB"/>
        </w:rPr>
        <w:t>Jensen</w:t>
      </w:r>
      <w:r w:rsidR="00DB6E32">
        <w:rPr>
          <w:rFonts w:asciiTheme="majorBidi" w:hAnsiTheme="majorBidi" w:cstheme="majorBidi"/>
          <w:sz w:val="20"/>
          <w:szCs w:val="20"/>
          <w:lang w:val="en-GB"/>
        </w:rPr>
        <w:t>,</w:t>
      </w:r>
      <w:r w:rsidRPr="001E4744">
        <w:rPr>
          <w:rFonts w:asciiTheme="majorBidi" w:hAnsiTheme="majorBidi" w:cstheme="majorBidi"/>
          <w:sz w:val="20"/>
          <w:szCs w:val="20"/>
          <w:lang w:val="en-GB"/>
        </w:rPr>
        <w:t xml:space="preserve"> G., Solberg</w:t>
      </w:r>
      <w:r w:rsidR="00DB6E32">
        <w:rPr>
          <w:rFonts w:asciiTheme="majorBidi" w:hAnsiTheme="majorBidi" w:cstheme="majorBidi"/>
          <w:sz w:val="20"/>
          <w:szCs w:val="20"/>
          <w:lang w:val="en-GB"/>
        </w:rPr>
        <w:t>,</w:t>
      </w:r>
      <w:r w:rsidRPr="001E4744">
        <w:rPr>
          <w:rFonts w:asciiTheme="majorBidi" w:hAnsiTheme="majorBidi" w:cstheme="majorBidi"/>
          <w:sz w:val="20"/>
          <w:szCs w:val="20"/>
          <w:lang w:val="en-GB"/>
        </w:rPr>
        <w:t xml:space="preserve"> D. &amp; Zorn T. (1992). Simultaneous determination of insider ownership, debt, and dividend policies. Journal of Financial and Quantitative Analysis, 27, 247-263.</w:t>
      </w:r>
    </w:p>
    <w:p w:rsidR="001E4744" w:rsidRDefault="001E4744" w:rsidP="0075548D">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r w:rsidRPr="001E4744">
        <w:rPr>
          <w:rFonts w:asciiTheme="majorBidi" w:hAnsiTheme="majorBidi" w:cstheme="majorBidi"/>
          <w:sz w:val="20"/>
          <w:szCs w:val="20"/>
          <w:lang w:val="en-US"/>
        </w:rPr>
        <w:t>Jensen, M. (1986). Agency Costs of Free Cash Flow, Corporate Finance, and Takeovers. American Economic Review, 76, 323-329.</w:t>
      </w:r>
    </w:p>
    <w:p w:rsidR="001E4744" w:rsidRPr="001E4744" w:rsidRDefault="00DB6E32" w:rsidP="002E1CE3">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GB"/>
        </w:rPr>
      </w:pPr>
      <w:r>
        <w:rPr>
          <w:rFonts w:asciiTheme="majorBidi" w:hAnsiTheme="majorBidi" w:cstheme="majorBidi"/>
          <w:sz w:val="20"/>
          <w:szCs w:val="20"/>
          <w:lang w:val="en-US"/>
        </w:rPr>
        <w:t>Jensen, M.</w:t>
      </w:r>
      <w:r w:rsidR="001E4744" w:rsidRPr="001E4744">
        <w:rPr>
          <w:rFonts w:asciiTheme="majorBidi" w:hAnsiTheme="majorBidi" w:cstheme="majorBidi"/>
          <w:sz w:val="20"/>
          <w:szCs w:val="20"/>
          <w:lang w:val="en-US"/>
        </w:rPr>
        <w:t xml:space="preserve">C. </w:t>
      </w:r>
      <w:r w:rsidR="002E1CE3">
        <w:rPr>
          <w:rFonts w:asciiTheme="majorBidi" w:hAnsiTheme="majorBidi" w:cstheme="majorBidi"/>
          <w:sz w:val="20"/>
          <w:szCs w:val="20"/>
          <w:lang w:val="en-US"/>
        </w:rPr>
        <w:t>&amp;</w:t>
      </w:r>
      <w:r w:rsidR="001E4744" w:rsidRPr="001E4744">
        <w:rPr>
          <w:rFonts w:asciiTheme="majorBidi" w:hAnsiTheme="majorBidi" w:cstheme="majorBidi"/>
          <w:sz w:val="20"/>
          <w:szCs w:val="20"/>
          <w:lang w:val="en-US"/>
        </w:rPr>
        <w:t xml:space="preserve"> </w:t>
      </w:r>
      <w:proofErr w:type="spellStart"/>
      <w:r w:rsidR="001E4744" w:rsidRPr="001E4744">
        <w:rPr>
          <w:rFonts w:asciiTheme="majorBidi" w:hAnsiTheme="majorBidi" w:cstheme="majorBidi"/>
          <w:sz w:val="20"/>
          <w:szCs w:val="20"/>
          <w:lang w:val="en-US"/>
        </w:rPr>
        <w:t>Meckling</w:t>
      </w:r>
      <w:proofErr w:type="spellEnd"/>
      <w:r w:rsidR="002E1CE3">
        <w:rPr>
          <w:rFonts w:asciiTheme="majorBidi" w:hAnsiTheme="majorBidi" w:cstheme="majorBidi"/>
          <w:sz w:val="20"/>
          <w:szCs w:val="20"/>
          <w:lang w:val="en-US"/>
        </w:rPr>
        <w:t xml:space="preserve">, </w:t>
      </w:r>
      <w:r>
        <w:rPr>
          <w:rFonts w:asciiTheme="majorBidi" w:hAnsiTheme="majorBidi" w:cstheme="majorBidi"/>
          <w:sz w:val="20"/>
          <w:szCs w:val="20"/>
          <w:lang w:val="en-US"/>
        </w:rPr>
        <w:t>W.</w:t>
      </w:r>
      <w:r w:rsidR="002E1CE3" w:rsidRPr="001E4744">
        <w:rPr>
          <w:rFonts w:asciiTheme="majorBidi" w:hAnsiTheme="majorBidi" w:cstheme="majorBidi"/>
          <w:sz w:val="20"/>
          <w:szCs w:val="20"/>
          <w:lang w:val="en-US"/>
        </w:rPr>
        <w:t>E.</w:t>
      </w:r>
      <w:r w:rsidR="001E4744" w:rsidRPr="001E4744">
        <w:rPr>
          <w:rFonts w:asciiTheme="majorBidi" w:hAnsiTheme="majorBidi" w:cstheme="majorBidi"/>
          <w:sz w:val="20"/>
          <w:szCs w:val="20"/>
          <w:lang w:val="en-US"/>
        </w:rPr>
        <w:t xml:space="preserve"> (1976). Theory of the firm: Managerial behavior, agency costs, and capital structure. Journal of Financial Economics 3: 305-360. </w:t>
      </w:r>
    </w:p>
    <w:p w:rsidR="001E4744" w:rsidRDefault="001E4744" w:rsidP="0075548D">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r w:rsidRPr="001E4744">
        <w:rPr>
          <w:rFonts w:asciiTheme="majorBidi" w:hAnsiTheme="majorBidi" w:cstheme="majorBidi"/>
          <w:sz w:val="20"/>
          <w:szCs w:val="20"/>
        </w:rPr>
        <w:t xml:space="preserve">Johnson, S., La Porta, R.,  Lopez-de-Silanes, F., &amp; </w:t>
      </w:r>
      <w:proofErr w:type="spellStart"/>
      <w:r w:rsidRPr="001E4744">
        <w:rPr>
          <w:rFonts w:asciiTheme="majorBidi" w:hAnsiTheme="majorBidi" w:cstheme="majorBidi"/>
          <w:sz w:val="20"/>
          <w:szCs w:val="20"/>
        </w:rPr>
        <w:t>Shleifer</w:t>
      </w:r>
      <w:proofErr w:type="spellEnd"/>
      <w:r w:rsidRPr="001E4744">
        <w:rPr>
          <w:rFonts w:asciiTheme="majorBidi" w:hAnsiTheme="majorBidi" w:cstheme="majorBidi"/>
          <w:sz w:val="20"/>
          <w:szCs w:val="20"/>
        </w:rPr>
        <w:t xml:space="preserve">, A. (2000). </w:t>
      </w:r>
      <w:proofErr w:type="spellStart"/>
      <w:r w:rsidRPr="001E4744">
        <w:rPr>
          <w:rFonts w:asciiTheme="majorBidi" w:hAnsiTheme="majorBidi" w:cstheme="majorBidi"/>
          <w:sz w:val="20"/>
          <w:szCs w:val="20"/>
          <w:lang w:val="en-US"/>
        </w:rPr>
        <w:t>Tunnelling</w:t>
      </w:r>
      <w:proofErr w:type="spellEnd"/>
      <w:r w:rsidRPr="001E4744">
        <w:rPr>
          <w:rFonts w:asciiTheme="majorBidi" w:hAnsiTheme="majorBidi" w:cstheme="majorBidi"/>
          <w:sz w:val="20"/>
          <w:szCs w:val="20"/>
          <w:lang w:val="en-US"/>
        </w:rPr>
        <w:t xml:space="preserve">. American Economic Review, 90, 22-27. </w:t>
      </w:r>
    </w:p>
    <w:p w:rsidR="001E4744" w:rsidRPr="001E4744" w:rsidRDefault="001E4744" w:rsidP="004678EB">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rPr>
      </w:pPr>
      <w:proofErr w:type="spellStart"/>
      <w:r w:rsidRPr="001E4744">
        <w:rPr>
          <w:rFonts w:asciiTheme="majorBidi" w:hAnsiTheme="majorBidi" w:cstheme="majorBidi"/>
          <w:sz w:val="20"/>
          <w:szCs w:val="20"/>
          <w:lang w:val="en-US"/>
        </w:rPr>
        <w:t>Kalay</w:t>
      </w:r>
      <w:proofErr w:type="spellEnd"/>
      <w:r w:rsidRPr="001E4744">
        <w:rPr>
          <w:rFonts w:asciiTheme="majorBidi" w:hAnsiTheme="majorBidi" w:cstheme="majorBidi"/>
          <w:sz w:val="20"/>
          <w:szCs w:val="20"/>
          <w:lang w:val="en-US"/>
        </w:rPr>
        <w:t>, A. (1982). Stockholder-bondholder conflict and dividend constraints.</w:t>
      </w:r>
      <w:r w:rsidR="004678EB">
        <w:rPr>
          <w:rFonts w:asciiTheme="majorBidi" w:hAnsiTheme="majorBidi" w:cstheme="majorBidi"/>
          <w:sz w:val="20"/>
          <w:szCs w:val="20"/>
          <w:lang w:val="en-US"/>
        </w:rPr>
        <w:t xml:space="preserve"> </w:t>
      </w:r>
      <w:r w:rsidRPr="001E4744">
        <w:rPr>
          <w:rFonts w:asciiTheme="majorBidi" w:hAnsiTheme="majorBidi" w:cstheme="majorBidi"/>
          <w:sz w:val="20"/>
          <w:szCs w:val="20"/>
          <w:lang w:val="en-US"/>
        </w:rPr>
        <w:t>Journal of Financial Economics 10(2): 211-233.</w:t>
      </w:r>
    </w:p>
    <w:p w:rsidR="001E4744" w:rsidRPr="004678EB" w:rsidRDefault="001E4744" w:rsidP="0075548D">
      <w:pPr>
        <w:pStyle w:val="ListParagraph"/>
        <w:numPr>
          <w:ilvl w:val="0"/>
          <w:numId w:val="10"/>
        </w:numPr>
        <w:tabs>
          <w:tab w:val="left" w:pos="0"/>
          <w:tab w:val="left" w:pos="142"/>
          <w:tab w:val="left" w:pos="426"/>
          <w:tab w:val="left" w:pos="567"/>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r w:rsidRPr="001E4744">
        <w:rPr>
          <w:rFonts w:ascii="TimesNewRoman" w:eastAsia="Calibri" w:hAnsi="TimesNewRoman" w:cs="TimesNewRoman"/>
          <w:sz w:val="20"/>
          <w:szCs w:val="20"/>
          <w:lang w:val="en-US"/>
        </w:rPr>
        <w:t xml:space="preserve">Khan, T. (2006). Company dividends and ownership structure: Evidence from UK panel </w:t>
      </w:r>
      <w:r w:rsidRPr="004678EB">
        <w:rPr>
          <w:rFonts w:ascii="TimesNewRoman" w:eastAsia="Calibri" w:hAnsi="TimesNewRoman" w:cs="TimesNewRoman"/>
          <w:sz w:val="20"/>
          <w:szCs w:val="20"/>
          <w:lang w:val="en-US"/>
        </w:rPr>
        <w:t xml:space="preserve">data. </w:t>
      </w:r>
      <w:r w:rsidRPr="004678EB">
        <w:rPr>
          <w:rFonts w:ascii="TimesNewRoman,Italic" w:eastAsia="Calibri" w:hAnsi="TimesNewRoman,Italic" w:cs="TimesNewRoman,Italic"/>
          <w:sz w:val="20"/>
          <w:szCs w:val="20"/>
          <w:lang w:val="en-US"/>
        </w:rPr>
        <w:t>The Economic Journal</w:t>
      </w:r>
      <w:r w:rsidRPr="004678EB">
        <w:rPr>
          <w:rFonts w:ascii="TimesNewRoman" w:eastAsia="Calibri" w:hAnsi="TimesNewRoman" w:cs="TimesNewRoman"/>
          <w:sz w:val="20"/>
          <w:szCs w:val="20"/>
          <w:lang w:val="en-US"/>
        </w:rPr>
        <w:t xml:space="preserve">, </w:t>
      </w:r>
      <w:r w:rsidRPr="004678EB">
        <w:rPr>
          <w:rFonts w:ascii="TimesNewRoman,Italic" w:eastAsia="Calibri" w:hAnsi="TimesNewRoman,Italic" w:cs="TimesNewRoman,Italic"/>
          <w:sz w:val="20"/>
          <w:szCs w:val="20"/>
          <w:lang w:val="en-US"/>
        </w:rPr>
        <w:t>116</w:t>
      </w:r>
      <w:r w:rsidRPr="004678EB">
        <w:rPr>
          <w:rFonts w:ascii="TimesNewRoman" w:eastAsia="Calibri" w:hAnsi="TimesNewRoman" w:cs="TimesNewRoman"/>
          <w:sz w:val="20"/>
          <w:szCs w:val="20"/>
          <w:lang w:val="en-US"/>
        </w:rPr>
        <w:t>, 172-189.</w:t>
      </w:r>
    </w:p>
    <w:p w:rsidR="001E4744" w:rsidRPr="00CA76DD" w:rsidRDefault="001E4744" w:rsidP="0075548D">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r w:rsidRPr="001E4744">
        <w:rPr>
          <w:rFonts w:asciiTheme="majorBidi" w:hAnsiTheme="majorBidi" w:cstheme="majorBidi"/>
          <w:sz w:val="20"/>
          <w:szCs w:val="20"/>
        </w:rPr>
        <w:t xml:space="preserve">La Porta, R., Lopez-de-Silanes, F., </w:t>
      </w:r>
      <w:proofErr w:type="spellStart"/>
      <w:r w:rsidRPr="001E4744">
        <w:rPr>
          <w:rFonts w:asciiTheme="majorBidi" w:hAnsiTheme="majorBidi" w:cstheme="majorBidi"/>
          <w:sz w:val="20"/>
          <w:szCs w:val="20"/>
        </w:rPr>
        <w:t>Shleifer</w:t>
      </w:r>
      <w:proofErr w:type="spellEnd"/>
      <w:r w:rsidRPr="001E4744">
        <w:rPr>
          <w:rFonts w:asciiTheme="majorBidi" w:hAnsiTheme="majorBidi" w:cstheme="majorBidi"/>
          <w:sz w:val="20"/>
          <w:szCs w:val="20"/>
        </w:rPr>
        <w:t xml:space="preserve">, A., &amp; </w:t>
      </w:r>
      <w:proofErr w:type="spellStart"/>
      <w:r w:rsidRPr="001E4744">
        <w:rPr>
          <w:rFonts w:asciiTheme="majorBidi" w:hAnsiTheme="majorBidi" w:cstheme="majorBidi"/>
          <w:sz w:val="20"/>
          <w:szCs w:val="20"/>
        </w:rPr>
        <w:t>Vishny</w:t>
      </w:r>
      <w:proofErr w:type="spellEnd"/>
      <w:r w:rsidRPr="001E4744">
        <w:rPr>
          <w:rFonts w:asciiTheme="majorBidi" w:hAnsiTheme="majorBidi" w:cstheme="majorBidi"/>
          <w:sz w:val="20"/>
          <w:szCs w:val="20"/>
        </w:rPr>
        <w:t xml:space="preserve">, R. (2000). </w:t>
      </w:r>
      <w:r w:rsidRPr="001E4744">
        <w:rPr>
          <w:rFonts w:asciiTheme="majorBidi" w:hAnsiTheme="majorBidi" w:cstheme="majorBidi"/>
          <w:sz w:val="20"/>
          <w:szCs w:val="20"/>
          <w:lang w:val="en-US"/>
        </w:rPr>
        <w:t xml:space="preserve">Agency problems and dividend policies around the world. </w:t>
      </w:r>
      <w:r w:rsidRPr="00CA76DD">
        <w:rPr>
          <w:rFonts w:asciiTheme="majorBidi" w:hAnsiTheme="majorBidi" w:cstheme="majorBidi"/>
          <w:sz w:val="20"/>
          <w:szCs w:val="20"/>
          <w:lang w:val="en-US"/>
        </w:rPr>
        <w:t>Journal of Finance, 55 (1), 1-33.</w:t>
      </w:r>
    </w:p>
    <w:p w:rsidR="001E4744" w:rsidRDefault="001E4744" w:rsidP="004678EB">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rPr>
      </w:pPr>
      <w:r w:rsidRPr="001E4744">
        <w:rPr>
          <w:rFonts w:asciiTheme="majorBidi" w:hAnsiTheme="majorBidi" w:cstheme="majorBidi"/>
          <w:sz w:val="20"/>
          <w:szCs w:val="20"/>
        </w:rPr>
        <w:t xml:space="preserve">La Porta, R., Lopez-de-Silanes, F., </w:t>
      </w:r>
      <w:r w:rsidR="00D17490">
        <w:rPr>
          <w:rFonts w:asciiTheme="majorBidi" w:hAnsiTheme="majorBidi" w:cstheme="majorBidi"/>
          <w:sz w:val="20"/>
          <w:szCs w:val="20"/>
        </w:rPr>
        <w:t xml:space="preserve">&amp; </w:t>
      </w:r>
      <w:proofErr w:type="spellStart"/>
      <w:r w:rsidRPr="001E4744">
        <w:rPr>
          <w:rFonts w:asciiTheme="majorBidi" w:hAnsiTheme="majorBidi" w:cstheme="majorBidi"/>
          <w:sz w:val="20"/>
          <w:szCs w:val="20"/>
        </w:rPr>
        <w:t>Shleifer</w:t>
      </w:r>
      <w:proofErr w:type="spellEnd"/>
      <w:r w:rsidRPr="001E4744">
        <w:rPr>
          <w:rFonts w:asciiTheme="majorBidi" w:hAnsiTheme="majorBidi" w:cstheme="majorBidi"/>
          <w:sz w:val="20"/>
          <w:szCs w:val="20"/>
        </w:rPr>
        <w:t>, A.</w:t>
      </w:r>
      <w:r w:rsidR="004678EB">
        <w:rPr>
          <w:rFonts w:asciiTheme="majorBidi" w:hAnsiTheme="majorBidi" w:cstheme="majorBidi"/>
          <w:sz w:val="20"/>
          <w:szCs w:val="20"/>
        </w:rPr>
        <w:t xml:space="preserve"> (</w:t>
      </w:r>
      <w:r w:rsidRPr="001E4744">
        <w:rPr>
          <w:rFonts w:asciiTheme="majorBidi" w:hAnsiTheme="majorBidi" w:cstheme="majorBidi"/>
          <w:sz w:val="20"/>
          <w:szCs w:val="20"/>
        </w:rPr>
        <w:t>1999</w:t>
      </w:r>
      <w:r w:rsidR="004678EB">
        <w:rPr>
          <w:rFonts w:asciiTheme="majorBidi" w:hAnsiTheme="majorBidi" w:cstheme="majorBidi"/>
          <w:sz w:val="20"/>
          <w:szCs w:val="20"/>
        </w:rPr>
        <w:t>)</w:t>
      </w:r>
      <w:r w:rsidRPr="001E4744">
        <w:rPr>
          <w:rFonts w:asciiTheme="majorBidi" w:hAnsiTheme="majorBidi" w:cstheme="majorBidi"/>
          <w:sz w:val="20"/>
          <w:szCs w:val="20"/>
        </w:rPr>
        <w:t xml:space="preserve">. </w:t>
      </w:r>
      <w:r w:rsidRPr="001E4744">
        <w:rPr>
          <w:rFonts w:asciiTheme="majorBidi" w:hAnsiTheme="majorBidi" w:cstheme="majorBidi"/>
          <w:sz w:val="20"/>
          <w:szCs w:val="20"/>
          <w:lang w:val="en-US"/>
        </w:rPr>
        <w:t xml:space="preserve">Corporate ownership around the world. </w:t>
      </w:r>
      <w:r w:rsidRPr="001E4744">
        <w:rPr>
          <w:rFonts w:asciiTheme="majorBidi" w:hAnsiTheme="majorBidi" w:cstheme="majorBidi"/>
          <w:sz w:val="20"/>
          <w:szCs w:val="20"/>
        </w:rPr>
        <w:t>Journal of Finance 54, 471–517.</w:t>
      </w:r>
    </w:p>
    <w:p w:rsidR="001E4744" w:rsidRPr="001E4744" w:rsidRDefault="001E4744" w:rsidP="004678EB">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pPr>
      <w:r w:rsidRPr="001E4744">
        <w:rPr>
          <w:rFonts w:asciiTheme="majorBidi" w:hAnsiTheme="majorBidi" w:cstheme="majorBidi"/>
          <w:sz w:val="20"/>
          <w:szCs w:val="20"/>
        </w:rPr>
        <w:t>Le maux, J.</w:t>
      </w:r>
      <w:r w:rsidR="004678EB">
        <w:rPr>
          <w:rFonts w:asciiTheme="majorBidi" w:hAnsiTheme="majorBidi" w:cstheme="majorBidi"/>
          <w:sz w:val="20"/>
          <w:szCs w:val="20"/>
        </w:rPr>
        <w:t xml:space="preserve"> (</w:t>
      </w:r>
      <w:r w:rsidRPr="001E4744">
        <w:rPr>
          <w:rFonts w:asciiTheme="majorBidi" w:hAnsiTheme="majorBidi" w:cstheme="majorBidi"/>
          <w:sz w:val="20"/>
          <w:szCs w:val="20"/>
        </w:rPr>
        <w:t>2004</w:t>
      </w:r>
      <w:r w:rsidR="004678EB">
        <w:rPr>
          <w:rFonts w:asciiTheme="majorBidi" w:hAnsiTheme="majorBidi" w:cstheme="majorBidi"/>
          <w:sz w:val="20"/>
          <w:szCs w:val="20"/>
        </w:rPr>
        <w:t>)</w:t>
      </w:r>
      <w:r w:rsidRPr="001E4744">
        <w:rPr>
          <w:rFonts w:asciiTheme="majorBidi" w:hAnsiTheme="majorBidi" w:cstheme="majorBidi"/>
          <w:sz w:val="20"/>
          <w:szCs w:val="20"/>
        </w:rPr>
        <w:t>.</w:t>
      </w:r>
      <w:r w:rsidR="004678EB">
        <w:rPr>
          <w:rFonts w:asciiTheme="majorBidi" w:hAnsiTheme="majorBidi" w:cstheme="majorBidi"/>
          <w:sz w:val="20"/>
          <w:szCs w:val="20"/>
        </w:rPr>
        <w:t xml:space="preserve"> </w:t>
      </w:r>
      <w:r w:rsidRPr="001E4744">
        <w:rPr>
          <w:rFonts w:asciiTheme="majorBidi" w:hAnsiTheme="majorBidi" w:cstheme="majorBidi"/>
          <w:sz w:val="20"/>
          <w:szCs w:val="20"/>
        </w:rPr>
        <w:t>Les déterminants de l’ampleur des bénéfices privés un test sur données, Finance Contrôle Stratégie 7(2), 195 – 231.</w:t>
      </w:r>
    </w:p>
    <w:p w:rsidR="001E4744" w:rsidRPr="001E4744" w:rsidRDefault="001E4744" w:rsidP="00DB6E32">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1E4744">
        <w:rPr>
          <w:rFonts w:asciiTheme="majorBidi" w:hAnsiTheme="majorBidi" w:cstheme="majorBidi"/>
          <w:color w:val="000000"/>
          <w:sz w:val="20"/>
          <w:szCs w:val="20"/>
          <w:lang w:val="en-US"/>
        </w:rPr>
        <w:t>Masulis</w:t>
      </w:r>
      <w:proofErr w:type="spellEnd"/>
      <w:r w:rsidRPr="001E4744">
        <w:rPr>
          <w:rFonts w:asciiTheme="majorBidi" w:hAnsiTheme="majorBidi" w:cstheme="majorBidi"/>
          <w:color w:val="000000"/>
          <w:sz w:val="20"/>
          <w:szCs w:val="20"/>
          <w:lang w:val="en-US"/>
        </w:rPr>
        <w:t xml:space="preserve">, R., Wang, C. &amp; </w:t>
      </w:r>
      <w:proofErr w:type="spellStart"/>
      <w:r w:rsidRPr="001E4744">
        <w:rPr>
          <w:rFonts w:asciiTheme="majorBidi" w:hAnsiTheme="majorBidi" w:cstheme="majorBidi"/>
          <w:color w:val="000000"/>
          <w:sz w:val="20"/>
          <w:szCs w:val="20"/>
          <w:lang w:val="en-US"/>
        </w:rPr>
        <w:t>Xie</w:t>
      </w:r>
      <w:proofErr w:type="spellEnd"/>
      <w:r w:rsidRPr="001E4744">
        <w:rPr>
          <w:rFonts w:asciiTheme="majorBidi" w:hAnsiTheme="majorBidi" w:cstheme="majorBidi"/>
          <w:color w:val="000000"/>
          <w:sz w:val="20"/>
          <w:szCs w:val="20"/>
          <w:lang w:val="en-US"/>
        </w:rPr>
        <w:t>, F. (2009). Agency Problems at Dual-Class Co</w:t>
      </w:r>
      <w:r w:rsidR="00DB6E32">
        <w:rPr>
          <w:rFonts w:asciiTheme="majorBidi" w:hAnsiTheme="majorBidi" w:cstheme="majorBidi"/>
          <w:color w:val="000000"/>
          <w:sz w:val="20"/>
          <w:szCs w:val="20"/>
          <w:lang w:val="en-US"/>
        </w:rPr>
        <w:t xml:space="preserve">mpanies. Journal of Finance, 64, </w:t>
      </w:r>
      <w:r w:rsidRPr="001E4744">
        <w:rPr>
          <w:rFonts w:asciiTheme="majorBidi" w:hAnsiTheme="majorBidi" w:cstheme="majorBidi"/>
          <w:color w:val="000000"/>
          <w:sz w:val="20"/>
          <w:szCs w:val="20"/>
          <w:lang w:val="en-US"/>
        </w:rPr>
        <w:t xml:space="preserve">1697-1728. </w:t>
      </w:r>
    </w:p>
    <w:p w:rsidR="001E4744" w:rsidRPr="007549A1" w:rsidRDefault="001E4744" w:rsidP="00D17490">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GB"/>
        </w:rPr>
      </w:pPr>
      <w:r w:rsidRPr="001E4744">
        <w:rPr>
          <w:rFonts w:asciiTheme="majorBidi" w:hAnsiTheme="majorBidi" w:cstheme="majorBidi"/>
          <w:sz w:val="20"/>
          <w:szCs w:val="20"/>
          <w:lang w:val="en-US"/>
        </w:rPr>
        <w:t xml:space="preserve">Maury, C.B. &amp; </w:t>
      </w:r>
      <w:proofErr w:type="spellStart"/>
      <w:r w:rsidRPr="001E4744">
        <w:rPr>
          <w:rFonts w:asciiTheme="majorBidi" w:hAnsiTheme="majorBidi" w:cstheme="majorBidi"/>
          <w:sz w:val="20"/>
          <w:szCs w:val="20"/>
          <w:lang w:val="en-US"/>
        </w:rPr>
        <w:t>Pajuste</w:t>
      </w:r>
      <w:proofErr w:type="spellEnd"/>
      <w:r w:rsidRPr="001E4744">
        <w:rPr>
          <w:rFonts w:asciiTheme="majorBidi" w:hAnsiTheme="majorBidi" w:cstheme="majorBidi"/>
          <w:sz w:val="20"/>
          <w:szCs w:val="20"/>
          <w:lang w:val="en-US"/>
        </w:rPr>
        <w:t>, A. (2002). Controlling Shareholders, Agency Problems, and Dividend Policy in Finland. The Finnish Journal of Business Economics, 51, 15-45.</w:t>
      </w:r>
    </w:p>
    <w:p w:rsidR="007549A1" w:rsidRPr="004678EB" w:rsidRDefault="007549A1" w:rsidP="00D17490">
      <w:pPr>
        <w:numPr>
          <w:ilvl w:val="0"/>
          <w:numId w:val="10"/>
        </w:numPr>
        <w:autoSpaceDE w:val="0"/>
        <w:autoSpaceDN w:val="0"/>
        <w:adjustRightInd w:val="0"/>
        <w:spacing w:before="120" w:after="0" w:line="240" w:lineRule="auto"/>
        <w:ind w:left="284" w:hanging="284"/>
        <w:jc w:val="both"/>
        <w:rPr>
          <w:rFonts w:asciiTheme="majorBidi" w:hAnsiTheme="majorBidi" w:cstheme="majorBidi"/>
          <w:sz w:val="20"/>
          <w:szCs w:val="20"/>
          <w:u w:val="single"/>
          <w:lang w:val="en-US"/>
        </w:rPr>
      </w:pPr>
      <w:r w:rsidRPr="007549A1">
        <w:rPr>
          <w:rFonts w:asciiTheme="majorBidi" w:hAnsiTheme="majorBidi" w:cstheme="majorBidi"/>
          <w:sz w:val="20"/>
          <w:szCs w:val="20"/>
          <w:lang w:val="en-US"/>
        </w:rPr>
        <w:lastRenderedPageBreak/>
        <w:t>Maury</w:t>
      </w:r>
      <w:r w:rsidR="00DB6E32">
        <w:rPr>
          <w:rFonts w:asciiTheme="majorBidi" w:hAnsiTheme="majorBidi" w:cstheme="majorBidi"/>
          <w:sz w:val="20"/>
          <w:szCs w:val="20"/>
          <w:lang w:val="en-US"/>
        </w:rPr>
        <w:t>,</w:t>
      </w:r>
      <w:r w:rsidRPr="007549A1">
        <w:rPr>
          <w:rFonts w:asciiTheme="majorBidi" w:hAnsiTheme="majorBidi" w:cstheme="majorBidi"/>
          <w:sz w:val="20"/>
          <w:szCs w:val="20"/>
          <w:lang w:val="en-US"/>
        </w:rPr>
        <w:t xml:space="preserve"> </w:t>
      </w:r>
      <w:r w:rsidR="00DB6E32">
        <w:rPr>
          <w:rFonts w:asciiTheme="majorBidi" w:hAnsiTheme="majorBidi" w:cstheme="majorBidi"/>
          <w:sz w:val="20"/>
          <w:szCs w:val="20"/>
          <w:lang w:val="en-US"/>
        </w:rPr>
        <w:t>C.</w:t>
      </w:r>
      <w:r w:rsidRPr="007549A1">
        <w:rPr>
          <w:rFonts w:asciiTheme="majorBidi" w:hAnsiTheme="majorBidi" w:cstheme="majorBidi"/>
          <w:sz w:val="20"/>
          <w:szCs w:val="20"/>
          <w:lang w:val="en-US"/>
        </w:rPr>
        <w:t xml:space="preserve">B. </w:t>
      </w:r>
      <w:r w:rsidR="00D17490">
        <w:rPr>
          <w:rFonts w:asciiTheme="majorBidi" w:hAnsiTheme="majorBidi" w:cstheme="majorBidi"/>
          <w:sz w:val="20"/>
          <w:szCs w:val="20"/>
          <w:lang w:val="en-US"/>
        </w:rPr>
        <w:t>&amp;</w:t>
      </w:r>
      <w:r w:rsidRPr="007549A1">
        <w:rPr>
          <w:rFonts w:asciiTheme="majorBidi" w:hAnsiTheme="majorBidi" w:cstheme="majorBidi"/>
          <w:sz w:val="20"/>
          <w:szCs w:val="20"/>
          <w:lang w:val="en-US"/>
        </w:rPr>
        <w:t xml:space="preserve"> </w:t>
      </w:r>
      <w:proofErr w:type="spellStart"/>
      <w:r w:rsidRPr="007549A1">
        <w:rPr>
          <w:rFonts w:asciiTheme="majorBidi" w:hAnsiTheme="majorBidi" w:cstheme="majorBidi"/>
          <w:sz w:val="20"/>
          <w:szCs w:val="20"/>
          <w:lang w:val="en-US"/>
        </w:rPr>
        <w:t>Pajuste</w:t>
      </w:r>
      <w:proofErr w:type="spellEnd"/>
      <w:r w:rsidRPr="007549A1">
        <w:rPr>
          <w:rFonts w:asciiTheme="majorBidi" w:hAnsiTheme="majorBidi" w:cstheme="majorBidi"/>
          <w:sz w:val="20"/>
          <w:szCs w:val="20"/>
          <w:lang w:val="en-US"/>
        </w:rPr>
        <w:t xml:space="preserve"> A.</w:t>
      </w:r>
      <w:r w:rsidR="004678EB">
        <w:rPr>
          <w:rFonts w:asciiTheme="majorBidi" w:hAnsiTheme="majorBidi" w:cstheme="majorBidi"/>
          <w:sz w:val="20"/>
          <w:szCs w:val="20"/>
          <w:lang w:val="en-US"/>
        </w:rPr>
        <w:t xml:space="preserve"> (</w:t>
      </w:r>
      <w:r w:rsidRPr="007549A1">
        <w:rPr>
          <w:rFonts w:asciiTheme="majorBidi" w:hAnsiTheme="majorBidi" w:cstheme="majorBidi"/>
          <w:sz w:val="20"/>
          <w:szCs w:val="20"/>
          <w:lang w:val="en-US"/>
        </w:rPr>
        <w:t>2005</w:t>
      </w:r>
      <w:r w:rsidR="004678EB">
        <w:rPr>
          <w:rFonts w:asciiTheme="majorBidi" w:hAnsiTheme="majorBidi" w:cstheme="majorBidi"/>
          <w:sz w:val="20"/>
          <w:szCs w:val="20"/>
          <w:lang w:val="en-US"/>
        </w:rPr>
        <w:t xml:space="preserve">). </w:t>
      </w:r>
      <w:r w:rsidRPr="007549A1">
        <w:rPr>
          <w:rFonts w:asciiTheme="majorBidi" w:hAnsiTheme="majorBidi" w:cstheme="majorBidi"/>
          <w:sz w:val="20"/>
          <w:szCs w:val="20"/>
          <w:lang w:val="en-US"/>
        </w:rPr>
        <w:t>Multiple Controlling Shareholders and Firm Value</w:t>
      </w:r>
      <w:r w:rsidR="004678EB">
        <w:rPr>
          <w:rFonts w:asciiTheme="majorBidi" w:hAnsiTheme="majorBidi" w:cstheme="majorBidi"/>
          <w:sz w:val="20"/>
          <w:szCs w:val="20"/>
          <w:lang w:val="en-US"/>
        </w:rPr>
        <w:t xml:space="preserve">. </w:t>
      </w:r>
      <w:r w:rsidRPr="004678EB">
        <w:rPr>
          <w:rFonts w:asciiTheme="majorBidi" w:hAnsiTheme="majorBidi" w:cstheme="majorBidi"/>
          <w:sz w:val="20"/>
          <w:szCs w:val="20"/>
          <w:lang w:val="en-US"/>
        </w:rPr>
        <w:t>Journal of Banking and Finance, 29, 1813-1834.</w:t>
      </w:r>
    </w:p>
    <w:p w:rsidR="001E4744" w:rsidRPr="001E4744" w:rsidRDefault="001E4744" w:rsidP="0075548D">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r w:rsidRPr="001E4744">
        <w:rPr>
          <w:rFonts w:asciiTheme="majorBidi" w:hAnsiTheme="majorBidi" w:cstheme="majorBidi"/>
          <w:sz w:val="20"/>
          <w:szCs w:val="20"/>
        </w:rPr>
        <w:t xml:space="preserve">Mc </w:t>
      </w:r>
      <w:proofErr w:type="spellStart"/>
      <w:r w:rsidRPr="001E4744">
        <w:rPr>
          <w:rFonts w:asciiTheme="majorBidi" w:hAnsiTheme="majorBidi" w:cstheme="majorBidi"/>
          <w:sz w:val="20"/>
          <w:szCs w:val="20"/>
        </w:rPr>
        <w:t>Connel</w:t>
      </w:r>
      <w:proofErr w:type="spellEnd"/>
      <w:r w:rsidR="00DB6E32">
        <w:rPr>
          <w:rFonts w:asciiTheme="majorBidi" w:hAnsiTheme="majorBidi" w:cstheme="majorBidi"/>
          <w:sz w:val="20"/>
          <w:szCs w:val="20"/>
        </w:rPr>
        <w:t>,</w:t>
      </w:r>
      <w:r w:rsidRPr="001E4744">
        <w:rPr>
          <w:rFonts w:asciiTheme="majorBidi" w:hAnsiTheme="majorBidi" w:cstheme="majorBidi"/>
          <w:sz w:val="20"/>
          <w:szCs w:val="20"/>
        </w:rPr>
        <w:t xml:space="preserve"> J.J</w:t>
      </w:r>
      <w:r w:rsidR="00DB6E32">
        <w:rPr>
          <w:rFonts w:asciiTheme="majorBidi" w:hAnsiTheme="majorBidi" w:cstheme="majorBidi"/>
          <w:sz w:val="20"/>
          <w:szCs w:val="20"/>
        </w:rPr>
        <w:t>.</w:t>
      </w:r>
      <w:r w:rsidRPr="001E4744">
        <w:rPr>
          <w:rFonts w:asciiTheme="majorBidi" w:hAnsiTheme="majorBidi" w:cstheme="majorBidi"/>
          <w:sz w:val="20"/>
          <w:szCs w:val="20"/>
        </w:rPr>
        <w:t xml:space="preserve"> &amp; </w:t>
      </w:r>
      <w:proofErr w:type="spellStart"/>
      <w:r w:rsidRPr="001E4744">
        <w:rPr>
          <w:rFonts w:asciiTheme="majorBidi" w:hAnsiTheme="majorBidi" w:cstheme="majorBidi"/>
          <w:sz w:val="20"/>
          <w:szCs w:val="20"/>
        </w:rPr>
        <w:t>Servaes</w:t>
      </w:r>
      <w:proofErr w:type="spellEnd"/>
      <w:r w:rsidR="00DB6E32">
        <w:rPr>
          <w:rFonts w:asciiTheme="majorBidi" w:hAnsiTheme="majorBidi" w:cstheme="majorBidi"/>
          <w:sz w:val="20"/>
          <w:szCs w:val="20"/>
        </w:rPr>
        <w:t>,</w:t>
      </w:r>
      <w:r w:rsidRPr="001E4744">
        <w:rPr>
          <w:rFonts w:asciiTheme="majorBidi" w:hAnsiTheme="majorBidi" w:cstheme="majorBidi"/>
          <w:sz w:val="20"/>
          <w:szCs w:val="20"/>
        </w:rPr>
        <w:t xml:space="preserve"> H. (1990). </w:t>
      </w:r>
      <w:r w:rsidRPr="001E4744">
        <w:rPr>
          <w:rFonts w:asciiTheme="majorBidi" w:hAnsiTheme="majorBidi" w:cstheme="majorBidi"/>
          <w:sz w:val="20"/>
          <w:szCs w:val="20"/>
          <w:lang w:val="en-GB"/>
        </w:rPr>
        <w:t>Additional evidence on equity ownership and corporate value. Journal of Financial Economics, 27, 595-612.</w:t>
      </w:r>
    </w:p>
    <w:p w:rsidR="001E4744" w:rsidRPr="00327AA9" w:rsidRDefault="001E4744" w:rsidP="00DB6E32">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lang w:val="en-US"/>
        </w:rPr>
      </w:pPr>
      <w:proofErr w:type="spellStart"/>
      <w:r w:rsidRPr="001E4744">
        <w:rPr>
          <w:rFonts w:asciiTheme="majorBidi" w:hAnsiTheme="majorBidi" w:cstheme="majorBidi"/>
          <w:sz w:val="20"/>
          <w:szCs w:val="20"/>
          <w:lang w:val="en-US"/>
        </w:rPr>
        <w:t>Morck</w:t>
      </w:r>
      <w:proofErr w:type="spellEnd"/>
      <w:r w:rsidRPr="001E4744">
        <w:rPr>
          <w:rFonts w:asciiTheme="majorBidi" w:hAnsiTheme="majorBidi" w:cstheme="majorBidi"/>
          <w:sz w:val="20"/>
          <w:szCs w:val="20"/>
          <w:lang w:val="en-US"/>
        </w:rPr>
        <w:t xml:space="preserve">, R., A. </w:t>
      </w:r>
      <w:proofErr w:type="spellStart"/>
      <w:r w:rsidRPr="001E4744">
        <w:rPr>
          <w:rFonts w:asciiTheme="majorBidi" w:hAnsiTheme="majorBidi" w:cstheme="majorBidi"/>
          <w:sz w:val="20"/>
          <w:szCs w:val="20"/>
          <w:lang w:val="en-US"/>
        </w:rPr>
        <w:t>Shleifer</w:t>
      </w:r>
      <w:proofErr w:type="spellEnd"/>
      <w:r w:rsidRPr="001E4744">
        <w:rPr>
          <w:rFonts w:asciiTheme="majorBidi" w:hAnsiTheme="majorBidi" w:cstheme="majorBidi"/>
          <w:sz w:val="20"/>
          <w:szCs w:val="20"/>
          <w:lang w:val="en-US"/>
        </w:rPr>
        <w:t xml:space="preserve">, </w:t>
      </w:r>
      <w:r w:rsidR="00DB6E32">
        <w:rPr>
          <w:rFonts w:asciiTheme="majorBidi" w:hAnsiTheme="majorBidi" w:cstheme="majorBidi"/>
          <w:sz w:val="20"/>
          <w:szCs w:val="20"/>
          <w:lang w:val="en-US"/>
        </w:rPr>
        <w:t>&amp;</w:t>
      </w:r>
      <w:r w:rsidRPr="001E4744">
        <w:rPr>
          <w:rFonts w:asciiTheme="majorBidi" w:hAnsiTheme="majorBidi" w:cstheme="majorBidi"/>
          <w:sz w:val="20"/>
          <w:szCs w:val="20"/>
          <w:lang w:val="en-US"/>
        </w:rPr>
        <w:t xml:space="preserve"> R. </w:t>
      </w:r>
      <w:proofErr w:type="spellStart"/>
      <w:r w:rsidRPr="001E4744">
        <w:rPr>
          <w:rFonts w:asciiTheme="majorBidi" w:hAnsiTheme="majorBidi" w:cstheme="majorBidi"/>
          <w:sz w:val="20"/>
          <w:szCs w:val="20"/>
          <w:lang w:val="en-US"/>
        </w:rPr>
        <w:t>Vishny</w:t>
      </w:r>
      <w:proofErr w:type="spellEnd"/>
      <w:r w:rsidRPr="001E4744">
        <w:rPr>
          <w:rFonts w:asciiTheme="majorBidi" w:hAnsiTheme="majorBidi" w:cstheme="majorBidi"/>
          <w:sz w:val="20"/>
          <w:szCs w:val="20"/>
          <w:lang w:val="en-US"/>
        </w:rPr>
        <w:t xml:space="preserve"> (1988)</w:t>
      </w:r>
      <w:r w:rsidR="004678EB">
        <w:rPr>
          <w:rFonts w:asciiTheme="majorBidi" w:hAnsiTheme="majorBidi" w:cstheme="majorBidi"/>
          <w:sz w:val="20"/>
          <w:szCs w:val="20"/>
          <w:lang w:val="en-US"/>
        </w:rPr>
        <w:t xml:space="preserve">. </w:t>
      </w:r>
      <w:r w:rsidRPr="001E4744">
        <w:rPr>
          <w:rFonts w:asciiTheme="majorBidi" w:hAnsiTheme="majorBidi" w:cstheme="majorBidi"/>
          <w:sz w:val="20"/>
          <w:szCs w:val="20"/>
          <w:lang w:val="en-US"/>
        </w:rPr>
        <w:t>Management ownership and market valuation</w:t>
      </w:r>
      <w:r w:rsidR="004678EB">
        <w:rPr>
          <w:rFonts w:asciiTheme="majorBidi" w:hAnsiTheme="majorBidi" w:cstheme="majorBidi"/>
          <w:sz w:val="20"/>
          <w:szCs w:val="20"/>
          <w:lang w:val="en-US"/>
        </w:rPr>
        <w:t xml:space="preserve">. </w:t>
      </w:r>
      <w:r w:rsidRPr="001E4744">
        <w:rPr>
          <w:rFonts w:asciiTheme="majorBidi" w:hAnsiTheme="majorBidi" w:cstheme="majorBidi"/>
          <w:sz w:val="20"/>
          <w:szCs w:val="20"/>
          <w:lang w:val="en-US"/>
        </w:rPr>
        <w:t>Journal of Financial Economics, 20, 293-315.</w:t>
      </w:r>
    </w:p>
    <w:p w:rsidR="00327AA9" w:rsidRPr="00B51D44" w:rsidRDefault="00327AA9" w:rsidP="004678EB">
      <w:pPr>
        <w:numPr>
          <w:ilvl w:val="0"/>
          <w:numId w:val="10"/>
        </w:numPr>
        <w:autoSpaceDE w:val="0"/>
        <w:autoSpaceDN w:val="0"/>
        <w:adjustRightInd w:val="0"/>
        <w:spacing w:before="120" w:after="0" w:line="240" w:lineRule="auto"/>
        <w:ind w:left="284" w:hanging="284"/>
        <w:jc w:val="both"/>
        <w:rPr>
          <w:rFonts w:asciiTheme="majorBidi" w:hAnsiTheme="majorBidi" w:cstheme="majorBidi"/>
          <w:color w:val="000000"/>
          <w:sz w:val="20"/>
          <w:szCs w:val="20"/>
          <w:lang w:val="en-GB"/>
        </w:rPr>
      </w:pPr>
      <w:r w:rsidRPr="00B51D44">
        <w:rPr>
          <w:rFonts w:asciiTheme="majorBidi" w:hAnsiTheme="majorBidi" w:cstheme="majorBidi"/>
          <w:color w:val="000000"/>
          <w:sz w:val="20"/>
          <w:szCs w:val="20"/>
          <w:lang w:val="en-GB"/>
        </w:rPr>
        <w:t>Mueller</w:t>
      </w:r>
      <w:r w:rsidR="00DB6E32">
        <w:rPr>
          <w:rFonts w:asciiTheme="majorBidi" w:hAnsiTheme="majorBidi" w:cstheme="majorBidi"/>
          <w:color w:val="000000"/>
          <w:sz w:val="20"/>
          <w:szCs w:val="20"/>
          <w:lang w:val="en-GB"/>
        </w:rPr>
        <w:t>,</w:t>
      </w:r>
      <w:r w:rsidRPr="00B51D44">
        <w:rPr>
          <w:rFonts w:asciiTheme="majorBidi" w:hAnsiTheme="majorBidi" w:cstheme="majorBidi"/>
          <w:color w:val="000000"/>
          <w:sz w:val="20"/>
          <w:szCs w:val="20"/>
          <w:lang w:val="en-GB"/>
        </w:rPr>
        <w:t xml:space="preserve"> E.</w:t>
      </w:r>
      <w:r w:rsidR="004678EB">
        <w:rPr>
          <w:rFonts w:asciiTheme="majorBidi" w:hAnsiTheme="majorBidi" w:cstheme="majorBidi"/>
          <w:color w:val="000000"/>
          <w:sz w:val="20"/>
          <w:szCs w:val="20"/>
          <w:lang w:val="en-GB"/>
        </w:rPr>
        <w:t xml:space="preserve"> (</w:t>
      </w:r>
      <w:r w:rsidRPr="00B51D44">
        <w:rPr>
          <w:rFonts w:asciiTheme="majorBidi" w:hAnsiTheme="majorBidi" w:cstheme="majorBidi"/>
          <w:color w:val="000000"/>
          <w:sz w:val="20"/>
          <w:szCs w:val="20"/>
          <w:lang w:val="en-GB"/>
        </w:rPr>
        <w:t>2008</w:t>
      </w:r>
      <w:r w:rsidR="004678EB">
        <w:rPr>
          <w:rFonts w:asciiTheme="majorBidi" w:hAnsiTheme="majorBidi" w:cstheme="majorBidi"/>
          <w:color w:val="000000"/>
          <w:sz w:val="20"/>
          <w:szCs w:val="20"/>
          <w:lang w:val="en-GB"/>
        </w:rPr>
        <w:t xml:space="preserve">). </w:t>
      </w:r>
      <w:r w:rsidRPr="00B51D44">
        <w:rPr>
          <w:rFonts w:asciiTheme="majorBidi" w:hAnsiTheme="majorBidi" w:cstheme="majorBidi"/>
          <w:color w:val="000000"/>
          <w:sz w:val="20"/>
          <w:szCs w:val="20"/>
          <w:lang w:val="en-GB"/>
        </w:rPr>
        <w:t>Benefits of control, capital structure and company growth</w:t>
      </w:r>
      <w:r w:rsidR="004678EB">
        <w:rPr>
          <w:rFonts w:asciiTheme="majorBidi" w:hAnsiTheme="majorBidi" w:cstheme="majorBidi"/>
          <w:color w:val="000000"/>
          <w:sz w:val="20"/>
          <w:szCs w:val="20"/>
          <w:lang w:val="en-GB"/>
        </w:rPr>
        <w:t xml:space="preserve">. </w:t>
      </w:r>
      <w:r w:rsidRPr="00B51D44">
        <w:rPr>
          <w:rFonts w:asciiTheme="majorBidi" w:hAnsiTheme="majorBidi" w:cstheme="majorBidi"/>
          <w:color w:val="000000"/>
          <w:sz w:val="20"/>
          <w:szCs w:val="20"/>
          <w:lang w:val="en-GB"/>
        </w:rPr>
        <w:t>Taylor and Francis Journals, 40, 2721-2734.</w:t>
      </w:r>
    </w:p>
    <w:p w:rsidR="001E4744" w:rsidRPr="001E4744" w:rsidRDefault="001E4744" w:rsidP="0075548D">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bCs/>
          <w:color w:val="000000"/>
          <w:sz w:val="20"/>
          <w:szCs w:val="20"/>
          <w:lang w:val="en-US"/>
        </w:rPr>
      </w:pPr>
      <w:r w:rsidRPr="001E4744">
        <w:rPr>
          <w:rFonts w:asciiTheme="majorBidi" w:hAnsiTheme="majorBidi" w:cstheme="majorBidi"/>
          <w:color w:val="000000"/>
          <w:sz w:val="20"/>
          <w:szCs w:val="20"/>
          <w:lang w:val="en-US"/>
        </w:rPr>
        <w:t xml:space="preserve">Myers, S.C., &amp; </w:t>
      </w:r>
      <w:proofErr w:type="spellStart"/>
      <w:r w:rsidRPr="001E4744">
        <w:rPr>
          <w:rFonts w:asciiTheme="majorBidi" w:hAnsiTheme="majorBidi" w:cstheme="majorBidi"/>
          <w:color w:val="000000"/>
          <w:sz w:val="20"/>
          <w:szCs w:val="20"/>
          <w:lang w:val="en-US"/>
        </w:rPr>
        <w:t>Majluf</w:t>
      </w:r>
      <w:proofErr w:type="spellEnd"/>
      <w:r w:rsidRPr="001E4744">
        <w:rPr>
          <w:rFonts w:asciiTheme="majorBidi" w:hAnsiTheme="majorBidi" w:cstheme="majorBidi"/>
          <w:color w:val="000000"/>
          <w:sz w:val="20"/>
          <w:szCs w:val="20"/>
          <w:lang w:val="en-US"/>
        </w:rPr>
        <w:t>, N.S. (1984). Corporate financing &amp; investment decisi</w:t>
      </w:r>
      <w:r w:rsidR="00DB6E32">
        <w:rPr>
          <w:rFonts w:asciiTheme="majorBidi" w:hAnsiTheme="majorBidi" w:cstheme="majorBidi"/>
          <w:color w:val="000000"/>
          <w:sz w:val="20"/>
          <w:szCs w:val="20"/>
          <w:lang w:val="en-US"/>
        </w:rPr>
        <w:t xml:space="preserve">ons when firms have information </w:t>
      </w:r>
      <w:proofErr w:type="gramStart"/>
      <w:r w:rsidRPr="001E4744">
        <w:rPr>
          <w:rFonts w:asciiTheme="majorBidi" w:hAnsiTheme="majorBidi" w:cstheme="majorBidi"/>
          <w:color w:val="000000"/>
          <w:sz w:val="20"/>
          <w:szCs w:val="20"/>
          <w:lang w:val="en-US"/>
        </w:rPr>
        <w:t>that</w:t>
      </w:r>
      <w:proofErr w:type="gramEnd"/>
      <w:r w:rsidRPr="001E4744">
        <w:rPr>
          <w:rFonts w:asciiTheme="majorBidi" w:hAnsiTheme="majorBidi" w:cstheme="majorBidi"/>
          <w:color w:val="000000"/>
          <w:sz w:val="20"/>
          <w:szCs w:val="20"/>
          <w:lang w:val="en-US"/>
        </w:rPr>
        <w:t xml:space="preserve"> investors do not have. Journal of Financial Economics, 20, 187-221.</w:t>
      </w:r>
    </w:p>
    <w:p w:rsidR="001E4744" w:rsidRPr="007549A1" w:rsidRDefault="001E4744" w:rsidP="004678EB">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1E4744">
        <w:rPr>
          <w:rFonts w:asciiTheme="majorBidi" w:hAnsiTheme="majorBidi" w:cstheme="majorBidi"/>
          <w:bCs/>
          <w:color w:val="000000"/>
          <w:sz w:val="20"/>
          <w:szCs w:val="20"/>
          <w:lang w:val="en-US"/>
        </w:rPr>
        <w:t>Nenova</w:t>
      </w:r>
      <w:proofErr w:type="spellEnd"/>
      <w:r w:rsidRPr="001E4744">
        <w:rPr>
          <w:rFonts w:asciiTheme="majorBidi" w:hAnsiTheme="majorBidi" w:cstheme="majorBidi"/>
          <w:bCs/>
          <w:color w:val="000000"/>
          <w:sz w:val="20"/>
          <w:szCs w:val="20"/>
          <w:lang w:val="en-US"/>
        </w:rPr>
        <w:t>, T.</w:t>
      </w:r>
      <w:r w:rsidR="004678EB">
        <w:rPr>
          <w:rFonts w:asciiTheme="majorBidi" w:hAnsiTheme="majorBidi" w:cstheme="majorBidi"/>
          <w:bCs/>
          <w:color w:val="000000"/>
          <w:sz w:val="20"/>
          <w:szCs w:val="20"/>
          <w:lang w:val="en-US"/>
        </w:rPr>
        <w:t xml:space="preserve"> (</w:t>
      </w:r>
      <w:r w:rsidRPr="001E4744">
        <w:rPr>
          <w:rFonts w:asciiTheme="majorBidi" w:hAnsiTheme="majorBidi" w:cstheme="majorBidi"/>
          <w:bCs/>
          <w:color w:val="000000"/>
          <w:sz w:val="20"/>
          <w:szCs w:val="20"/>
          <w:lang w:val="en-US"/>
        </w:rPr>
        <w:t>2003</w:t>
      </w:r>
      <w:r w:rsidR="004678EB">
        <w:rPr>
          <w:rFonts w:asciiTheme="majorBidi" w:hAnsiTheme="majorBidi" w:cstheme="majorBidi"/>
          <w:bCs/>
          <w:color w:val="000000"/>
          <w:sz w:val="20"/>
          <w:szCs w:val="20"/>
          <w:lang w:val="en-US"/>
        </w:rPr>
        <w:t>)</w:t>
      </w:r>
      <w:r w:rsidRPr="001E4744">
        <w:rPr>
          <w:rFonts w:asciiTheme="majorBidi" w:hAnsiTheme="majorBidi" w:cstheme="majorBidi"/>
          <w:bCs/>
          <w:color w:val="000000"/>
          <w:sz w:val="20"/>
          <w:szCs w:val="20"/>
          <w:lang w:val="en-US"/>
        </w:rPr>
        <w:t>. The value of corporate voting rights and control: a cross-country analysis. Journal of Financial Economics 68(3), 325-351.</w:t>
      </w:r>
    </w:p>
    <w:p w:rsidR="007549A1" w:rsidRPr="004678EB" w:rsidRDefault="004678EB" w:rsidP="004678EB">
      <w:pPr>
        <w:numPr>
          <w:ilvl w:val="0"/>
          <w:numId w:val="10"/>
        </w:numPr>
        <w:autoSpaceDE w:val="0"/>
        <w:autoSpaceDN w:val="0"/>
        <w:adjustRightInd w:val="0"/>
        <w:spacing w:before="120" w:after="0" w:line="240" w:lineRule="auto"/>
        <w:ind w:left="284" w:hanging="284"/>
        <w:jc w:val="both"/>
        <w:rPr>
          <w:rFonts w:asciiTheme="majorBidi" w:hAnsiTheme="majorBidi" w:cstheme="majorBidi"/>
          <w:sz w:val="20"/>
          <w:szCs w:val="20"/>
          <w:lang w:val="en-GB"/>
        </w:rPr>
      </w:pPr>
      <w:proofErr w:type="spellStart"/>
      <w:r>
        <w:rPr>
          <w:rFonts w:asciiTheme="majorBidi" w:hAnsiTheme="majorBidi" w:cstheme="majorBidi"/>
          <w:sz w:val="20"/>
          <w:szCs w:val="20"/>
          <w:lang w:val="en-GB"/>
        </w:rPr>
        <w:t>Nicodano</w:t>
      </w:r>
      <w:proofErr w:type="spellEnd"/>
      <w:r w:rsidR="00DB6E32">
        <w:rPr>
          <w:rFonts w:asciiTheme="majorBidi" w:hAnsiTheme="majorBidi" w:cstheme="majorBidi"/>
          <w:sz w:val="20"/>
          <w:szCs w:val="20"/>
          <w:lang w:val="en-GB"/>
        </w:rPr>
        <w:t>,</w:t>
      </w:r>
      <w:r>
        <w:rPr>
          <w:rFonts w:asciiTheme="majorBidi" w:hAnsiTheme="majorBidi" w:cstheme="majorBidi"/>
          <w:sz w:val="20"/>
          <w:szCs w:val="20"/>
          <w:lang w:val="en-GB"/>
        </w:rPr>
        <w:t xml:space="preserve"> G.</w:t>
      </w:r>
      <w:r w:rsidR="007549A1" w:rsidRPr="007549A1">
        <w:rPr>
          <w:rFonts w:asciiTheme="majorBidi" w:hAnsiTheme="majorBidi" w:cstheme="majorBidi"/>
          <w:sz w:val="20"/>
          <w:szCs w:val="20"/>
          <w:lang w:val="en-GB"/>
        </w:rPr>
        <w:t xml:space="preserve"> </w:t>
      </w:r>
      <w:r>
        <w:rPr>
          <w:rFonts w:asciiTheme="majorBidi" w:hAnsiTheme="majorBidi" w:cstheme="majorBidi"/>
          <w:sz w:val="20"/>
          <w:szCs w:val="20"/>
          <w:lang w:val="en-US"/>
        </w:rPr>
        <w:t>&amp;</w:t>
      </w:r>
      <w:r w:rsidR="007549A1" w:rsidRPr="007549A1">
        <w:rPr>
          <w:rFonts w:asciiTheme="majorBidi" w:hAnsiTheme="majorBidi" w:cstheme="majorBidi"/>
          <w:sz w:val="20"/>
          <w:szCs w:val="20"/>
          <w:lang w:val="en-US"/>
        </w:rPr>
        <w:t xml:space="preserve"> </w:t>
      </w:r>
      <w:proofErr w:type="spellStart"/>
      <w:r w:rsidR="007549A1" w:rsidRPr="007549A1">
        <w:rPr>
          <w:rFonts w:asciiTheme="majorBidi" w:hAnsiTheme="majorBidi" w:cstheme="majorBidi"/>
          <w:sz w:val="20"/>
          <w:szCs w:val="20"/>
          <w:lang w:val="en-US"/>
        </w:rPr>
        <w:t>Sembenelli</w:t>
      </w:r>
      <w:proofErr w:type="spellEnd"/>
      <w:r>
        <w:rPr>
          <w:rFonts w:asciiTheme="majorBidi" w:hAnsiTheme="majorBidi" w:cstheme="majorBidi"/>
          <w:sz w:val="20"/>
          <w:szCs w:val="20"/>
          <w:lang w:val="en-US"/>
        </w:rPr>
        <w:t>, A. (</w:t>
      </w:r>
      <w:r w:rsidR="007549A1" w:rsidRPr="007549A1">
        <w:rPr>
          <w:rFonts w:asciiTheme="majorBidi" w:hAnsiTheme="majorBidi" w:cstheme="majorBidi"/>
          <w:sz w:val="20"/>
          <w:szCs w:val="20"/>
          <w:lang w:val="en-GB"/>
        </w:rPr>
        <w:t>2004</w:t>
      </w:r>
      <w:r>
        <w:rPr>
          <w:rFonts w:asciiTheme="majorBidi" w:hAnsiTheme="majorBidi" w:cstheme="majorBidi"/>
          <w:sz w:val="20"/>
          <w:szCs w:val="20"/>
          <w:lang w:val="en-GB"/>
        </w:rPr>
        <w:t xml:space="preserve">). </w:t>
      </w:r>
      <w:r w:rsidR="007549A1" w:rsidRPr="007549A1">
        <w:rPr>
          <w:rFonts w:asciiTheme="majorBidi" w:hAnsiTheme="majorBidi" w:cstheme="majorBidi"/>
          <w:sz w:val="20"/>
          <w:szCs w:val="20"/>
          <w:lang w:val="en-GB"/>
        </w:rPr>
        <w:t xml:space="preserve">Private </w:t>
      </w:r>
      <w:r w:rsidR="00DB6E32">
        <w:rPr>
          <w:rFonts w:asciiTheme="majorBidi" w:hAnsiTheme="majorBidi" w:cstheme="majorBidi"/>
          <w:sz w:val="20"/>
          <w:szCs w:val="20"/>
          <w:lang w:val="en-GB"/>
        </w:rPr>
        <w:t>benefits</w:t>
      </w:r>
      <w:r w:rsidR="007549A1" w:rsidRPr="007549A1">
        <w:rPr>
          <w:rFonts w:asciiTheme="majorBidi" w:hAnsiTheme="majorBidi" w:cstheme="majorBidi"/>
          <w:sz w:val="20"/>
          <w:szCs w:val="20"/>
          <w:lang w:val="en-GB"/>
        </w:rPr>
        <w:t xml:space="preserve"> block transaction</w:t>
      </w:r>
      <w:r>
        <w:rPr>
          <w:rFonts w:asciiTheme="majorBidi" w:hAnsiTheme="majorBidi" w:cstheme="majorBidi"/>
          <w:sz w:val="20"/>
          <w:szCs w:val="20"/>
          <w:lang w:val="en-GB"/>
        </w:rPr>
        <w:t xml:space="preserve"> premiums</w:t>
      </w:r>
      <w:r w:rsidR="007549A1" w:rsidRPr="007549A1">
        <w:rPr>
          <w:rFonts w:asciiTheme="majorBidi" w:hAnsiTheme="majorBidi" w:cstheme="majorBidi"/>
          <w:sz w:val="20"/>
          <w:szCs w:val="20"/>
          <w:lang w:val="en-GB"/>
        </w:rPr>
        <w:t xml:space="preserve"> and ownership structure</w:t>
      </w:r>
      <w:r>
        <w:rPr>
          <w:rFonts w:asciiTheme="majorBidi" w:hAnsiTheme="majorBidi" w:cstheme="majorBidi"/>
          <w:sz w:val="20"/>
          <w:szCs w:val="20"/>
          <w:lang w:val="en-GB"/>
        </w:rPr>
        <w:t xml:space="preserve">. </w:t>
      </w:r>
      <w:r w:rsidR="007549A1" w:rsidRPr="004678EB">
        <w:rPr>
          <w:rFonts w:asciiTheme="majorBidi" w:hAnsiTheme="majorBidi" w:cstheme="majorBidi"/>
          <w:sz w:val="20"/>
          <w:szCs w:val="20"/>
          <w:lang w:val="en-GB"/>
        </w:rPr>
        <w:t>International Review of Financial Analysis, 13, 227-244.</w:t>
      </w:r>
    </w:p>
    <w:p w:rsidR="001E4744" w:rsidRPr="001E4744" w:rsidRDefault="001E4744" w:rsidP="0075548D">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eastAsia="Calibri" w:hAnsiTheme="majorBidi" w:cstheme="majorBidi"/>
          <w:sz w:val="20"/>
          <w:szCs w:val="20"/>
          <w:lang w:val="en-US"/>
        </w:rPr>
      </w:pPr>
      <w:proofErr w:type="spellStart"/>
      <w:r w:rsidRPr="001E4744">
        <w:rPr>
          <w:rFonts w:asciiTheme="majorBidi" w:hAnsiTheme="majorBidi" w:cstheme="majorBidi"/>
          <w:sz w:val="20"/>
          <w:szCs w:val="20"/>
          <w:lang w:val="en-US"/>
        </w:rPr>
        <w:t>Pagano</w:t>
      </w:r>
      <w:proofErr w:type="spellEnd"/>
      <w:r w:rsidRPr="001E4744">
        <w:rPr>
          <w:rFonts w:asciiTheme="majorBidi" w:hAnsiTheme="majorBidi" w:cstheme="majorBidi"/>
          <w:sz w:val="20"/>
          <w:szCs w:val="20"/>
          <w:lang w:val="en-US"/>
        </w:rPr>
        <w:t xml:space="preserve">, M., &amp; </w:t>
      </w:r>
      <w:proofErr w:type="spellStart"/>
      <w:r w:rsidRPr="001E4744">
        <w:rPr>
          <w:rFonts w:asciiTheme="majorBidi" w:hAnsiTheme="majorBidi" w:cstheme="majorBidi"/>
          <w:sz w:val="20"/>
          <w:szCs w:val="20"/>
          <w:lang w:val="en-US"/>
        </w:rPr>
        <w:t>Rôell</w:t>
      </w:r>
      <w:proofErr w:type="spellEnd"/>
      <w:r w:rsidRPr="001E4744">
        <w:rPr>
          <w:rFonts w:asciiTheme="majorBidi" w:hAnsiTheme="majorBidi" w:cstheme="majorBidi"/>
          <w:sz w:val="20"/>
          <w:szCs w:val="20"/>
          <w:lang w:val="en-US"/>
        </w:rPr>
        <w:t>, A. (1998). The choice of stock ownership structure: Agency costs, monitoring, and the decision to go public. Quarterly Journal of Economics, 113(1), 187-225.</w:t>
      </w:r>
    </w:p>
    <w:p w:rsidR="001E4744" w:rsidRPr="001E4744" w:rsidRDefault="001E4744" w:rsidP="0075548D">
      <w:pPr>
        <w:pStyle w:val="ListParagraph"/>
        <w:numPr>
          <w:ilvl w:val="0"/>
          <w:numId w:val="10"/>
        </w:numPr>
        <w:tabs>
          <w:tab w:val="left" w:pos="426"/>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1E4744">
        <w:rPr>
          <w:rFonts w:asciiTheme="majorBidi" w:eastAsia="Calibri" w:hAnsiTheme="majorBidi" w:cstheme="majorBidi"/>
          <w:sz w:val="20"/>
          <w:szCs w:val="20"/>
          <w:lang w:val="en-US"/>
        </w:rPr>
        <w:t>Renneboog</w:t>
      </w:r>
      <w:proofErr w:type="spellEnd"/>
      <w:r w:rsidRPr="001E4744">
        <w:rPr>
          <w:rFonts w:asciiTheme="majorBidi" w:eastAsia="Calibri" w:hAnsiTheme="majorBidi" w:cstheme="majorBidi"/>
          <w:sz w:val="20"/>
          <w:szCs w:val="20"/>
          <w:lang w:val="en-US"/>
        </w:rPr>
        <w:t xml:space="preserve">, L., &amp; </w:t>
      </w:r>
      <w:proofErr w:type="spellStart"/>
      <w:r w:rsidRPr="001E4744">
        <w:rPr>
          <w:rFonts w:asciiTheme="majorBidi" w:eastAsia="Calibri" w:hAnsiTheme="majorBidi" w:cstheme="majorBidi"/>
          <w:sz w:val="20"/>
          <w:szCs w:val="20"/>
          <w:lang w:val="en-US"/>
        </w:rPr>
        <w:t>Trojanowski</w:t>
      </w:r>
      <w:proofErr w:type="spellEnd"/>
      <w:r w:rsidRPr="001E4744">
        <w:rPr>
          <w:rFonts w:asciiTheme="majorBidi" w:eastAsia="Calibri" w:hAnsiTheme="majorBidi" w:cstheme="majorBidi"/>
          <w:sz w:val="20"/>
          <w:szCs w:val="20"/>
          <w:lang w:val="en-US"/>
        </w:rPr>
        <w:t>, G. (2005). Control structures and payout policy. ECGI Working Paper Series in Finance.</w:t>
      </w:r>
    </w:p>
    <w:p w:rsidR="001E4744" w:rsidRPr="001E4744" w:rsidRDefault="001E4744" w:rsidP="0075548D">
      <w:pPr>
        <w:pStyle w:val="ListParagraph"/>
        <w:numPr>
          <w:ilvl w:val="0"/>
          <w:numId w:val="10"/>
        </w:numPr>
        <w:tabs>
          <w:tab w:val="left" w:pos="0"/>
          <w:tab w:val="left" w:pos="142"/>
          <w:tab w:val="left" w:pos="426"/>
          <w:tab w:val="left" w:pos="567"/>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1E4744">
        <w:rPr>
          <w:rFonts w:ascii="TimesNewRoman" w:eastAsia="Calibri" w:hAnsi="TimesNewRoman" w:cs="TimesNewRoman"/>
          <w:sz w:val="20"/>
          <w:szCs w:val="20"/>
          <w:lang w:val="en-US"/>
        </w:rPr>
        <w:t>Renneboog</w:t>
      </w:r>
      <w:proofErr w:type="spellEnd"/>
      <w:r w:rsidRPr="001E4744">
        <w:rPr>
          <w:rFonts w:ascii="TimesNewRoman" w:eastAsia="Calibri" w:hAnsi="TimesNewRoman" w:cs="TimesNewRoman"/>
          <w:sz w:val="20"/>
          <w:szCs w:val="20"/>
          <w:lang w:val="en-US"/>
        </w:rPr>
        <w:t xml:space="preserve">, L., &amp; </w:t>
      </w:r>
      <w:proofErr w:type="spellStart"/>
      <w:r w:rsidRPr="001E4744">
        <w:rPr>
          <w:rFonts w:ascii="TimesNewRoman" w:eastAsia="Calibri" w:hAnsi="TimesNewRoman" w:cs="TimesNewRoman"/>
          <w:sz w:val="20"/>
          <w:szCs w:val="20"/>
          <w:lang w:val="en-US"/>
        </w:rPr>
        <w:t>Trojanowski</w:t>
      </w:r>
      <w:proofErr w:type="spellEnd"/>
      <w:r w:rsidRPr="001E4744">
        <w:rPr>
          <w:rFonts w:ascii="TimesNewRoman" w:eastAsia="Calibri" w:hAnsi="TimesNewRoman" w:cs="TimesNewRoman"/>
          <w:sz w:val="20"/>
          <w:szCs w:val="20"/>
          <w:lang w:val="en-US"/>
        </w:rPr>
        <w:t>, G. (2007). Control structures and payout policy</w:t>
      </w:r>
      <w:r w:rsidRPr="004678EB">
        <w:rPr>
          <w:rFonts w:ascii="TimesNewRoman" w:eastAsia="Calibri" w:hAnsi="TimesNewRoman" w:cs="TimesNewRoman"/>
          <w:sz w:val="20"/>
          <w:szCs w:val="20"/>
          <w:lang w:val="en-US"/>
        </w:rPr>
        <w:t xml:space="preserve">. </w:t>
      </w:r>
      <w:proofErr w:type="spellStart"/>
      <w:r w:rsidRPr="004678EB">
        <w:rPr>
          <w:rFonts w:ascii="TimesNewRoman,Italic" w:eastAsia="Calibri" w:hAnsi="TimesNewRoman,Italic" w:cs="TimesNewRoman,Italic"/>
          <w:sz w:val="20"/>
          <w:szCs w:val="20"/>
        </w:rPr>
        <w:t>Managerial</w:t>
      </w:r>
      <w:proofErr w:type="spellEnd"/>
      <w:r w:rsidRPr="004678EB">
        <w:rPr>
          <w:rFonts w:ascii="TimesNewRoman,Italic" w:eastAsia="Calibri" w:hAnsi="TimesNewRoman,Italic" w:cs="TimesNewRoman,Italic"/>
          <w:sz w:val="20"/>
          <w:szCs w:val="20"/>
        </w:rPr>
        <w:t xml:space="preserve"> Finance</w:t>
      </w:r>
      <w:r w:rsidRPr="004678EB">
        <w:rPr>
          <w:rFonts w:ascii="TimesNewRoman" w:eastAsia="Calibri" w:hAnsi="TimesNewRoman" w:cs="TimesNewRoman"/>
          <w:sz w:val="20"/>
          <w:szCs w:val="20"/>
        </w:rPr>
        <w:t xml:space="preserve">, </w:t>
      </w:r>
      <w:r w:rsidRPr="004678EB">
        <w:rPr>
          <w:rFonts w:ascii="TimesNewRoman,Italic" w:eastAsia="Calibri" w:hAnsi="TimesNewRoman,Italic" w:cs="TimesNewRoman,Italic"/>
          <w:sz w:val="20"/>
          <w:szCs w:val="20"/>
        </w:rPr>
        <w:t>33</w:t>
      </w:r>
      <w:r w:rsidRPr="004678EB">
        <w:rPr>
          <w:rFonts w:ascii="TimesNewRoman" w:eastAsia="Calibri" w:hAnsi="TimesNewRoman" w:cs="TimesNewRoman"/>
          <w:sz w:val="20"/>
          <w:szCs w:val="20"/>
        </w:rPr>
        <w:t>, 43-64.</w:t>
      </w:r>
    </w:p>
    <w:p w:rsidR="001E4744" w:rsidRDefault="001E4744" w:rsidP="004678EB">
      <w:pPr>
        <w:pStyle w:val="ListParagraph"/>
        <w:numPr>
          <w:ilvl w:val="0"/>
          <w:numId w:val="10"/>
        </w:numPr>
        <w:tabs>
          <w:tab w:val="left" w:pos="0"/>
          <w:tab w:val="left" w:pos="142"/>
          <w:tab w:val="left" w:pos="426"/>
          <w:tab w:val="left" w:pos="567"/>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1E4744">
        <w:rPr>
          <w:rFonts w:asciiTheme="majorBidi" w:hAnsiTheme="majorBidi" w:cstheme="majorBidi"/>
          <w:sz w:val="20"/>
          <w:szCs w:val="20"/>
          <w:lang w:val="en-US"/>
        </w:rPr>
        <w:t>Roosenboom</w:t>
      </w:r>
      <w:proofErr w:type="spellEnd"/>
      <w:r w:rsidRPr="001E4744">
        <w:rPr>
          <w:rFonts w:asciiTheme="majorBidi" w:hAnsiTheme="majorBidi" w:cstheme="majorBidi"/>
          <w:sz w:val="20"/>
          <w:szCs w:val="20"/>
          <w:lang w:val="en-US"/>
        </w:rPr>
        <w:t xml:space="preserve">, P., </w:t>
      </w:r>
      <w:r w:rsidR="00D17490">
        <w:rPr>
          <w:rFonts w:asciiTheme="majorBidi" w:hAnsiTheme="majorBidi" w:cstheme="majorBidi"/>
          <w:sz w:val="20"/>
          <w:szCs w:val="20"/>
          <w:lang w:val="en-US"/>
        </w:rPr>
        <w:t xml:space="preserve">&amp; </w:t>
      </w:r>
      <w:proofErr w:type="spellStart"/>
      <w:r w:rsidRPr="001E4744">
        <w:rPr>
          <w:rFonts w:asciiTheme="majorBidi" w:hAnsiTheme="majorBidi" w:cstheme="majorBidi"/>
          <w:sz w:val="20"/>
          <w:szCs w:val="20"/>
          <w:lang w:val="en-US"/>
        </w:rPr>
        <w:t>Schramade</w:t>
      </w:r>
      <w:proofErr w:type="spellEnd"/>
      <w:r w:rsidRPr="001E4744">
        <w:rPr>
          <w:rFonts w:asciiTheme="majorBidi" w:hAnsiTheme="majorBidi" w:cstheme="majorBidi"/>
          <w:sz w:val="20"/>
          <w:szCs w:val="20"/>
          <w:lang w:val="en-US"/>
        </w:rPr>
        <w:t>, W.</w:t>
      </w:r>
      <w:r w:rsidR="004678EB">
        <w:rPr>
          <w:rFonts w:asciiTheme="majorBidi" w:hAnsiTheme="majorBidi" w:cstheme="majorBidi"/>
          <w:sz w:val="20"/>
          <w:szCs w:val="20"/>
          <w:lang w:val="en-US"/>
        </w:rPr>
        <w:t xml:space="preserve"> (</w:t>
      </w:r>
      <w:r w:rsidRPr="001E4744">
        <w:rPr>
          <w:rFonts w:asciiTheme="majorBidi" w:hAnsiTheme="majorBidi" w:cstheme="majorBidi"/>
          <w:sz w:val="20"/>
          <w:szCs w:val="20"/>
          <w:lang w:val="en-US"/>
        </w:rPr>
        <w:t>2006</w:t>
      </w:r>
      <w:r w:rsidR="004678EB">
        <w:rPr>
          <w:rFonts w:asciiTheme="majorBidi" w:hAnsiTheme="majorBidi" w:cstheme="majorBidi"/>
          <w:sz w:val="20"/>
          <w:szCs w:val="20"/>
          <w:lang w:val="en-US"/>
        </w:rPr>
        <w:t>)</w:t>
      </w:r>
      <w:r w:rsidRPr="001E4744">
        <w:rPr>
          <w:rFonts w:asciiTheme="majorBidi" w:hAnsiTheme="majorBidi" w:cstheme="majorBidi"/>
          <w:sz w:val="20"/>
          <w:szCs w:val="20"/>
          <w:lang w:val="en-US"/>
        </w:rPr>
        <w:t>. The price of power: Valuing the controlling position of owner–managers in French IPO firms. Journal of Corporate Finance 12, 270-295.</w:t>
      </w:r>
    </w:p>
    <w:p w:rsidR="001E4744" w:rsidRPr="001E4744" w:rsidRDefault="001E4744" w:rsidP="004678EB">
      <w:pPr>
        <w:pStyle w:val="ListParagraph"/>
        <w:numPr>
          <w:ilvl w:val="0"/>
          <w:numId w:val="10"/>
        </w:numPr>
        <w:tabs>
          <w:tab w:val="left" w:pos="0"/>
          <w:tab w:val="left" w:pos="142"/>
          <w:tab w:val="left" w:pos="426"/>
          <w:tab w:val="left" w:pos="567"/>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GB"/>
        </w:rPr>
      </w:pPr>
      <w:r w:rsidRPr="001E4744">
        <w:rPr>
          <w:rFonts w:asciiTheme="majorBidi" w:hAnsiTheme="majorBidi" w:cstheme="majorBidi"/>
          <w:sz w:val="20"/>
          <w:szCs w:val="20"/>
          <w:lang w:val="en-US"/>
        </w:rPr>
        <w:t>Ross, S</w:t>
      </w:r>
      <w:r w:rsidR="004678EB">
        <w:rPr>
          <w:rFonts w:asciiTheme="majorBidi" w:hAnsiTheme="majorBidi" w:cstheme="majorBidi"/>
          <w:sz w:val="20"/>
          <w:szCs w:val="20"/>
          <w:lang w:val="en-US"/>
        </w:rPr>
        <w:t xml:space="preserve">. (1977). </w:t>
      </w:r>
      <w:r w:rsidRPr="001E4744">
        <w:rPr>
          <w:rFonts w:asciiTheme="majorBidi" w:hAnsiTheme="majorBidi" w:cstheme="majorBidi"/>
          <w:sz w:val="20"/>
          <w:szCs w:val="20"/>
          <w:lang w:val="en-US"/>
        </w:rPr>
        <w:t xml:space="preserve">The Determination of Finaicia1 </w:t>
      </w:r>
      <w:proofErr w:type="spellStart"/>
      <w:r w:rsidRPr="001E4744">
        <w:rPr>
          <w:rFonts w:asciiTheme="majorBidi" w:hAnsiTheme="majorBidi" w:cstheme="majorBidi"/>
          <w:sz w:val="20"/>
          <w:szCs w:val="20"/>
          <w:lang w:val="en-US"/>
        </w:rPr>
        <w:t>Struotutes</w:t>
      </w:r>
      <w:proofErr w:type="spellEnd"/>
      <w:r w:rsidRPr="001E4744">
        <w:rPr>
          <w:rFonts w:asciiTheme="majorBidi" w:hAnsiTheme="majorBidi" w:cstheme="majorBidi"/>
          <w:sz w:val="20"/>
          <w:szCs w:val="20"/>
          <w:lang w:val="en-US"/>
        </w:rPr>
        <w:t xml:space="preserve">: The Incentive </w:t>
      </w:r>
      <w:proofErr w:type="spellStart"/>
      <w:r w:rsidRPr="001E4744">
        <w:rPr>
          <w:rFonts w:asciiTheme="majorBidi" w:hAnsiTheme="majorBidi" w:cstheme="majorBidi"/>
          <w:sz w:val="20"/>
          <w:szCs w:val="20"/>
          <w:lang w:val="en-US"/>
        </w:rPr>
        <w:t>Signalling</w:t>
      </w:r>
      <w:proofErr w:type="spellEnd"/>
      <w:r w:rsidRPr="001E4744">
        <w:rPr>
          <w:rFonts w:asciiTheme="majorBidi" w:hAnsiTheme="majorBidi" w:cstheme="majorBidi"/>
          <w:sz w:val="20"/>
          <w:szCs w:val="20"/>
          <w:lang w:val="en-US"/>
        </w:rPr>
        <w:t xml:space="preserve"> Approach</w:t>
      </w:r>
      <w:r w:rsidR="004678EB">
        <w:rPr>
          <w:rFonts w:asciiTheme="majorBidi" w:hAnsiTheme="majorBidi" w:cstheme="majorBidi"/>
          <w:sz w:val="20"/>
          <w:szCs w:val="20"/>
          <w:lang w:val="en-US"/>
        </w:rPr>
        <w:t xml:space="preserve">. </w:t>
      </w:r>
      <w:r w:rsidRPr="001E4744">
        <w:rPr>
          <w:rFonts w:asciiTheme="majorBidi" w:hAnsiTheme="majorBidi" w:cstheme="majorBidi"/>
          <w:sz w:val="20"/>
          <w:szCs w:val="20"/>
          <w:lang w:val="en-US"/>
        </w:rPr>
        <w:t xml:space="preserve">The Bell </w:t>
      </w:r>
      <w:r w:rsidR="004678EB">
        <w:rPr>
          <w:rFonts w:asciiTheme="majorBidi" w:hAnsiTheme="majorBidi" w:cstheme="majorBidi"/>
          <w:sz w:val="20"/>
          <w:szCs w:val="20"/>
          <w:lang w:val="en-US"/>
        </w:rPr>
        <w:t>J</w:t>
      </w:r>
      <w:r w:rsidRPr="001E4744">
        <w:rPr>
          <w:rFonts w:asciiTheme="majorBidi" w:hAnsiTheme="majorBidi" w:cstheme="majorBidi"/>
          <w:sz w:val="20"/>
          <w:szCs w:val="20"/>
          <w:lang w:val="en-US"/>
        </w:rPr>
        <w:t>ourn</w:t>
      </w:r>
      <w:r w:rsidR="004678EB">
        <w:rPr>
          <w:rFonts w:asciiTheme="majorBidi" w:hAnsiTheme="majorBidi" w:cstheme="majorBidi"/>
          <w:sz w:val="20"/>
          <w:szCs w:val="20"/>
          <w:lang w:val="en-US"/>
        </w:rPr>
        <w:t>a</w:t>
      </w:r>
      <w:r w:rsidRPr="001E4744">
        <w:rPr>
          <w:rFonts w:asciiTheme="majorBidi" w:hAnsiTheme="majorBidi" w:cstheme="majorBidi"/>
          <w:sz w:val="20"/>
          <w:szCs w:val="20"/>
          <w:lang w:val="en-US"/>
        </w:rPr>
        <w:t>l of Economics 8, 23-40.</w:t>
      </w:r>
    </w:p>
    <w:p w:rsidR="001E4744" w:rsidRPr="001E4744" w:rsidRDefault="001E4744" w:rsidP="0075548D">
      <w:pPr>
        <w:pStyle w:val="ListParagraph"/>
        <w:numPr>
          <w:ilvl w:val="0"/>
          <w:numId w:val="10"/>
        </w:numPr>
        <w:tabs>
          <w:tab w:val="left" w:pos="0"/>
          <w:tab w:val="left" w:pos="142"/>
          <w:tab w:val="left" w:pos="426"/>
          <w:tab w:val="left" w:pos="567"/>
        </w:tabs>
        <w:autoSpaceDE w:val="0"/>
        <w:autoSpaceDN w:val="0"/>
        <w:adjustRightInd w:val="0"/>
        <w:spacing w:before="120" w:after="0" w:line="240" w:lineRule="auto"/>
        <w:ind w:left="284" w:hanging="284"/>
        <w:contextualSpacing w:val="0"/>
        <w:jc w:val="both"/>
        <w:rPr>
          <w:rFonts w:asciiTheme="majorBidi" w:eastAsia="Calibri" w:hAnsiTheme="majorBidi" w:cstheme="majorBidi"/>
          <w:sz w:val="20"/>
          <w:szCs w:val="20"/>
        </w:rPr>
      </w:pPr>
      <w:proofErr w:type="spellStart"/>
      <w:r w:rsidRPr="001E4744">
        <w:rPr>
          <w:rFonts w:asciiTheme="majorBidi" w:hAnsiTheme="majorBidi" w:cstheme="majorBidi"/>
          <w:sz w:val="20"/>
          <w:szCs w:val="20"/>
          <w:lang w:val="en-GB"/>
        </w:rPr>
        <w:t>Rozeff</w:t>
      </w:r>
      <w:proofErr w:type="spellEnd"/>
      <w:r w:rsidR="00DB6E32">
        <w:rPr>
          <w:rFonts w:asciiTheme="majorBidi" w:hAnsiTheme="majorBidi" w:cstheme="majorBidi"/>
          <w:sz w:val="20"/>
          <w:szCs w:val="20"/>
          <w:lang w:val="en-GB"/>
        </w:rPr>
        <w:t>,</w:t>
      </w:r>
      <w:r w:rsidRPr="001E4744">
        <w:rPr>
          <w:rFonts w:asciiTheme="majorBidi" w:hAnsiTheme="majorBidi" w:cstheme="majorBidi"/>
          <w:sz w:val="20"/>
          <w:szCs w:val="20"/>
          <w:lang w:val="en-GB"/>
        </w:rPr>
        <w:t xml:space="preserve"> M. (1982). Growth, Beta, and Agency Costs as Determinants of Dividend Payout Ratios. Journal of Financial Research, 5, 249-259.</w:t>
      </w:r>
    </w:p>
    <w:p w:rsidR="001E4744" w:rsidRPr="001E4744" w:rsidRDefault="001E4744" w:rsidP="0075548D">
      <w:pPr>
        <w:pStyle w:val="ListParagraph"/>
        <w:numPr>
          <w:ilvl w:val="0"/>
          <w:numId w:val="10"/>
        </w:numPr>
        <w:tabs>
          <w:tab w:val="left" w:pos="0"/>
          <w:tab w:val="left" w:pos="142"/>
          <w:tab w:val="left" w:pos="426"/>
          <w:tab w:val="left" w:pos="567"/>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1E4744">
        <w:rPr>
          <w:rFonts w:asciiTheme="majorBidi" w:eastAsia="Calibri" w:hAnsiTheme="majorBidi" w:cstheme="majorBidi"/>
          <w:sz w:val="20"/>
          <w:szCs w:val="20"/>
          <w:lang w:val="en-US"/>
        </w:rPr>
        <w:t>Shleifer</w:t>
      </w:r>
      <w:proofErr w:type="spellEnd"/>
      <w:r w:rsidRPr="001E4744">
        <w:rPr>
          <w:rFonts w:asciiTheme="majorBidi" w:eastAsia="Calibri" w:hAnsiTheme="majorBidi" w:cstheme="majorBidi"/>
          <w:sz w:val="20"/>
          <w:szCs w:val="20"/>
          <w:lang w:val="en-US"/>
        </w:rPr>
        <w:t xml:space="preserve">, A., &amp; </w:t>
      </w:r>
      <w:proofErr w:type="spellStart"/>
      <w:r w:rsidRPr="001E4744">
        <w:rPr>
          <w:rFonts w:asciiTheme="majorBidi" w:eastAsia="Calibri" w:hAnsiTheme="majorBidi" w:cstheme="majorBidi"/>
          <w:sz w:val="20"/>
          <w:szCs w:val="20"/>
          <w:lang w:val="en-US"/>
        </w:rPr>
        <w:t>Vishny</w:t>
      </w:r>
      <w:proofErr w:type="spellEnd"/>
      <w:r w:rsidRPr="001E4744">
        <w:rPr>
          <w:rFonts w:asciiTheme="majorBidi" w:eastAsia="Calibri" w:hAnsiTheme="majorBidi" w:cstheme="majorBidi"/>
          <w:sz w:val="20"/>
          <w:szCs w:val="20"/>
          <w:lang w:val="en-US"/>
        </w:rPr>
        <w:t xml:space="preserve">, R. (1986). Large shareholders and corporate control. </w:t>
      </w:r>
      <w:r w:rsidRPr="001E4744">
        <w:rPr>
          <w:rFonts w:asciiTheme="majorBidi" w:eastAsia="Calibri" w:hAnsiTheme="majorBidi" w:cstheme="majorBidi"/>
          <w:sz w:val="20"/>
          <w:szCs w:val="20"/>
        </w:rPr>
        <w:t xml:space="preserve">Journal of </w:t>
      </w:r>
      <w:proofErr w:type="spellStart"/>
      <w:r w:rsidRPr="001E4744">
        <w:rPr>
          <w:rFonts w:asciiTheme="majorBidi" w:eastAsia="Calibri" w:hAnsiTheme="majorBidi" w:cstheme="majorBidi"/>
          <w:sz w:val="20"/>
          <w:szCs w:val="20"/>
        </w:rPr>
        <w:t>Political</w:t>
      </w:r>
      <w:proofErr w:type="spellEnd"/>
      <w:r w:rsidRPr="001E4744">
        <w:rPr>
          <w:rFonts w:asciiTheme="majorBidi" w:eastAsia="Calibri" w:hAnsiTheme="majorBidi" w:cstheme="majorBidi"/>
          <w:sz w:val="20"/>
          <w:szCs w:val="20"/>
        </w:rPr>
        <w:t xml:space="preserve"> </w:t>
      </w:r>
      <w:proofErr w:type="spellStart"/>
      <w:r w:rsidRPr="001E4744">
        <w:rPr>
          <w:rFonts w:asciiTheme="majorBidi" w:eastAsia="Calibri" w:hAnsiTheme="majorBidi" w:cstheme="majorBidi"/>
          <w:sz w:val="20"/>
          <w:szCs w:val="20"/>
        </w:rPr>
        <w:t>Economy</w:t>
      </w:r>
      <w:proofErr w:type="spellEnd"/>
      <w:r w:rsidRPr="001E4744">
        <w:rPr>
          <w:rFonts w:asciiTheme="majorBidi" w:eastAsia="Calibri" w:hAnsiTheme="majorBidi" w:cstheme="majorBidi"/>
          <w:sz w:val="20"/>
          <w:szCs w:val="20"/>
        </w:rPr>
        <w:t>, 94, 461–488.</w:t>
      </w:r>
    </w:p>
    <w:p w:rsidR="001E4744" w:rsidRDefault="001E4744" w:rsidP="0075548D">
      <w:pPr>
        <w:pStyle w:val="ListParagraph"/>
        <w:numPr>
          <w:ilvl w:val="0"/>
          <w:numId w:val="10"/>
        </w:numPr>
        <w:tabs>
          <w:tab w:val="left" w:pos="0"/>
          <w:tab w:val="left" w:pos="142"/>
          <w:tab w:val="left" w:pos="426"/>
          <w:tab w:val="left" w:pos="567"/>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1E4744">
        <w:rPr>
          <w:rFonts w:asciiTheme="majorBidi" w:hAnsiTheme="majorBidi" w:cstheme="majorBidi"/>
          <w:sz w:val="20"/>
          <w:szCs w:val="20"/>
          <w:lang w:val="en-US"/>
        </w:rPr>
        <w:t>Shleifer</w:t>
      </w:r>
      <w:proofErr w:type="spellEnd"/>
      <w:r w:rsidRPr="001E4744">
        <w:rPr>
          <w:rFonts w:asciiTheme="majorBidi" w:hAnsiTheme="majorBidi" w:cstheme="majorBidi"/>
          <w:sz w:val="20"/>
          <w:szCs w:val="20"/>
          <w:lang w:val="en-US"/>
        </w:rPr>
        <w:t xml:space="preserve">, A., &amp; </w:t>
      </w:r>
      <w:proofErr w:type="spellStart"/>
      <w:r w:rsidRPr="001E4744">
        <w:rPr>
          <w:rFonts w:asciiTheme="majorBidi" w:hAnsiTheme="majorBidi" w:cstheme="majorBidi"/>
          <w:sz w:val="20"/>
          <w:szCs w:val="20"/>
          <w:lang w:val="en-US"/>
        </w:rPr>
        <w:t>Vishny</w:t>
      </w:r>
      <w:proofErr w:type="spellEnd"/>
      <w:r w:rsidRPr="001E4744">
        <w:rPr>
          <w:rFonts w:asciiTheme="majorBidi" w:hAnsiTheme="majorBidi" w:cstheme="majorBidi"/>
          <w:sz w:val="20"/>
          <w:szCs w:val="20"/>
          <w:lang w:val="en-US"/>
        </w:rPr>
        <w:t>, R. (1997). A survey on corporate governance. Journal of Finance, 52, 737-783.</w:t>
      </w:r>
    </w:p>
    <w:p w:rsidR="001E4744" w:rsidRDefault="001E4744" w:rsidP="0075548D">
      <w:pPr>
        <w:pStyle w:val="ListParagraph"/>
        <w:numPr>
          <w:ilvl w:val="0"/>
          <w:numId w:val="10"/>
        </w:numPr>
        <w:tabs>
          <w:tab w:val="left" w:pos="0"/>
          <w:tab w:val="left" w:pos="142"/>
          <w:tab w:val="left" w:pos="426"/>
          <w:tab w:val="left" w:pos="567"/>
        </w:tabs>
        <w:autoSpaceDE w:val="0"/>
        <w:autoSpaceDN w:val="0"/>
        <w:adjustRightInd w:val="0"/>
        <w:spacing w:before="120" w:after="0" w:line="240" w:lineRule="auto"/>
        <w:ind w:left="284" w:hanging="284"/>
        <w:contextualSpacing w:val="0"/>
        <w:jc w:val="both"/>
        <w:rPr>
          <w:rFonts w:asciiTheme="majorBidi" w:hAnsiTheme="majorBidi" w:cstheme="majorBidi"/>
          <w:sz w:val="20"/>
          <w:szCs w:val="20"/>
          <w:lang w:val="en-US"/>
        </w:rPr>
      </w:pPr>
      <w:proofErr w:type="spellStart"/>
      <w:r w:rsidRPr="001E4744">
        <w:rPr>
          <w:rFonts w:asciiTheme="majorBidi" w:hAnsiTheme="majorBidi" w:cstheme="majorBidi"/>
          <w:sz w:val="20"/>
          <w:szCs w:val="20"/>
          <w:lang w:val="en-US"/>
        </w:rPr>
        <w:t>Thanatawee</w:t>
      </w:r>
      <w:proofErr w:type="spellEnd"/>
      <w:r w:rsidRPr="001E4744">
        <w:rPr>
          <w:rFonts w:asciiTheme="majorBidi" w:hAnsiTheme="majorBidi" w:cstheme="majorBidi"/>
          <w:sz w:val="20"/>
          <w:szCs w:val="20"/>
          <w:lang w:val="en-US"/>
        </w:rPr>
        <w:t>, Y. (2013). Ownership Structure and Dividend Policy: Evidence from Thailand. International Journal of Economics and Finance, 5(1), 121-132.</w:t>
      </w:r>
    </w:p>
    <w:p w:rsidR="001E4744" w:rsidRPr="001E4744" w:rsidRDefault="001E4744" w:rsidP="0075548D">
      <w:pPr>
        <w:pStyle w:val="ListParagraph"/>
        <w:numPr>
          <w:ilvl w:val="0"/>
          <w:numId w:val="10"/>
        </w:numPr>
        <w:tabs>
          <w:tab w:val="left" w:pos="0"/>
          <w:tab w:val="left" w:pos="142"/>
          <w:tab w:val="left" w:pos="426"/>
          <w:tab w:val="left" w:pos="567"/>
        </w:tabs>
        <w:autoSpaceDE w:val="0"/>
        <w:autoSpaceDN w:val="0"/>
        <w:adjustRightInd w:val="0"/>
        <w:spacing w:before="120" w:after="0" w:line="240" w:lineRule="auto"/>
        <w:ind w:left="284" w:hanging="284"/>
        <w:contextualSpacing w:val="0"/>
        <w:jc w:val="both"/>
        <w:rPr>
          <w:rFonts w:asciiTheme="majorBidi" w:hAnsiTheme="majorBidi" w:cstheme="majorBidi"/>
          <w:color w:val="000000"/>
          <w:sz w:val="20"/>
          <w:szCs w:val="20"/>
        </w:rPr>
      </w:pPr>
      <w:r w:rsidRPr="001E4744">
        <w:rPr>
          <w:rFonts w:asciiTheme="majorBidi" w:hAnsiTheme="majorBidi" w:cstheme="majorBidi"/>
          <w:sz w:val="20"/>
          <w:szCs w:val="20"/>
          <w:lang w:val="en-US"/>
        </w:rPr>
        <w:t xml:space="preserve">Truong, T., &amp; Heaney, R. (2007). Largest shareholder and dividend policy around the world. The Quarterly Review of Economics and Finance, 47, 667-687. </w:t>
      </w:r>
    </w:p>
    <w:p w:rsidR="001E4744" w:rsidRPr="00B51D44" w:rsidRDefault="001E4744" w:rsidP="0075548D">
      <w:pPr>
        <w:pStyle w:val="ListParagraph"/>
        <w:numPr>
          <w:ilvl w:val="0"/>
          <w:numId w:val="10"/>
        </w:numPr>
        <w:tabs>
          <w:tab w:val="left" w:pos="0"/>
          <w:tab w:val="left" w:pos="142"/>
          <w:tab w:val="left" w:pos="426"/>
          <w:tab w:val="left" w:pos="567"/>
        </w:tabs>
        <w:autoSpaceDE w:val="0"/>
        <w:autoSpaceDN w:val="0"/>
        <w:adjustRightInd w:val="0"/>
        <w:spacing w:before="120" w:after="0" w:line="240" w:lineRule="auto"/>
        <w:ind w:left="284" w:hanging="284"/>
        <w:contextualSpacing w:val="0"/>
        <w:jc w:val="both"/>
        <w:rPr>
          <w:rFonts w:ascii="TimesNewRoman" w:eastAsia="Calibri" w:hAnsi="TimesNewRoman" w:cs="TimesNewRoman"/>
          <w:sz w:val="20"/>
          <w:szCs w:val="20"/>
          <w:lang w:val="en-US"/>
        </w:rPr>
      </w:pPr>
      <w:proofErr w:type="spellStart"/>
      <w:r w:rsidRPr="001E4744">
        <w:rPr>
          <w:rFonts w:asciiTheme="majorBidi" w:hAnsiTheme="majorBidi" w:cstheme="majorBidi"/>
          <w:color w:val="000000"/>
          <w:sz w:val="20"/>
          <w:szCs w:val="20"/>
          <w:lang w:val="en-US"/>
        </w:rPr>
        <w:t>Zingales</w:t>
      </w:r>
      <w:proofErr w:type="spellEnd"/>
      <w:r w:rsidRPr="001E4744">
        <w:rPr>
          <w:rFonts w:asciiTheme="majorBidi" w:hAnsiTheme="majorBidi" w:cstheme="majorBidi"/>
          <w:color w:val="000000"/>
          <w:sz w:val="20"/>
          <w:szCs w:val="20"/>
          <w:lang w:val="en-US"/>
        </w:rPr>
        <w:t xml:space="preserve">, L. (1994). The value of the voting right: A survey of the Milan stock exchange experience. </w:t>
      </w:r>
      <w:proofErr w:type="spellStart"/>
      <w:r w:rsidRPr="001E4744">
        <w:rPr>
          <w:rFonts w:asciiTheme="majorBidi" w:hAnsiTheme="majorBidi" w:cstheme="majorBidi"/>
          <w:color w:val="000000"/>
          <w:sz w:val="20"/>
          <w:szCs w:val="20"/>
        </w:rPr>
        <w:t>Review</w:t>
      </w:r>
      <w:proofErr w:type="spellEnd"/>
      <w:r w:rsidRPr="001E4744">
        <w:rPr>
          <w:rFonts w:asciiTheme="majorBidi" w:hAnsiTheme="majorBidi" w:cstheme="majorBidi"/>
          <w:color w:val="000000"/>
          <w:sz w:val="20"/>
          <w:szCs w:val="20"/>
        </w:rPr>
        <w:t xml:space="preserve"> of Financial </w:t>
      </w:r>
      <w:proofErr w:type="spellStart"/>
      <w:r w:rsidRPr="001E4744">
        <w:rPr>
          <w:rFonts w:asciiTheme="majorBidi" w:hAnsiTheme="majorBidi" w:cstheme="majorBidi"/>
          <w:color w:val="000000"/>
          <w:sz w:val="20"/>
          <w:szCs w:val="20"/>
        </w:rPr>
        <w:t>Studies</w:t>
      </w:r>
      <w:proofErr w:type="spellEnd"/>
      <w:r w:rsidRPr="001E4744">
        <w:rPr>
          <w:rFonts w:asciiTheme="majorBidi" w:hAnsiTheme="majorBidi" w:cstheme="majorBidi"/>
          <w:color w:val="000000"/>
          <w:sz w:val="20"/>
          <w:szCs w:val="20"/>
        </w:rPr>
        <w:t xml:space="preserve">, 7, 125-148. </w:t>
      </w:r>
    </w:p>
    <w:p w:rsidR="00B51D44" w:rsidRPr="001E4744" w:rsidRDefault="00B51D44" w:rsidP="004678EB">
      <w:pPr>
        <w:pStyle w:val="ListParagraph"/>
        <w:numPr>
          <w:ilvl w:val="0"/>
          <w:numId w:val="10"/>
        </w:numPr>
        <w:tabs>
          <w:tab w:val="left" w:pos="0"/>
          <w:tab w:val="left" w:pos="142"/>
          <w:tab w:val="left" w:pos="426"/>
          <w:tab w:val="left" w:pos="567"/>
        </w:tabs>
        <w:autoSpaceDE w:val="0"/>
        <w:autoSpaceDN w:val="0"/>
        <w:adjustRightInd w:val="0"/>
        <w:spacing w:before="120" w:after="0" w:line="240" w:lineRule="auto"/>
        <w:ind w:left="284" w:hanging="284"/>
        <w:contextualSpacing w:val="0"/>
        <w:jc w:val="both"/>
        <w:rPr>
          <w:rFonts w:ascii="TimesNewRoman" w:eastAsia="Calibri" w:hAnsi="TimesNewRoman" w:cs="TimesNewRoman"/>
          <w:sz w:val="20"/>
          <w:szCs w:val="20"/>
          <w:lang w:val="en-US"/>
        </w:rPr>
      </w:pPr>
      <w:proofErr w:type="spellStart"/>
      <w:r w:rsidRPr="00B51D44">
        <w:rPr>
          <w:rFonts w:ascii="TimesNewRomanPSMT" w:hAnsi="TimesNewRomanPSMT"/>
          <w:color w:val="000000"/>
          <w:sz w:val="20"/>
          <w:szCs w:val="20"/>
          <w:lang w:val="en-US"/>
        </w:rPr>
        <w:t>Weifeng</w:t>
      </w:r>
      <w:proofErr w:type="spellEnd"/>
      <w:r w:rsidRPr="00B51D44">
        <w:rPr>
          <w:rFonts w:ascii="TimesNewRomanPSMT" w:hAnsi="TimesNewRomanPSMT"/>
          <w:color w:val="000000"/>
          <w:sz w:val="20"/>
          <w:szCs w:val="20"/>
          <w:lang w:val="en-US"/>
        </w:rPr>
        <w:t xml:space="preserve">, H., </w:t>
      </w:r>
      <w:proofErr w:type="spellStart"/>
      <w:r w:rsidRPr="00B51D44">
        <w:rPr>
          <w:rFonts w:ascii="TimesNewRomanPSMT" w:hAnsi="TimesNewRomanPSMT"/>
          <w:color w:val="000000"/>
          <w:sz w:val="20"/>
          <w:szCs w:val="20"/>
          <w:lang w:val="en-US"/>
        </w:rPr>
        <w:t>Zhaoguo</w:t>
      </w:r>
      <w:proofErr w:type="spellEnd"/>
      <w:r w:rsidRPr="00B51D44">
        <w:rPr>
          <w:rFonts w:ascii="TimesNewRomanPSMT" w:hAnsi="TimesNewRomanPSMT"/>
          <w:color w:val="000000"/>
          <w:sz w:val="20"/>
          <w:szCs w:val="20"/>
          <w:lang w:val="en-US"/>
        </w:rPr>
        <w:t xml:space="preserve">, Z., &amp; </w:t>
      </w:r>
      <w:proofErr w:type="spellStart"/>
      <w:r w:rsidRPr="00B51D44">
        <w:rPr>
          <w:rFonts w:ascii="TimesNewRomanPSMT" w:hAnsi="TimesNewRomanPSMT"/>
          <w:color w:val="000000"/>
          <w:sz w:val="20"/>
          <w:szCs w:val="20"/>
          <w:lang w:val="en-US"/>
        </w:rPr>
        <w:t>Shasha</w:t>
      </w:r>
      <w:proofErr w:type="spellEnd"/>
      <w:r w:rsidRPr="00B51D44">
        <w:rPr>
          <w:rFonts w:ascii="TimesNewRomanPSMT" w:hAnsi="TimesNewRomanPSMT"/>
          <w:color w:val="000000"/>
          <w:sz w:val="20"/>
          <w:szCs w:val="20"/>
          <w:lang w:val="en-US"/>
        </w:rPr>
        <w:t>, Z. (2008). Ownership structure &amp; the private bene</w:t>
      </w:r>
      <w:r>
        <w:rPr>
          <w:rFonts w:ascii="TimesNewRomanPSMT" w:hAnsi="TimesNewRomanPSMT"/>
          <w:color w:val="000000"/>
          <w:sz w:val="20"/>
          <w:szCs w:val="20"/>
          <w:lang w:val="en-US"/>
        </w:rPr>
        <w:t xml:space="preserve">fits of control: an analysis of </w:t>
      </w:r>
      <w:r w:rsidRPr="00B51D44">
        <w:rPr>
          <w:rFonts w:ascii="TimesNewRomanPSMT" w:hAnsi="TimesNewRomanPSMT"/>
          <w:color w:val="000000"/>
          <w:sz w:val="20"/>
          <w:szCs w:val="20"/>
          <w:lang w:val="en-US"/>
        </w:rPr>
        <w:t xml:space="preserve">Chinese firms. </w:t>
      </w:r>
      <w:r w:rsidRPr="00B51D44">
        <w:rPr>
          <w:rFonts w:ascii="TimesNewRomanPS-ItalicMT" w:hAnsi="TimesNewRomanPS-ItalicMT"/>
          <w:i/>
          <w:iCs/>
          <w:color w:val="000000"/>
          <w:sz w:val="20"/>
          <w:szCs w:val="20"/>
          <w:lang w:val="en-US"/>
        </w:rPr>
        <w:t>Corporate Governance</w:t>
      </w:r>
      <w:r w:rsidRPr="00B51D44">
        <w:rPr>
          <w:rFonts w:ascii="TimesNewRomanPSMT" w:hAnsi="TimesNewRomanPSMT"/>
          <w:color w:val="000000"/>
          <w:sz w:val="20"/>
          <w:szCs w:val="20"/>
          <w:lang w:val="en-US"/>
        </w:rPr>
        <w:t xml:space="preserve">, 8, 286- 298. </w:t>
      </w:r>
    </w:p>
    <w:sectPr w:rsidR="00B51D44" w:rsidRPr="001E4744" w:rsidSect="005E1C12">
      <w:footerReference w:type="even" r:id="rId10"/>
      <w:footerReference w:type="default" r:id="rId11"/>
      <w:type w:val="continuous"/>
      <w:pgSz w:w="12240" w:h="15840" w:code="1"/>
      <w:pgMar w:top="1872" w:right="1440" w:bottom="1440" w:left="1440" w:header="1440" w:footer="11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F7F" w:rsidRDefault="00F73F7F" w:rsidP="00B76622">
      <w:pPr>
        <w:spacing w:after="0" w:line="240" w:lineRule="auto"/>
      </w:pPr>
      <w:r>
        <w:separator/>
      </w:r>
    </w:p>
  </w:endnote>
  <w:endnote w:type="continuationSeparator" w:id="0">
    <w:p w:rsidR="00F73F7F" w:rsidRDefault="00F73F7F" w:rsidP="00B76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dvPSTim">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color w:val="000099"/>
        <w:sz w:val="24"/>
        <w:szCs w:val="24"/>
        <w:lang w:val="en-US" w:eastAsia="en-US"/>
      </w:rPr>
      <w:id w:val="4493543"/>
      <w:docPartObj>
        <w:docPartGallery w:val="Page Numbers (Bottom of Page)"/>
        <w:docPartUnique/>
      </w:docPartObj>
    </w:sdtPr>
    <w:sdtContent>
      <w:p w:rsidR="00426959" w:rsidRPr="005E1C12" w:rsidRDefault="00DB058B" w:rsidP="00BE7548">
        <w:pPr>
          <w:tabs>
            <w:tab w:val="left" w:pos="1440"/>
            <w:tab w:val="right" w:pos="9360"/>
          </w:tabs>
          <w:spacing w:after="0" w:line="240" w:lineRule="auto"/>
          <w:rPr>
            <w:rFonts w:ascii="Times New Roman" w:hAnsi="Times New Roman" w:cs="Times New Roman"/>
            <w:b/>
            <w:color w:val="000099"/>
            <w:sz w:val="24"/>
            <w:szCs w:val="24"/>
            <w:lang w:val="en-US" w:eastAsia="en-US"/>
          </w:rPr>
        </w:pPr>
        <w:r w:rsidRPr="005E1C12">
          <w:rPr>
            <w:rFonts w:ascii="Times New Roman" w:hAnsi="Times New Roman" w:cs="Times New Roman"/>
            <w:b/>
            <w:color w:val="000099"/>
            <w:sz w:val="20"/>
            <w:szCs w:val="24"/>
            <w:lang w:val="en-US" w:eastAsia="en-US"/>
          </w:rPr>
          <w:fldChar w:fldCharType="begin"/>
        </w:r>
        <w:r w:rsidR="00426959" w:rsidRPr="005E1C12">
          <w:rPr>
            <w:rFonts w:ascii="Times New Roman" w:hAnsi="Times New Roman" w:cs="Times New Roman"/>
            <w:b/>
            <w:color w:val="000099"/>
            <w:sz w:val="20"/>
            <w:szCs w:val="24"/>
            <w:lang w:val="en-US" w:eastAsia="en-US"/>
          </w:rPr>
          <w:instrText xml:space="preserve"> PAGE   \* MERGEFORMAT </w:instrText>
        </w:r>
        <w:r w:rsidRPr="005E1C12">
          <w:rPr>
            <w:rFonts w:ascii="Times New Roman" w:hAnsi="Times New Roman" w:cs="Times New Roman"/>
            <w:b/>
            <w:color w:val="000099"/>
            <w:sz w:val="20"/>
            <w:szCs w:val="24"/>
            <w:lang w:val="en-US" w:eastAsia="en-US"/>
          </w:rPr>
          <w:fldChar w:fldCharType="separate"/>
        </w:r>
        <w:r w:rsidR="00CC2675">
          <w:rPr>
            <w:rFonts w:ascii="Times New Roman" w:hAnsi="Times New Roman" w:cs="Times New Roman"/>
            <w:b/>
            <w:noProof/>
            <w:color w:val="000099"/>
            <w:sz w:val="20"/>
            <w:szCs w:val="24"/>
            <w:lang w:val="en-US" w:eastAsia="en-US"/>
          </w:rPr>
          <w:t>12</w:t>
        </w:r>
        <w:r w:rsidRPr="005E1C12">
          <w:rPr>
            <w:rFonts w:ascii="Times New Roman" w:hAnsi="Times New Roman" w:cs="Times New Roman"/>
            <w:b/>
            <w:color w:val="000099"/>
            <w:sz w:val="20"/>
            <w:szCs w:val="24"/>
            <w:lang w:val="en-US" w:eastAsia="en-US"/>
          </w:rPr>
          <w:fldChar w:fldCharType="end"/>
        </w:r>
        <w:r w:rsidR="00426959" w:rsidRPr="005E1C12">
          <w:rPr>
            <w:rFonts w:ascii="Times New Roman" w:hAnsi="Times New Roman" w:cs="Times New Roman"/>
            <w:b/>
            <w:color w:val="000099"/>
            <w:sz w:val="24"/>
            <w:szCs w:val="24"/>
            <w:lang w:val="en-US" w:eastAsia="en-US"/>
          </w:rPr>
          <w:tab/>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color w:val="000099"/>
        <w:sz w:val="20"/>
        <w:szCs w:val="20"/>
        <w:lang w:val="en-US" w:eastAsia="en-US"/>
      </w:rPr>
      <w:id w:val="4493550"/>
      <w:docPartObj>
        <w:docPartGallery w:val="Page Numbers (Bottom of Page)"/>
        <w:docPartUnique/>
      </w:docPartObj>
    </w:sdtPr>
    <w:sdtContent>
      <w:p w:rsidR="00426959" w:rsidRPr="005E1C12" w:rsidRDefault="00DB058B" w:rsidP="00BE7548">
        <w:pPr>
          <w:tabs>
            <w:tab w:val="left" w:pos="3060"/>
            <w:tab w:val="right" w:pos="9360"/>
          </w:tabs>
          <w:spacing w:after="0" w:line="240" w:lineRule="auto"/>
          <w:jc w:val="right"/>
          <w:rPr>
            <w:rFonts w:ascii="Times New Roman" w:hAnsi="Times New Roman" w:cs="Times New Roman"/>
            <w:b/>
            <w:color w:val="000099"/>
            <w:sz w:val="20"/>
            <w:szCs w:val="20"/>
            <w:lang w:val="en-US" w:eastAsia="en-US"/>
          </w:rPr>
        </w:pPr>
        <w:r w:rsidRPr="005E1C12">
          <w:rPr>
            <w:rFonts w:ascii="Times New Roman" w:hAnsi="Times New Roman" w:cs="Times New Roman"/>
            <w:b/>
            <w:color w:val="000099"/>
            <w:sz w:val="20"/>
            <w:szCs w:val="20"/>
            <w:lang w:val="en-US" w:eastAsia="en-US"/>
          </w:rPr>
          <w:fldChar w:fldCharType="begin"/>
        </w:r>
        <w:r w:rsidR="00426959" w:rsidRPr="005E1C12">
          <w:rPr>
            <w:rFonts w:ascii="Times New Roman" w:hAnsi="Times New Roman" w:cs="Times New Roman"/>
            <w:b/>
            <w:color w:val="000099"/>
            <w:sz w:val="20"/>
            <w:szCs w:val="20"/>
            <w:lang w:val="en-US" w:eastAsia="en-US"/>
          </w:rPr>
          <w:instrText xml:space="preserve"> PAGE   \* MERGEFORMAT </w:instrText>
        </w:r>
        <w:r w:rsidRPr="005E1C12">
          <w:rPr>
            <w:rFonts w:ascii="Times New Roman" w:hAnsi="Times New Roman" w:cs="Times New Roman"/>
            <w:b/>
            <w:color w:val="000099"/>
            <w:sz w:val="20"/>
            <w:szCs w:val="20"/>
            <w:lang w:val="en-US" w:eastAsia="en-US"/>
          </w:rPr>
          <w:fldChar w:fldCharType="separate"/>
        </w:r>
        <w:r w:rsidR="00CC2675">
          <w:rPr>
            <w:rFonts w:ascii="Times New Roman" w:hAnsi="Times New Roman" w:cs="Times New Roman"/>
            <w:b/>
            <w:noProof/>
            <w:color w:val="000099"/>
            <w:sz w:val="20"/>
            <w:szCs w:val="20"/>
            <w:lang w:val="en-US" w:eastAsia="en-US"/>
          </w:rPr>
          <w:t>11</w:t>
        </w:r>
        <w:r w:rsidRPr="005E1C12">
          <w:rPr>
            <w:rFonts w:ascii="Times New Roman" w:hAnsi="Times New Roman" w:cs="Times New Roman"/>
            <w:b/>
            <w:color w:val="000099"/>
            <w:sz w:val="20"/>
            <w:szCs w:val="20"/>
            <w:lang w:val="en-US" w:eastAsia="en-US"/>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F7F" w:rsidRDefault="00F73F7F" w:rsidP="00B76622">
      <w:pPr>
        <w:spacing w:after="0" w:line="240" w:lineRule="auto"/>
      </w:pPr>
      <w:r>
        <w:separator/>
      </w:r>
    </w:p>
  </w:footnote>
  <w:footnote w:type="continuationSeparator" w:id="0">
    <w:p w:rsidR="00F73F7F" w:rsidRDefault="00F73F7F" w:rsidP="00B76622">
      <w:pPr>
        <w:spacing w:after="0" w:line="240" w:lineRule="auto"/>
      </w:pPr>
      <w:r>
        <w:continuationSeparator/>
      </w:r>
    </w:p>
  </w:footnote>
  <w:footnote w:id="1">
    <w:p w:rsidR="00426959" w:rsidRPr="0035382C" w:rsidRDefault="00426959">
      <w:pPr>
        <w:pStyle w:val="FootnoteText"/>
        <w:rPr>
          <w:lang w:val="en-US"/>
        </w:rPr>
      </w:pPr>
      <w:r>
        <w:rPr>
          <w:rStyle w:val="FootnoteReference"/>
        </w:rPr>
        <w:footnoteRef/>
      </w:r>
      <w:r w:rsidRPr="0035382C">
        <w:rPr>
          <w:lang w:val="en-US"/>
        </w:rPr>
        <w:t xml:space="preserve"> Corresponding author : amel_bns@yahoo.</w:t>
      </w:r>
      <w:r>
        <w:rPr>
          <w:lang w:val="en-US"/>
        </w:rPr>
        <w:t>fr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59_"/>
      </v:shape>
    </w:pict>
  </w:numPicBullet>
  <w:abstractNum w:abstractNumId="0">
    <w:nsid w:val="01DD29D4"/>
    <w:multiLevelType w:val="hybridMultilevel"/>
    <w:tmpl w:val="D8560EEC"/>
    <w:lvl w:ilvl="0" w:tplc="E668CB26">
      <w:start w:val="1"/>
      <w:numFmt w:val="bullet"/>
      <w:lvlText w:val=""/>
      <w:lvlPicBulletId w:val="0"/>
      <w:lvlJc w:val="left"/>
      <w:pPr>
        <w:tabs>
          <w:tab w:val="num" w:pos="720"/>
        </w:tabs>
        <w:ind w:left="720" w:hanging="360"/>
      </w:pPr>
      <w:rPr>
        <w:rFonts w:ascii="Symbol" w:hAnsi="Symbol" w:hint="default"/>
      </w:rPr>
    </w:lvl>
    <w:lvl w:ilvl="1" w:tplc="1416DD46" w:tentative="1">
      <w:start w:val="1"/>
      <w:numFmt w:val="bullet"/>
      <w:lvlText w:val=""/>
      <w:lvlJc w:val="left"/>
      <w:pPr>
        <w:tabs>
          <w:tab w:val="num" w:pos="1440"/>
        </w:tabs>
        <w:ind w:left="1440" w:hanging="360"/>
      </w:pPr>
      <w:rPr>
        <w:rFonts w:ascii="Symbol" w:hAnsi="Symbol" w:hint="default"/>
      </w:rPr>
    </w:lvl>
    <w:lvl w:ilvl="2" w:tplc="8724D390" w:tentative="1">
      <w:start w:val="1"/>
      <w:numFmt w:val="bullet"/>
      <w:lvlText w:val=""/>
      <w:lvlJc w:val="left"/>
      <w:pPr>
        <w:tabs>
          <w:tab w:val="num" w:pos="2160"/>
        </w:tabs>
        <w:ind w:left="2160" w:hanging="360"/>
      </w:pPr>
      <w:rPr>
        <w:rFonts w:ascii="Symbol" w:hAnsi="Symbol" w:hint="default"/>
      </w:rPr>
    </w:lvl>
    <w:lvl w:ilvl="3" w:tplc="D006F372" w:tentative="1">
      <w:start w:val="1"/>
      <w:numFmt w:val="bullet"/>
      <w:lvlText w:val=""/>
      <w:lvlJc w:val="left"/>
      <w:pPr>
        <w:tabs>
          <w:tab w:val="num" w:pos="2880"/>
        </w:tabs>
        <w:ind w:left="2880" w:hanging="360"/>
      </w:pPr>
      <w:rPr>
        <w:rFonts w:ascii="Symbol" w:hAnsi="Symbol" w:hint="default"/>
      </w:rPr>
    </w:lvl>
    <w:lvl w:ilvl="4" w:tplc="0C02F4F4" w:tentative="1">
      <w:start w:val="1"/>
      <w:numFmt w:val="bullet"/>
      <w:lvlText w:val=""/>
      <w:lvlJc w:val="left"/>
      <w:pPr>
        <w:tabs>
          <w:tab w:val="num" w:pos="3600"/>
        </w:tabs>
        <w:ind w:left="3600" w:hanging="360"/>
      </w:pPr>
      <w:rPr>
        <w:rFonts w:ascii="Symbol" w:hAnsi="Symbol" w:hint="default"/>
      </w:rPr>
    </w:lvl>
    <w:lvl w:ilvl="5" w:tplc="CD82939A" w:tentative="1">
      <w:start w:val="1"/>
      <w:numFmt w:val="bullet"/>
      <w:lvlText w:val=""/>
      <w:lvlJc w:val="left"/>
      <w:pPr>
        <w:tabs>
          <w:tab w:val="num" w:pos="4320"/>
        </w:tabs>
        <w:ind w:left="4320" w:hanging="360"/>
      </w:pPr>
      <w:rPr>
        <w:rFonts w:ascii="Symbol" w:hAnsi="Symbol" w:hint="default"/>
      </w:rPr>
    </w:lvl>
    <w:lvl w:ilvl="6" w:tplc="F1481D8E" w:tentative="1">
      <w:start w:val="1"/>
      <w:numFmt w:val="bullet"/>
      <w:lvlText w:val=""/>
      <w:lvlJc w:val="left"/>
      <w:pPr>
        <w:tabs>
          <w:tab w:val="num" w:pos="5040"/>
        </w:tabs>
        <w:ind w:left="5040" w:hanging="360"/>
      </w:pPr>
      <w:rPr>
        <w:rFonts w:ascii="Symbol" w:hAnsi="Symbol" w:hint="default"/>
      </w:rPr>
    </w:lvl>
    <w:lvl w:ilvl="7" w:tplc="222C7D56" w:tentative="1">
      <w:start w:val="1"/>
      <w:numFmt w:val="bullet"/>
      <w:lvlText w:val=""/>
      <w:lvlJc w:val="left"/>
      <w:pPr>
        <w:tabs>
          <w:tab w:val="num" w:pos="5760"/>
        </w:tabs>
        <w:ind w:left="5760" w:hanging="360"/>
      </w:pPr>
      <w:rPr>
        <w:rFonts w:ascii="Symbol" w:hAnsi="Symbol" w:hint="default"/>
      </w:rPr>
    </w:lvl>
    <w:lvl w:ilvl="8" w:tplc="ED3E0E66" w:tentative="1">
      <w:start w:val="1"/>
      <w:numFmt w:val="bullet"/>
      <w:lvlText w:val=""/>
      <w:lvlJc w:val="left"/>
      <w:pPr>
        <w:tabs>
          <w:tab w:val="num" w:pos="6480"/>
        </w:tabs>
        <w:ind w:left="6480" w:hanging="360"/>
      </w:pPr>
      <w:rPr>
        <w:rFonts w:ascii="Symbol" w:hAnsi="Symbol" w:hint="default"/>
      </w:rPr>
    </w:lvl>
  </w:abstractNum>
  <w:abstractNum w:abstractNumId="1">
    <w:nsid w:val="06552327"/>
    <w:multiLevelType w:val="hybridMultilevel"/>
    <w:tmpl w:val="719C0666"/>
    <w:lvl w:ilvl="0" w:tplc="DF38255E">
      <w:start w:val="1"/>
      <w:numFmt w:val="bullet"/>
      <w:lvlText w:val=""/>
      <w:lvlPicBulletId w:val="0"/>
      <w:lvlJc w:val="left"/>
      <w:pPr>
        <w:tabs>
          <w:tab w:val="num" w:pos="720"/>
        </w:tabs>
        <w:ind w:left="720" w:hanging="360"/>
      </w:pPr>
      <w:rPr>
        <w:rFonts w:ascii="Symbol" w:hAnsi="Symbol" w:hint="default"/>
      </w:rPr>
    </w:lvl>
    <w:lvl w:ilvl="1" w:tplc="D098F8CA" w:tentative="1">
      <w:start w:val="1"/>
      <w:numFmt w:val="bullet"/>
      <w:lvlText w:val=""/>
      <w:lvlJc w:val="left"/>
      <w:pPr>
        <w:tabs>
          <w:tab w:val="num" w:pos="1440"/>
        </w:tabs>
        <w:ind w:left="1440" w:hanging="360"/>
      </w:pPr>
      <w:rPr>
        <w:rFonts w:ascii="Symbol" w:hAnsi="Symbol" w:hint="default"/>
      </w:rPr>
    </w:lvl>
    <w:lvl w:ilvl="2" w:tplc="23C6BB94" w:tentative="1">
      <w:start w:val="1"/>
      <w:numFmt w:val="bullet"/>
      <w:lvlText w:val=""/>
      <w:lvlJc w:val="left"/>
      <w:pPr>
        <w:tabs>
          <w:tab w:val="num" w:pos="2160"/>
        </w:tabs>
        <w:ind w:left="2160" w:hanging="360"/>
      </w:pPr>
      <w:rPr>
        <w:rFonts w:ascii="Symbol" w:hAnsi="Symbol" w:hint="default"/>
      </w:rPr>
    </w:lvl>
    <w:lvl w:ilvl="3" w:tplc="C0726EFA" w:tentative="1">
      <w:start w:val="1"/>
      <w:numFmt w:val="bullet"/>
      <w:lvlText w:val=""/>
      <w:lvlJc w:val="left"/>
      <w:pPr>
        <w:tabs>
          <w:tab w:val="num" w:pos="2880"/>
        </w:tabs>
        <w:ind w:left="2880" w:hanging="360"/>
      </w:pPr>
      <w:rPr>
        <w:rFonts w:ascii="Symbol" w:hAnsi="Symbol" w:hint="default"/>
      </w:rPr>
    </w:lvl>
    <w:lvl w:ilvl="4" w:tplc="D7DC97B2" w:tentative="1">
      <w:start w:val="1"/>
      <w:numFmt w:val="bullet"/>
      <w:lvlText w:val=""/>
      <w:lvlJc w:val="left"/>
      <w:pPr>
        <w:tabs>
          <w:tab w:val="num" w:pos="3600"/>
        </w:tabs>
        <w:ind w:left="3600" w:hanging="360"/>
      </w:pPr>
      <w:rPr>
        <w:rFonts w:ascii="Symbol" w:hAnsi="Symbol" w:hint="default"/>
      </w:rPr>
    </w:lvl>
    <w:lvl w:ilvl="5" w:tplc="272883A6" w:tentative="1">
      <w:start w:val="1"/>
      <w:numFmt w:val="bullet"/>
      <w:lvlText w:val=""/>
      <w:lvlJc w:val="left"/>
      <w:pPr>
        <w:tabs>
          <w:tab w:val="num" w:pos="4320"/>
        </w:tabs>
        <w:ind w:left="4320" w:hanging="360"/>
      </w:pPr>
      <w:rPr>
        <w:rFonts w:ascii="Symbol" w:hAnsi="Symbol" w:hint="default"/>
      </w:rPr>
    </w:lvl>
    <w:lvl w:ilvl="6" w:tplc="DD68A078" w:tentative="1">
      <w:start w:val="1"/>
      <w:numFmt w:val="bullet"/>
      <w:lvlText w:val=""/>
      <w:lvlJc w:val="left"/>
      <w:pPr>
        <w:tabs>
          <w:tab w:val="num" w:pos="5040"/>
        </w:tabs>
        <w:ind w:left="5040" w:hanging="360"/>
      </w:pPr>
      <w:rPr>
        <w:rFonts w:ascii="Symbol" w:hAnsi="Symbol" w:hint="default"/>
      </w:rPr>
    </w:lvl>
    <w:lvl w:ilvl="7" w:tplc="AE5452D6" w:tentative="1">
      <w:start w:val="1"/>
      <w:numFmt w:val="bullet"/>
      <w:lvlText w:val=""/>
      <w:lvlJc w:val="left"/>
      <w:pPr>
        <w:tabs>
          <w:tab w:val="num" w:pos="5760"/>
        </w:tabs>
        <w:ind w:left="5760" w:hanging="360"/>
      </w:pPr>
      <w:rPr>
        <w:rFonts w:ascii="Symbol" w:hAnsi="Symbol" w:hint="default"/>
      </w:rPr>
    </w:lvl>
    <w:lvl w:ilvl="8" w:tplc="46267F6E" w:tentative="1">
      <w:start w:val="1"/>
      <w:numFmt w:val="bullet"/>
      <w:lvlText w:val=""/>
      <w:lvlJc w:val="left"/>
      <w:pPr>
        <w:tabs>
          <w:tab w:val="num" w:pos="6480"/>
        </w:tabs>
        <w:ind w:left="6480" w:hanging="360"/>
      </w:pPr>
      <w:rPr>
        <w:rFonts w:ascii="Symbol" w:hAnsi="Symbol" w:hint="default"/>
      </w:rPr>
    </w:lvl>
  </w:abstractNum>
  <w:abstractNum w:abstractNumId="2">
    <w:nsid w:val="0C2927C9"/>
    <w:multiLevelType w:val="hybridMultilevel"/>
    <w:tmpl w:val="6FA2F7BC"/>
    <w:lvl w:ilvl="0" w:tplc="B22E37B6">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AC5BB5"/>
    <w:multiLevelType w:val="hybridMultilevel"/>
    <w:tmpl w:val="0B0058B8"/>
    <w:lvl w:ilvl="0" w:tplc="DFB8175A">
      <w:start w:val="1"/>
      <w:numFmt w:val="bullet"/>
      <w:lvlText w:val=""/>
      <w:lvlPicBulletId w:val="0"/>
      <w:lvlJc w:val="left"/>
      <w:pPr>
        <w:tabs>
          <w:tab w:val="num" w:pos="720"/>
        </w:tabs>
        <w:ind w:left="720" w:hanging="360"/>
      </w:pPr>
      <w:rPr>
        <w:rFonts w:ascii="Symbol" w:hAnsi="Symbol" w:hint="default"/>
      </w:rPr>
    </w:lvl>
    <w:lvl w:ilvl="1" w:tplc="1EC00C10" w:tentative="1">
      <w:start w:val="1"/>
      <w:numFmt w:val="bullet"/>
      <w:lvlText w:val=""/>
      <w:lvlJc w:val="left"/>
      <w:pPr>
        <w:tabs>
          <w:tab w:val="num" w:pos="1440"/>
        </w:tabs>
        <w:ind w:left="1440" w:hanging="360"/>
      </w:pPr>
      <w:rPr>
        <w:rFonts w:ascii="Symbol" w:hAnsi="Symbol" w:hint="default"/>
      </w:rPr>
    </w:lvl>
    <w:lvl w:ilvl="2" w:tplc="31B68D1A" w:tentative="1">
      <w:start w:val="1"/>
      <w:numFmt w:val="bullet"/>
      <w:lvlText w:val=""/>
      <w:lvlJc w:val="left"/>
      <w:pPr>
        <w:tabs>
          <w:tab w:val="num" w:pos="2160"/>
        </w:tabs>
        <w:ind w:left="2160" w:hanging="360"/>
      </w:pPr>
      <w:rPr>
        <w:rFonts w:ascii="Symbol" w:hAnsi="Symbol" w:hint="default"/>
      </w:rPr>
    </w:lvl>
    <w:lvl w:ilvl="3" w:tplc="C1AA0ED4" w:tentative="1">
      <w:start w:val="1"/>
      <w:numFmt w:val="bullet"/>
      <w:lvlText w:val=""/>
      <w:lvlJc w:val="left"/>
      <w:pPr>
        <w:tabs>
          <w:tab w:val="num" w:pos="2880"/>
        </w:tabs>
        <w:ind w:left="2880" w:hanging="360"/>
      </w:pPr>
      <w:rPr>
        <w:rFonts w:ascii="Symbol" w:hAnsi="Symbol" w:hint="default"/>
      </w:rPr>
    </w:lvl>
    <w:lvl w:ilvl="4" w:tplc="1CCC27A8" w:tentative="1">
      <w:start w:val="1"/>
      <w:numFmt w:val="bullet"/>
      <w:lvlText w:val=""/>
      <w:lvlJc w:val="left"/>
      <w:pPr>
        <w:tabs>
          <w:tab w:val="num" w:pos="3600"/>
        </w:tabs>
        <w:ind w:left="3600" w:hanging="360"/>
      </w:pPr>
      <w:rPr>
        <w:rFonts w:ascii="Symbol" w:hAnsi="Symbol" w:hint="default"/>
      </w:rPr>
    </w:lvl>
    <w:lvl w:ilvl="5" w:tplc="CEC4ACDE" w:tentative="1">
      <w:start w:val="1"/>
      <w:numFmt w:val="bullet"/>
      <w:lvlText w:val=""/>
      <w:lvlJc w:val="left"/>
      <w:pPr>
        <w:tabs>
          <w:tab w:val="num" w:pos="4320"/>
        </w:tabs>
        <w:ind w:left="4320" w:hanging="360"/>
      </w:pPr>
      <w:rPr>
        <w:rFonts w:ascii="Symbol" w:hAnsi="Symbol" w:hint="default"/>
      </w:rPr>
    </w:lvl>
    <w:lvl w:ilvl="6" w:tplc="6830601E" w:tentative="1">
      <w:start w:val="1"/>
      <w:numFmt w:val="bullet"/>
      <w:lvlText w:val=""/>
      <w:lvlJc w:val="left"/>
      <w:pPr>
        <w:tabs>
          <w:tab w:val="num" w:pos="5040"/>
        </w:tabs>
        <w:ind w:left="5040" w:hanging="360"/>
      </w:pPr>
      <w:rPr>
        <w:rFonts w:ascii="Symbol" w:hAnsi="Symbol" w:hint="default"/>
      </w:rPr>
    </w:lvl>
    <w:lvl w:ilvl="7" w:tplc="FA1A8506" w:tentative="1">
      <w:start w:val="1"/>
      <w:numFmt w:val="bullet"/>
      <w:lvlText w:val=""/>
      <w:lvlJc w:val="left"/>
      <w:pPr>
        <w:tabs>
          <w:tab w:val="num" w:pos="5760"/>
        </w:tabs>
        <w:ind w:left="5760" w:hanging="360"/>
      </w:pPr>
      <w:rPr>
        <w:rFonts w:ascii="Symbol" w:hAnsi="Symbol" w:hint="default"/>
      </w:rPr>
    </w:lvl>
    <w:lvl w:ilvl="8" w:tplc="C1A8CE28" w:tentative="1">
      <w:start w:val="1"/>
      <w:numFmt w:val="bullet"/>
      <w:lvlText w:val=""/>
      <w:lvlJc w:val="left"/>
      <w:pPr>
        <w:tabs>
          <w:tab w:val="num" w:pos="6480"/>
        </w:tabs>
        <w:ind w:left="6480" w:hanging="360"/>
      </w:pPr>
      <w:rPr>
        <w:rFonts w:ascii="Symbol" w:hAnsi="Symbol" w:hint="default"/>
      </w:rPr>
    </w:lvl>
  </w:abstractNum>
  <w:abstractNum w:abstractNumId="4">
    <w:nsid w:val="0E074BF2"/>
    <w:multiLevelType w:val="hybridMultilevel"/>
    <w:tmpl w:val="78A6D9C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1A92FC1"/>
    <w:multiLevelType w:val="hybridMultilevel"/>
    <w:tmpl w:val="531E39A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5EE6F01"/>
    <w:multiLevelType w:val="multilevel"/>
    <w:tmpl w:val="9EB0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C090B"/>
    <w:multiLevelType w:val="hybridMultilevel"/>
    <w:tmpl w:val="4FC00AEE"/>
    <w:lvl w:ilvl="0" w:tplc="C9A692EA">
      <w:start w:val="1"/>
      <w:numFmt w:val="decimal"/>
      <w:lvlText w:val="%1."/>
      <w:lvlJc w:val="left"/>
      <w:pPr>
        <w:ind w:left="644" w:hanging="360"/>
      </w:pPr>
      <w:rPr>
        <w:rFonts w:asciiTheme="majorBidi" w:hAnsiTheme="majorBidi" w:cstheme="majorBidi" w:hint="default"/>
        <w:b w:val="0"/>
        <w:color w:val="auto"/>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7EC5AF3"/>
    <w:multiLevelType w:val="hybridMultilevel"/>
    <w:tmpl w:val="E17CD90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26EA201D"/>
    <w:multiLevelType w:val="hybridMultilevel"/>
    <w:tmpl w:val="6FA2F7BC"/>
    <w:lvl w:ilvl="0" w:tplc="B22E37B6">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B5931CD"/>
    <w:multiLevelType w:val="hybridMultilevel"/>
    <w:tmpl w:val="6648434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2C8C2099"/>
    <w:multiLevelType w:val="hybridMultilevel"/>
    <w:tmpl w:val="0ED68936"/>
    <w:lvl w:ilvl="0" w:tplc="391C542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37975F52"/>
    <w:multiLevelType w:val="hybridMultilevel"/>
    <w:tmpl w:val="51AA6326"/>
    <w:lvl w:ilvl="0" w:tplc="FF3E8206">
      <w:start w:val="1"/>
      <w:numFmt w:val="bullet"/>
      <w:lvlText w:val=""/>
      <w:lvlPicBulletId w:val="0"/>
      <w:lvlJc w:val="left"/>
      <w:pPr>
        <w:tabs>
          <w:tab w:val="num" w:pos="720"/>
        </w:tabs>
        <w:ind w:left="720" w:hanging="360"/>
      </w:pPr>
      <w:rPr>
        <w:rFonts w:ascii="Symbol" w:hAnsi="Symbol" w:hint="default"/>
      </w:rPr>
    </w:lvl>
    <w:lvl w:ilvl="1" w:tplc="97144FF2" w:tentative="1">
      <w:start w:val="1"/>
      <w:numFmt w:val="bullet"/>
      <w:lvlText w:val=""/>
      <w:lvlJc w:val="left"/>
      <w:pPr>
        <w:tabs>
          <w:tab w:val="num" w:pos="1440"/>
        </w:tabs>
        <w:ind w:left="1440" w:hanging="360"/>
      </w:pPr>
      <w:rPr>
        <w:rFonts w:ascii="Symbol" w:hAnsi="Symbol" w:hint="default"/>
      </w:rPr>
    </w:lvl>
    <w:lvl w:ilvl="2" w:tplc="68A86462" w:tentative="1">
      <w:start w:val="1"/>
      <w:numFmt w:val="bullet"/>
      <w:lvlText w:val=""/>
      <w:lvlJc w:val="left"/>
      <w:pPr>
        <w:tabs>
          <w:tab w:val="num" w:pos="2160"/>
        </w:tabs>
        <w:ind w:left="2160" w:hanging="360"/>
      </w:pPr>
      <w:rPr>
        <w:rFonts w:ascii="Symbol" w:hAnsi="Symbol" w:hint="default"/>
      </w:rPr>
    </w:lvl>
    <w:lvl w:ilvl="3" w:tplc="791E1A96" w:tentative="1">
      <w:start w:val="1"/>
      <w:numFmt w:val="bullet"/>
      <w:lvlText w:val=""/>
      <w:lvlJc w:val="left"/>
      <w:pPr>
        <w:tabs>
          <w:tab w:val="num" w:pos="2880"/>
        </w:tabs>
        <w:ind w:left="2880" w:hanging="360"/>
      </w:pPr>
      <w:rPr>
        <w:rFonts w:ascii="Symbol" w:hAnsi="Symbol" w:hint="default"/>
      </w:rPr>
    </w:lvl>
    <w:lvl w:ilvl="4" w:tplc="5676830E" w:tentative="1">
      <w:start w:val="1"/>
      <w:numFmt w:val="bullet"/>
      <w:lvlText w:val=""/>
      <w:lvlJc w:val="left"/>
      <w:pPr>
        <w:tabs>
          <w:tab w:val="num" w:pos="3600"/>
        </w:tabs>
        <w:ind w:left="3600" w:hanging="360"/>
      </w:pPr>
      <w:rPr>
        <w:rFonts w:ascii="Symbol" w:hAnsi="Symbol" w:hint="default"/>
      </w:rPr>
    </w:lvl>
    <w:lvl w:ilvl="5" w:tplc="24F8C570" w:tentative="1">
      <w:start w:val="1"/>
      <w:numFmt w:val="bullet"/>
      <w:lvlText w:val=""/>
      <w:lvlJc w:val="left"/>
      <w:pPr>
        <w:tabs>
          <w:tab w:val="num" w:pos="4320"/>
        </w:tabs>
        <w:ind w:left="4320" w:hanging="360"/>
      </w:pPr>
      <w:rPr>
        <w:rFonts w:ascii="Symbol" w:hAnsi="Symbol" w:hint="default"/>
      </w:rPr>
    </w:lvl>
    <w:lvl w:ilvl="6" w:tplc="11321714" w:tentative="1">
      <w:start w:val="1"/>
      <w:numFmt w:val="bullet"/>
      <w:lvlText w:val=""/>
      <w:lvlJc w:val="left"/>
      <w:pPr>
        <w:tabs>
          <w:tab w:val="num" w:pos="5040"/>
        </w:tabs>
        <w:ind w:left="5040" w:hanging="360"/>
      </w:pPr>
      <w:rPr>
        <w:rFonts w:ascii="Symbol" w:hAnsi="Symbol" w:hint="default"/>
      </w:rPr>
    </w:lvl>
    <w:lvl w:ilvl="7" w:tplc="CB1EC184" w:tentative="1">
      <w:start w:val="1"/>
      <w:numFmt w:val="bullet"/>
      <w:lvlText w:val=""/>
      <w:lvlJc w:val="left"/>
      <w:pPr>
        <w:tabs>
          <w:tab w:val="num" w:pos="5760"/>
        </w:tabs>
        <w:ind w:left="5760" w:hanging="360"/>
      </w:pPr>
      <w:rPr>
        <w:rFonts w:ascii="Symbol" w:hAnsi="Symbol" w:hint="default"/>
      </w:rPr>
    </w:lvl>
    <w:lvl w:ilvl="8" w:tplc="5EE4CAEA" w:tentative="1">
      <w:start w:val="1"/>
      <w:numFmt w:val="bullet"/>
      <w:lvlText w:val=""/>
      <w:lvlJc w:val="left"/>
      <w:pPr>
        <w:tabs>
          <w:tab w:val="num" w:pos="6480"/>
        </w:tabs>
        <w:ind w:left="6480" w:hanging="360"/>
      </w:pPr>
      <w:rPr>
        <w:rFonts w:ascii="Symbol" w:hAnsi="Symbol" w:hint="default"/>
      </w:rPr>
    </w:lvl>
  </w:abstractNum>
  <w:abstractNum w:abstractNumId="13">
    <w:nsid w:val="3B932DCC"/>
    <w:multiLevelType w:val="hybridMultilevel"/>
    <w:tmpl w:val="6FA2F7BC"/>
    <w:lvl w:ilvl="0" w:tplc="B22E37B6">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AC2DE0"/>
    <w:multiLevelType w:val="hybridMultilevel"/>
    <w:tmpl w:val="283291D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2D81577"/>
    <w:multiLevelType w:val="hybridMultilevel"/>
    <w:tmpl w:val="4FC2144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475B402F"/>
    <w:multiLevelType w:val="multilevel"/>
    <w:tmpl w:val="14C4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EC7EAD"/>
    <w:multiLevelType w:val="hybridMultilevel"/>
    <w:tmpl w:val="8E0AA94E"/>
    <w:lvl w:ilvl="0" w:tplc="32F2B5EC">
      <w:numFmt w:val="bullet"/>
      <w:lvlText w:val="-"/>
      <w:lvlJc w:val="left"/>
      <w:pPr>
        <w:ind w:left="495" w:hanging="360"/>
      </w:pPr>
      <w:rPr>
        <w:rFonts w:ascii="Times New Roman" w:eastAsia="Calibri" w:hAnsi="Times New Roman"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8">
    <w:nsid w:val="507A185E"/>
    <w:multiLevelType w:val="hybridMultilevel"/>
    <w:tmpl w:val="045C7A3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52F36997"/>
    <w:multiLevelType w:val="hybridMultilevel"/>
    <w:tmpl w:val="12D8523C"/>
    <w:lvl w:ilvl="0" w:tplc="3B70A522">
      <w:start w:val="1"/>
      <w:numFmt w:val="bullet"/>
      <w:lvlText w:val=""/>
      <w:lvlPicBulletId w:val="0"/>
      <w:lvlJc w:val="left"/>
      <w:pPr>
        <w:tabs>
          <w:tab w:val="num" w:pos="720"/>
        </w:tabs>
        <w:ind w:left="720" w:hanging="360"/>
      </w:pPr>
      <w:rPr>
        <w:rFonts w:ascii="Symbol" w:hAnsi="Symbol" w:hint="default"/>
      </w:rPr>
    </w:lvl>
    <w:lvl w:ilvl="1" w:tplc="7EF2B1D6" w:tentative="1">
      <w:start w:val="1"/>
      <w:numFmt w:val="bullet"/>
      <w:lvlText w:val=""/>
      <w:lvlJc w:val="left"/>
      <w:pPr>
        <w:tabs>
          <w:tab w:val="num" w:pos="1440"/>
        </w:tabs>
        <w:ind w:left="1440" w:hanging="360"/>
      </w:pPr>
      <w:rPr>
        <w:rFonts w:ascii="Symbol" w:hAnsi="Symbol" w:hint="default"/>
      </w:rPr>
    </w:lvl>
    <w:lvl w:ilvl="2" w:tplc="CF686048" w:tentative="1">
      <w:start w:val="1"/>
      <w:numFmt w:val="bullet"/>
      <w:lvlText w:val=""/>
      <w:lvlJc w:val="left"/>
      <w:pPr>
        <w:tabs>
          <w:tab w:val="num" w:pos="2160"/>
        </w:tabs>
        <w:ind w:left="2160" w:hanging="360"/>
      </w:pPr>
      <w:rPr>
        <w:rFonts w:ascii="Symbol" w:hAnsi="Symbol" w:hint="default"/>
      </w:rPr>
    </w:lvl>
    <w:lvl w:ilvl="3" w:tplc="2BE433EE" w:tentative="1">
      <w:start w:val="1"/>
      <w:numFmt w:val="bullet"/>
      <w:lvlText w:val=""/>
      <w:lvlJc w:val="left"/>
      <w:pPr>
        <w:tabs>
          <w:tab w:val="num" w:pos="2880"/>
        </w:tabs>
        <w:ind w:left="2880" w:hanging="360"/>
      </w:pPr>
      <w:rPr>
        <w:rFonts w:ascii="Symbol" w:hAnsi="Symbol" w:hint="default"/>
      </w:rPr>
    </w:lvl>
    <w:lvl w:ilvl="4" w:tplc="8AA68CB0" w:tentative="1">
      <w:start w:val="1"/>
      <w:numFmt w:val="bullet"/>
      <w:lvlText w:val=""/>
      <w:lvlJc w:val="left"/>
      <w:pPr>
        <w:tabs>
          <w:tab w:val="num" w:pos="3600"/>
        </w:tabs>
        <w:ind w:left="3600" w:hanging="360"/>
      </w:pPr>
      <w:rPr>
        <w:rFonts w:ascii="Symbol" w:hAnsi="Symbol" w:hint="default"/>
      </w:rPr>
    </w:lvl>
    <w:lvl w:ilvl="5" w:tplc="DD3269CC" w:tentative="1">
      <w:start w:val="1"/>
      <w:numFmt w:val="bullet"/>
      <w:lvlText w:val=""/>
      <w:lvlJc w:val="left"/>
      <w:pPr>
        <w:tabs>
          <w:tab w:val="num" w:pos="4320"/>
        </w:tabs>
        <w:ind w:left="4320" w:hanging="360"/>
      </w:pPr>
      <w:rPr>
        <w:rFonts w:ascii="Symbol" w:hAnsi="Symbol" w:hint="default"/>
      </w:rPr>
    </w:lvl>
    <w:lvl w:ilvl="6" w:tplc="50869C26" w:tentative="1">
      <w:start w:val="1"/>
      <w:numFmt w:val="bullet"/>
      <w:lvlText w:val=""/>
      <w:lvlJc w:val="left"/>
      <w:pPr>
        <w:tabs>
          <w:tab w:val="num" w:pos="5040"/>
        </w:tabs>
        <w:ind w:left="5040" w:hanging="360"/>
      </w:pPr>
      <w:rPr>
        <w:rFonts w:ascii="Symbol" w:hAnsi="Symbol" w:hint="default"/>
      </w:rPr>
    </w:lvl>
    <w:lvl w:ilvl="7" w:tplc="D0803F2A" w:tentative="1">
      <w:start w:val="1"/>
      <w:numFmt w:val="bullet"/>
      <w:lvlText w:val=""/>
      <w:lvlJc w:val="left"/>
      <w:pPr>
        <w:tabs>
          <w:tab w:val="num" w:pos="5760"/>
        </w:tabs>
        <w:ind w:left="5760" w:hanging="360"/>
      </w:pPr>
      <w:rPr>
        <w:rFonts w:ascii="Symbol" w:hAnsi="Symbol" w:hint="default"/>
      </w:rPr>
    </w:lvl>
    <w:lvl w:ilvl="8" w:tplc="806C2EC6" w:tentative="1">
      <w:start w:val="1"/>
      <w:numFmt w:val="bullet"/>
      <w:lvlText w:val=""/>
      <w:lvlJc w:val="left"/>
      <w:pPr>
        <w:tabs>
          <w:tab w:val="num" w:pos="6480"/>
        </w:tabs>
        <w:ind w:left="6480" w:hanging="360"/>
      </w:pPr>
      <w:rPr>
        <w:rFonts w:ascii="Symbol" w:hAnsi="Symbol" w:hint="default"/>
      </w:rPr>
    </w:lvl>
  </w:abstractNum>
  <w:abstractNum w:abstractNumId="20">
    <w:nsid w:val="5322164D"/>
    <w:multiLevelType w:val="hybridMultilevel"/>
    <w:tmpl w:val="8B6E7EEA"/>
    <w:lvl w:ilvl="0" w:tplc="4A423AE6">
      <w:start w:val="1"/>
      <w:numFmt w:val="bullet"/>
      <w:lvlText w:val=""/>
      <w:lvlPicBulletId w:val="0"/>
      <w:lvlJc w:val="left"/>
      <w:pPr>
        <w:tabs>
          <w:tab w:val="num" w:pos="720"/>
        </w:tabs>
        <w:ind w:left="720" w:hanging="360"/>
      </w:pPr>
      <w:rPr>
        <w:rFonts w:ascii="Symbol" w:hAnsi="Symbol" w:hint="default"/>
      </w:rPr>
    </w:lvl>
    <w:lvl w:ilvl="1" w:tplc="12D615FE" w:tentative="1">
      <w:start w:val="1"/>
      <w:numFmt w:val="bullet"/>
      <w:lvlText w:val=""/>
      <w:lvlJc w:val="left"/>
      <w:pPr>
        <w:tabs>
          <w:tab w:val="num" w:pos="1440"/>
        </w:tabs>
        <w:ind w:left="1440" w:hanging="360"/>
      </w:pPr>
      <w:rPr>
        <w:rFonts w:ascii="Symbol" w:hAnsi="Symbol" w:hint="default"/>
      </w:rPr>
    </w:lvl>
    <w:lvl w:ilvl="2" w:tplc="06A6785A" w:tentative="1">
      <w:start w:val="1"/>
      <w:numFmt w:val="bullet"/>
      <w:lvlText w:val=""/>
      <w:lvlJc w:val="left"/>
      <w:pPr>
        <w:tabs>
          <w:tab w:val="num" w:pos="2160"/>
        </w:tabs>
        <w:ind w:left="2160" w:hanging="360"/>
      </w:pPr>
      <w:rPr>
        <w:rFonts w:ascii="Symbol" w:hAnsi="Symbol" w:hint="default"/>
      </w:rPr>
    </w:lvl>
    <w:lvl w:ilvl="3" w:tplc="9A32F77E" w:tentative="1">
      <w:start w:val="1"/>
      <w:numFmt w:val="bullet"/>
      <w:lvlText w:val=""/>
      <w:lvlJc w:val="left"/>
      <w:pPr>
        <w:tabs>
          <w:tab w:val="num" w:pos="2880"/>
        </w:tabs>
        <w:ind w:left="2880" w:hanging="360"/>
      </w:pPr>
      <w:rPr>
        <w:rFonts w:ascii="Symbol" w:hAnsi="Symbol" w:hint="default"/>
      </w:rPr>
    </w:lvl>
    <w:lvl w:ilvl="4" w:tplc="261E9B50" w:tentative="1">
      <w:start w:val="1"/>
      <w:numFmt w:val="bullet"/>
      <w:lvlText w:val=""/>
      <w:lvlJc w:val="left"/>
      <w:pPr>
        <w:tabs>
          <w:tab w:val="num" w:pos="3600"/>
        </w:tabs>
        <w:ind w:left="3600" w:hanging="360"/>
      </w:pPr>
      <w:rPr>
        <w:rFonts w:ascii="Symbol" w:hAnsi="Symbol" w:hint="default"/>
      </w:rPr>
    </w:lvl>
    <w:lvl w:ilvl="5" w:tplc="CBDE928A" w:tentative="1">
      <w:start w:val="1"/>
      <w:numFmt w:val="bullet"/>
      <w:lvlText w:val=""/>
      <w:lvlJc w:val="left"/>
      <w:pPr>
        <w:tabs>
          <w:tab w:val="num" w:pos="4320"/>
        </w:tabs>
        <w:ind w:left="4320" w:hanging="360"/>
      </w:pPr>
      <w:rPr>
        <w:rFonts w:ascii="Symbol" w:hAnsi="Symbol" w:hint="default"/>
      </w:rPr>
    </w:lvl>
    <w:lvl w:ilvl="6" w:tplc="23FCE7A4" w:tentative="1">
      <w:start w:val="1"/>
      <w:numFmt w:val="bullet"/>
      <w:lvlText w:val=""/>
      <w:lvlJc w:val="left"/>
      <w:pPr>
        <w:tabs>
          <w:tab w:val="num" w:pos="5040"/>
        </w:tabs>
        <w:ind w:left="5040" w:hanging="360"/>
      </w:pPr>
      <w:rPr>
        <w:rFonts w:ascii="Symbol" w:hAnsi="Symbol" w:hint="default"/>
      </w:rPr>
    </w:lvl>
    <w:lvl w:ilvl="7" w:tplc="204ECC4C" w:tentative="1">
      <w:start w:val="1"/>
      <w:numFmt w:val="bullet"/>
      <w:lvlText w:val=""/>
      <w:lvlJc w:val="left"/>
      <w:pPr>
        <w:tabs>
          <w:tab w:val="num" w:pos="5760"/>
        </w:tabs>
        <w:ind w:left="5760" w:hanging="360"/>
      </w:pPr>
      <w:rPr>
        <w:rFonts w:ascii="Symbol" w:hAnsi="Symbol" w:hint="default"/>
      </w:rPr>
    </w:lvl>
    <w:lvl w:ilvl="8" w:tplc="1DB065E6" w:tentative="1">
      <w:start w:val="1"/>
      <w:numFmt w:val="bullet"/>
      <w:lvlText w:val=""/>
      <w:lvlJc w:val="left"/>
      <w:pPr>
        <w:tabs>
          <w:tab w:val="num" w:pos="6480"/>
        </w:tabs>
        <w:ind w:left="6480" w:hanging="360"/>
      </w:pPr>
      <w:rPr>
        <w:rFonts w:ascii="Symbol" w:hAnsi="Symbol" w:hint="default"/>
      </w:rPr>
    </w:lvl>
  </w:abstractNum>
  <w:abstractNum w:abstractNumId="21">
    <w:nsid w:val="559E5E48"/>
    <w:multiLevelType w:val="hybridMultilevel"/>
    <w:tmpl w:val="8CCE61C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9B414F3"/>
    <w:multiLevelType w:val="hybridMultilevel"/>
    <w:tmpl w:val="BC5A44E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D820F2B"/>
    <w:multiLevelType w:val="hybridMultilevel"/>
    <w:tmpl w:val="358A3D7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E36155C"/>
    <w:multiLevelType w:val="hybridMultilevel"/>
    <w:tmpl w:val="30BC1D1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F5D4B78"/>
    <w:multiLevelType w:val="hybridMultilevel"/>
    <w:tmpl w:val="FBD22DB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08A6443"/>
    <w:multiLevelType w:val="hybridMultilevel"/>
    <w:tmpl w:val="6A1C3EA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36151A5"/>
    <w:multiLevelType w:val="hybridMultilevel"/>
    <w:tmpl w:val="6FA2F7BC"/>
    <w:lvl w:ilvl="0" w:tplc="B22E37B6">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51F1B35"/>
    <w:multiLevelType w:val="hybridMultilevel"/>
    <w:tmpl w:val="E3DA9EE4"/>
    <w:lvl w:ilvl="0" w:tplc="3CC22744">
      <w:start w:val="1"/>
      <w:numFmt w:val="bullet"/>
      <w:lvlText w:val=""/>
      <w:lvlPicBulletId w:val="0"/>
      <w:lvlJc w:val="left"/>
      <w:pPr>
        <w:tabs>
          <w:tab w:val="num" w:pos="720"/>
        </w:tabs>
        <w:ind w:left="720" w:hanging="360"/>
      </w:pPr>
      <w:rPr>
        <w:rFonts w:ascii="Symbol" w:hAnsi="Symbol" w:hint="default"/>
      </w:rPr>
    </w:lvl>
    <w:lvl w:ilvl="1" w:tplc="A38808AE" w:tentative="1">
      <w:start w:val="1"/>
      <w:numFmt w:val="bullet"/>
      <w:lvlText w:val=""/>
      <w:lvlJc w:val="left"/>
      <w:pPr>
        <w:tabs>
          <w:tab w:val="num" w:pos="1440"/>
        </w:tabs>
        <w:ind w:left="1440" w:hanging="360"/>
      </w:pPr>
      <w:rPr>
        <w:rFonts w:ascii="Symbol" w:hAnsi="Symbol" w:hint="default"/>
      </w:rPr>
    </w:lvl>
    <w:lvl w:ilvl="2" w:tplc="461650B4" w:tentative="1">
      <w:start w:val="1"/>
      <w:numFmt w:val="bullet"/>
      <w:lvlText w:val=""/>
      <w:lvlJc w:val="left"/>
      <w:pPr>
        <w:tabs>
          <w:tab w:val="num" w:pos="2160"/>
        </w:tabs>
        <w:ind w:left="2160" w:hanging="360"/>
      </w:pPr>
      <w:rPr>
        <w:rFonts w:ascii="Symbol" w:hAnsi="Symbol" w:hint="default"/>
      </w:rPr>
    </w:lvl>
    <w:lvl w:ilvl="3" w:tplc="8D9628BA" w:tentative="1">
      <w:start w:val="1"/>
      <w:numFmt w:val="bullet"/>
      <w:lvlText w:val=""/>
      <w:lvlJc w:val="left"/>
      <w:pPr>
        <w:tabs>
          <w:tab w:val="num" w:pos="2880"/>
        </w:tabs>
        <w:ind w:left="2880" w:hanging="360"/>
      </w:pPr>
      <w:rPr>
        <w:rFonts w:ascii="Symbol" w:hAnsi="Symbol" w:hint="default"/>
      </w:rPr>
    </w:lvl>
    <w:lvl w:ilvl="4" w:tplc="E2349BB8" w:tentative="1">
      <w:start w:val="1"/>
      <w:numFmt w:val="bullet"/>
      <w:lvlText w:val=""/>
      <w:lvlJc w:val="left"/>
      <w:pPr>
        <w:tabs>
          <w:tab w:val="num" w:pos="3600"/>
        </w:tabs>
        <w:ind w:left="3600" w:hanging="360"/>
      </w:pPr>
      <w:rPr>
        <w:rFonts w:ascii="Symbol" w:hAnsi="Symbol" w:hint="default"/>
      </w:rPr>
    </w:lvl>
    <w:lvl w:ilvl="5" w:tplc="5440AA1A" w:tentative="1">
      <w:start w:val="1"/>
      <w:numFmt w:val="bullet"/>
      <w:lvlText w:val=""/>
      <w:lvlJc w:val="left"/>
      <w:pPr>
        <w:tabs>
          <w:tab w:val="num" w:pos="4320"/>
        </w:tabs>
        <w:ind w:left="4320" w:hanging="360"/>
      </w:pPr>
      <w:rPr>
        <w:rFonts w:ascii="Symbol" w:hAnsi="Symbol" w:hint="default"/>
      </w:rPr>
    </w:lvl>
    <w:lvl w:ilvl="6" w:tplc="5CC6A00A" w:tentative="1">
      <w:start w:val="1"/>
      <w:numFmt w:val="bullet"/>
      <w:lvlText w:val=""/>
      <w:lvlJc w:val="left"/>
      <w:pPr>
        <w:tabs>
          <w:tab w:val="num" w:pos="5040"/>
        </w:tabs>
        <w:ind w:left="5040" w:hanging="360"/>
      </w:pPr>
      <w:rPr>
        <w:rFonts w:ascii="Symbol" w:hAnsi="Symbol" w:hint="default"/>
      </w:rPr>
    </w:lvl>
    <w:lvl w:ilvl="7" w:tplc="0A3AD880" w:tentative="1">
      <w:start w:val="1"/>
      <w:numFmt w:val="bullet"/>
      <w:lvlText w:val=""/>
      <w:lvlJc w:val="left"/>
      <w:pPr>
        <w:tabs>
          <w:tab w:val="num" w:pos="5760"/>
        </w:tabs>
        <w:ind w:left="5760" w:hanging="360"/>
      </w:pPr>
      <w:rPr>
        <w:rFonts w:ascii="Symbol" w:hAnsi="Symbol" w:hint="default"/>
      </w:rPr>
    </w:lvl>
    <w:lvl w:ilvl="8" w:tplc="4560D9E0" w:tentative="1">
      <w:start w:val="1"/>
      <w:numFmt w:val="bullet"/>
      <w:lvlText w:val=""/>
      <w:lvlJc w:val="left"/>
      <w:pPr>
        <w:tabs>
          <w:tab w:val="num" w:pos="6480"/>
        </w:tabs>
        <w:ind w:left="6480" w:hanging="360"/>
      </w:pPr>
      <w:rPr>
        <w:rFonts w:ascii="Symbol" w:hAnsi="Symbol" w:hint="default"/>
      </w:rPr>
    </w:lvl>
  </w:abstractNum>
  <w:abstractNum w:abstractNumId="29">
    <w:nsid w:val="6985722C"/>
    <w:multiLevelType w:val="hybridMultilevel"/>
    <w:tmpl w:val="96E084A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6CE44682"/>
    <w:multiLevelType w:val="multilevel"/>
    <w:tmpl w:val="DB94565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DFA70CB"/>
    <w:multiLevelType w:val="hybridMultilevel"/>
    <w:tmpl w:val="FD96111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nsid w:val="77B76D6E"/>
    <w:multiLevelType w:val="hybridMultilevel"/>
    <w:tmpl w:val="AB543B4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79946F62"/>
    <w:multiLevelType w:val="hybridMultilevel"/>
    <w:tmpl w:val="C6E270FA"/>
    <w:lvl w:ilvl="0" w:tplc="826C0954">
      <w:start w:val="1"/>
      <w:numFmt w:val="bullet"/>
      <w:lvlText w:val=""/>
      <w:lvlPicBulletId w:val="0"/>
      <w:lvlJc w:val="left"/>
      <w:pPr>
        <w:tabs>
          <w:tab w:val="num" w:pos="720"/>
        </w:tabs>
        <w:ind w:left="720" w:hanging="360"/>
      </w:pPr>
      <w:rPr>
        <w:rFonts w:ascii="Symbol" w:hAnsi="Symbol" w:hint="default"/>
      </w:rPr>
    </w:lvl>
    <w:lvl w:ilvl="1" w:tplc="3DCE5436" w:tentative="1">
      <w:start w:val="1"/>
      <w:numFmt w:val="bullet"/>
      <w:lvlText w:val=""/>
      <w:lvlJc w:val="left"/>
      <w:pPr>
        <w:tabs>
          <w:tab w:val="num" w:pos="1440"/>
        </w:tabs>
        <w:ind w:left="1440" w:hanging="360"/>
      </w:pPr>
      <w:rPr>
        <w:rFonts w:ascii="Symbol" w:hAnsi="Symbol" w:hint="default"/>
      </w:rPr>
    </w:lvl>
    <w:lvl w:ilvl="2" w:tplc="0BD08682" w:tentative="1">
      <w:start w:val="1"/>
      <w:numFmt w:val="bullet"/>
      <w:lvlText w:val=""/>
      <w:lvlJc w:val="left"/>
      <w:pPr>
        <w:tabs>
          <w:tab w:val="num" w:pos="2160"/>
        </w:tabs>
        <w:ind w:left="2160" w:hanging="360"/>
      </w:pPr>
      <w:rPr>
        <w:rFonts w:ascii="Symbol" w:hAnsi="Symbol" w:hint="default"/>
      </w:rPr>
    </w:lvl>
    <w:lvl w:ilvl="3" w:tplc="A33E0D10" w:tentative="1">
      <w:start w:val="1"/>
      <w:numFmt w:val="bullet"/>
      <w:lvlText w:val=""/>
      <w:lvlJc w:val="left"/>
      <w:pPr>
        <w:tabs>
          <w:tab w:val="num" w:pos="2880"/>
        </w:tabs>
        <w:ind w:left="2880" w:hanging="360"/>
      </w:pPr>
      <w:rPr>
        <w:rFonts w:ascii="Symbol" w:hAnsi="Symbol" w:hint="default"/>
      </w:rPr>
    </w:lvl>
    <w:lvl w:ilvl="4" w:tplc="A0C06296" w:tentative="1">
      <w:start w:val="1"/>
      <w:numFmt w:val="bullet"/>
      <w:lvlText w:val=""/>
      <w:lvlJc w:val="left"/>
      <w:pPr>
        <w:tabs>
          <w:tab w:val="num" w:pos="3600"/>
        </w:tabs>
        <w:ind w:left="3600" w:hanging="360"/>
      </w:pPr>
      <w:rPr>
        <w:rFonts w:ascii="Symbol" w:hAnsi="Symbol" w:hint="default"/>
      </w:rPr>
    </w:lvl>
    <w:lvl w:ilvl="5" w:tplc="906872A0" w:tentative="1">
      <w:start w:val="1"/>
      <w:numFmt w:val="bullet"/>
      <w:lvlText w:val=""/>
      <w:lvlJc w:val="left"/>
      <w:pPr>
        <w:tabs>
          <w:tab w:val="num" w:pos="4320"/>
        </w:tabs>
        <w:ind w:left="4320" w:hanging="360"/>
      </w:pPr>
      <w:rPr>
        <w:rFonts w:ascii="Symbol" w:hAnsi="Symbol" w:hint="default"/>
      </w:rPr>
    </w:lvl>
    <w:lvl w:ilvl="6" w:tplc="EA30BD02" w:tentative="1">
      <w:start w:val="1"/>
      <w:numFmt w:val="bullet"/>
      <w:lvlText w:val=""/>
      <w:lvlJc w:val="left"/>
      <w:pPr>
        <w:tabs>
          <w:tab w:val="num" w:pos="5040"/>
        </w:tabs>
        <w:ind w:left="5040" w:hanging="360"/>
      </w:pPr>
      <w:rPr>
        <w:rFonts w:ascii="Symbol" w:hAnsi="Symbol" w:hint="default"/>
      </w:rPr>
    </w:lvl>
    <w:lvl w:ilvl="7" w:tplc="690E96D8" w:tentative="1">
      <w:start w:val="1"/>
      <w:numFmt w:val="bullet"/>
      <w:lvlText w:val=""/>
      <w:lvlJc w:val="left"/>
      <w:pPr>
        <w:tabs>
          <w:tab w:val="num" w:pos="5760"/>
        </w:tabs>
        <w:ind w:left="5760" w:hanging="360"/>
      </w:pPr>
      <w:rPr>
        <w:rFonts w:ascii="Symbol" w:hAnsi="Symbol" w:hint="default"/>
      </w:rPr>
    </w:lvl>
    <w:lvl w:ilvl="8" w:tplc="826875A4" w:tentative="1">
      <w:start w:val="1"/>
      <w:numFmt w:val="bullet"/>
      <w:lvlText w:val=""/>
      <w:lvlJc w:val="left"/>
      <w:pPr>
        <w:tabs>
          <w:tab w:val="num" w:pos="6480"/>
        </w:tabs>
        <w:ind w:left="6480" w:hanging="360"/>
      </w:pPr>
      <w:rPr>
        <w:rFonts w:ascii="Symbol" w:hAnsi="Symbol" w:hint="default"/>
      </w:rPr>
    </w:lvl>
  </w:abstractNum>
  <w:num w:numId="1">
    <w:abstractNumId w:val="30"/>
  </w:num>
  <w:num w:numId="2">
    <w:abstractNumId w:val="19"/>
  </w:num>
  <w:num w:numId="3">
    <w:abstractNumId w:val="20"/>
  </w:num>
  <w:num w:numId="4">
    <w:abstractNumId w:val="0"/>
  </w:num>
  <w:num w:numId="5">
    <w:abstractNumId w:val="28"/>
  </w:num>
  <w:num w:numId="6">
    <w:abstractNumId w:val="1"/>
  </w:num>
  <w:num w:numId="7">
    <w:abstractNumId w:val="3"/>
  </w:num>
  <w:num w:numId="8">
    <w:abstractNumId w:val="33"/>
  </w:num>
  <w:num w:numId="9">
    <w:abstractNumId w:val="12"/>
  </w:num>
  <w:num w:numId="10">
    <w:abstractNumId w:val="7"/>
  </w:num>
  <w:num w:numId="11">
    <w:abstractNumId w:val="11"/>
  </w:num>
  <w:num w:numId="12">
    <w:abstractNumId w:val="4"/>
  </w:num>
  <w:num w:numId="13">
    <w:abstractNumId w:val="18"/>
  </w:num>
  <w:num w:numId="14">
    <w:abstractNumId w:val="15"/>
  </w:num>
  <w:num w:numId="15">
    <w:abstractNumId w:val="26"/>
  </w:num>
  <w:num w:numId="16">
    <w:abstractNumId w:val="25"/>
  </w:num>
  <w:num w:numId="17">
    <w:abstractNumId w:val="14"/>
  </w:num>
  <w:num w:numId="18">
    <w:abstractNumId w:val="22"/>
  </w:num>
  <w:num w:numId="19">
    <w:abstractNumId w:val="10"/>
  </w:num>
  <w:num w:numId="20">
    <w:abstractNumId w:val="8"/>
  </w:num>
  <w:num w:numId="21">
    <w:abstractNumId w:val="29"/>
  </w:num>
  <w:num w:numId="22">
    <w:abstractNumId w:val="31"/>
  </w:num>
  <w:num w:numId="23">
    <w:abstractNumId w:val="27"/>
  </w:num>
  <w:num w:numId="24">
    <w:abstractNumId w:val="17"/>
  </w:num>
  <w:num w:numId="25">
    <w:abstractNumId w:val="24"/>
  </w:num>
  <w:num w:numId="26">
    <w:abstractNumId w:val="2"/>
  </w:num>
  <w:num w:numId="27">
    <w:abstractNumId w:val="13"/>
  </w:num>
  <w:num w:numId="28">
    <w:abstractNumId w:val="9"/>
  </w:num>
  <w:num w:numId="29">
    <w:abstractNumId w:val="16"/>
  </w:num>
  <w:num w:numId="30">
    <w:abstractNumId w:val="6"/>
  </w:num>
  <w:num w:numId="31">
    <w:abstractNumId w:val="21"/>
  </w:num>
  <w:num w:numId="32">
    <w:abstractNumId w:val="32"/>
  </w:num>
  <w:num w:numId="33">
    <w:abstractNumId w:val="5"/>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173E57"/>
    <w:rsid w:val="00000FA5"/>
    <w:rsid w:val="00001552"/>
    <w:rsid w:val="00002A85"/>
    <w:rsid w:val="00002AB1"/>
    <w:rsid w:val="00003675"/>
    <w:rsid w:val="0000462A"/>
    <w:rsid w:val="00005027"/>
    <w:rsid w:val="00007FBF"/>
    <w:rsid w:val="000102CD"/>
    <w:rsid w:val="000104D7"/>
    <w:rsid w:val="000108CF"/>
    <w:rsid w:val="000115F0"/>
    <w:rsid w:val="00011998"/>
    <w:rsid w:val="00011CFD"/>
    <w:rsid w:val="000134A9"/>
    <w:rsid w:val="00013FDF"/>
    <w:rsid w:val="00014581"/>
    <w:rsid w:val="00014D23"/>
    <w:rsid w:val="00016184"/>
    <w:rsid w:val="00017722"/>
    <w:rsid w:val="000178D0"/>
    <w:rsid w:val="0002351C"/>
    <w:rsid w:val="0002448C"/>
    <w:rsid w:val="00024535"/>
    <w:rsid w:val="00025653"/>
    <w:rsid w:val="00027307"/>
    <w:rsid w:val="00027D76"/>
    <w:rsid w:val="0003148D"/>
    <w:rsid w:val="00031D95"/>
    <w:rsid w:val="00032E5E"/>
    <w:rsid w:val="000334A3"/>
    <w:rsid w:val="00035930"/>
    <w:rsid w:val="00035C8F"/>
    <w:rsid w:val="000368B3"/>
    <w:rsid w:val="00036A46"/>
    <w:rsid w:val="00040245"/>
    <w:rsid w:val="000402D8"/>
    <w:rsid w:val="00041945"/>
    <w:rsid w:val="0004356E"/>
    <w:rsid w:val="00045A0D"/>
    <w:rsid w:val="00045CB2"/>
    <w:rsid w:val="000467C7"/>
    <w:rsid w:val="00046EFD"/>
    <w:rsid w:val="00047269"/>
    <w:rsid w:val="000473C8"/>
    <w:rsid w:val="00051F5B"/>
    <w:rsid w:val="000523CA"/>
    <w:rsid w:val="000548B6"/>
    <w:rsid w:val="00055F12"/>
    <w:rsid w:val="000570AD"/>
    <w:rsid w:val="00060D79"/>
    <w:rsid w:val="00060F47"/>
    <w:rsid w:val="000616F5"/>
    <w:rsid w:val="000638FE"/>
    <w:rsid w:val="00063ACC"/>
    <w:rsid w:val="00064D3B"/>
    <w:rsid w:val="00065FEA"/>
    <w:rsid w:val="00067F0B"/>
    <w:rsid w:val="000716C3"/>
    <w:rsid w:val="000720FB"/>
    <w:rsid w:val="000730F2"/>
    <w:rsid w:val="0007520B"/>
    <w:rsid w:val="000755AC"/>
    <w:rsid w:val="00077CF9"/>
    <w:rsid w:val="0008075B"/>
    <w:rsid w:val="00080FC2"/>
    <w:rsid w:val="00082787"/>
    <w:rsid w:val="000855BF"/>
    <w:rsid w:val="000910ED"/>
    <w:rsid w:val="00091252"/>
    <w:rsid w:val="00092A9D"/>
    <w:rsid w:val="00093278"/>
    <w:rsid w:val="000934CE"/>
    <w:rsid w:val="00094196"/>
    <w:rsid w:val="00094509"/>
    <w:rsid w:val="00094A7C"/>
    <w:rsid w:val="00097FF1"/>
    <w:rsid w:val="000A0C4D"/>
    <w:rsid w:val="000A0D52"/>
    <w:rsid w:val="000A14D6"/>
    <w:rsid w:val="000A1688"/>
    <w:rsid w:val="000A169A"/>
    <w:rsid w:val="000A20AC"/>
    <w:rsid w:val="000A22CB"/>
    <w:rsid w:val="000A388B"/>
    <w:rsid w:val="000B07DB"/>
    <w:rsid w:val="000B1A4B"/>
    <w:rsid w:val="000B2334"/>
    <w:rsid w:val="000B4805"/>
    <w:rsid w:val="000B534E"/>
    <w:rsid w:val="000B54F5"/>
    <w:rsid w:val="000B6D3E"/>
    <w:rsid w:val="000B7887"/>
    <w:rsid w:val="000B7ED2"/>
    <w:rsid w:val="000C0311"/>
    <w:rsid w:val="000C14A3"/>
    <w:rsid w:val="000C170C"/>
    <w:rsid w:val="000C35FD"/>
    <w:rsid w:val="000C3E4D"/>
    <w:rsid w:val="000C4D71"/>
    <w:rsid w:val="000C50AB"/>
    <w:rsid w:val="000C57ED"/>
    <w:rsid w:val="000C6B59"/>
    <w:rsid w:val="000D0D9B"/>
    <w:rsid w:val="000D1751"/>
    <w:rsid w:val="000D185A"/>
    <w:rsid w:val="000D1F58"/>
    <w:rsid w:val="000D3FDB"/>
    <w:rsid w:val="000D48BD"/>
    <w:rsid w:val="000D4B5A"/>
    <w:rsid w:val="000E06DB"/>
    <w:rsid w:val="000E10B6"/>
    <w:rsid w:val="000E14FC"/>
    <w:rsid w:val="000E1CA0"/>
    <w:rsid w:val="000E1F27"/>
    <w:rsid w:val="000E53EC"/>
    <w:rsid w:val="000E60F2"/>
    <w:rsid w:val="000E69A7"/>
    <w:rsid w:val="000E69E0"/>
    <w:rsid w:val="000E6F40"/>
    <w:rsid w:val="000E753B"/>
    <w:rsid w:val="000E791A"/>
    <w:rsid w:val="000F0B1E"/>
    <w:rsid w:val="000F0C88"/>
    <w:rsid w:val="000F2743"/>
    <w:rsid w:val="000F2EFE"/>
    <w:rsid w:val="000F30CB"/>
    <w:rsid w:val="000F3FC2"/>
    <w:rsid w:val="000F6253"/>
    <w:rsid w:val="000F65C5"/>
    <w:rsid w:val="000F6E19"/>
    <w:rsid w:val="000F752D"/>
    <w:rsid w:val="000F7C1A"/>
    <w:rsid w:val="00100051"/>
    <w:rsid w:val="00100601"/>
    <w:rsid w:val="00101EA5"/>
    <w:rsid w:val="0010284F"/>
    <w:rsid w:val="00103790"/>
    <w:rsid w:val="00103F25"/>
    <w:rsid w:val="00104152"/>
    <w:rsid w:val="00104EE3"/>
    <w:rsid w:val="00104F8A"/>
    <w:rsid w:val="00105F7C"/>
    <w:rsid w:val="00106EA8"/>
    <w:rsid w:val="00112B44"/>
    <w:rsid w:val="00113151"/>
    <w:rsid w:val="00116245"/>
    <w:rsid w:val="00117342"/>
    <w:rsid w:val="00117870"/>
    <w:rsid w:val="00117AEE"/>
    <w:rsid w:val="0012081E"/>
    <w:rsid w:val="001244EF"/>
    <w:rsid w:val="00124EDF"/>
    <w:rsid w:val="001273C3"/>
    <w:rsid w:val="001276AE"/>
    <w:rsid w:val="0013056F"/>
    <w:rsid w:val="001331DE"/>
    <w:rsid w:val="00133A5D"/>
    <w:rsid w:val="001360E5"/>
    <w:rsid w:val="001365DA"/>
    <w:rsid w:val="001365FC"/>
    <w:rsid w:val="001413BE"/>
    <w:rsid w:val="001416C1"/>
    <w:rsid w:val="00142164"/>
    <w:rsid w:val="001424EB"/>
    <w:rsid w:val="00143388"/>
    <w:rsid w:val="00143627"/>
    <w:rsid w:val="001457E2"/>
    <w:rsid w:val="00147404"/>
    <w:rsid w:val="00147858"/>
    <w:rsid w:val="00150C3D"/>
    <w:rsid w:val="00152218"/>
    <w:rsid w:val="001545FF"/>
    <w:rsid w:val="00154B35"/>
    <w:rsid w:val="00155142"/>
    <w:rsid w:val="0015548F"/>
    <w:rsid w:val="001563E1"/>
    <w:rsid w:val="00157843"/>
    <w:rsid w:val="00157DD2"/>
    <w:rsid w:val="00160084"/>
    <w:rsid w:val="00160A9C"/>
    <w:rsid w:val="001616C0"/>
    <w:rsid w:val="001620F8"/>
    <w:rsid w:val="00162198"/>
    <w:rsid w:val="001621D8"/>
    <w:rsid w:val="001633C7"/>
    <w:rsid w:val="0016565A"/>
    <w:rsid w:val="00166F33"/>
    <w:rsid w:val="001673A6"/>
    <w:rsid w:val="00167F42"/>
    <w:rsid w:val="00171BCA"/>
    <w:rsid w:val="00172F12"/>
    <w:rsid w:val="001730D6"/>
    <w:rsid w:val="001736C9"/>
    <w:rsid w:val="00173898"/>
    <w:rsid w:val="00173E57"/>
    <w:rsid w:val="00174716"/>
    <w:rsid w:val="00176E69"/>
    <w:rsid w:val="00177180"/>
    <w:rsid w:val="00177912"/>
    <w:rsid w:val="00177E5C"/>
    <w:rsid w:val="0018018F"/>
    <w:rsid w:val="00180485"/>
    <w:rsid w:val="00180A2C"/>
    <w:rsid w:val="00182208"/>
    <w:rsid w:val="001822B8"/>
    <w:rsid w:val="00184433"/>
    <w:rsid w:val="00186117"/>
    <w:rsid w:val="00186B62"/>
    <w:rsid w:val="00186D83"/>
    <w:rsid w:val="001938F0"/>
    <w:rsid w:val="00195A7E"/>
    <w:rsid w:val="001964F4"/>
    <w:rsid w:val="00197760"/>
    <w:rsid w:val="001A1DD3"/>
    <w:rsid w:val="001A24A0"/>
    <w:rsid w:val="001A4910"/>
    <w:rsid w:val="001A4DB0"/>
    <w:rsid w:val="001A5AE7"/>
    <w:rsid w:val="001A73E9"/>
    <w:rsid w:val="001A777A"/>
    <w:rsid w:val="001A7980"/>
    <w:rsid w:val="001A7D60"/>
    <w:rsid w:val="001B0D94"/>
    <w:rsid w:val="001B1CA2"/>
    <w:rsid w:val="001B309B"/>
    <w:rsid w:val="001B3350"/>
    <w:rsid w:val="001B466C"/>
    <w:rsid w:val="001B55DA"/>
    <w:rsid w:val="001B6E0D"/>
    <w:rsid w:val="001B7F60"/>
    <w:rsid w:val="001C05B8"/>
    <w:rsid w:val="001C0B5B"/>
    <w:rsid w:val="001C59B5"/>
    <w:rsid w:val="001C7A38"/>
    <w:rsid w:val="001D054B"/>
    <w:rsid w:val="001D330D"/>
    <w:rsid w:val="001D397F"/>
    <w:rsid w:val="001D4054"/>
    <w:rsid w:val="001D4138"/>
    <w:rsid w:val="001D48E6"/>
    <w:rsid w:val="001D5E35"/>
    <w:rsid w:val="001D7E39"/>
    <w:rsid w:val="001E0814"/>
    <w:rsid w:val="001E0D08"/>
    <w:rsid w:val="001E1395"/>
    <w:rsid w:val="001E2C84"/>
    <w:rsid w:val="001E4744"/>
    <w:rsid w:val="001E5324"/>
    <w:rsid w:val="001E6F39"/>
    <w:rsid w:val="001F0546"/>
    <w:rsid w:val="001F1D2C"/>
    <w:rsid w:val="001F1FBA"/>
    <w:rsid w:val="001F24F5"/>
    <w:rsid w:val="001F4F65"/>
    <w:rsid w:val="00200D63"/>
    <w:rsid w:val="00200D7C"/>
    <w:rsid w:val="00201338"/>
    <w:rsid w:val="0020258A"/>
    <w:rsid w:val="00204010"/>
    <w:rsid w:val="002059CE"/>
    <w:rsid w:val="00206ACD"/>
    <w:rsid w:val="00211770"/>
    <w:rsid w:val="002118C8"/>
    <w:rsid w:val="002125C4"/>
    <w:rsid w:val="00212D93"/>
    <w:rsid w:val="00212E09"/>
    <w:rsid w:val="00214ACD"/>
    <w:rsid w:val="00214C93"/>
    <w:rsid w:val="002154BC"/>
    <w:rsid w:val="00217630"/>
    <w:rsid w:val="00220208"/>
    <w:rsid w:val="00220E9F"/>
    <w:rsid w:val="00221178"/>
    <w:rsid w:val="00223994"/>
    <w:rsid w:val="00223B85"/>
    <w:rsid w:val="0022610B"/>
    <w:rsid w:val="00226E5E"/>
    <w:rsid w:val="002300A5"/>
    <w:rsid w:val="0023328C"/>
    <w:rsid w:val="002338FC"/>
    <w:rsid w:val="002343AD"/>
    <w:rsid w:val="00234933"/>
    <w:rsid w:val="00237530"/>
    <w:rsid w:val="00242B7C"/>
    <w:rsid w:val="002437B8"/>
    <w:rsid w:val="00246256"/>
    <w:rsid w:val="00246609"/>
    <w:rsid w:val="00250C08"/>
    <w:rsid w:val="00252570"/>
    <w:rsid w:val="00252C39"/>
    <w:rsid w:val="0025681A"/>
    <w:rsid w:val="00257DBB"/>
    <w:rsid w:val="00262714"/>
    <w:rsid w:val="00263183"/>
    <w:rsid w:val="00263B61"/>
    <w:rsid w:val="002643EB"/>
    <w:rsid w:val="00264473"/>
    <w:rsid w:val="0026554B"/>
    <w:rsid w:val="002656AC"/>
    <w:rsid w:val="002705F6"/>
    <w:rsid w:val="00272E2D"/>
    <w:rsid w:val="00273509"/>
    <w:rsid w:val="0027510E"/>
    <w:rsid w:val="00276355"/>
    <w:rsid w:val="002772D7"/>
    <w:rsid w:val="002776D3"/>
    <w:rsid w:val="00280450"/>
    <w:rsid w:val="0028265C"/>
    <w:rsid w:val="002844DD"/>
    <w:rsid w:val="0028505B"/>
    <w:rsid w:val="0029299B"/>
    <w:rsid w:val="00293B69"/>
    <w:rsid w:val="00294758"/>
    <w:rsid w:val="0029536C"/>
    <w:rsid w:val="00295B2F"/>
    <w:rsid w:val="00296AE0"/>
    <w:rsid w:val="00297805"/>
    <w:rsid w:val="002A69EF"/>
    <w:rsid w:val="002A6A13"/>
    <w:rsid w:val="002A6FDE"/>
    <w:rsid w:val="002A7E89"/>
    <w:rsid w:val="002B17BF"/>
    <w:rsid w:val="002B3627"/>
    <w:rsid w:val="002B3E72"/>
    <w:rsid w:val="002B4027"/>
    <w:rsid w:val="002B458E"/>
    <w:rsid w:val="002B4686"/>
    <w:rsid w:val="002B4ED0"/>
    <w:rsid w:val="002B6009"/>
    <w:rsid w:val="002B6420"/>
    <w:rsid w:val="002C0041"/>
    <w:rsid w:val="002C01EE"/>
    <w:rsid w:val="002C0C3E"/>
    <w:rsid w:val="002C140E"/>
    <w:rsid w:val="002C1C8A"/>
    <w:rsid w:val="002C2C1D"/>
    <w:rsid w:val="002C39B5"/>
    <w:rsid w:val="002C42AA"/>
    <w:rsid w:val="002C4CFD"/>
    <w:rsid w:val="002C4E4D"/>
    <w:rsid w:val="002C530B"/>
    <w:rsid w:val="002C53E9"/>
    <w:rsid w:val="002C54C9"/>
    <w:rsid w:val="002C7240"/>
    <w:rsid w:val="002D1BED"/>
    <w:rsid w:val="002D3426"/>
    <w:rsid w:val="002D5D05"/>
    <w:rsid w:val="002D6A46"/>
    <w:rsid w:val="002D752D"/>
    <w:rsid w:val="002D7E41"/>
    <w:rsid w:val="002E0449"/>
    <w:rsid w:val="002E098E"/>
    <w:rsid w:val="002E11F6"/>
    <w:rsid w:val="002E1CE3"/>
    <w:rsid w:val="002E2035"/>
    <w:rsid w:val="002E22F9"/>
    <w:rsid w:val="002E345F"/>
    <w:rsid w:val="002E3A3A"/>
    <w:rsid w:val="002E5215"/>
    <w:rsid w:val="002E54BB"/>
    <w:rsid w:val="002E7EB5"/>
    <w:rsid w:val="002E7EE3"/>
    <w:rsid w:val="002E7F81"/>
    <w:rsid w:val="002F15C6"/>
    <w:rsid w:val="002F1E19"/>
    <w:rsid w:val="002F2B99"/>
    <w:rsid w:val="002F3679"/>
    <w:rsid w:val="002F67DF"/>
    <w:rsid w:val="002F7E95"/>
    <w:rsid w:val="00300625"/>
    <w:rsid w:val="00302596"/>
    <w:rsid w:val="00305363"/>
    <w:rsid w:val="003065C9"/>
    <w:rsid w:val="00307B30"/>
    <w:rsid w:val="00310A84"/>
    <w:rsid w:val="00311029"/>
    <w:rsid w:val="003110BB"/>
    <w:rsid w:val="0031135F"/>
    <w:rsid w:val="0031147A"/>
    <w:rsid w:val="00311767"/>
    <w:rsid w:val="0031247F"/>
    <w:rsid w:val="0031409B"/>
    <w:rsid w:val="00316C6D"/>
    <w:rsid w:val="003206FC"/>
    <w:rsid w:val="00320DBF"/>
    <w:rsid w:val="00320E6D"/>
    <w:rsid w:val="00322157"/>
    <w:rsid w:val="003234BA"/>
    <w:rsid w:val="00324778"/>
    <w:rsid w:val="00324E98"/>
    <w:rsid w:val="0032593A"/>
    <w:rsid w:val="003278AE"/>
    <w:rsid w:val="00327AA9"/>
    <w:rsid w:val="00330848"/>
    <w:rsid w:val="00331E99"/>
    <w:rsid w:val="00333D35"/>
    <w:rsid w:val="003365B2"/>
    <w:rsid w:val="003372CC"/>
    <w:rsid w:val="003379DF"/>
    <w:rsid w:val="0034029A"/>
    <w:rsid w:val="003402A3"/>
    <w:rsid w:val="00340F3D"/>
    <w:rsid w:val="00341080"/>
    <w:rsid w:val="0034266E"/>
    <w:rsid w:val="00343D1B"/>
    <w:rsid w:val="003443FB"/>
    <w:rsid w:val="00345AC7"/>
    <w:rsid w:val="00346B32"/>
    <w:rsid w:val="003507F9"/>
    <w:rsid w:val="00352491"/>
    <w:rsid w:val="0035382C"/>
    <w:rsid w:val="0035383A"/>
    <w:rsid w:val="0035395A"/>
    <w:rsid w:val="003540AD"/>
    <w:rsid w:val="00354105"/>
    <w:rsid w:val="00356FB2"/>
    <w:rsid w:val="00356FE4"/>
    <w:rsid w:val="00361287"/>
    <w:rsid w:val="00362CA7"/>
    <w:rsid w:val="003635B8"/>
    <w:rsid w:val="0037166F"/>
    <w:rsid w:val="003727ED"/>
    <w:rsid w:val="0037436C"/>
    <w:rsid w:val="00376057"/>
    <w:rsid w:val="0037673A"/>
    <w:rsid w:val="003779ED"/>
    <w:rsid w:val="003819FA"/>
    <w:rsid w:val="00382040"/>
    <w:rsid w:val="00382120"/>
    <w:rsid w:val="003825D3"/>
    <w:rsid w:val="0038526F"/>
    <w:rsid w:val="00385923"/>
    <w:rsid w:val="00385A0D"/>
    <w:rsid w:val="00386209"/>
    <w:rsid w:val="00386A06"/>
    <w:rsid w:val="00392BCA"/>
    <w:rsid w:val="00393141"/>
    <w:rsid w:val="00395543"/>
    <w:rsid w:val="003966AD"/>
    <w:rsid w:val="00396FE6"/>
    <w:rsid w:val="0039761E"/>
    <w:rsid w:val="003A0B2B"/>
    <w:rsid w:val="003A2BEE"/>
    <w:rsid w:val="003A5425"/>
    <w:rsid w:val="003A5609"/>
    <w:rsid w:val="003A6309"/>
    <w:rsid w:val="003A7075"/>
    <w:rsid w:val="003A7A54"/>
    <w:rsid w:val="003B0D77"/>
    <w:rsid w:val="003B3990"/>
    <w:rsid w:val="003B7076"/>
    <w:rsid w:val="003B7D79"/>
    <w:rsid w:val="003C10A2"/>
    <w:rsid w:val="003C1590"/>
    <w:rsid w:val="003C15A8"/>
    <w:rsid w:val="003C16A4"/>
    <w:rsid w:val="003C24BD"/>
    <w:rsid w:val="003C28E9"/>
    <w:rsid w:val="003C2BF5"/>
    <w:rsid w:val="003C3842"/>
    <w:rsid w:val="003C58BD"/>
    <w:rsid w:val="003C610D"/>
    <w:rsid w:val="003C6D71"/>
    <w:rsid w:val="003C73BA"/>
    <w:rsid w:val="003C762B"/>
    <w:rsid w:val="003D0837"/>
    <w:rsid w:val="003D09BB"/>
    <w:rsid w:val="003D0B82"/>
    <w:rsid w:val="003D0EBE"/>
    <w:rsid w:val="003D1FFE"/>
    <w:rsid w:val="003D4214"/>
    <w:rsid w:val="003D5A46"/>
    <w:rsid w:val="003D674D"/>
    <w:rsid w:val="003D6800"/>
    <w:rsid w:val="003D77BA"/>
    <w:rsid w:val="003D78D5"/>
    <w:rsid w:val="003E003E"/>
    <w:rsid w:val="003E171C"/>
    <w:rsid w:val="003E1BC9"/>
    <w:rsid w:val="003E257D"/>
    <w:rsid w:val="003E33FF"/>
    <w:rsid w:val="003E67DE"/>
    <w:rsid w:val="003E70AC"/>
    <w:rsid w:val="003F1601"/>
    <w:rsid w:val="003F1724"/>
    <w:rsid w:val="003F55E4"/>
    <w:rsid w:val="003F56F8"/>
    <w:rsid w:val="003F780E"/>
    <w:rsid w:val="003F7D29"/>
    <w:rsid w:val="00400E19"/>
    <w:rsid w:val="00400ED3"/>
    <w:rsid w:val="00401EA6"/>
    <w:rsid w:val="00401F4E"/>
    <w:rsid w:val="00403197"/>
    <w:rsid w:val="00404521"/>
    <w:rsid w:val="00404BF5"/>
    <w:rsid w:val="00405E6D"/>
    <w:rsid w:val="004060D2"/>
    <w:rsid w:val="00406DD7"/>
    <w:rsid w:val="00411284"/>
    <w:rsid w:val="00412403"/>
    <w:rsid w:val="00412544"/>
    <w:rsid w:val="004144EE"/>
    <w:rsid w:val="004153A6"/>
    <w:rsid w:val="00416EDF"/>
    <w:rsid w:val="004178BC"/>
    <w:rsid w:val="004226EC"/>
    <w:rsid w:val="00423402"/>
    <w:rsid w:val="004245B1"/>
    <w:rsid w:val="0042560B"/>
    <w:rsid w:val="00425E58"/>
    <w:rsid w:val="00426589"/>
    <w:rsid w:val="00426959"/>
    <w:rsid w:val="00427EC1"/>
    <w:rsid w:val="004304E6"/>
    <w:rsid w:val="0043157C"/>
    <w:rsid w:val="00431CDC"/>
    <w:rsid w:val="00433195"/>
    <w:rsid w:val="004356E0"/>
    <w:rsid w:val="004367B3"/>
    <w:rsid w:val="00437BD9"/>
    <w:rsid w:val="00440975"/>
    <w:rsid w:val="00441B6A"/>
    <w:rsid w:val="00445381"/>
    <w:rsid w:val="00446A02"/>
    <w:rsid w:val="0045148D"/>
    <w:rsid w:val="00453C0D"/>
    <w:rsid w:val="00455292"/>
    <w:rsid w:val="00460A19"/>
    <w:rsid w:val="004626F9"/>
    <w:rsid w:val="0046357F"/>
    <w:rsid w:val="00464B9B"/>
    <w:rsid w:val="00464F51"/>
    <w:rsid w:val="00466CF8"/>
    <w:rsid w:val="00467034"/>
    <w:rsid w:val="004678EB"/>
    <w:rsid w:val="0047180E"/>
    <w:rsid w:val="00474373"/>
    <w:rsid w:val="00476604"/>
    <w:rsid w:val="00477C1A"/>
    <w:rsid w:val="00481A2F"/>
    <w:rsid w:val="00482395"/>
    <w:rsid w:val="00483577"/>
    <w:rsid w:val="004843E0"/>
    <w:rsid w:val="00484A14"/>
    <w:rsid w:val="00485D9A"/>
    <w:rsid w:val="004862AB"/>
    <w:rsid w:val="004869FF"/>
    <w:rsid w:val="00486E79"/>
    <w:rsid w:val="00486FB5"/>
    <w:rsid w:val="0049159C"/>
    <w:rsid w:val="00495034"/>
    <w:rsid w:val="004950DB"/>
    <w:rsid w:val="00495C19"/>
    <w:rsid w:val="00497518"/>
    <w:rsid w:val="004A1A43"/>
    <w:rsid w:val="004A1B17"/>
    <w:rsid w:val="004A2A53"/>
    <w:rsid w:val="004A3E06"/>
    <w:rsid w:val="004A5492"/>
    <w:rsid w:val="004A7BD7"/>
    <w:rsid w:val="004B0825"/>
    <w:rsid w:val="004B2A36"/>
    <w:rsid w:val="004B530E"/>
    <w:rsid w:val="004C0507"/>
    <w:rsid w:val="004C1D62"/>
    <w:rsid w:val="004C295F"/>
    <w:rsid w:val="004C5A63"/>
    <w:rsid w:val="004C5D9C"/>
    <w:rsid w:val="004C65E4"/>
    <w:rsid w:val="004C797C"/>
    <w:rsid w:val="004D04A4"/>
    <w:rsid w:val="004D08F6"/>
    <w:rsid w:val="004D0BF8"/>
    <w:rsid w:val="004D0F5C"/>
    <w:rsid w:val="004D2688"/>
    <w:rsid w:val="004D452B"/>
    <w:rsid w:val="004D4C13"/>
    <w:rsid w:val="004D70EA"/>
    <w:rsid w:val="004D72FA"/>
    <w:rsid w:val="004D7385"/>
    <w:rsid w:val="004E0F87"/>
    <w:rsid w:val="004E2F6D"/>
    <w:rsid w:val="004E303E"/>
    <w:rsid w:val="004E4DC7"/>
    <w:rsid w:val="004E6515"/>
    <w:rsid w:val="004E6D7F"/>
    <w:rsid w:val="004F12F0"/>
    <w:rsid w:val="004F1FFD"/>
    <w:rsid w:val="004F3019"/>
    <w:rsid w:val="004F44DC"/>
    <w:rsid w:val="004F5338"/>
    <w:rsid w:val="004F5377"/>
    <w:rsid w:val="004F546D"/>
    <w:rsid w:val="004F54EE"/>
    <w:rsid w:val="004F5A3B"/>
    <w:rsid w:val="004F5D4C"/>
    <w:rsid w:val="004F6B67"/>
    <w:rsid w:val="00500DBA"/>
    <w:rsid w:val="005028B3"/>
    <w:rsid w:val="0050311A"/>
    <w:rsid w:val="00503432"/>
    <w:rsid w:val="00504CC5"/>
    <w:rsid w:val="00505EBC"/>
    <w:rsid w:val="00506E27"/>
    <w:rsid w:val="0051169D"/>
    <w:rsid w:val="00511C09"/>
    <w:rsid w:val="00513BF0"/>
    <w:rsid w:val="005147F5"/>
    <w:rsid w:val="00520789"/>
    <w:rsid w:val="0052172A"/>
    <w:rsid w:val="00521BAF"/>
    <w:rsid w:val="00523F6A"/>
    <w:rsid w:val="0052528D"/>
    <w:rsid w:val="00525B63"/>
    <w:rsid w:val="00526304"/>
    <w:rsid w:val="00526A29"/>
    <w:rsid w:val="00526EA8"/>
    <w:rsid w:val="00527972"/>
    <w:rsid w:val="00531056"/>
    <w:rsid w:val="00532CAF"/>
    <w:rsid w:val="005344BE"/>
    <w:rsid w:val="005351CA"/>
    <w:rsid w:val="0053587D"/>
    <w:rsid w:val="005365D6"/>
    <w:rsid w:val="00537E56"/>
    <w:rsid w:val="005401C2"/>
    <w:rsid w:val="00540781"/>
    <w:rsid w:val="00541714"/>
    <w:rsid w:val="00541DCB"/>
    <w:rsid w:val="005422CD"/>
    <w:rsid w:val="00544B0D"/>
    <w:rsid w:val="00546A4E"/>
    <w:rsid w:val="005502E8"/>
    <w:rsid w:val="00551C1B"/>
    <w:rsid w:val="00553557"/>
    <w:rsid w:val="00553A9B"/>
    <w:rsid w:val="00555682"/>
    <w:rsid w:val="005610B9"/>
    <w:rsid w:val="005626A9"/>
    <w:rsid w:val="00563A0F"/>
    <w:rsid w:val="00563E60"/>
    <w:rsid w:val="00565844"/>
    <w:rsid w:val="00565C9E"/>
    <w:rsid w:val="00566EAF"/>
    <w:rsid w:val="005716B0"/>
    <w:rsid w:val="005724F6"/>
    <w:rsid w:val="0057497F"/>
    <w:rsid w:val="005773B2"/>
    <w:rsid w:val="005776DB"/>
    <w:rsid w:val="00580DFF"/>
    <w:rsid w:val="0058172F"/>
    <w:rsid w:val="005826D1"/>
    <w:rsid w:val="00583969"/>
    <w:rsid w:val="00584B36"/>
    <w:rsid w:val="005901ED"/>
    <w:rsid w:val="00591CAF"/>
    <w:rsid w:val="00592BBC"/>
    <w:rsid w:val="0059477A"/>
    <w:rsid w:val="00595BFE"/>
    <w:rsid w:val="00595FE6"/>
    <w:rsid w:val="005977A8"/>
    <w:rsid w:val="00597FC9"/>
    <w:rsid w:val="005A1DBE"/>
    <w:rsid w:val="005A347E"/>
    <w:rsid w:val="005A36DD"/>
    <w:rsid w:val="005A4704"/>
    <w:rsid w:val="005A5646"/>
    <w:rsid w:val="005A67B5"/>
    <w:rsid w:val="005A7FAB"/>
    <w:rsid w:val="005B123E"/>
    <w:rsid w:val="005B20A6"/>
    <w:rsid w:val="005B28B4"/>
    <w:rsid w:val="005B7977"/>
    <w:rsid w:val="005B7BB8"/>
    <w:rsid w:val="005C09F9"/>
    <w:rsid w:val="005C3416"/>
    <w:rsid w:val="005C3766"/>
    <w:rsid w:val="005C3868"/>
    <w:rsid w:val="005C3EEC"/>
    <w:rsid w:val="005C4B04"/>
    <w:rsid w:val="005C66B6"/>
    <w:rsid w:val="005C7341"/>
    <w:rsid w:val="005D016A"/>
    <w:rsid w:val="005D0874"/>
    <w:rsid w:val="005D0992"/>
    <w:rsid w:val="005D0CEB"/>
    <w:rsid w:val="005D1316"/>
    <w:rsid w:val="005D1334"/>
    <w:rsid w:val="005D246B"/>
    <w:rsid w:val="005D2EDC"/>
    <w:rsid w:val="005D4459"/>
    <w:rsid w:val="005D60D2"/>
    <w:rsid w:val="005D6548"/>
    <w:rsid w:val="005E1C12"/>
    <w:rsid w:val="005E3991"/>
    <w:rsid w:val="005E3E5C"/>
    <w:rsid w:val="005E47A7"/>
    <w:rsid w:val="005E5477"/>
    <w:rsid w:val="005E6E2F"/>
    <w:rsid w:val="005F2002"/>
    <w:rsid w:val="005F30A3"/>
    <w:rsid w:val="005F3A75"/>
    <w:rsid w:val="005F7934"/>
    <w:rsid w:val="00600A13"/>
    <w:rsid w:val="0060136B"/>
    <w:rsid w:val="00602002"/>
    <w:rsid w:val="006026C1"/>
    <w:rsid w:val="00605210"/>
    <w:rsid w:val="00605630"/>
    <w:rsid w:val="00605BAA"/>
    <w:rsid w:val="00606B01"/>
    <w:rsid w:val="00607BAD"/>
    <w:rsid w:val="00610F24"/>
    <w:rsid w:val="006117DF"/>
    <w:rsid w:val="00614ABC"/>
    <w:rsid w:val="00615673"/>
    <w:rsid w:val="00617052"/>
    <w:rsid w:val="00620F92"/>
    <w:rsid w:val="00621427"/>
    <w:rsid w:val="006228AA"/>
    <w:rsid w:val="00622CD3"/>
    <w:rsid w:val="00624BBE"/>
    <w:rsid w:val="00626760"/>
    <w:rsid w:val="00626939"/>
    <w:rsid w:val="006319B3"/>
    <w:rsid w:val="00635609"/>
    <w:rsid w:val="006367D1"/>
    <w:rsid w:val="00640646"/>
    <w:rsid w:val="006417D4"/>
    <w:rsid w:val="00642703"/>
    <w:rsid w:val="00642E98"/>
    <w:rsid w:val="00645271"/>
    <w:rsid w:val="00647279"/>
    <w:rsid w:val="006502A5"/>
    <w:rsid w:val="00651DEC"/>
    <w:rsid w:val="00651E6F"/>
    <w:rsid w:val="006540E5"/>
    <w:rsid w:val="006542F8"/>
    <w:rsid w:val="00654E39"/>
    <w:rsid w:val="00656166"/>
    <w:rsid w:val="00660084"/>
    <w:rsid w:val="00662038"/>
    <w:rsid w:val="0066326A"/>
    <w:rsid w:val="006644A6"/>
    <w:rsid w:val="006648B8"/>
    <w:rsid w:val="00666611"/>
    <w:rsid w:val="00670628"/>
    <w:rsid w:val="0067160D"/>
    <w:rsid w:val="00672BE9"/>
    <w:rsid w:val="00674850"/>
    <w:rsid w:val="00674C91"/>
    <w:rsid w:val="0067585F"/>
    <w:rsid w:val="00676CFC"/>
    <w:rsid w:val="00682801"/>
    <w:rsid w:val="00684932"/>
    <w:rsid w:val="00687CB8"/>
    <w:rsid w:val="00690ED9"/>
    <w:rsid w:val="00691FE7"/>
    <w:rsid w:val="00692583"/>
    <w:rsid w:val="00693012"/>
    <w:rsid w:val="00693B8E"/>
    <w:rsid w:val="00693F9F"/>
    <w:rsid w:val="006942BD"/>
    <w:rsid w:val="00694B9D"/>
    <w:rsid w:val="00695007"/>
    <w:rsid w:val="00696DEB"/>
    <w:rsid w:val="006A3523"/>
    <w:rsid w:val="006A4C12"/>
    <w:rsid w:val="006A6289"/>
    <w:rsid w:val="006A69E5"/>
    <w:rsid w:val="006A7B7C"/>
    <w:rsid w:val="006A7DEF"/>
    <w:rsid w:val="006B20B2"/>
    <w:rsid w:val="006B23BD"/>
    <w:rsid w:val="006B2627"/>
    <w:rsid w:val="006B2A88"/>
    <w:rsid w:val="006B3F3D"/>
    <w:rsid w:val="006C06FA"/>
    <w:rsid w:val="006C07D7"/>
    <w:rsid w:val="006C13B4"/>
    <w:rsid w:val="006C1F89"/>
    <w:rsid w:val="006C254F"/>
    <w:rsid w:val="006C3119"/>
    <w:rsid w:val="006C32F5"/>
    <w:rsid w:val="006C4C6D"/>
    <w:rsid w:val="006C597D"/>
    <w:rsid w:val="006C5E37"/>
    <w:rsid w:val="006C6386"/>
    <w:rsid w:val="006C6C24"/>
    <w:rsid w:val="006C7CB5"/>
    <w:rsid w:val="006D007F"/>
    <w:rsid w:val="006D1DC4"/>
    <w:rsid w:val="006D20F7"/>
    <w:rsid w:val="006D25D0"/>
    <w:rsid w:val="006D515A"/>
    <w:rsid w:val="006D546F"/>
    <w:rsid w:val="006E065E"/>
    <w:rsid w:val="006E1D83"/>
    <w:rsid w:val="006E3A52"/>
    <w:rsid w:val="006E54E0"/>
    <w:rsid w:val="006E61DF"/>
    <w:rsid w:val="006E67D9"/>
    <w:rsid w:val="006E7B63"/>
    <w:rsid w:val="006F08E6"/>
    <w:rsid w:val="006F0F78"/>
    <w:rsid w:val="006F224F"/>
    <w:rsid w:val="006F2A60"/>
    <w:rsid w:val="006F489D"/>
    <w:rsid w:val="006F4A96"/>
    <w:rsid w:val="006F53A2"/>
    <w:rsid w:val="006F5992"/>
    <w:rsid w:val="006F7F3B"/>
    <w:rsid w:val="007013BA"/>
    <w:rsid w:val="00702760"/>
    <w:rsid w:val="007052AE"/>
    <w:rsid w:val="0070723A"/>
    <w:rsid w:val="00711489"/>
    <w:rsid w:val="00712784"/>
    <w:rsid w:val="00712D86"/>
    <w:rsid w:val="00713B77"/>
    <w:rsid w:val="00714CF5"/>
    <w:rsid w:val="0071650E"/>
    <w:rsid w:val="0071689D"/>
    <w:rsid w:val="0071786A"/>
    <w:rsid w:val="00717EC9"/>
    <w:rsid w:val="00717EDE"/>
    <w:rsid w:val="00721F91"/>
    <w:rsid w:val="007230D4"/>
    <w:rsid w:val="0072332F"/>
    <w:rsid w:val="007241C3"/>
    <w:rsid w:val="00725FD4"/>
    <w:rsid w:val="00731382"/>
    <w:rsid w:val="00732E64"/>
    <w:rsid w:val="00733903"/>
    <w:rsid w:val="00734A0C"/>
    <w:rsid w:val="00734F88"/>
    <w:rsid w:val="00736022"/>
    <w:rsid w:val="00737B45"/>
    <w:rsid w:val="007405EF"/>
    <w:rsid w:val="0074154F"/>
    <w:rsid w:val="00742EE4"/>
    <w:rsid w:val="007439B9"/>
    <w:rsid w:val="00744D35"/>
    <w:rsid w:val="007512A6"/>
    <w:rsid w:val="00752187"/>
    <w:rsid w:val="007549A1"/>
    <w:rsid w:val="0075548D"/>
    <w:rsid w:val="0075612C"/>
    <w:rsid w:val="00756524"/>
    <w:rsid w:val="00756EF5"/>
    <w:rsid w:val="007577DA"/>
    <w:rsid w:val="00761E01"/>
    <w:rsid w:val="00762F8D"/>
    <w:rsid w:val="007632F0"/>
    <w:rsid w:val="007659A5"/>
    <w:rsid w:val="007674D8"/>
    <w:rsid w:val="00767980"/>
    <w:rsid w:val="00770085"/>
    <w:rsid w:val="007712E3"/>
    <w:rsid w:val="00771E85"/>
    <w:rsid w:val="00772E93"/>
    <w:rsid w:val="00772FB7"/>
    <w:rsid w:val="00773E50"/>
    <w:rsid w:val="007745B5"/>
    <w:rsid w:val="00776C4F"/>
    <w:rsid w:val="0077707A"/>
    <w:rsid w:val="007807CB"/>
    <w:rsid w:val="0078578A"/>
    <w:rsid w:val="00785FA8"/>
    <w:rsid w:val="0078681B"/>
    <w:rsid w:val="00787572"/>
    <w:rsid w:val="00787BA7"/>
    <w:rsid w:val="0079038C"/>
    <w:rsid w:val="00790F26"/>
    <w:rsid w:val="00791173"/>
    <w:rsid w:val="00791BBB"/>
    <w:rsid w:val="00791C6B"/>
    <w:rsid w:val="007941C9"/>
    <w:rsid w:val="007945F3"/>
    <w:rsid w:val="007A06BF"/>
    <w:rsid w:val="007A3104"/>
    <w:rsid w:val="007A3EE5"/>
    <w:rsid w:val="007A44B4"/>
    <w:rsid w:val="007A5048"/>
    <w:rsid w:val="007A6712"/>
    <w:rsid w:val="007A773A"/>
    <w:rsid w:val="007A7830"/>
    <w:rsid w:val="007B24E4"/>
    <w:rsid w:val="007B39F0"/>
    <w:rsid w:val="007B4E7E"/>
    <w:rsid w:val="007B566C"/>
    <w:rsid w:val="007B57A8"/>
    <w:rsid w:val="007C0505"/>
    <w:rsid w:val="007C05BE"/>
    <w:rsid w:val="007C2B88"/>
    <w:rsid w:val="007C30CF"/>
    <w:rsid w:val="007C35C6"/>
    <w:rsid w:val="007C5461"/>
    <w:rsid w:val="007C5BDB"/>
    <w:rsid w:val="007D0173"/>
    <w:rsid w:val="007D040B"/>
    <w:rsid w:val="007D1BF9"/>
    <w:rsid w:val="007D3979"/>
    <w:rsid w:val="007D4065"/>
    <w:rsid w:val="007D4A79"/>
    <w:rsid w:val="007D56F1"/>
    <w:rsid w:val="007D7B23"/>
    <w:rsid w:val="007E14B4"/>
    <w:rsid w:val="007E1F0F"/>
    <w:rsid w:val="007E56F1"/>
    <w:rsid w:val="007E5F30"/>
    <w:rsid w:val="007E5F9D"/>
    <w:rsid w:val="007E7758"/>
    <w:rsid w:val="007F0BAC"/>
    <w:rsid w:val="007F2727"/>
    <w:rsid w:val="007F28C5"/>
    <w:rsid w:val="007F3B8D"/>
    <w:rsid w:val="007F44D9"/>
    <w:rsid w:val="007F549F"/>
    <w:rsid w:val="007F653E"/>
    <w:rsid w:val="007F67CE"/>
    <w:rsid w:val="0080010E"/>
    <w:rsid w:val="008035D8"/>
    <w:rsid w:val="008038B7"/>
    <w:rsid w:val="00805039"/>
    <w:rsid w:val="00805B70"/>
    <w:rsid w:val="00807911"/>
    <w:rsid w:val="00810C1A"/>
    <w:rsid w:val="00812225"/>
    <w:rsid w:val="0081462B"/>
    <w:rsid w:val="008163A2"/>
    <w:rsid w:val="00816AC2"/>
    <w:rsid w:val="008203E9"/>
    <w:rsid w:val="00822752"/>
    <w:rsid w:val="00822A36"/>
    <w:rsid w:val="00823679"/>
    <w:rsid w:val="00824E5E"/>
    <w:rsid w:val="0082653C"/>
    <w:rsid w:val="0082655E"/>
    <w:rsid w:val="008265E3"/>
    <w:rsid w:val="00826B3A"/>
    <w:rsid w:val="008300B4"/>
    <w:rsid w:val="00831564"/>
    <w:rsid w:val="00831930"/>
    <w:rsid w:val="008340FF"/>
    <w:rsid w:val="00834A68"/>
    <w:rsid w:val="00836F65"/>
    <w:rsid w:val="00836F88"/>
    <w:rsid w:val="008375E2"/>
    <w:rsid w:val="0084152B"/>
    <w:rsid w:val="0084214E"/>
    <w:rsid w:val="008424AF"/>
    <w:rsid w:val="00844087"/>
    <w:rsid w:val="00845437"/>
    <w:rsid w:val="00847664"/>
    <w:rsid w:val="0085127D"/>
    <w:rsid w:val="008569D2"/>
    <w:rsid w:val="00856C26"/>
    <w:rsid w:val="00861828"/>
    <w:rsid w:val="00861BF4"/>
    <w:rsid w:val="0086248D"/>
    <w:rsid w:val="00863356"/>
    <w:rsid w:val="00863F50"/>
    <w:rsid w:val="00864905"/>
    <w:rsid w:val="00866675"/>
    <w:rsid w:val="0086784A"/>
    <w:rsid w:val="0087043A"/>
    <w:rsid w:val="0087079E"/>
    <w:rsid w:val="00873FA7"/>
    <w:rsid w:val="008745AC"/>
    <w:rsid w:val="008759A0"/>
    <w:rsid w:val="00876019"/>
    <w:rsid w:val="00876108"/>
    <w:rsid w:val="00880827"/>
    <w:rsid w:val="008808B5"/>
    <w:rsid w:val="00881094"/>
    <w:rsid w:val="0088191B"/>
    <w:rsid w:val="0088387C"/>
    <w:rsid w:val="00884A79"/>
    <w:rsid w:val="00884E1F"/>
    <w:rsid w:val="00884FFD"/>
    <w:rsid w:val="00887F4E"/>
    <w:rsid w:val="008929A5"/>
    <w:rsid w:val="00895096"/>
    <w:rsid w:val="00896986"/>
    <w:rsid w:val="008A149A"/>
    <w:rsid w:val="008A2973"/>
    <w:rsid w:val="008A6235"/>
    <w:rsid w:val="008A65E8"/>
    <w:rsid w:val="008A67D4"/>
    <w:rsid w:val="008A74D9"/>
    <w:rsid w:val="008B182C"/>
    <w:rsid w:val="008B2F53"/>
    <w:rsid w:val="008B4CB2"/>
    <w:rsid w:val="008B725C"/>
    <w:rsid w:val="008C032C"/>
    <w:rsid w:val="008C2658"/>
    <w:rsid w:val="008C35A6"/>
    <w:rsid w:val="008C4B44"/>
    <w:rsid w:val="008C5BAA"/>
    <w:rsid w:val="008C700D"/>
    <w:rsid w:val="008D279F"/>
    <w:rsid w:val="008D2B20"/>
    <w:rsid w:val="008D2D26"/>
    <w:rsid w:val="008D3B98"/>
    <w:rsid w:val="008D4C06"/>
    <w:rsid w:val="008D55A4"/>
    <w:rsid w:val="008D5CBB"/>
    <w:rsid w:val="008E0C83"/>
    <w:rsid w:val="008E1647"/>
    <w:rsid w:val="008E293F"/>
    <w:rsid w:val="008E320F"/>
    <w:rsid w:val="008E3FE0"/>
    <w:rsid w:val="008E522B"/>
    <w:rsid w:val="008F0AF7"/>
    <w:rsid w:val="008F3B01"/>
    <w:rsid w:val="008F3F54"/>
    <w:rsid w:val="008F6616"/>
    <w:rsid w:val="008F728B"/>
    <w:rsid w:val="009006D6"/>
    <w:rsid w:val="0090211D"/>
    <w:rsid w:val="009028C5"/>
    <w:rsid w:val="00902AEB"/>
    <w:rsid w:val="00903501"/>
    <w:rsid w:val="00903B57"/>
    <w:rsid w:val="00904A7B"/>
    <w:rsid w:val="00905F13"/>
    <w:rsid w:val="00906136"/>
    <w:rsid w:val="0090715C"/>
    <w:rsid w:val="0090740E"/>
    <w:rsid w:val="00912FE8"/>
    <w:rsid w:val="00913EF0"/>
    <w:rsid w:val="0092160C"/>
    <w:rsid w:val="009267B9"/>
    <w:rsid w:val="009270A9"/>
    <w:rsid w:val="009272F6"/>
    <w:rsid w:val="00927A9B"/>
    <w:rsid w:val="009332E5"/>
    <w:rsid w:val="00933D9B"/>
    <w:rsid w:val="00934643"/>
    <w:rsid w:val="0093623E"/>
    <w:rsid w:val="00936CFE"/>
    <w:rsid w:val="00940AF5"/>
    <w:rsid w:val="009444CD"/>
    <w:rsid w:val="00947335"/>
    <w:rsid w:val="00947496"/>
    <w:rsid w:val="00950579"/>
    <w:rsid w:val="009511DD"/>
    <w:rsid w:val="00951AB8"/>
    <w:rsid w:val="009521C7"/>
    <w:rsid w:val="00953142"/>
    <w:rsid w:val="0095464C"/>
    <w:rsid w:val="00954E9C"/>
    <w:rsid w:val="009572DB"/>
    <w:rsid w:val="009601A2"/>
    <w:rsid w:val="00962ED5"/>
    <w:rsid w:val="009638B4"/>
    <w:rsid w:val="00965878"/>
    <w:rsid w:val="00966BF2"/>
    <w:rsid w:val="009675DD"/>
    <w:rsid w:val="009702AE"/>
    <w:rsid w:val="009703C1"/>
    <w:rsid w:val="009725E5"/>
    <w:rsid w:val="00972DD6"/>
    <w:rsid w:val="00972EB5"/>
    <w:rsid w:val="009736E6"/>
    <w:rsid w:val="009737AC"/>
    <w:rsid w:val="00974369"/>
    <w:rsid w:val="00974A34"/>
    <w:rsid w:val="00974CC3"/>
    <w:rsid w:val="0097554A"/>
    <w:rsid w:val="009765FB"/>
    <w:rsid w:val="00976672"/>
    <w:rsid w:val="00977BC3"/>
    <w:rsid w:val="009802E8"/>
    <w:rsid w:val="0098133C"/>
    <w:rsid w:val="0098296E"/>
    <w:rsid w:val="00982A47"/>
    <w:rsid w:val="00983067"/>
    <w:rsid w:val="009842E3"/>
    <w:rsid w:val="0098569F"/>
    <w:rsid w:val="00986F17"/>
    <w:rsid w:val="009873F8"/>
    <w:rsid w:val="00987D93"/>
    <w:rsid w:val="00992D93"/>
    <w:rsid w:val="00993CB3"/>
    <w:rsid w:val="0099473F"/>
    <w:rsid w:val="00994BB2"/>
    <w:rsid w:val="00994ECD"/>
    <w:rsid w:val="009953DD"/>
    <w:rsid w:val="00995487"/>
    <w:rsid w:val="00995665"/>
    <w:rsid w:val="009A3916"/>
    <w:rsid w:val="009A4116"/>
    <w:rsid w:val="009A64F8"/>
    <w:rsid w:val="009A6BAB"/>
    <w:rsid w:val="009A757B"/>
    <w:rsid w:val="009B05BC"/>
    <w:rsid w:val="009B0C83"/>
    <w:rsid w:val="009B34D7"/>
    <w:rsid w:val="009B40C4"/>
    <w:rsid w:val="009B45A3"/>
    <w:rsid w:val="009C0944"/>
    <w:rsid w:val="009C10E4"/>
    <w:rsid w:val="009C16DF"/>
    <w:rsid w:val="009C182E"/>
    <w:rsid w:val="009C62FD"/>
    <w:rsid w:val="009C73D3"/>
    <w:rsid w:val="009D045A"/>
    <w:rsid w:val="009D1A2B"/>
    <w:rsid w:val="009D62E2"/>
    <w:rsid w:val="009E05F1"/>
    <w:rsid w:val="009E112A"/>
    <w:rsid w:val="009E1DF7"/>
    <w:rsid w:val="009E1EBE"/>
    <w:rsid w:val="009E2199"/>
    <w:rsid w:val="009E3576"/>
    <w:rsid w:val="009E4E02"/>
    <w:rsid w:val="009E5EDE"/>
    <w:rsid w:val="009E6692"/>
    <w:rsid w:val="009E73AA"/>
    <w:rsid w:val="009F27DD"/>
    <w:rsid w:val="009F2B47"/>
    <w:rsid w:val="009F49F2"/>
    <w:rsid w:val="00A01C13"/>
    <w:rsid w:val="00A034C8"/>
    <w:rsid w:val="00A0386C"/>
    <w:rsid w:val="00A03FF7"/>
    <w:rsid w:val="00A06525"/>
    <w:rsid w:val="00A070FD"/>
    <w:rsid w:val="00A07FA8"/>
    <w:rsid w:val="00A10347"/>
    <w:rsid w:val="00A1173C"/>
    <w:rsid w:val="00A11974"/>
    <w:rsid w:val="00A11EA1"/>
    <w:rsid w:val="00A11FE9"/>
    <w:rsid w:val="00A12AA0"/>
    <w:rsid w:val="00A13FC1"/>
    <w:rsid w:val="00A16B51"/>
    <w:rsid w:val="00A16CCA"/>
    <w:rsid w:val="00A1709F"/>
    <w:rsid w:val="00A17E9A"/>
    <w:rsid w:val="00A21364"/>
    <w:rsid w:val="00A21A10"/>
    <w:rsid w:val="00A225B2"/>
    <w:rsid w:val="00A23963"/>
    <w:rsid w:val="00A24650"/>
    <w:rsid w:val="00A255BA"/>
    <w:rsid w:val="00A25BF6"/>
    <w:rsid w:val="00A27F74"/>
    <w:rsid w:val="00A30334"/>
    <w:rsid w:val="00A31304"/>
    <w:rsid w:val="00A31526"/>
    <w:rsid w:val="00A31CA8"/>
    <w:rsid w:val="00A32121"/>
    <w:rsid w:val="00A33394"/>
    <w:rsid w:val="00A35007"/>
    <w:rsid w:val="00A35102"/>
    <w:rsid w:val="00A358CA"/>
    <w:rsid w:val="00A35DF8"/>
    <w:rsid w:val="00A360FB"/>
    <w:rsid w:val="00A413B3"/>
    <w:rsid w:val="00A414DA"/>
    <w:rsid w:val="00A4188C"/>
    <w:rsid w:val="00A44400"/>
    <w:rsid w:val="00A45E11"/>
    <w:rsid w:val="00A47AC2"/>
    <w:rsid w:val="00A5200C"/>
    <w:rsid w:val="00A5414F"/>
    <w:rsid w:val="00A54BED"/>
    <w:rsid w:val="00A55BEC"/>
    <w:rsid w:val="00A5658B"/>
    <w:rsid w:val="00A57E17"/>
    <w:rsid w:val="00A60994"/>
    <w:rsid w:val="00A63DA6"/>
    <w:rsid w:val="00A65CAB"/>
    <w:rsid w:val="00A675C6"/>
    <w:rsid w:val="00A70FF5"/>
    <w:rsid w:val="00A716DF"/>
    <w:rsid w:val="00A720DF"/>
    <w:rsid w:val="00A7244F"/>
    <w:rsid w:val="00A72EDF"/>
    <w:rsid w:val="00A76F7B"/>
    <w:rsid w:val="00A77DFF"/>
    <w:rsid w:val="00A81B40"/>
    <w:rsid w:val="00A81BB2"/>
    <w:rsid w:val="00A847B8"/>
    <w:rsid w:val="00A85168"/>
    <w:rsid w:val="00A90635"/>
    <w:rsid w:val="00A90A0D"/>
    <w:rsid w:val="00A914EE"/>
    <w:rsid w:val="00A92476"/>
    <w:rsid w:val="00A971B5"/>
    <w:rsid w:val="00A97FB4"/>
    <w:rsid w:val="00AA075D"/>
    <w:rsid w:val="00AA2CC7"/>
    <w:rsid w:val="00AA33E1"/>
    <w:rsid w:val="00AA3565"/>
    <w:rsid w:val="00AA4B64"/>
    <w:rsid w:val="00AA5056"/>
    <w:rsid w:val="00AA62E6"/>
    <w:rsid w:val="00AB1F10"/>
    <w:rsid w:val="00AB3297"/>
    <w:rsid w:val="00AB6EA3"/>
    <w:rsid w:val="00AB74DB"/>
    <w:rsid w:val="00AB78A9"/>
    <w:rsid w:val="00AC02FB"/>
    <w:rsid w:val="00AC0D94"/>
    <w:rsid w:val="00AC1106"/>
    <w:rsid w:val="00AC2A49"/>
    <w:rsid w:val="00AC354C"/>
    <w:rsid w:val="00AC3B56"/>
    <w:rsid w:val="00AC4622"/>
    <w:rsid w:val="00AC4ABA"/>
    <w:rsid w:val="00AC60B1"/>
    <w:rsid w:val="00AC74FD"/>
    <w:rsid w:val="00AC7D17"/>
    <w:rsid w:val="00AC7DF2"/>
    <w:rsid w:val="00AD0A27"/>
    <w:rsid w:val="00AD1E2C"/>
    <w:rsid w:val="00AD360F"/>
    <w:rsid w:val="00AD5378"/>
    <w:rsid w:val="00AD577F"/>
    <w:rsid w:val="00AD6095"/>
    <w:rsid w:val="00AD7521"/>
    <w:rsid w:val="00AE014D"/>
    <w:rsid w:val="00AE1BBB"/>
    <w:rsid w:val="00AE1D2F"/>
    <w:rsid w:val="00AE1F18"/>
    <w:rsid w:val="00AE50B6"/>
    <w:rsid w:val="00AE52EE"/>
    <w:rsid w:val="00AE57FA"/>
    <w:rsid w:val="00AE593C"/>
    <w:rsid w:val="00AE5AAA"/>
    <w:rsid w:val="00AE640D"/>
    <w:rsid w:val="00AE6F21"/>
    <w:rsid w:val="00AF18F0"/>
    <w:rsid w:val="00AF2D4B"/>
    <w:rsid w:val="00AF3689"/>
    <w:rsid w:val="00AF3DC9"/>
    <w:rsid w:val="00AF495A"/>
    <w:rsid w:val="00AF5883"/>
    <w:rsid w:val="00AF5BD9"/>
    <w:rsid w:val="00AF5EB5"/>
    <w:rsid w:val="00AF64D2"/>
    <w:rsid w:val="00AF6558"/>
    <w:rsid w:val="00B01625"/>
    <w:rsid w:val="00B03428"/>
    <w:rsid w:val="00B03B50"/>
    <w:rsid w:val="00B04F16"/>
    <w:rsid w:val="00B076D7"/>
    <w:rsid w:val="00B109DE"/>
    <w:rsid w:val="00B11647"/>
    <w:rsid w:val="00B12C39"/>
    <w:rsid w:val="00B20115"/>
    <w:rsid w:val="00B213CF"/>
    <w:rsid w:val="00B233F5"/>
    <w:rsid w:val="00B23997"/>
    <w:rsid w:val="00B24BF0"/>
    <w:rsid w:val="00B2593D"/>
    <w:rsid w:val="00B25EFE"/>
    <w:rsid w:val="00B30322"/>
    <w:rsid w:val="00B33A06"/>
    <w:rsid w:val="00B33D52"/>
    <w:rsid w:val="00B34525"/>
    <w:rsid w:val="00B35655"/>
    <w:rsid w:val="00B35839"/>
    <w:rsid w:val="00B35A05"/>
    <w:rsid w:val="00B40CAF"/>
    <w:rsid w:val="00B4100B"/>
    <w:rsid w:val="00B41103"/>
    <w:rsid w:val="00B414C4"/>
    <w:rsid w:val="00B416E0"/>
    <w:rsid w:val="00B44EA4"/>
    <w:rsid w:val="00B45F5C"/>
    <w:rsid w:val="00B45F75"/>
    <w:rsid w:val="00B46F3D"/>
    <w:rsid w:val="00B51626"/>
    <w:rsid w:val="00B51D44"/>
    <w:rsid w:val="00B5375D"/>
    <w:rsid w:val="00B53EED"/>
    <w:rsid w:val="00B62991"/>
    <w:rsid w:val="00B6397F"/>
    <w:rsid w:val="00B63E06"/>
    <w:rsid w:val="00B64240"/>
    <w:rsid w:val="00B642A8"/>
    <w:rsid w:val="00B70165"/>
    <w:rsid w:val="00B708A9"/>
    <w:rsid w:val="00B717AF"/>
    <w:rsid w:val="00B736F2"/>
    <w:rsid w:val="00B758AA"/>
    <w:rsid w:val="00B761A6"/>
    <w:rsid w:val="00B76622"/>
    <w:rsid w:val="00B77449"/>
    <w:rsid w:val="00B779EF"/>
    <w:rsid w:val="00B77C5B"/>
    <w:rsid w:val="00B82228"/>
    <w:rsid w:val="00B850E0"/>
    <w:rsid w:val="00B854C5"/>
    <w:rsid w:val="00B862D3"/>
    <w:rsid w:val="00B86D12"/>
    <w:rsid w:val="00B87FCE"/>
    <w:rsid w:val="00B91B70"/>
    <w:rsid w:val="00B9260F"/>
    <w:rsid w:val="00B964C9"/>
    <w:rsid w:val="00BA0062"/>
    <w:rsid w:val="00BA019C"/>
    <w:rsid w:val="00BA1348"/>
    <w:rsid w:val="00BA157D"/>
    <w:rsid w:val="00BA17EF"/>
    <w:rsid w:val="00BA1BD9"/>
    <w:rsid w:val="00BA1CEF"/>
    <w:rsid w:val="00BA1D3E"/>
    <w:rsid w:val="00BA4838"/>
    <w:rsid w:val="00BA55E1"/>
    <w:rsid w:val="00BA6BF2"/>
    <w:rsid w:val="00BB0F17"/>
    <w:rsid w:val="00BB2C10"/>
    <w:rsid w:val="00BB5442"/>
    <w:rsid w:val="00BC01D0"/>
    <w:rsid w:val="00BC0FC4"/>
    <w:rsid w:val="00BC3F18"/>
    <w:rsid w:val="00BC4AD2"/>
    <w:rsid w:val="00BC5F2A"/>
    <w:rsid w:val="00BC618A"/>
    <w:rsid w:val="00BD0287"/>
    <w:rsid w:val="00BD03FA"/>
    <w:rsid w:val="00BD06E1"/>
    <w:rsid w:val="00BD06F0"/>
    <w:rsid w:val="00BD22BB"/>
    <w:rsid w:val="00BD23B3"/>
    <w:rsid w:val="00BD2433"/>
    <w:rsid w:val="00BD477B"/>
    <w:rsid w:val="00BD5083"/>
    <w:rsid w:val="00BD5F9D"/>
    <w:rsid w:val="00BD7A3B"/>
    <w:rsid w:val="00BE0BD0"/>
    <w:rsid w:val="00BE14D7"/>
    <w:rsid w:val="00BE2121"/>
    <w:rsid w:val="00BE25FB"/>
    <w:rsid w:val="00BE3381"/>
    <w:rsid w:val="00BE4C17"/>
    <w:rsid w:val="00BE4F13"/>
    <w:rsid w:val="00BE5CBC"/>
    <w:rsid w:val="00BE71EA"/>
    <w:rsid w:val="00BE7548"/>
    <w:rsid w:val="00BF0D85"/>
    <w:rsid w:val="00BF1043"/>
    <w:rsid w:val="00BF13A1"/>
    <w:rsid w:val="00BF27B9"/>
    <w:rsid w:val="00BF315F"/>
    <w:rsid w:val="00BF3789"/>
    <w:rsid w:val="00BF472A"/>
    <w:rsid w:val="00BF58DD"/>
    <w:rsid w:val="00C012C1"/>
    <w:rsid w:val="00C02241"/>
    <w:rsid w:val="00C03D52"/>
    <w:rsid w:val="00C06482"/>
    <w:rsid w:val="00C072CC"/>
    <w:rsid w:val="00C100D0"/>
    <w:rsid w:val="00C10B1C"/>
    <w:rsid w:val="00C111E3"/>
    <w:rsid w:val="00C11381"/>
    <w:rsid w:val="00C11C96"/>
    <w:rsid w:val="00C13ACF"/>
    <w:rsid w:val="00C15B2B"/>
    <w:rsid w:val="00C16747"/>
    <w:rsid w:val="00C23D6C"/>
    <w:rsid w:val="00C26654"/>
    <w:rsid w:val="00C3367D"/>
    <w:rsid w:val="00C3387E"/>
    <w:rsid w:val="00C35410"/>
    <w:rsid w:val="00C35676"/>
    <w:rsid w:val="00C35ED8"/>
    <w:rsid w:val="00C36C4A"/>
    <w:rsid w:val="00C4022B"/>
    <w:rsid w:val="00C4045C"/>
    <w:rsid w:val="00C4076E"/>
    <w:rsid w:val="00C41670"/>
    <w:rsid w:val="00C43ADF"/>
    <w:rsid w:val="00C4471C"/>
    <w:rsid w:val="00C458E4"/>
    <w:rsid w:val="00C45C82"/>
    <w:rsid w:val="00C476D3"/>
    <w:rsid w:val="00C5039C"/>
    <w:rsid w:val="00C5099C"/>
    <w:rsid w:val="00C510DC"/>
    <w:rsid w:val="00C51638"/>
    <w:rsid w:val="00C52149"/>
    <w:rsid w:val="00C52BB4"/>
    <w:rsid w:val="00C55B04"/>
    <w:rsid w:val="00C5677E"/>
    <w:rsid w:val="00C57A17"/>
    <w:rsid w:val="00C6339F"/>
    <w:rsid w:val="00C63BEE"/>
    <w:rsid w:val="00C67E34"/>
    <w:rsid w:val="00C71A33"/>
    <w:rsid w:val="00C72E98"/>
    <w:rsid w:val="00C7341E"/>
    <w:rsid w:val="00C74E99"/>
    <w:rsid w:val="00C76C5A"/>
    <w:rsid w:val="00C76DF5"/>
    <w:rsid w:val="00C77308"/>
    <w:rsid w:val="00C777FE"/>
    <w:rsid w:val="00C8031C"/>
    <w:rsid w:val="00C8275F"/>
    <w:rsid w:val="00C8581C"/>
    <w:rsid w:val="00C876B3"/>
    <w:rsid w:val="00C91DAF"/>
    <w:rsid w:val="00C950FE"/>
    <w:rsid w:val="00C95B74"/>
    <w:rsid w:val="00C96696"/>
    <w:rsid w:val="00C97291"/>
    <w:rsid w:val="00CA1368"/>
    <w:rsid w:val="00CA41E7"/>
    <w:rsid w:val="00CA4474"/>
    <w:rsid w:val="00CA76DD"/>
    <w:rsid w:val="00CA785C"/>
    <w:rsid w:val="00CB1BBB"/>
    <w:rsid w:val="00CB1C73"/>
    <w:rsid w:val="00CB1D12"/>
    <w:rsid w:val="00CB3C3E"/>
    <w:rsid w:val="00CB4F6A"/>
    <w:rsid w:val="00CB53FF"/>
    <w:rsid w:val="00CB5732"/>
    <w:rsid w:val="00CB5D7C"/>
    <w:rsid w:val="00CC11F0"/>
    <w:rsid w:val="00CC151B"/>
    <w:rsid w:val="00CC20EA"/>
    <w:rsid w:val="00CC2675"/>
    <w:rsid w:val="00CC2890"/>
    <w:rsid w:val="00CC3263"/>
    <w:rsid w:val="00CC3402"/>
    <w:rsid w:val="00CC38FA"/>
    <w:rsid w:val="00CC5FE3"/>
    <w:rsid w:val="00CC68A8"/>
    <w:rsid w:val="00CC6E69"/>
    <w:rsid w:val="00CC764F"/>
    <w:rsid w:val="00CD18C4"/>
    <w:rsid w:val="00CD1D83"/>
    <w:rsid w:val="00CD33B7"/>
    <w:rsid w:val="00CD4368"/>
    <w:rsid w:val="00CD57DA"/>
    <w:rsid w:val="00CD6531"/>
    <w:rsid w:val="00CD74A8"/>
    <w:rsid w:val="00CE077A"/>
    <w:rsid w:val="00CE16AA"/>
    <w:rsid w:val="00CE2092"/>
    <w:rsid w:val="00CE2CE4"/>
    <w:rsid w:val="00CE3335"/>
    <w:rsid w:val="00CE380E"/>
    <w:rsid w:val="00CE43BC"/>
    <w:rsid w:val="00CE458D"/>
    <w:rsid w:val="00CE5297"/>
    <w:rsid w:val="00CE7BCE"/>
    <w:rsid w:val="00CE7C4B"/>
    <w:rsid w:val="00CE7CDC"/>
    <w:rsid w:val="00CE7ECB"/>
    <w:rsid w:val="00CF0077"/>
    <w:rsid w:val="00CF0AFC"/>
    <w:rsid w:val="00CF1CC7"/>
    <w:rsid w:val="00CF25D9"/>
    <w:rsid w:val="00CF3676"/>
    <w:rsid w:val="00CF3CAA"/>
    <w:rsid w:val="00CF5D7A"/>
    <w:rsid w:val="00CF66FF"/>
    <w:rsid w:val="00CF6B3B"/>
    <w:rsid w:val="00CF704C"/>
    <w:rsid w:val="00CF7E09"/>
    <w:rsid w:val="00CF7FD0"/>
    <w:rsid w:val="00D003F6"/>
    <w:rsid w:val="00D00C73"/>
    <w:rsid w:val="00D02FBA"/>
    <w:rsid w:val="00D04896"/>
    <w:rsid w:val="00D04AED"/>
    <w:rsid w:val="00D04DBD"/>
    <w:rsid w:val="00D0770A"/>
    <w:rsid w:val="00D07AE8"/>
    <w:rsid w:val="00D10548"/>
    <w:rsid w:val="00D11441"/>
    <w:rsid w:val="00D129D8"/>
    <w:rsid w:val="00D14D0A"/>
    <w:rsid w:val="00D17315"/>
    <w:rsid w:val="00D17490"/>
    <w:rsid w:val="00D17606"/>
    <w:rsid w:val="00D20F6C"/>
    <w:rsid w:val="00D22388"/>
    <w:rsid w:val="00D227E2"/>
    <w:rsid w:val="00D229FA"/>
    <w:rsid w:val="00D2392B"/>
    <w:rsid w:val="00D23CEF"/>
    <w:rsid w:val="00D23DF4"/>
    <w:rsid w:val="00D24F6A"/>
    <w:rsid w:val="00D2552A"/>
    <w:rsid w:val="00D25568"/>
    <w:rsid w:val="00D26232"/>
    <w:rsid w:val="00D26A91"/>
    <w:rsid w:val="00D26B86"/>
    <w:rsid w:val="00D26CD9"/>
    <w:rsid w:val="00D276A7"/>
    <w:rsid w:val="00D27BFE"/>
    <w:rsid w:val="00D302DA"/>
    <w:rsid w:val="00D30A34"/>
    <w:rsid w:val="00D31F6C"/>
    <w:rsid w:val="00D32A75"/>
    <w:rsid w:val="00D32F6C"/>
    <w:rsid w:val="00D33F55"/>
    <w:rsid w:val="00D34899"/>
    <w:rsid w:val="00D35331"/>
    <w:rsid w:val="00D35810"/>
    <w:rsid w:val="00D36D6D"/>
    <w:rsid w:val="00D41E71"/>
    <w:rsid w:val="00D41F8C"/>
    <w:rsid w:val="00D423F4"/>
    <w:rsid w:val="00D42A1A"/>
    <w:rsid w:val="00D456E5"/>
    <w:rsid w:val="00D502AE"/>
    <w:rsid w:val="00D50F13"/>
    <w:rsid w:val="00D621DB"/>
    <w:rsid w:val="00D627B6"/>
    <w:rsid w:val="00D64461"/>
    <w:rsid w:val="00D644CA"/>
    <w:rsid w:val="00D65B2D"/>
    <w:rsid w:val="00D6612C"/>
    <w:rsid w:val="00D6798F"/>
    <w:rsid w:val="00D70EF3"/>
    <w:rsid w:val="00D71DEF"/>
    <w:rsid w:val="00D7220C"/>
    <w:rsid w:val="00D74476"/>
    <w:rsid w:val="00D77069"/>
    <w:rsid w:val="00D77185"/>
    <w:rsid w:val="00D80CC3"/>
    <w:rsid w:val="00D81EE1"/>
    <w:rsid w:val="00D8241C"/>
    <w:rsid w:val="00D82B27"/>
    <w:rsid w:val="00D83590"/>
    <w:rsid w:val="00D852F7"/>
    <w:rsid w:val="00D85A63"/>
    <w:rsid w:val="00D86506"/>
    <w:rsid w:val="00D92A00"/>
    <w:rsid w:val="00D94362"/>
    <w:rsid w:val="00D94943"/>
    <w:rsid w:val="00D951D9"/>
    <w:rsid w:val="00D96936"/>
    <w:rsid w:val="00D9776A"/>
    <w:rsid w:val="00DA1CB4"/>
    <w:rsid w:val="00DA2D75"/>
    <w:rsid w:val="00DA34DE"/>
    <w:rsid w:val="00DA467B"/>
    <w:rsid w:val="00DA5D4C"/>
    <w:rsid w:val="00DA5DD0"/>
    <w:rsid w:val="00DA600D"/>
    <w:rsid w:val="00DA63A1"/>
    <w:rsid w:val="00DB058B"/>
    <w:rsid w:val="00DB08E3"/>
    <w:rsid w:val="00DB3600"/>
    <w:rsid w:val="00DB5788"/>
    <w:rsid w:val="00DB66FD"/>
    <w:rsid w:val="00DB6E32"/>
    <w:rsid w:val="00DB6F28"/>
    <w:rsid w:val="00DC1906"/>
    <w:rsid w:val="00DC3603"/>
    <w:rsid w:val="00DC6CF1"/>
    <w:rsid w:val="00DD0E68"/>
    <w:rsid w:val="00DD1519"/>
    <w:rsid w:val="00DD1A1F"/>
    <w:rsid w:val="00DD2002"/>
    <w:rsid w:val="00DD4FFC"/>
    <w:rsid w:val="00DD61A8"/>
    <w:rsid w:val="00DE18E7"/>
    <w:rsid w:val="00DE1C50"/>
    <w:rsid w:val="00DE3604"/>
    <w:rsid w:val="00DE3617"/>
    <w:rsid w:val="00DE3CAC"/>
    <w:rsid w:val="00DE5E22"/>
    <w:rsid w:val="00DF0416"/>
    <w:rsid w:val="00DF2B89"/>
    <w:rsid w:val="00DF3545"/>
    <w:rsid w:val="00DF3E0C"/>
    <w:rsid w:val="00DF4057"/>
    <w:rsid w:val="00DF4DA5"/>
    <w:rsid w:val="00DF5C5E"/>
    <w:rsid w:val="00DF63FE"/>
    <w:rsid w:val="00E0006A"/>
    <w:rsid w:val="00E00304"/>
    <w:rsid w:val="00E02F59"/>
    <w:rsid w:val="00E03848"/>
    <w:rsid w:val="00E043B9"/>
    <w:rsid w:val="00E05915"/>
    <w:rsid w:val="00E05A36"/>
    <w:rsid w:val="00E073C8"/>
    <w:rsid w:val="00E0754F"/>
    <w:rsid w:val="00E109D9"/>
    <w:rsid w:val="00E14D8E"/>
    <w:rsid w:val="00E164CB"/>
    <w:rsid w:val="00E177D1"/>
    <w:rsid w:val="00E17C26"/>
    <w:rsid w:val="00E21A44"/>
    <w:rsid w:val="00E222A0"/>
    <w:rsid w:val="00E22E02"/>
    <w:rsid w:val="00E26A6C"/>
    <w:rsid w:val="00E32A08"/>
    <w:rsid w:val="00E32C30"/>
    <w:rsid w:val="00E33562"/>
    <w:rsid w:val="00E33E55"/>
    <w:rsid w:val="00E3470F"/>
    <w:rsid w:val="00E35065"/>
    <w:rsid w:val="00E40A1F"/>
    <w:rsid w:val="00E41B52"/>
    <w:rsid w:val="00E42D65"/>
    <w:rsid w:val="00E432E1"/>
    <w:rsid w:val="00E44CE1"/>
    <w:rsid w:val="00E4601C"/>
    <w:rsid w:val="00E461B4"/>
    <w:rsid w:val="00E4681B"/>
    <w:rsid w:val="00E47FD1"/>
    <w:rsid w:val="00E517D0"/>
    <w:rsid w:val="00E518BF"/>
    <w:rsid w:val="00E54423"/>
    <w:rsid w:val="00E565F1"/>
    <w:rsid w:val="00E5772B"/>
    <w:rsid w:val="00E57DDC"/>
    <w:rsid w:val="00E57EF3"/>
    <w:rsid w:val="00E6021F"/>
    <w:rsid w:val="00E612F4"/>
    <w:rsid w:val="00E619E9"/>
    <w:rsid w:val="00E61BEA"/>
    <w:rsid w:val="00E61EA5"/>
    <w:rsid w:val="00E61EE5"/>
    <w:rsid w:val="00E64A0D"/>
    <w:rsid w:val="00E64D82"/>
    <w:rsid w:val="00E663FC"/>
    <w:rsid w:val="00E6767A"/>
    <w:rsid w:val="00E67918"/>
    <w:rsid w:val="00E7087E"/>
    <w:rsid w:val="00E70B67"/>
    <w:rsid w:val="00E7439F"/>
    <w:rsid w:val="00E75159"/>
    <w:rsid w:val="00E76496"/>
    <w:rsid w:val="00E77443"/>
    <w:rsid w:val="00E77C63"/>
    <w:rsid w:val="00E80195"/>
    <w:rsid w:val="00E817C0"/>
    <w:rsid w:val="00E82E30"/>
    <w:rsid w:val="00E84F9D"/>
    <w:rsid w:val="00E857B5"/>
    <w:rsid w:val="00E857C1"/>
    <w:rsid w:val="00E905E6"/>
    <w:rsid w:val="00E90F59"/>
    <w:rsid w:val="00E915A2"/>
    <w:rsid w:val="00E91EC3"/>
    <w:rsid w:val="00E92EBD"/>
    <w:rsid w:val="00E94A3A"/>
    <w:rsid w:val="00E96823"/>
    <w:rsid w:val="00EA6722"/>
    <w:rsid w:val="00EA6FA1"/>
    <w:rsid w:val="00EB444C"/>
    <w:rsid w:val="00EC02A4"/>
    <w:rsid w:val="00EC0D20"/>
    <w:rsid w:val="00EC24F8"/>
    <w:rsid w:val="00EC2732"/>
    <w:rsid w:val="00EC2F1C"/>
    <w:rsid w:val="00EC6DA8"/>
    <w:rsid w:val="00ED12DE"/>
    <w:rsid w:val="00ED15A5"/>
    <w:rsid w:val="00ED17ED"/>
    <w:rsid w:val="00ED28A7"/>
    <w:rsid w:val="00ED3AEE"/>
    <w:rsid w:val="00ED3BA4"/>
    <w:rsid w:val="00ED3D3E"/>
    <w:rsid w:val="00ED64FF"/>
    <w:rsid w:val="00EE0FA7"/>
    <w:rsid w:val="00EE1021"/>
    <w:rsid w:val="00EE4FC1"/>
    <w:rsid w:val="00EE5771"/>
    <w:rsid w:val="00EE6559"/>
    <w:rsid w:val="00EE75D0"/>
    <w:rsid w:val="00EF0063"/>
    <w:rsid w:val="00EF0352"/>
    <w:rsid w:val="00EF18F0"/>
    <w:rsid w:val="00EF1D73"/>
    <w:rsid w:val="00EF3469"/>
    <w:rsid w:val="00EF415F"/>
    <w:rsid w:val="00EF60F0"/>
    <w:rsid w:val="00EF6CB5"/>
    <w:rsid w:val="00EF709E"/>
    <w:rsid w:val="00EF731D"/>
    <w:rsid w:val="00EF7DD1"/>
    <w:rsid w:val="00F02B0B"/>
    <w:rsid w:val="00F054E1"/>
    <w:rsid w:val="00F06595"/>
    <w:rsid w:val="00F077DD"/>
    <w:rsid w:val="00F07BA9"/>
    <w:rsid w:val="00F07C18"/>
    <w:rsid w:val="00F10B2D"/>
    <w:rsid w:val="00F114DB"/>
    <w:rsid w:val="00F11C51"/>
    <w:rsid w:val="00F11CB9"/>
    <w:rsid w:val="00F12A34"/>
    <w:rsid w:val="00F13519"/>
    <w:rsid w:val="00F1626D"/>
    <w:rsid w:val="00F17AE0"/>
    <w:rsid w:val="00F21618"/>
    <w:rsid w:val="00F21CD3"/>
    <w:rsid w:val="00F21CF6"/>
    <w:rsid w:val="00F226C5"/>
    <w:rsid w:val="00F23216"/>
    <w:rsid w:val="00F2341B"/>
    <w:rsid w:val="00F24101"/>
    <w:rsid w:val="00F2543C"/>
    <w:rsid w:val="00F254DA"/>
    <w:rsid w:val="00F261AC"/>
    <w:rsid w:val="00F26E31"/>
    <w:rsid w:val="00F30585"/>
    <w:rsid w:val="00F3292F"/>
    <w:rsid w:val="00F32CE9"/>
    <w:rsid w:val="00F347C9"/>
    <w:rsid w:val="00F35B4C"/>
    <w:rsid w:val="00F36800"/>
    <w:rsid w:val="00F37A74"/>
    <w:rsid w:val="00F37F63"/>
    <w:rsid w:val="00F42464"/>
    <w:rsid w:val="00F43140"/>
    <w:rsid w:val="00F43311"/>
    <w:rsid w:val="00F43B55"/>
    <w:rsid w:val="00F462DF"/>
    <w:rsid w:val="00F47534"/>
    <w:rsid w:val="00F476C0"/>
    <w:rsid w:val="00F51DCE"/>
    <w:rsid w:val="00F54730"/>
    <w:rsid w:val="00F56765"/>
    <w:rsid w:val="00F578FE"/>
    <w:rsid w:val="00F60298"/>
    <w:rsid w:val="00F61E40"/>
    <w:rsid w:val="00F62898"/>
    <w:rsid w:val="00F62E5C"/>
    <w:rsid w:val="00F63032"/>
    <w:rsid w:val="00F63AE5"/>
    <w:rsid w:val="00F649BF"/>
    <w:rsid w:val="00F7030C"/>
    <w:rsid w:val="00F70434"/>
    <w:rsid w:val="00F718C9"/>
    <w:rsid w:val="00F739DD"/>
    <w:rsid w:val="00F73F7F"/>
    <w:rsid w:val="00F76E13"/>
    <w:rsid w:val="00F81706"/>
    <w:rsid w:val="00F84203"/>
    <w:rsid w:val="00F8662A"/>
    <w:rsid w:val="00F86A54"/>
    <w:rsid w:val="00F904D7"/>
    <w:rsid w:val="00F90D2C"/>
    <w:rsid w:val="00F91000"/>
    <w:rsid w:val="00F92059"/>
    <w:rsid w:val="00F9226A"/>
    <w:rsid w:val="00F935E0"/>
    <w:rsid w:val="00F94290"/>
    <w:rsid w:val="00F953A2"/>
    <w:rsid w:val="00F97272"/>
    <w:rsid w:val="00FA21C6"/>
    <w:rsid w:val="00FA370E"/>
    <w:rsid w:val="00FA3BDE"/>
    <w:rsid w:val="00FA4AE6"/>
    <w:rsid w:val="00FA62B4"/>
    <w:rsid w:val="00FA7E77"/>
    <w:rsid w:val="00FB0BA4"/>
    <w:rsid w:val="00FB35AF"/>
    <w:rsid w:val="00FB3F6E"/>
    <w:rsid w:val="00FC06F8"/>
    <w:rsid w:val="00FC10B8"/>
    <w:rsid w:val="00FC487D"/>
    <w:rsid w:val="00FC55A1"/>
    <w:rsid w:val="00FC6154"/>
    <w:rsid w:val="00FC69D4"/>
    <w:rsid w:val="00FC7381"/>
    <w:rsid w:val="00FD0B99"/>
    <w:rsid w:val="00FD1E79"/>
    <w:rsid w:val="00FD3569"/>
    <w:rsid w:val="00FD39E4"/>
    <w:rsid w:val="00FD480B"/>
    <w:rsid w:val="00FD628C"/>
    <w:rsid w:val="00FD641A"/>
    <w:rsid w:val="00FE27A0"/>
    <w:rsid w:val="00FE2FC7"/>
    <w:rsid w:val="00FE45EA"/>
    <w:rsid w:val="00FE4E14"/>
    <w:rsid w:val="00FF06B8"/>
    <w:rsid w:val="00FF27E3"/>
    <w:rsid w:val="00FF32D8"/>
    <w:rsid w:val="00FF3B20"/>
    <w:rsid w:val="00FF3BDC"/>
    <w:rsid w:val="00FF4745"/>
    <w:rsid w:val="00FF698C"/>
    <w:rsid w:val="00FF78E5"/>
    <w:rsid w:val="00FF79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57"/>
    <w:pPr>
      <w:spacing w:after="200" w:line="276" w:lineRule="auto"/>
    </w:pPr>
    <w:rPr>
      <w:rFonts w:eastAsia="Times New Roman"/>
      <w:sz w:val="22"/>
      <w:szCs w:val="22"/>
    </w:rPr>
  </w:style>
  <w:style w:type="paragraph" w:styleId="Heading1">
    <w:name w:val="heading 1"/>
    <w:basedOn w:val="Normal"/>
    <w:link w:val="Heading1Char"/>
    <w:uiPriority w:val="9"/>
    <w:qFormat/>
    <w:rsid w:val="0037673A"/>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E33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515A"/>
    <w:pPr>
      <w:keepNext/>
      <w:keepLines/>
      <w:spacing w:before="200" w:after="0" w:line="360" w:lineRule="auto"/>
      <w:jc w:val="both"/>
      <w:outlineLvl w:val="2"/>
    </w:pPr>
    <w:rPr>
      <w:rFonts w:asciiTheme="majorHAnsi" w:eastAsiaTheme="majorEastAsia" w:hAnsiTheme="majorHAnsi" w:cstheme="majorBidi"/>
      <w:b/>
      <w:bCs/>
      <w:color w:val="4F81BD" w:themeColor="accent1"/>
      <w:lang w:eastAsia="en-US"/>
    </w:rPr>
  </w:style>
  <w:style w:type="paragraph" w:styleId="Heading6">
    <w:name w:val="heading 6"/>
    <w:basedOn w:val="Normal"/>
    <w:next w:val="Normal"/>
    <w:link w:val="Heading6Char"/>
    <w:uiPriority w:val="9"/>
    <w:semiHidden/>
    <w:unhideWhenUsed/>
    <w:qFormat/>
    <w:rsid w:val="0066326A"/>
    <w:pPr>
      <w:spacing w:before="240" w:after="60"/>
      <w:outlineLvl w:val="5"/>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word">
    <w:name w:val="searchword"/>
    <w:basedOn w:val="DefaultParagraphFont"/>
    <w:rsid w:val="00173E57"/>
  </w:style>
  <w:style w:type="character" w:styleId="Strong">
    <w:name w:val="Strong"/>
    <w:uiPriority w:val="22"/>
    <w:qFormat/>
    <w:rsid w:val="00173E57"/>
    <w:rPr>
      <w:b/>
      <w:bCs/>
    </w:rPr>
  </w:style>
  <w:style w:type="character" w:customStyle="1" w:styleId="longtext">
    <w:name w:val="long_text"/>
    <w:basedOn w:val="DefaultParagraphFont"/>
    <w:rsid w:val="00173E57"/>
  </w:style>
  <w:style w:type="paragraph" w:styleId="ListParagraph">
    <w:name w:val="List Paragraph"/>
    <w:basedOn w:val="Normal"/>
    <w:uiPriority w:val="34"/>
    <w:qFormat/>
    <w:rsid w:val="00173E57"/>
    <w:pPr>
      <w:ind w:left="720"/>
      <w:contextualSpacing/>
    </w:pPr>
  </w:style>
  <w:style w:type="character" w:styleId="Hyperlink">
    <w:name w:val="Hyperlink"/>
    <w:uiPriority w:val="99"/>
    <w:unhideWhenUsed/>
    <w:rsid w:val="00565844"/>
    <w:rPr>
      <w:color w:val="0000FF"/>
      <w:u w:val="single"/>
    </w:rPr>
  </w:style>
  <w:style w:type="character" w:styleId="Emphasis">
    <w:name w:val="Emphasis"/>
    <w:uiPriority w:val="20"/>
    <w:qFormat/>
    <w:rsid w:val="00333D35"/>
    <w:rPr>
      <w:i/>
      <w:iCs/>
    </w:rPr>
  </w:style>
  <w:style w:type="character" w:customStyle="1" w:styleId="simfield">
    <w:name w:val="simfield"/>
    <w:basedOn w:val="DefaultParagraphFont"/>
    <w:rsid w:val="00333D35"/>
  </w:style>
  <w:style w:type="paragraph" w:styleId="BodyText">
    <w:name w:val="Body Text"/>
    <w:basedOn w:val="Normal"/>
    <w:link w:val="BodyTextChar"/>
    <w:uiPriority w:val="99"/>
    <w:unhideWhenUsed/>
    <w:rsid w:val="00333D35"/>
    <w:pPr>
      <w:spacing w:after="120"/>
    </w:pPr>
    <w:rPr>
      <w:rFonts w:cs="Times New Roman"/>
    </w:rPr>
  </w:style>
  <w:style w:type="character" w:customStyle="1" w:styleId="BodyTextChar">
    <w:name w:val="Body Text Char"/>
    <w:link w:val="BodyText"/>
    <w:uiPriority w:val="99"/>
    <w:rsid w:val="00333D35"/>
    <w:rPr>
      <w:rFonts w:eastAsia="Times New Roman"/>
      <w:sz w:val="22"/>
      <w:szCs w:val="22"/>
    </w:rPr>
  </w:style>
  <w:style w:type="paragraph" w:styleId="BodyText2">
    <w:name w:val="Body Text 2"/>
    <w:basedOn w:val="Normal"/>
    <w:link w:val="BodyText2Char"/>
    <w:semiHidden/>
    <w:rsid w:val="00333D35"/>
    <w:pPr>
      <w:spacing w:after="120" w:line="480" w:lineRule="auto"/>
      <w:jc w:val="both"/>
    </w:pPr>
    <w:rPr>
      <w:rFonts w:ascii="Times New Roman" w:hAnsi="Times New Roman" w:cs="Times New Roman"/>
      <w:sz w:val="24"/>
      <w:szCs w:val="24"/>
    </w:rPr>
  </w:style>
  <w:style w:type="character" w:customStyle="1" w:styleId="BodyText2Char">
    <w:name w:val="Body Text 2 Char"/>
    <w:link w:val="BodyText2"/>
    <w:semiHidden/>
    <w:rsid w:val="00333D35"/>
    <w:rPr>
      <w:rFonts w:ascii="Times New Roman" w:eastAsia="Times New Roman" w:hAnsi="Times New Roman" w:cs="Times New Roman"/>
      <w:sz w:val="24"/>
      <w:szCs w:val="24"/>
    </w:rPr>
  </w:style>
  <w:style w:type="character" w:customStyle="1" w:styleId="header1">
    <w:name w:val="header1"/>
    <w:rsid w:val="004C295F"/>
    <w:rPr>
      <w:sz w:val="29"/>
      <w:szCs w:val="29"/>
    </w:rPr>
  </w:style>
  <w:style w:type="paragraph" w:styleId="NormalWeb">
    <w:name w:val="Normal (Web)"/>
    <w:basedOn w:val="Normal"/>
    <w:uiPriority w:val="99"/>
    <w:unhideWhenUsed/>
    <w:rsid w:val="004178BC"/>
    <w:pPr>
      <w:spacing w:before="100" w:beforeAutospacing="1" w:after="100" w:afterAutospacing="1" w:line="240" w:lineRule="auto"/>
    </w:pPr>
    <w:rPr>
      <w:rFonts w:ascii="Times New Roman" w:hAnsi="Times New Roman" w:cs="Times New Roman"/>
      <w:sz w:val="24"/>
      <w:szCs w:val="24"/>
    </w:rPr>
  </w:style>
  <w:style w:type="character" w:styleId="HTMLCite">
    <w:name w:val="HTML Cite"/>
    <w:uiPriority w:val="99"/>
    <w:semiHidden/>
    <w:unhideWhenUsed/>
    <w:rsid w:val="00093278"/>
    <w:rPr>
      <w:i/>
      <w:iCs/>
    </w:rPr>
  </w:style>
  <w:style w:type="character" w:customStyle="1" w:styleId="author">
    <w:name w:val="author"/>
    <w:basedOn w:val="DefaultParagraphFont"/>
    <w:rsid w:val="00093278"/>
  </w:style>
  <w:style w:type="character" w:customStyle="1" w:styleId="pubyear">
    <w:name w:val="pubyear"/>
    <w:basedOn w:val="DefaultParagraphFont"/>
    <w:rsid w:val="00093278"/>
  </w:style>
  <w:style w:type="character" w:customStyle="1" w:styleId="articletitle">
    <w:name w:val="articletitle"/>
    <w:basedOn w:val="DefaultParagraphFont"/>
    <w:rsid w:val="00093278"/>
  </w:style>
  <w:style w:type="character" w:customStyle="1" w:styleId="journaltitle2">
    <w:name w:val="journaltitle2"/>
    <w:rsid w:val="00093278"/>
    <w:rPr>
      <w:i/>
      <w:iCs/>
    </w:rPr>
  </w:style>
  <w:style w:type="character" w:customStyle="1" w:styleId="vol2">
    <w:name w:val="vol2"/>
    <w:rsid w:val="00093278"/>
    <w:rPr>
      <w:b/>
      <w:bCs/>
    </w:rPr>
  </w:style>
  <w:style w:type="character" w:customStyle="1" w:styleId="pagefirst">
    <w:name w:val="pagefirst"/>
    <w:basedOn w:val="DefaultParagraphFont"/>
    <w:rsid w:val="00093278"/>
  </w:style>
  <w:style w:type="character" w:customStyle="1" w:styleId="pagelast">
    <w:name w:val="pagelast"/>
    <w:basedOn w:val="DefaultParagraphFont"/>
    <w:rsid w:val="00093278"/>
  </w:style>
  <w:style w:type="paragraph" w:styleId="Header">
    <w:name w:val="header"/>
    <w:basedOn w:val="Normal"/>
    <w:link w:val="HeaderChar"/>
    <w:uiPriority w:val="99"/>
    <w:semiHidden/>
    <w:unhideWhenUsed/>
    <w:rsid w:val="00B76622"/>
    <w:pPr>
      <w:tabs>
        <w:tab w:val="center" w:pos="4536"/>
        <w:tab w:val="right" w:pos="9072"/>
      </w:tabs>
    </w:pPr>
    <w:rPr>
      <w:rFonts w:cs="Times New Roman"/>
    </w:rPr>
  </w:style>
  <w:style w:type="character" w:customStyle="1" w:styleId="HeaderChar">
    <w:name w:val="Header Char"/>
    <w:link w:val="Header"/>
    <w:uiPriority w:val="99"/>
    <w:semiHidden/>
    <w:rsid w:val="00B76622"/>
    <w:rPr>
      <w:rFonts w:eastAsia="Times New Roman"/>
      <w:sz w:val="22"/>
      <w:szCs w:val="22"/>
    </w:rPr>
  </w:style>
  <w:style w:type="paragraph" w:styleId="Footer">
    <w:name w:val="footer"/>
    <w:basedOn w:val="Normal"/>
    <w:link w:val="FooterChar"/>
    <w:uiPriority w:val="99"/>
    <w:unhideWhenUsed/>
    <w:rsid w:val="00B76622"/>
    <w:pPr>
      <w:tabs>
        <w:tab w:val="center" w:pos="4536"/>
        <w:tab w:val="right" w:pos="9072"/>
      </w:tabs>
    </w:pPr>
    <w:rPr>
      <w:rFonts w:cs="Times New Roman"/>
    </w:rPr>
  </w:style>
  <w:style w:type="character" w:customStyle="1" w:styleId="FooterChar">
    <w:name w:val="Footer Char"/>
    <w:link w:val="Footer"/>
    <w:uiPriority w:val="99"/>
    <w:rsid w:val="00B76622"/>
    <w:rPr>
      <w:rFonts w:eastAsia="Times New Roman"/>
      <w:sz w:val="22"/>
      <w:szCs w:val="22"/>
    </w:rPr>
  </w:style>
  <w:style w:type="paragraph" w:styleId="BalloonText">
    <w:name w:val="Balloon Text"/>
    <w:basedOn w:val="Normal"/>
    <w:link w:val="BalloonTextChar"/>
    <w:uiPriority w:val="99"/>
    <w:semiHidden/>
    <w:unhideWhenUsed/>
    <w:rsid w:val="00B7662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76622"/>
    <w:rPr>
      <w:rFonts w:ascii="Tahoma" w:eastAsia="Times New Roman" w:hAnsi="Tahoma" w:cs="Tahoma"/>
      <w:sz w:val="16"/>
      <w:szCs w:val="16"/>
    </w:rPr>
  </w:style>
  <w:style w:type="character" w:customStyle="1" w:styleId="ft">
    <w:name w:val="ft"/>
    <w:basedOn w:val="DefaultParagraphFont"/>
    <w:rsid w:val="00103790"/>
  </w:style>
  <w:style w:type="paragraph" w:styleId="BodyText3">
    <w:name w:val="Body Text 3"/>
    <w:basedOn w:val="Normal"/>
    <w:link w:val="BodyText3Char"/>
    <w:uiPriority w:val="99"/>
    <w:unhideWhenUsed/>
    <w:rsid w:val="00CF3676"/>
    <w:pPr>
      <w:spacing w:after="120"/>
    </w:pPr>
    <w:rPr>
      <w:rFonts w:cs="Times New Roman"/>
      <w:sz w:val="16"/>
      <w:szCs w:val="16"/>
    </w:rPr>
  </w:style>
  <w:style w:type="character" w:customStyle="1" w:styleId="BodyText3Char">
    <w:name w:val="Body Text 3 Char"/>
    <w:link w:val="BodyText3"/>
    <w:uiPriority w:val="99"/>
    <w:rsid w:val="00CF3676"/>
    <w:rPr>
      <w:rFonts w:eastAsia="Times New Roman"/>
      <w:sz w:val="16"/>
      <w:szCs w:val="16"/>
    </w:rPr>
  </w:style>
  <w:style w:type="paragraph" w:customStyle="1" w:styleId="ang">
    <w:name w:val="ang"/>
    <w:basedOn w:val="Normal"/>
    <w:rsid w:val="00CF3676"/>
    <w:pPr>
      <w:spacing w:before="480" w:after="0" w:line="480" w:lineRule="auto"/>
      <w:ind w:firstLine="720"/>
      <w:jc w:val="both"/>
    </w:pPr>
    <w:rPr>
      <w:rFonts w:ascii="Helvetica" w:hAnsi="Helvetica" w:cs="Times New Roman"/>
      <w:szCs w:val="20"/>
      <w:lang w:val="en-US"/>
    </w:rPr>
  </w:style>
  <w:style w:type="paragraph" w:styleId="BlockText">
    <w:name w:val="Block Text"/>
    <w:basedOn w:val="Normal"/>
    <w:rsid w:val="00CF3676"/>
    <w:pPr>
      <w:tabs>
        <w:tab w:val="left" w:pos="-450"/>
      </w:tabs>
      <w:spacing w:after="0" w:line="480" w:lineRule="auto"/>
      <w:ind w:left="-720" w:right="-720"/>
      <w:jc w:val="both"/>
    </w:pPr>
    <w:rPr>
      <w:rFonts w:ascii="Times New Roman" w:hAnsi="Times New Roman" w:cs="Times New Roman"/>
      <w:sz w:val="24"/>
      <w:szCs w:val="20"/>
      <w:lang w:val="en-US" w:eastAsia="en-US"/>
    </w:rPr>
  </w:style>
  <w:style w:type="character" w:customStyle="1" w:styleId="FootnoteTextChar">
    <w:name w:val="Footnote Text Char"/>
    <w:link w:val="FootnoteText"/>
    <w:semiHidden/>
    <w:rsid w:val="008D2B20"/>
    <w:rPr>
      <w:rFonts w:eastAsia="Times New Roman"/>
    </w:rPr>
  </w:style>
  <w:style w:type="paragraph" w:styleId="FootnoteText">
    <w:name w:val="footnote text"/>
    <w:basedOn w:val="Normal"/>
    <w:link w:val="FootnoteTextChar"/>
    <w:semiHidden/>
    <w:rsid w:val="008D2B20"/>
    <w:rPr>
      <w:rFonts w:cs="Times New Roman"/>
      <w:sz w:val="20"/>
      <w:szCs w:val="20"/>
    </w:rPr>
  </w:style>
  <w:style w:type="character" w:customStyle="1" w:styleId="FootnoteTextChar1">
    <w:name w:val="Footnote Text Char1"/>
    <w:uiPriority w:val="99"/>
    <w:semiHidden/>
    <w:rsid w:val="008D2B20"/>
    <w:rPr>
      <w:rFonts w:eastAsia="Times New Roman"/>
    </w:rPr>
  </w:style>
  <w:style w:type="character" w:customStyle="1" w:styleId="Heading1Char">
    <w:name w:val="Heading 1 Char"/>
    <w:link w:val="Heading1"/>
    <w:uiPriority w:val="9"/>
    <w:rsid w:val="0037673A"/>
    <w:rPr>
      <w:rFonts w:ascii="Times New Roman" w:eastAsia="Times New Roman" w:hAnsi="Times New Roman" w:cs="Times New Roman"/>
      <w:b/>
      <w:bCs/>
      <w:kern w:val="36"/>
      <w:sz w:val="48"/>
      <w:szCs w:val="48"/>
    </w:rPr>
  </w:style>
  <w:style w:type="character" w:customStyle="1" w:styleId="citation">
    <w:name w:val="citation"/>
    <w:basedOn w:val="DefaultParagraphFont"/>
    <w:rsid w:val="00F11C51"/>
  </w:style>
  <w:style w:type="character" w:customStyle="1" w:styleId="reference-text">
    <w:name w:val="reference-text"/>
    <w:basedOn w:val="DefaultParagraphFont"/>
    <w:rsid w:val="00F11C51"/>
  </w:style>
  <w:style w:type="character" w:styleId="FootnoteReference">
    <w:name w:val="footnote reference"/>
    <w:uiPriority w:val="99"/>
    <w:semiHidden/>
    <w:unhideWhenUsed/>
    <w:rsid w:val="00186D83"/>
    <w:rPr>
      <w:vertAlign w:val="superscript"/>
    </w:rPr>
  </w:style>
  <w:style w:type="paragraph" w:customStyle="1" w:styleId="Default">
    <w:name w:val="Default"/>
    <w:rsid w:val="000D48BD"/>
    <w:pPr>
      <w:autoSpaceDE w:val="0"/>
      <w:autoSpaceDN w:val="0"/>
      <w:adjustRightInd w:val="0"/>
    </w:pPr>
    <w:rPr>
      <w:rFonts w:cs="Calibri"/>
      <w:color w:val="000000"/>
      <w:sz w:val="24"/>
      <w:szCs w:val="24"/>
    </w:rPr>
  </w:style>
  <w:style w:type="character" w:customStyle="1" w:styleId="Heading6Char">
    <w:name w:val="Heading 6 Char"/>
    <w:link w:val="Heading6"/>
    <w:uiPriority w:val="9"/>
    <w:semiHidden/>
    <w:rsid w:val="0066326A"/>
    <w:rPr>
      <w:rFonts w:ascii="Calibri" w:eastAsia="Times New Roman" w:hAnsi="Calibri" w:cs="Arial"/>
      <w:b/>
      <w:bCs/>
      <w:sz w:val="22"/>
      <w:szCs w:val="22"/>
    </w:rPr>
  </w:style>
  <w:style w:type="character" w:styleId="PlaceholderText">
    <w:name w:val="Placeholder Text"/>
    <w:basedOn w:val="DefaultParagraphFont"/>
    <w:uiPriority w:val="99"/>
    <w:semiHidden/>
    <w:rsid w:val="009C10E4"/>
    <w:rPr>
      <w:color w:val="808080"/>
    </w:rPr>
  </w:style>
  <w:style w:type="paragraph" w:styleId="PlainText">
    <w:name w:val="Plain Text"/>
    <w:basedOn w:val="Normal"/>
    <w:link w:val="PlainTextChar"/>
    <w:rsid w:val="00437BD9"/>
    <w:pPr>
      <w:spacing w:after="0" w:line="360" w:lineRule="auto"/>
      <w:jc w:val="both"/>
    </w:pPr>
    <w:rPr>
      <w:rFonts w:ascii="Courier New" w:hAnsi="Courier New" w:cs="Courier New"/>
      <w:sz w:val="20"/>
      <w:szCs w:val="20"/>
    </w:rPr>
  </w:style>
  <w:style w:type="character" w:customStyle="1" w:styleId="PlainTextChar">
    <w:name w:val="Plain Text Char"/>
    <w:basedOn w:val="DefaultParagraphFont"/>
    <w:link w:val="PlainText"/>
    <w:rsid w:val="00437BD9"/>
    <w:rPr>
      <w:rFonts w:ascii="Courier New" w:eastAsia="Times New Roman" w:hAnsi="Courier New" w:cs="Courier New"/>
    </w:rPr>
  </w:style>
  <w:style w:type="paragraph" w:styleId="Caption">
    <w:name w:val="caption"/>
    <w:basedOn w:val="Normal"/>
    <w:next w:val="Normal"/>
    <w:unhideWhenUsed/>
    <w:qFormat/>
    <w:rsid w:val="001616C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6D515A"/>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6D515A"/>
  </w:style>
  <w:style w:type="character" w:customStyle="1" w:styleId="Heading2Char">
    <w:name w:val="Heading 2 Char"/>
    <w:basedOn w:val="DefaultParagraphFont"/>
    <w:link w:val="Heading2"/>
    <w:uiPriority w:val="9"/>
    <w:semiHidden/>
    <w:rsid w:val="003E33FF"/>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3E33FF"/>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link w:val="TitleChar"/>
    <w:qFormat/>
    <w:rsid w:val="00327AA9"/>
    <w:pPr>
      <w:spacing w:after="0" w:line="360" w:lineRule="auto"/>
      <w:ind w:left="360"/>
      <w:jc w:val="center"/>
    </w:pPr>
    <w:rPr>
      <w:rFonts w:ascii="Times New Roman" w:hAnsi="Times New Roman" w:cs="Times New Roman"/>
      <w:b/>
      <w:bCs/>
      <w:i/>
      <w:iCs/>
      <w:sz w:val="28"/>
      <w:szCs w:val="24"/>
    </w:rPr>
  </w:style>
  <w:style w:type="character" w:customStyle="1" w:styleId="TitleChar">
    <w:name w:val="Title Char"/>
    <w:basedOn w:val="DefaultParagraphFont"/>
    <w:link w:val="Title"/>
    <w:rsid w:val="00327AA9"/>
    <w:rPr>
      <w:rFonts w:ascii="Times New Roman" w:eastAsia="Times New Roman" w:hAnsi="Times New Roman" w:cs="Times New Roman"/>
      <w:b/>
      <w:bCs/>
      <w:i/>
      <w:iCs/>
      <w:sz w:val="28"/>
      <w:szCs w:val="24"/>
    </w:rPr>
  </w:style>
</w:styles>
</file>

<file path=word/webSettings.xml><?xml version="1.0" encoding="utf-8"?>
<w:webSettings xmlns:r="http://schemas.openxmlformats.org/officeDocument/2006/relationships" xmlns:w="http://schemas.openxmlformats.org/wordprocessingml/2006/main">
  <w:divs>
    <w:div w:id="390927203">
      <w:bodyDiv w:val="1"/>
      <w:marLeft w:val="0"/>
      <w:marRight w:val="0"/>
      <w:marTop w:val="0"/>
      <w:marBottom w:val="0"/>
      <w:divBdr>
        <w:top w:val="none" w:sz="0" w:space="0" w:color="auto"/>
        <w:left w:val="none" w:sz="0" w:space="0" w:color="auto"/>
        <w:bottom w:val="none" w:sz="0" w:space="0" w:color="auto"/>
        <w:right w:val="none" w:sz="0" w:space="0" w:color="auto"/>
      </w:divBdr>
      <w:divsChild>
        <w:div w:id="1846088642">
          <w:marLeft w:val="0"/>
          <w:marRight w:val="0"/>
          <w:marTop w:val="0"/>
          <w:marBottom w:val="0"/>
          <w:divBdr>
            <w:top w:val="none" w:sz="0" w:space="0" w:color="auto"/>
            <w:left w:val="none" w:sz="0" w:space="0" w:color="auto"/>
            <w:bottom w:val="none" w:sz="0" w:space="0" w:color="auto"/>
            <w:right w:val="none" w:sz="0" w:space="0" w:color="auto"/>
          </w:divBdr>
        </w:div>
      </w:divsChild>
    </w:div>
    <w:div w:id="839198673">
      <w:bodyDiv w:val="1"/>
      <w:marLeft w:val="0"/>
      <w:marRight w:val="0"/>
      <w:marTop w:val="0"/>
      <w:marBottom w:val="0"/>
      <w:divBdr>
        <w:top w:val="none" w:sz="0" w:space="0" w:color="auto"/>
        <w:left w:val="none" w:sz="0" w:space="0" w:color="auto"/>
        <w:bottom w:val="none" w:sz="0" w:space="0" w:color="auto"/>
        <w:right w:val="none" w:sz="0" w:space="0" w:color="auto"/>
      </w:divBdr>
    </w:div>
    <w:div w:id="1083455264">
      <w:bodyDiv w:val="1"/>
      <w:marLeft w:val="0"/>
      <w:marRight w:val="0"/>
      <w:marTop w:val="0"/>
      <w:marBottom w:val="0"/>
      <w:divBdr>
        <w:top w:val="none" w:sz="0" w:space="0" w:color="auto"/>
        <w:left w:val="none" w:sz="0" w:space="0" w:color="auto"/>
        <w:bottom w:val="none" w:sz="0" w:space="0" w:color="auto"/>
        <w:right w:val="none" w:sz="0" w:space="0" w:color="auto"/>
      </w:divBdr>
      <w:divsChild>
        <w:div w:id="5257735">
          <w:marLeft w:val="0"/>
          <w:marRight w:val="0"/>
          <w:marTop w:val="0"/>
          <w:marBottom w:val="0"/>
          <w:divBdr>
            <w:top w:val="none" w:sz="0" w:space="0" w:color="auto"/>
            <w:left w:val="none" w:sz="0" w:space="0" w:color="auto"/>
            <w:bottom w:val="none" w:sz="0" w:space="0" w:color="auto"/>
            <w:right w:val="none" w:sz="0" w:space="0" w:color="auto"/>
          </w:divBdr>
          <w:divsChild>
            <w:div w:id="899512992">
              <w:marLeft w:val="84"/>
              <w:marRight w:val="98"/>
              <w:marTop w:val="0"/>
              <w:marBottom w:val="0"/>
              <w:divBdr>
                <w:top w:val="none" w:sz="0" w:space="0" w:color="auto"/>
                <w:left w:val="none" w:sz="0" w:space="0" w:color="auto"/>
                <w:bottom w:val="none" w:sz="0" w:space="0" w:color="auto"/>
                <w:right w:val="none" w:sz="0" w:space="0" w:color="auto"/>
              </w:divBdr>
              <w:divsChild>
                <w:div w:id="805270677">
                  <w:marLeft w:val="0"/>
                  <w:marRight w:val="0"/>
                  <w:marTop w:val="0"/>
                  <w:marBottom w:val="0"/>
                  <w:divBdr>
                    <w:top w:val="single" w:sz="2" w:space="0" w:color="auto"/>
                    <w:left w:val="single" w:sz="48" w:space="0" w:color="F8F8F8"/>
                    <w:bottom w:val="single" w:sz="2" w:space="0" w:color="auto"/>
                    <w:right w:val="single" w:sz="48" w:space="0" w:color="F8F8F8"/>
                  </w:divBdr>
                  <w:divsChild>
                    <w:div w:id="2120366178">
                      <w:marLeft w:val="0"/>
                      <w:marRight w:val="0"/>
                      <w:marTop w:val="0"/>
                      <w:marBottom w:val="0"/>
                      <w:divBdr>
                        <w:top w:val="single" w:sz="2" w:space="0" w:color="auto"/>
                        <w:left w:val="single" w:sz="2" w:space="0" w:color="auto"/>
                        <w:bottom w:val="single" w:sz="2" w:space="0" w:color="auto"/>
                        <w:right w:val="single" w:sz="2" w:space="0" w:color="auto"/>
                      </w:divBdr>
                      <w:divsChild>
                        <w:div w:id="1185245475">
                          <w:marLeft w:val="-14"/>
                          <w:marRight w:val="-14"/>
                          <w:marTop w:val="0"/>
                          <w:marBottom w:val="0"/>
                          <w:divBdr>
                            <w:top w:val="none" w:sz="0" w:space="0" w:color="auto"/>
                            <w:left w:val="none" w:sz="0" w:space="0" w:color="auto"/>
                            <w:bottom w:val="none" w:sz="0" w:space="0" w:color="auto"/>
                            <w:right w:val="none" w:sz="0" w:space="0" w:color="auto"/>
                          </w:divBdr>
                          <w:divsChild>
                            <w:div w:id="11385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8660">
      <w:bodyDiv w:val="1"/>
      <w:marLeft w:val="0"/>
      <w:marRight w:val="0"/>
      <w:marTop w:val="160"/>
      <w:marBottom w:val="160"/>
      <w:divBdr>
        <w:top w:val="none" w:sz="0" w:space="0" w:color="auto"/>
        <w:left w:val="none" w:sz="0" w:space="0" w:color="auto"/>
        <w:bottom w:val="none" w:sz="0" w:space="0" w:color="auto"/>
        <w:right w:val="none" w:sz="0" w:space="0" w:color="auto"/>
      </w:divBdr>
      <w:divsChild>
        <w:div w:id="523129143">
          <w:marLeft w:val="0"/>
          <w:marRight w:val="0"/>
          <w:marTop w:val="0"/>
          <w:marBottom w:val="0"/>
          <w:divBdr>
            <w:top w:val="none" w:sz="0" w:space="0" w:color="auto"/>
            <w:left w:val="none" w:sz="0" w:space="0" w:color="auto"/>
            <w:bottom w:val="none" w:sz="0" w:space="0" w:color="auto"/>
            <w:right w:val="none" w:sz="0" w:space="0" w:color="auto"/>
          </w:divBdr>
          <w:divsChild>
            <w:div w:id="1890844786">
              <w:marLeft w:val="3696"/>
              <w:marRight w:val="200"/>
              <w:marTop w:val="0"/>
              <w:marBottom w:val="0"/>
              <w:divBdr>
                <w:top w:val="none" w:sz="0" w:space="0" w:color="auto"/>
                <w:left w:val="none" w:sz="0" w:space="0" w:color="auto"/>
                <w:bottom w:val="none" w:sz="0" w:space="0" w:color="auto"/>
                <w:right w:val="none" w:sz="0" w:space="0" w:color="auto"/>
              </w:divBdr>
              <w:divsChild>
                <w:div w:id="8599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4106">
      <w:bodyDiv w:val="1"/>
      <w:marLeft w:val="0"/>
      <w:marRight w:val="0"/>
      <w:marTop w:val="0"/>
      <w:marBottom w:val="0"/>
      <w:divBdr>
        <w:top w:val="none" w:sz="0" w:space="0" w:color="auto"/>
        <w:left w:val="none" w:sz="0" w:space="0" w:color="auto"/>
        <w:bottom w:val="none" w:sz="0" w:space="0" w:color="auto"/>
        <w:right w:val="none" w:sz="0" w:space="0" w:color="auto"/>
      </w:divBdr>
    </w:div>
    <w:div w:id="2136412316">
      <w:bodyDiv w:val="1"/>
      <w:marLeft w:val="0"/>
      <w:marRight w:val="0"/>
      <w:marTop w:val="0"/>
      <w:marBottom w:val="0"/>
      <w:divBdr>
        <w:top w:val="none" w:sz="0" w:space="0" w:color="auto"/>
        <w:left w:val="none" w:sz="0" w:space="0" w:color="auto"/>
        <w:bottom w:val="none" w:sz="0" w:space="0" w:color="auto"/>
        <w:right w:val="none" w:sz="0" w:space="0" w:color="auto"/>
      </w:divBdr>
      <w:divsChild>
        <w:div w:id="1761608224">
          <w:marLeft w:val="0"/>
          <w:marRight w:val="0"/>
          <w:marTop w:val="0"/>
          <w:marBottom w:val="0"/>
          <w:divBdr>
            <w:top w:val="none" w:sz="0" w:space="0" w:color="auto"/>
            <w:left w:val="none" w:sz="0" w:space="0" w:color="auto"/>
            <w:bottom w:val="none" w:sz="0" w:space="0" w:color="auto"/>
            <w:right w:val="none" w:sz="0" w:space="0" w:color="auto"/>
          </w:divBdr>
          <w:divsChild>
            <w:div w:id="4527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4871A-E1B7-4F6B-B083-246DA019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7283</Words>
  <Characters>40061</Characters>
  <Application>Microsoft Office Word</Application>
  <DocSecurity>0</DocSecurity>
  <Lines>333</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Robert Morris University</Company>
  <LinksUpToDate>false</LinksUpToDate>
  <CharactersWithSpaces>47250</CharactersWithSpaces>
  <SharedDoc>false</SharedDoc>
  <HLinks>
    <vt:vector size="24" baseType="variant">
      <vt:variant>
        <vt:i4>4849751</vt:i4>
      </vt:variant>
      <vt:variant>
        <vt:i4>39</vt:i4>
      </vt:variant>
      <vt:variant>
        <vt:i4>0</vt:i4>
      </vt:variant>
      <vt:variant>
        <vt:i4>5</vt:i4>
      </vt:variant>
      <vt:variant>
        <vt:lpwstr>http://onlinelibrary.wiley.com/doi/10.1111/j.1468-5957.2007.02066.x/abstract</vt:lpwstr>
      </vt:variant>
      <vt:variant>
        <vt:lpwstr/>
      </vt:variant>
      <vt:variant>
        <vt:i4>8126580</vt:i4>
      </vt:variant>
      <vt:variant>
        <vt:i4>36</vt:i4>
      </vt:variant>
      <vt:variant>
        <vt:i4>0</vt:i4>
      </vt:variant>
      <vt:variant>
        <vt:i4>5</vt:i4>
      </vt:variant>
      <vt:variant>
        <vt:lpwstr>http://www.emeraldinsight.com/books.htm?issn=1569-3732</vt:lpwstr>
      </vt:variant>
      <vt:variant>
        <vt:lpwstr/>
      </vt:variant>
      <vt:variant>
        <vt:i4>4522050</vt:i4>
      </vt:variant>
      <vt:variant>
        <vt:i4>3</vt:i4>
      </vt:variant>
      <vt:variant>
        <vt:i4>0</vt:i4>
      </vt:variant>
      <vt:variant>
        <vt:i4>5</vt:i4>
      </vt:variant>
      <vt:variant>
        <vt:lpwstr>mailto:amel_bns@yahoo.fr</vt:lpwstr>
      </vt:variant>
      <vt:variant>
        <vt:lpwstr/>
      </vt:variant>
      <vt:variant>
        <vt:i4>7340050</vt:i4>
      </vt:variant>
      <vt:variant>
        <vt:i4>0</vt:i4>
      </vt:variant>
      <vt:variant>
        <vt:i4>0</vt:i4>
      </vt:variant>
      <vt:variant>
        <vt:i4>5</vt:i4>
      </vt:variant>
      <vt:variant>
        <vt:lpwstr>mailto:malek.saihi.1@ulaval.ca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2015-03-02T14:58:00Z</cp:lastPrinted>
  <dcterms:created xsi:type="dcterms:W3CDTF">2015-03-26T22:55:00Z</dcterms:created>
  <dcterms:modified xsi:type="dcterms:W3CDTF">2015-03-26T22:59:00Z</dcterms:modified>
</cp:coreProperties>
</file>