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5F" w:rsidRDefault="00803843" w:rsidP="006834E1">
      <w:pPr>
        <w:spacing w:line="276" w:lineRule="auto"/>
        <w:jc w:val="both"/>
        <w:rPr>
          <w:b/>
          <w:sz w:val="28"/>
        </w:rPr>
      </w:pPr>
      <w:r>
        <w:rPr>
          <w:b/>
          <w:sz w:val="28"/>
        </w:rPr>
        <w:t xml:space="preserve">Problem of Rising NPA in Banking Sector of INDIA: Comparative Analysis of Public, Private &amp; Foreign Banks. </w:t>
      </w:r>
    </w:p>
    <w:p w:rsidR="000A065F" w:rsidRDefault="000A065F" w:rsidP="006834E1">
      <w:pPr>
        <w:spacing w:line="276" w:lineRule="auto"/>
        <w:jc w:val="both"/>
        <w:rPr>
          <w:b/>
          <w:sz w:val="28"/>
        </w:rPr>
      </w:pPr>
    </w:p>
    <w:p w:rsidR="00675217" w:rsidRPr="00617E6E" w:rsidRDefault="008B7719" w:rsidP="006834E1">
      <w:pPr>
        <w:spacing w:line="276" w:lineRule="auto"/>
        <w:jc w:val="both"/>
        <w:rPr>
          <w:b/>
          <w:sz w:val="28"/>
        </w:rPr>
      </w:pPr>
      <w:r w:rsidRPr="00617E6E">
        <w:rPr>
          <w:b/>
          <w:sz w:val="28"/>
        </w:rPr>
        <w:t>INTRODUCTION</w:t>
      </w:r>
    </w:p>
    <w:p w:rsidR="00675217" w:rsidRPr="00675217" w:rsidRDefault="008B7719" w:rsidP="006834E1">
      <w:pPr>
        <w:spacing w:line="276" w:lineRule="auto"/>
        <w:jc w:val="both"/>
      </w:pPr>
      <w:r w:rsidRPr="00675217">
        <w:t xml:space="preserve"> The health of an economy can be estimated by looking at the health of its banking sector. Introduction of financial reforms in 1991changed the working of banks. The banking sector is the backbone of an economy. Reforms of 1991 brought up some recommendations in reports known as the Narasimham Committee, suggesting banking reforms &amp; introduced the concept of Non-Performing Assets (NPA).NPA is one of the best tools to judge the health of the banking sector. As per the RBI "NPA was defined as a credit facility in respect of which the interest &amp;/or installment of principal has remained `past due` for a specific period of time." NPA reflects the risk perception, cost of capital which affects the profitability &amp;liquidity of a bank. From some previous years rising NPA have regularly been reported in INDIA which describes ill health of banks. The problem of NPA emerges from the lending of banks which is the prime source of income to the bank.</w:t>
      </w:r>
      <w:r w:rsidR="00155399">
        <w:t xml:space="preserve"> Indian banking industry holds the fifth rank worldwide in NPA concern.</w:t>
      </w:r>
      <w:r w:rsidR="005D5488">
        <w:t xml:space="preserve"> Due to the fallen growth </w:t>
      </w:r>
      <w:r w:rsidR="00E336F4">
        <w:t>rate, profit</w:t>
      </w:r>
      <w:r w:rsidR="005D5488">
        <w:t xml:space="preserve"> margin of industries fell &amp; corporates proved unable to repay their hefty loans. </w:t>
      </w:r>
      <w:r w:rsidRPr="00675217">
        <w:t xml:space="preserve"> According to the “Narasimham Committee Report (1991), those assets (overdraft/ cash credit) for which the interest remains due for a period of four quarters (180 days) should be considered as NPAs. As per the revised guidelines issued by RBI in 2004 the outstanding period of 180 days is shortened to 90 days. NPA is broad</w:t>
      </w:r>
      <w:r w:rsidR="00B14FDF">
        <w:t>ly classified into two categories-</w:t>
      </w:r>
    </w:p>
    <w:p w:rsidR="00675217" w:rsidRPr="00675217" w:rsidRDefault="008B7719" w:rsidP="006834E1">
      <w:pPr>
        <w:spacing w:line="276" w:lineRule="auto"/>
        <w:jc w:val="both"/>
        <w:rPr>
          <w:b/>
        </w:rPr>
      </w:pPr>
      <w:r w:rsidRPr="00675217">
        <w:rPr>
          <w:b/>
        </w:rPr>
        <w:t>Gross NPA</w:t>
      </w:r>
    </w:p>
    <w:p w:rsidR="00675217" w:rsidRPr="00675217" w:rsidRDefault="008B7719" w:rsidP="006834E1">
      <w:pPr>
        <w:spacing w:line="276" w:lineRule="auto"/>
        <w:jc w:val="both"/>
      </w:pPr>
      <w:r w:rsidRPr="00675217">
        <w:t>Gross NPA are those loans issued which are proven bad &amp;have to be written off but still exist in books of accounts. Gross NPA is total of all those advances whose principal &amp;/ or interest amount is outstanding from the previous 90 days excluding any provisions made by the bank to face such contingency.</w:t>
      </w:r>
    </w:p>
    <w:p w:rsidR="00675217" w:rsidRPr="00675217" w:rsidRDefault="008B7719" w:rsidP="006834E1">
      <w:pPr>
        <w:spacing w:line="276" w:lineRule="auto"/>
        <w:jc w:val="both"/>
        <w:rPr>
          <w:b/>
        </w:rPr>
      </w:pPr>
      <w:r w:rsidRPr="00675217">
        <w:rPr>
          <w:b/>
        </w:rPr>
        <w:t>Net NPA</w:t>
      </w:r>
    </w:p>
    <w:p w:rsidR="00675217" w:rsidRPr="00675217" w:rsidRDefault="008B7719" w:rsidP="006834E1">
      <w:pPr>
        <w:spacing w:line="276" w:lineRule="auto"/>
        <w:jc w:val="both"/>
      </w:pPr>
      <w:r w:rsidRPr="00675217">
        <w:t>Net NPA are those advances which are proven bad&amp; for which bank has not maintained any provisions.</w:t>
      </w:r>
    </w:p>
    <w:p w:rsidR="00675217" w:rsidRPr="00675217" w:rsidRDefault="008B7719" w:rsidP="006834E1">
      <w:pPr>
        <w:spacing w:line="276" w:lineRule="auto"/>
        <w:jc w:val="both"/>
      </w:pPr>
      <w:r w:rsidRPr="00675217">
        <w:t>Net NPA=Gross NPA- Provisions made for bad debts.</w:t>
      </w:r>
    </w:p>
    <w:p w:rsidR="006834E1" w:rsidRDefault="006834E1" w:rsidP="006834E1">
      <w:pPr>
        <w:spacing w:line="276" w:lineRule="auto"/>
        <w:jc w:val="both"/>
      </w:pPr>
    </w:p>
    <w:p w:rsidR="00675217" w:rsidRPr="00675217" w:rsidRDefault="008B7719" w:rsidP="006834E1">
      <w:pPr>
        <w:spacing w:line="276" w:lineRule="auto"/>
        <w:jc w:val="both"/>
        <w:rPr>
          <w:b/>
        </w:rPr>
      </w:pPr>
      <w:r w:rsidRPr="00675217">
        <w:rPr>
          <w:b/>
        </w:rPr>
        <w:t>Classification of assets</w:t>
      </w:r>
    </w:p>
    <w:p w:rsidR="00675217" w:rsidRPr="00675217" w:rsidRDefault="008B7719" w:rsidP="006834E1">
      <w:pPr>
        <w:numPr>
          <w:ilvl w:val="0"/>
          <w:numId w:val="2"/>
        </w:numPr>
        <w:spacing w:line="276" w:lineRule="auto"/>
        <w:jc w:val="both"/>
        <w:rPr>
          <w:b/>
        </w:rPr>
      </w:pPr>
      <w:r w:rsidRPr="00675217">
        <w:rPr>
          <w:b/>
        </w:rPr>
        <w:t>Standard Asset</w:t>
      </w:r>
    </w:p>
    <w:p w:rsidR="00675217" w:rsidRPr="00675217" w:rsidRDefault="008B7719" w:rsidP="006834E1">
      <w:pPr>
        <w:numPr>
          <w:ilvl w:val="0"/>
          <w:numId w:val="2"/>
        </w:numPr>
        <w:spacing w:line="276" w:lineRule="auto"/>
        <w:jc w:val="both"/>
        <w:rPr>
          <w:b/>
        </w:rPr>
      </w:pPr>
      <w:r w:rsidRPr="00675217">
        <w:rPr>
          <w:b/>
        </w:rPr>
        <w:t>Sub-Standard Asset</w:t>
      </w:r>
    </w:p>
    <w:p w:rsidR="00675217" w:rsidRPr="00675217" w:rsidRDefault="008B7719" w:rsidP="006834E1">
      <w:pPr>
        <w:numPr>
          <w:ilvl w:val="0"/>
          <w:numId w:val="2"/>
        </w:numPr>
        <w:spacing w:line="276" w:lineRule="auto"/>
        <w:jc w:val="both"/>
        <w:rPr>
          <w:b/>
        </w:rPr>
      </w:pPr>
      <w:r w:rsidRPr="00675217">
        <w:rPr>
          <w:b/>
        </w:rPr>
        <w:t>Doubtful Asset</w:t>
      </w:r>
    </w:p>
    <w:p w:rsidR="00675217" w:rsidRPr="00675217" w:rsidRDefault="008B7719" w:rsidP="006834E1">
      <w:pPr>
        <w:numPr>
          <w:ilvl w:val="0"/>
          <w:numId w:val="2"/>
        </w:numPr>
        <w:spacing w:line="276" w:lineRule="auto"/>
        <w:jc w:val="both"/>
        <w:rPr>
          <w:b/>
        </w:rPr>
      </w:pPr>
      <w:r w:rsidRPr="00675217">
        <w:rPr>
          <w:b/>
        </w:rPr>
        <w:t>Loss Asset</w:t>
      </w:r>
    </w:p>
    <w:p w:rsidR="00675217" w:rsidRPr="00675217" w:rsidRDefault="00675217" w:rsidP="006834E1">
      <w:pPr>
        <w:spacing w:line="276" w:lineRule="auto"/>
        <w:jc w:val="both"/>
        <w:rPr>
          <w:b/>
        </w:rPr>
      </w:pPr>
    </w:p>
    <w:p w:rsidR="00F35AC7" w:rsidRDefault="00F35AC7" w:rsidP="006834E1">
      <w:pPr>
        <w:spacing w:line="276" w:lineRule="auto"/>
        <w:jc w:val="both"/>
        <w:rPr>
          <w:b/>
        </w:rPr>
      </w:pPr>
    </w:p>
    <w:p w:rsidR="00F35AC7" w:rsidRDefault="00F35AC7" w:rsidP="006834E1">
      <w:pPr>
        <w:spacing w:line="276" w:lineRule="auto"/>
        <w:jc w:val="both"/>
        <w:rPr>
          <w:b/>
        </w:rPr>
      </w:pPr>
    </w:p>
    <w:p w:rsidR="00F35AC7" w:rsidRDefault="00F35AC7" w:rsidP="006834E1">
      <w:pPr>
        <w:spacing w:line="276" w:lineRule="auto"/>
        <w:jc w:val="both"/>
        <w:rPr>
          <w:b/>
        </w:rPr>
      </w:pPr>
    </w:p>
    <w:p w:rsidR="00F35AC7" w:rsidRDefault="008B7719" w:rsidP="006834E1">
      <w:pPr>
        <w:spacing w:line="276" w:lineRule="auto"/>
        <w:jc w:val="both"/>
        <w:rPr>
          <w:b/>
        </w:rPr>
      </w:pPr>
      <w:r w:rsidRPr="00675217">
        <w:rPr>
          <w:b/>
        </w:rPr>
        <w:t>Standard Asset</w:t>
      </w:r>
    </w:p>
    <w:p w:rsidR="00675217" w:rsidRPr="00F35AC7" w:rsidRDefault="008B7719" w:rsidP="006834E1">
      <w:pPr>
        <w:spacing w:line="276" w:lineRule="auto"/>
        <w:jc w:val="both"/>
        <w:rPr>
          <w:b/>
        </w:rPr>
      </w:pPr>
      <w:r w:rsidRPr="00675217">
        <w:t>Standard Asset is that assets which are performing well &amp; no any type of serious risk of arrear or repayment are linked with these assets, known as Performing Asset. Generally, these assets are not considered as NPA, hence a general provision of only 0.25% is maintained at Global Portfolio.</w:t>
      </w:r>
    </w:p>
    <w:p w:rsidR="00675217" w:rsidRPr="00675217" w:rsidRDefault="008B7719" w:rsidP="006834E1">
      <w:pPr>
        <w:spacing w:line="276" w:lineRule="auto"/>
        <w:jc w:val="both"/>
        <w:rPr>
          <w:b/>
        </w:rPr>
      </w:pPr>
      <w:r w:rsidRPr="00675217">
        <w:rPr>
          <w:b/>
        </w:rPr>
        <w:t>Sub-Standard Asset</w:t>
      </w:r>
    </w:p>
    <w:p w:rsidR="00675217" w:rsidRPr="00675217" w:rsidRDefault="008B7719" w:rsidP="006834E1">
      <w:pPr>
        <w:spacing w:line="276" w:lineRule="auto"/>
        <w:jc w:val="both"/>
      </w:pPr>
      <w:r w:rsidRPr="00675217">
        <w:t>Sub-Standard Asset is that asset which has been non-performing for a period of more than 90 days but less than 120 days. A general provision of 15 percent is to be maintained on total outstanding without considering any allowance for ECGC guarantee cover.</w:t>
      </w:r>
    </w:p>
    <w:p w:rsidR="00675217" w:rsidRPr="00675217" w:rsidRDefault="008B7719" w:rsidP="006834E1">
      <w:pPr>
        <w:spacing w:line="276" w:lineRule="auto"/>
        <w:jc w:val="both"/>
        <w:rPr>
          <w:b/>
        </w:rPr>
      </w:pPr>
      <w:r w:rsidRPr="00675217">
        <w:rPr>
          <w:b/>
        </w:rPr>
        <w:t>Doubtful asset</w:t>
      </w:r>
    </w:p>
    <w:p w:rsidR="00675217" w:rsidRPr="00675217" w:rsidRDefault="008B7719" w:rsidP="006834E1">
      <w:pPr>
        <w:spacing w:line="276" w:lineRule="auto"/>
        <w:jc w:val="both"/>
      </w:pPr>
      <w:r w:rsidRPr="00675217">
        <w:t xml:space="preserve"> An asset would fall in the category of doubtful if it has remained in sub</w:t>
      </w:r>
      <w:r w:rsidRPr="00675217">
        <w:softHyphen/>
        <w:t>standard category for a period more than 12 months&amp; not declared as Loss Asset.AS per RBI` A loan classified as doubtful has all the weaknesses inherent in assets that were classified as sub-standard, with the added characteristic that the weaknesses make collection or liquidation in full, – on the basis of currently known facts, conditions and values – highly questionable and improbable`. General provisions required to maintain vary on the period for which asset remain doubtful-</w:t>
      </w:r>
    </w:p>
    <w:tbl>
      <w:tblPr>
        <w:tblpPr w:leftFromText="180" w:rightFromText="180" w:vertAnchor="text" w:horzAnchor="margin" w:tblpXSpec="center"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4245"/>
      </w:tblGrid>
      <w:tr w:rsidR="00827DD4" w:rsidTr="00B14FDF">
        <w:trPr>
          <w:trHeight w:val="215"/>
        </w:trPr>
        <w:tc>
          <w:tcPr>
            <w:tcW w:w="3391" w:type="dxa"/>
          </w:tcPr>
          <w:p w:rsidR="00B14FDF" w:rsidRPr="00675217" w:rsidRDefault="008B7719" w:rsidP="006834E1">
            <w:pPr>
              <w:spacing w:line="276" w:lineRule="auto"/>
              <w:jc w:val="both"/>
              <w:rPr>
                <w:b/>
              </w:rPr>
            </w:pPr>
            <w:r w:rsidRPr="00675217">
              <w:rPr>
                <w:b/>
              </w:rPr>
              <w:t>Period for which asset remains Doubtful</w:t>
            </w:r>
          </w:p>
        </w:tc>
        <w:tc>
          <w:tcPr>
            <w:tcW w:w="4245" w:type="dxa"/>
          </w:tcPr>
          <w:p w:rsidR="00B14FDF" w:rsidRPr="00675217" w:rsidRDefault="008B7719" w:rsidP="006834E1">
            <w:pPr>
              <w:spacing w:line="276" w:lineRule="auto"/>
              <w:jc w:val="both"/>
              <w:rPr>
                <w:b/>
              </w:rPr>
            </w:pPr>
            <w:r w:rsidRPr="00675217">
              <w:rPr>
                <w:b/>
              </w:rPr>
              <w:t>Provision percentage on overdue Amount</w:t>
            </w:r>
          </w:p>
        </w:tc>
      </w:tr>
      <w:tr w:rsidR="00827DD4" w:rsidTr="00B14FDF">
        <w:trPr>
          <w:trHeight w:val="273"/>
        </w:trPr>
        <w:tc>
          <w:tcPr>
            <w:tcW w:w="3391" w:type="dxa"/>
          </w:tcPr>
          <w:p w:rsidR="00B14FDF" w:rsidRPr="00675217" w:rsidRDefault="008B7719" w:rsidP="006834E1">
            <w:pPr>
              <w:spacing w:line="276" w:lineRule="auto"/>
              <w:jc w:val="both"/>
            </w:pPr>
            <w:r w:rsidRPr="00675217">
              <w:t>Up to 1 year</w:t>
            </w:r>
          </w:p>
        </w:tc>
        <w:tc>
          <w:tcPr>
            <w:tcW w:w="4245" w:type="dxa"/>
          </w:tcPr>
          <w:p w:rsidR="00B14FDF" w:rsidRPr="00675217" w:rsidRDefault="008B7719" w:rsidP="006834E1">
            <w:pPr>
              <w:spacing w:line="276" w:lineRule="auto"/>
              <w:jc w:val="both"/>
            </w:pPr>
            <w:r w:rsidRPr="00675217">
              <w:t>25</w:t>
            </w:r>
          </w:p>
        </w:tc>
      </w:tr>
      <w:tr w:rsidR="00827DD4" w:rsidTr="00B14FDF">
        <w:trPr>
          <w:trHeight w:val="273"/>
        </w:trPr>
        <w:tc>
          <w:tcPr>
            <w:tcW w:w="3391" w:type="dxa"/>
          </w:tcPr>
          <w:p w:rsidR="00B14FDF" w:rsidRPr="00675217" w:rsidRDefault="008B7719" w:rsidP="006834E1">
            <w:pPr>
              <w:spacing w:line="276" w:lineRule="auto"/>
              <w:jc w:val="both"/>
            </w:pPr>
            <w:r w:rsidRPr="00675217">
              <w:t xml:space="preserve">1 to 3 years </w:t>
            </w:r>
          </w:p>
        </w:tc>
        <w:tc>
          <w:tcPr>
            <w:tcW w:w="4245" w:type="dxa"/>
          </w:tcPr>
          <w:p w:rsidR="00B14FDF" w:rsidRPr="00675217" w:rsidRDefault="008B7719" w:rsidP="006834E1">
            <w:pPr>
              <w:spacing w:line="276" w:lineRule="auto"/>
              <w:jc w:val="both"/>
            </w:pPr>
            <w:r w:rsidRPr="00675217">
              <w:t>40</w:t>
            </w:r>
          </w:p>
        </w:tc>
      </w:tr>
      <w:tr w:rsidR="00827DD4" w:rsidTr="00B14FDF">
        <w:trPr>
          <w:trHeight w:val="273"/>
        </w:trPr>
        <w:tc>
          <w:tcPr>
            <w:tcW w:w="3391" w:type="dxa"/>
          </w:tcPr>
          <w:p w:rsidR="00B14FDF" w:rsidRPr="00675217" w:rsidRDefault="008B7719" w:rsidP="006834E1">
            <w:pPr>
              <w:spacing w:line="276" w:lineRule="auto"/>
              <w:jc w:val="both"/>
            </w:pPr>
            <w:r w:rsidRPr="00675217">
              <w:t>More than 3 years</w:t>
            </w:r>
          </w:p>
        </w:tc>
        <w:tc>
          <w:tcPr>
            <w:tcW w:w="4245" w:type="dxa"/>
          </w:tcPr>
          <w:p w:rsidR="00B14FDF" w:rsidRPr="00675217" w:rsidRDefault="008B7719" w:rsidP="006834E1">
            <w:pPr>
              <w:spacing w:line="276" w:lineRule="auto"/>
              <w:jc w:val="both"/>
            </w:pPr>
            <w:r w:rsidRPr="00675217">
              <w:t>100</w:t>
            </w:r>
          </w:p>
        </w:tc>
      </w:tr>
    </w:tbl>
    <w:p w:rsidR="00675217" w:rsidRDefault="00675217" w:rsidP="006834E1">
      <w:pPr>
        <w:spacing w:line="276" w:lineRule="auto"/>
        <w:jc w:val="both"/>
      </w:pPr>
    </w:p>
    <w:p w:rsidR="00D12E37" w:rsidRDefault="00D12E37" w:rsidP="006834E1">
      <w:pPr>
        <w:spacing w:line="276" w:lineRule="auto"/>
        <w:jc w:val="both"/>
      </w:pPr>
    </w:p>
    <w:p w:rsidR="00675217" w:rsidRPr="00675217" w:rsidRDefault="00675217" w:rsidP="006834E1">
      <w:pPr>
        <w:spacing w:line="276" w:lineRule="auto"/>
        <w:jc w:val="both"/>
      </w:pPr>
    </w:p>
    <w:p w:rsidR="00675217" w:rsidRPr="00675217" w:rsidRDefault="00675217" w:rsidP="006834E1">
      <w:pPr>
        <w:spacing w:line="276" w:lineRule="auto"/>
        <w:jc w:val="both"/>
        <w:rPr>
          <w:b/>
        </w:rPr>
      </w:pPr>
    </w:p>
    <w:p w:rsidR="00D12E37" w:rsidRDefault="00D12E37" w:rsidP="006834E1">
      <w:pPr>
        <w:spacing w:line="276" w:lineRule="auto"/>
        <w:jc w:val="both"/>
        <w:rPr>
          <w:b/>
        </w:rPr>
      </w:pPr>
    </w:p>
    <w:p w:rsidR="00D12E37" w:rsidRDefault="00D12E37" w:rsidP="006834E1">
      <w:pPr>
        <w:spacing w:line="276" w:lineRule="auto"/>
        <w:jc w:val="both"/>
        <w:rPr>
          <w:b/>
        </w:rPr>
      </w:pPr>
    </w:p>
    <w:p w:rsidR="00675217" w:rsidRPr="00675217" w:rsidRDefault="008B7719" w:rsidP="006834E1">
      <w:pPr>
        <w:spacing w:line="276" w:lineRule="auto"/>
        <w:jc w:val="both"/>
        <w:rPr>
          <w:b/>
        </w:rPr>
      </w:pPr>
      <w:r>
        <w:rPr>
          <w:b/>
        </w:rPr>
        <w:t xml:space="preserve"> Loss </w:t>
      </w:r>
      <w:r w:rsidRPr="00675217">
        <w:rPr>
          <w:b/>
        </w:rPr>
        <w:t>Assets</w:t>
      </w:r>
    </w:p>
    <w:p w:rsidR="00AA026D" w:rsidRDefault="008B7719" w:rsidP="006834E1">
      <w:pPr>
        <w:spacing w:line="276" w:lineRule="auto"/>
      </w:pPr>
      <w:r w:rsidRPr="00675217">
        <w:t>An asset which has identified totally as bad &amp; chances for recovery of arrear or principal amount is totally zero &amp; have to be written off completely but if it still exists in the books, it is mandatory to establish 100%</w:t>
      </w:r>
      <w:r w:rsidR="00AA026D">
        <w:t>provisions against these asset</w:t>
      </w:r>
      <w:r w:rsidR="006834E1">
        <w:tab/>
      </w:r>
    </w:p>
    <w:p w:rsidR="006834E1" w:rsidRPr="00AA026D" w:rsidRDefault="006834E1" w:rsidP="006834E1">
      <w:pPr>
        <w:spacing w:line="276" w:lineRule="auto"/>
        <w:sectPr w:rsidR="006834E1" w:rsidRPr="00AA026D" w:rsidSect="00F35AC7">
          <w:pgSz w:w="12240" w:h="15840"/>
          <w:pgMar w:top="1080" w:right="1440" w:bottom="1440" w:left="1440" w:header="0" w:footer="720" w:gutter="0"/>
          <w:cols w:space="720"/>
          <w:docGrid w:linePitch="360"/>
        </w:sectPr>
      </w:pPr>
    </w:p>
    <w:p w:rsidR="00675217" w:rsidRPr="00263940" w:rsidRDefault="008B7719" w:rsidP="006834E1">
      <w:pPr>
        <w:spacing w:line="276" w:lineRule="auto"/>
        <w:jc w:val="both"/>
        <w:rPr>
          <w:b/>
          <w:sz w:val="28"/>
        </w:rPr>
      </w:pPr>
      <w:r w:rsidRPr="00263940">
        <w:rPr>
          <w:b/>
          <w:sz w:val="28"/>
        </w:rPr>
        <w:lastRenderedPageBreak/>
        <w:t>IMPACT OF NPA</w:t>
      </w:r>
    </w:p>
    <w:p w:rsidR="00675217" w:rsidRPr="00B14FDF" w:rsidRDefault="008B7719" w:rsidP="006834E1">
      <w:pPr>
        <w:spacing w:line="276" w:lineRule="auto"/>
        <w:jc w:val="both"/>
      </w:pPr>
      <w:r>
        <w:t>When an asset becomes NPA it no</w:t>
      </w:r>
      <w:r w:rsidR="00617E6E">
        <w:t xml:space="preserve">t only affects the bank but also </w:t>
      </w:r>
      <w:r>
        <w:t>adverse</w:t>
      </w:r>
      <w:r w:rsidR="00617E6E">
        <w:t xml:space="preserve">ly </w:t>
      </w:r>
      <w:r w:rsidR="007E188D">
        <w:t>affect</w:t>
      </w:r>
      <w:r>
        <w:t xml:space="preserve"> the economy as well-</w:t>
      </w:r>
    </w:p>
    <w:p w:rsidR="00675217" w:rsidRPr="00675217" w:rsidRDefault="008B7719" w:rsidP="006834E1">
      <w:pPr>
        <w:spacing w:line="276" w:lineRule="auto"/>
        <w:jc w:val="both"/>
        <w:rPr>
          <w:b/>
        </w:rPr>
      </w:pPr>
      <w:r w:rsidRPr="00675217">
        <w:rPr>
          <w:b/>
        </w:rPr>
        <w:t xml:space="preserve">PROFITABILITY </w:t>
      </w:r>
    </w:p>
    <w:p w:rsidR="00675217" w:rsidRPr="00675217" w:rsidRDefault="008B7719" w:rsidP="006834E1">
      <w:pPr>
        <w:spacing w:line="276" w:lineRule="auto"/>
        <w:jc w:val="both"/>
      </w:pPr>
      <w:r w:rsidRPr="00675217">
        <w:t>Expenses made in NPA management &amp; inability to recover the interest &amp; principal amount not only affect the goodwill &amp;current profits of banks but also hamper the future profitability of banks.</w:t>
      </w:r>
    </w:p>
    <w:p w:rsidR="00675217" w:rsidRPr="00675217" w:rsidRDefault="008B7719" w:rsidP="006834E1">
      <w:pPr>
        <w:spacing w:line="276" w:lineRule="auto"/>
        <w:jc w:val="both"/>
      </w:pPr>
      <w:r w:rsidRPr="00675217">
        <w:rPr>
          <w:b/>
        </w:rPr>
        <w:t>LIQUIDITY</w:t>
      </w:r>
    </w:p>
    <w:p w:rsidR="00675217" w:rsidRPr="00675217" w:rsidRDefault="008B7719" w:rsidP="006834E1">
      <w:pPr>
        <w:spacing w:line="276" w:lineRule="auto"/>
        <w:jc w:val="both"/>
      </w:pPr>
      <w:r w:rsidRPr="00675217">
        <w:t>Blocking of money &amp; decreased profits results into an inability to meet short term cash needs of banks &amp; proves a reason for an inability to meet working capital requirement.</w:t>
      </w:r>
    </w:p>
    <w:p w:rsidR="00675217" w:rsidRPr="00675217" w:rsidRDefault="008B7719" w:rsidP="006834E1">
      <w:pPr>
        <w:spacing w:line="276" w:lineRule="auto"/>
        <w:jc w:val="both"/>
        <w:rPr>
          <w:b/>
        </w:rPr>
      </w:pPr>
      <w:r w:rsidRPr="00675217">
        <w:rPr>
          <w:b/>
        </w:rPr>
        <w:t>CREDIT RISK</w:t>
      </w:r>
    </w:p>
    <w:p w:rsidR="00675217" w:rsidRDefault="008B7719" w:rsidP="006834E1">
      <w:pPr>
        <w:spacing w:line="276" w:lineRule="auto"/>
        <w:jc w:val="both"/>
      </w:pPr>
      <w:r w:rsidRPr="00675217">
        <w:t>NPA is the only reason for bad goodwill &amp; brand equity of a bank because of the inefficiency of getting returns on its advances &amp; failure in getting its principal amount.</w:t>
      </w:r>
    </w:p>
    <w:p w:rsidR="00502081" w:rsidRDefault="008B7719" w:rsidP="006834E1">
      <w:pPr>
        <w:spacing w:line="276" w:lineRule="auto"/>
        <w:jc w:val="both"/>
        <w:rPr>
          <w:b/>
        </w:rPr>
      </w:pPr>
      <w:r>
        <w:rPr>
          <w:b/>
        </w:rPr>
        <w:t xml:space="preserve"> DECLINE IN GROWTH RATE</w:t>
      </w:r>
    </w:p>
    <w:p w:rsidR="00502081" w:rsidRDefault="008B7719" w:rsidP="006834E1">
      <w:pPr>
        <w:spacing w:line="276" w:lineRule="auto"/>
        <w:jc w:val="both"/>
      </w:pPr>
      <w:r>
        <w:t xml:space="preserve"> Infrastructure &amp; food processing industry possess the biggest chunk of NPA. </w:t>
      </w:r>
      <w:r w:rsidR="000D06A5">
        <w:t>It is the</w:t>
      </w:r>
      <w:r>
        <w:t xml:space="preserve"> prime reason for the decline in employment opportunity &amp; poor infrastructural growth. </w:t>
      </w:r>
      <w:r w:rsidR="000D06A5">
        <w:t xml:space="preserve">Hence, </w:t>
      </w:r>
      <w:r>
        <w:t>affect the economy and encountered a decline in growth rate.</w:t>
      </w:r>
    </w:p>
    <w:p w:rsidR="00A762C8" w:rsidRPr="00617E6E" w:rsidRDefault="008B7719" w:rsidP="006834E1">
      <w:pPr>
        <w:spacing w:line="276" w:lineRule="auto"/>
        <w:jc w:val="both"/>
        <w:rPr>
          <w:b/>
        </w:rPr>
      </w:pPr>
      <w:r w:rsidRPr="00617E6E">
        <w:rPr>
          <w:b/>
        </w:rPr>
        <w:t>Involvement of Management</w:t>
      </w:r>
    </w:p>
    <w:p w:rsidR="00A762C8" w:rsidRDefault="008B7719" w:rsidP="006834E1">
      <w:pPr>
        <w:spacing w:line="276" w:lineRule="auto"/>
        <w:jc w:val="both"/>
      </w:pPr>
      <w:r>
        <w:t xml:space="preserve">Increasing NPA demands extra </w:t>
      </w:r>
      <w:r w:rsidR="00E336F4">
        <w:t>attention</w:t>
      </w:r>
      <w:r>
        <w:t xml:space="preserve"> to management in order to control NPAs. Due to which banks have to borne extra expenses in appointing additional staff to work on increasing NPAs. </w:t>
      </w:r>
    </w:p>
    <w:p w:rsidR="00CB725B" w:rsidRPr="00CB725B" w:rsidRDefault="00CB725B" w:rsidP="006834E1">
      <w:pPr>
        <w:spacing w:line="276" w:lineRule="auto"/>
        <w:jc w:val="both"/>
        <w:rPr>
          <w:b/>
          <w:sz w:val="28"/>
        </w:rPr>
      </w:pPr>
      <w:r w:rsidRPr="00CB725B">
        <w:rPr>
          <w:b/>
          <w:sz w:val="28"/>
        </w:rPr>
        <w:t>Literature review</w:t>
      </w:r>
    </w:p>
    <w:p w:rsidR="00CB725B" w:rsidRPr="00CB725B" w:rsidRDefault="00CB725B" w:rsidP="006834E1">
      <w:pPr>
        <w:spacing w:line="276" w:lineRule="auto"/>
        <w:jc w:val="both"/>
      </w:pPr>
      <w:r w:rsidRPr="00CB725B">
        <w:t xml:space="preserve"> Banks are suffering from lower profitability. Rising NPAs is the root cause of lower profitability of banks. Many researchers studied to analyze the several factors governing NPA-</w:t>
      </w:r>
    </w:p>
    <w:p w:rsidR="00CB725B" w:rsidRPr="00CB725B" w:rsidRDefault="00CB725B" w:rsidP="006834E1">
      <w:pPr>
        <w:spacing w:line="276" w:lineRule="auto"/>
        <w:jc w:val="both"/>
      </w:pPr>
      <w:r w:rsidRPr="00CB725B">
        <w:t>Bodla, B.S and Verma R., (2006): The study was conducted on multiple profitability determinants of Public Sector Banks. It was based on temporal data from 1991-92 to 2003-04. Paper discussed the explanatory power of several variables, discussed the degree of relationship of variables with Net Profit. Paper was concluded by discussing the variables responsible for expenses &amp; losses and found that NPA was the major cause of losses to the banks.</w:t>
      </w:r>
    </w:p>
    <w:p w:rsidR="00CB725B" w:rsidRPr="00CB725B" w:rsidRDefault="00CB725B" w:rsidP="006834E1">
      <w:pPr>
        <w:spacing w:line="276" w:lineRule="auto"/>
        <w:jc w:val="both"/>
      </w:pPr>
      <w:r w:rsidRPr="00CB725B">
        <w:t>Sibal, S.K., (2007): The study was conducted on NPA performance in Public Sector Banks, Private Sector Banks &amp; foreign Banks by analyzing the performance of gross &amp; net NPAs with total assets &amp; total advances. It was based on temporal data from 2001-02 to 2005-06. Paper was concluded by discussing the management tools &amp; techniques to handle the NPAs.</w:t>
      </w:r>
    </w:p>
    <w:p w:rsidR="00CB725B" w:rsidRPr="00CB725B" w:rsidRDefault="00CB725B" w:rsidP="006834E1">
      <w:pPr>
        <w:spacing w:line="276" w:lineRule="auto"/>
        <w:jc w:val="both"/>
      </w:pPr>
      <w:r w:rsidRPr="00CB725B">
        <w:t xml:space="preserve">Siraj K.K. &amp; Pilani, (2011): Analyzed the post effect of Global Crisis performance of Indian Commercial Banks. Data from 1999-2000 to 2010-2011 were taken. It was identified that provisions &amp; contingencies made against NPA in 2010-11 were higher than the provisions&amp; contingencies made in 2007-08. NPA </w:t>
      </w:r>
      <w:r w:rsidRPr="00CB725B">
        <w:lastRenderedPageBreak/>
        <w:t>increased in number after the Global Crisis. Foreign Banks &amp; Nationalized Banks were the most affected banks. Except for SBI&amp; its associates all other banks reduce its CDR after 2007. As a result of it, banks were forced to invest in less risky (low return) portfolio.</w:t>
      </w:r>
    </w:p>
    <w:p w:rsidR="00CB725B" w:rsidRPr="00CB725B" w:rsidRDefault="00CB725B" w:rsidP="006834E1">
      <w:pPr>
        <w:spacing w:line="276" w:lineRule="auto"/>
        <w:jc w:val="both"/>
      </w:pPr>
      <w:r w:rsidRPr="00CB725B">
        <w:t>Puntambekar G.L&amp; Mehar B.K</w:t>
      </w:r>
      <w:r w:rsidR="007E188D" w:rsidRPr="00CB725B">
        <w:t>, (</w:t>
      </w:r>
      <w:r w:rsidRPr="00CB725B">
        <w:t>2016): Explored the performance of specific banks in concern to NPAs by using Z test. The study was based on secondary data ranging from 2005 to 2013. It was analyzed that public Banks had the highest number of assets proved NPA .paper was concluded by pointing that the SARFAESI Act recovered many loans.</w:t>
      </w:r>
    </w:p>
    <w:p w:rsidR="00CB725B" w:rsidRPr="00CB725B" w:rsidRDefault="00CB725B" w:rsidP="006834E1">
      <w:pPr>
        <w:spacing w:line="276" w:lineRule="auto"/>
        <w:jc w:val="both"/>
      </w:pPr>
      <w:r w:rsidRPr="00CB725B">
        <w:t>Mittal, Raj Kumar, and Suneja, Deeksha, (2017): The study was conducted on identifying the causes of NPA&amp; to analyze the trend of NPA in Public &amp;Private Banks. Paper was made on the data available for the period from 2005-06 to 2015-16. It was analyzed that NPA figures have increased in Public and Private Banks but Public Banks NPAs are 10 times more than the Private Banks. Paper was concluded by pointing out the causes of rising NPAs.</w:t>
      </w:r>
    </w:p>
    <w:p w:rsidR="00CB725B" w:rsidRPr="00CB725B" w:rsidRDefault="00CB725B" w:rsidP="006834E1">
      <w:pPr>
        <w:spacing w:line="276" w:lineRule="auto"/>
        <w:jc w:val="both"/>
      </w:pPr>
      <w:r w:rsidRPr="00CB725B">
        <w:t>Gupta M. and Saluja R.</w:t>
      </w:r>
      <w:r w:rsidR="007E188D" w:rsidRPr="00CB725B">
        <w:t>, (</w:t>
      </w:r>
      <w:r w:rsidRPr="00CB725B">
        <w:t>2018): Paper examined the management of NPA after introducing the SARFAESI. It was found that INDIAN BANK acquired FIRST RANK and titled as "MOST VALUED LENDER" in Public Banks by reducing its NPA by almost 10% in very less time.</w:t>
      </w:r>
    </w:p>
    <w:p w:rsidR="00CB725B" w:rsidRPr="00CB725B" w:rsidRDefault="00CB725B" w:rsidP="006834E1">
      <w:pPr>
        <w:spacing w:line="276" w:lineRule="auto"/>
        <w:jc w:val="both"/>
      </w:pPr>
    </w:p>
    <w:p w:rsidR="00CB725B" w:rsidRDefault="00CB725B" w:rsidP="006834E1">
      <w:pPr>
        <w:spacing w:line="276" w:lineRule="auto"/>
        <w:jc w:val="both"/>
      </w:pPr>
    </w:p>
    <w:p w:rsidR="00675217" w:rsidRPr="00617E6E" w:rsidRDefault="008B7719" w:rsidP="006834E1">
      <w:pPr>
        <w:spacing w:line="276" w:lineRule="auto"/>
        <w:jc w:val="both"/>
        <w:rPr>
          <w:sz w:val="28"/>
        </w:rPr>
      </w:pPr>
      <w:r w:rsidRPr="00617E6E">
        <w:rPr>
          <w:b/>
          <w:sz w:val="28"/>
        </w:rPr>
        <w:t>Objective of the study</w:t>
      </w:r>
    </w:p>
    <w:p w:rsidR="00675217" w:rsidRPr="00675217" w:rsidRDefault="008B7719" w:rsidP="006834E1">
      <w:pPr>
        <w:numPr>
          <w:ilvl w:val="0"/>
          <w:numId w:val="3"/>
        </w:numPr>
        <w:spacing w:line="276" w:lineRule="auto"/>
        <w:ind w:left="900"/>
        <w:jc w:val="both"/>
      </w:pPr>
      <w:r w:rsidRPr="00675217">
        <w:t xml:space="preserve"> To examine the Sector wise classification of banks</w:t>
      </w:r>
      <w:r w:rsidR="00573B43">
        <w:t>.</w:t>
      </w:r>
    </w:p>
    <w:p w:rsidR="00675217" w:rsidRPr="00675217" w:rsidRDefault="008B7719" w:rsidP="006834E1">
      <w:pPr>
        <w:numPr>
          <w:ilvl w:val="0"/>
          <w:numId w:val="3"/>
        </w:numPr>
        <w:spacing w:line="276" w:lineRule="auto"/>
        <w:ind w:left="900"/>
        <w:jc w:val="both"/>
      </w:pPr>
      <w:r w:rsidRPr="00675217">
        <w:t>To examine the trends in the Non-Performing Assets of the commercial Banks.</w:t>
      </w:r>
    </w:p>
    <w:p w:rsidR="00675217" w:rsidRPr="00675217" w:rsidRDefault="008B7719" w:rsidP="006834E1">
      <w:pPr>
        <w:numPr>
          <w:ilvl w:val="0"/>
          <w:numId w:val="3"/>
        </w:numPr>
        <w:spacing w:line="276" w:lineRule="auto"/>
        <w:ind w:left="900"/>
        <w:jc w:val="both"/>
      </w:pPr>
      <w:r w:rsidRPr="00675217">
        <w:t>To suggest the preventive measures to reduce the NPAs.</w:t>
      </w:r>
    </w:p>
    <w:p w:rsidR="00675217" w:rsidRPr="00675217" w:rsidRDefault="008B7719" w:rsidP="006834E1">
      <w:pPr>
        <w:numPr>
          <w:ilvl w:val="0"/>
          <w:numId w:val="3"/>
        </w:numPr>
        <w:spacing w:line="276" w:lineRule="auto"/>
        <w:ind w:left="900"/>
        <w:jc w:val="both"/>
      </w:pPr>
      <w:r w:rsidRPr="00675217">
        <w:t>To examine the amount allocated as advance</w:t>
      </w:r>
      <w:r w:rsidR="00155399">
        <w:t xml:space="preserve"> which</w:t>
      </w:r>
      <w:r w:rsidRPr="00675217">
        <w:t xml:space="preserve"> prove</w:t>
      </w:r>
      <w:r w:rsidR="00155399">
        <w:t>d</w:t>
      </w:r>
      <w:r w:rsidRPr="00675217">
        <w:t xml:space="preserve"> NPA.</w:t>
      </w:r>
    </w:p>
    <w:p w:rsidR="007447B9" w:rsidRDefault="008B7719" w:rsidP="006834E1">
      <w:pPr>
        <w:tabs>
          <w:tab w:val="left" w:pos="6075"/>
        </w:tabs>
        <w:spacing w:line="276" w:lineRule="auto"/>
        <w:jc w:val="both"/>
        <w:rPr>
          <w:b/>
          <w:sz w:val="24"/>
        </w:rPr>
      </w:pPr>
      <w:r w:rsidRPr="00617E6E">
        <w:rPr>
          <w:b/>
          <w:sz w:val="28"/>
        </w:rPr>
        <w:t>Research Methodology</w:t>
      </w:r>
      <w:r w:rsidR="0071312F">
        <w:rPr>
          <w:b/>
          <w:sz w:val="24"/>
        </w:rPr>
        <w:tab/>
      </w:r>
    </w:p>
    <w:p w:rsidR="007447B9" w:rsidRPr="00366697" w:rsidRDefault="008B7719" w:rsidP="006834E1">
      <w:pPr>
        <w:spacing w:line="276" w:lineRule="auto"/>
        <w:jc w:val="both"/>
        <w:rPr>
          <w:sz w:val="24"/>
        </w:rPr>
      </w:pPr>
      <w:r>
        <w:t>In the present study, research i</w:t>
      </w:r>
      <w:r w:rsidRPr="00366697">
        <w:t>s confined to measure the quantum of NPAs in respect to the total assets &amp;total advances in all public, private &amp; foreign banks</w:t>
      </w:r>
      <w:r>
        <w:t xml:space="preserve"> in the Indian economy. The study i</w:t>
      </w:r>
      <w:r w:rsidR="00366697" w:rsidRPr="00366697">
        <w:t xml:space="preserve">s based on Net Profits (as %of total assets), Gross Profits (as% of total assets) revealed by RBI in “Report on Trends </w:t>
      </w:r>
      <w:r w:rsidR="0071312F">
        <w:t>&amp; Progress of Banking in</w:t>
      </w:r>
      <w:r w:rsidR="009D12E4">
        <w:t xml:space="preserve"> India”. Data from 2014 to 2017</w:t>
      </w:r>
      <w:r>
        <w:t xml:space="preserve"> is</w:t>
      </w:r>
      <w:r w:rsidR="00872C0B">
        <w:t xml:space="preserve"> selected for the study.</w:t>
      </w:r>
    </w:p>
    <w:p w:rsidR="00872C0B" w:rsidRPr="009D12E4" w:rsidRDefault="008B7719" w:rsidP="006834E1">
      <w:pPr>
        <w:spacing w:line="276" w:lineRule="auto"/>
        <w:jc w:val="both"/>
        <w:rPr>
          <w:b/>
          <w:sz w:val="24"/>
        </w:rPr>
      </w:pPr>
      <w:r w:rsidRPr="009D12E4">
        <w:rPr>
          <w:b/>
          <w:sz w:val="24"/>
        </w:rPr>
        <w:t xml:space="preserve">Methods </w:t>
      </w:r>
      <w:r w:rsidR="00FA1D0B" w:rsidRPr="009D12E4">
        <w:rPr>
          <w:b/>
          <w:sz w:val="24"/>
        </w:rPr>
        <w:t>of Data C</w:t>
      </w:r>
      <w:r w:rsidRPr="009D12E4">
        <w:rPr>
          <w:b/>
          <w:sz w:val="24"/>
        </w:rPr>
        <w:t>ollection</w:t>
      </w:r>
    </w:p>
    <w:p w:rsidR="00FA1D0B" w:rsidRDefault="008B7719" w:rsidP="006834E1">
      <w:pPr>
        <w:spacing w:line="276" w:lineRule="auto"/>
        <w:jc w:val="both"/>
      </w:pPr>
      <w:r>
        <w:t xml:space="preserve">The </w:t>
      </w:r>
      <w:r w:rsidR="00B62C76">
        <w:t>stu</w:t>
      </w:r>
      <w:r w:rsidR="00BF3A0E">
        <w:t>dy i</w:t>
      </w:r>
      <w:r w:rsidR="00B62C76">
        <w:t>s</w:t>
      </w:r>
      <w:r>
        <w:t xml:space="preserve"> based on secondary data through research journals &amp; website of RBI.</w:t>
      </w:r>
    </w:p>
    <w:p w:rsidR="00207EB0" w:rsidRPr="009D12E4" w:rsidRDefault="008B7719" w:rsidP="006834E1">
      <w:pPr>
        <w:spacing w:line="276" w:lineRule="auto"/>
        <w:jc w:val="both"/>
        <w:rPr>
          <w:b/>
          <w:sz w:val="24"/>
        </w:rPr>
      </w:pPr>
      <w:r w:rsidRPr="009D12E4">
        <w:rPr>
          <w:b/>
          <w:sz w:val="24"/>
        </w:rPr>
        <w:t>Tools Used</w:t>
      </w:r>
    </w:p>
    <w:p w:rsidR="00CB725B" w:rsidRDefault="008B7719" w:rsidP="006834E1">
      <w:pPr>
        <w:spacing w:line="276" w:lineRule="auto"/>
        <w:jc w:val="both"/>
      </w:pPr>
      <w:r w:rsidRPr="00B62C76">
        <w:t>Pe</w:t>
      </w:r>
      <w:r w:rsidR="00BF3A0E">
        <w:t>rcentage method &amp; trends ratio i</w:t>
      </w:r>
      <w:r w:rsidRPr="00B62C76">
        <w:t>s calcu</w:t>
      </w:r>
      <w:r w:rsidR="00CB725B">
        <w:t>lated to analyze the situation.</w:t>
      </w:r>
    </w:p>
    <w:p w:rsidR="006834E1" w:rsidRDefault="006834E1" w:rsidP="006834E1">
      <w:pPr>
        <w:spacing w:line="276" w:lineRule="auto"/>
        <w:jc w:val="both"/>
        <w:rPr>
          <w:b/>
          <w:sz w:val="28"/>
        </w:rPr>
      </w:pPr>
    </w:p>
    <w:p w:rsidR="006834E1" w:rsidRDefault="006834E1" w:rsidP="006834E1">
      <w:pPr>
        <w:spacing w:line="276" w:lineRule="auto"/>
        <w:jc w:val="both"/>
        <w:rPr>
          <w:b/>
          <w:sz w:val="28"/>
        </w:rPr>
      </w:pPr>
    </w:p>
    <w:p w:rsidR="006934E1" w:rsidRPr="00CB725B" w:rsidRDefault="008B7719" w:rsidP="006834E1">
      <w:pPr>
        <w:spacing w:line="276" w:lineRule="auto"/>
        <w:jc w:val="both"/>
      </w:pPr>
      <w:r w:rsidRPr="003F5603">
        <w:rPr>
          <w:b/>
          <w:sz w:val="28"/>
        </w:rPr>
        <w:t>Analysis</w:t>
      </w:r>
    </w:p>
    <w:p w:rsidR="00AA026D" w:rsidRPr="00AA026D" w:rsidRDefault="00AA026D" w:rsidP="006834E1">
      <w:pPr>
        <w:spacing w:line="276" w:lineRule="auto"/>
        <w:jc w:val="both"/>
      </w:pPr>
      <w:r w:rsidRPr="00AA026D">
        <w:t>Table 1</w:t>
      </w:r>
    </w:p>
    <w:tbl>
      <w:tblPr>
        <w:tblpPr w:leftFromText="180" w:rightFromText="180" w:vertAnchor="text" w:horzAnchor="margin" w:tblpY="2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1299"/>
        <w:gridCol w:w="1656"/>
        <w:gridCol w:w="1044"/>
        <w:gridCol w:w="1612"/>
        <w:gridCol w:w="1052"/>
        <w:gridCol w:w="1587"/>
      </w:tblGrid>
      <w:tr w:rsidR="00827DD4" w:rsidTr="00FF742E">
        <w:trPr>
          <w:trHeight w:val="561"/>
        </w:trPr>
        <w:tc>
          <w:tcPr>
            <w:tcW w:w="1100" w:type="dxa"/>
          </w:tcPr>
          <w:p w:rsidR="00B14FDF" w:rsidRPr="008129A3" w:rsidRDefault="008B7719" w:rsidP="006834E1">
            <w:pPr>
              <w:spacing w:line="276" w:lineRule="auto"/>
              <w:rPr>
                <w:b/>
              </w:rPr>
            </w:pPr>
            <w:r w:rsidRPr="008129A3">
              <w:rPr>
                <w:b/>
                <w:sz w:val="28"/>
              </w:rPr>
              <w:t>Year</w:t>
            </w:r>
          </w:p>
        </w:tc>
        <w:tc>
          <w:tcPr>
            <w:tcW w:w="2955" w:type="dxa"/>
            <w:gridSpan w:val="2"/>
          </w:tcPr>
          <w:p w:rsidR="00B14FDF" w:rsidRPr="008129A3" w:rsidRDefault="008B7719" w:rsidP="006834E1">
            <w:pPr>
              <w:spacing w:line="276" w:lineRule="auto"/>
              <w:rPr>
                <w:b/>
              </w:rPr>
            </w:pPr>
            <w:r w:rsidRPr="008129A3">
              <w:rPr>
                <w:b/>
                <w:sz w:val="28"/>
              </w:rPr>
              <w:t>Public sector banks</w:t>
            </w:r>
          </w:p>
        </w:tc>
        <w:tc>
          <w:tcPr>
            <w:tcW w:w="2656" w:type="dxa"/>
            <w:gridSpan w:val="2"/>
          </w:tcPr>
          <w:p w:rsidR="00B14FDF" w:rsidRPr="008129A3" w:rsidRDefault="008B7719" w:rsidP="006834E1">
            <w:pPr>
              <w:spacing w:line="276" w:lineRule="auto"/>
              <w:rPr>
                <w:b/>
              </w:rPr>
            </w:pPr>
            <w:r w:rsidRPr="008129A3">
              <w:rPr>
                <w:b/>
                <w:sz w:val="24"/>
              </w:rPr>
              <w:t>Private sector banks</w:t>
            </w:r>
          </w:p>
        </w:tc>
        <w:tc>
          <w:tcPr>
            <w:tcW w:w="2639" w:type="dxa"/>
            <w:gridSpan w:val="2"/>
          </w:tcPr>
          <w:p w:rsidR="00B14FDF" w:rsidRPr="008129A3" w:rsidRDefault="008B7719" w:rsidP="006834E1">
            <w:pPr>
              <w:spacing w:line="276" w:lineRule="auto"/>
              <w:rPr>
                <w:b/>
                <w:sz w:val="24"/>
              </w:rPr>
            </w:pPr>
            <w:r>
              <w:rPr>
                <w:b/>
                <w:sz w:val="24"/>
              </w:rPr>
              <w:t>FOREIGN banks</w:t>
            </w:r>
          </w:p>
        </w:tc>
      </w:tr>
      <w:tr w:rsidR="00827DD4" w:rsidTr="00FF742E">
        <w:trPr>
          <w:trHeight w:val="665"/>
        </w:trPr>
        <w:tc>
          <w:tcPr>
            <w:tcW w:w="1100" w:type="dxa"/>
          </w:tcPr>
          <w:p w:rsidR="00B14FDF" w:rsidRDefault="00B14FDF" w:rsidP="006834E1">
            <w:pPr>
              <w:spacing w:line="276" w:lineRule="auto"/>
            </w:pPr>
          </w:p>
        </w:tc>
        <w:tc>
          <w:tcPr>
            <w:tcW w:w="1299" w:type="dxa"/>
          </w:tcPr>
          <w:p w:rsidR="00B14FDF" w:rsidRDefault="008B7719" w:rsidP="006834E1">
            <w:pPr>
              <w:spacing w:line="276" w:lineRule="auto"/>
            </w:pPr>
            <w:r w:rsidRPr="008129A3">
              <w:rPr>
                <w:sz w:val="24"/>
              </w:rPr>
              <w:t>Ratio</w:t>
            </w:r>
          </w:p>
        </w:tc>
        <w:tc>
          <w:tcPr>
            <w:tcW w:w="1656" w:type="dxa"/>
          </w:tcPr>
          <w:p w:rsidR="00B14FDF" w:rsidRDefault="008B7719" w:rsidP="006834E1">
            <w:pPr>
              <w:spacing w:line="276" w:lineRule="auto"/>
            </w:pPr>
            <w:r w:rsidRPr="008129A3">
              <w:rPr>
                <w:sz w:val="24"/>
              </w:rPr>
              <w:t>Trend ratio</w:t>
            </w:r>
          </w:p>
        </w:tc>
        <w:tc>
          <w:tcPr>
            <w:tcW w:w="1044" w:type="dxa"/>
          </w:tcPr>
          <w:p w:rsidR="00B14FDF" w:rsidRDefault="008B7719" w:rsidP="006834E1">
            <w:pPr>
              <w:spacing w:line="276" w:lineRule="auto"/>
            </w:pPr>
            <w:r w:rsidRPr="008129A3">
              <w:rPr>
                <w:sz w:val="24"/>
              </w:rPr>
              <w:t>Ratio</w:t>
            </w:r>
          </w:p>
        </w:tc>
        <w:tc>
          <w:tcPr>
            <w:tcW w:w="1612" w:type="dxa"/>
          </w:tcPr>
          <w:p w:rsidR="00B14FDF" w:rsidRDefault="008B7719" w:rsidP="006834E1">
            <w:pPr>
              <w:spacing w:line="276" w:lineRule="auto"/>
            </w:pPr>
            <w:r w:rsidRPr="008129A3">
              <w:rPr>
                <w:sz w:val="24"/>
              </w:rPr>
              <w:t>Trend ratio</w:t>
            </w:r>
          </w:p>
        </w:tc>
        <w:tc>
          <w:tcPr>
            <w:tcW w:w="1052" w:type="dxa"/>
          </w:tcPr>
          <w:p w:rsidR="00B14FDF" w:rsidRPr="008129A3" w:rsidRDefault="008B7719" w:rsidP="006834E1">
            <w:pPr>
              <w:spacing w:line="276" w:lineRule="auto"/>
              <w:rPr>
                <w:sz w:val="24"/>
              </w:rPr>
            </w:pPr>
            <w:r>
              <w:rPr>
                <w:sz w:val="24"/>
              </w:rPr>
              <w:t>Ratio</w:t>
            </w:r>
          </w:p>
        </w:tc>
        <w:tc>
          <w:tcPr>
            <w:tcW w:w="1587" w:type="dxa"/>
          </w:tcPr>
          <w:p w:rsidR="00B14FDF" w:rsidRPr="008129A3" w:rsidRDefault="008B7719" w:rsidP="006834E1">
            <w:pPr>
              <w:spacing w:line="276" w:lineRule="auto"/>
              <w:rPr>
                <w:sz w:val="24"/>
              </w:rPr>
            </w:pPr>
            <w:r>
              <w:rPr>
                <w:sz w:val="24"/>
              </w:rPr>
              <w:t>Trend ratio</w:t>
            </w:r>
          </w:p>
        </w:tc>
      </w:tr>
      <w:tr w:rsidR="00827DD4" w:rsidTr="00FF742E">
        <w:trPr>
          <w:trHeight w:val="399"/>
        </w:trPr>
        <w:tc>
          <w:tcPr>
            <w:tcW w:w="1100" w:type="dxa"/>
          </w:tcPr>
          <w:p w:rsidR="00B14FDF" w:rsidRDefault="008B7719" w:rsidP="006834E1">
            <w:pPr>
              <w:spacing w:line="276" w:lineRule="auto"/>
            </w:pPr>
            <w:r>
              <w:t>2013-14</w:t>
            </w:r>
          </w:p>
        </w:tc>
        <w:tc>
          <w:tcPr>
            <w:tcW w:w="1299" w:type="dxa"/>
          </w:tcPr>
          <w:p w:rsidR="00B14FDF" w:rsidRDefault="008B7719" w:rsidP="006834E1">
            <w:pPr>
              <w:spacing w:line="276" w:lineRule="auto"/>
            </w:pPr>
            <w:r>
              <w:t>2.9</w:t>
            </w:r>
          </w:p>
        </w:tc>
        <w:tc>
          <w:tcPr>
            <w:tcW w:w="1656" w:type="dxa"/>
          </w:tcPr>
          <w:p w:rsidR="00B14FDF" w:rsidRDefault="008B7719" w:rsidP="006834E1">
            <w:pPr>
              <w:spacing w:line="276" w:lineRule="auto"/>
            </w:pPr>
            <w:r>
              <w:t>100</w:t>
            </w:r>
          </w:p>
        </w:tc>
        <w:tc>
          <w:tcPr>
            <w:tcW w:w="1044" w:type="dxa"/>
          </w:tcPr>
          <w:p w:rsidR="00B14FDF" w:rsidRDefault="008B7719" w:rsidP="006834E1">
            <w:pPr>
              <w:spacing w:line="276" w:lineRule="auto"/>
            </w:pPr>
            <w:r>
              <w:t>1.1</w:t>
            </w:r>
          </w:p>
        </w:tc>
        <w:tc>
          <w:tcPr>
            <w:tcW w:w="1612" w:type="dxa"/>
          </w:tcPr>
          <w:p w:rsidR="00B14FDF" w:rsidRDefault="008B7719" w:rsidP="006834E1">
            <w:pPr>
              <w:spacing w:line="276" w:lineRule="auto"/>
            </w:pPr>
            <w:r>
              <w:t>100</w:t>
            </w:r>
          </w:p>
        </w:tc>
        <w:tc>
          <w:tcPr>
            <w:tcW w:w="1052" w:type="dxa"/>
          </w:tcPr>
          <w:p w:rsidR="00B14FDF" w:rsidRDefault="008B7719" w:rsidP="006834E1">
            <w:pPr>
              <w:spacing w:line="276" w:lineRule="auto"/>
            </w:pPr>
            <w:r>
              <w:t>1.5</w:t>
            </w:r>
          </w:p>
        </w:tc>
        <w:tc>
          <w:tcPr>
            <w:tcW w:w="1587" w:type="dxa"/>
          </w:tcPr>
          <w:p w:rsidR="00B14FDF" w:rsidRDefault="008B7719" w:rsidP="006834E1">
            <w:pPr>
              <w:spacing w:line="276" w:lineRule="auto"/>
            </w:pPr>
            <w:r>
              <w:t>100</w:t>
            </w:r>
          </w:p>
        </w:tc>
      </w:tr>
      <w:tr w:rsidR="00827DD4" w:rsidTr="00FF742E">
        <w:trPr>
          <w:trHeight w:val="576"/>
        </w:trPr>
        <w:tc>
          <w:tcPr>
            <w:tcW w:w="1100" w:type="dxa"/>
          </w:tcPr>
          <w:p w:rsidR="00B14FDF" w:rsidRDefault="008B7719" w:rsidP="006834E1">
            <w:pPr>
              <w:spacing w:line="276" w:lineRule="auto"/>
            </w:pPr>
            <w:r>
              <w:t>2014-15</w:t>
            </w:r>
          </w:p>
        </w:tc>
        <w:tc>
          <w:tcPr>
            <w:tcW w:w="1299" w:type="dxa"/>
          </w:tcPr>
          <w:p w:rsidR="00B14FDF" w:rsidRDefault="008B7719" w:rsidP="006834E1">
            <w:pPr>
              <w:spacing w:line="276" w:lineRule="auto"/>
            </w:pPr>
            <w:r>
              <w:t>3.2</w:t>
            </w:r>
          </w:p>
        </w:tc>
        <w:tc>
          <w:tcPr>
            <w:tcW w:w="1656" w:type="dxa"/>
          </w:tcPr>
          <w:p w:rsidR="00B14FDF" w:rsidRDefault="008B7719" w:rsidP="006834E1">
            <w:pPr>
              <w:spacing w:line="276" w:lineRule="auto"/>
            </w:pPr>
            <w:r>
              <w:t>110.34</w:t>
            </w:r>
          </w:p>
        </w:tc>
        <w:tc>
          <w:tcPr>
            <w:tcW w:w="1044" w:type="dxa"/>
          </w:tcPr>
          <w:p w:rsidR="00B14FDF" w:rsidRDefault="008B7719" w:rsidP="006834E1">
            <w:pPr>
              <w:spacing w:line="276" w:lineRule="auto"/>
            </w:pPr>
            <w:r>
              <w:t>1.3</w:t>
            </w:r>
          </w:p>
        </w:tc>
        <w:tc>
          <w:tcPr>
            <w:tcW w:w="1612" w:type="dxa"/>
          </w:tcPr>
          <w:p w:rsidR="00B14FDF" w:rsidRDefault="008B7719" w:rsidP="006834E1">
            <w:pPr>
              <w:spacing w:line="276" w:lineRule="auto"/>
            </w:pPr>
            <w:r>
              <w:t>118</w:t>
            </w:r>
          </w:p>
        </w:tc>
        <w:tc>
          <w:tcPr>
            <w:tcW w:w="1052" w:type="dxa"/>
          </w:tcPr>
          <w:p w:rsidR="00B14FDF" w:rsidRDefault="008B7719" w:rsidP="006834E1">
            <w:pPr>
              <w:spacing w:line="276" w:lineRule="auto"/>
            </w:pPr>
            <w:r>
              <w:t>1.4</w:t>
            </w:r>
          </w:p>
        </w:tc>
        <w:tc>
          <w:tcPr>
            <w:tcW w:w="1587" w:type="dxa"/>
          </w:tcPr>
          <w:p w:rsidR="00B14FDF" w:rsidRDefault="008B7719" w:rsidP="006834E1">
            <w:pPr>
              <w:spacing w:line="276" w:lineRule="auto"/>
            </w:pPr>
            <w:r>
              <w:t>93</w:t>
            </w:r>
          </w:p>
        </w:tc>
      </w:tr>
      <w:tr w:rsidR="00827DD4" w:rsidTr="00FF742E">
        <w:trPr>
          <w:trHeight w:val="547"/>
        </w:trPr>
        <w:tc>
          <w:tcPr>
            <w:tcW w:w="1100" w:type="dxa"/>
          </w:tcPr>
          <w:p w:rsidR="00B14FDF" w:rsidRDefault="008B7719" w:rsidP="006834E1">
            <w:pPr>
              <w:spacing w:line="276" w:lineRule="auto"/>
            </w:pPr>
            <w:r>
              <w:t>2015-16</w:t>
            </w:r>
          </w:p>
        </w:tc>
        <w:tc>
          <w:tcPr>
            <w:tcW w:w="1299" w:type="dxa"/>
          </w:tcPr>
          <w:p w:rsidR="00B14FDF" w:rsidRDefault="008B7719" w:rsidP="006834E1">
            <w:pPr>
              <w:spacing w:line="276" w:lineRule="auto"/>
            </w:pPr>
            <w:r>
              <w:t>5.9</w:t>
            </w:r>
          </w:p>
        </w:tc>
        <w:tc>
          <w:tcPr>
            <w:tcW w:w="1656" w:type="dxa"/>
          </w:tcPr>
          <w:p w:rsidR="00B14FDF" w:rsidRDefault="008B7719" w:rsidP="006834E1">
            <w:pPr>
              <w:spacing w:line="276" w:lineRule="auto"/>
            </w:pPr>
            <w:r>
              <w:t>203.4</w:t>
            </w:r>
          </w:p>
        </w:tc>
        <w:tc>
          <w:tcPr>
            <w:tcW w:w="1044" w:type="dxa"/>
          </w:tcPr>
          <w:p w:rsidR="00B14FDF" w:rsidRDefault="008B7719" w:rsidP="006834E1">
            <w:pPr>
              <w:spacing w:line="276" w:lineRule="auto"/>
            </w:pPr>
            <w:r>
              <w:t>1.8</w:t>
            </w:r>
          </w:p>
        </w:tc>
        <w:tc>
          <w:tcPr>
            <w:tcW w:w="1612" w:type="dxa"/>
          </w:tcPr>
          <w:p w:rsidR="00B14FDF" w:rsidRDefault="008B7719" w:rsidP="006834E1">
            <w:pPr>
              <w:spacing w:line="276" w:lineRule="auto"/>
            </w:pPr>
            <w:r>
              <w:t>163.6</w:t>
            </w:r>
          </w:p>
        </w:tc>
        <w:tc>
          <w:tcPr>
            <w:tcW w:w="1052" w:type="dxa"/>
          </w:tcPr>
          <w:p w:rsidR="00B14FDF" w:rsidRDefault="008B7719" w:rsidP="006834E1">
            <w:pPr>
              <w:spacing w:line="276" w:lineRule="auto"/>
            </w:pPr>
            <w:r>
              <w:t>1.9</w:t>
            </w:r>
          </w:p>
        </w:tc>
        <w:tc>
          <w:tcPr>
            <w:tcW w:w="1587" w:type="dxa"/>
          </w:tcPr>
          <w:p w:rsidR="00B14FDF" w:rsidRDefault="008B7719" w:rsidP="006834E1">
            <w:pPr>
              <w:spacing w:line="276" w:lineRule="auto"/>
            </w:pPr>
            <w:r>
              <w:t>126.7</w:t>
            </w:r>
          </w:p>
        </w:tc>
      </w:tr>
      <w:tr w:rsidR="00827DD4" w:rsidTr="00FF742E">
        <w:trPr>
          <w:trHeight w:val="680"/>
        </w:trPr>
        <w:tc>
          <w:tcPr>
            <w:tcW w:w="1100" w:type="dxa"/>
          </w:tcPr>
          <w:p w:rsidR="00B14FDF" w:rsidRDefault="008B7719" w:rsidP="006834E1">
            <w:pPr>
              <w:spacing w:line="276" w:lineRule="auto"/>
            </w:pPr>
            <w:r>
              <w:t>2016-17</w:t>
            </w:r>
          </w:p>
        </w:tc>
        <w:tc>
          <w:tcPr>
            <w:tcW w:w="1299" w:type="dxa"/>
          </w:tcPr>
          <w:p w:rsidR="00B14FDF" w:rsidRDefault="008B7719" w:rsidP="006834E1">
            <w:pPr>
              <w:spacing w:line="276" w:lineRule="auto"/>
            </w:pPr>
            <w:r>
              <w:t>7.0</w:t>
            </w:r>
          </w:p>
        </w:tc>
        <w:tc>
          <w:tcPr>
            <w:tcW w:w="1656" w:type="dxa"/>
          </w:tcPr>
          <w:p w:rsidR="00B14FDF" w:rsidRDefault="008B7719" w:rsidP="006834E1">
            <w:pPr>
              <w:spacing w:line="276" w:lineRule="auto"/>
            </w:pPr>
            <w:r>
              <w:t>241.3</w:t>
            </w:r>
          </w:p>
        </w:tc>
        <w:tc>
          <w:tcPr>
            <w:tcW w:w="1044" w:type="dxa"/>
          </w:tcPr>
          <w:p w:rsidR="00B14FDF" w:rsidRDefault="008B7719" w:rsidP="006834E1">
            <w:pPr>
              <w:spacing w:line="276" w:lineRule="auto"/>
            </w:pPr>
            <w:r>
              <w:t>2.6</w:t>
            </w:r>
          </w:p>
        </w:tc>
        <w:tc>
          <w:tcPr>
            <w:tcW w:w="1612" w:type="dxa"/>
          </w:tcPr>
          <w:p w:rsidR="00B14FDF" w:rsidRDefault="008B7719" w:rsidP="006834E1">
            <w:pPr>
              <w:spacing w:line="276" w:lineRule="auto"/>
            </w:pPr>
            <w:r>
              <w:t>236.4</w:t>
            </w:r>
          </w:p>
        </w:tc>
        <w:tc>
          <w:tcPr>
            <w:tcW w:w="1052" w:type="dxa"/>
          </w:tcPr>
          <w:p w:rsidR="00B14FDF" w:rsidRDefault="008B7719" w:rsidP="006834E1">
            <w:pPr>
              <w:spacing w:line="276" w:lineRule="auto"/>
            </w:pPr>
            <w:r>
              <w:t>1.7</w:t>
            </w:r>
          </w:p>
        </w:tc>
        <w:tc>
          <w:tcPr>
            <w:tcW w:w="1587" w:type="dxa"/>
          </w:tcPr>
          <w:p w:rsidR="00B14FDF" w:rsidRDefault="008B7719" w:rsidP="006834E1">
            <w:pPr>
              <w:spacing w:line="276" w:lineRule="auto"/>
            </w:pPr>
            <w:r>
              <w:t>113.3</w:t>
            </w:r>
          </w:p>
        </w:tc>
      </w:tr>
      <w:tr w:rsidR="00827DD4" w:rsidTr="00FF742E">
        <w:trPr>
          <w:trHeight w:val="590"/>
        </w:trPr>
        <w:tc>
          <w:tcPr>
            <w:tcW w:w="1100" w:type="dxa"/>
          </w:tcPr>
          <w:p w:rsidR="00B14FDF" w:rsidRDefault="008B7719" w:rsidP="006834E1">
            <w:pPr>
              <w:spacing w:line="276" w:lineRule="auto"/>
            </w:pPr>
            <w:r>
              <w:t>2017-18</w:t>
            </w:r>
          </w:p>
        </w:tc>
        <w:tc>
          <w:tcPr>
            <w:tcW w:w="1299" w:type="dxa"/>
          </w:tcPr>
          <w:p w:rsidR="00B14FDF" w:rsidRDefault="008B7719" w:rsidP="006834E1">
            <w:pPr>
              <w:spacing w:line="276" w:lineRule="auto"/>
            </w:pPr>
            <w:r>
              <w:t>8.9</w:t>
            </w:r>
          </w:p>
        </w:tc>
        <w:tc>
          <w:tcPr>
            <w:tcW w:w="1656" w:type="dxa"/>
          </w:tcPr>
          <w:p w:rsidR="00B14FDF" w:rsidRDefault="008B7719" w:rsidP="006834E1">
            <w:pPr>
              <w:spacing w:line="276" w:lineRule="auto"/>
            </w:pPr>
            <w:r>
              <w:t>306.8</w:t>
            </w:r>
          </w:p>
        </w:tc>
        <w:tc>
          <w:tcPr>
            <w:tcW w:w="1044" w:type="dxa"/>
          </w:tcPr>
          <w:p w:rsidR="00B14FDF" w:rsidRDefault="008B7719" w:rsidP="006834E1">
            <w:pPr>
              <w:spacing w:line="276" w:lineRule="auto"/>
            </w:pPr>
            <w:r>
              <w:t>3.0</w:t>
            </w:r>
          </w:p>
        </w:tc>
        <w:tc>
          <w:tcPr>
            <w:tcW w:w="1612" w:type="dxa"/>
          </w:tcPr>
          <w:p w:rsidR="00B14FDF" w:rsidRDefault="008B7719" w:rsidP="006834E1">
            <w:pPr>
              <w:spacing w:line="276" w:lineRule="auto"/>
            </w:pPr>
            <w:r>
              <w:t>273.0</w:t>
            </w:r>
          </w:p>
        </w:tc>
        <w:tc>
          <w:tcPr>
            <w:tcW w:w="1052" w:type="dxa"/>
          </w:tcPr>
          <w:p w:rsidR="00B14FDF" w:rsidRDefault="008B7719" w:rsidP="006834E1">
            <w:pPr>
              <w:spacing w:line="276" w:lineRule="auto"/>
            </w:pPr>
            <w:r>
              <w:t>1.5</w:t>
            </w:r>
          </w:p>
        </w:tc>
        <w:tc>
          <w:tcPr>
            <w:tcW w:w="1587" w:type="dxa"/>
          </w:tcPr>
          <w:p w:rsidR="00B14FDF" w:rsidRDefault="008B7719" w:rsidP="006834E1">
            <w:pPr>
              <w:spacing w:line="276" w:lineRule="auto"/>
            </w:pPr>
            <w:r>
              <w:t>100</w:t>
            </w:r>
          </w:p>
        </w:tc>
      </w:tr>
    </w:tbl>
    <w:p w:rsidR="00855863" w:rsidRDefault="008B7719" w:rsidP="006834E1">
      <w:pPr>
        <w:spacing w:line="276" w:lineRule="auto"/>
      </w:pPr>
      <w:r>
        <w:br w:type="textWrapping" w:clear="all"/>
      </w:r>
      <w:r w:rsidR="006934E1">
        <w:rPr>
          <w:noProof/>
        </w:rPr>
        <w:drawing>
          <wp:inline distT="0" distB="0" distL="0" distR="0">
            <wp:extent cx="4274141" cy="2488018"/>
            <wp:effectExtent l="0" t="0" r="1270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29A3" w:rsidRDefault="008B7719" w:rsidP="006834E1">
      <w:pPr>
        <w:spacing w:line="276" w:lineRule="auto"/>
        <w:jc w:val="both"/>
      </w:pPr>
      <w:r>
        <w:t>This table shows the ratio &amp; tr</w:t>
      </w:r>
      <w:r w:rsidR="0045182F">
        <w:t>ends in Gross NPAs/TOTAL ASSETS</w:t>
      </w:r>
      <w:r w:rsidR="00943DBA">
        <w:t>s of public</w:t>
      </w:r>
      <w:r w:rsidR="005C5424">
        <w:t xml:space="preserve"> banks, private</w:t>
      </w:r>
      <w:r>
        <w:t xml:space="preserve"> banks</w:t>
      </w:r>
      <w:r w:rsidR="007E188D">
        <w:t xml:space="preserve"> </w:t>
      </w:r>
      <w:r w:rsidR="005C5424">
        <w:t>&amp;</w:t>
      </w:r>
      <w:r w:rsidR="007E188D">
        <w:t xml:space="preserve"> </w:t>
      </w:r>
      <w:r w:rsidR="005C5424">
        <w:t>foreign banks</w:t>
      </w:r>
      <w:r w:rsidR="00B44286">
        <w:t>. The trend analysis shows</w:t>
      </w:r>
      <w:r w:rsidR="005C5424">
        <w:t xml:space="preserve"> increment in Gross NPAs in all the three </w:t>
      </w:r>
      <w:r w:rsidR="00B44286">
        <w:t>banks</w:t>
      </w:r>
      <w:r w:rsidR="005C5424">
        <w:t>, but foreign banks started improving its ratio &amp;bring the ratio lower to 1.5 back again. Public</w:t>
      </w:r>
      <w:r w:rsidR="00943DBA">
        <w:t xml:space="preserve"> Sector Banks&amp; Private Sector </w:t>
      </w:r>
      <w:r w:rsidR="00C858D1">
        <w:t>Banks give</w:t>
      </w:r>
      <w:r w:rsidR="00B44286">
        <w:t xml:space="preserve"> a clear indication of ill health of banks. The Public sector bank shows a huge hike of almost 300% in Gross NPAs. As per ratio analysis, private banks are not in a good situation but better than the public sector banks. </w:t>
      </w:r>
    </w:p>
    <w:p w:rsidR="00227CAC" w:rsidRDefault="00227CAC" w:rsidP="006834E1">
      <w:pPr>
        <w:spacing w:line="276" w:lineRule="auto"/>
        <w:jc w:val="both"/>
      </w:pPr>
    </w:p>
    <w:p w:rsidR="006A5720" w:rsidRDefault="006A5720" w:rsidP="006834E1">
      <w:pPr>
        <w:spacing w:line="276" w:lineRule="auto"/>
        <w:jc w:val="both"/>
        <w:sectPr w:rsidR="006A5720" w:rsidSect="009D12E4">
          <w:pgSz w:w="12240" w:h="15840"/>
          <w:pgMar w:top="1440" w:right="1440" w:bottom="1440" w:left="1440" w:header="0" w:footer="720" w:gutter="0"/>
          <w:cols w:space="720"/>
          <w:docGrid w:linePitch="360"/>
        </w:sectPr>
      </w:pPr>
    </w:p>
    <w:p w:rsidR="00227CAC" w:rsidRDefault="008B7719" w:rsidP="006834E1">
      <w:pPr>
        <w:spacing w:line="276" w:lineRule="auto"/>
        <w:jc w:val="both"/>
      </w:pPr>
      <w:r>
        <w:lastRenderedPageBreak/>
        <w:t>Table – 2</w:t>
      </w:r>
    </w:p>
    <w:p w:rsidR="00227CAC" w:rsidRPr="00817562" w:rsidRDefault="008B7719" w:rsidP="006834E1">
      <w:pPr>
        <w:spacing w:line="276" w:lineRule="auto"/>
        <w:jc w:val="both"/>
        <w:rPr>
          <w:b/>
          <w:sz w:val="28"/>
        </w:rPr>
      </w:pPr>
      <w:r w:rsidRPr="00817562">
        <w:rPr>
          <w:b/>
          <w:sz w:val="28"/>
        </w:rPr>
        <w:t>Net NPA/Total Assets</w:t>
      </w:r>
    </w:p>
    <w:tbl>
      <w:tblPr>
        <w:tblW w:w="76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720"/>
        <w:gridCol w:w="1106"/>
        <w:gridCol w:w="927"/>
        <w:gridCol w:w="1490"/>
        <w:gridCol w:w="1002"/>
        <w:gridCol w:w="1315"/>
      </w:tblGrid>
      <w:tr w:rsidR="00827DD4" w:rsidTr="00EF1E6C">
        <w:trPr>
          <w:trHeight w:val="500"/>
        </w:trPr>
        <w:tc>
          <w:tcPr>
            <w:tcW w:w="1067" w:type="dxa"/>
          </w:tcPr>
          <w:p w:rsidR="00EF1E6C" w:rsidRPr="00817562" w:rsidRDefault="008B7719" w:rsidP="006834E1">
            <w:pPr>
              <w:spacing w:line="276" w:lineRule="auto"/>
              <w:jc w:val="both"/>
              <w:rPr>
                <w:b/>
                <w:sz w:val="24"/>
              </w:rPr>
            </w:pPr>
            <w:r w:rsidRPr="00817562">
              <w:rPr>
                <w:b/>
                <w:sz w:val="24"/>
              </w:rPr>
              <w:t>Year</w:t>
            </w:r>
          </w:p>
        </w:tc>
        <w:tc>
          <w:tcPr>
            <w:tcW w:w="1826" w:type="dxa"/>
            <w:gridSpan w:val="2"/>
          </w:tcPr>
          <w:p w:rsidR="00EF1E6C" w:rsidRPr="00817562" w:rsidRDefault="008B7719" w:rsidP="006834E1">
            <w:pPr>
              <w:spacing w:line="276" w:lineRule="auto"/>
              <w:jc w:val="both"/>
              <w:rPr>
                <w:b/>
                <w:sz w:val="24"/>
              </w:rPr>
            </w:pPr>
            <w:r w:rsidRPr="00817562">
              <w:rPr>
                <w:b/>
                <w:sz w:val="24"/>
              </w:rPr>
              <w:t>Public Sector Banks</w:t>
            </w:r>
          </w:p>
        </w:tc>
        <w:tc>
          <w:tcPr>
            <w:tcW w:w="2417" w:type="dxa"/>
            <w:gridSpan w:val="2"/>
          </w:tcPr>
          <w:p w:rsidR="00EF1E6C" w:rsidRPr="00817562" w:rsidRDefault="008B7719" w:rsidP="006834E1">
            <w:pPr>
              <w:spacing w:line="276" w:lineRule="auto"/>
              <w:jc w:val="both"/>
              <w:rPr>
                <w:b/>
                <w:sz w:val="24"/>
              </w:rPr>
            </w:pPr>
            <w:r w:rsidRPr="00817562">
              <w:rPr>
                <w:b/>
                <w:sz w:val="24"/>
              </w:rPr>
              <w:t>Private Sector Banks</w:t>
            </w:r>
          </w:p>
        </w:tc>
        <w:tc>
          <w:tcPr>
            <w:tcW w:w="2317" w:type="dxa"/>
            <w:gridSpan w:val="2"/>
          </w:tcPr>
          <w:p w:rsidR="00EF1E6C" w:rsidRPr="00817562" w:rsidRDefault="008B7719" w:rsidP="006834E1">
            <w:pPr>
              <w:spacing w:line="276" w:lineRule="auto"/>
              <w:jc w:val="both"/>
              <w:rPr>
                <w:b/>
                <w:sz w:val="24"/>
              </w:rPr>
            </w:pPr>
            <w:r w:rsidRPr="00817562">
              <w:rPr>
                <w:b/>
                <w:sz w:val="24"/>
              </w:rPr>
              <w:t>Foreign Banks</w:t>
            </w:r>
          </w:p>
        </w:tc>
      </w:tr>
      <w:tr w:rsidR="00827DD4" w:rsidTr="00EF1E6C">
        <w:trPr>
          <w:trHeight w:val="501"/>
        </w:trPr>
        <w:tc>
          <w:tcPr>
            <w:tcW w:w="1067" w:type="dxa"/>
          </w:tcPr>
          <w:p w:rsidR="00EF1E6C" w:rsidRDefault="00EF1E6C" w:rsidP="006834E1">
            <w:pPr>
              <w:spacing w:line="276" w:lineRule="auto"/>
              <w:jc w:val="both"/>
            </w:pPr>
          </w:p>
        </w:tc>
        <w:tc>
          <w:tcPr>
            <w:tcW w:w="720" w:type="dxa"/>
          </w:tcPr>
          <w:p w:rsidR="00EF1E6C" w:rsidRPr="00817562" w:rsidRDefault="008B7719" w:rsidP="006834E1">
            <w:pPr>
              <w:spacing w:line="276" w:lineRule="auto"/>
              <w:jc w:val="both"/>
              <w:rPr>
                <w:b/>
              </w:rPr>
            </w:pPr>
            <w:r w:rsidRPr="00817562">
              <w:rPr>
                <w:b/>
              </w:rPr>
              <w:t>Ratio</w:t>
            </w:r>
          </w:p>
        </w:tc>
        <w:tc>
          <w:tcPr>
            <w:tcW w:w="1106" w:type="dxa"/>
          </w:tcPr>
          <w:p w:rsidR="00EF1E6C" w:rsidRPr="00817562" w:rsidRDefault="008B7719" w:rsidP="006834E1">
            <w:pPr>
              <w:spacing w:line="276" w:lineRule="auto"/>
              <w:jc w:val="both"/>
              <w:rPr>
                <w:b/>
              </w:rPr>
            </w:pPr>
            <w:r w:rsidRPr="00817562">
              <w:rPr>
                <w:b/>
              </w:rPr>
              <w:t>Trend Ratio</w:t>
            </w:r>
          </w:p>
        </w:tc>
        <w:tc>
          <w:tcPr>
            <w:tcW w:w="927" w:type="dxa"/>
          </w:tcPr>
          <w:p w:rsidR="00EF1E6C" w:rsidRPr="00817562" w:rsidRDefault="008B7719" w:rsidP="006834E1">
            <w:pPr>
              <w:spacing w:line="276" w:lineRule="auto"/>
              <w:jc w:val="both"/>
              <w:rPr>
                <w:b/>
              </w:rPr>
            </w:pPr>
            <w:r w:rsidRPr="00817562">
              <w:rPr>
                <w:b/>
              </w:rPr>
              <w:t>Ratio</w:t>
            </w:r>
          </w:p>
        </w:tc>
        <w:tc>
          <w:tcPr>
            <w:tcW w:w="1490" w:type="dxa"/>
          </w:tcPr>
          <w:p w:rsidR="00EF1E6C" w:rsidRPr="00817562" w:rsidRDefault="008B7719" w:rsidP="006834E1">
            <w:pPr>
              <w:spacing w:line="276" w:lineRule="auto"/>
              <w:jc w:val="both"/>
              <w:rPr>
                <w:b/>
              </w:rPr>
            </w:pPr>
            <w:r w:rsidRPr="00817562">
              <w:rPr>
                <w:b/>
              </w:rPr>
              <w:t>Trend Ratio</w:t>
            </w:r>
          </w:p>
        </w:tc>
        <w:tc>
          <w:tcPr>
            <w:tcW w:w="1002" w:type="dxa"/>
          </w:tcPr>
          <w:p w:rsidR="00EF1E6C" w:rsidRPr="00817562" w:rsidRDefault="008B7719" w:rsidP="006834E1">
            <w:pPr>
              <w:spacing w:line="276" w:lineRule="auto"/>
              <w:jc w:val="both"/>
              <w:rPr>
                <w:b/>
              </w:rPr>
            </w:pPr>
            <w:r w:rsidRPr="00817562">
              <w:rPr>
                <w:b/>
              </w:rPr>
              <w:t>Ratio</w:t>
            </w:r>
          </w:p>
        </w:tc>
        <w:tc>
          <w:tcPr>
            <w:tcW w:w="1315" w:type="dxa"/>
          </w:tcPr>
          <w:p w:rsidR="00EF1E6C" w:rsidRPr="00817562" w:rsidRDefault="008B7719" w:rsidP="006834E1">
            <w:pPr>
              <w:spacing w:line="276" w:lineRule="auto"/>
              <w:jc w:val="both"/>
              <w:rPr>
                <w:b/>
              </w:rPr>
            </w:pPr>
            <w:r w:rsidRPr="00817562">
              <w:rPr>
                <w:b/>
              </w:rPr>
              <w:t>Trend Ratio</w:t>
            </w:r>
          </w:p>
        </w:tc>
      </w:tr>
      <w:tr w:rsidR="00827DD4" w:rsidTr="00EF1E6C">
        <w:trPr>
          <w:trHeight w:val="450"/>
        </w:trPr>
        <w:tc>
          <w:tcPr>
            <w:tcW w:w="1067" w:type="dxa"/>
          </w:tcPr>
          <w:p w:rsidR="00EF1E6C" w:rsidRPr="00817562" w:rsidRDefault="008B7719" w:rsidP="006834E1">
            <w:pPr>
              <w:spacing w:line="276" w:lineRule="auto"/>
              <w:jc w:val="both"/>
              <w:rPr>
                <w:b/>
              </w:rPr>
            </w:pPr>
            <w:r w:rsidRPr="00817562">
              <w:rPr>
                <w:b/>
              </w:rPr>
              <w:t>2013-14</w:t>
            </w:r>
          </w:p>
        </w:tc>
        <w:tc>
          <w:tcPr>
            <w:tcW w:w="720" w:type="dxa"/>
          </w:tcPr>
          <w:p w:rsidR="00EF1E6C" w:rsidRDefault="008B7719" w:rsidP="006834E1">
            <w:pPr>
              <w:spacing w:line="276" w:lineRule="auto"/>
              <w:jc w:val="both"/>
            </w:pPr>
            <w:r>
              <w:t>1.6</w:t>
            </w:r>
          </w:p>
        </w:tc>
        <w:tc>
          <w:tcPr>
            <w:tcW w:w="1106" w:type="dxa"/>
          </w:tcPr>
          <w:p w:rsidR="00EF1E6C" w:rsidRDefault="008B7719" w:rsidP="006834E1">
            <w:pPr>
              <w:spacing w:line="276" w:lineRule="auto"/>
              <w:jc w:val="both"/>
            </w:pPr>
            <w:r>
              <w:t>100</w:t>
            </w:r>
          </w:p>
        </w:tc>
        <w:tc>
          <w:tcPr>
            <w:tcW w:w="927" w:type="dxa"/>
          </w:tcPr>
          <w:p w:rsidR="00EF1E6C" w:rsidRDefault="008B7719" w:rsidP="006834E1">
            <w:pPr>
              <w:spacing w:line="276" w:lineRule="auto"/>
              <w:jc w:val="both"/>
            </w:pPr>
            <w:r>
              <w:t>0.4</w:t>
            </w:r>
          </w:p>
        </w:tc>
        <w:tc>
          <w:tcPr>
            <w:tcW w:w="1490" w:type="dxa"/>
          </w:tcPr>
          <w:p w:rsidR="00EF1E6C" w:rsidRDefault="008B7719" w:rsidP="006834E1">
            <w:pPr>
              <w:spacing w:line="276" w:lineRule="auto"/>
              <w:jc w:val="both"/>
            </w:pPr>
            <w:r>
              <w:t>100</w:t>
            </w:r>
          </w:p>
        </w:tc>
        <w:tc>
          <w:tcPr>
            <w:tcW w:w="1002" w:type="dxa"/>
          </w:tcPr>
          <w:p w:rsidR="00EF1E6C" w:rsidRDefault="008B7719" w:rsidP="006834E1">
            <w:pPr>
              <w:spacing w:line="276" w:lineRule="auto"/>
              <w:jc w:val="both"/>
            </w:pPr>
            <w:r>
              <w:t>0.4</w:t>
            </w:r>
          </w:p>
        </w:tc>
        <w:tc>
          <w:tcPr>
            <w:tcW w:w="1315" w:type="dxa"/>
          </w:tcPr>
          <w:p w:rsidR="00EF1E6C" w:rsidRDefault="008B7719" w:rsidP="006834E1">
            <w:pPr>
              <w:spacing w:line="276" w:lineRule="auto"/>
              <w:jc w:val="both"/>
            </w:pPr>
            <w:r>
              <w:t>100</w:t>
            </w:r>
          </w:p>
        </w:tc>
      </w:tr>
      <w:tr w:rsidR="00827DD4" w:rsidTr="00EF1E6C">
        <w:trPr>
          <w:trHeight w:val="425"/>
        </w:trPr>
        <w:tc>
          <w:tcPr>
            <w:tcW w:w="1067" w:type="dxa"/>
          </w:tcPr>
          <w:p w:rsidR="00EF1E6C" w:rsidRPr="00817562" w:rsidRDefault="008B7719" w:rsidP="006834E1">
            <w:pPr>
              <w:spacing w:line="276" w:lineRule="auto"/>
              <w:jc w:val="both"/>
              <w:rPr>
                <w:b/>
              </w:rPr>
            </w:pPr>
            <w:r w:rsidRPr="00817562">
              <w:rPr>
                <w:b/>
              </w:rPr>
              <w:t>2014-15</w:t>
            </w:r>
          </w:p>
        </w:tc>
        <w:tc>
          <w:tcPr>
            <w:tcW w:w="720" w:type="dxa"/>
          </w:tcPr>
          <w:p w:rsidR="00EF1E6C" w:rsidRDefault="008B7719" w:rsidP="006834E1">
            <w:pPr>
              <w:spacing w:line="276" w:lineRule="auto"/>
              <w:jc w:val="both"/>
            </w:pPr>
            <w:r>
              <w:t>1.8</w:t>
            </w:r>
          </w:p>
        </w:tc>
        <w:tc>
          <w:tcPr>
            <w:tcW w:w="1106" w:type="dxa"/>
          </w:tcPr>
          <w:p w:rsidR="00EF1E6C" w:rsidRDefault="008B7719" w:rsidP="006834E1">
            <w:pPr>
              <w:spacing w:line="276" w:lineRule="auto"/>
              <w:jc w:val="both"/>
            </w:pPr>
            <w:r>
              <w:t>112.5</w:t>
            </w:r>
          </w:p>
        </w:tc>
        <w:tc>
          <w:tcPr>
            <w:tcW w:w="927" w:type="dxa"/>
          </w:tcPr>
          <w:p w:rsidR="00EF1E6C" w:rsidRDefault="008B7719" w:rsidP="006834E1">
            <w:pPr>
              <w:spacing w:line="276" w:lineRule="auto"/>
              <w:jc w:val="both"/>
            </w:pPr>
            <w:r>
              <w:t>0.5</w:t>
            </w:r>
          </w:p>
        </w:tc>
        <w:tc>
          <w:tcPr>
            <w:tcW w:w="1490" w:type="dxa"/>
          </w:tcPr>
          <w:p w:rsidR="00EF1E6C" w:rsidRDefault="008B7719" w:rsidP="006834E1">
            <w:pPr>
              <w:spacing w:line="276" w:lineRule="auto"/>
              <w:jc w:val="both"/>
            </w:pPr>
            <w:r>
              <w:t>125</w:t>
            </w:r>
          </w:p>
        </w:tc>
        <w:tc>
          <w:tcPr>
            <w:tcW w:w="1002" w:type="dxa"/>
          </w:tcPr>
          <w:p w:rsidR="00EF1E6C" w:rsidRDefault="008B7719" w:rsidP="006834E1">
            <w:pPr>
              <w:spacing w:line="276" w:lineRule="auto"/>
              <w:jc w:val="both"/>
            </w:pPr>
            <w:r>
              <w:t>0.2</w:t>
            </w:r>
          </w:p>
        </w:tc>
        <w:tc>
          <w:tcPr>
            <w:tcW w:w="1315" w:type="dxa"/>
          </w:tcPr>
          <w:p w:rsidR="00EF1E6C" w:rsidRDefault="008B7719" w:rsidP="006834E1">
            <w:pPr>
              <w:spacing w:line="276" w:lineRule="auto"/>
              <w:jc w:val="both"/>
            </w:pPr>
            <w:r>
              <w:t>50</w:t>
            </w:r>
          </w:p>
        </w:tc>
      </w:tr>
      <w:tr w:rsidR="00827DD4" w:rsidTr="00EF1E6C">
        <w:trPr>
          <w:trHeight w:val="488"/>
        </w:trPr>
        <w:tc>
          <w:tcPr>
            <w:tcW w:w="1067" w:type="dxa"/>
          </w:tcPr>
          <w:p w:rsidR="00EF1E6C" w:rsidRPr="00817562" w:rsidRDefault="008B7719" w:rsidP="006834E1">
            <w:pPr>
              <w:spacing w:line="276" w:lineRule="auto"/>
              <w:jc w:val="both"/>
              <w:rPr>
                <w:b/>
              </w:rPr>
            </w:pPr>
            <w:r w:rsidRPr="00817562">
              <w:rPr>
                <w:b/>
              </w:rPr>
              <w:t>2015-16</w:t>
            </w:r>
          </w:p>
        </w:tc>
        <w:tc>
          <w:tcPr>
            <w:tcW w:w="720" w:type="dxa"/>
          </w:tcPr>
          <w:p w:rsidR="00EF1E6C" w:rsidRDefault="008B7719" w:rsidP="006834E1">
            <w:pPr>
              <w:spacing w:line="276" w:lineRule="auto"/>
              <w:jc w:val="both"/>
            </w:pPr>
            <w:r>
              <w:t>3.6</w:t>
            </w:r>
          </w:p>
        </w:tc>
        <w:tc>
          <w:tcPr>
            <w:tcW w:w="1106" w:type="dxa"/>
          </w:tcPr>
          <w:p w:rsidR="00EF1E6C" w:rsidRDefault="008B7719" w:rsidP="006834E1">
            <w:pPr>
              <w:spacing w:line="276" w:lineRule="auto"/>
              <w:jc w:val="both"/>
            </w:pPr>
            <w:r>
              <w:t>225</w:t>
            </w:r>
          </w:p>
        </w:tc>
        <w:tc>
          <w:tcPr>
            <w:tcW w:w="927" w:type="dxa"/>
          </w:tcPr>
          <w:p w:rsidR="00EF1E6C" w:rsidRDefault="008B7719" w:rsidP="006834E1">
            <w:pPr>
              <w:spacing w:line="276" w:lineRule="auto"/>
              <w:jc w:val="both"/>
            </w:pPr>
            <w:r>
              <w:t>0.8</w:t>
            </w:r>
          </w:p>
        </w:tc>
        <w:tc>
          <w:tcPr>
            <w:tcW w:w="1490" w:type="dxa"/>
          </w:tcPr>
          <w:p w:rsidR="00EF1E6C" w:rsidRDefault="008B7719" w:rsidP="006834E1">
            <w:pPr>
              <w:spacing w:line="276" w:lineRule="auto"/>
              <w:jc w:val="both"/>
            </w:pPr>
            <w:r>
              <w:t>200</w:t>
            </w:r>
          </w:p>
        </w:tc>
        <w:tc>
          <w:tcPr>
            <w:tcW w:w="1002" w:type="dxa"/>
          </w:tcPr>
          <w:p w:rsidR="00EF1E6C" w:rsidRDefault="008B7719" w:rsidP="006834E1">
            <w:pPr>
              <w:spacing w:line="276" w:lineRule="auto"/>
              <w:jc w:val="both"/>
            </w:pPr>
            <w:r>
              <w:t>0.3</w:t>
            </w:r>
          </w:p>
        </w:tc>
        <w:tc>
          <w:tcPr>
            <w:tcW w:w="1315" w:type="dxa"/>
          </w:tcPr>
          <w:p w:rsidR="00EF1E6C" w:rsidRDefault="008B7719" w:rsidP="006834E1">
            <w:pPr>
              <w:spacing w:line="276" w:lineRule="auto"/>
              <w:jc w:val="both"/>
            </w:pPr>
            <w:r>
              <w:t>75</w:t>
            </w:r>
          </w:p>
        </w:tc>
      </w:tr>
      <w:tr w:rsidR="00827DD4" w:rsidTr="00EF1E6C">
        <w:trPr>
          <w:trHeight w:val="400"/>
        </w:trPr>
        <w:tc>
          <w:tcPr>
            <w:tcW w:w="1067" w:type="dxa"/>
          </w:tcPr>
          <w:p w:rsidR="00EF1E6C" w:rsidRPr="00817562" w:rsidRDefault="008B7719" w:rsidP="006834E1">
            <w:pPr>
              <w:spacing w:line="276" w:lineRule="auto"/>
              <w:jc w:val="both"/>
              <w:rPr>
                <w:b/>
              </w:rPr>
            </w:pPr>
            <w:r w:rsidRPr="00817562">
              <w:rPr>
                <w:b/>
              </w:rPr>
              <w:t>2016-17</w:t>
            </w:r>
          </w:p>
        </w:tc>
        <w:tc>
          <w:tcPr>
            <w:tcW w:w="720" w:type="dxa"/>
          </w:tcPr>
          <w:p w:rsidR="00EF1E6C" w:rsidRDefault="008B7719" w:rsidP="006834E1">
            <w:pPr>
              <w:spacing w:line="276" w:lineRule="auto"/>
              <w:jc w:val="both"/>
            </w:pPr>
            <w:r>
              <w:t>3.9</w:t>
            </w:r>
          </w:p>
        </w:tc>
        <w:tc>
          <w:tcPr>
            <w:tcW w:w="1106" w:type="dxa"/>
          </w:tcPr>
          <w:p w:rsidR="00EF1E6C" w:rsidRDefault="008B7719" w:rsidP="006834E1">
            <w:pPr>
              <w:spacing w:line="276" w:lineRule="auto"/>
              <w:jc w:val="both"/>
            </w:pPr>
            <w:r>
              <w:t>243.75</w:t>
            </w:r>
          </w:p>
        </w:tc>
        <w:tc>
          <w:tcPr>
            <w:tcW w:w="927" w:type="dxa"/>
          </w:tcPr>
          <w:p w:rsidR="00EF1E6C" w:rsidRDefault="008B7719" w:rsidP="006834E1">
            <w:pPr>
              <w:spacing w:line="276" w:lineRule="auto"/>
              <w:jc w:val="both"/>
            </w:pPr>
            <w:r>
              <w:t>1.3</w:t>
            </w:r>
          </w:p>
        </w:tc>
        <w:tc>
          <w:tcPr>
            <w:tcW w:w="1490" w:type="dxa"/>
          </w:tcPr>
          <w:p w:rsidR="00EF1E6C" w:rsidRDefault="008B7719" w:rsidP="006834E1">
            <w:pPr>
              <w:spacing w:line="276" w:lineRule="auto"/>
              <w:jc w:val="both"/>
            </w:pPr>
            <w:r>
              <w:t>3</w:t>
            </w:r>
            <w:r w:rsidR="006F6647">
              <w:t>25</w:t>
            </w:r>
          </w:p>
        </w:tc>
        <w:tc>
          <w:tcPr>
            <w:tcW w:w="1002" w:type="dxa"/>
          </w:tcPr>
          <w:p w:rsidR="00EF1E6C" w:rsidRDefault="008B7719" w:rsidP="006834E1">
            <w:pPr>
              <w:spacing w:line="276" w:lineRule="auto"/>
              <w:jc w:val="both"/>
            </w:pPr>
            <w:r>
              <w:t>0.3</w:t>
            </w:r>
          </w:p>
        </w:tc>
        <w:tc>
          <w:tcPr>
            <w:tcW w:w="1315" w:type="dxa"/>
          </w:tcPr>
          <w:p w:rsidR="00EF1E6C" w:rsidRDefault="008B7719" w:rsidP="006834E1">
            <w:pPr>
              <w:spacing w:line="276" w:lineRule="auto"/>
              <w:jc w:val="both"/>
            </w:pPr>
            <w:r>
              <w:t>75</w:t>
            </w:r>
          </w:p>
        </w:tc>
      </w:tr>
      <w:tr w:rsidR="00827DD4" w:rsidTr="00EF1E6C">
        <w:trPr>
          <w:trHeight w:val="200"/>
        </w:trPr>
        <w:tc>
          <w:tcPr>
            <w:tcW w:w="1067" w:type="dxa"/>
          </w:tcPr>
          <w:p w:rsidR="00EF1E6C" w:rsidRPr="00817562" w:rsidRDefault="008B7719" w:rsidP="006834E1">
            <w:pPr>
              <w:spacing w:line="276" w:lineRule="auto"/>
              <w:jc w:val="both"/>
              <w:rPr>
                <w:b/>
              </w:rPr>
            </w:pPr>
            <w:r w:rsidRPr="00817562">
              <w:rPr>
                <w:b/>
              </w:rPr>
              <w:t>2017-18</w:t>
            </w:r>
          </w:p>
        </w:tc>
        <w:tc>
          <w:tcPr>
            <w:tcW w:w="720" w:type="dxa"/>
          </w:tcPr>
          <w:p w:rsidR="00EF1E6C" w:rsidRDefault="008B7719" w:rsidP="006834E1">
            <w:pPr>
              <w:spacing w:line="276" w:lineRule="auto"/>
              <w:jc w:val="both"/>
            </w:pPr>
            <w:r>
              <w:t>4.5</w:t>
            </w:r>
          </w:p>
        </w:tc>
        <w:tc>
          <w:tcPr>
            <w:tcW w:w="1106" w:type="dxa"/>
          </w:tcPr>
          <w:p w:rsidR="00EF1E6C" w:rsidRDefault="008B7719" w:rsidP="006834E1">
            <w:pPr>
              <w:spacing w:line="276" w:lineRule="auto"/>
              <w:jc w:val="both"/>
            </w:pPr>
            <w:r>
              <w:t>281.25</w:t>
            </w:r>
          </w:p>
        </w:tc>
        <w:tc>
          <w:tcPr>
            <w:tcW w:w="927" w:type="dxa"/>
          </w:tcPr>
          <w:p w:rsidR="00EF1E6C" w:rsidRDefault="008B7719" w:rsidP="006834E1">
            <w:pPr>
              <w:spacing w:line="276" w:lineRule="auto"/>
              <w:jc w:val="both"/>
            </w:pPr>
            <w:r>
              <w:t>1.5</w:t>
            </w:r>
          </w:p>
        </w:tc>
        <w:tc>
          <w:tcPr>
            <w:tcW w:w="1490" w:type="dxa"/>
          </w:tcPr>
          <w:p w:rsidR="00EF1E6C" w:rsidRDefault="008B7719" w:rsidP="006834E1">
            <w:pPr>
              <w:spacing w:line="276" w:lineRule="auto"/>
              <w:jc w:val="both"/>
            </w:pPr>
            <w:r>
              <w:t>375</w:t>
            </w:r>
          </w:p>
        </w:tc>
        <w:tc>
          <w:tcPr>
            <w:tcW w:w="1002" w:type="dxa"/>
          </w:tcPr>
          <w:p w:rsidR="00EF1E6C" w:rsidRDefault="008B7719" w:rsidP="006834E1">
            <w:pPr>
              <w:spacing w:line="276" w:lineRule="auto"/>
              <w:jc w:val="both"/>
            </w:pPr>
            <w:r>
              <w:t>0.17</w:t>
            </w:r>
          </w:p>
        </w:tc>
        <w:tc>
          <w:tcPr>
            <w:tcW w:w="1315" w:type="dxa"/>
          </w:tcPr>
          <w:p w:rsidR="00EF1E6C" w:rsidRDefault="008B7719" w:rsidP="006834E1">
            <w:pPr>
              <w:spacing w:line="276" w:lineRule="auto"/>
              <w:jc w:val="both"/>
            </w:pPr>
            <w:r>
              <w:t>42.5</w:t>
            </w:r>
          </w:p>
        </w:tc>
      </w:tr>
    </w:tbl>
    <w:p w:rsidR="00227CAC" w:rsidRDefault="008B7719" w:rsidP="006834E1">
      <w:pPr>
        <w:spacing w:line="276" w:lineRule="auto"/>
        <w:jc w:val="both"/>
      </w:pPr>
      <w:r>
        <w:rPr>
          <w:noProof/>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742E" w:rsidRDefault="008B7719" w:rsidP="006834E1">
      <w:pPr>
        <w:spacing w:line="276" w:lineRule="auto"/>
        <w:jc w:val="both"/>
      </w:pPr>
      <w:r>
        <w:t>Table II specifies the ratio&amp; trend analysis between NET NPA</w:t>
      </w:r>
      <w:r w:rsidR="007E188D">
        <w:t xml:space="preserve"> </w:t>
      </w:r>
      <w:r>
        <w:t>&amp;Total Assets. Trend</w:t>
      </w:r>
      <w:r w:rsidR="00943DBA">
        <w:t xml:space="preserve"> analysis shows that NPA </w:t>
      </w:r>
      <w:r>
        <w:t>of public</w:t>
      </w:r>
      <w:r w:rsidR="007E188D">
        <w:t xml:space="preserve"> </w:t>
      </w:r>
      <w:r>
        <w:t>&amp;</w:t>
      </w:r>
      <w:r w:rsidR="007E188D">
        <w:t xml:space="preserve"> </w:t>
      </w:r>
      <w:r>
        <w:t xml:space="preserve">private sector banks has been increased in proportion to total assets with every passing year. Whereas Foreign Banks had very less </w:t>
      </w:r>
      <w:r w:rsidR="00943DBA">
        <w:t xml:space="preserve">NPA </w:t>
      </w:r>
      <w:r>
        <w:t>in contrast to its total assets from 2013-14 &amp;</w:t>
      </w:r>
      <w:r w:rsidR="00855863">
        <w:t>it improved its</w:t>
      </w:r>
      <w:r>
        <w:t xml:space="preserve"> ratio &amp; reached to a </w:t>
      </w:r>
      <w:r w:rsidR="00855863">
        <w:t>negligible amount of NPAs.</w:t>
      </w:r>
    </w:p>
    <w:p w:rsidR="006A5720" w:rsidRDefault="006A5720" w:rsidP="006834E1">
      <w:pPr>
        <w:spacing w:line="276" w:lineRule="auto"/>
        <w:jc w:val="both"/>
        <w:sectPr w:rsidR="006A5720" w:rsidSect="009D12E4">
          <w:pgSz w:w="12240" w:h="15840"/>
          <w:pgMar w:top="1440" w:right="1440" w:bottom="1440" w:left="1440" w:header="0" w:footer="720" w:gutter="0"/>
          <w:cols w:space="720"/>
          <w:docGrid w:linePitch="360"/>
        </w:sectPr>
      </w:pPr>
    </w:p>
    <w:p w:rsidR="00FF742E" w:rsidRPr="00FF742E" w:rsidRDefault="008B7719" w:rsidP="006834E1">
      <w:pPr>
        <w:spacing w:line="276" w:lineRule="auto"/>
        <w:jc w:val="both"/>
      </w:pPr>
      <w:r>
        <w:lastRenderedPageBreak/>
        <w:t>Table 3</w:t>
      </w:r>
    </w:p>
    <w:p w:rsidR="00FF742E" w:rsidRPr="009D12E4" w:rsidRDefault="008B7719" w:rsidP="006834E1">
      <w:pPr>
        <w:spacing w:line="276" w:lineRule="auto"/>
        <w:jc w:val="both"/>
        <w:rPr>
          <w:b/>
          <w:sz w:val="28"/>
        </w:rPr>
      </w:pPr>
      <w:r w:rsidRPr="009D12E4">
        <w:rPr>
          <w:b/>
          <w:sz w:val="28"/>
        </w:rPr>
        <w:t>Gross NPA as a percent of Total Advances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2104"/>
        <w:gridCol w:w="2291"/>
        <w:gridCol w:w="3105"/>
      </w:tblGrid>
      <w:tr w:rsidR="00827DD4" w:rsidTr="0042243F">
        <w:trPr>
          <w:trHeight w:val="501"/>
        </w:trPr>
        <w:tc>
          <w:tcPr>
            <w:tcW w:w="1165" w:type="dxa"/>
          </w:tcPr>
          <w:p w:rsidR="00FF742E" w:rsidRPr="00FF742E" w:rsidRDefault="008B7719" w:rsidP="006834E1">
            <w:pPr>
              <w:spacing w:line="276" w:lineRule="auto"/>
              <w:jc w:val="both"/>
              <w:rPr>
                <w:b/>
              </w:rPr>
            </w:pPr>
            <w:r w:rsidRPr="00FF742E">
              <w:rPr>
                <w:b/>
              </w:rPr>
              <w:t>Year</w:t>
            </w:r>
          </w:p>
        </w:tc>
        <w:tc>
          <w:tcPr>
            <w:tcW w:w="2104" w:type="dxa"/>
          </w:tcPr>
          <w:p w:rsidR="00FF742E" w:rsidRPr="00FF742E" w:rsidRDefault="008B7719" w:rsidP="006834E1">
            <w:pPr>
              <w:spacing w:line="276" w:lineRule="auto"/>
              <w:jc w:val="both"/>
              <w:rPr>
                <w:b/>
              </w:rPr>
            </w:pPr>
            <w:r w:rsidRPr="00FF742E">
              <w:rPr>
                <w:b/>
              </w:rPr>
              <w:t>Public Sector Banks</w:t>
            </w:r>
          </w:p>
        </w:tc>
        <w:tc>
          <w:tcPr>
            <w:tcW w:w="2291" w:type="dxa"/>
          </w:tcPr>
          <w:p w:rsidR="00FF742E" w:rsidRPr="00FF742E" w:rsidRDefault="008B7719" w:rsidP="006834E1">
            <w:pPr>
              <w:spacing w:line="276" w:lineRule="auto"/>
              <w:jc w:val="both"/>
              <w:rPr>
                <w:b/>
              </w:rPr>
            </w:pPr>
            <w:r w:rsidRPr="00FF742E">
              <w:rPr>
                <w:b/>
              </w:rPr>
              <w:t>Private Sector Banks</w:t>
            </w:r>
          </w:p>
        </w:tc>
        <w:tc>
          <w:tcPr>
            <w:tcW w:w="3105" w:type="dxa"/>
          </w:tcPr>
          <w:p w:rsidR="00FF742E" w:rsidRPr="00FF742E" w:rsidRDefault="008B7719" w:rsidP="006834E1">
            <w:pPr>
              <w:spacing w:line="276" w:lineRule="auto"/>
              <w:jc w:val="both"/>
              <w:rPr>
                <w:b/>
              </w:rPr>
            </w:pPr>
            <w:r w:rsidRPr="00FF742E">
              <w:rPr>
                <w:b/>
              </w:rPr>
              <w:t>Foreign Banks</w:t>
            </w:r>
          </w:p>
        </w:tc>
      </w:tr>
      <w:tr w:rsidR="00827DD4" w:rsidTr="0042243F">
        <w:trPr>
          <w:trHeight w:val="588"/>
        </w:trPr>
        <w:tc>
          <w:tcPr>
            <w:tcW w:w="1165" w:type="dxa"/>
          </w:tcPr>
          <w:p w:rsidR="00FF742E" w:rsidRPr="00FF742E" w:rsidRDefault="008B7719" w:rsidP="006834E1">
            <w:pPr>
              <w:spacing w:line="276" w:lineRule="auto"/>
              <w:jc w:val="both"/>
              <w:rPr>
                <w:b/>
              </w:rPr>
            </w:pPr>
            <w:r w:rsidRPr="00FF742E">
              <w:rPr>
                <w:b/>
              </w:rPr>
              <w:t>2014-15</w:t>
            </w:r>
          </w:p>
        </w:tc>
        <w:tc>
          <w:tcPr>
            <w:tcW w:w="2104" w:type="dxa"/>
          </w:tcPr>
          <w:p w:rsidR="00FF742E" w:rsidRPr="00FF742E" w:rsidRDefault="008B7719" w:rsidP="006834E1">
            <w:pPr>
              <w:spacing w:line="276" w:lineRule="auto"/>
              <w:jc w:val="both"/>
            </w:pPr>
            <w:r w:rsidRPr="00FF742E">
              <w:t>5.67</w:t>
            </w:r>
          </w:p>
        </w:tc>
        <w:tc>
          <w:tcPr>
            <w:tcW w:w="2291" w:type="dxa"/>
          </w:tcPr>
          <w:p w:rsidR="00FF742E" w:rsidRPr="00FF742E" w:rsidRDefault="008B7719" w:rsidP="006834E1">
            <w:pPr>
              <w:spacing w:line="276" w:lineRule="auto"/>
              <w:jc w:val="both"/>
            </w:pPr>
            <w:r w:rsidRPr="00FF742E">
              <w:t>2.2</w:t>
            </w:r>
          </w:p>
        </w:tc>
        <w:tc>
          <w:tcPr>
            <w:tcW w:w="3105" w:type="dxa"/>
          </w:tcPr>
          <w:p w:rsidR="00FF742E" w:rsidRPr="00FF742E" w:rsidRDefault="008B7719" w:rsidP="006834E1">
            <w:pPr>
              <w:spacing w:line="276" w:lineRule="auto"/>
              <w:jc w:val="both"/>
            </w:pPr>
            <w:r w:rsidRPr="00FF742E">
              <w:t>3.3</w:t>
            </w:r>
          </w:p>
        </w:tc>
      </w:tr>
      <w:tr w:rsidR="00827DD4" w:rsidTr="0042243F">
        <w:trPr>
          <w:trHeight w:val="613"/>
        </w:trPr>
        <w:tc>
          <w:tcPr>
            <w:tcW w:w="1165" w:type="dxa"/>
          </w:tcPr>
          <w:p w:rsidR="00FF742E" w:rsidRPr="00FF742E" w:rsidRDefault="008B7719" w:rsidP="006834E1">
            <w:pPr>
              <w:spacing w:line="276" w:lineRule="auto"/>
              <w:jc w:val="both"/>
              <w:rPr>
                <w:b/>
              </w:rPr>
            </w:pPr>
            <w:r w:rsidRPr="00FF742E">
              <w:rPr>
                <w:b/>
              </w:rPr>
              <w:t>2015-16</w:t>
            </w:r>
          </w:p>
        </w:tc>
        <w:tc>
          <w:tcPr>
            <w:tcW w:w="2104" w:type="dxa"/>
          </w:tcPr>
          <w:p w:rsidR="00FF742E" w:rsidRPr="00FF742E" w:rsidRDefault="008B7719" w:rsidP="006834E1">
            <w:pPr>
              <w:spacing w:line="276" w:lineRule="auto"/>
              <w:jc w:val="both"/>
            </w:pPr>
            <w:r w:rsidRPr="00FF742E">
              <w:t>9.9</w:t>
            </w:r>
          </w:p>
        </w:tc>
        <w:tc>
          <w:tcPr>
            <w:tcW w:w="2291" w:type="dxa"/>
          </w:tcPr>
          <w:p w:rsidR="00FF742E" w:rsidRPr="00FF742E" w:rsidRDefault="008B7719" w:rsidP="006834E1">
            <w:pPr>
              <w:spacing w:line="276" w:lineRule="auto"/>
              <w:jc w:val="both"/>
            </w:pPr>
            <w:r w:rsidRPr="00FF742E">
              <w:t>2.9</w:t>
            </w:r>
          </w:p>
        </w:tc>
        <w:tc>
          <w:tcPr>
            <w:tcW w:w="3105" w:type="dxa"/>
          </w:tcPr>
          <w:p w:rsidR="00FF742E" w:rsidRPr="00FF742E" w:rsidRDefault="008B7719" w:rsidP="006834E1">
            <w:pPr>
              <w:spacing w:line="276" w:lineRule="auto"/>
              <w:jc w:val="both"/>
            </w:pPr>
            <w:r w:rsidRPr="00FF742E">
              <w:t>4.3</w:t>
            </w:r>
          </w:p>
        </w:tc>
      </w:tr>
      <w:tr w:rsidR="00827DD4" w:rsidTr="0042243F">
        <w:trPr>
          <w:trHeight w:val="676"/>
        </w:trPr>
        <w:tc>
          <w:tcPr>
            <w:tcW w:w="1165" w:type="dxa"/>
          </w:tcPr>
          <w:p w:rsidR="00FF742E" w:rsidRPr="00FF742E" w:rsidRDefault="008B7719" w:rsidP="006834E1">
            <w:pPr>
              <w:spacing w:line="276" w:lineRule="auto"/>
              <w:jc w:val="both"/>
              <w:rPr>
                <w:b/>
              </w:rPr>
            </w:pPr>
            <w:r w:rsidRPr="00FF742E">
              <w:rPr>
                <w:b/>
              </w:rPr>
              <w:t>2016-17</w:t>
            </w:r>
          </w:p>
        </w:tc>
        <w:tc>
          <w:tcPr>
            <w:tcW w:w="2104" w:type="dxa"/>
          </w:tcPr>
          <w:p w:rsidR="00FF742E" w:rsidRPr="00FF742E" w:rsidRDefault="008B7719" w:rsidP="006834E1">
            <w:pPr>
              <w:spacing w:line="276" w:lineRule="auto"/>
              <w:jc w:val="both"/>
            </w:pPr>
            <w:r w:rsidRPr="00FF742E">
              <w:t>11.7</w:t>
            </w:r>
          </w:p>
        </w:tc>
        <w:tc>
          <w:tcPr>
            <w:tcW w:w="2291" w:type="dxa"/>
          </w:tcPr>
          <w:p w:rsidR="00FF742E" w:rsidRPr="00FF742E" w:rsidRDefault="008B7719" w:rsidP="006834E1">
            <w:pPr>
              <w:spacing w:line="276" w:lineRule="auto"/>
              <w:jc w:val="both"/>
            </w:pPr>
            <w:r w:rsidRPr="00FF742E">
              <w:t>4.2</w:t>
            </w:r>
          </w:p>
        </w:tc>
        <w:tc>
          <w:tcPr>
            <w:tcW w:w="3105" w:type="dxa"/>
          </w:tcPr>
          <w:p w:rsidR="00FF742E" w:rsidRPr="00FF742E" w:rsidRDefault="008B7719" w:rsidP="006834E1">
            <w:pPr>
              <w:spacing w:line="276" w:lineRule="auto"/>
              <w:jc w:val="both"/>
            </w:pPr>
            <w:r w:rsidRPr="00FF742E">
              <w:t>4.1</w:t>
            </w:r>
          </w:p>
        </w:tc>
      </w:tr>
      <w:tr w:rsidR="00827DD4" w:rsidTr="0042243F">
        <w:trPr>
          <w:trHeight w:val="826"/>
        </w:trPr>
        <w:tc>
          <w:tcPr>
            <w:tcW w:w="1165" w:type="dxa"/>
          </w:tcPr>
          <w:p w:rsidR="00FF742E" w:rsidRPr="00FF742E" w:rsidRDefault="008B7719" w:rsidP="006834E1">
            <w:pPr>
              <w:spacing w:line="276" w:lineRule="auto"/>
              <w:jc w:val="both"/>
              <w:rPr>
                <w:b/>
              </w:rPr>
            </w:pPr>
            <w:r w:rsidRPr="00FF742E">
              <w:rPr>
                <w:b/>
              </w:rPr>
              <w:t>2017-18</w:t>
            </w:r>
          </w:p>
        </w:tc>
        <w:tc>
          <w:tcPr>
            <w:tcW w:w="2104" w:type="dxa"/>
          </w:tcPr>
          <w:p w:rsidR="00FF742E" w:rsidRPr="00FF742E" w:rsidRDefault="008B7719" w:rsidP="006834E1">
            <w:pPr>
              <w:spacing w:line="276" w:lineRule="auto"/>
              <w:jc w:val="both"/>
            </w:pPr>
            <w:r w:rsidRPr="00FF742E">
              <w:t>15.7</w:t>
            </w:r>
          </w:p>
        </w:tc>
        <w:tc>
          <w:tcPr>
            <w:tcW w:w="2291" w:type="dxa"/>
          </w:tcPr>
          <w:p w:rsidR="00FF742E" w:rsidRPr="00FF742E" w:rsidRDefault="008B7719" w:rsidP="006834E1">
            <w:pPr>
              <w:spacing w:line="276" w:lineRule="auto"/>
              <w:jc w:val="both"/>
            </w:pPr>
            <w:r w:rsidRPr="00FF742E">
              <w:t>4.8</w:t>
            </w:r>
          </w:p>
        </w:tc>
        <w:tc>
          <w:tcPr>
            <w:tcW w:w="3105" w:type="dxa"/>
          </w:tcPr>
          <w:p w:rsidR="00FF742E" w:rsidRPr="00FF742E" w:rsidRDefault="008B7719" w:rsidP="006834E1">
            <w:pPr>
              <w:spacing w:line="276" w:lineRule="auto"/>
              <w:jc w:val="both"/>
            </w:pPr>
            <w:r w:rsidRPr="00FF742E">
              <w:t>3.9</w:t>
            </w:r>
          </w:p>
        </w:tc>
      </w:tr>
    </w:tbl>
    <w:p w:rsidR="00FF742E" w:rsidRPr="00FF742E" w:rsidRDefault="008B7719" w:rsidP="006834E1">
      <w:pPr>
        <w:spacing w:line="276" w:lineRule="auto"/>
        <w:jc w:val="both"/>
      </w:pPr>
      <w:r w:rsidRPr="00FF742E">
        <w:rPr>
          <w:noProof/>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742E" w:rsidRPr="00FF742E" w:rsidRDefault="008B7719" w:rsidP="006834E1">
      <w:pPr>
        <w:spacing w:line="276" w:lineRule="auto"/>
        <w:jc w:val="both"/>
      </w:pPr>
      <w:r w:rsidRPr="00FF742E">
        <w:t>Table IV shows the ratio of Gross NPA with Total Advances of Public Sector Banks, Private Sector Banks&amp; Foreign Banks. The shows a gloomy picture of all the three banks because the ratio has encountered a sharp rise in all the three banks. Public sector ratio has almost increased by 175%from 2014-15 figures, Public sector banks gross NPAs has been increased by around 200%(in contrast to 2104-15) and foreign banks are still better than these two banks but the condition is not good. Gross NPA of foreign banks has been increased by 18% of the ratio in 2014-15.</w:t>
      </w:r>
    </w:p>
    <w:p w:rsidR="005C5424" w:rsidRDefault="005C5424" w:rsidP="006834E1">
      <w:pPr>
        <w:spacing w:line="276" w:lineRule="auto"/>
        <w:jc w:val="both"/>
      </w:pPr>
    </w:p>
    <w:p w:rsidR="006A5720" w:rsidRDefault="006A5720" w:rsidP="006834E1">
      <w:pPr>
        <w:spacing w:line="276" w:lineRule="auto"/>
        <w:jc w:val="both"/>
        <w:sectPr w:rsidR="006A5720" w:rsidSect="009D12E4">
          <w:pgSz w:w="12240" w:h="15840"/>
          <w:pgMar w:top="1440" w:right="1440" w:bottom="1440" w:left="1440" w:header="0" w:footer="720" w:gutter="0"/>
          <w:cols w:space="720"/>
          <w:docGrid w:linePitch="360"/>
        </w:sectPr>
      </w:pPr>
    </w:p>
    <w:p w:rsidR="00F36878" w:rsidRDefault="008B7719" w:rsidP="006834E1">
      <w:pPr>
        <w:spacing w:line="276" w:lineRule="auto"/>
        <w:jc w:val="both"/>
      </w:pPr>
      <w:r>
        <w:lastRenderedPageBreak/>
        <w:t>Table 4</w:t>
      </w:r>
    </w:p>
    <w:p w:rsidR="00F36878" w:rsidRPr="00817562" w:rsidRDefault="008B7719" w:rsidP="006834E1">
      <w:pPr>
        <w:spacing w:line="276" w:lineRule="auto"/>
        <w:jc w:val="both"/>
        <w:rPr>
          <w:b/>
          <w:sz w:val="28"/>
        </w:rPr>
      </w:pPr>
      <w:r w:rsidRPr="00817562">
        <w:rPr>
          <w:b/>
          <w:sz w:val="28"/>
        </w:rPr>
        <w:t>Net NPA as a percent of Total Advances</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5"/>
        <w:gridCol w:w="2079"/>
        <w:gridCol w:w="2304"/>
        <w:gridCol w:w="2955"/>
      </w:tblGrid>
      <w:tr w:rsidR="00827DD4" w:rsidTr="00F36878">
        <w:trPr>
          <w:trHeight w:val="538"/>
        </w:trPr>
        <w:tc>
          <w:tcPr>
            <w:tcW w:w="1415" w:type="dxa"/>
          </w:tcPr>
          <w:p w:rsidR="00F36878" w:rsidRPr="00817562" w:rsidRDefault="008B7719" w:rsidP="006834E1">
            <w:pPr>
              <w:spacing w:line="276" w:lineRule="auto"/>
              <w:ind w:left="288"/>
              <w:jc w:val="both"/>
              <w:rPr>
                <w:b/>
              </w:rPr>
            </w:pPr>
            <w:r w:rsidRPr="00817562">
              <w:rPr>
                <w:b/>
                <w:sz w:val="24"/>
              </w:rPr>
              <w:t>Year</w:t>
            </w:r>
          </w:p>
        </w:tc>
        <w:tc>
          <w:tcPr>
            <w:tcW w:w="2079" w:type="dxa"/>
          </w:tcPr>
          <w:p w:rsidR="00F36878" w:rsidRPr="00817562" w:rsidRDefault="008B7719" w:rsidP="006834E1">
            <w:pPr>
              <w:spacing w:line="276" w:lineRule="auto"/>
              <w:ind w:left="288"/>
              <w:jc w:val="both"/>
              <w:rPr>
                <w:b/>
              </w:rPr>
            </w:pPr>
            <w:r w:rsidRPr="00817562">
              <w:rPr>
                <w:b/>
                <w:sz w:val="24"/>
              </w:rPr>
              <w:t>Public sector Bank</w:t>
            </w:r>
          </w:p>
        </w:tc>
        <w:tc>
          <w:tcPr>
            <w:tcW w:w="2304" w:type="dxa"/>
          </w:tcPr>
          <w:p w:rsidR="00F36878" w:rsidRPr="00817562" w:rsidRDefault="008B7719" w:rsidP="006834E1">
            <w:pPr>
              <w:spacing w:line="276" w:lineRule="auto"/>
              <w:ind w:left="288"/>
              <w:jc w:val="both"/>
              <w:rPr>
                <w:b/>
              </w:rPr>
            </w:pPr>
            <w:r w:rsidRPr="00817562">
              <w:rPr>
                <w:b/>
                <w:sz w:val="24"/>
              </w:rPr>
              <w:t>Private Sector Bank</w:t>
            </w:r>
          </w:p>
        </w:tc>
        <w:tc>
          <w:tcPr>
            <w:tcW w:w="2955" w:type="dxa"/>
          </w:tcPr>
          <w:p w:rsidR="00F36878" w:rsidRPr="00817562" w:rsidRDefault="008B7719" w:rsidP="006834E1">
            <w:pPr>
              <w:spacing w:line="276" w:lineRule="auto"/>
              <w:ind w:left="288"/>
              <w:jc w:val="both"/>
              <w:rPr>
                <w:b/>
              </w:rPr>
            </w:pPr>
            <w:r w:rsidRPr="00817562">
              <w:rPr>
                <w:b/>
                <w:sz w:val="24"/>
              </w:rPr>
              <w:t>Foreign Banks</w:t>
            </w:r>
          </w:p>
        </w:tc>
      </w:tr>
      <w:tr w:rsidR="00827DD4" w:rsidTr="00F36878">
        <w:trPr>
          <w:trHeight w:val="463"/>
        </w:trPr>
        <w:tc>
          <w:tcPr>
            <w:tcW w:w="1415" w:type="dxa"/>
          </w:tcPr>
          <w:p w:rsidR="00F36878" w:rsidRPr="00817562" w:rsidRDefault="008B7719" w:rsidP="006834E1">
            <w:pPr>
              <w:spacing w:line="276" w:lineRule="auto"/>
              <w:ind w:left="288"/>
              <w:jc w:val="both"/>
              <w:rPr>
                <w:b/>
              </w:rPr>
            </w:pPr>
            <w:r w:rsidRPr="00817562">
              <w:rPr>
                <w:b/>
              </w:rPr>
              <w:t>2014-15</w:t>
            </w:r>
          </w:p>
        </w:tc>
        <w:tc>
          <w:tcPr>
            <w:tcW w:w="2079" w:type="dxa"/>
          </w:tcPr>
          <w:p w:rsidR="00F36878" w:rsidRDefault="008B7719" w:rsidP="006834E1">
            <w:pPr>
              <w:spacing w:line="276" w:lineRule="auto"/>
              <w:ind w:left="288"/>
              <w:jc w:val="both"/>
            </w:pPr>
            <w:r>
              <w:t>3.2</w:t>
            </w:r>
          </w:p>
        </w:tc>
        <w:tc>
          <w:tcPr>
            <w:tcW w:w="2304" w:type="dxa"/>
          </w:tcPr>
          <w:p w:rsidR="00F36878" w:rsidRDefault="008B7719" w:rsidP="006834E1">
            <w:pPr>
              <w:spacing w:line="276" w:lineRule="auto"/>
              <w:ind w:left="288"/>
              <w:jc w:val="both"/>
            </w:pPr>
            <w:r>
              <w:t>0.9</w:t>
            </w:r>
          </w:p>
        </w:tc>
        <w:tc>
          <w:tcPr>
            <w:tcW w:w="2955" w:type="dxa"/>
          </w:tcPr>
          <w:p w:rsidR="00F36878" w:rsidRDefault="008B7719" w:rsidP="006834E1">
            <w:pPr>
              <w:spacing w:line="276" w:lineRule="auto"/>
              <w:ind w:left="288"/>
              <w:jc w:val="both"/>
            </w:pPr>
            <w:r>
              <w:t>0.5</w:t>
            </w:r>
          </w:p>
        </w:tc>
      </w:tr>
      <w:tr w:rsidR="00827DD4" w:rsidTr="00F36878">
        <w:trPr>
          <w:trHeight w:val="563"/>
        </w:trPr>
        <w:tc>
          <w:tcPr>
            <w:tcW w:w="1415" w:type="dxa"/>
          </w:tcPr>
          <w:p w:rsidR="00F36878" w:rsidRPr="00F6615C" w:rsidRDefault="008B7719" w:rsidP="006834E1">
            <w:pPr>
              <w:spacing w:line="276" w:lineRule="auto"/>
              <w:ind w:left="288"/>
              <w:jc w:val="both"/>
              <w:rPr>
                <w:b/>
              </w:rPr>
            </w:pPr>
            <w:r w:rsidRPr="00F6615C">
              <w:rPr>
                <w:b/>
              </w:rPr>
              <w:t>2015-16</w:t>
            </w:r>
          </w:p>
        </w:tc>
        <w:tc>
          <w:tcPr>
            <w:tcW w:w="2079" w:type="dxa"/>
          </w:tcPr>
          <w:p w:rsidR="00F36878" w:rsidRPr="00F6615C" w:rsidRDefault="008B7719" w:rsidP="006834E1">
            <w:pPr>
              <w:spacing w:line="276" w:lineRule="auto"/>
              <w:ind w:left="288"/>
              <w:jc w:val="both"/>
            </w:pPr>
            <w:r w:rsidRPr="00F6615C">
              <w:t>5.9</w:t>
            </w:r>
          </w:p>
        </w:tc>
        <w:tc>
          <w:tcPr>
            <w:tcW w:w="2304" w:type="dxa"/>
          </w:tcPr>
          <w:p w:rsidR="00F36878" w:rsidRPr="00F6615C" w:rsidRDefault="008B7719" w:rsidP="006834E1">
            <w:pPr>
              <w:spacing w:line="276" w:lineRule="auto"/>
              <w:ind w:left="288"/>
              <w:jc w:val="both"/>
            </w:pPr>
            <w:r w:rsidRPr="00F6615C">
              <w:t>1.4</w:t>
            </w:r>
          </w:p>
        </w:tc>
        <w:tc>
          <w:tcPr>
            <w:tcW w:w="2955" w:type="dxa"/>
          </w:tcPr>
          <w:p w:rsidR="00F36878" w:rsidRPr="00F6615C" w:rsidRDefault="008B7719" w:rsidP="006834E1">
            <w:pPr>
              <w:spacing w:line="276" w:lineRule="auto"/>
              <w:ind w:left="288"/>
              <w:jc w:val="both"/>
            </w:pPr>
            <w:r w:rsidRPr="00F6615C">
              <w:t>0.75</w:t>
            </w:r>
          </w:p>
        </w:tc>
      </w:tr>
      <w:tr w:rsidR="00827DD4" w:rsidTr="00F36878">
        <w:trPr>
          <w:trHeight w:val="426"/>
        </w:trPr>
        <w:tc>
          <w:tcPr>
            <w:tcW w:w="1415" w:type="dxa"/>
          </w:tcPr>
          <w:p w:rsidR="00F36878" w:rsidRPr="00F6615C" w:rsidRDefault="008B7719" w:rsidP="006834E1">
            <w:pPr>
              <w:spacing w:line="276" w:lineRule="auto"/>
              <w:ind w:left="288"/>
              <w:jc w:val="both"/>
              <w:rPr>
                <w:b/>
              </w:rPr>
            </w:pPr>
            <w:r w:rsidRPr="00F6615C">
              <w:rPr>
                <w:b/>
              </w:rPr>
              <w:t>2016-17</w:t>
            </w:r>
          </w:p>
        </w:tc>
        <w:tc>
          <w:tcPr>
            <w:tcW w:w="2079" w:type="dxa"/>
          </w:tcPr>
          <w:p w:rsidR="00F36878" w:rsidRPr="00F6615C" w:rsidRDefault="008B7719" w:rsidP="006834E1">
            <w:pPr>
              <w:spacing w:line="276" w:lineRule="auto"/>
              <w:ind w:left="288"/>
              <w:jc w:val="both"/>
            </w:pPr>
            <w:r w:rsidRPr="00F6615C">
              <w:t>6.5</w:t>
            </w:r>
          </w:p>
        </w:tc>
        <w:tc>
          <w:tcPr>
            <w:tcW w:w="2304" w:type="dxa"/>
          </w:tcPr>
          <w:p w:rsidR="00F36878" w:rsidRPr="00F6615C" w:rsidRDefault="008B7719" w:rsidP="006834E1">
            <w:pPr>
              <w:spacing w:line="276" w:lineRule="auto"/>
              <w:ind w:left="288"/>
              <w:jc w:val="both"/>
            </w:pPr>
            <w:r w:rsidRPr="00F6615C">
              <w:t>2.2</w:t>
            </w:r>
          </w:p>
        </w:tc>
        <w:tc>
          <w:tcPr>
            <w:tcW w:w="2955" w:type="dxa"/>
          </w:tcPr>
          <w:p w:rsidR="00F36878" w:rsidRPr="00F6615C" w:rsidRDefault="008B7719" w:rsidP="006834E1">
            <w:pPr>
              <w:spacing w:line="276" w:lineRule="auto"/>
              <w:ind w:left="288"/>
              <w:jc w:val="both"/>
            </w:pPr>
            <w:r w:rsidRPr="00F6615C">
              <w:t>0.6</w:t>
            </w:r>
          </w:p>
        </w:tc>
      </w:tr>
      <w:tr w:rsidR="00827DD4" w:rsidTr="00F36878">
        <w:trPr>
          <w:trHeight w:val="613"/>
        </w:trPr>
        <w:tc>
          <w:tcPr>
            <w:tcW w:w="1415" w:type="dxa"/>
          </w:tcPr>
          <w:p w:rsidR="00F36878" w:rsidRPr="00F6615C" w:rsidRDefault="008B7719" w:rsidP="006834E1">
            <w:pPr>
              <w:spacing w:line="276" w:lineRule="auto"/>
              <w:ind w:left="288"/>
              <w:jc w:val="both"/>
              <w:rPr>
                <w:b/>
              </w:rPr>
            </w:pPr>
            <w:r w:rsidRPr="00F6615C">
              <w:rPr>
                <w:b/>
              </w:rPr>
              <w:t>2017-18</w:t>
            </w:r>
          </w:p>
        </w:tc>
        <w:tc>
          <w:tcPr>
            <w:tcW w:w="2079" w:type="dxa"/>
          </w:tcPr>
          <w:p w:rsidR="00F36878" w:rsidRPr="00F6615C" w:rsidRDefault="008B7719" w:rsidP="006834E1">
            <w:pPr>
              <w:spacing w:line="276" w:lineRule="auto"/>
              <w:jc w:val="both"/>
            </w:pPr>
            <w:r w:rsidRPr="00F6615C">
              <w:t xml:space="preserve">      8.0</w:t>
            </w:r>
          </w:p>
        </w:tc>
        <w:tc>
          <w:tcPr>
            <w:tcW w:w="2304" w:type="dxa"/>
          </w:tcPr>
          <w:p w:rsidR="00F36878" w:rsidRPr="00F6615C" w:rsidRDefault="008B7719" w:rsidP="006834E1">
            <w:pPr>
              <w:spacing w:line="276" w:lineRule="auto"/>
              <w:ind w:left="288"/>
              <w:jc w:val="both"/>
            </w:pPr>
            <w:r w:rsidRPr="00F6615C">
              <w:t>2.4</w:t>
            </w:r>
          </w:p>
        </w:tc>
        <w:tc>
          <w:tcPr>
            <w:tcW w:w="2955" w:type="dxa"/>
          </w:tcPr>
          <w:p w:rsidR="00F36878" w:rsidRPr="00F6615C" w:rsidRDefault="008B7719" w:rsidP="006834E1">
            <w:pPr>
              <w:spacing w:line="276" w:lineRule="auto"/>
              <w:ind w:left="288"/>
              <w:jc w:val="both"/>
            </w:pPr>
            <w:r w:rsidRPr="00F6615C">
              <w:t>0.4</w:t>
            </w:r>
          </w:p>
        </w:tc>
      </w:tr>
    </w:tbl>
    <w:p w:rsidR="00C52497" w:rsidRDefault="008B7719" w:rsidP="006834E1">
      <w:pPr>
        <w:spacing w:line="276" w:lineRule="auto"/>
        <w:jc w:val="both"/>
      </w:pPr>
      <w:r>
        <w:rPr>
          <w:noProof/>
        </w:rPr>
        <w:drawing>
          <wp:inline distT="0" distB="0" distL="0" distR="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6878" w:rsidRDefault="008B7719" w:rsidP="006834E1">
      <w:pPr>
        <w:spacing w:line="276" w:lineRule="auto"/>
        <w:jc w:val="both"/>
      </w:pPr>
      <w:r w:rsidRPr="00F6615C">
        <w:t>Table III represents the proportion of Net NPA with total advances</w:t>
      </w:r>
      <w:r w:rsidR="00943DBA" w:rsidRPr="00F6615C">
        <w:t>. As it is apparent from the ratios that condition of NPAs has worsened in public &amp; private banks.  In public sector banks from 3.2(2014-15) NPA has been reached to 8.0(2107-18) which is almost 250% of the ratio in 2014-15. On the other hand, foreign banks have undergone many fluctuations &amp; brought the ratio low by20% of the ratio in 2014-15.</w:t>
      </w:r>
    </w:p>
    <w:p w:rsidR="00C7535C" w:rsidRPr="00F6615C" w:rsidRDefault="00C7535C" w:rsidP="006834E1">
      <w:pPr>
        <w:spacing w:line="276" w:lineRule="auto"/>
        <w:jc w:val="both"/>
      </w:pPr>
    </w:p>
    <w:p w:rsidR="006A5720" w:rsidRDefault="006A5720" w:rsidP="006834E1">
      <w:pPr>
        <w:tabs>
          <w:tab w:val="left" w:pos="5297"/>
        </w:tabs>
        <w:spacing w:line="276" w:lineRule="auto"/>
        <w:jc w:val="both"/>
        <w:rPr>
          <w:b/>
          <w:sz w:val="28"/>
        </w:rPr>
        <w:sectPr w:rsidR="006A5720" w:rsidSect="009D12E4">
          <w:pgSz w:w="12240" w:h="15840"/>
          <w:pgMar w:top="1440" w:right="1440" w:bottom="1440" w:left="1440" w:header="0" w:footer="720" w:gutter="0"/>
          <w:cols w:space="720"/>
          <w:docGrid w:linePitch="360"/>
        </w:sectPr>
      </w:pPr>
    </w:p>
    <w:p w:rsidR="007B088B" w:rsidRPr="00F6615C" w:rsidRDefault="008B7719" w:rsidP="006834E1">
      <w:pPr>
        <w:tabs>
          <w:tab w:val="left" w:pos="5297"/>
        </w:tabs>
        <w:spacing w:line="276" w:lineRule="auto"/>
        <w:jc w:val="both"/>
        <w:rPr>
          <w:b/>
          <w:sz w:val="28"/>
        </w:rPr>
      </w:pPr>
      <w:r w:rsidRPr="00F6615C">
        <w:rPr>
          <w:b/>
          <w:sz w:val="28"/>
        </w:rPr>
        <w:lastRenderedPageBreak/>
        <w:t>Sector-wise NPA</w:t>
      </w:r>
    </w:p>
    <w:p w:rsidR="00C94C59" w:rsidRDefault="00C94C59" w:rsidP="006834E1">
      <w:pPr>
        <w:tabs>
          <w:tab w:val="left" w:pos="5297"/>
        </w:tabs>
        <w:spacing w:line="276" w:lineRule="auto"/>
        <w:jc w:val="both"/>
      </w:pPr>
    </w:p>
    <w:tbl>
      <w:tblPr>
        <w:tblW w:w="853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153"/>
        <w:gridCol w:w="1491"/>
        <w:gridCol w:w="1003"/>
        <w:gridCol w:w="1153"/>
        <w:gridCol w:w="2498"/>
      </w:tblGrid>
      <w:tr w:rsidR="00827DD4" w:rsidTr="0026167C">
        <w:trPr>
          <w:trHeight w:val="662"/>
        </w:trPr>
        <w:tc>
          <w:tcPr>
            <w:tcW w:w="1246" w:type="dxa"/>
            <w:vMerge w:val="restart"/>
          </w:tcPr>
          <w:p w:rsidR="00C94C59" w:rsidRPr="00853876" w:rsidRDefault="008B7719" w:rsidP="006834E1">
            <w:pPr>
              <w:tabs>
                <w:tab w:val="left" w:pos="5297"/>
              </w:tabs>
              <w:spacing w:line="276" w:lineRule="auto"/>
              <w:ind w:left="165"/>
              <w:jc w:val="both"/>
              <w:rPr>
                <w:b/>
                <w:sz w:val="28"/>
              </w:rPr>
            </w:pPr>
            <w:r w:rsidRPr="00853876">
              <w:rPr>
                <w:b/>
                <w:sz w:val="28"/>
              </w:rPr>
              <w:t>Bank Group</w:t>
            </w:r>
          </w:p>
        </w:tc>
        <w:tc>
          <w:tcPr>
            <w:tcW w:w="1162" w:type="dxa"/>
            <w:vMerge w:val="restart"/>
          </w:tcPr>
          <w:p w:rsidR="00C94C59" w:rsidRPr="00853876" w:rsidRDefault="008B7719" w:rsidP="006834E1">
            <w:pPr>
              <w:tabs>
                <w:tab w:val="left" w:pos="5297"/>
              </w:tabs>
              <w:spacing w:line="276" w:lineRule="auto"/>
              <w:ind w:left="165"/>
              <w:jc w:val="both"/>
              <w:rPr>
                <w:b/>
                <w:sz w:val="28"/>
              </w:rPr>
            </w:pPr>
            <w:r w:rsidRPr="00853876">
              <w:rPr>
                <w:b/>
                <w:sz w:val="28"/>
              </w:rPr>
              <w:t>Years</w:t>
            </w:r>
          </w:p>
        </w:tc>
        <w:tc>
          <w:tcPr>
            <w:tcW w:w="3542" w:type="dxa"/>
            <w:gridSpan w:val="3"/>
          </w:tcPr>
          <w:p w:rsidR="00C94C59" w:rsidRPr="00853876" w:rsidRDefault="008B7719" w:rsidP="006834E1">
            <w:pPr>
              <w:tabs>
                <w:tab w:val="left" w:pos="5297"/>
              </w:tabs>
              <w:spacing w:line="276" w:lineRule="auto"/>
              <w:ind w:left="165"/>
              <w:jc w:val="both"/>
              <w:rPr>
                <w:b/>
                <w:sz w:val="28"/>
              </w:rPr>
            </w:pPr>
            <w:r w:rsidRPr="00853876">
              <w:rPr>
                <w:b/>
                <w:sz w:val="28"/>
              </w:rPr>
              <w:t>Priority Sector</w:t>
            </w:r>
          </w:p>
        </w:tc>
        <w:tc>
          <w:tcPr>
            <w:tcW w:w="2585" w:type="dxa"/>
            <w:vMerge w:val="restart"/>
          </w:tcPr>
          <w:p w:rsidR="00C94C59" w:rsidRPr="00853876" w:rsidRDefault="008B7719" w:rsidP="006834E1">
            <w:pPr>
              <w:tabs>
                <w:tab w:val="left" w:pos="5297"/>
              </w:tabs>
              <w:spacing w:line="276" w:lineRule="auto"/>
              <w:ind w:left="165"/>
              <w:jc w:val="both"/>
              <w:rPr>
                <w:b/>
                <w:sz w:val="28"/>
              </w:rPr>
            </w:pPr>
            <w:r w:rsidRPr="00853876">
              <w:rPr>
                <w:b/>
                <w:sz w:val="28"/>
              </w:rPr>
              <w:t>Non-Priority Sector</w:t>
            </w:r>
          </w:p>
        </w:tc>
      </w:tr>
      <w:tr w:rsidR="00827DD4" w:rsidTr="0026167C">
        <w:trPr>
          <w:trHeight w:val="646"/>
        </w:trPr>
        <w:tc>
          <w:tcPr>
            <w:tcW w:w="1246" w:type="dxa"/>
            <w:vMerge/>
          </w:tcPr>
          <w:p w:rsidR="00C94C59" w:rsidRDefault="00C94C59" w:rsidP="006834E1">
            <w:pPr>
              <w:tabs>
                <w:tab w:val="left" w:pos="5297"/>
              </w:tabs>
              <w:spacing w:line="276" w:lineRule="auto"/>
              <w:ind w:left="165"/>
              <w:jc w:val="both"/>
            </w:pPr>
          </w:p>
        </w:tc>
        <w:tc>
          <w:tcPr>
            <w:tcW w:w="1162" w:type="dxa"/>
            <w:vMerge/>
          </w:tcPr>
          <w:p w:rsidR="00C94C59" w:rsidRDefault="00C94C59" w:rsidP="006834E1">
            <w:pPr>
              <w:tabs>
                <w:tab w:val="left" w:pos="5297"/>
              </w:tabs>
              <w:spacing w:line="276" w:lineRule="auto"/>
              <w:ind w:left="165"/>
              <w:jc w:val="both"/>
            </w:pPr>
          </w:p>
        </w:tc>
        <w:tc>
          <w:tcPr>
            <w:tcW w:w="1374" w:type="dxa"/>
          </w:tcPr>
          <w:p w:rsidR="00C94C59" w:rsidRPr="00853876" w:rsidRDefault="008B7719" w:rsidP="006834E1">
            <w:pPr>
              <w:tabs>
                <w:tab w:val="left" w:pos="5297"/>
              </w:tabs>
              <w:spacing w:line="276" w:lineRule="auto"/>
              <w:ind w:left="165"/>
              <w:jc w:val="both"/>
              <w:rPr>
                <w:b/>
                <w:sz w:val="24"/>
              </w:rPr>
            </w:pPr>
            <w:r w:rsidRPr="00853876">
              <w:rPr>
                <w:b/>
                <w:sz w:val="24"/>
              </w:rPr>
              <w:t>Agriculture</w:t>
            </w:r>
          </w:p>
        </w:tc>
        <w:tc>
          <w:tcPr>
            <w:tcW w:w="1008" w:type="dxa"/>
          </w:tcPr>
          <w:p w:rsidR="00C94C59" w:rsidRPr="00853876" w:rsidRDefault="008B7719" w:rsidP="006834E1">
            <w:pPr>
              <w:tabs>
                <w:tab w:val="left" w:pos="5297"/>
              </w:tabs>
              <w:spacing w:line="276" w:lineRule="auto"/>
              <w:ind w:left="165"/>
              <w:jc w:val="both"/>
              <w:rPr>
                <w:b/>
                <w:sz w:val="24"/>
              </w:rPr>
            </w:pPr>
            <w:r w:rsidRPr="00853876">
              <w:rPr>
                <w:b/>
                <w:sz w:val="24"/>
              </w:rPr>
              <w:t>Small Scale</w:t>
            </w:r>
          </w:p>
        </w:tc>
        <w:tc>
          <w:tcPr>
            <w:tcW w:w="1160" w:type="dxa"/>
          </w:tcPr>
          <w:p w:rsidR="00C94C59" w:rsidRPr="00853876" w:rsidRDefault="008B7719" w:rsidP="006834E1">
            <w:pPr>
              <w:tabs>
                <w:tab w:val="left" w:pos="5297"/>
              </w:tabs>
              <w:spacing w:line="276" w:lineRule="auto"/>
              <w:ind w:left="165"/>
              <w:jc w:val="both"/>
              <w:rPr>
                <w:b/>
                <w:sz w:val="24"/>
              </w:rPr>
            </w:pPr>
            <w:r w:rsidRPr="00853876">
              <w:rPr>
                <w:b/>
                <w:sz w:val="24"/>
              </w:rPr>
              <w:t>Others</w:t>
            </w:r>
          </w:p>
        </w:tc>
        <w:tc>
          <w:tcPr>
            <w:tcW w:w="2585" w:type="dxa"/>
            <w:vMerge/>
          </w:tcPr>
          <w:p w:rsidR="00C94C59" w:rsidRDefault="00C94C59" w:rsidP="006834E1">
            <w:pPr>
              <w:tabs>
                <w:tab w:val="left" w:pos="5297"/>
              </w:tabs>
              <w:spacing w:line="276" w:lineRule="auto"/>
              <w:ind w:left="165"/>
              <w:jc w:val="both"/>
            </w:pPr>
          </w:p>
        </w:tc>
      </w:tr>
      <w:tr w:rsidR="00827DD4" w:rsidTr="0026167C">
        <w:trPr>
          <w:trHeight w:val="565"/>
        </w:trPr>
        <w:tc>
          <w:tcPr>
            <w:tcW w:w="1246" w:type="dxa"/>
            <w:vMerge w:val="restart"/>
          </w:tcPr>
          <w:p w:rsidR="009D29C4" w:rsidRPr="00853876" w:rsidRDefault="008B7719" w:rsidP="006834E1">
            <w:pPr>
              <w:tabs>
                <w:tab w:val="left" w:pos="5297"/>
              </w:tabs>
              <w:spacing w:line="276" w:lineRule="auto"/>
              <w:ind w:left="165"/>
              <w:jc w:val="both"/>
              <w:rPr>
                <w:b/>
              </w:rPr>
            </w:pPr>
            <w:r w:rsidRPr="00853876">
              <w:rPr>
                <w:b/>
              </w:rPr>
              <w:t>Public Sector Banks</w:t>
            </w:r>
          </w:p>
        </w:tc>
        <w:tc>
          <w:tcPr>
            <w:tcW w:w="1162" w:type="dxa"/>
          </w:tcPr>
          <w:p w:rsidR="009D29C4" w:rsidRDefault="008B7719" w:rsidP="006834E1">
            <w:pPr>
              <w:tabs>
                <w:tab w:val="left" w:pos="5297"/>
              </w:tabs>
              <w:spacing w:line="276" w:lineRule="auto"/>
              <w:ind w:left="165"/>
              <w:jc w:val="both"/>
            </w:pPr>
            <w:r>
              <w:t>2016-17</w:t>
            </w:r>
          </w:p>
        </w:tc>
        <w:tc>
          <w:tcPr>
            <w:tcW w:w="1374" w:type="dxa"/>
          </w:tcPr>
          <w:p w:rsidR="009D29C4" w:rsidRDefault="008B7719" w:rsidP="006834E1">
            <w:pPr>
              <w:tabs>
                <w:tab w:val="left" w:pos="5297"/>
              </w:tabs>
              <w:spacing w:line="276" w:lineRule="auto"/>
              <w:ind w:left="165"/>
              <w:jc w:val="both"/>
            </w:pPr>
            <w:r>
              <w:t>8.5</w:t>
            </w:r>
          </w:p>
        </w:tc>
        <w:tc>
          <w:tcPr>
            <w:tcW w:w="1008" w:type="dxa"/>
          </w:tcPr>
          <w:p w:rsidR="009D29C4" w:rsidRDefault="008B7719" w:rsidP="006834E1">
            <w:pPr>
              <w:tabs>
                <w:tab w:val="left" w:pos="5297"/>
              </w:tabs>
              <w:spacing w:line="276" w:lineRule="auto"/>
              <w:ind w:left="165"/>
              <w:jc w:val="both"/>
            </w:pPr>
            <w:r>
              <w:t>11.8</w:t>
            </w:r>
          </w:p>
        </w:tc>
        <w:tc>
          <w:tcPr>
            <w:tcW w:w="1160" w:type="dxa"/>
          </w:tcPr>
          <w:p w:rsidR="009D29C4" w:rsidRDefault="008B7719" w:rsidP="006834E1">
            <w:pPr>
              <w:tabs>
                <w:tab w:val="left" w:pos="5297"/>
              </w:tabs>
              <w:spacing w:line="276" w:lineRule="auto"/>
              <w:ind w:left="165"/>
              <w:jc w:val="both"/>
            </w:pPr>
            <w:r>
              <w:t>3.7</w:t>
            </w:r>
          </w:p>
        </w:tc>
        <w:tc>
          <w:tcPr>
            <w:tcW w:w="2585" w:type="dxa"/>
          </w:tcPr>
          <w:p w:rsidR="009D29C4" w:rsidRDefault="008B7719" w:rsidP="006834E1">
            <w:pPr>
              <w:tabs>
                <w:tab w:val="left" w:pos="5297"/>
              </w:tabs>
              <w:spacing w:line="276" w:lineRule="auto"/>
              <w:ind w:left="165"/>
              <w:jc w:val="both"/>
            </w:pPr>
            <w:r>
              <w:t>75.9</w:t>
            </w:r>
          </w:p>
        </w:tc>
      </w:tr>
      <w:tr w:rsidR="00827DD4" w:rsidTr="0026167C">
        <w:trPr>
          <w:trHeight w:val="614"/>
        </w:trPr>
        <w:tc>
          <w:tcPr>
            <w:tcW w:w="1246" w:type="dxa"/>
            <w:vMerge/>
          </w:tcPr>
          <w:p w:rsidR="009D29C4" w:rsidRDefault="009D29C4" w:rsidP="006834E1">
            <w:pPr>
              <w:tabs>
                <w:tab w:val="left" w:pos="5297"/>
              </w:tabs>
              <w:spacing w:line="276" w:lineRule="auto"/>
              <w:ind w:left="165"/>
              <w:jc w:val="both"/>
            </w:pPr>
          </w:p>
        </w:tc>
        <w:tc>
          <w:tcPr>
            <w:tcW w:w="1162" w:type="dxa"/>
          </w:tcPr>
          <w:p w:rsidR="009D29C4" w:rsidRDefault="008B7719" w:rsidP="006834E1">
            <w:pPr>
              <w:tabs>
                <w:tab w:val="left" w:pos="5297"/>
              </w:tabs>
              <w:spacing w:line="276" w:lineRule="auto"/>
              <w:ind w:left="165"/>
              <w:jc w:val="both"/>
            </w:pPr>
            <w:r>
              <w:t>2017-18</w:t>
            </w:r>
          </w:p>
        </w:tc>
        <w:tc>
          <w:tcPr>
            <w:tcW w:w="1374" w:type="dxa"/>
          </w:tcPr>
          <w:p w:rsidR="009D29C4" w:rsidRDefault="008B7719" w:rsidP="006834E1">
            <w:pPr>
              <w:tabs>
                <w:tab w:val="left" w:pos="5297"/>
              </w:tabs>
              <w:spacing w:line="276" w:lineRule="auto"/>
              <w:ind w:left="165"/>
              <w:jc w:val="both"/>
            </w:pPr>
            <w:r>
              <w:t>8.9</w:t>
            </w:r>
          </w:p>
        </w:tc>
        <w:tc>
          <w:tcPr>
            <w:tcW w:w="1008" w:type="dxa"/>
          </w:tcPr>
          <w:p w:rsidR="009D29C4" w:rsidRDefault="008B7719" w:rsidP="006834E1">
            <w:pPr>
              <w:tabs>
                <w:tab w:val="left" w:pos="5297"/>
              </w:tabs>
              <w:spacing w:line="276" w:lineRule="auto"/>
              <w:ind w:left="165"/>
              <w:jc w:val="both"/>
            </w:pPr>
            <w:r>
              <w:t>9.7</w:t>
            </w:r>
          </w:p>
        </w:tc>
        <w:tc>
          <w:tcPr>
            <w:tcW w:w="1160" w:type="dxa"/>
          </w:tcPr>
          <w:p w:rsidR="009D29C4" w:rsidRDefault="008B7719" w:rsidP="006834E1">
            <w:pPr>
              <w:tabs>
                <w:tab w:val="left" w:pos="5297"/>
              </w:tabs>
              <w:spacing w:line="276" w:lineRule="auto"/>
              <w:ind w:left="165"/>
              <w:jc w:val="both"/>
            </w:pPr>
            <w:r>
              <w:t>3.6</w:t>
            </w:r>
          </w:p>
        </w:tc>
        <w:tc>
          <w:tcPr>
            <w:tcW w:w="2585" w:type="dxa"/>
          </w:tcPr>
          <w:p w:rsidR="009D29C4" w:rsidRDefault="008B7719" w:rsidP="006834E1">
            <w:pPr>
              <w:tabs>
                <w:tab w:val="left" w:pos="5297"/>
              </w:tabs>
              <w:spacing w:line="276" w:lineRule="auto"/>
              <w:ind w:left="165"/>
              <w:jc w:val="both"/>
            </w:pPr>
            <w:r>
              <w:t>77.8</w:t>
            </w:r>
          </w:p>
        </w:tc>
      </w:tr>
      <w:tr w:rsidR="00827DD4" w:rsidTr="0026167C">
        <w:trPr>
          <w:trHeight w:val="597"/>
        </w:trPr>
        <w:tc>
          <w:tcPr>
            <w:tcW w:w="1246" w:type="dxa"/>
            <w:vMerge w:val="restart"/>
          </w:tcPr>
          <w:p w:rsidR="009D29C4" w:rsidRPr="00853876" w:rsidRDefault="008B7719" w:rsidP="006834E1">
            <w:pPr>
              <w:tabs>
                <w:tab w:val="left" w:pos="5297"/>
              </w:tabs>
              <w:spacing w:line="276" w:lineRule="auto"/>
              <w:ind w:left="165"/>
              <w:jc w:val="both"/>
              <w:rPr>
                <w:b/>
              </w:rPr>
            </w:pPr>
            <w:r w:rsidRPr="00853876">
              <w:rPr>
                <w:b/>
              </w:rPr>
              <w:t>Private Sector Banks</w:t>
            </w:r>
          </w:p>
        </w:tc>
        <w:tc>
          <w:tcPr>
            <w:tcW w:w="1162" w:type="dxa"/>
          </w:tcPr>
          <w:p w:rsidR="009D29C4" w:rsidRDefault="008B7719" w:rsidP="006834E1">
            <w:pPr>
              <w:tabs>
                <w:tab w:val="left" w:pos="5297"/>
              </w:tabs>
              <w:spacing w:line="276" w:lineRule="auto"/>
              <w:ind w:left="165"/>
              <w:jc w:val="both"/>
            </w:pPr>
            <w:r>
              <w:t>2016-17</w:t>
            </w:r>
          </w:p>
        </w:tc>
        <w:tc>
          <w:tcPr>
            <w:tcW w:w="1374" w:type="dxa"/>
          </w:tcPr>
          <w:p w:rsidR="009D29C4" w:rsidRDefault="008B7719" w:rsidP="006834E1">
            <w:pPr>
              <w:tabs>
                <w:tab w:val="left" w:pos="5297"/>
              </w:tabs>
              <w:spacing w:line="276" w:lineRule="auto"/>
              <w:ind w:left="165"/>
              <w:jc w:val="both"/>
            </w:pPr>
            <w:r>
              <w:t>7.2</w:t>
            </w:r>
          </w:p>
        </w:tc>
        <w:tc>
          <w:tcPr>
            <w:tcW w:w="1008" w:type="dxa"/>
          </w:tcPr>
          <w:p w:rsidR="009D29C4" w:rsidRDefault="008B7719" w:rsidP="006834E1">
            <w:pPr>
              <w:tabs>
                <w:tab w:val="left" w:pos="5297"/>
              </w:tabs>
              <w:spacing w:line="276" w:lineRule="auto"/>
              <w:ind w:left="165"/>
              <w:jc w:val="both"/>
            </w:pPr>
            <w:r>
              <w:t>8.7</w:t>
            </w:r>
          </w:p>
        </w:tc>
        <w:tc>
          <w:tcPr>
            <w:tcW w:w="1160" w:type="dxa"/>
          </w:tcPr>
          <w:p w:rsidR="009D29C4" w:rsidRDefault="008B7719" w:rsidP="006834E1">
            <w:pPr>
              <w:tabs>
                <w:tab w:val="left" w:pos="5297"/>
              </w:tabs>
              <w:spacing w:line="276" w:lineRule="auto"/>
              <w:ind w:left="165"/>
              <w:jc w:val="both"/>
            </w:pPr>
            <w:r>
              <w:t>2.2</w:t>
            </w:r>
          </w:p>
        </w:tc>
        <w:tc>
          <w:tcPr>
            <w:tcW w:w="2585" w:type="dxa"/>
          </w:tcPr>
          <w:p w:rsidR="009D29C4" w:rsidRDefault="008B7719" w:rsidP="006834E1">
            <w:pPr>
              <w:tabs>
                <w:tab w:val="left" w:pos="5297"/>
              </w:tabs>
              <w:spacing w:line="276" w:lineRule="auto"/>
              <w:ind w:left="165"/>
              <w:jc w:val="both"/>
            </w:pPr>
            <w:r>
              <w:t>82.0</w:t>
            </w:r>
          </w:p>
        </w:tc>
      </w:tr>
      <w:tr w:rsidR="00827DD4" w:rsidTr="0026167C">
        <w:trPr>
          <w:trHeight w:val="646"/>
        </w:trPr>
        <w:tc>
          <w:tcPr>
            <w:tcW w:w="1246" w:type="dxa"/>
            <w:vMerge/>
          </w:tcPr>
          <w:p w:rsidR="009D29C4" w:rsidRDefault="009D29C4" w:rsidP="006834E1">
            <w:pPr>
              <w:tabs>
                <w:tab w:val="left" w:pos="5297"/>
              </w:tabs>
              <w:spacing w:line="276" w:lineRule="auto"/>
              <w:ind w:left="165"/>
              <w:jc w:val="both"/>
            </w:pPr>
          </w:p>
        </w:tc>
        <w:tc>
          <w:tcPr>
            <w:tcW w:w="1162" w:type="dxa"/>
          </w:tcPr>
          <w:p w:rsidR="009D29C4" w:rsidRDefault="008B7719" w:rsidP="006834E1">
            <w:pPr>
              <w:tabs>
                <w:tab w:val="left" w:pos="5297"/>
              </w:tabs>
              <w:spacing w:line="276" w:lineRule="auto"/>
              <w:ind w:left="165"/>
              <w:jc w:val="both"/>
            </w:pPr>
            <w:r>
              <w:t>2017-18</w:t>
            </w:r>
          </w:p>
        </w:tc>
        <w:tc>
          <w:tcPr>
            <w:tcW w:w="1374" w:type="dxa"/>
          </w:tcPr>
          <w:p w:rsidR="009D29C4" w:rsidRDefault="008B7719" w:rsidP="006834E1">
            <w:pPr>
              <w:tabs>
                <w:tab w:val="left" w:pos="5297"/>
              </w:tabs>
              <w:spacing w:line="276" w:lineRule="auto"/>
              <w:ind w:left="165"/>
              <w:jc w:val="both"/>
            </w:pPr>
            <w:r>
              <w:t>7.6</w:t>
            </w:r>
          </w:p>
        </w:tc>
        <w:tc>
          <w:tcPr>
            <w:tcW w:w="1008" w:type="dxa"/>
          </w:tcPr>
          <w:p w:rsidR="009D29C4" w:rsidRDefault="008B7719" w:rsidP="006834E1">
            <w:pPr>
              <w:tabs>
                <w:tab w:val="left" w:pos="5297"/>
              </w:tabs>
              <w:spacing w:line="276" w:lineRule="auto"/>
              <w:ind w:left="165"/>
              <w:jc w:val="both"/>
            </w:pPr>
            <w:r>
              <w:t>7.8</w:t>
            </w:r>
          </w:p>
        </w:tc>
        <w:tc>
          <w:tcPr>
            <w:tcW w:w="1160" w:type="dxa"/>
          </w:tcPr>
          <w:p w:rsidR="009D29C4" w:rsidRDefault="008B7719" w:rsidP="006834E1">
            <w:pPr>
              <w:tabs>
                <w:tab w:val="left" w:pos="5297"/>
              </w:tabs>
              <w:spacing w:line="276" w:lineRule="auto"/>
              <w:ind w:left="165"/>
              <w:jc w:val="both"/>
            </w:pPr>
            <w:r>
              <w:t>2.6</w:t>
            </w:r>
          </w:p>
        </w:tc>
        <w:tc>
          <w:tcPr>
            <w:tcW w:w="2585" w:type="dxa"/>
          </w:tcPr>
          <w:p w:rsidR="009D29C4" w:rsidRDefault="008B7719" w:rsidP="006834E1">
            <w:pPr>
              <w:tabs>
                <w:tab w:val="left" w:pos="5297"/>
              </w:tabs>
              <w:spacing w:line="276" w:lineRule="auto"/>
              <w:ind w:left="165"/>
              <w:jc w:val="both"/>
            </w:pPr>
            <w:r>
              <w:t>82.0</w:t>
            </w:r>
          </w:p>
        </w:tc>
      </w:tr>
    </w:tbl>
    <w:p w:rsidR="00AA026D" w:rsidRDefault="00AA026D" w:rsidP="006834E1">
      <w:pPr>
        <w:tabs>
          <w:tab w:val="left" w:pos="5297"/>
        </w:tabs>
        <w:spacing w:line="276" w:lineRule="auto"/>
        <w:jc w:val="both"/>
      </w:pPr>
    </w:p>
    <w:p w:rsidR="007B0431" w:rsidRDefault="008B7719" w:rsidP="006834E1">
      <w:pPr>
        <w:tabs>
          <w:tab w:val="left" w:pos="5297"/>
        </w:tabs>
        <w:spacing w:line="276" w:lineRule="auto"/>
        <w:jc w:val="both"/>
      </w:pPr>
      <w:r>
        <w:t>NPAs of public &amp; private sectors are brought under two major bifurcations, viz., priority sector &amp; non-priority sector. Priority Sector is further classified into three categories- agriculture sector,</w:t>
      </w:r>
      <w:r w:rsidR="007E188D">
        <w:t xml:space="preserve"> </w:t>
      </w:r>
      <w:r>
        <w:t xml:space="preserve">small scale &amp; others. A major part of NPA has </w:t>
      </w:r>
      <w:r w:rsidR="003B198A">
        <w:t>arisen</w:t>
      </w:r>
      <w:r>
        <w:t xml:space="preserve"> from the non-priority sector. The public sector has encountered an overall rise </w:t>
      </w:r>
      <w:r w:rsidR="003B198A">
        <w:t>in NPA</w:t>
      </w:r>
      <w:r w:rsidR="008A78AC">
        <w:t xml:space="preserve"> in </w:t>
      </w:r>
      <w:r w:rsidR="003B198A">
        <w:t>the non-priority</w:t>
      </w:r>
      <w:r w:rsidR="008A78AC">
        <w:t xml:space="preserve"> sector &amp; fall in priority sector</w:t>
      </w:r>
      <w:r>
        <w:t xml:space="preserve"> whereas</w:t>
      </w:r>
      <w:r w:rsidR="008A78AC">
        <w:t xml:space="preserve"> NPAs </w:t>
      </w:r>
      <w:r w:rsidR="003B198A">
        <w:t>in private</w:t>
      </w:r>
      <w:r>
        <w:t xml:space="preserve"> sector </w:t>
      </w:r>
      <w:r w:rsidR="008A78AC">
        <w:t>is found stable in the non-priority sector &amp; has some fluctuations in the priority sector.</w:t>
      </w:r>
    </w:p>
    <w:p w:rsidR="00FE2A0F" w:rsidRDefault="00FE2A0F" w:rsidP="006834E1">
      <w:pPr>
        <w:tabs>
          <w:tab w:val="left" w:pos="5297"/>
        </w:tabs>
        <w:spacing w:line="276" w:lineRule="auto"/>
        <w:ind w:left="180"/>
        <w:jc w:val="both"/>
      </w:pPr>
    </w:p>
    <w:p w:rsidR="00617E6E" w:rsidRPr="009D12E4" w:rsidRDefault="008B7719" w:rsidP="006834E1">
      <w:pPr>
        <w:tabs>
          <w:tab w:val="left" w:pos="5297"/>
        </w:tabs>
        <w:spacing w:line="276" w:lineRule="auto"/>
        <w:ind w:left="180"/>
        <w:jc w:val="both"/>
        <w:rPr>
          <w:b/>
          <w:sz w:val="28"/>
        </w:rPr>
      </w:pPr>
      <w:r w:rsidRPr="009D12E4">
        <w:rPr>
          <w:b/>
          <w:sz w:val="28"/>
        </w:rPr>
        <w:t xml:space="preserve">Findings of the study </w:t>
      </w:r>
    </w:p>
    <w:p w:rsidR="006830CD" w:rsidRPr="006830CD" w:rsidRDefault="008B7719" w:rsidP="006834E1">
      <w:pPr>
        <w:numPr>
          <w:ilvl w:val="0"/>
          <w:numId w:val="5"/>
        </w:numPr>
        <w:tabs>
          <w:tab w:val="left" w:pos="5297"/>
        </w:tabs>
        <w:spacing w:line="276" w:lineRule="auto"/>
        <w:jc w:val="both"/>
      </w:pPr>
      <w:r>
        <w:t xml:space="preserve">Public sector Banks holds the highest percentage </w:t>
      </w:r>
      <w:r w:rsidR="00FE2A0F">
        <w:t>of Gross</w:t>
      </w:r>
      <w:r w:rsidR="007E188D">
        <w:t xml:space="preserve"> </w:t>
      </w:r>
      <w:r>
        <w:t>NPAs with respect to total assets.</w:t>
      </w:r>
    </w:p>
    <w:p w:rsidR="00FF742E" w:rsidRDefault="008B7719" w:rsidP="006834E1">
      <w:pPr>
        <w:numPr>
          <w:ilvl w:val="0"/>
          <w:numId w:val="5"/>
        </w:numPr>
        <w:tabs>
          <w:tab w:val="left" w:pos="5297"/>
        </w:tabs>
        <w:spacing w:line="276" w:lineRule="auto"/>
        <w:jc w:val="both"/>
      </w:pPr>
      <w:r>
        <w:t>Private sector banks showed a massive increase in Net NPA with respect to total assets. Whereas, foreign showed a good decline in Net NPA with respect to total assets.</w:t>
      </w:r>
    </w:p>
    <w:p w:rsidR="006830CD" w:rsidRDefault="008B7719" w:rsidP="006834E1">
      <w:pPr>
        <w:numPr>
          <w:ilvl w:val="0"/>
          <w:numId w:val="5"/>
        </w:numPr>
        <w:tabs>
          <w:tab w:val="left" w:pos="5297"/>
        </w:tabs>
        <w:spacing w:line="276" w:lineRule="auto"/>
        <w:jc w:val="both"/>
      </w:pPr>
      <w:r>
        <w:t>NPAs with respect to total advances showed an increase in public &amp;private banks but foreign banks showed a good decline in its NPA/Total advances.</w:t>
      </w:r>
    </w:p>
    <w:p w:rsidR="00FE2A0F" w:rsidRPr="006830CD" w:rsidRDefault="008B7719" w:rsidP="006834E1">
      <w:pPr>
        <w:numPr>
          <w:ilvl w:val="0"/>
          <w:numId w:val="5"/>
        </w:numPr>
        <w:tabs>
          <w:tab w:val="left" w:pos="5297"/>
        </w:tabs>
        <w:spacing w:line="276" w:lineRule="auto"/>
        <w:jc w:val="both"/>
      </w:pPr>
      <w:r>
        <w:t>Small scale industries in priority sector have proven more incapable of repaying the loans.</w:t>
      </w:r>
    </w:p>
    <w:p w:rsidR="006830CD" w:rsidRPr="00FE2A0F" w:rsidRDefault="008B7719" w:rsidP="006834E1">
      <w:pPr>
        <w:numPr>
          <w:ilvl w:val="0"/>
          <w:numId w:val="5"/>
        </w:numPr>
        <w:tabs>
          <w:tab w:val="left" w:pos="5297"/>
        </w:tabs>
        <w:spacing w:line="276" w:lineRule="auto"/>
        <w:jc w:val="both"/>
      </w:pPr>
      <w:r>
        <w:t>Priority sector advances proved less NPA as compared to Non-priority sector.</w:t>
      </w:r>
    </w:p>
    <w:p w:rsidR="006830CD" w:rsidRDefault="008B7719" w:rsidP="006834E1">
      <w:pPr>
        <w:numPr>
          <w:ilvl w:val="0"/>
          <w:numId w:val="5"/>
        </w:numPr>
        <w:tabs>
          <w:tab w:val="left" w:pos="5297"/>
        </w:tabs>
        <w:spacing w:line="276" w:lineRule="auto"/>
        <w:jc w:val="both"/>
      </w:pPr>
      <w:r>
        <w:t>Overall Foreign Banks has reduced their NPAs.</w:t>
      </w:r>
    </w:p>
    <w:p w:rsidR="00FE2A0F" w:rsidRDefault="00FE2A0F" w:rsidP="006834E1">
      <w:pPr>
        <w:tabs>
          <w:tab w:val="left" w:pos="5297"/>
        </w:tabs>
        <w:spacing w:line="276" w:lineRule="auto"/>
        <w:ind w:left="720"/>
        <w:jc w:val="both"/>
      </w:pPr>
    </w:p>
    <w:p w:rsidR="00FE2A0F" w:rsidRPr="006830CD" w:rsidRDefault="00FE2A0F" w:rsidP="006834E1">
      <w:pPr>
        <w:tabs>
          <w:tab w:val="left" w:pos="5297"/>
        </w:tabs>
        <w:spacing w:line="276" w:lineRule="auto"/>
        <w:ind w:left="720"/>
        <w:jc w:val="both"/>
      </w:pPr>
    </w:p>
    <w:p w:rsidR="006A5720" w:rsidRDefault="006A5720" w:rsidP="006834E1">
      <w:pPr>
        <w:tabs>
          <w:tab w:val="left" w:pos="5297"/>
        </w:tabs>
        <w:spacing w:line="276" w:lineRule="auto"/>
        <w:ind w:left="180"/>
        <w:jc w:val="both"/>
        <w:rPr>
          <w:b/>
          <w:sz w:val="28"/>
        </w:rPr>
        <w:sectPr w:rsidR="006A5720" w:rsidSect="009D12E4">
          <w:pgSz w:w="12240" w:h="15840"/>
          <w:pgMar w:top="1440" w:right="1440" w:bottom="1440" w:left="1440" w:header="0" w:footer="720" w:gutter="0"/>
          <w:cols w:space="720"/>
          <w:docGrid w:linePitch="360"/>
        </w:sectPr>
      </w:pPr>
    </w:p>
    <w:p w:rsidR="00FE2A0F" w:rsidRPr="009D12E4" w:rsidRDefault="008B7719" w:rsidP="006834E1">
      <w:pPr>
        <w:tabs>
          <w:tab w:val="bar" w:pos="180"/>
          <w:tab w:val="left" w:pos="5297"/>
        </w:tabs>
        <w:spacing w:line="276" w:lineRule="auto"/>
        <w:ind w:left="180"/>
        <w:jc w:val="both"/>
        <w:rPr>
          <w:b/>
          <w:sz w:val="28"/>
        </w:rPr>
      </w:pPr>
      <w:r w:rsidRPr="009D12E4">
        <w:rPr>
          <w:b/>
          <w:sz w:val="28"/>
        </w:rPr>
        <w:lastRenderedPageBreak/>
        <w:t xml:space="preserve">Limitations </w:t>
      </w:r>
    </w:p>
    <w:p w:rsidR="00FE2A0F" w:rsidRPr="00B57368" w:rsidRDefault="008B7719" w:rsidP="006834E1">
      <w:pPr>
        <w:numPr>
          <w:ilvl w:val="0"/>
          <w:numId w:val="6"/>
        </w:numPr>
        <w:tabs>
          <w:tab w:val="left" w:pos="5297"/>
        </w:tabs>
        <w:spacing w:line="276" w:lineRule="auto"/>
        <w:jc w:val="both"/>
      </w:pPr>
      <w:r w:rsidRPr="00FE2A0F">
        <w:t>The main limitati</w:t>
      </w:r>
      <w:r w:rsidR="009D12E4">
        <w:t>on of the study is study is made on three broad classification of banks ignoring individual performance of banks.</w:t>
      </w:r>
    </w:p>
    <w:p w:rsidR="00FE2A0F" w:rsidRPr="00FE2A0F" w:rsidRDefault="008B7719" w:rsidP="006834E1">
      <w:pPr>
        <w:numPr>
          <w:ilvl w:val="0"/>
          <w:numId w:val="6"/>
        </w:numPr>
        <w:tabs>
          <w:tab w:val="left" w:pos="5297"/>
        </w:tabs>
        <w:spacing w:line="276" w:lineRule="auto"/>
        <w:jc w:val="both"/>
      </w:pPr>
      <w:r w:rsidRPr="00FE2A0F">
        <w:t>The time period taken is a short period of four years.</w:t>
      </w:r>
    </w:p>
    <w:p w:rsidR="00FE2A0F" w:rsidRPr="00FE2A0F" w:rsidRDefault="008B7719" w:rsidP="006834E1">
      <w:pPr>
        <w:numPr>
          <w:ilvl w:val="0"/>
          <w:numId w:val="6"/>
        </w:numPr>
        <w:tabs>
          <w:tab w:val="left" w:pos="5297"/>
        </w:tabs>
        <w:spacing w:line="276" w:lineRule="auto"/>
        <w:jc w:val="both"/>
      </w:pPr>
      <w:r w:rsidRPr="00FE2A0F">
        <w:t xml:space="preserve">The reasons </w:t>
      </w:r>
      <w:r w:rsidR="00B57368">
        <w:t>for performing poorly in the recovery of NPAs are not identified.</w:t>
      </w:r>
    </w:p>
    <w:p w:rsidR="006834E1" w:rsidRDefault="008B7719" w:rsidP="006834E1">
      <w:pPr>
        <w:tabs>
          <w:tab w:val="left" w:pos="5297"/>
        </w:tabs>
        <w:spacing w:line="276" w:lineRule="auto"/>
        <w:jc w:val="both"/>
        <w:rPr>
          <w:sz w:val="28"/>
        </w:rPr>
      </w:pPr>
      <w:r w:rsidRPr="009D12E4">
        <w:rPr>
          <w:b/>
          <w:sz w:val="28"/>
        </w:rPr>
        <w:t>MANAGEMENT OF NPAs</w:t>
      </w:r>
    </w:p>
    <w:p w:rsidR="00A762C8" w:rsidRPr="006834E1" w:rsidRDefault="008B7719" w:rsidP="006834E1">
      <w:pPr>
        <w:tabs>
          <w:tab w:val="left" w:pos="5297"/>
        </w:tabs>
        <w:spacing w:line="276" w:lineRule="auto"/>
        <w:jc w:val="both"/>
        <w:rPr>
          <w:sz w:val="28"/>
        </w:rPr>
      </w:pPr>
      <w:r w:rsidRPr="00853876">
        <w:t xml:space="preserve">It is better to try to keep a bad thing from happening than it is to fix the bad thing once it has happened. </w:t>
      </w:r>
      <w:r>
        <w:t>It has become a nerve-wracking problem for every type of banks. It</w:t>
      </w:r>
      <w:r w:rsidRPr="00853876">
        <w:t xml:space="preserve"> not only affects the profitability of banks but al</w:t>
      </w:r>
      <w:r w:rsidR="002853DA">
        <w:t xml:space="preserve">so affects the capital </w:t>
      </w:r>
      <w:r w:rsidR="003B198A">
        <w:t xml:space="preserve">adequacy </w:t>
      </w:r>
      <w:r w:rsidR="003B198A" w:rsidRPr="00853876">
        <w:t>of</w:t>
      </w:r>
      <w:r w:rsidR="003B198A">
        <w:t xml:space="preserve"> banks</w:t>
      </w:r>
      <w:r w:rsidRPr="00853876">
        <w:t>. There has been many provisions, forums, institutions &amp; recommenda</w:t>
      </w:r>
      <w:r w:rsidR="000D06A5">
        <w:t>tions issued to manage the NPA. I</w:t>
      </w:r>
      <w:r w:rsidRPr="00853876">
        <w:t>nstitutions such as</w:t>
      </w:r>
    </w:p>
    <w:p w:rsidR="00A762C8" w:rsidRDefault="008B7719" w:rsidP="006834E1">
      <w:pPr>
        <w:pStyle w:val="ListParagraph"/>
        <w:numPr>
          <w:ilvl w:val="0"/>
          <w:numId w:val="4"/>
        </w:numPr>
        <w:tabs>
          <w:tab w:val="left" w:pos="5297"/>
        </w:tabs>
        <w:spacing w:line="276" w:lineRule="auto"/>
        <w:jc w:val="both"/>
      </w:pPr>
      <w:r w:rsidRPr="00853876">
        <w:t>Lok Adalats,</w:t>
      </w:r>
    </w:p>
    <w:p w:rsidR="00A762C8" w:rsidRDefault="008B7719" w:rsidP="006834E1">
      <w:pPr>
        <w:pStyle w:val="ListParagraph"/>
        <w:numPr>
          <w:ilvl w:val="0"/>
          <w:numId w:val="4"/>
        </w:numPr>
        <w:tabs>
          <w:tab w:val="left" w:pos="5297"/>
        </w:tabs>
        <w:spacing w:line="276" w:lineRule="auto"/>
        <w:jc w:val="both"/>
      </w:pPr>
      <w:r w:rsidRPr="00853876">
        <w:t>Debt  Recovery Tribunal,</w:t>
      </w:r>
    </w:p>
    <w:p w:rsidR="00A762C8" w:rsidRDefault="008B7719" w:rsidP="006834E1">
      <w:pPr>
        <w:pStyle w:val="ListParagraph"/>
        <w:numPr>
          <w:ilvl w:val="0"/>
          <w:numId w:val="4"/>
        </w:numPr>
        <w:tabs>
          <w:tab w:val="left" w:pos="5297"/>
        </w:tabs>
        <w:spacing w:line="276" w:lineRule="auto"/>
        <w:jc w:val="both"/>
      </w:pPr>
      <w:r w:rsidRPr="00853876">
        <w:t>Asset Liability Management,</w:t>
      </w:r>
    </w:p>
    <w:p w:rsidR="00A762C8" w:rsidRDefault="008B7719" w:rsidP="006834E1">
      <w:pPr>
        <w:pStyle w:val="ListParagraph"/>
        <w:numPr>
          <w:ilvl w:val="0"/>
          <w:numId w:val="4"/>
        </w:numPr>
        <w:tabs>
          <w:tab w:val="left" w:pos="5297"/>
        </w:tabs>
        <w:spacing w:line="276" w:lineRule="auto"/>
        <w:jc w:val="both"/>
      </w:pPr>
      <w:r w:rsidRPr="00853876">
        <w:t>Corporate Debt Restructuring Body,</w:t>
      </w:r>
    </w:p>
    <w:p w:rsidR="00A762C8" w:rsidRDefault="008B7719" w:rsidP="006834E1">
      <w:pPr>
        <w:pStyle w:val="ListParagraph"/>
        <w:numPr>
          <w:ilvl w:val="0"/>
          <w:numId w:val="4"/>
        </w:numPr>
        <w:tabs>
          <w:tab w:val="left" w:pos="5297"/>
        </w:tabs>
        <w:spacing w:line="276" w:lineRule="auto"/>
        <w:jc w:val="both"/>
      </w:pPr>
      <w:r w:rsidRPr="00853876">
        <w:t>Enactment of SARFAESI 2002</w:t>
      </w:r>
    </w:p>
    <w:p w:rsidR="00A762C8" w:rsidRDefault="008B7719" w:rsidP="006834E1">
      <w:pPr>
        <w:pStyle w:val="ListParagraph"/>
        <w:numPr>
          <w:ilvl w:val="0"/>
          <w:numId w:val="4"/>
        </w:numPr>
        <w:tabs>
          <w:tab w:val="left" w:pos="5297"/>
        </w:tabs>
        <w:spacing w:line="276" w:lineRule="auto"/>
        <w:jc w:val="both"/>
      </w:pPr>
      <w:r>
        <w:t>Opening of Special Mention Accounts</w:t>
      </w:r>
    </w:p>
    <w:p w:rsidR="00C94C59" w:rsidRDefault="00E336F4" w:rsidP="006834E1">
      <w:pPr>
        <w:tabs>
          <w:tab w:val="left" w:pos="5297"/>
        </w:tabs>
        <w:spacing w:line="276" w:lineRule="auto"/>
        <w:jc w:val="both"/>
      </w:pPr>
      <w:r w:rsidRPr="00853876">
        <w:t>Doing</w:t>
      </w:r>
      <w:r w:rsidR="007E188D">
        <w:t xml:space="preserve"> </w:t>
      </w:r>
      <w:r w:rsidRPr="00853876">
        <w:t>a commendable</w:t>
      </w:r>
      <w:r w:rsidR="008B7719" w:rsidRPr="00853876">
        <w:t xml:space="preserve"> job in handling NPA recoveries. </w:t>
      </w:r>
      <w:r w:rsidR="008B7719" w:rsidRPr="00530ECE">
        <w:rPr>
          <w:b/>
        </w:rPr>
        <w:t>Joint Lenders Forum</w:t>
      </w:r>
      <w:r w:rsidR="008B7719" w:rsidRPr="00853876">
        <w:t xml:space="preserve"> a new measure to revitalize distressed economy has mentioned by RBI in guidelines issued in 2014, a forum formed by a grouping of various lender banks to take serious actions towards defaulters exceeding loan of RS.100 crore. Collective action by government, banks&amp; borrowers can improve the situation</w:t>
      </w:r>
      <w:r w:rsidR="002853DA">
        <w:t>.</w:t>
      </w:r>
    </w:p>
    <w:p w:rsidR="007B0431" w:rsidRPr="000D75B0" w:rsidRDefault="008B7719" w:rsidP="006834E1">
      <w:pPr>
        <w:tabs>
          <w:tab w:val="left" w:pos="5297"/>
        </w:tabs>
        <w:spacing w:line="276" w:lineRule="auto"/>
        <w:jc w:val="both"/>
        <w:rPr>
          <w:b/>
          <w:sz w:val="28"/>
        </w:rPr>
      </w:pPr>
      <w:r w:rsidRPr="000D75B0">
        <w:rPr>
          <w:b/>
          <w:sz w:val="28"/>
        </w:rPr>
        <w:t xml:space="preserve">Conclusion </w:t>
      </w:r>
    </w:p>
    <w:p w:rsidR="007B0431" w:rsidRDefault="008B7719" w:rsidP="006834E1">
      <w:pPr>
        <w:tabs>
          <w:tab w:val="left" w:pos="5297"/>
        </w:tabs>
        <w:spacing w:line="276" w:lineRule="auto"/>
        <w:jc w:val="both"/>
      </w:pPr>
      <w:r>
        <w:t>NPAs have a negative effect on the economy, it only hampers the profitability of banks but also affect the capital adequacy &amp; increases the expenses of banks &amp; could be a reason for the loss of interest of the general public</w:t>
      </w:r>
      <w:r w:rsidR="002F6AD4">
        <w:t>. Analysis of the trend of NPAs in commercial banks shows a gloomy picture &amp; demands serious actions. Reforms &amp; measures taken are not proving successful in reducing the NPAs. Category wise analysis shows Public Sector Banks have the highest level of NPAs whereas Foreign Banks have the least NPAs. Sector-wise classification priority sector of both public &amp; private banks holds a minor portion of NPAs. Introduction of JLF may have the possibility to improve the situation.</w:t>
      </w:r>
    </w:p>
    <w:p w:rsidR="006A5720" w:rsidRDefault="006A5720" w:rsidP="006834E1">
      <w:pPr>
        <w:tabs>
          <w:tab w:val="left" w:pos="5297"/>
        </w:tabs>
        <w:spacing w:line="276" w:lineRule="auto"/>
        <w:jc w:val="both"/>
        <w:rPr>
          <w:b/>
          <w:sz w:val="28"/>
        </w:rPr>
        <w:sectPr w:rsidR="006A5720" w:rsidSect="009D12E4">
          <w:pgSz w:w="12240" w:h="15840"/>
          <w:pgMar w:top="1440" w:right="1440" w:bottom="1440" w:left="1440" w:header="0" w:footer="720" w:gutter="0"/>
          <w:cols w:space="720"/>
          <w:docGrid w:linePitch="360"/>
        </w:sectPr>
      </w:pPr>
    </w:p>
    <w:p w:rsidR="006A5720" w:rsidRDefault="006A5720" w:rsidP="006834E1">
      <w:pPr>
        <w:tabs>
          <w:tab w:val="left" w:pos="5297"/>
        </w:tabs>
        <w:spacing w:line="276" w:lineRule="auto"/>
        <w:jc w:val="both"/>
        <w:rPr>
          <w:b/>
          <w:sz w:val="28"/>
        </w:rPr>
        <w:sectPr w:rsidR="006A5720" w:rsidSect="006A5720">
          <w:type w:val="continuous"/>
          <w:pgSz w:w="12240" w:h="15840"/>
          <w:pgMar w:top="1440" w:right="1440" w:bottom="1440" w:left="1440" w:header="0" w:footer="720" w:gutter="0"/>
          <w:cols w:space="720"/>
          <w:docGrid w:linePitch="360"/>
        </w:sectPr>
      </w:pPr>
    </w:p>
    <w:p w:rsidR="0071312F" w:rsidRDefault="008B7719" w:rsidP="006834E1">
      <w:pPr>
        <w:tabs>
          <w:tab w:val="left" w:pos="5297"/>
        </w:tabs>
        <w:spacing w:line="276" w:lineRule="auto"/>
        <w:jc w:val="both"/>
        <w:rPr>
          <w:b/>
          <w:sz w:val="28"/>
        </w:rPr>
      </w:pPr>
      <w:r w:rsidRPr="0071312F">
        <w:rPr>
          <w:b/>
          <w:sz w:val="28"/>
        </w:rPr>
        <w:lastRenderedPageBreak/>
        <w:t>References</w:t>
      </w:r>
    </w:p>
    <w:p w:rsidR="007E188D" w:rsidRPr="007E188D" w:rsidRDefault="007E188D" w:rsidP="006834E1">
      <w:pPr>
        <w:tabs>
          <w:tab w:val="left" w:pos="5297"/>
        </w:tabs>
        <w:spacing w:line="276" w:lineRule="auto"/>
        <w:jc w:val="both"/>
        <w:rPr>
          <w:sz w:val="28"/>
        </w:rPr>
      </w:pPr>
      <w:r w:rsidRPr="007E188D">
        <w:rPr>
          <w:sz w:val="28"/>
        </w:rPr>
        <w:t>Journal Articles</w:t>
      </w:r>
      <w:r>
        <w:rPr>
          <w:sz w:val="28"/>
        </w:rPr>
        <w:t>:</w:t>
      </w:r>
    </w:p>
    <w:p w:rsidR="007E188D" w:rsidRDefault="007E188D" w:rsidP="007E188D">
      <w:pPr>
        <w:tabs>
          <w:tab w:val="left" w:pos="5297"/>
        </w:tabs>
        <w:spacing w:line="276" w:lineRule="auto"/>
        <w:jc w:val="both"/>
      </w:pPr>
      <w:r>
        <w:t>[1]</w:t>
      </w:r>
      <w:r w:rsidRPr="00FD33E3">
        <w:t>Bodla, B.S, and Verma R.,</w:t>
      </w:r>
      <w:r>
        <w:t>(2006),“</w:t>
      </w:r>
      <w:r w:rsidRPr="00FD33E3">
        <w:t>Determinants of Profitability of Banks in INDIA:</w:t>
      </w:r>
      <w:r>
        <w:t xml:space="preserve"> A Multivariate Analysis", Journal of Services Research, Vol.6, No.2, October.</w:t>
      </w:r>
    </w:p>
    <w:p w:rsidR="007E188D" w:rsidRDefault="007E188D" w:rsidP="007E188D">
      <w:pPr>
        <w:tabs>
          <w:tab w:val="left" w:pos="5297"/>
        </w:tabs>
        <w:spacing w:line="276" w:lineRule="auto"/>
        <w:jc w:val="both"/>
      </w:pPr>
      <w:r>
        <w:t>[2]</w:t>
      </w:r>
      <w:r w:rsidRPr="00FD33E3">
        <w:t>Sibal, S.K.,</w:t>
      </w:r>
      <w:r>
        <w:t>(2007),“</w:t>
      </w:r>
      <w:r w:rsidRPr="00FD33E3">
        <w:t>NPAs in Ba</w:t>
      </w:r>
      <w:r>
        <w:t>nks: Emerging Challenges", New Horizons, Vol V, July,p-127-133.</w:t>
      </w:r>
    </w:p>
    <w:p w:rsidR="007E188D" w:rsidRDefault="007E188D" w:rsidP="007E188D">
      <w:pPr>
        <w:tabs>
          <w:tab w:val="left" w:pos="5297"/>
        </w:tabs>
        <w:spacing w:line="276" w:lineRule="auto"/>
        <w:jc w:val="both"/>
      </w:pPr>
      <w:r>
        <w:t>[3]</w:t>
      </w:r>
      <w:r w:rsidRPr="00CA6EE8">
        <w:t>Siraj K.K. &amp; Pilani,</w:t>
      </w:r>
      <w:r>
        <w:t>(2011),“</w:t>
      </w:r>
      <w:r w:rsidRPr="00CA6EE8">
        <w:t>Efficiency of NPA Management in INDIAN SCBs - A Bank-Gro</w:t>
      </w:r>
      <w:r>
        <w:t>up Wise Exploratory Study”, Journal of Applied Finance &amp; Banking, Vol.3, No.2,p-123-137.</w:t>
      </w:r>
    </w:p>
    <w:p w:rsidR="007E188D" w:rsidRDefault="007E188D" w:rsidP="007E188D">
      <w:pPr>
        <w:tabs>
          <w:tab w:val="left" w:pos="5297"/>
        </w:tabs>
        <w:spacing w:line="276" w:lineRule="auto"/>
        <w:jc w:val="both"/>
      </w:pPr>
      <w:r>
        <w:t>[4]</w:t>
      </w:r>
      <w:r w:rsidRPr="0003695B">
        <w:t>Puntambekar G.L&amp; Mehar B.K</w:t>
      </w:r>
      <w:r>
        <w:t>(2016)</w:t>
      </w:r>
      <w:r w:rsidRPr="0003695B">
        <w:t xml:space="preserve">, </w:t>
      </w:r>
      <w:r>
        <w:t>“</w:t>
      </w:r>
      <w:r w:rsidRPr="0003695B">
        <w:t>NPA Management in Indian Banks with special reference to Cur</w:t>
      </w:r>
      <w:r>
        <w:t>ative Management Strategies”, Southern Economists, Vol 82, No.1, July,p-26-40.</w:t>
      </w:r>
    </w:p>
    <w:p w:rsidR="007E188D" w:rsidRDefault="007E188D" w:rsidP="007E188D">
      <w:pPr>
        <w:tabs>
          <w:tab w:val="left" w:pos="5297"/>
        </w:tabs>
        <w:spacing w:line="276" w:lineRule="auto"/>
        <w:jc w:val="both"/>
      </w:pPr>
      <w:r>
        <w:t>[5]</w:t>
      </w:r>
      <w:r w:rsidRPr="00EA4F58">
        <w:t>Mittal, Raj Kumar, and Suneja, Deeksha,</w:t>
      </w:r>
      <w:r>
        <w:t>(2017),“T</w:t>
      </w:r>
      <w:r w:rsidRPr="00EA4F58">
        <w:t>he Problem of Rising Non-Performing Assets in Banking Sector in IND</w:t>
      </w:r>
      <w:r>
        <w:t>IA: Comparative Analysis", International Journal of Management, IT &amp; Engineering, Vol.7, No.7, July, p-384-398.</w:t>
      </w:r>
    </w:p>
    <w:p w:rsidR="007E188D" w:rsidRDefault="007E188D" w:rsidP="007E188D">
      <w:pPr>
        <w:tabs>
          <w:tab w:val="left" w:pos="5297"/>
        </w:tabs>
        <w:spacing w:line="276" w:lineRule="auto"/>
        <w:jc w:val="both"/>
      </w:pPr>
      <w:r>
        <w:t>[6]</w:t>
      </w:r>
      <w:r>
        <w:t>Gupta M. &amp; Saluja R. (2018),“</w:t>
      </w:r>
      <w:r w:rsidRPr="00722E79">
        <w:t>A Study on Non-Performing Assets in Public sector Banks during PRE and POST e</w:t>
      </w:r>
      <w:r>
        <w:t>nactment of SARFAESI ACT 2002”, International Journal of Basic &amp; Applied Research, Vol.8, No.11, Nov, p-317-327.</w:t>
      </w:r>
      <w:r>
        <w:t xml:space="preserve"> </w:t>
      </w:r>
    </w:p>
    <w:p w:rsidR="007E188D" w:rsidRPr="007E188D" w:rsidRDefault="007E188D" w:rsidP="006834E1">
      <w:pPr>
        <w:tabs>
          <w:tab w:val="left" w:pos="5297"/>
        </w:tabs>
        <w:spacing w:line="276" w:lineRule="auto"/>
        <w:jc w:val="both"/>
        <w:rPr>
          <w:sz w:val="28"/>
        </w:rPr>
      </w:pPr>
      <w:r w:rsidRPr="007E188D">
        <w:rPr>
          <w:sz w:val="28"/>
        </w:rPr>
        <w:t>E-Publications:</w:t>
      </w:r>
    </w:p>
    <w:p w:rsidR="00263F3F" w:rsidRDefault="007E188D" w:rsidP="006834E1">
      <w:pPr>
        <w:tabs>
          <w:tab w:val="left" w:pos="5297"/>
        </w:tabs>
        <w:spacing w:line="276" w:lineRule="auto"/>
        <w:jc w:val="both"/>
      </w:pPr>
      <w:r>
        <w:t>[7]</w:t>
      </w:r>
      <w:r w:rsidR="008B7719">
        <w:t>RBI:</w:t>
      </w:r>
      <w:r w:rsidR="008B7719" w:rsidRPr="00263F3F">
        <w:t xml:space="preserve"> Statistical Tables Relating to Banks </w:t>
      </w:r>
      <w:r w:rsidR="008B7719">
        <w:t>(Annual Issues).</w:t>
      </w:r>
    </w:p>
    <w:p w:rsidR="00263F3F" w:rsidRDefault="007E188D" w:rsidP="006834E1">
      <w:pPr>
        <w:tabs>
          <w:tab w:val="left" w:pos="5297"/>
        </w:tabs>
        <w:spacing w:line="276" w:lineRule="auto"/>
        <w:jc w:val="both"/>
      </w:pPr>
      <w:r>
        <w:t>[8]</w:t>
      </w:r>
      <w:r w:rsidR="008B7719" w:rsidRPr="00263F3F">
        <w:t xml:space="preserve">RBI: </w:t>
      </w:r>
      <w:r w:rsidR="00EA4F58">
        <w:t xml:space="preserve">Report on Trend and Progress of Banking in </w:t>
      </w:r>
      <w:bookmarkStart w:id="0" w:name="_GoBack"/>
      <w:bookmarkEnd w:id="0"/>
      <w:r>
        <w:t>India (</w:t>
      </w:r>
      <w:r w:rsidR="00EA4F58">
        <w:t>Annual Issues)</w:t>
      </w:r>
    </w:p>
    <w:p w:rsidR="00A73865" w:rsidRDefault="00A73865" w:rsidP="006834E1">
      <w:pPr>
        <w:spacing w:line="276" w:lineRule="auto"/>
      </w:pPr>
    </w:p>
    <w:p w:rsidR="00A73865" w:rsidRDefault="00A73865" w:rsidP="006834E1">
      <w:pPr>
        <w:spacing w:line="276" w:lineRule="auto"/>
      </w:pPr>
    </w:p>
    <w:p w:rsidR="00FD33E3" w:rsidRDefault="00FD33E3" w:rsidP="006834E1">
      <w:pPr>
        <w:tabs>
          <w:tab w:val="left" w:pos="5297"/>
        </w:tabs>
        <w:spacing w:line="276" w:lineRule="auto"/>
        <w:jc w:val="both"/>
      </w:pPr>
    </w:p>
    <w:p w:rsidR="00FD33E3" w:rsidRDefault="00FD33E3" w:rsidP="006834E1">
      <w:pPr>
        <w:tabs>
          <w:tab w:val="left" w:pos="5297"/>
        </w:tabs>
        <w:spacing w:line="276" w:lineRule="auto"/>
        <w:jc w:val="both"/>
      </w:pPr>
    </w:p>
    <w:p w:rsidR="0003695B" w:rsidRDefault="0003695B" w:rsidP="006834E1">
      <w:pPr>
        <w:tabs>
          <w:tab w:val="left" w:pos="5297"/>
        </w:tabs>
        <w:spacing w:line="276" w:lineRule="auto"/>
        <w:jc w:val="both"/>
      </w:pPr>
    </w:p>
    <w:p w:rsidR="00EA4F58" w:rsidRDefault="00EA4F58" w:rsidP="006834E1">
      <w:pPr>
        <w:tabs>
          <w:tab w:val="left" w:pos="5297"/>
        </w:tabs>
        <w:spacing w:line="276" w:lineRule="auto"/>
        <w:jc w:val="both"/>
      </w:pPr>
    </w:p>
    <w:p w:rsidR="00EA4F58" w:rsidRDefault="00EA4F58" w:rsidP="006834E1">
      <w:pPr>
        <w:tabs>
          <w:tab w:val="left" w:pos="5297"/>
        </w:tabs>
        <w:spacing w:line="276" w:lineRule="auto"/>
        <w:jc w:val="both"/>
      </w:pPr>
    </w:p>
    <w:p w:rsidR="00722E79" w:rsidRPr="00722E79" w:rsidRDefault="00722E79" w:rsidP="006834E1">
      <w:pPr>
        <w:tabs>
          <w:tab w:val="left" w:pos="5297"/>
        </w:tabs>
        <w:spacing w:line="276" w:lineRule="auto"/>
        <w:jc w:val="both"/>
      </w:pPr>
    </w:p>
    <w:p w:rsidR="0071312F" w:rsidRPr="0071312F" w:rsidRDefault="0071312F" w:rsidP="006834E1">
      <w:pPr>
        <w:tabs>
          <w:tab w:val="left" w:pos="5297"/>
        </w:tabs>
        <w:spacing w:line="276" w:lineRule="auto"/>
        <w:jc w:val="both"/>
        <w:rPr>
          <w:b/>
          <w:sz w:val="28"/>
        </w:rPr>
      </w:pPr>
    </w:p>
    <w:sectPr w:rsidR="0071312F" w:rsidRPr="0071312F" w:rsidSect="006A572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35" w:rsidRDefault="00104035">
      <w:pPr>
        <w:spacing w:after="0" w:line="240" w:lineRule="auto"/>
      </w:pPr>
      <w:r>
        <w:separator/>
      </w:r>
    </w:p>
  </w:endnote>
  <w:endnote w:type="continuationSeparator" w:id="0">
    <w:p w:rsidR="00104035" w:rsidRDefault="0010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35" w:rsidRDefault="00104035">
      <w:pPr>
        <w:spacing w:after="0" w:line="240" w:lineRule="auto"/>
      </w:pPr>
      <w:r>
        <w:separator/>
      </w:r>
    </w:p>
  </w:footnote>
  <w:footnote w:type="continuationSeparator" w:id="0">
    <w:p w:rsidR="00104035" w:rsidRDefault="00104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1603"/>
    <w:multiLevelType w:val="hybridMultilevel"/>
    <w:tmpl w:val="2856CE8A"/>
    <w:lvl w:ilvl="0" w:tplc="B032F7A4">
      <w:start w:val="1"/>
      <w:numFmt w:val="bullet"/>
      <w:lvlText w:val=""/>
      <w:lvlJc w:val="left"/>
      <w:pPr>
        <w:ind w:left="1440" w:hanging="360"/>
      </w:pPr>
      <w:rPr>
        <w:rFonts w:ascii="Symbol" w:hAnsi="Symbol" w:hint="default"/>
      </w:rPr>
    </w:lvl>
    <w:lvl w:ilvl="1" w:tplc="FBE8B7F8" w:tentative="1">
      <w:start w:val="1"/>
      <w:numFmt w:val="bullet"/>
      <w:lvlText w:val="o"/>
      <w:lvlJc w:val="left"/>
      <w:pPr>
        <w:ind w:left="2160" w:hanging="360"/>
      </w:pPr>
      <w:rPr>
        <w:rFonts w:ascii="Courier New" w:hAnsi="Courier New" w:cs="Courier New" w:hint="default"/>
      </w:rPr>
    </w:lvl>
    <w:lvl w:ilvl="2" w:tplc="43F8E66C" w:tentative="1">
      <w:start w:val="1"/>
      <w:numFmt w:val="bullet"/>
      <w:lvlText w:val=""/>
      <w:lvlJc w:val="left"/>
      <w:pPr>
        <w:ind w:left="2880" w:hanging="360"/>
      </w:pPr>
      <w:rPr>
        <w:rFonts w:ascii="Wingdings" w:hAnsi="Wingdings" w:hint="default"/>
      </w:rPr>
    </w:lvl>
    <w:lvl w:ilvl="3" w:tplc="517C5CD6" w:tentative="1">
      <w:start w:val="1"/>
      <w:numFmt w:val="bullet"/>
      <w:lvlText w:val=""/>
      <w:lvlJc w:val="left"/>
      <w:pPr>
        <w:ind w:left="3600" w:hanging="360"/>
      </w:pPr>
      <w:rPr>
        <w:rFonts w:ascii="Symbol" w:hAnsi="Symbol" w:hint="default"/>
      </w:rPr>
    </w:lvl>
    <w:lvl w:ilvl="4" w:tplc="DF6E3072" w:tentative="1">
      <w:start w:val="1"/>
      <w:numFmt w:val="bullet"/>
      <w:lvlText w:val="o"/>
      <w:lvlJc w:val="left"/>
      <w:pPr>
        <w:ind w:left="4320" w:hanging="360"/>
      </w:pPr>
      <w:rPr>
        <w:rFonts w:ascii="Courier New" w:hAnsi="Courier New" w:cs="Courier New" w:hint="default"/>
      </w:rPr>
    </w:lvl>
    <w:lvl w:ilvl="5" w:tplc="D9006F46" w:tentative="1">
      <w:start w:val="1"/>
      <w:numFmt w:val="bullet"/>
      <w:lvlText w:val=""/>
      <w:lvlJc w:val="left"/>
      <w:pPr>
        <w:ind w:left="5040" w:hanging="360"/>
      </w:pPr>
      <w:rPr>
        <w:rFonts w:ascii="Wingdings" w:hAnsi="Wingdings" w:hint="default"/>
      </w:rPr>
    </w:lvl>
    <w:lvl w:ilvl="6" w:tplc="4FA6E6AE" w:tentative="1">
      <w:start w:val="1"/>
      <w:numFmt w:val="bullet"/>
      <w:lvlText w:val=""/>
      <w:lvlJc w:val="left"/>
      <w:pPr>
        <w:ind w:left="5760" w:hanging="360"/>
      </w:pPr>
      <w:rPr>
        <w:rFonts w:ascii="Symbol" w:hAnsi="Symbol" w:hint="default"/>
      </w:rPr>
    </w:lvl>
    <w:lvl w:ilvl="7" w:tplc="3FF622E8" w:tentative="1">
      <w:start w:val="1"/>
      <w:numFmt w:val="bullet"/>
      <w:lvlText w:val="o"/>
      <w:lvlJc w:val="left"/>
      <w:pPr>
        <w:ind w:left="6480" w:hanging="360"/>
      </w:pPr>
      <w:rPr>
        <w:rFonts w:ascii="Courier New" w:hAnsi="Courier New" w:cs="Courier New" w:hint="default"/>
      </w:rPr>
    </w:lvl>
    <w:lvl w:ilvl="8" w:tplc="86B8D84C" w:tentative="1">
      <w:start w:val="1"/>
      <w:numFmt w:val="bullet"/>
      <w:lvlText w:val=""/>
      <w:lvlJc w:val="left"/>
      <w:pPr>
        <w:ind w:left="7200" w:hanging="360"/>
      </w:pPr>
      <w:rPr>
        <w:rFonts w:ascii="Wingdings" w:hAnsi="Wingdings" w:hint="default"/>
      </w:rPr>
    </w:lvl>
  </w:abstractNum>
  <w:abstractNum w:abstractNumId="1">
    <w:nsid w:val="2F7C6ECA"/>
    <w:multiLevelType w:val="multilevel"/>
    <w:tmpl w:val="24948DE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
    <w:nsid w:val="306147A4"/>
    <w:multiLevelType w:val="hybridMultilevel"/>
    <w:tmpl w:val="5A1E9624"/>
    <w:lvl w:ilvl="0" w:tplc="EFECF7A0">
      <w:start w:val="1"/>
      <w:numFmt w:val="bullet"/>
      <w:lvlText w:val=""/>
      <w:lvlJc w:val="left"/>
      <w:pPr>
        <w:ind w:left="2520" w:hanging="360"/>
      </w:pPr>
      <w:rPr>
        <w:rFonts w:ascii="Symbol" w:hAnsi="Symbol" w:hint="default"/>
      </w:rPr>
    </w:lvl>
    <w:lvl w:ilvl="1" w:tplc="5C709682" w:tentative="1">
      <w:start w:val="1"/>
      <w:numFmt w:val="bullet"/>
      <w:lvlText w:val="o"/>
      <w:lvlJc w:val="left"/>
      <w:pPr>
        <w:ind w:left="3240" w:hanging="360"/>
      </w:pPr>
      <w:rPr>
        <w:rFonts w:ascii="Courier New" w:hAnsi="Courier New" w:cs="Courier New" w:hint="default"/>
      </w:rPr>
    </w:lvl>
    <w:lvl w:ilvl="2" w:tplc="6772EABA" w:tentative="1">
      <w:start w:val="1"/>
      <w:numFmt w:val="bullet"/>
      <w:lvlText w:val=""/>
      <w:lvlJc w:val="left"/>
      <w:pPr>
        <w:ind w:left="3960" w:hanging="360"/>
      </w:pPr>
      <w:rPr>
        <w:rFonts w:ascii="Wingdings" w:hAnsi="Wingdings" w:hint="default"/>
      </w:rPr>
    </w:lvl>
    <w:lvl w:ilvl="3" w:tplc="76B6C57A" w:tentative="1">
      <w:start w:val="1"/>
      <w:numFmt w:val="bullet"/>
      <w:lvlText w:val=""/>
      <w:lvlJc w:val="left"/>
      <w:pPr>
        <w:ind w:left="4680" w:hanging="360"/>
      </w:pPr>
      <w:rPr>
        <w:rFonts w:ascii="Symbol" w:hAnsi="Symbol" w:hint="default"/>
      </w:rPr>
    </w:lvl>
    <w:lvl w:ilvl="4" w:tplc="5004039E" w:tentative="1">
      <w:start w:val="1"/>
      <w:numFmt w:val="bullet"/>
      <w:lvlText w:val="o"/>
      <w:lvlJc w:val="left"/>
      <w:pPr>
        <w:ind w:left="5400" w:hanging="360"/>
      </w:pPr>
      <w:rPr>
        <w:rFonts w:ascii="Courier New" w:hAnsi="Courier New" w:cs="Courier New" w:hint="default"/>
      </w:rPr>
    </w:lvl>
    <w:lvl w:ilvl="5" w:tplc="18FAB050" w:tentative="1">
      <w:start w:val="1"/>
      <w:numFmt w:val="bullet"/>
      <w:lvlText w:val=""/>
      <w:lvlJc w:val="left"/>
      <w:pPr>
        <w:ind w:left="6120" w:hanging="360"/>
      </w:pPr>
      <w:rPr>
        <w:rFonts w:ascii="Wingdings" w:hAnsi="Wingdings" w:hint="default"/>
      </w:rPr>
    </w:lvl>
    <w:lvl w:ilvl="6" w:tplc="A45CDBC0" w:tentative="1">
      <w:start w:val="1"/>
      <w:numFmt w:val="bullet"/>
      <w:lvlText w:val=""/>
      <w:lvlJc w:val="left"/>
      <w:pPr>
        <w:ind w:left="6840" w:hanging="360"/>
      </w:pPr>
      <w:rPr>
        <w:rFonts w:ascii="Symbol" w:hAnsi="Symbol" w:hint="default"/>
      </w:rPr>
    </w:lvl>
    <w:lvl w:ilvl="7" w:tplc="DEC6E9B4" w:tentative="1">
      <w:start w:val="1"/>
      <w:numFmt w:val="bullet"/>
      <w:lvlText w:val="o"/>
      <w:lvlJc w:val="left"/>
      <w:pPr>
        <w:ind w:left="7560" w:hanging="360"/>
      </w:pPr>
      <w:rPr>
        <w:rFonts w:ascii="Courier New" w:hAnsi="Courier New" w:cs="Courier New" w:hint="default"/>
      </w:rPr>
    </w:lvl>
    <w:lvl w:ilvl="8" w:tplc="363E6CEE" w:tentative="1">
      <w:start w:val="1"/>
      <w:numFmt w:val="bullet"/>
      <w:lvlText w:val=""/>
      <w:lvlJc w:val="left"/>
      <w:pPr>
        <w:ind w:left="8280" w:hanging="360"/>
      </w:pPr>
      <w:rPr>
        <w:rFonts w:ascii="Wingdings" w:hAnsi="Wingdings" w:hint="default"/>
      </w:rPr>
    </w:lvl>
  </w:abstractNum>
  <w:abstractNum w:abstractNumId="3">
    <w:nsid w:val="39955444"/>
    <w:multiLevelType w:val="multilevel"/>
    <w:tmpl w:val="09DEF6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446464AA"/>
    <w:multiLevelType w:val="hybridMultilevel"/>
    <w:tmpl w:val="BB9E3FE0"/>
    <w:lvl w:ilvl="0" w:tplc="A2AE6E88">
      <w:start w:val="1"/>
      <w:numFmt w:val="decimal"/>
      <w:lvlText w:val="%1."/>
      <w:lvlJc w:val="left"/>
      <w:pPr>
        <w:ind w:left="720" w:hanging="360"/>
      </w:pPr>
      <w:rPr>
        <w:rFonts w:hint="default"/>
      </w:rPr>
    </w:lvl>
    <w:lvl w:ilvl="1" w:tplc="BC78CE20" w:tentative="1">
      <w:start w:val="1"/>
      <w:numFmt w:val="lowerLetter"/>
      <w:lvlText w:val="%2."/>
      <w:lvlJc w:val="left"/>
      <w:pPr>
        <w:ind w:left="1440" w:hanging="360"/>
      </w:pPr>
    </w:lvl>
    <w:lvl w:ilvl="2" w:tplc="3EF6B000" w:tentative="1">
      <w:start w:val="1"/>
      <w:numFmt w:val="lowerRoman"/>
      <w:lvlText w:val="%3."/>
      <w:lvlJc w:val="right"/>
      <w:pPr>
        <w:ind w:left="2160" w:hanging="180"/>
      </w:pPr>
    </w:lvl>
    <w:lvl w:ilvl="3" w:tplc="76F29CF4" w:tentative="1">
      <w:start w:val="1"/>
      <w:numFmt w:val="decimal"/>
      <w:lvlText w:val="%4."/>
      <w:lvlJc w:val="left"/>
      <w:pPr>
        <w:ind w:left="2880" w:hanging="360"/>
      </w:pPr>
    </w:lvl>
    <w:lvl w:ilvl="4" w:tplc="E2EE700A" w:tentative="1">
      <w:start w:val="1"/>
      <w:numFmt w:val="lowerLetter"/>
      <w:lvlText w:val="%5."/>
      <w:lvlJc w:val="left"/>
      <w:pPr>
        <w:ind w:left="3600" w:hanging="360"/>
      </w:pPr>
    </w:lvl>
    <w:lvl w:ilvl="5" w:tplc="D33A1322" w:tentative="1">
      <w:start w:val="1"/>
      <w:numFmt w:val="lowerRoman"/>
      <w:lvlText w:val="%6."/>
      <w:lvlJc w:val="right"/>
      <w:pPr>
        <w:ind w:left="4320" w:hanging="180"/>
      </w:pPr>
    </w:lvl>
    <w:lvl w:ilvl="6" w:tplc="4C4676AA" w:tentative="1">
      <w:start w:val="1"/>
      <w:numFmt w:val="decimal"/>
      <w:lvlText w:val="%7."/>
      <w:lvlJc w:val="left"/>
      <w:pPr>
        <w:ind w:left="5040" w:hanging="360"/>
      </w:pPr>
    </w:lvl>
    <w:lvl w:ilvl="7" w:tplc="F56E3172" w:tentative="1">
      <w:start w:val="1"/>
      <w:numFmt w:val="lowerLetter"/>
      <w:lvlText w:val="%8."/>
      <w:lvlJc w:val="left"/>
      <w:pPr>
        <w:ind w:left="5760" w:hanging="360"/>
      </w:pPr>
    </w:lvl>
    <w:lvl w:ilvl="8" w:tplc="2BB05242" w:tentative="1">
      <w:start w:val="1"/>
      <w:numFmt w:val="lowerRoman"/>
      <w:lvlText w:val="%9."/>
      <w:lvlJc w:val="right"/>
      <w:pPr>
        <w:ind w:left="6480" w:hanging="180"/>
      </w:pPr>
    </w:lvl>
  </w:abstractNum>
  <w:abstractNum w:abstractNumId="5">
    <w:nsid w:val="4EC77879"/>
    <w:multiLevelType w:val="hybridMultilevel"/>
    <w:tmpl w:val="18F4C9EA"/>
    <w:lvl w:ilvl="0" w:tplc="D982ED90">
      <w:start w:val="1"/>
      <w:numFmt w:val="bullet"/>
      <w:lvlText w:val=""/>
      <w:lvlJc w:val="left"/>
      <w:pPr>
        <w:ind w:left="720" w:hanging="360"/>
      </w:pPr>
      <w:rPr>
        <w:rFonts w:ascii="Symbol" w:hAnsi="Symbol" w:hint="default"/>
      </w:rPr>
    </w:lvl>
    <w:lvl w:ilvl="1" w:tplc="70A26738" w:tentative="1">
      <w:start w:val="1"/>
      <w:numFmt w:val="bullet"/>
      <w:lvlText w:val="o"/>
      <w:lvlJc w:val="left"/>
      <w:pPr>
        <w:ind w:left="1440" w:hanging="360"/>
      </w:pPr>
      <w:rPr>
        <w:rFonts w:ascii="Courier New" w:hAnsi="Courier New" w:cs="Courier New" w:hint="default"/>
      </w:rPr>
    </w:lvl>
    <w:lvl w:ilvl="2" w:tplc="3BFEFB62" w:tentative="1">
      <w:start w:val="1"/>
      <w:numFmt w:val="bullet"/>
      <w:lvlText w:val=""/>
      <w:lvlJc w:val="left"/>
      <w:pPr>
        <w:ind w:left="2160" w:hanging="360"/>
      </w:pPr>
      <w:rPr>
        <w:rFonts w:ascii="Wingdings" w:hAnsi="Wingdings" w:hint="default"/>
      </w:rPr>
    </w:lvl>
    <w:lvl w:ilvl="3" w:tplc="9C0015E6" w:tentative="1">
      <w:start w:val="1"/>
      <w:numFmt w:val="bullet"/>
      <w:lvlText w:val=""/>
      <w:lvlJc w:val="left"/>
      <w:pPr>
        <w:ind w:left="2880" w:hanging="360"/>
      </w:pPr>
      <w:rPr>
        <w:rFonts w:ascii="Symbol" w:hAnsi="Symbol" w:hint="default"/>
      </w:rPr>
    </w:lvl>
    <w:lvl w:ilvl="4" w:tplc="9E1C1930" w:tentative="1">
      <w:start w:val="1"/>
      <w:numFmt w:val="bullet"/>
      <w:lvlText w:val="o"/>
      <w:lvlJc w:val="left"/>
      <w:pPr>
        <w:ind w:left="3600" w:hanging="360"/>
      </w:pPr>
      <w:rPr>
        <w:rFonts w:ascii="Courier New" w:hAnsi="Courier New" w:cs="Courier New" w:hint="default"/>
      </w:rPr>
    </w:lvl>
    <w:lvl w:ilvl="5" w:tplc="B0B80EDC" w:tentative="1">
      <w:start w:val="1"/>
      <w:numFmt w:val="bullet"/>
      <w:lvlText w:val=""/>
      <w:lvlJc w:val="left"/>
      <w:pPr>
        <w:ind w:left="4320" w:hanging="360"/>
      </w:pPr>
      <w:rPr>
        <w:rFonts w:ascii="Wingdings" w:hAnsi="Wingdings" w:hint="default"/>
      </w:rPr>
    </w:lvl>
    <w:lvl w:ilvl="6" w:tplc="748A41D8" w:tentative="1">
      <w:start w:val="1"/>
      <w:numFmt w:val="bullet"/>
      <w:lvlText w:val=""/>
      <w:lvlJc w:val="left"/>
      <w:pPr>
        <w:ind w:left="5040" w:hanging="360"/>
      </w:pPr>
      <w:rPr>
        <w:rFonts w:ascii="Symbol" w:hAnsi="Symbol" w:hint="default"/>
      </w:rPr>
    </w:lvl>
    <w:lvl w:ilvl="7" w:tplc="58C4D960" w:tentative="1">
      <w:start w:val="1"/>
      <w:numFmt w:val="bullet"/>
      <w:lvlText w:val="o"/>
      <w:lvlJc w:val="left"/>
      <w:pPr>
        <w:ind w:left="5760" w:hanging="360"/>
      </w:pPr>
      <w:rPr>
        <w:rFonts w:ascii="Courier New" w:hAnsi="Courier New" w:cs="Courier New" w:hint="default"/>
      </w:rPr>
    </w:lvl>
    <w:lvl w:ilvl="8" w:tplc="B7781B6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24"/>
    <w:rsid w:val="0003695B"/>
    <w:rsid w:val="000A065F"/>
    <w:rsid w:val="000D06A5"/>
    <w:rsid w:val="000D75B0"/>
    <w:rsid w:val="00103C24"/>
    <w:rsid w:val="00104035"/>
    <w:rsid w:val="00155399"/>
    <w:rsid w:val="00196EBE"/>
    <w:rsid w:val="00207EB0"/>
    <w:rsid w:val="00227CAC"/>
    <w:rsid w:val="00230AD2"/>
    <w:rsid w:val="0026167C"/>
    <w:rsid w:val="00263940"/>
    <w:rsid w:val="00263F3F"/>
    <w:rsid w:val="00267D9D"/>
    <w:rsid w:val="002853DA"/>
    <w:rsid w:val="002D3B69"/>
    <w:rsid w:val="002F6AD4"/>
    <w:rsid w:val="00351B08"/>
    <w:rsid w:val="00366697"/>
    <w:rsid w:val="003B198A"/>
    <w:rsid w:val="003B220F"/>
    <w:rsid w:val="003B6855"/>
    <w:rsid w:val="003C6424"/>
    <w:rsid w:val="003F5603"/>
    <w:rsid w:val="0041721C"/>
    <w:rsid w:val="0045182F"/>
    <w:rsid w:val="00476497"/>
    <w:rsid w:val="0049162F"/>
    <w:rsid w:val="00502081"/>
    <w:rsid w:val="00530ECE"/>
    <w:rsid w:val="005377C6"/>
    <w:rsid w:val="0055726D"/>
    <w:rsid w:val="00573B43"/>
    <w:rsid w:val="005C5424"/>
    <w:rsid w:val="005D5488"/>
    <w:rsid w:val="00617E6E"/>
    <w:rsid w:val="00634B49"/>
    <w:rsid w:val="0066161C"/>
    <w:rsid w:val="00675217"/>
    <w:rsid w:val="006830CD"/>
    <w:rsid w:val="006834E1"/>
    <w:rsid w:val="006934E1"/>
    <w:rsid w:val="006A5720"/>
    <w:rsid w:val="006B13D2"/>
    <w:rsid w:val="006B3B27"/>
    <w:rsid w:val="006E0EB1"/>
    <w:rsid w:val="006F6647"/>
    <w:rsid w:val="0071312F"/>
    <w:rsid w:val="00722E79"/>
    <w:rsid w:val="007447B9"/>
    <w:rsid w:val="007627DB"/>
    <w:rsid w:val="00771C92"/>
    <w:rsid w:val="007B0431"/>
    <w:rsid w:val="007B088B"/>
    <w:rsid w:val="007E188D"/>
    <w:rsid w:val="00803843"/>
    <w:rsid w:val="008129A3"/>
    <w:rsid w:val="00817562"/>
    <w:rsid w:val="00821667"/>
    <w:rsid w:val="00827DD4"/>
    <w:rsid w:val="00853876"/>
    <w:rsid w:val="00855863"/>
    <w:rsid w:val="00867C5A"/>
    <w:rsid w:val="00871201"/>
    <w:rsid w:val="00872C0B"/>
    <w:rsid w:val="008A78AC"/>
    <w:rsid w:val="008B7719"/>
    <w:rsid w:val="0090606C"/>
    <w:rsid w:val="0091597E"/>
    <w:rsid w:val="00943DBA"/>
    <w:rsid w:val="009A3803"/>
    <w:rsid w:val="009B3EA0"/>
    <w:rsid w:val="009D12E4"/>
    <w:rsid w:val="009D29C4"/>
    <w:rsid w:val="009F077A"/>
    <w:rsid w:val="00A46A77"/>
    <w:rsid w:val="00A6734C"/>
    <w:rsid w:val="00A73865"/>
    <w:rsid w:val="00A762C8"/>
    <w:rsid w:val="00AA026D"/>
    <w:rsid w:val="00AE57A3"/>
    <w:rsid w:val="00B14FDF"/>
    <w:rsid w:val="00B44286"/>
    <w:rsid w:val="00B57368"/>
    <w:rsid w:val="00B62C76"/>
    <w:rsid w:val="00BF3A0E"/>
    <w:rsid w:val="00C2574C"/>
    <w:rsid w:val="00C52497"/>
    <w:rsid w:val="00C543A8"/>
    <w:rsid w:val="00C7535C"/>
    <w:rsid w:val="00C778F5"/>
    <w:rsid w:val="00C858D1"/>
    <w:rsid w:val="00C94C59"/>
    <w:rsid w:val="00CA6EE8"/>
    <w:rsid w:val="00CB725B"/>
    <w:rsid w:val="00D12E37"/>
    <w:rsid w:val="00D25D3E"/>
    <w:rsid w:val="00D62109"/>
    <w:rsid w:val="00D94233"/>
    <w:rsid w:val="00DA3D15"/>
    <w:rsid w:val="00DC237C"/>
    <w:rsid w:val="00DD6A38"/>
    <w:rsid w:val="00E336F4"/>
    <w:rsid w:val="00E5117C"/>
    <w:rsid w:val="00E63B8E"/>
    <w:rsid w:val="00E73B9B"/>
    <w:rsid w:val="00E8089D"/>
    <w:rsid w:val="00EA4F58"/>
    <w:rsid w:val="00EE00BC"/>
    <w:rsid w:val="00EF1E6C"/>
    <w:rsid w:val="00F27E73"/>
    <w:rsid w:val="00F35AC7"/>
    <w:rsid w:val="00F36878"/>
    <w:rsid w:val="00F62B53"/>
    <w:rsid w:val="00F6615C"/>
    <w:rsid w:val="00F86A75"/>
    <w:rsid w:val="00FA1D0B"/>
    <w:rsid w:val="00FD33E3"/>
    <w:rsid w:val="00FD5E2F"/>
    <w:rsid w:val="00FE2A0F"/>
    <w:rsid w:val="00FF74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C06A64-F48C-41A7-A570-83DC345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DF"/>
  </w:style>
  <w:style w:type="paragraph" w:styleId="Heading1">
    <w:name w:val="heading 1"/>
    <w:basedOn w:val="Normal"/>
    <w:next w:val="Normal"/>
    <w:link w:val="Heading1Char"/>
    <w:uiPriority w:val="9"/>
    <w:qFormat/>
    <w:rsid w:val="00A738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9A3"/>
  </w:style>
  <w:style w:type="paragraph" w:styleId="Footer">
    <w:name w:val="footer"/>
    <w:basedOn w:val="Normal"/>
    <w:link w:val="FooterChar"/>
    <w:uiPriority w:val="99"/>
    <w:unhideWhenUsed/>
    <w:rsid w:val="00812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9A3"/>
  </w:style>
  <w:style w:type="paragraph" w:styleId="ListParagraph">
    <w:name w:val="List Paragraph"/>
    <w:basedOn w:val="Normal"/>
    <w:uiPriority w:val="34"/>
    <w:qFormat/>
    <w:rsid w:val="00A762C8"/>
    <w:pPr>
      <w:ind w:left="720"/>
      <w:contextualSpacing/>
    </w:pPr>
  </w:style>
  <w:style w:type="character" w:customStyle="1" w:styleId="Heading1Char">
    <w:name w:val="Heading 1 Char"/>
    <w:basedOn w:val="DefaultParagraphFont"/>
    <w:link w:val="Heading1"/>
    <w:uiPriority w:val="9"/>
    <w:rsid w:val="00A7386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73865"/>
  </w:style>
  <w:style w:type="paragraph" w:styleId="BalloonText">
    <w:name w:val="Balloon Text"/>
    <w:basedOn w:val="Normal"/>
    <w:link w:val="BalloonTextChar"/>
    <w:uiPriority w:val="99"/>
    <w:semiHidden/>
    <w:unhideWhenUsed/>
    <w:rsid w:val="00F8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rother\Desktop\New%20Microsoft%20Excel%20Workshee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brother\Desktop\New%20Microsoft%20Excel%20Workshee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rother\Desktop\New%20Microsoft%20Excel%20Worksheet.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Gross</a:t>
            </a:r>
            <a:r>
              <a:rPr lang="en-US" baseline="0"/>
              <a:t> NPA/Total Assets</a:t>
            </a:r>
            <a:endParaRPr lang="en-US"/>
          </a:p>
        </c:rich>
      </c:tx>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803149606299209E-2"/>
          <c:y val="0.17171296296296312"/>
          <c:w val="0.63639676290463687"/>
          <c:h val="0.6149843248760567"/>
        </c:manualLayout>
      </c:layout>
      <c:bar3DChart>
        <c:barDir val="col"/>
        <c:grouping val="standard"/>
        <c:varyColors val="0"/>
        <c:ser>
          <c:idx val="0"/>
          <c:order val="0"/>
          <c:tx>
            <c:strRef>
              <c:f>Sheet1!$H$6:$H$7</c:f>
              <c:strCache>
                <c:ptCount val="2"/>
                <c:pt idx="0">
                  <c:v>Public sector banks</c:v>
                </c:pt>
                <c:pt idx="1">
                  <c:v>Ratio</c:v>
                </c:pt>
              </c:strCache>
            </c:strRef>
          </c:tx>
          <c:spPr>
            <a:solidFill>
              <a:schemeClr val="accent1"/>
            </a:solidFill>
            <a:ln>
              <a:noFill/>
            </a:ln>
            <a:effectLst/>
            <a:sp3d/>
          </c:spPr>
          <c:invertIfNegative val="0"/>
          <c:cat>
            <c:strRef>
              <c:f>Sheet1!$G$8:$G$12</c:f>
              <c:strCache>
                <c:ptCount val="5"/>
                <c:pt idx="0">
                  <c:v>2013-14</c:v>
                </c:pt>
                <c:pt idx="1">
                  <c:v>2014-15</c:v>
                </c:pt>
                <c:pt idx="2">
                  <c:v>2015-16</c:v>
                </c:pt>
                <c:pt idx="3">
                  <c:v>2016-17</c:v>
                </c:pt>
                <c:pt idx="4">
                  <c:v>2017-18</c:v>
                </c:pt>
              </c:strCache>
            </c:strRef>
          </c:cat>
          <c:val>
            <c:numRef>
              <c:f>Sheet1!$H$8:$H$12</c:f>
              <c:numCache>
                <c:formatCode>General</c:formatCode>
                <c:ptCount val="5"/>
                <c:pt idx="0">
                  <c:v>2.9</c:v>
                </c:pt>
                <c:pt idx="1">
                  <c:v>3.2</c:v>
                </c:pt>
                <c:pt idx="2">
                  <c:v>5.9</c:v>
                </c:pt>
                <c:pt idx="3">
                  <c:v>7</c:v>
                </c:pt>
                <c:pt idx="4">
                  <c:v>8.9</c:v>
                </c:pt>
              </c:numCache>
            </c:numRef>
          </c:val>
        </c:ser>
        <c:ser>
          <c:idx val="1"/>
          <c:order val="1"/>
          <c:tx>
            <c:strRef>
              <c:f>Sheet1!$I$6:$I$7</c:f>
              <c:strCache>
                <c:ptCount val="2"/>
                <c:pt idx="0">
                  <c:v>Private sector banks</c:v>
                </c:pt>
                <c:pt idx="1">
                  <c:v>Ratio</c:v>
                </c:pt>
              </c:strCache>
            </c:strRef>
          </c:tx>
          <c:spPr>
            <a:solidFill>
              <a:schemeClr val="accent2"/>
            </a:solidFill>
            <a:ln>
              <a:noFill/>
            </a:ln>
            <a:effectLst/>
            <a:sp3d/>
          </c:spPr>
          <c:invertIfNegative val="0"/>
          <c:cat>
            <c:strRef>
              <c:f>Sheet1!$G$8:$G$12</c:f>
              <c:strCache>
                <c:ptCount val="5"/>
                <c:pt idx="0">
                  <c:v>2013-14</c:v>
                </c:pt>
                <c:pt idx="1">
                  <c:v>2014-15</c:v>
                </c:pt>
                <c:pt idx="2">
                  <c:v>2015-16</c:v>
                </c:pt>
                <c:pt idx="3">
                  <c:v>2016-17</c:v>
                </c:pt>
                <c:pt idx="4">
                  <c:v>2017-18</c:v>
                </c:pt>
              </c:strCache>
            </c:strRef>
          </c:cat>
          <c:val>
            <c:numRef>
              <c:f>Sheet1!$I$8:$I$12</c:f>
              <c:numCache>
                <c:formatCode>General</c:formatCode>
                <c:ptCount val="5"/>
                <c:pt idx="0">
                  <c:v>1.1000000000000001</c:v>
                </c:pt>
                <c:pt idx="1">
                  <c:v>1.3</c:v>
                </c:pt>
                <c:pt idx="2">
                  <c:v>1.8</c:v>
                </c:pt>
                <c:pt idx="3">
                  <c:v>2.6</c:v>
                </c:pt>
                <c:pt idx="4">
                  <c:v>3</c:v>
                </c:pt>
              </c:numCache>
            </c:numRef>
          </c:val>
        </c:ser>
        <c:ser>
          <c:idx val="2"/>
          <c:order val="2"/>
          <c:tx>
            <c:strRef>
              <c:f>Sheet1!$J$6:$J$7</c:f>
              <c:strCache>
                <c:ptCount val="2"/>
                <c:pt idx="0">
                  <c:v>FOREIGN banks</c:v>
                </c:pt>
                <c:pt idx="1">
                  <c:v>Ratio</c:v>
                </c:pt>
              </c:strCache>
            </c:strRef>
          </c:tx>
          <c:spPr>
            <a:solidFill>
              <a:schemeClr val="accent3"/>
            </a:solidFill>
            <a:ln>
              <a:noFill/>
            </a:ln>
            <a:effectLst/>
            <a:sp3d/>
          </c:spPr>
          <c:invertIfNegative val="0"/>
          <c:cat>
            <c:strRef>
              <c:f>Sheet1!$G$8:$G$12</c:f>
              <c:strCache>
                <c:ptCount val="5"/>
                <c:pt idx="0">
                  <c:v>2013-14</c:v>
                </c:pt>
                <c:pt idx="1">
                  <c:v>2014-15</c:v>
                </c:pt>
                <c:pt idx="2">
                  <c:v>2015-16</c:v>
                </c:pt>
                <c:pt idx="3">
                  <c:v>2016-17</c:v>
                </c:pt>
                <c:pt idx="4">
                  <c:v>2017-18</c:v>
                </c:pt>
              </c:strCache>
            </c:strRef>
          </c:cat>
          <c:val>
            <c:numRef>
              <c:f>Sheet1!$J$8:$J$12</c:f>
              <c:numCache>
                <c:formatCode>General</c:formatCode>
                <c:ptCount val="5"/>
                <c:pt idx="0">
                  <c:v>1.5</c:v>
                </c:pt>
                <c:pt idx="1">
                  <c:v>1.4</c:v>
                </c:pt>
                <c:pt idx="2">
                  <c:v>1.9000000000000001</c:v>
                </c:pt>
                <c:pt idx="3">
                  <c:v>1.7000000000000004</c:v>
                </c:pt>
                <c:pt idx="4">
                  <c:v>1.5</c:v>
                </c:pt>
              </c:numCache>
            </c:numRef>
          </c:val>
        </c:ser>
        <c:dLbls>
          <c:showLegendKey val="0"/>
          <c:showVal val="0"/>
          <c:showCatName val="0"/>
          <c:showSerName val="0"/>
          <c:showPercent val="0"/>
          <c:showBubbleSize val="0"/>
        </c:dLbls>
        <c:gapWidth val="150"/>
        <c:shape val="box"/>
        <c:axId val="308011464"/>
        <c:axId val="308009896"/>
        <c:axId val="382020632"/>
      </c:bar3DChart>
      <c:catAx>
        <c:axId val="308011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08009896"/>
        <c:crosses val="autoZero"/>
        <c:auto val="1"/>
        <c:lblAlgn val="ctr"/>
        <c:lblOffset val="100"/>
        <c:noMultiLvlLbl val="0"/>
      </c:catAx>
      <c:valAx>
        <c:axId val="308009896"/>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08011464"/>
        <c:crosses val="autoZero"/>
        <c:crossBetween val="between"/>
      </c:valAx>
      <c:serAx>
        <c:axId val="38202063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0800989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lgn="jus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Net NPA/Total Assets</a:t>
            </a:r>
          </a:p>
        </c:rich>
      </c:tx>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Sheet1!$P$6:$P$7</c:f>
              <c:strCache>
                <c:ptCount val="2"/>
                <c:pt idx="0">
                  <c:v>Public Sector Banks</c:v>
                </c:pt>
                <c:pt idx="1">
                  <c:v>Ratio</c:v>
                </c:pt>
              </c:strCache>
            </c:strRef>
          </c:tx>
          <c:spPr>
            <a:solidFill>
              <a:schemeClr val="accent1"/>
            </a:solidFill>
            <a:ln>
              <a:noFill/>
            </a:ln>
            <a:effectLst/>
            <a:sp3d/>
          </c:spPr>
          <c:invertIfNegative val="0"/>
          <c:cat>
            <c:strRef>
              <c:f>Sheet1!$O$8:$O$12</c:f>
              <c:strCache>
                <c:ptCount val="5"/>
                <c:pt idx="0">
                  <c:v>2013-14</c:v>
                </c:pt>
                <c:pt idx="1">
                  <c:v>2014-15</c:v>
                </c:pt>
                <c:pt idx="2">
                  <c:v>2015-16</c:v>
                </c:pt>
                <c:pt idx="3">
                  <c:v>2016-17</c:v>
                </c:pt>
                <c:pt idx="4">
                  <c:v>2017-18</c:v>
                </c:pt>
              </c:strCache>
            </c:strRef>
          </c:cat>
          <c:val>
            <c:numRef>
              <c:f>Sheet1!$P$8:$P$12</c:f>
              <c:numCache>
                <c:formatCode>General</c:formatCode>
                <c:ptCount val="5"/>
                <c:pt idx="0">
                  <c:v>1.6</c:v>
                </c:pt>
                <c:pt idx="1">
                  <c:v>1.8</c:v>
                </c:pt>
                <c:pt idx="2">
                  <c:v>3.6</c:v>
                </c:pt>
                <c:pt idx="3">
                  <c:v>3.9</c:v>
                </c:pt>
                <c:pt idx="4">
                  <c:v>4.5</c:v>
                </c:pt>
              </c:numCache>
            </c:numRef>
          </c:val>
        </c:ser>
        <c:ser>
          <c:idx val="1"/>
          <c:order val="1"/>
          <c:tx>
            <c:strRef>
              <c:f>Sheet1!$Q$6:$Q$7</c:f>
              <c:strCache>
                <c:ptCount val="2"/>
                <c:pt idx="0">
                  <c:v>Private Sector Banks</c:v>
                </c:pt>
                <c:pt idx="1">
                  <c:v>Ratio</c:v>
                </c:pt>
              </c:strCache>
            </c:strRef>
          </c:tx>
          <c:spPr>
            <a:solidFill>
              <a:schemeClr val="accent2"/>
            </a:solidFill>
            <a:ln>
              <a:noFill/>
            </a:ln>
            <a:effectLst/>
            <a:sp3d/>
          </c:spPr>
          <c:invertIfNegative val="0"/>
          <c:cat>
            <c:strRef>
              <c:f>Sheet1!$O$8:$O$12</c:f>
              <c:strCache>
                <c:ptCount val="5"/>
                <c:pt idx="0">
                  <c:v>2013-14</c:v>
                </c:pt>
                <c:pt idx="1">
                  <c:v>2014-15</c:v>
                </c:pt>
                <c:pt idx="2">
                  <c:v>2015-16</c:v>
                </c:pt>
                <c:pt idx="3">
                  <c:v>2016-17</c:v>
                </c:pt>
                <c:pt idx="4">
                  <c:v>2017-18</c:v>
                </c:pt>
              </c:strCache>
            </c:strRef>
          </c:cat>
          <c:val>
            <c:numRef>
              <c:f>Sheet1!$Q$8:$Q$12</c:f>
              <c:numCache>
                <c:formatCode>General</c:formatCode>
                <c:ptCount val="5"/>
                <c:pt idx="0">
                  <c:v>0.4</c:v>
                </c:pt>
                <c:pt idx="1">
                  <c:v>0.5</c:v>
                </c:pt>
                <c:pt idx="2">
                  <c:v>0.8</c:v>
                </c:pt>
                <c:pt idx="3">
                  <c:v>1.3</c:v>
                </c:pt>
                <c:pt idx="4">
                  <c:v>1.5</c:v>
                </c:pt>
              </c:numCache>
            </c:numRef>
          </c:val>
        </c:ser>
        <c:ser>
          <c:idx val="2"/>
          <c:order val="2"/>
          <c:tx>
            <c:strRef>
              <c:f>Sheet1!$R$6:$R$7</c:f>
              <c:strCache>
                <c:ptCount val="2"/>
                <c:pt idx="0">
                  <c:v>Foreign Banks</c:v>
                </c:pt>
                <c:pt idx="1">
                  <c:v>Ratio</c:v>
                </c:pt>
              </c:strCache>
            </c:strRef>
          </c:tx>
          <c:spPr>
            <a:solidFill>
              <a:schemeClr val="accent3"/>
            </a:solidFill>
            <a:ln>
              <a:noFill/>
            </a:ln>
            <a:effectLst/>
            <a:sp3d/>
          </c:spPr>
          <c:invertIfNegative val="0"/>
          <c:cat>
            <c:strRef>
              <c:f>Sheet1!$O$8:$O$12</c:f>
              <c:strCache>
                <c:ptCount val="5"/>
                <c:pt idx="0">
                  <c:v>2013-14</c:v>
                </c:pt>
                <c:pt idx="1">
                  <c:v>2014-15</c:v>
                </c:pt>
                <c:pt idx="2">
                  <c:v>2015-16</c:v>
                </c:pt>
                <c:pt idx="3">
                  <c:v>2016-17</c:v>
                </c:pt>
                <c:pt idx="4">
                  <c:v>2017-18</c:v>
                </c:pt>
              </c:strCache>
            </c:strRef>
          </c:cat>
          <c:val>
            <c:numRef>
              <c:f>Sheet1!$R$8:$R$12</c:f>
              <c:numCache>
                <c:formatCode>General</c:formatCode>
                <c:ptCount val="5"/>
                <c:pt idx="0">
                  <c:v>0.4</c:v>
                </c:pt>
                <c:pt idx="1">
                  <c:v>0.2</c:v>
                </c:pt>
                <c:pt idx="2">
                  <c:v>0.30000000000000021</c:v>
                </c:pt>
                <c:pt idx="3">
                  <c:v>0.30000000000000021</c:v>
                </c:pt>
                <c:pt idx="4">
                  <c:v>0.17</c:v>
                </c:pt>
              </c:numCache>
            </c:numRef>
          </c:val>
        </c:ser>
        <c:dLbls>
          <c:showLegendKey val="0"/>
          <c:showVal val="0"/>
          <c:showCatName val="0"/>
          <c:showSerName val="0"/>
          <c:showPercent val="0"/>
          <c:showBubbleSize val="0"/>
        </c:dLbls>
        <c:gapWidth val="150"/>
        <c:shape val="box"/>
        <c:axId val="385668760"/>
        <c:axId val="385668368"/>
        <c:axId val="382015120"/>
      </c:bar3DChart>
      <c:catAx>
        <c:axId val="385668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68368"/>
        <c:crosses val="autoZero"/>
        <c:auto val="1"/>
        <c:lblAlgn val="ctr"/>
        <c:lblOffset val="100"/>
        <c:noMultiLvlLbl val="0"/>
      </c:catAx>
      <c:valAx>
        <c:axId val="38566836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68760"/>
        <c:crosses val="autoZero"/>
        <c:crossBetween val="between"/>
      </c:valAx>
      <c:serAx>
        <c:axId val="3820151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6836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Gross</a:t>
            </a:r>
            <a:r>
              <a:rPr lang="en-US" baseline="0"/>
              <a:t> NPA/Total assets</a:t>
            </a:r>
            <a:endParaRPr lang="en-US"/>
          </a:p>
        </c:rich>
      </c:tx>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Sheet1!$U$3</c:f>
              <c:strCache>
                <c:ptCount val="1"/>
                <c:pt idx="0">
                  <c:v>Public Sector Banks</c:v>
                </c:pt>
              </c:strCache>
            </c:strRef>
          </c:tx>
          <c:spPr>
            <a:solidFill>
              <a:schemeClr val="accent1"/>
            </a:solidFill>
            <a:ln>
              <a:noFill/>
            </a:ln>
            <a:effectLst/>
            <a:sp3d/>
          </c:spPr>
          <c:invertIfNegative val="0"/>
          <c:cat>
            <c:strRef>
              <c:f>Sheet1!$T$4:$T$7</c:f>
              <c:strCache>
                <c:ptCount val="4"/>
                <c:pt idx="0">
                  <c:v>2014-15</c:v>
                </c:pt>
                <c:pt idx="1">
                  <c:v>2015-16</c:v>
                </c:pt>
                <c:pt idx="2">
                  <c:v>2016-17</c:v>
                </c:pt>
                <c:pt idx="3">
                  <c:v>2017-18</c:v>
                </c:pt>
              </c:strCache>
            </c:strRef>
          </c:cat>
          <c:val>
            <c:numRef>
              <c:f>Sheet1!$U$4:$U$7</c:f>
              <c:numCache>
                <c:formatCode>General</c:formatCode>
                <c:ptCount val="4"/>
                <c:pt idx="0">
                  <c:v>5.67</c:v>
                </c:pt>
                <c:pt idx="1">
                  <c:v>9.9</c:v>
                </c:pt>
                <c:pt idx="2">
                  <c:v>11.7</c:v>
                </c:pt>
                <c:pt idx="3">
                  <c:v>15.7</c:v>
                </c:pt>
              </c:numCache>
            </c:numRef>
          </c:val>
        </c:ser>
        <c:ser>
          <c:idx val="1"/>
          <c:order val="1"/>
          <c:tx>
            <c:strRef>
              <c:f>Sheet1!$V$3</c:f>
              <c:strCache>
                <c:ptCount val="1"/>
                <c:pt idx="0">
                  <c:v>Private Sector Banks</c:v>
                </c:pt>
              </c:strCache>
            </c:strRef>
          </c:tx>
          <c:spPr>
            <a:solidFill>
              <a:schemeClr val="accent2"/>
            </a:solidFill>
            <a:ln>
              <a:noFill/>
            </a:ln>
            <a:effectLst/>
            <a:sp3d/>
          </c:spPr>
          <c:invertIfNegative val="0"/>
          <c:cat>
            <c:strRef>
              <c:f>Sheet1!$T$4:$T$7</c:f>
              <c:strCache>
                <c:ptCount val="4"/>
                <c:pt idx="0">
                  <c:v>2014-15</c:v>
                </c:pt>
                <c:pt idx="1">
                  <c:v>2015-16</c:v>
                </c:pt>
                <c:pt idx="2">
                  <c:v>2016-17</c:v>
                </c:pt>
                <c:pt idx="3">
                  <c:v>2017-18</c:v>
                </c:pt>
              </c:strCache>
            </c:strRef>
          </c:cat>
          <c:val>
            <c:numRef>
              <c:f>Sheet1!$V$4:$V$7</c:f>
              <c:numCache>
                <c:formatCode>General</c:formatCode>
                <c:ptCount val="4"/>
                <c:pt idx="0">
                  <c:v>2.2000000000000002</c:v>
                </c:pt>
                <c:pt idx="1">
                  <c:v>2.9</c:v>
                </c:pt>
                <c:pt idx="2">
                  <c:v>4.2</c:v>
                </c:pt>
                <c:pt idx="3">
                  <c:v>4.8</c:v>
                </c:pt>
              </c:numCache>
            </c:numRef>
          </c:val>
        </c:ser>
        <c:ser>
          <c:idx val="2"/>
          <c:order val="2"/>
          <c:tx>
            <c:strRef>
              <c:f>Sheet1!$W$3</c:f>
              <c:strCache>
                <c:ptCount val="1"/>
                <c:pt idx="0">
                  <c:v>Foreign Banks</c:v>
                </c:pt>
              </c:strCache>
            </c:strRef>
          </c:tx>
          <c:spPr>
            <a:solidFill>
              <a:schemeClr val="accent3"/>
            </a:solidFill>
            <a:ln>
              <a:noFill/>
            </a:ln>
            <a:effectLst/>
            <a:sp3d/>
          </c:spPr>
          <c:invertIfNegative val="0"/>
          <c:cat>
            <c:strRef>
              <c:f>Sheet1!$T$4:$T$7</c:f>
              <c:strCache>
                <c:ptCount val="4"/>
                <c:pt idx="0">
                  <c:v>2014-15</c:v>
                </c:pt>
                <c:pt idx="1">
                  <c:v>2015-16</c:v>
                </c:pt>
                <c:pt idx="2">
                  <c:v>2016-17</c:v>
                </c:pt>
                <c:pt idx="3">
                  <c:v>2017-18</c:v>
                </c:pt>
              </c:strCache>
            </c:strRef>
          </c:cat>
          <c:val>
            <c:numRef>
              <c:f>Sheet1!$W$4:$W$7</c:f>
              <c:numCache>
                <c:formatCode>General</c:formatCode>
                <c:ptCount val="4"/>
                <c:pt idx="0">
                  <c:v>3.3</c:v>
                </c:pt>
                <c:pt idx="1">
                  <c:v>4.3</c:v>
                </c:pt>
                <c:pt idx="2">
                  <c:v>4.0999999999999996</c:v>
                </c:pt>
                <c:pt idx="3">
                  <c:v>3.9</c:v>
                </c:pt>
              </c:numCache>
            </c:numRef>
          </c:val>
        </c:ser>
        <c:dLbls>
          <c:showLegendKey val="0"/>
          <c:showVal val="0"/>
          <c:showCatName val="0"/>
          <c:showSerName val="0"/>
          <c:showPercent val="0"/>
          <c:showBubbleSize val="0"/>
        </c:dLbls>
        <c:gapWidth val="150"/>
        <c:shape val="box"/>
        <c:axId val="385667976"/>
        <c:axId val="385669152"/>
        <c:axId val="388814568"/>
      </c:bar3DChart>
      <c:catAx>
        <c:axId val="385667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69152"/>
        <c:crosses val="autoZero"/>
        <c:auto val="1"/>
        <c:lblAlgn val="ctr"/>
        <c:lblOffset val="100"/>
        <c:noMultiLvlLbl val="0"/>
      </c:catAx>
      <c:valAx>
        <c:axId val="385669152"/>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67976"/>
        <c:crosses val="autoZero"/>
        <c:crossBetween val="between"/>
      </c:valAx>
      <c:serAx>
        <c:axId val="3888145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69152"/>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Net</a:t>
            </a:r>
            <a:r>
              <a:rPr lang="en-US" baseline="0"/>
              <a:t> NPA/Total Advances</a:t>
            </a:r>
            <a:endParaRPr lang="en-US"/>
          </a:p>
        </c:rich>
      </c:tx>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Sheet1!$T$14</c:f>
              <c:strCache>
                <c:ptCount val="1"/>
                <c:pt idx="0">
                  <c:v>Public sector Bank</c:v>
                </c:pt>
              </c:strCache>
            </c:strRef>
          </c:tx>
          <c:spPr>
            <a:solidFill>
              <a:schemeClr val="accent1"/>
            </a:solidFill>
            <a:ln>
              <a:noFill/>
            </a:ln>
            <a:effectLst/>
            <a:sp3d/>
          </c:spPr>
          <c:invertIfNegative val="0"/>
          <c:cat>
            <c:strRef>
              <c:f>Sheet1!$S$15:$S$18</c:f>
              <c:strCache>
                <c:ptCount val="4"/>
                <c:pt idx="0">
                  <c:v>2014-15</c:v>
                </c:pt>
                <c:pt idx="1">
                  <c:v>2015-16</c:v>
                </c:pt>
                <c:pt idx="2">
                  <c:v>2016-17</c:v>
                </c:pt>
                <c:pt idx="3">
                  <c:v>2017-18</c:v>
                </c:pt>
              </c:strCache>
            </c:strRef>
          </c:cat>
          <c:val>
            <c:numRef>
              <c:f>Sheet1!$T$15:$T$18</c:f>
              <c:numCache>
                <c:formatCode>General</c:formatCode>
                <c:ptCount val="4"/>
                <c:pt idx="0">
                  <c:v>3.2</c:v>
                </c:pt>
                <c:pt idx="1">
                  <c:v>5.9</c:v>
                </c:pt>
                <c:pt idx="2">
                  <c:v>6.5</c:v>
                </c:pt>
                <c:pt idx="3">
                  <c:v>8</c:v>
                </c:pt>
              </c:numCache>
            </c:numRef>
          </c:val>
        </c:ser>
        <c:ser>
          <c:idx val="1"/>
          <c:order val="1"/>
          <c:tx>
            <c:strRef>
              <c:f>Sheet1!$U$14</c:f>
              <c:strCache>
                <c:ptCount val="1"/>
                <c:pt idx="0">
                  <c:v>Private Sector Bank</c:v>
                </c:pt>
              </c:strCache>
            </c:strRef>
          </c:tx>
          <c:spPr>
            <a:solidFill>
              <a:schemeClr val="accent2"/>
            </a:solidFill>
            <a:ln>
              <a:noFill/>
            </a:ln>
            <a:effectLst/>
            <a:sp3d/>
          </c:spPr>
          <c:invertIfNegative val="0"/>
          <c:cat>
            <c:strRef>
              <c:f>Sheet1!$S$15:$S$18</c:f>
              <c:strCache>
                <c:ptCount val="4"/>
                <c:pt idx="0">
                  <c:v>2014-15</c:v>
                </c:pt>
                <c:pt idx="1">
                  <c:v>2015-16</c:v>
                </c:pt>
                <c:pt idx="2">
                  <c:v>2016-17</c:v>
                </c:pt>
                <c:pt idx="3">
                  <c:v>2017-18</c:v>
                </c:pt>
              </c:strCache>
            </c:strRef>
          </c:cat>
          <c:val>
            <c:numRef>
              <c:f>Sheet1!$U$15:$U$18</c:f>
              <c:numCache>
                <c:formatCode>General</c:formatCode>
                <c:ptCount val="4"/>
                <c:pt idx="0">
                  <c:v>0.9</c:v>
                </c:pt>
                <c:pt idx="1">
                  <c:v>1.4</c:v>
                </c:pt>
                <c:pt idx="2">
                  <c:v>2.2000000000000002</c:v>
                </c:pt>
                <c:pt idx="3">
                  <c:v>2.4</c:v>
                </c:pt>
              </c:numCache>
            </c:numRef>
          </c:val>
        </c:ser>
        <c:ser>
          <c:idx val="2"/>
          <c:order val="2"/>
          <c:tx>
            <c:strRef>
              <c:f>Sheet1!$V$14</c:f>
              <c:strCache>
                <c:ptCount val="1"/>
                <c:pt idx="0">
                  <c:v>Foreign Banks</c:v>
                </c:pt>
              </c:strCache>
            </c:strRef>
          </c:tx>
          <c:spPr>
            <a:solidFill>
              <a:schemeClr val="accent3"/>
            </a:solidFill>
            <a:ln>
              <a:noFill/>
            </a:ln>
            <a:effectLst/>
            <a:sp3d/>
          </c:spPr>
          <c:invertIfNegative val="0"/>
          <c:cat>
            <c:strRef>
              <c:f>Sheet1!$S$15:$S$18</c:f>
              <c:strCache>
                <c:ptCount val="4"/>
                <c:pt idx="0">
                  <c:v>2014-15</c:v>
                </c:pt>
                <c:pt idx="1">
                  <c:v>2015-16</c:v>
                </c:pt>
                <c:pt idx="2">
                  <c:v>2016-17</c:v>
                </c:pt>
                <c:pt idx="3">
                  <c:v>2017-18</c:v>
                </c:pt>
              </c:strCache>
            </c:strRef>
          </c:cat>
          <c:val>
            <c:numRef>
              <c:f>Sheet1!$V$15:$V$18</c:f>
              <c:numCache>
                <c:formatCode>General</c:formatCode>
                <c:ptCount val="4"/>
                <c:pt idx="0">
                  <c:v>0.5</c:v>
                </c:pt>
                <c:pt idx="1">
                  <c:v>0.75000000000000044</c:v>
                </c:pt>
                <c:pt idx="2">
                  <c:v>0.60000000000000042</c:v>
                </c:pt>
                <c:pt idx="3">
                  <c:v>0.4</c:v>
                </c:pt>
              </c:numCache>
            </c:numRef>
          </c:val>
        </c:ser>
        <c:dLbls>
          <c:showLegendKey val="0"/>
          <c:showVal val="0"/>
          <c:showCatName val="0"/>
          <c:showSerName val="0"/>
          <c:showPercent val="0"/>
          <c:showBubbleSize val="0"/>
        </c:dLbls>
        <c:gapWidth val="150"/>
        <c:shape val="box"/>
        <c:axId val="385667584"/>
        <c:axId val="385670328"/>
        <c:axId val="388815840"/>
      </c:bar3DChart>
      <c:catAx>
        <c:axId val="385667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70328"/>
        <c:crosses val="autoZero"/>
        <c:auto val="1"/>
        <c:lblAlgn val="ctr"/>
        <c:lblOffset val="100"/>
        <c:noMultiLvlLbl val="0"/>
      </c:catAx>
      <c:valAx>
        <c:axId val="385670328"/>
        <c:scaling>
          <c:orientation val="minMax"/>
        </c:scaling>
        <c:delete val="0"/>
        <c:axPos val="l"/>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67584"/>
        <c:crosses val="autoZero"/>
        <c:crossBetween val="between"/>
      </c:valAx>
      <c:serAx>
        <c:axId val="38881584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567032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bod06</b:Tag>
    <b:SourceType>JournalArticle</b:SourceType>
    <b:Guid>{A7E2F711-14A9-4C90-A5EE-D7C420DA993C}</b:Guid>
    <b:Title>Determinants of Profitability of Banks in INDIA: A Multivariate Analysis.</b:Title>
    <b:JournalName>journal of services research</b:JournalName>
    <b:Year>2006</b:Year>
    <b:Author>
      <b:Author>
        <b:NameList>
          <b:Person>
            <b:Last>bodla</b:Last>
            <b:First>b.s</b:First>
          </b:Person>
          <b:Person>
            <b:Last>verma </b:Last>
            <b:First>richa</b:First>
          </b:Person>
        </b:NameList>
      </b:Author>
    </b:Author>
    <b:RefOrder>1</b:RefOrder>
  </b:Source>
</b:Sources>
</file>

<file path=customXml/itemProps1.xml><?xml version="1.0" encoding="utf-8"?>
<ds:datastoreItem xmlns:ds="http://schemas.openxmlformats.org/officeDocument/2006/customXml" ds:itemID="{65F30722-0D0B-47EF-B20D-A591A82D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bhutani</dc:creator>
  <cp:lastModifiedBy>tina bhutani</cp:lastModifiedBy>
  <cp:revision>2</cp:revision>
  <dcterms:created xsi:type="dcterms:W3CDTF">2019-06-03T06:25:00Z</dcterms:created>
  <dcterms:modified xsi:type="dcterms:W3CDTF">2019-06-03T06:25:00Z</dcterms:modified>
</cp:coreProperties>
</file>