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12D33" w:rsidRPr="00E12D33" w:rsidRDefault="00E12D33" w:rsidP="00E12D33">
      <w:pPr>
        <w:widowControl/>
        <w:adjustRightInd/>
        <w:spacing w:after="80" w:line="240" w:lineRule="auto"/>
        <w:jc w:val="center"/>
        <w:textAlignment w:val="auto"/>
        <w:rPr>
          <w:rFonts w:eastAsia="Calibri"/>
          <w:b/>
          <w:iCs/>
          <w:sz w:val="28"/>
          <w:szCs w:val="28"/>
          <w:lang w:val="en-GB" w:eastAsia="en-US"/>
        </w:rPr>
      </w:pPr>
      <w:r w:rsidRPr="00E12D33">
        <w:rPr>
          <w:rFonts w:eastAsia="Calibri"/>
          <w:b/>
          <w:sz w:val="28"/>
          <w:szCs w:val="28"/>
          <w:lang w:eastAsia="en-US"/>
        </w:rPr>
        <w:t>Bearing Capacity Affecting the Design of Shallow Foundation in Various Regions of Iraq Using SAP200 &amp; SAFE softwares</w:t>
      </w:r>
      <w:r w:rsidRPr="00E12D33">
        <w:rPr>
          <w:rFonts w:eastAsia="Calibri"/>
          <w:b/>
          <w:iCs/>
          <w:sz w:val="28"/>
          <w:szCs w:val="28"/>
          <w:lang w:val="en-GB" w:eastAsia="en-US"/>
        </w:rPr>
        <w:t xml:space="preserve"> </w:t>
      </w:r>
    </w:p>
    <w:p w:rsidR="00E12D33" w:rsidRPr="00E12D33" w:rsidRDefault="00E12D33" w:rsidP="00E12D33">
      <w:pPr>
        <w:widowControl/>
        <w:autoSpaceDE w:val="0"/>
        <w:autoSpaceDN w:val="0"/>
        <w:spacing w:line="240" w:lineRule="auto"/>
        <w:textAlignment w:val="bottom"/>
        <w:rPr>
          <w:b/>
          <w:color w:val="000000"/>
          <w:szCs w:val="24"/>
          <w:lang w:val="en-GB"/>
        </w:rPr>
      </w:pPr>
    </w:p>
    <w:p w:rsidR="00E12D33" w:rsidRPr="00E12D33" w:rsidRDefault="00E12D33" w:rsidP="00B1683B">
      <w:pPr>
        <w:widowControl/>
        <w:adjustRightInd/>
        <w:spacing w:afterLines="40" w:after="96" w:line="240" w:lineRule="auto"/>
        <w:jc w:val="center"/>
        <w:textAlignment w:val="auto"/>
        <w:rPr>
          <w:rFonts w:eastAsia="Calibri"/>
          <w:b/>
          <w:szCs w:val="24"/>
          <w:lang w:val="sv-SE" w:eastAsia="en-US"/>
        </w:rPr>
      </w:pPr>
      <w:r w:rsidRPr="00E12D33">
        <w:rPr>
          <w:rFonts w:eastAsia="Calibri"/>
          <w:b/>
          <w:szCs w:val="24"/>
          <w:lang w:val="sv-SE" w:eastAsia="en-US"/>
        </w:rPr>
        <w:t>Entidhar Al-Taie</w:t>
      </w:r>
      <w:r w:rsidR="00B1683B">
        <w:rPr>
          <w:rStyle w:val="FootnoteReference"/>
          <w:rFonts w:eastAsia="Calibri"/>
          <w:b/>
          <w:szCs w:val="24"/>
          <w:lang w:val="sv-SE" w:eastAsia="en-US"/>
        </w:rPr>
        <w:footnoteReference w:id="1"/>
      </w:r>
      <w:r w:rsidRPr="00E12D33">
        <w:rPr>
          <w:rFonts w:eastAsia="Calibri"/>
          <w:b/>
          <w:szCs w:val="24"/>
          <w:lang w:val="sv-SE" w:eastAsia="en-US"/>
        </w:rPr>
        <w:t>, Nadhir Al-Ansari</w:t>
      </w:r>
      <w:r w:rsidR="00B1683B">
        <w:rPr>
          <w:rStyle w:val="FootnoteReference"/>
          <w:rFonts w:eastAsia="Calibri"/>
          <w:b/>
          <w:szCs w:val="24"/>
          <w:lang w:val="sv-SE" w:eastAsia="en-US"/>
        </w:rPr>
        <w:footnoteReference w:id="2"/>
      </w:r>
      <w:r w:rsidRPr="00E12D33">
        <w:rPr>
          <w:rFonts w:eastAsia="Calibri"/>
          <w:b/>
          <w:szCs w:val="24"/>
          <w:lang w:val="sv-SE" w:eastAsia="en-US"/>
        </w:rPr>
        <w:t>,</w:t>
      </w:r>
      <w:r w:rsidRPr="00E12D33">
        <w:rPr>
          <w:rFonts w:eastAsia="Times New Roman"/>
          <w:b/>
          <w:bCs/>
          <w:szCs w:val="24"/>
          <w:lang w:val="sv-SE" w:eastAsia="en-US" w:bidi="ar-IQ"/>
        </w:rPr>
        <w:t xml:space="preserve"> Tarek Edrees Saaed</w:t>
      </w:r>
      <w:r w:rsidR="00B1683B">
        <w:rPr>
          <w:rStyle w:val="FootnoteReference"/>
          <w:rFonts w:eastAsia="Times New Roman"/>
          <w:b/>
          <w:bCs/>
          <w:szCs w:val="24"/>
          <w:lang w:val="sv-SE" w:eastAsia="en-US" w:bidi="ar-IQ"/>
        </w:rPr>
        <w:footnoteReference w:id="3"/>
      </w:r>
      <w:r w:rsidRPr="00E12D33">
        <w:rPr>
          <w:rFonts w:eastAsia="Times New Roman"/>
          <w:b/>
          <w:bCs/>
          <w:szCs w:val="24"/>
          <w:lang w:val="sv-SE" w:eastAsia="en-US" w:bidi="ar-IQ"/>
        </w:rPr>
        <w:t>,</w:t>
      </w:r>
      <w:r w:rsidRPr="00E12D33">
        <w:rPr>
          <w:rFonts w:eastAsia="Calibri"/>
          <w:b/>
          <w:szCs w:val="24"/>
          <w:lang w:val="sv-SE" w:eastAsia="en-US"/>
        </w:rPr>
        <w:t xml:space="preserve"> Sven Knutsson</w:t>
      </w:r>
      <w:r w:rsidR="00B1683B">
        <w:rPr>
          <w:rStyle w:val="FootnoteReference"/>
          <w:rFonts w:eastAsia="Calibri"/>
          <w:b/>
          <w:szCs w:val="24"/>
          <w:lang w:val="sv-SE" w:eastAsia="en-US"/>
        </w:rPr>
        <w:footnoteReference w:id="4"/>
      </w:r>
    </w:p>
    <w:p w:rsidR="0077016D" w:rsidRPr="00E12D33" w:rsidRDefault="0077016D" w:rsidP="0077016D">
      <w:pPr>
        <w:widowControl/>
        <w:autoSpaceDE w:val="0"/>
        <w:autoSpaceDN w:val="0"/>
        <w:spacing w:line="240" w:lineRule="auto"/>
        <w:textAlignment w:val="bottom"/>
        <w:rPr>
          <w:color w:val="000000"/>
          <w:szCs w:val="24"/>
          <w:lang w:val="sv-SE"/>
        </w:rPr>
      </w:pPr>
    </w:p>
    <w:p w:rsidR="00E74776"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E12D33" w:rsidRDefault="00E12D33" w:rsidP="000B1D94">
      <w:pPr>
        <w:pStyle w:val="ListParagraph"/>
        <w:ind w:left="0"/>
        <w:jc w:val="both"/>
        <w:rPr>
          <w:rFonts w:ascii="Times New Roman" w:eastAsia="Times New Roman" w:hAnsi="Times New Roman" w:cs="Times New Roman"/>
          <w:sz w:val="24"/>
          <w:szCs w:val="24"/>
          <w:lang w:val="en-GB" w:bidi="ar-IQ"/>
        </w:rPr>
      </w:pPr>
      <w:r>
        <w:rPr>
          <w:rFonts w:ascii="Times New Roman" w:eastAsia="Times New Roman" w:hAnsi="Times New Roman" w:cs="Times New Roman"/>
          <w:sz w:val="24"/>
          <w:szCs w:val="24"/>
          <w:lang w:val="en-GB" w:bidi="ar-IQ"/>
        </w:rPr>
        <w:t>B</w:t>
      </w:r>
      <w:r w:rsidRPr="003F0213">
        <w:rPr>
          <w:rFonts w:ascii="Times New Roman" w:eastAsia="Times New Roman" w:hAnsi="Times New Roman" w:cs="Times New Roman"/>
          <w:sz w:val="24"/>
          <w:szCs w:val="24"/>
          <w:lang w:val="en-GB" w:bidi="ar-IQ"/>
        </w:rPr>
        <w:t>earing pressure</w:t>
      </w:r>
      <w:r>
        <w:rPr>
          <w:rFonts w:ascii="Times New Roman" w:eastAsia="Times New Roman" w:hAnsi="Times New Roman" w:cs="Times New Roman"/>
          <w:b/>
          <w:bCs/>
          <w:sz w:val="28"/>
          <w:szCs w:val="28"/>
          <w:lang w:val="en-GB" w:bidi="ar-IQ"/>
        </w:rPr>
        <w:t xml:space="preserve"> </w:t>
      </w:r>
      <w:r w:rsidRPr="003F0213">
        <w:rPr>
          <w:rFonts w:ascii="Times New Roman" w:eastAsia="Times New Roman" w:hAnsi="Times New Roman" w:cs="Times New Roman"/>
          <w:sz w:val="24"/>
          <w:szCs w:val="24"/>
          <w:lang w:val="en-GB" w:bidi="ar-IQ"/>
        </w:rPr>
        <w:t xml:space="preserve">is </w:t>
      </w:r>
      <w:r>
        <w:rPr>
          <w:rFonts w:ascii="Times New Roman" w:eastAsia="Times New Roman" w:hAnsi="Times New Roman" w:cs="Times New Roman"/>
          <w:sz w:val="24"/>
          <w:szCs w:val="24"/>
          <w:lang w:val="en-GB" w:bidi="ar-IQ"/>
        </w:rPr>
        <w:t>the</w:t>
      </w:r>
      <w:r>
        <w:rPr>
          <w:rFonts w:ascii="Times New Roman" w:eastAsia="Times New Roman" w:hAnsi="Times New Roman" w:cs="Times New Roman"/>
          <w:b/>
          <w:bCs/>
          <w:sz w:val="28"/>
          <w:szCs w:val="28"/>
          <w:lang w:val="en-GB" w:bidi="ar-IQ"/>
        </w:rPr>
        <w:t xml:space="preserve"> </w:t>
      </w:r>
      <w:r w:rsidRPr="00EE2799">
        <w:rPr>
          <w:rFonts w:ascii="Times New Roman" w:eastAsia="Times New Roman" w:hAnsi="Times New Roman" w:cs="Times New Roman"/>
          <w:sz w:val="24"/>
          <w:szCs w:val="24"/>
          <w:lang w:val="en-GB" w:bidi="ar-IQ"/>
        </w:rPr>
        <w:t>load per unit</w:t>
      </w:r>
      <w:r>
        <w:rPr>
          <w:rFonts w:ascii="Times New Roman" w:eastAsia="Times New Roman" w:hAnsi="Times New Roman" w:cs="Times New Roman"/>
          <w:sz w:val="24"/>
          <w:szCs w:val="24"/>
          <w:lang w:val="en-GB" w:bidi="ar-IQ"/>
        </w:rPr>
        <w:t xml:space="preserve"> area along the foundation bottom. The value of bearing pressure can be obtained from soil exploration. In</w:t>
      </w:r>
      <w:r>
        <w:rPr>
          <w:rFonts w:ascii="Times New Roman" w:eastAsia="Times New Roman" w:hAnsi="Times New Roman" w:cs="Times New Roman"/>
          <w:b/>
          <w:bCs/>
          <w:sz w:val="28"/>
          <w:szCs w:val="28"/>
          <w:lang w:val="en-GB" w:bidi="ar-IQ"/>
        </w:rPr>
        <w:t xml:space="preserve"> </w:t>
      </w:r>
      <w:r>
        <w:rPr>
          <w:rFonts w:ascii="Times New Roman" w:eastAsia="Times New Roman" w:hAnsi="Times New Roman" w:cs="Times New Roman"/>
          <w:sz w:val="24"/>
          <w:szCs w:val="24"/>
          <w:lang w:val="en-GB" w:bidi="ar-IQ"/>
        </w:rPr>
        <w:t>this research, three sites in Iraq were tested (Mosul at north, Baghdad at middle and Basrah at south) for the best type of foundation to be chosen.</w:t>
      </w:r>
      <w:r>
        <w:rPr>
          <w:rFonts w:ascii="Times New Roman" w:eastAsia="Times New Roman" w:hAnsi="Times New Roman" w:cs="Times New Roman"/>
          <w:b/>
          <w:bCs/>
          <w:sz w:val="28"/>
          <w:szCs w:val="28"/>
          <w:lang w:val="en-GB" w:bidi="ar-IQ"/>
        </w:rPr>
        <w:t xml:space="preserve"> </w:t>
      </w:r>
      <w:r w:rsidRPr="000E2C2F">
        <w:rPr>
          <w:rFonts w:ascii="Times New Roman" w:eastAsia="Times New Roman" w:hAnsi="Times New Roman" w:cs="Times New Roman"/>
          <w:sz w:val="24"/>
          <w:szCs w:val="24"/>
          <w:lang w:val="en-GB" w:bidi="ar-IQ"/>
        </w:rPr>
        <w:t>Seventy nine</w:t>
      </w:r>
      <w:r>
        <w:rPr>
          <w:rFonts w:ascii="Times New Roman" w:eastAsia="Times New Roman" w:hAnsi="Times New Roman" w:cs="Times New Roman"/>
          <w:sz w:val="24"/>
          <w:szCs w:val="24"/>
          <w:lang w:val="en-GB" w:bidi="ar-IQ"/>
        </w:rPr>
        <w:t xml:space="preserve"> samples</w:t>
      </w:r>
      <w:r w:rsidRPr="00833EEB">
        <w:rPr>
          <w:rFonts w:ascii="Times New Roman" w:eastAsia="Times New Roman" w:hAnsi="Times New Roman" w:cs="Times New Roman"/>
          <w:sz w:val="24"/>
          <w:szCs w:val="24"/>
          <w:lang w:val="en-GB" w:bidi="ar-IQ"/>
        </w:rPr>
        <w:t xml:space="preserve"> </w:t>
      </w:r>
      <w:r>
        <w:rPr>
          <w:rFonts w:ascii="Times New Roman" w:eastAsia="Times New Roman" w:hAnsi="Times New Roman" w:cs="Times New Roman"/>
          <w:sz w:val="24"/>
          <w:szCs w:val="24"/>
          <w:lang w:val="en-GB" w:bidi="ar-IQ"/>
        </w:rPr>
        <w:t xml:space="preserve">were taken from twenty three boreholes drilled to a depth ranging from 1to 24m, from various sites for the three sites. Samples were tested for their size; Atterberg limits; direct shear; unconfined compression; consolidation and SPT tests. The results showed that the nature of soil </w:t>
      </w:r>
      <w:r>
        <w:rPr>
          <w:rFonts w:ascii="Times New Roman" w:hAnsi="Times New Roman" w:cs="Times New Roman"/>
          <w:sz w:val="24"/>
          <w:szCs w:val="24"/>
        </w:rPr>
        <w:t>in Mosul was generally</w:t>
      </w:r>
      <w:r w:rsidRPr="00A964BC">
        <w:rPr>
          <w:rFonts w:ascii="Times New Roman" w:hAnsi="Times New Roman" w:cs="Times New Roman"/>
          <w:sz w:val="24"/>
          <w:szCs w:val="24"/>
        </w:rPr>
        <w:t xml:space="preserve"> </w:t>
      </w:r>
      <w:r>
        <w:rPr>
          <w:rFonts w:ascii="Times New Roman" w:hAnsi="Times New Roman" w:cs="Times New Roman"/>
          <w:sz w:val="24"/>
          <w:szCs w:val="24"/>
        </w:rPr>
        <w:t>were silty clay to clay (in some area</w:t>
      </w:r>
      <w:r w:rsidR="009C3A50">
        <w:rPr>
          <w:rFonts w:ascii="Times New Roman" w:hAnsi="Times New Roman" w:cs="Times New Roman"/>
          <w:sz w:val="24"/>
          <w:szCs w:val="24"/>
        </w:rPr>
        <w:t>s</w:t>
      </w:r>
      <w:r>
        <w:rPr>
          <w:rFonts w:ascii="Times New Roman" w:hAnsi="Times New Roman" w:cs="Times New Roman"/>
          <w:sz w:val="24"/>
          <w:szCs w:val="24"/>
        </w:rPr>
        <w:t xml:space="preserve"> silt or sand) with high to very high plasticity. In Baghdad, </w:t>
      </w:r>
      <w:r w:rsidR="009C3A50">
        <w:rPr>
          <w:rFonts w:ascii="Times New Roman" w:hAnsi="Times New Roman" w:cs="Times New Roman"/>
          <w:sz w:val="24"/>
          <w:szCs w:val="24"/>
        </w:rPr>
        <w:t xml:space="preserve">it </w:t>
      </w:r>
      <w:r>
        <w:rPr>
          <w:rFonts w:ascii="Times New Roman" w:hAnsi="Times New Roman" w:cs="Times New Roman"/>
          <w:sz w:val="24"/>
          <w:szCs w:val="24"/>
        </w:rPr>
        <w:t>was</w:t>
      </w:r>
      <w:r w:rsidRPr="00A964BC">
        <w:rPr>
          <w:rFonts w:ascii="Times New Roman" w:hAnsi="Times New Roman" w:cs="Times New Roman"/>
          <w:sz w:val="24"/>
          <w:szCs w:val="24"/>
        </w:rPr>
        <w:t xml:space="preserve"> </w:t>
      </w:r>
      <w:r>
        <w:rPr>
          <w:rFonts w:ascii="Times New Roman" w:hAnsi="Times New Roman" w:cs="Times New Roman"/>
          <w:sz w:val="24"/>
          <w:szCs w:val="24"/>
        </w:rPr>
        <w:t>loam clay, silty clay, and in some area</w:t>
      </w:r>
      <w:r w:rsidR="009C3A50">
        <w:rPr>
          <w:rFonts w:ascii="Times New Roman" w:hAnsi="Times New Roman" w:cs="Times New Roman"/>
          <w:sz w:val="24"/>
          <w:szCs w:val="24"/>
        </w:rPr>
        <w:t>s</w:t>
      </w:r>
      <w:r>
        <w:rPr>
          <w:rFonts w:ascii="Times New Roman" w:hAnsi="Times New Roman" w:cs="Times New Roman"/>
          <w:sz w:val="24"/>
          <w:szCs w:val="24"/>
        </w:rPr>
        <w:t xml:space="preserve"> silt. Its plasticity range was medium to high and non-plastic in few sites. For Basrah, the soil type was</w:t>
      </w:r>
      <w:r w:rsidRPr="00A964BC">
        <w:rPr>
          <w:rFonts w:ascii="Times New Roman" w:hAnsi="Times New Roman" w:cs="Times New Roman"/>
          <w:sz w:val="24"/>
          <w:szCs w:val="24"/>
        </w:rPr>
        <w:t xml:space="preserve"> </w:t>
      </w:r>
      <w:r>
        <w:rPr>
          <w:rFonts w:ascii="Times New Roman" w:hAnsi="Times New Roman" w:cs="Times New Roman"/>
          <w:sz w:val="24"/>
          <w:szCs w:val="24"/>
        </w:rPr>
        <w:t xml:space="preserve">clay loam and in many places was sand or silt. The value of plasticity was medium. </w:t>
      </w:r>
      <w:r>
        <w:rPr>
          <w:rFonts w:ascii="Times New Roman" w:eastAsia="Times New Roman" w:hAnsi="Times New Roman" w:cs="Times New Roman"/>
          <w:sz w:val="24"/>
          <w:szCs w:val="24"/>
          <w:lang w:val="en-GB" w:bidi="ar-IQ"/>
        </w:rPr>
        <w:t>The average and the worst values of bearing capacity were: 177KN/m</w:t>
      </w:r>
      <w:r w:rsidRPr="0058488E">
        <w:rPr>
          <w:rFonts w:ascii="Times New Roman" w:eastAsia="Times New Roman" w:hAnsi="Times New Roman" w:cs="Times New Roman"/>
          <w:sz w:val="24"/>
          <w:szCs w:val="24"/>
          <w:vertAlign w:val="superscript"/>
          <w:lang w:val="en-GB" w:bidi="ar-IQ"/>
        </w:rPr>
        <w:t>2</w:t>
      </w:r>
      <w:r>
        <w:rPr>
          <w:rFonts w:ascii="Times New Roman" w:eastAsia="Times New Roman" w:hAnsi="Times New Roman" w:cs="Times New Roman"/>
          <w:sz w:val="24"/>
          <w:szCs w:val="24"/>
          <w:lang w:val="en-GB" w:bidi="ar-IQ"/>
        </w:rPr>
        <w:t xml:space="preserve"> and 77KN/m</w:t>
      </w:r>
      <w:r w:rsidRPr="0058488E">
        <w:rPr>
          <w:rFonts w:ascii="Times New Roman" w:eastAsia="Times New Roman" w:hAnsi="Times New Roman" w:cs="Times New Roman"/>
          <w:sz w:val="24"/>
          <w:szCs w:val="24"/>
          <w:vertAlign w:val="superscript"/>
          <w:lang w:val="en-GB" w:bidi="ar-IQ"/>
        </w:rPr>
        <w:t>2</w:t>
      </w:r>
      <w:r w:rsidRPr="00B309A8">
        <w:rPr>
          <w:rFonts w:ascii="Times New Roman" w:eastAsia="Times New Roman" w:hAnsi="Times New Roman" w:cs="Times New Roman"/>
          <w:sz w:val="24"/>
          <w:szCs w:val="24"/>
          <w:lang w:val="en-GB" w:bidi="ar-IQ"/>
        </w:rPr>
        <w:t xml:space="preserve"> </w:t>
      </w:r>
      <w:r>
        <w:rPr>
          <w:rFonts w:ascii="Times New Roman" w:eastAsia="Times New Roman" w:hAnsi="Times New Roman" w:cs="Times New Roman"/>
          <w:sz w:val="24"/>
          <w:szCs w:val="24"/>
          <w:lang w:val="en-GB" w:bidi="ar-IQ"/>
        </w:rPr>
        <w:t>for Mosul; 125 KN/m</w:t>
      </w:r>
      <w:r w:rsidRPr="0058488E">
        <w:rPr>
          <w:rFonts w:ascii="Times New Roman" w:eastAsia="Times New Roman" w:hAnsi="Times New Roman" w:cs="Times New Roman"/>
          <w:sz w:val="24"/>
          <w:szCs w:val="24"/>
          <w:vertAlign w:val="superscript"/>
          <w:lang w:val="en-GB" w:bidi="ar-IQ"/>
        </w:rPr>
        <w:t>2</w:t>
      </w:r>
      <w:r>
        <w:rPr>
          <w:rFonts w:ascii="Times New Roman" w:eastAsia="Times New Roman" w:hAnsi="Times New Roman" w:cs="Times New Roman"/>
          <w:sz w:val="24"/>
          <w:szCs w:val="24"/>
          <w:lang w:val="en-GB" w:bidi="ar-IQ"/>
        </w:rPr>
        <w:t xml:space="preserve"> and 68 KN/m</w:t>
      </w:r>
      <w:r w:rsidRPr="0058488E">
        <w:rPr>
          <w:rFonts w:ascii="Times New Roman" w:eastAsia="Times New Roman" w:hAnsi="Times New Roman" w:cs="Times New Roman"/>
          <w:sz w:val="24"/>
          <w:szCs w:val="24"/>
          <w:vertAlign w:val="superscript"/>
          <w:lang w:val="en-GB" w:bidi="ar-IQ"/>
        </w:rPr>
        <w:t>2</w:t>
      </w:r>
      <w:r w:rsidRPr="00B309A8">
        <w:rPr>
          <w:rFonts w:ascii="Times New Roman" w:eastAsia="Times New Roman" w:hAnsi="Times New Roman" w:cs="Times New Roman"/>
          <w:sz w:val="24"/>
          <w:szCs w:val="24"/>
          <w:lang w:val="en-GB" w:bidi="ar-IQ"/>
        </w:rPr>
        <w:t xml:space="preserve"> </w:t>
      </w:r>
      <w:r>
        <w:rPr>
          <w:rFonts w:ascii="Times New Roman" w:eastAsia="Times New Roman" w:hAnsi="Times New Roman" w:cs="Times New Roman"/>
          <w:sz w:val="24"/>
          <w:szCs w:val="24"/>
          <w:lang w:val="en-GB" w:bidi="ar-IQ"/>
        </w:rPr>
        <w:t>for Baghdad; and 84KN/m</w:t>
      </w:r>
      <w:r w:rsidRPr="0058488E">
        <w:rPr>
          <w:rFonts w:ascii="Times New Roman" w:eastAsia="Times New Roman" w:hAnsi="Times New Roman" w:cs="Times New Roman"/>
          <w:sz w:val="24"/>
          <w:szCs w:val="24"/>
          <w:vertAlign w:val="superscript"/>
          <w:lang w:val="en-GB" w:bidi="ar-IQ"/>
        </w:rPr>
        <w:t>2</w:t>
      </w:r>
      <w:r>
        <w:rPr>
          <w:rFonts w:ascii="Times New Roman" w:eastAsia="Times New Roman" w:hAnsi="Times New Roman" w:cs="Times New Roman"/>
          <w:sz w:val="24"/>
          <w:szCs w:val="24"/>
          <w:lang w:val="en-GB" w:bidi="ar-IQ"/>
        </w:rPr>
        <w:t xml:space="preserve"> and 24 KN/m</w:t>
      </w:r>
      <w:r w:rsidRPr="0058488E">
        <w:rPr>
          <w:rFonts w:ascii="Times New Roman" w:eastAsia="Times New Roman" w:hAnsi="Times New Roman" w:cs="Times New Roman"/>
          <w:sz w:val="24"/>
          <w:szCs w:val="24"/>
          <w:vertAlign w:val="superscript"/>
          <w:lang w:val="en-GB" w:bidi="ar-IQ"/>
        </w:rPr>
        <w:t>2</w:t>
      </w:r>
      <w:r w:rsidRPr="00B309A8">
        <w:rPr>
          <w:rFonts w:ascii="Times New Roman" w:eastAsia="Times New Roman" w:hAnsi="Times New Roman" w:cs="Times New Roman"/>
          <w:sz w:val="24"/>
          <w:szCs w:val="24"/>
          <w:lang w:val="en-GB" w:bidi="ar-IQ"/>
        </w:rPr>
        <w:t xml:space="preserve"> </w:t>
      </w:r>
      <w:r>
        <w:rPr>
          <w:rFonts w:ascii="Times New Roman" w:eastAsia="Times New Roman" w:hAnsi="Times New Roman" w:cs="Times New Roman"/>
          <w:sz w:val="24"/>
          <w:szCs w:val="24"/>
          <w:lang w:val="en-GB" w:bidi="ar-IQ"/>
        </w:rPr>
        <w:t>for B</w:t>
      </w:r>
      <w:r w:rsidR="009C3A50">
        <w:rPr>
          <w:rFonts w:ascii="Times New Roman" w:eastAsia="Times New Roman" w:hAnsi="Times New Roman" w:cs="Times New Roman"/>
          <w:sz w:val="24"/>
          <w:szCs w:val="24"/>
          <w:lang w:val="en-GB" w:bidi="ar-IQ"/>
        </w:rPr>
        <w:t>asrah</w:t>
      </w:r>
      <w:r>
        <w:rPr>
          <w:rFonts w:ascii="Times New Roman" w:eastAsia="Times New Roman" w:hAnsi="Times New Roman" w:cs="Times New Roman"/>
          <w:sz w:val="24"/>
          <w:szCs w:val="24"/>
          <w:lang w:val="en-GB" w:bidi="ar-IQ"/>
        </w:rPr>
        <w:t xml:space="preserve">. These values were used </w:t>
      </w:r>
      <w:r w:rsidR="009C3A50">
        <w:rPr>
          <w:rFonts w:ascii="Times New Roman" w:eastAsia="Times New Roman" w:hAnsi="Times New Roman" w:cs="Times New Roman"/>
          <w:sz w:val="24"/>
          <w:szCs w:val="24"/>
          <w:lang w:val="en-GB" w:bidi="ar-IQ"/>
        </w:rPr>
        <w:t xml:space="preserve">in </w:t>
      </w:r>
      <w:r>
        <w:rPr>
          <w:rFonts w:ascii="Times New Roman" w:eastAsia="Times New Roman" w:hAnsi="Times New Roman" w:cs="Times New Roman"/>
          <w:sz w:val="24"/>
          <w:szCs w:val="24"/>
          <w:lang w:val="en-GB" w:bidi="ar-IQ"/>
        </w:rPr>
        <w:t>a computer model (SAP2000 and SAFE softwares) to find the best suitable foundation in each site. The model suggests that</w:t>
      </w:r>
      <w:r w:rsidRPr="00B309A8">
        <w:rPr>
          <w:rFonts w:ascii="Times New Roman" w:eastAsia="Times New Roman" w:hAnsi="Times New Roman" w:cs="Times New Roman"/>
          <w:sz w:val="24"/>
          <w:szCs w:val="24"/>
          <w:lang w:val="en-GB" w:bidi="ar-IQ"/>
        </w:rPr>
        <w:t xml:space="preserve"> </w:t>
      </w:r>
      <w:r>
        <w:rPr>
          <w:rFonts w:ascii="Times New Roman" w:eastAsia="Times New Roman" w:hAnsi="Times New Roman" w:cs="Times New Roman"/>
          <w:sz w:val="24"/>
          <w:szCs w:val="24"/>
          <w:lang w:val="en-GB" w:bidi="ar-IQ"/>
        </w:rPr>
        <w:t xml:space="preserve">spread or continuous and raft (if basement is used for building with many floors) are suitable for Mosul. For Baghdad, spread and raft type of foundations </w:t>
      </w:r>
      <w:r w:rsidR="009C3A50">
        <w:rPr>
          <w:rFonts w:ascii="Times New Roman" w:eastAsia="Times New Roman" w:hAnsi="Times New Roman" w:cs="Times New Roman"/>
          <w:sz w:val="24"/>
          <w:szCs w:val="24"/>
          <w:lang w:val="en-GB" w:bidi="ar-IQ"/>
        </w:rPr>
        <w:t>are suitable</w:t>
      </w:r>
      <w:r>
        <w:rPr>
          <w:rFonts w:ascii="Times New Roman" w:eastAsia="Times New Roman" w:hAnsi="Times New Roman" w:cs="Times New Roman"/>
          <w:sz w:val="24"/>
          <w:szCs w:val="24"/>
          <w:lang w:val="en-GB" w:bidi="ar-IQ"/>
        </w:rPr>
        <w:t>. While, for Basrah, raft foundation type are to be used</w:t>
      </w:r>
      <w:r w:rsidRPr="00E3685C">
        <w:rPr>
          <w:rFonts w:ascii="Times New Roman" w:eastAsia="Times New Roman" w:hAnsi="Times New Roman" w:cs="Times New Roman"/>
          <w:sz w:val="24"/>
          <w:szCs w:val="24"/>
          <w:lang w:val="en-GB" w:bidi="ar-IQ"/>
        </w:rPr>
        <w:t xml:space="preserve"> </w:t>
      </w:r>
      <w:r>
        <w:rPr>
          <w:rFonts w:ascii="Times New Roman" w:eastAsia="Times New Roman" w:hAnsi="Times New Roman" w:cs="Times New Roman"/>
          <w:sz w:val="24"/>
          <w:szCs w:val="24"/>
          <w:lang w:val="en-GB" w:bidi="ar-IQ"/>
        </w:rPr>
        <w:t>in some areas w</w:t>
      </w:r>
      <w:r w:rsidR="009C3A50">
        <w:rPr>
          <w:rFonts w:ascii="Times New Roman" w:eastAsia="Times New Roman" w:hAnsi="Times New Roman" w:cs="Times New Roman"/>
          <w:sz w:val="24"/>
          <w:szCs w:val="24"/>
          <w:lang w:val="en-GB" w:bidi="ar-IQ"/>
        </w:rPr>
        <w:t>h</w:t>
      </w:r>
      <w:r>
        <w:rPr>
          <w:rFonts w:ascii="Times New Roman" w:eastAsia="Times New Roman" w:hAnsi="Times New Roman" w:cs="Times New Roman"/>
          <w:sz w:val="24"/>
          <w:szCs w:val="24"/>
          <w:lang w:val="en-GB" w:bidi="ar-IQ"/>
        </w:rPr>
        <w:t>ere building should be less than three floors and for other areas, deep foundation (piles or pier) can only to be used.</w:t>
      </w:r>
    </w:p>
    <w:p w:rsidR="0009018B" w:rsidRDefault="0009018B" w:rsidP="00E12D33">
      <w:pPr>
        <w:pStyle w:val="ListParagraph"/>
        <w:ind w:left="0"/>
        <w:jc w:val="both"/>
        <w:rPr>
          <w:rFonts w:ascii="Times New Roman" w:eastAsia="Times New Roman" w:hAnsi="Times New Roman" w:cs="Times New Roman"/>
          <w:sz w:val="24"/>
          <w:szCs w:val="24"/>
          <w:lang w:val="en-GB" w:bidi="ar-IQ"/>
        </w:rPr>
      </w:pPr>
    </w:p>
    <w:p w:rsidR="00E12D33" w:rsidRDefault="00A31F3C" w:rsidP="00E12D33">
      <w:pPr>
        <w:pStyle w:val="ListParagraph"/>
        <w:ind w:left="0"/>
        <w:jc w:val="both"/>
        <w:rPr>
          <w:rFonts w:ascii="Times New Roman" w:eastAsia="Times New Roman" w:hAnsi="Times New Roman" w:cs="Times New Roman"/>
          <w:sz w:val="24"/>
          <w:szCs w:val="24"/>
          <w:lang w:val="en-GB" w:bidi="ar-IQ"/>
        </w:rPr>
      </w:pPr>
      <w:r w:rsidRPr="00E12D33">
        <w:rPr>
          <w:rFonts w:ascii="Times New Roman" w:hAnsi="Times New Roman" w:cs="Times New Roman"/>
          <w:b/>
          <w:color w:val="000000"/>
          <w:sz w:val="24"/>
          <w:szCs w:val="24"/>
        </w:rPr>
        <w:t xml:space="preserve">Keywords: </w:t>
      </w:r>
      <w:r w:rsidR="00E12D33">
        <w:rPr>
          <w:rFonts w:ascii="Times New Roman" w:eastAsia="Times New Roman" w:hAnsi="Times New Roman" w:cs="Times New Roman"/>
          <w:sz w:val="24"/>
          <w:szCs w:val="24"/>
          <w:lang w:val="en-GB" w:bidi="ar-IQ"/>
        </w:rPr>
        <w:t>Base pressure, soil, bearing capacity, SAFE program, SPT tests.</w:t>
      </w:r>
    </w:p>
    <w:p w:rsidR="00E12D33" w:rsidRPr="00607252" w:rsidRDefault="00E12D33" w:rsidP="00E12D33">
      <w:pPr>
        <w:pStyle w:val="ListParagraph"/>
        <w:ind w:left="0"/>
        <w:jc w:val="both"/>
      </w:pPr>
    </w:p>
    <w:p w:rsidR="00E12D33" w:rsidRDefault="00E12D33">
      <w:pPr>
        <w:spacing w:line="240" w:lineRule="auto"/>
        <w:ind w:left="1104" w:hangingChars="460" w:hanging="1104"/>
        <w:rPr>
          <w:bCs/>
          <w:iCs/>
          <w:color w:val="000000"/>
          <w:szCs w:val="24"/>
        </w:rPr>
      </w:pPr>
    </w:p>
    <w:p w:rsidR="00034661" w:rsidRDefault="00D55638" w:rsidP="00034661">
      <w:pPr>
        <w:spacing w:line="360" w:lineRule="auto"/>
        <w:rPr>
          <w:b/>
          <w:sz w:val="30"/>
          <w:szCs w:val="30"/>
        </w:rPr>
      </w:pPr>
      <w:r w:rsidRPr="000574E9">
        <w:rPr>
          <w:b/>
          <w:sz w:val="30"/>
          <w:szCs w:val="30"/>
        </w:rPr>
        <w:lastRenderedPageBreak/>
        <w:t>1 Introduction</w:t>
      </w:r>
      <w:r w:rsidR="00034661" w:rsidRPr="000574E9">
        <w:rPr>
          <w:b/>
          <w:sz w:val="30"/>
          <w:szCs w:val="30"/>
        </w:rPr>
        <w:t xml:space="preserve"> </w:t>
      </w:r>
    </w:p>
    <w:p w:rsidR="00F32657" w:rsidRDefault="00F32657" w:rsidP="00CE5E53">
      <w:pPr>
        <w:pStyle w:val="ListParagraph"/>
        <w:spacing w:after="160" w:line="240" w:lineRule="auto"/>
        <w:ind w:left="0"/>
        <w:jc w:val="both"/>
        <w:rPr>
          <w:rFonts w:ascii="Times New Roman" w:hAnsi="Times New Roman" w:cs="Times New Roman"/>
          <w:bCs/>
          <w:sz w:val="24"/>
          <w:szCs w:val="24"/>
          <w:lang w:val="en-GB"/>
        </w:rPr>
      </w:pPr>
      <w:r>
        <w:rPr>
          <w:rFonts w:ascii="Times New Roman" w:hAnsi="Times New Roman" w:cs="Times New Roman"/>
          <w:b/>
          <w:noProof/>
          <w:sz w:val="28"/>
          <w:szCs w:val="28"/>
          <w:lang w:val="sv-SE" w:eastAsia="sv-SE"/>
        </w:rPr>
        <w:drawing>
          <wp:anchor distT="0" distB="0" distL="114300" distR="114300" simplePos="0" relativeHeight="251658240" behindDoc="0" locked="0" layoutInCell="1" allowOverlap="1" wp14:anchorId="5CB308FF" wp14:editId="5B6D055D">
            <wp:simplePos x="0" y="0"/>
            <wp:positionH relativeFrom="column">
              <wp:posOffset>57150</wp:posOffset>
            </wp:positionH>
            <wp:positionV relativeFrom="paragraph">
              <wp:posOffset>2072005</wp:posOffset>
            </wp:positionV>
            <wp:extent cx="4990465" cy="19284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0465" cy="1928495"/>
                    </a:xfrm>
                    <a:prstGeom prst="rect">
                      <a:avLst/>
                    </a:prstGeom>
                    <a:noFill/>
                  </pic:spPr>
                </pic:pic>
              </a:graphicData>
            </a:graphic>
            <wp14:sizeRelH relativeFrom="page">
              <wp14:pctWidth>0</wp14:pctWidth>
            </wp14:sizeRelH>
            <wp14:sizeRelV relativeFrom="page">
              <wp14:pctHeight>0</wp14:pctHeight>
            </wp14:sizeRelV>
          </wp:anchor>
        </w:drawing>
      </w:r>
      <w:r w:rsidRPr="00CA6AF2">
        <w:rPr>
          <w:rFonts w:ascii="Times New Roman" w:hAnsi="Times New Roman" w:cs="Times New Roman"/>
          <w:bCs/>
          <w:sz w:val="24"/>
          <w:szCs w:val="24"/>
          <w:lang w:val="en-GB"/>
        </w:rPr>
        <w:t xml:space="preserve">The interface between foundation and soil supports is defined by the most essential parameter which is the bearing pressure. It is the contact force per unit area along the bottom of the foundation </w:t>
      </w:r>
      <w:r>
        <w:rPr>
          <w:rFonts w:ascii="Times New Roman" w:hAnsi="Times New Roman" w:cs="Times New Roman"/>
          <w:bCs/>
          <w:sz w:val="24"/>
          <w:szCs w:val="24"/>
          <w:lang w:val="en-GB"/>
        </w:rPr>
        <w:t>[</w:t>
      </w:r>
      <w:r w:rsidRPr="00D83F2D">
        <w:rPr>
          <w:rFonts w:ascii="Times New Roman" w:hAnsi="Times New Roman" w:cs="Times New Roman"/>
          <w:bCs/>
          <w:sz w:val="24"/>
          <w:szCs w:val="24"/>
          <w:lang w:val="en-GB"/>
        </w:rPr>
        <w:t>1</w:t>
      </w:r>
      <w:r>
        <w:rPr>
          <w:rFonts w:ascii="Times New Roman" w:hAnsi="Times New Roman" w:cs="Times New Roman"/>
          <w:bCs/>
          <w:sz w:val="24"/>
          <w:szCs w:val="24"/>
          <w:lang w:val="en-GB"/>
        </w:rPr>
        <w:t>]</w:t>
      </w:r>
      <w:r w:rsidRPr="00CA6AF2">
        <w:rPr>
          <w:rFonts w:ascii="Times New Roman" w:hAnsi="Times New Roman" w:cs="Times New Roman"/>
          <w:bCs/>
          <w:sz w:val="24"/>
          <w:szCs w:val="24"/>
          <w:lang w:val="en-GB"/>
        </w:rPr>
        <w:t xml:space="preserve">. The force acting between the foundation and the soil must be equal to the integral of the bearing pressure over the base area of shallow foundation. Bearing pressure is not necessarily distributed equally. Filed measurements and analytical studies mention that many factors define the actual distribution of the bearing pressure such as eccentricity of the added load; volume of the applied moment (if any); foundation structural rigidity; the soil stress-strain properties and bottom roughness of the foundation. Bearing pressure distribution along the shallow foundations base </w:t>
      </w:r>
      <w:r>
        <w:rPr>
          <w:rFonts w:ascii="Times New Roman" w:hAnsi="Times New Roman" w:cs="Times New Roman"/>
          <w:bCs/>
          <w:sz w:val="24"/>
          <w:szCs w:val="24"/>
          <w:lang w:val="en-GB"/>
        </w:rPr>
        <w:t>makes foundation</w:t>
      </w:r>
      <w:r w:rsidRPr="00CA6AF2">
        <w:rPr>
          <w:rFonts w:ascii="Times New Roman" w:hAnsi="Times New Roman" w:cs="Times New Roman"/>
          <w:bCs/>
          <w:sz w:val="24"/>
          <w:szCs w:val="24"/>
          <w:lang w:val="en-GB"/>
        </w:rPr>
        <w:t xml:space="preserve"> exposure to concentric vertical loads </w:t>
      </w:r>
      <w:r>
        <w:rPr>
          <w:rFonts w:ascii="Times New Roman" w:hAnsi="Times New Roman" w:cs="Times New Roman"/>
          <w:bCs/>
          <w:sz w:val="24"/>
          <w:szCs w:val="24"/>
          <w:lang w:val="en-GB"/>
        </w:rPr>
        <w:t>[</w:t>
      </w:r>
      <w:r w:rsidR="00CE5E53">
        <w:rPr>
          <w:rFonts w:ascii="Times New Roman" w:hAnsi="Times New Roman" w:cs="Times New Roman"/>
          <w:bCs/>
          <w:sz w:val="24"/>
          <w:szCs w:val="24"/>
          <w:lang w:val="en-GB"/>
        </w:rPr>
        <w:t>2</w:t>
      </w:r>
      <w:proofErr w:type="gramStart"/>
      <w:r>
        <w:rPr>
          <w:rFonts w:ascii="Times New Roman" w:hAnsi="Times New Roman" w:cs="Times New Roman"/>
          <w:bCs/>
          <w:sz w:val="24"/>
          <w:szCs w:val="24"/>
          <w:lang w:val="en-GB"/>
        </w:rPr>
        <w:t>]</w:t>
      </w:r>
      <w:r w:rsidR="009C3A50">
        <w:rPr>
          <w:rFonts w:ascii="Times New Roman" w:hAnsi="Times New Roman" w:cs="Times New Roman"/>
          <w:bCs/>
          <w:sz w:val="24"/>
          <w:szCs w:val="24"/>
          <w:lang w:val="en-GB"/>
        </w:rPr>
        <w:t>(</w:t>
      </w:r>
      <w:proofErr w:type="gramEnd"/>
      <w:r w:rsidRPr="00CA6AF2">
        <w:rPr>
          <w:rFonts w:ascii="Times New Roman" w:hAnsi="Times New Roman" w:cs="Times New Roman"/>
          <w:bCs/>
          <w:sz w:val="24"/>
          <w:szCs w:val="24"/>
          <w:lang w:val="en-GB"/>
        </w:rPr>
        <w:t>Figure</w:t>
      </w:r>
      <w:r>
        <w:rPr>
          <w:rFonts w:ascii="Times New Roman" w:hAnsi="Times New Roman" w:cs="Times New Roman"/>
          <w:bCs/>
          <w:sz w:val="24"/>
          <w:szCs w:val="24"/>
          <w:lang w:val="en-GB"/>
        </w:rPr>
        <w:t xml:space="preserve"> 1</w:t>
      </w:r>
      <w:r w:rsidR="009C3A50">
        <w:rPr>
          <w:rFonts w:ascii="Times New Roman" w:hAnsi="Times New Roman" w:cs="Times New Roman"/>
          <w:bCs/>
          <w:sz w:val="24"/>
          <w:szCs w:val="24"/>
          <w:lang w:val="en-GB"/>
        </w:rPr>
        <w:t>)</w:t>
      </w:r>
      <w:r w:rsidRPr="00CA6AF2">
        <w:rPr>
          <w:rFonts w:ascii="Times New Roman" w:hAnsi="Times New Roman" w:cs="Times New Roman"/>
          <w:bCs/>
          <w:sz w:val="24"/>
          <w:szCs w:val="24"/>
          <w:lang w:val="en-GB"/>
        </w:rPr>
        <w:t xml:space="preserve">. </w:t>
      </w:r>
    </w:p>
    <w:p w:rsidR="00F32657" w:rsidRDefault="00F32657" w:rsidP="00F32657">
      <w:pPr>
        <w:pStyle w:val="ListParagraph"/>
        <w:spacing w:after="160" w:line="240" w:lineRule="auto"/>
        <w:ind w:left="0"/>
        <w:jc w:val="both"/>
        <w:rPr>
          <w:rFonts w:ascii="Times New Roman" w:hAnsi="Times New Roman" w:cs="Times New Roman"/>
          <w:b/>
          <w:sz w:val="24"/>
          <w:szCs w:val="24"/>
          <w:lang w:val="en-GB"/>
        </w:rPr>
      </w:pPr>
      <w:r w:rsidRPr="00F32657">
        <w:rPr>
          <w:rFonts w:ascii="Times New Roman" w:hAnsi="Times New Roman" w:cs="Times New Roman"/>
          <w:b/>
          <w:sz w:val="24"/>
          <w:szCs w:val="24"/>
          <w:lang w:val="en-GB"/>
        </w:rPr>
        <w:t>Figure 1: Distribution of contact pressure on base of smooth rigid footing supported by (a) Real, elastic material; (b) Cohesionless soil; (c) soil having intermediate characteristics. Curve c</w:t>
      </w:r>
      <w:r w:rsidRPr="00F32657">
        <w:rPr>
          <w:rFonts w:ascii="Times New Roman" w:hAnsi="Times New Roman" w:cs="Times New Roman"/>
          <w:b/>
          <w:sz w:val="24"/>
          <w:szCs w:val="24"/>
          <w:vertAlign w:val="subscript"/>
          <w:lang w:val="en-GB"/>
        </w:rPr>
        <w:t xml:space="preserve">u </w:t>
      </w:r>
      <w:r w:rsidRPr="00F32657">
        <w:rPr>
          <w:rFonts w:ascii="Times New Roman" w:hAnsi="Times New Roman" w:cs="Times New Roman"/>
          <w:b/>
          <w:sz w:val="24"/>
          <w:szCs w:val="24"/>
          <w:lang w:val="en-GB"/>
        </w:rPr>
        <w:t>refers to contact pressure at the loading of footing to ultimate value [2].</w:t>
      </w:r>
    </w:p>
    <w:p w:rsidR="00DA23FF" w:rsidRDefault="00DA23FF" w:rsidP="00F32657">
      <w:pPr>
        <w:pStyle w:val="ListParagraph"/>
        <w:spacing w:after="160" w:line="240" w:lineRule="auto"/>
        <w:ind w:left="0"/>
        <w:jc w:val="both"/>
        <w:rPr>
          <w:rFonts w:ascii="Times New Roman" w:hAnsi="Times New Roman" w:cs="Times New Roman"/>
          <w:b/>
          <w:sz w:val="24"/>
          <w:szCs w:val="24"/>
          <w:lang w:val="en-GB"/>
        </w:rPr>
      </w:pPr>
    </w:p>
    <w:p w:rsidR="00DA23FF" w:rsidRDefault="00DA23FF" w:rsidP="009C3A50">
      <w:pPr>
        <w:autoSpaceDE w:val="0"/>
        <w:autoSpaceDN w:val="0"/>
        <w:spacing w:line="240" w:lineRule="auto"/>
        <w:rPr>
          <w:rFonts w:asciiTheme="majorBidi" w:eastAsiaTheme="minorHAnsi" w:hAnsiTheme="majorBidi" w:cstheme="majorBidi"/>
          <w:szCs w:val="24"/>
        </w:rPr>
      </w:pPr>
      <w:r>
        <w:rPr>
          <w:rFonts w:asciiTheme="majorBidi" w:hAnsiTheme="majorBidi" w:cstheme="majorBidi"/>
          <w:szCs w:val="24"/>
        </w:rPr>
        <w:t>Generally, each structure (such as buildings, dams, bridges, towers, etc.) has two parts; the part above the ground level which is referred to as the superstructure; while, the lower part is the foundations supported by soil below. Soil is also a foundation for the structure and affords the entire load coming from above. For that, soil should be defined before any design process, starting with site investigations to define the types and properties (mechanicals and chemicals) of the soil [3 and 4]. Soil is non-homogeneous material</w:t>
      </w:r>
      <w:r w:rsidR="009C3A50">
        <w:rPr>
          <w:rFonts w:asciiTheme="majorBidi" w:hAnsiTheme="majorBidi" w:cstheme="majorBidi"/>
          <w:szCs w:val="24"/>
        </w:rPr>
        <w:t>. It</w:t>
      </w:r>
      <w:r>
        <w:rPr>
          <w:rFonts w:asciiTheme="majorBidi" w:hAnsiTheme="majorBidi" w:cstheme="majorBidi"/>
          <w:szCs w:val="24"/>
        </w:rPr>
        <w:t xml:space="preserve"> does not have a unique stress-strain relationship and its behavior </w:t>
      </w:r>
      <w:r w:rsidR="009C3A50">
        <w:rPr>
          <w:rFonts w:asciiTheme="majorBidi" w:hAnsiTheme="majorBidi" w:cstheme="majorBidi"/>
          <w:szCs w:val="24"/>
        </w:rPr>
        <w:t>is</w:t>
      </w:r>
      <w:r>
        <w:rPr>
          <w:rFonts w:asciiTheme="majorBidi" w:hAnsiTheme="majorBidi" w:cstheme="majorBidi"/>
          <w:szCs w:val="24"/>
        </w:rPr>
        <w:t xml:space="preserve"> affected by pressure, time, environment, and many other parameters. Soil below the ground level cannot prototype its behavior because it cannot be seen entirety and must be estimated through small samples taken from random locations [4]. Soil properties in each location are defined by various methods such as geology of the area, topography, and soil exploration (disturb</w:t>
      </w:r>
      <w:r w:rsidR="009C3A50">
        <w:rPr>
          <w:rFonts w:asciiTheme="majorBidi" w:hAnsiTheme="majorBidi" w:cstheme="majorBidi"/>
          <w:szCs w:val="24"/>
        </w:rPr>
        <w:t>ed</w:t>
      </w:r>
      <w:r>
        <w:rPr>
          <w:rFonts w:asciiTheme="majorBidi" w:hAnsiTheme="majorBidi" w:cstheme="majorBidi"/>
          <w:szCs w:val="24"/>
        </w:rPr>
        <w:t xml:space="preserve"> and </w:t>
      </w:r>
      <w:r w:rsidR="009C3A50">
        <w:rPr>
          <w:rFonts w:asciiTheme="majorBidi" w:hAnsiTheme="majorBidi" w:cstheme="majorBidi"/>
          <w:szCs w:val="24"/>
        </w:rPr>
        <w:t>undisturbed</w:t>
      </w:r>
      <w:r>
        <w:rPr>
          <w:rFonts w:asciiTheme="majorBidi" w:hAnsiTheme="majorBidi" w:cstheme="majorBidi"/>
          <w:szCs w:val="24"/>
        </w:rPr>
        <w:t xml:space="preserve"> sampling) or</w:t>
      </w:r>
      <w:r w:rsidRPr="00C56370">
        <w:rPr>
          <w:rFonts w:asciiTheme="majorBidi" w:hAnsiTheme="majorBidi" w:cstheme="majorBidi"/>
          <w:szCs w:val="24"/>
        </w:rPr>
        <w:t xml:space="preserve"> </w:t>
      </w:r>
      <w:r w:rsidRPr="0036381A">
        <w:rPr>
          <w:rFonts w:asciiTheme="majorBidi" w:hAnsiTheme="majorBidi" w:cstheme="majorBidi"/>
          <w:szCs w:val="24"/>
        </w:rPr>
        <w:t xml:space="preserve">the geotechnical soil </w:t>
      </w:r>
      <w:r w:rsidRPr="0036381A">
        <w:rPr>
          <w:rFonts w:asciiTheme="majorBidi" w:hAnsiTheme="majorBidi" w:cstheme="majorBidi"/>
          <w:szCs w:val="24"/>
        </w:rPr>
        <w:lastRenderedPageBreak/>
        <w:t>properties and nature of soil layers for any project site</w:t>
      </w:r>
      <w:r>
        <w:rPr>
          <w:rFonts w:asciiTheme="majorBidi" w:hAnsiTheme="majorBidi" w:cstheme="majorBidi"/>
          <w:szCs w:val="24"/>
        </w:rPr>
        <w:t xml:space="preserve">. The aim of these tests is not only to define the soil types and properties. The aim is to define the bearing capacity parameters (angle of internal friction </w:t>
      </w:r>
      <w:r w:rsidRPr="00326F20">
        <w:rPr>
          <w:rFonts w:asciiTheme="majorBidi" w:hAnsiTheme="majorBidi" w:cstheme="majorBidi"/>
          <w:b/>
          <w:bCs/>
          <w:szCs w:val="24"/>
        </w:rPr>
        <w:t>φ</w:t>
      </w:r>
      <w:r>
        <w:rPr>
          <w:rFonts w:asciiTheme="majorBidi" w:hAnsiTheme="majorBidi" w:cstheme="majorBidi"/>
          <w:szCs w:val="24"/>
        </w:rPr>
        <w:t xml:space="preserve">; cohesion </w:t>
      </w:r>
      <w:r w:rsidRPr="00326F20">
        <w:rPr>
          <w:rFonts w:asciiTheme="majorBidi" w:hAnsiTheme="majorBidi" w:cstheme="majorBidi"/>
          <w:b/>
          <w:bCs/>
          <w:szCs w:val="24"/>
        </w:rPr>
        <w:t>c</w:t>
      </w:r>
      <w:r>
        <w:rPr>
          <w:rFonts w:asciiTheme="majorBidi" w:hAnsiTheme="majorBidi" w:cstheme="majorBidi"/>
          <w:szCs w:val="24"/>
        </w:rPr>
        <w:t xml:space="preserve">) that will specify the </w:t>
      </w:r>
      <w:r w:rsidRPr="00027164">
        <w:rPr>
          <w:rFonts w:asciiTheme="majorBidi" w:eastAsiaTheme="minorHAnsi" w:hAnsiTheme="majorBidi" w:cstheme="majorBidi"/>
          <w:szCs w:val="24"/>
        </w:rPr>
        <w:t>al</w:t>
      </w:r>
      <w:r>
        <w:rPr>
          <w:rFonts w:asciiTheme="majorBidi" w:eastAsiaTheme="minorHAnsi" w:hAnsiTheme="majorBidi" w:cstheme="majorBidi"/>
          <w:szCs w:val="24"/>
        </w:rPr>
        <w:t xml:space="preserve">lowable stress to prevent shear </w:t>
      </w:r>
      <w:r w:rsidRPr="00027164">
        <w:rPr>
          <w:rFonts w:asciiTheme="majorBidi" w:eastAsiaTheme="minorHAnsi" w:hAnsiTheme="majorBidi" w:cstheme="majorBidi"/>
          <w:szCs w:val="24"/>
        </w:rPr>
        <w:t>failure in soil</w:t>
      </w:r>
      <w:r w:rsidRPr="0036381A">
        <w:rPr>
          <w:rFonts w:asciiTheme="majorBidi" w:hAnsiTheme="majorBidi" w:cstheme="majorBidi"/>
          <w:szCs w:val="24"/>
        </w:rPr>
        <w:t xml:space="preserve"> because soil</w:t>
      </w:r>
      <w:r>
        <w:rPr>
          <w:rFonts w:asciiTheme="majorBidi" w:hAnsiTheme="majorBidi" w:cstheme="majorBidi"/>
          <w:szCs w:val="24"/>
        </w:rPr>
        <w:t xml:space="preserve"> is</w:t>
      </w:r>
      <w:r w:rsidRPr="0036381A">
        <w:rPr>
          <w:rFonts w:asciiTheme="majorBidi" w:hAnsiTheme="majorBidi" w:cstheme="majorBidi"/>
          <w:szCs w:val="24"/>
        </w:rPr>
        <w:t xml:space="preserve"> considered as heterogeneous material.</w:t>
      </w:r>
      <w:r>
        <w:rPr>
          <w:rFonts w:asciiTheme="majorBidi" w:hAnsiTheme="majorBidi" w:cstheme="majorBidi"/>
          <w:szCs w:val="24"/>
        </w:rPr>
        <w:t xml:space="preserve"> Moreover, the tests of soil will define the active zone.  Active zone is</w:t>
      </w:r>
      <w:r w:rsidR="009C3A50">
        <w:rPr>
          <w:rFonts w:asciiTheme="majorBidi" w:hAnsiTheme="majorBidi" w:cstheme="majorBidi"/>
          <w:szCs w:val="24"/>
        </w:rPr>
        <w:t xml:space="preserve"> the</w:t>
      </w:r>
      <w:r>
        <w:rPr>
          <w:rFonts w:asciiTheme="majorBidi" w:hAnsiTheme="majorBidi" w:cstheme="majorBidi"/>
          <w:szCs w:val="24"/>
        </w:rPr>
        <w:t xml:space="preserve"> soil layers which are near the ground level and its water content state in continuous change depending on evaporation and wetting [5].</w:t>
      </w:r>
    </w:p>
    <w:p w:rsidR="00DA23FF" w:rsidRDefault="00DA23FF" w:rsidP="003849B5">
      <w:pPr>
        <w:autoSpaceDE w:val="0"/>
        <w:autoSpaceDN w:val="0"/>
        <w:spacing w:line="240" w:lineRule="auto"/>
        <w:rPr>
          <w:rFonts w:asciiTheme="majorBidi" w:eastAsiaTheme="minorHAnsi" w:hAnsiTheme="majorBidi" w:cstheme="majorBidi"/>
          <w:szCs w:val="24"/>
        </w:rPr>
      </w:pPr>
      <w:r>
        <w:rPr>
          <w:rFonts w:asciiTheme="majorBidi" w:eastAsiaTheme="minorHAnsi" w:hAnsiTheme="majorBidi" w:cstheme="majorBidi"/>
          <w:szCs w:val="24"/>
        </w:rPr>
        <w:t>Bearing capacity of soil under foundations depends on different factors such as</w:t>
      </w:r>
      <w:r w:rsidR="009C3A50">
        <w:rPr>
          <w:rFonts w:asciiTheme="majorBidi" w:eastAsiaTheme="minorHAnsi" w:hAnsiTheme="majorBidi" w:cstheme="majorBidi"/>
          <w:szCs w:val="24"/>
        </w:rPr>
        <w:t xml:space="preserve"> shear strength, cohesion; unit</w:t>
      </w:r>
      <w:r>
        <w:rPr>
          <w:rFonts w:asciiTheme="majorBidi" w:eastAsiaTheme="minorHAnsi" w:hAnsiTheme="majorBidi" w:cstheme="majorBidi"/>
          <w:szCs w:val="24"/>
        </w:rPr>
        <w:t xml:space="preserve"> weight of soil, etc. Foundation d</w:t>
      </w:r>
      <w:r w:rsidR="009C3A50">
        <w:rPr>
          <w:rFonts w:asciiTheme="majorBidi" w:eastAsiaTheme="minorHAnsi" w:hAnsiTheme="majorBidi" w:cstheme="majorBidi"/>
          <w:szCs w:val="24"/>
        </w:rPr>
        <w:t>esign must achieve two criteria</w:t>
      </w:r>
      <w:r>
        <w:rPr>
          <w:rFonts w:asciiTheme="majorBidi" w:eastAsiaTheme="minorHAnsi" w:hAnsiTheme="majorBidi" w:cstheme="majorBidi"/>
          <w:szCs w:val="24"/>
        </w:rPr>
        <w:t xml:space="preserve">. It should be safe against overall shear failure and don’t exceed the allowable settlement </w:t>
      </w:r>
      <w:r w:rsidR="003849B5">
        <w:rPr>
          <w:rFonts w:asciiTheme="majorBidi" w:eastAsiaTheme="minorHAnsi" w:hAnsiTheme="majorBidi" w:cstheme="majorBidi"/>
          <w:szCs w:val="24"/>
        </w:rPr>
        <w:t>of</w:t>
      </w:r>
      <w:r>
        <w:rPr>
          <w:rFonts w:asciiTheme="majorBidi" w:eastAsiaTheme="minorHAnsi" w:hAnsiTheme="majorBidi" w:cstheme="majorBidi"/>
          <w:szCs w:val="24"/>
        </w:rPr>
        <w:t xml:space="preserve"> the soil that supports it [6]. Figure 2, shows the relationship between the allowable bearing capacity and the width of foundation. </w:t>
      </w:r>
    </w:p>
    <w:p w:rsidR="00DA23FF" w:rsidRDefault="00DA23FF" w:rsidP="003849B5">
      <w:pPr>
        <w:autoSpaceDE w:val="0"/>
        <w:autoSpaceDN w:val="0"/>
        <w:spacing w:line="240" w:lineRule="auto"/>
        <w:rPr>
          <w:szCs w:val="24"/>
        </w:rPr>
      </w:pPr>
      <w:r>
        <w:rPr>
          <w:rFonts w:asciiTheme="majorBidi" w:eastAsiaTheme="minorHAnsi" w:hAnsiTheme="majorBidi" w:cstheme="majorBidi"/>
          <w:szCs w:val="24"/>
        </w:rPr>
        <w:t>Earlier work done by</w:t>
      </w:r>
      <w:r w:rsidRPr="007F2F27">
        <w:rPr>
          <w:szCs w:val="24"/>
        </w:rPr>
        <w:t xml:space="preserve"> </w:t>
      </w:r>
      <w:r>
        <w:rPr>
          <w:szCs w:val="24"/>
        </w:rPr>
        <w:t xml:space="preserve">Al-Taie et al. (2013) </w:t>
      </w:r>
      <w:r w:rsidR="003849B5">
        <w:rPr>
          <w:szCs w:val="24"/>
        </w:rPr>
        <w:t xml:space="preserve">was </w:t>
      </w:r>
      <w:r w:rsidR="009C3A50">
        <w:rPr>
          <w:szCs w:val="24"/>
        </w:rPr>
        <w:t>include</w:t>
      </w:r>
      <w:r w:rsidR="003849B5">
        <w:rPr>
          <w:szCs w:val="24"/>
        </w:rPr>
        <w:t>d</w:t>
      </w:r>
      <w:r w:rsidR="009C3A50">
        <w:rPr>
          <w:szCs w:val="24"/>
        </w:rPr>
        <w:t xml:space="preserve"> the use of</w:t>
      </w:r>
      <w:r>
        <w:rPr>
          <w:szCs w:val="24"/>
        </w:rPr>
        <w:t xml:space="preserve"> </w:t>
      </w:r>
      <w:r w:rsidR="003849B5">
        <w:rPr>
          <w:szCs w:val="24"/>
        </w:rPr>
        <w:t xml:space="preserve">a </w:t>
      </w:r>
      <w:r>
        <w:rPr>
          <w:szCs w:val="24"/>
        </w:rPr>
        <w:t>hypothetical building model design</w:t>
      </w:r>
      <w:r w:rsidR="003849B5">
        <w:rPr>
          <w:szCs w:val="24"/>
        </w:rPr>
        <w:t>ed</w:t>
      </w:r>
      <w:r>
        <w:rPr>
          <w:szCs w:val="24"/>
        </w:rPr>
        <w:t xml:space="preserve"> and analy</w:t>
      </w:r>
      <w:r w:rsidR="003849B5">
        <w:rPr>
          <w:szCs w:val="24"/>
        </w:rPr>
        <w:t>zed</w:t>
      </w:r>
      <w:r>
        <w:rPr>
          <w:szCs w:val="24"/>
        </w:rPr>
        <w:t xml:space="preserve"> </w:t>
      </w:r>
      <w:r w:rsidR="009C3A50">
        <w:rPr>
          <w:szCs w:val="24"/>
        </w:rPr>
        <w:t>by</w:t>
      </w:r>
      <w:r w:rsidR="00114E47">
        <w:rPr>
          <w:szCs w:val="24"/>
        </w:rPr>
        <w:t xml:space="preserve"> STAAD Pro</w:t>
      </w:r>
      <w:r>
        <w:rPr>
          <w:szCs w:val="24"/>
        </w:rPr>
        <w:t xml:space="preserve"> program </w:t>
      </w:r>
      <w:r w:rsidR="003849B5">
        <w:rPr>
          <w:szCs w:val="24"/>
        </w:rPr>
        <w:t>for</w:t>
      </w:r>
      <w:r>
        <w:rPr>
          <w:szCs w:val="24"/>
        </w:rPr>
        <w:t xml:space="preserve"> three locations (Mosul, Baghdad and Basrah)</w:t>
      </w:r>
      <w:r w:rsidRPr="00F91A47">
        <w:rPr>
          <w:szCs w:val="24"/>
        </w:rPr>
        <w:t xml:space="preserve"> </w:t>
      </w:r>
      <w:r>
        <w:rPr>
          <w:szCs w:val="24"/>
        </w:rPr>
        <w:t xml:space="preserve">in Iraq. The work was done to find the best type of foundation to be used in each location. </w:t>
      </w:r>
    </w:p>
    <w:p w:rsidR="00DA23FF" w:rsidRDefault="00DA23FF" w:rsidP="00DA23FF">
      <w:pPr>
        <w:autoSpaceDE w:val="0"/>
        <w:autoSpaceDN w:val="0"/>
        <w:spacing w:line="240" w:lineRule="auto"/>
        <w:rPr>
          <w:rFonts w:asciiTheme="majorBidi" w:eastAsiaTheme="minorHAnsi" w:hAnsiTheme="majorBidi" w:cstheme="majorBidi"/>
          <w:szCs w:val="24"/>
        </w:rPr>
      </w:pPr>
      <w:r>
        <w:rPr>
          <w:noProof/>
          <w:lang w:val="sv-SE" w:eastAsia="sv-SE"/>
        </w:rPr>
        <w:drawing>
          <wp:anchor distT="0" distB="0" distL="114300" distR="114300" simplePos="0" relativeHeight="251660288" behindDoc="0" locked="0" layoutInCell="1" allowOverlap="1" wp14:anchorId="10CD8CBD" wp14:editId="389CD7A6">
            <wp:simplePos x="0" y="0"/>
            <wp:positionH relativeFrom="column">
              <wp:posOffset>214630</wp:posOffset>
            </wp:positionH>
            <wp:positionV relativeFrom="paragraph">
              <wp:posOffset>167005</wp:posOffset>
            </wp:positionV>
            <wp:extent cx="4456430" cy="2573655"/>
            <wp:effectExtent l="19050" t="1905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56430" cy="25736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szCs w:val="24"/>
        </w:rPr>
        <w:t xml:space="preserve"> </w:t>
      </w:r>
    </w:p>
    <w:p w:rsidR="00DA23FF" w:rsidRDefault="00DA23FF" w:rsidP="00DA23FF">
      <w:pPr>
        <w:autoSpaceDE w:val="0"/>
        <w:autoSpaceDN w:val="0"/>
        <w:spacing w:line="240" w:lineRule="auto"/>
        <w:rPr>
          <w:rFonts w:asciiTheme="majorBidi" w:eastAsiaTheme="minorHAnsi" w:hAnsiTheme="majorBidi" w:cstheme="majorBidi"/>
          <w:szCs w:val="24"/>
        </w:rPr>
      </w:pPr>
    </w:p>
    <w:p w:rsidR="00DA23FF" w:rsidRPr="00DA23FF" w:rsidRDefault="00DA23FF" w:rsidP="00F32657">
      <w:pPr>
        <w:pStyle w:val="ListParagraph"/>
        <w:spacing w:after="160" w:line="240" w:lineRule="auto"/>
        <w:ind w:left="0"/>
        <w:jc w:val="both"/>
        <w:rPr>
          <w:rFonts w:ascii="Times New Roman" w:hAnsi="Times New Roman" w:cs="Times New Roman"/>
          <w:b/>
          <w:sz w:val="28"/>
          <w:szCs w:val="28"/>
        </w:rPr>
      </w:pPr>
    </w:p>
    <w:p w:rsidR="00F32657" w:rsidRPr="000574E9" w:rsidRDefault="00F32657" w:rsidP="00034661">
      <w:pPr>
        <w:spacing w:line="360" w:lineRule="auto"/>
        <w:rPr>
          <w:b/>
          <w:sz w:val="30"/>
          <w:szCs w:val="30"/>
        </w:rPr>
      </w:pPr>
    </w:p>
    <w:p w:rsidR="00F03418" w:rsidRPr="00F03418" w:rsidRDefault="00F03418" w:rsidP="00F03418">
      <w:pPr>
        <w:spacing w:line="240" w:lineRule="auto"/>
        <w:rPr>
          <w:b/>
          <w:sz w:val="28"/>
          <w:szCs w:val="28"/>
        </w:rPr>
      </w:pPr>
    </w:p>
    <w:p w:rsidR="009A6DA1" w:rsidRDefault="009A6DA1" w:rsidP="000375F9">
      <w:pPr>
        <w:spacing w:line="360" w:lineRule="auto"/>
        <w:rPr>
          <w:szCs w:val="24"/>
        </w:rPr>
      </w:pPr>
    </w:p>
    <w:p w:rsidR="00DA23FF" w:rsidRDefault="00DA23FF" w:rsidP="000375F9">
      <w:pPr>
        <w:spacing w:line="360" w:lineRule="auto"/>
        <w:rPr>
          <w:szCs w:val="24"/>
        </w:rPr>
      </w:pPr>
    </w:p>
    <w:p w:rsidR="00DA23FF" w:rsidRDefault="00DA23FF" w:rsidP="000375F9">
      <w:pPr>
        <w:spacing w:line="360" w:lineRule="auto"/>
        <w:rPr>
          <w:szCs w:val="24"/>
        </w:rPr>
      </w:pPr>
    </w:p>
    <w:p w:rsidR="00DA23FF" w:rsidRDefault="00DA23FF" w:rsidP="000375F9">
      <w:pPr>
        <w:spacing w:line="360" w:lineRule="auto"/>
        <w:rPr>
          <w:szCs w:val="24"/>
        </w:rPr>
      </w:pPr>
    </w:p>
    <w:p w:rsidR="00DA23FF" w:rsidRDefault="00DA23FF" w:rsidP="000375F9">
      <w:pPr>
        <w:spacing w:line="360" w:lineRule="auto"/>
        <w:rPr>
          <w:szCs w:val="24"/>
        </w:rPr>
      </w:pPr>
    </w:p>
    <w:p w:rsidR="00DA23FF" w:rsidRDefault="00DA23FF" w:rsidP="000375F9">
      <w:pPr>
        <w:spacing w:line="360" w:lineRule="auto"/>
        <w:rPr>
          <w:szCs w:val="24"/>
        </w:rPr>
      </w:pPr>
    </w:p>
    <w:p w:rsidR="00DA23FF" w:rsidRDefault="00DA23FF" w:rsidP="00DA23FF">
      <w:pPr>
        <w:autoSpaceDE w:val="0"/>
        <w:autoSpaceDN w:val="0"/>
        <w:spacing w:line="240" w:lineRule="auto"/>
        <w:jc w:val="center"/>
        <w:rPr>
          <w:rFonts w:asciiTheme="majorBidi" w:eastAsiaTheme="minorHAnsi" w:hAnsiTheme="majorBidi" w:cstheme="majorBidi"/>
          <w:b/>
          <w:bCs/>
          <w:szCs w:val="24"/>
        </w:rPr>
      </w:pPr>
      <w:r w:rsidRPr="008844D7">
        <w:rPr>
          <w:rFonts w:asciiTheme="majorBidi" w:hAnsiTheme="majorBidi" w:cstheme="majorBidi"/>
          <w:b/>
          <w:bCs/>
          <w:szCs w:val="24"/>
        </w:rPr>
        <w:t xml:space="preserve">Figure 2: </w:t>
      </w:r>
      <w:r w:rsidRPr="008844D7">
        <w:rPr>
          <w:rFonts w:asciiTheme="majorBidi" w:eastAsiaTheme="minorHAnsi" w:hAnsiTheme="majorBidi" w:cstheme="majorBidi"/>
          <w:b/>
          <w:bCs/>
          <w:szCs w:val="24"/>
        </w:rPr>
        <w:t>Relation between the allowable be</w:t>
      </w:r>
      <w:r>
        <w:rPr>
          <w:rFonts w:asciiTheme="majorBidi" w:eastAsiaTheme="minorHAnsi" w:hAnsiTheme="majorBidi" w:cstheme="majorBidi"/>
          <w:b/>
          <w:bCs/>
          <w:szCs w:val="24"/>
        </w:rPr>
        <w:t xml:space="preserve">aring capacity and the width of </w:t>
      </w:r>
      <w:r w:rsidRPr="008844D7">
        <w:rPr>
          <w:rFonts w:asciiTheme="majorBidi" w:eastAsiaTheme="minorHAnsi" w:hAnsiTheme="majorBidi" w:cstheme="majorBidi"/>
          <w:b/>
          <w:bCs/>
          <w:szCs w:val="24"/>
        </w:rPr>
        <w:t>foundation</w:t>
      </w:r>
      <w:r>
        <w:rPr>
          <w:rFonts w:asciiTheme="majorBidi" w:eastAsiaTheme="minorHAnsi" w:hAnsiTheme="majorBidi" w:cstheme="majorBidi"/>
          <w:b/>
          <w:bCs/>
          <w:szCs w:val="24"/>
        </w:rPr>
        <w:t xml:space="preserve"> [7].</w:t>
      </w:r>
    </w:p>
    <w:p w:rsidR="00DA23FF" w:rsidRDefault="00DA23FF" w:rsidP="000375F9">
      <w:pPr>
        <w:spacing w:line="360" w:lineRule="auto"/>
        <w:rPr>
          <w:szCs w:val="24"/>
        </w:rPr>
      </w:pPr>
    </w:p>
    <w:p w:rsidR="00DA23FF" w:rsidRPr="00DA23FF" w:rsidRDefault="00DA23FF" w:rsidP="003849B5">
      <w:pPr>
        <w:widowControl/>
        <w:autoSpaceDE w:val="0"/>
        <w:autoSpaceDN w:val="0"/>
        <w:spacing w:line="240" w:lineRule="auto"/>
        <w:textAlignment w:val="auto"/>
        <w:rPr>
          <w:rFonts w:eastAsia="Calibri"/>
          <w:szCs w:val="24"/>
          <w:lang w:eastAsia="en-US"/>
        </w:rPr>
      </w:pPr>
      <w:r w:rsidRPr="00DA23FF">
        <w:rPr>
          <w:rFonts w:eastAsia="Calibri"/>
          <w:szCs w:val="24"/>
          <w:lang w:eastAsia="en-US"/>
        </w:rPr>
        <w:t xml:space="preserve">In this research, a design and analysis of building model using SAP2000 and SAFE programs for three regions (Mosul in the north, Baghdad in the middle and Basrah in south of Iraq) had been undertaken. The bearing capacity used in the design will be calculated using general bearing capacity equation by Hansen [8], and the parameters used in the equation were taken from </w:t>
      </w:r>
      <w:r w:rsidR="00C81F48">
        <w:rPr>
          <w:rFonts w:eastAsia="Calibri"/>
          <w:szCs w:val="24"/>
          <w:lang w:eastAsia="en-US"/>
        </w:rPr>
        <w:t>soil samples</w:t>
      </w:r>
      <w:r w:rsidRPr="00DA23FF">
        <w:rPr>
          <w:rFonts w:eastAsia="Calibri"/>
          <w:szCs w:val="24"/>
          <w:lang w:eastAsia="en-US"/>
        </w:rPr>
        <w:t xml:space="preserve"> </w:t>
      </w:r>
      <w:r w:rsidR="00C81F48">
        <w:rPr>
          <w:rFonts w:eastAsia="Calibri"/>
          <w:szCs w:val="24"/>
          <w:lang w:eastAsia="en-US"/>
        </w:rPr>
        <w:t xml:space="preserve">at </w:t>
      </w:r>
      <w:r w:rsidRPr="00DA23FF">
        <w:rPr>
          <w:rFonts w:eastAsia="Calibri"/>
          <w:szCs w:val="24"/>
          <w:lang w:eastAsia="en-US"/>
        </w:rPr>
        <w:t>different locations in the three regions of Iraq.  Samples were tested in the field</w:t>
      </w:r>
      <w:r w:rsidRPr="00DA23FF">
        <w:rPr>
          <w:rFonts w:eastAsia="Calibri"/>
          <w:szCs w:val="24"/>
          <w:lang w:eastAsia="en-US"/>
        </w:rPr>
        <w:fldChar w:fldCharType="begin"/>
      </w:r>
      <w:r w:rsidRPr="00DA23FF">
        <w:rPr>
          <w:rFonts w:eastAsia="Calibri"/>
          <w:szCs w:val="24"/>
          <w:lang w:eastAsia="en-US"/>
        </w:rPr>
        <w:instrText xml:space="preserve"> INDEX \c "2" \z "1053" </w:instrText>
      </w:r>
      <w:r w:rsidRPr="00DA23FF">
        <w:rPr>
          <w:rFonts w:eastAsia="Calibri"/>
          <w:szCs w:val="24"/>
          <w:lang w:eastAsia="en-US"/>
        </w:rPr>
        <w:fldChar w:fldCharType="end"/>
      </w:r>
      <w:r w:rsidRPr="00DA23FF">
        <w:rPr>
          <w:rFonts w:eastAsia="Calibri"/>
          <w:szCs w:val="24"/>
          <w:lang w:eastAsia="en-US"/>
        </w:rPr>
        <w:t xml:space="preserve"> and laboratory to </w:t>
      </w:r>
      <w:r w:rsidRPr="00DA23FF">
        <w:rPr>
          <w:rFonts w:eastAsia="Calibri"/>
          <w:szCs w:val="24"/>
          <w:lang w:eastAsia="en-US"/>
        </w:rPr>
        <w:lastRenderedPageBreak/>
        <w:t xml:space="preserve">obtain the shear parameters. </w:t>
      </w:r>
      <w:r w:rsidR="003849B5">
        <w:rPr>
          <w:rFonts w:eastAsia="Calibri"/>
          <w:szCs w:val="24"/>
          <w:lang w:eastAsia="en-US"/>
        </w:rPr>
        <w:t>This was</w:t>
      </w:r>
      <w:r w:rsidRPr="00DA23FF">
        <w:rPr>
          <w:rFonts w:eastAsia="Calibri"/>
          <w:szCs w:val="24"/>
          <w:lang w:eastAsia="en-US"/>
        </w:rPr>
        <w:t xml:space="preserve"> used to determine the best type of foundation to be chosen for the three regions.</w:t>
      </w:r>
    </w:p>
    <w:p w:rsidR="00DA23FF" w:rsidRDefault="00DA23FF" w:rsidP="000375F9">
      <w:pPr>
        <w:spacing w:line="360" w:lineRule="auto"/>
        <w:rPr>
          <w:szCs w:val="24"/>
        </w:rPr>
      </w:pPr>
    </w:p>
    <w:p w:rsidR="00DA23FF" w:rsidRPr="00552BEA" w:rsidRDefault="00DA23FF" w:rsidP="00552BEA">
      <w:pPr>
        <w:pStyle w:val="ListParagraph"/>
        <w:numPr>
          <w:ilvl w:val="0"/>
          <w:numId w:val="16"/>
        </w:numPr>
        <w:ind w:left="284" w:right="-113" w:firstLine="76"/>
        <w:rPr>
          <w:rFonts w:asciiTheme="majorBidi" w:hAnsiTheme="majorBidi" w:cstheme="majorBidi"/>
          <w:b/>
          <w:bCs/>
          <w:sz w:val="28"/>
          <w:szCs w:val="28"/>
        </w:rPr>
      </w:pPr>
      <w:r w:rsidRPr="00552BEA">
        <w:rPr>
          <w:rFonts w:asciiTheme="majorBidi" w:hAnsiTheme="majorBidi" w:cstheme="majorBidi"/>
          <w:b/>
          <w:bCs/>
          <w:sz w:val="28"/>
          <w:szCs w:val="28"/>
        </w:rPr>
        <w:t xml:space="preserve">Methodology </w:t>
      </w:r>
    </w:p>
    <w:p w:rsidR="00DA23FF" w:rsidRPr="00552BEA" w:rsidRDefault="00DA23FF" w:rsidP="00C7500E">
      <w:pPr>
        <w:pStyle w:val="ListParagraph"/>
        <w:numPr>
          <w:ilvl w:val="1"/>
          <w:numId w:val="16"/>
        </w:numPr>
        <w:ind w:left="426" w:right="-113" w:hanging="426"/>
        <w:jc w:val="both"/>
        <w:rPr>
          <w:rFonts w:asciiTheme="majorBidi" w:hAnsiTheme="majorBidi" w:cstheme="majorBidi"/>
          <w:szCs w:val="24"/>
        </w:rPr>
      </w:pPr>
      <w:r w:rsidRPr="00552BEA">
        <w:rPr>
          <w:rFonts w:asciiTheme="majorBidi" w:hAnsiTheme="majorBidi" w:cstheme="majorBidi"/>
          <w:b/>
          <w:bCs/>
          <w:szCs w:val="24"/>
        </w:rPr>
        <w:t xml:space="preserve">Soil Exploration: </w:t>
      </w:r>
      <w:r w:rsidRPr="00552BEA">
        <w:rPr>
          <w:rFonts w:asciiTheme="majorBidi" w:hAnsiTheme="majorBidi" w:cstheme="majorBidi"/>
          <w:szCs w:val="24"/>
        </w:rPr>
        <w:t xml:space="preserve">Soil exploration was carried out through samples collected from the three different regions of Iraq. The soil nature of these locations can be summarized as follows: </w:t>
      </w:r>
    </w:p>
    <w:p w:rsidR="00DA23FF" w:rsidRPr="00552BEA" w:rsidRDefault="00DA23FF" w:rsidP="00683AD7">
      <w:pPr>
        <w:pStyle w:val="ListParagraph"/>
        <w:numPr>
          <w:ilvl w:val="2"/>
          <w:numId w:val="17"/>
        </w:numPr>
        <w:ind w:right="-113"/>
        <w:jc w:val="both"/>
        <w:rPr>
          <w:rFonts w:asciiTheme="majorBidi" w:hAnsiTheme="majorBidi" w:cstheme="majorBidi"/>
          <w:szCs w:val="24"/>
        </w:rPr>
      </w:pPr>
      <w:r w:rsidRPr="00552BEA">
        <w:rPr>
          <w:rFonts w:asciiTheme="majorBidi" w:hAnsiTheme="majorBidi" w:cstheme="majorBidi"/>
          <w:b/>
          <w:bCs/>
          <w:szCs w:val="24"/>
        </w:rPr>
        <w:t xml:space="preserve">Mosul region: </w:t>
      </w:r>
      <w:r w:rsidRPr="00552BEA">
        <w:rPr>
          <w:rFonts w:asciiTheme="majorBidi" w:hAnsiTheme="majorBidi" w:cstheme="majorBidi"/>
          <w:szCs w:val="24"/>
        </w:rPr>
        <w:t>Mosul soils include different types (figure 3). Some of these types can cause engineering problems (collapse, swelling, soluble in gypsum, volumetric change; etc.). Large parts of Mosul area are covered with clay of different color</w:t>
      </w:r>
      <w:r w:rsidR="00B32FD6">
        <w:rPr>
          <w:rFonts w:asciiTheme="majorBidi" w:hAnsiTheme="majorBidi" w:cstheme="majorBidi"/>
          <w:szCs w:val="24"/>
        </w:rPr>
        <w:t>s</w:t>
      </w:r>
      <w:r w:rsidRPr="00552BEA">
        <w:rPr>
          <w:rFonts w:asciiTheme="majorBidi" w:hAnsiTheme="majorBidi" w:cstheme="majorBidi"/>
          <w:szCs w:val="24"/>
        </w:rPr>
        <w:t xml:space="preserve"> </w:t>
      </w:r>
      <w:r w:rsidR="00B32FD6">
        <w:rPr>
          <w:rFonts w:asciiTheme="majorBidi" w:hAnsiTheme="majorBidi" w:cstheme="majorBidi"/>
          <w:szCs w:val="24"/>
        </w:rPr>
        <w:t>(</w:t>
      </w:r>
      <w:r w:rsidRPr="00552BEA">
        <w:rPr>
          <w:rFonts w:asciiTheme="majorBidi" w:hAnsiTheme="majorBidi" w:cstheme="majorBidi"/>
          <w:szCs w:val="24"/>
        </w:rPr>
        <w:t>light brown, reddish brown and light green</w:t>
      </w:r>
      <w:r w:rsidR="00B32FD6">
        <w:rPr>
          <w:rFonts w:asciiTheme="majorBidi" w:hAnsiTheme="majorBidi" w:cstheme="majorBidi"/>
          <w:szCs w:val="24"/>
        </w:rPr>
        <w:t>)</w:t>
      </w:r>
      <w:r w:rsidRPr="00552BEA">
        <w:rPr>
          <w:rFonts w:asciiTheme="majorBidi" w:hAnsiTheme="majorBidi" w:cstheme="majorBidi"/>
          <w:szCs w:val="24"/>
        </w:rPr>
        <w:t xml:space="preserve">. This clay belongs to the lower Fars Formation (Middle Miocene) and has been deposited in a closed basin. Most of the clay soil of Mosul is an expansive clayey type that had affected several buildings in the center of Mosul city. The buildings in the city were normal and their foundation is within the active zone (0.5 - </w:t>
      </w:r>
      <w:r w:rsidR="00683AD7">
        <w:rPr>
          <w:rFonts w:asciiTheme="majorBidi" w:hAnsiTheme="majorBidi" w:cstheme="majorBidi"/>
          <w:szCs w:val="24"/>
        </w:rPr>
        <w:t>7.0 m).</w:t>
      </w:r>
      <w:r w:rsidRPr="00552BEA">
        <w:rPr>
          <w:rFonts w:asciiTheme="majorBidi" w:hAnsiTheme="majorBidi" w:cstheme="majorBidi"/>
          <w:szCs w:val="24"/>
        </w:rPr>
        <w:t xml:space="preserve"> The volumetric change into soil of the active zone is due to the change of its water content, which causes the swelling of soil [5; 9 and 10].</w:t>
      </w:r>
    </w:p>
    <w:p w:rsidR="00DA23FF" w:rsidRPr="00552BEA" w:rsidRDefault="00DA23FF" w:rsidP="00683AD7">
      <w:pPr>
        <w:pStyle w:val="ListParagraph"/>
        <w:numPr>
          <w:ilvl w:val="2"/>
          <w:numId w:val="17"/>
        </w:numPr>
        <w:ind w:right="-113"/>
        <w:jc w:val="both"/>
        <w:rPr>
          <w:rFonts w:asciiTheme="majorBidi" w:hAnsiTheme="majorBidi" w:cstheme="majorBidi"/>
          <w:szCs w:val="24"/>
        </w:rPr>
      </w:pPr>
      <w:r w:rsidRPr="00552BEA">
        <w:rPr>
          <w:rFonts w:asciiTheme="majorBidi" w:hAnsiTheme="majorBidi" w:cstheme="majorBidi"/>
          <w:b/>
          <w:bCs/>
          <w:szCs w:val="24"/>
        </w:rPr>
        <w:t xml:space="preserve">Baghdad region: </w:t>
      </w:r>
      <w:r w:rsidRPr="00552BEA">
        <w:rPr>
          <w:rFonts w:asciiTheme="majorBidi" w:hAnsiTheme="majorBidi" w:cstheme="majorBidi"/>
          <w:szCs w:val="24"/>
        </w:rPr>
        <w:t xml:space="preserve">This region is part of the Mesopotamia plain and characterized by great variations in the land use and high population density (figure 4). Quaternary sediments covering the Mesopotamia plain are of Pleistocene to Holocene </w:t>
      </w:r>
      <w:r w:rsidR="002509A8">
        <w:rPr>
          <w:rFonts w:asciiTheme="majorBidi" w:hAnsiTheme="majorBidi" w:cstheme="majorBidi"/>
          <w:szCs w:val="24"/>
        </w:rPr>
        <w:t xml:space="preserve">in </w:t>
      </w:r>
      <w:r w:rsidRPr="00552BEA">
        <w:rPr>
          <w:rFonts w:asciiTheme="majorBidi" w:hAnsiTheme="majorBidi" w:cstheme="majorBidi"/>
          <w:szCs w:val="24"/>
        </w:rPr>
        <w:t>age. Its thickness varies from few meters up to 180m. Flood plain deposits are of fluvial nature brought by the Tigris and Euphrates Rivers. The prevalent component of soil in this region is silt and clay [11 and 12].</w:t>
      </w:r>
    </w:p>
    <w:p w:rsidR="00DA23FF" w:rsidRDefault="00DA23FF" w:rsidP="00114E47">
      <w:pPr>
        <w:pStyle w:val="ListParagraph"/>
        <w:numPr>
          <w:ilvl w:val="2"/>
          <w:numId w:val="17"/>
        </w:numPr>
        <w:ind w:right="-113"/>
        <w:jc w:val="both"/>
        <w:rPr>
          <w:rFonts w:asciiTheme="majorBidi" w:hAnsiTheme="majorBidi" w:cstheme="majorBidi"/>
          <w:sz w:val="24"/>
          <w:szCs w:val="24"/>
        </w:rPr>
      </w:pPr>
      <w:r>
        <w:rPr>
          <w:rFonts w:asciiTheme="majorBidi" w:hAnsiTheme="majorBidi" w:cstheme="majorBidi"/>
          <w:b/>
          <w:bCs/>
          <w:sz w:val="24"/>
          <w:szCs w:val="24"/>
        </w:rPr>
        <w:t xml:space="preserve">Basrah region: </w:t>
      </w:r>
      <w:r>
        <w:rPr>
          <w:rFonts w:asciiTheme="majorBidi" w:hAnsiTheme="majorBidi" w:cstheme="majorBidi"/>
          <w:sz w:val="24"/>
          <w:szCs w:val="24"/>
        </w:rPr>
        <w:t>T</w:t>
      </w:r>
      <w:r w:rsidRPr="00A23EF6">
        <w:rPr>
          <w:rFonts w:asciiTheme="majorBidi" w:hAnsiTheme="majorBidi" w:cstheme="majorBidi"/>
          <w:sz w:val="24"/>
          <w:szCs w:val="24"/>
        </w:rPr>
        <w:t>his region</w:t>
      </w:r>
      <w:r>
        <w:rPr>
          <w:rFonts w:asciiTheme="majorBidi" w:hAnsiTheme="majorBidi" w:cstheme="majorBidi"/>
          <w:sz w:val="24"/>
          <w:szCs w:val="24"/>
        </w:rPr>
        <w:t xml:space="preserve"> is</w:t>
      </w:r>
      <w:r w:rsidRPr="00AD7C7E">
        <w:rPr>
          <w:rFonts w:asciiTheme="majorBidi" w:hAnsiTheme="majorBidi" w:cstheme="majorBidi"/>
          <w:sz w:val="24"/>
          <w:szCs w:val="24"/>
        </w:rPr>
        <w:t xml:space="preserve"> part of</w:t>
      </w:r>
      <w:r>
        <w:rPr>
          <w:rFonts w:asciiTheme="majorBidi" w:hAnsiTheme="majorBidi" w:cstheme="majorBidi"/>
          <w:b/>
          <w:bCs/>
          <w:sz w:val="24"/>
          <w:szCs w:val="24"/>
        </w:rPr>
        <w:t xml:space="preserve"> </w:t>
      </w:r>
      <w:r w:rsidRPr="00AD7C7E">
        <w:rPr>
          <w:rFonts w:asciiTheme="majorBidi" w:hAnsiTheme="majorBidi" w:cstheme="majorBidi"/>
          <w:sz w:val="24"/>
          <w:szCs w:val="24"/>
        </w:rPr>
        <w:t>the</w:t>
      </w:r>
      <w:r>
        <w:rPr>
          <w:rFonts w:asciiTheme="majorBidi" w:hAnsiTheme="majorBidi" w:cstheme="majorBidi"/>
          <w:b/>
          <w:bCs/>
          <w:sz w:val="24"/>
          <w:szCs w:val="24"/>
        </w:rPr>
        <w:t xml:space="preserve"> </w:t>
      </w:r>
      <w:r>
        <w:rPr>
          <w:rFonts w:asciiTheme="majorBidi" w:hAnsiTheme="majorBidi" w:cstheme="majorBidi"/>
          <w:sz w:val="24"/>
          <w:szCs w:val="24"/>
        </w:rPr>
        <w:t xml:space="preserve">Lower Mesopotamian basin where Quaternary sediments are deposited (figure 5). Basrah region can be classified into two parts. </w:t>
      </w:r>
      <w:r w:rsidR="004430CE">
        <w:rPr>
          <w:rFonts w:asciiTheme="majorBidi" w:hAnsiTheme="majorBidi" w:cstheme="majorBidi"/>
          <w:sz w:val="24"/>
          <w:szCs w:val="24"/>
        </w:rPr>
        <w:t>The</w:t>
      </w:r>
      <w:r>
        <w:rPr>
          <w:rFonts w:asciiTheme="majorBidi" w:hAnsiTheme="majorBidi" w:cstheme="majorBidi"/>
          <w:sz w:val="24"/>
          <w:szCs w:val="24"/>
        </w:rPr>
        <w:t xml:space="preserve"> eastern part</w:t>
      </w:r>
      <w:r w:rsidR="004430CE">
        <w:rPr>
          <w:rFonts w:asciiTheme="majorBidi" w:hAnsiTheme="majorBidi" w:cstheme="majorBidi"/>
          <w:sz w:val="24"/>
          <w:szCs w:val="24"/>
        </w:rPr>
        <w:t>,</w:t>
      </w:r>
      <w:r>
        <w:rPr>
          <w:rFonts w:asciiTheme="majorBidi" w:hAnsiTheme="majorBidi" w:cstheme="majorBidi"/>
          <w:sz w:val="24"/>
          <w:szCs w:val="24"/>
        </w:rPr>
        <w:t xml:space="preserve"> constitute surficial fine-grained deposits and its</w:t>
      </w:r>
      <w:r w:rsidRPr="00461E34">
        <w:rPr>
          <w:rFonts w:asciiTheme="majorBidi" w:hAnsiTheme="majorBidi" w:cstheme="majorBidi"/>
          <w:sz w:val="24"/>
          <w:szCs w:val="24"/>
        </w:rPr>
        <w:t xml:space="preserve"> </w:t>
      </w:r>
      <w:r>
        <w:rPr>
          <w:rFonts w:asciiTheme="majorBidi" w:hAnsiTheme="majorBidi" w:cstheme="majorBidi"/>
          <w:sz w:val="24"/>
          <w:szCs w:val="24"/>
        </w:rPr>
        <w:t xml:space="preserve">thickness is 14m. While, the western part is characterized by coarse-grained sediments that are part of an alluvial fan and sandy Dibdiba Formation deposits. The sediments of Dibdiba Formation gradually changed from marine to river sediments. The upper parts are characterized by hard clay followed by very dense sandy layers having significant bearing capacity. In general, the ground surface of Basrah city is flat and its soil consist of silt and clay with little amount of sand. The sediment at depth 1-18.5 m </w:t>
      </w:r>
      <w:proofErr w:type="gramStart"/>
      <w:r w:rsidR="00114E47">
        <w:rPr>
          <w:rFonts w:asciiTheme="majorBidi" w:hAnsiTheme="majorBidi" w:cstheme="majorBidi"/>
          <w:sz w:val="24"/>
          <w:szCs w:val="24"/>
        </w:rPr>
        <w:t>are</w:t>
      </w:r>
      <w:proofErr w:type="gramEnd"/>
      <w:r>
        <w:rPr>
          <w:rFonts w:asciiTheme="majorBidi" w:hAnsiTheme="majorBidi" w:cstheme="majorBidi"/>
          <w:sz w:val="24"/>
          <w:szCs w:val="24"/>
        </w:rPr>
        <w:t xml:space="preserve"> clayey silt, while the sediment at depth 21m are sandy silt and at 24m</w:t>
      </w:r>
      <w:r w:rsidRPr="00A6717B">
        <w:rPr>
          <w:rFonts w:asciiTheme="majorBidi" w:hAnsiTheme="majorBidi" w:cstheme="majorBidi"/>
          <w:sz w:val="24"/>
          <w:szCs w:val="24"/>
        </w:rPr>
        <w:t xml:space="preserve"> </w:t>
      </w:r>
      <w:r>
        <w:rPr>
          <w:rFonts w:asciiTheme="majorBidi" w:hAnsiTheme="majorBidi" w:cstheme="majorBidi"/>
          <w:sz w:val="24"/>
          <w:szCs w:val="24"/>
        </w:rPr>
        <w:t>depth are sand [13 and 14].</w:t>
      </w:r>
    </w:p>
    <w:p w:rsidR="00DA23FF" w:rsidRPr="001A420B" w:rsidRDefault="00DA23FF" w:rsidP="002D3F6B">
      <w:pPr>
        <w:pStyle w:val="ListParagraph"/>
        <w:numPr>
          <w:ilvl w:val="2"/>
          <w:numId w:val="17"/>
        </w:numPr>
        <w:ind w:right="-113"/>
        <w:jc w:val="both"/>
        <w:rPr>
          <w:rFonts w:asciiTheme="majorBidi" w:hAnsiTheme="majorBidi" w:cstheme="majorBidi"/>
          <w:sz w:val="24"/>
          <w:szCs w:val="24"/>
        </w:rPr>
      </w:pPr>
      <w:r w:rsidRPr="001A420B">
        <w:rPr>
          <w:rFonts w:asciiTheme="majorBidi" w:hAnsiTheme="majorBidi" w:cstheme="majorBidi"/>
          <w:b/>
          <w:bCs/>
          <w:sz w:val="24"/>
          <w:szCs w:val="24"/>
        </w:rPr>
        <w:t>Sampling:</w:t>
      </w:r>
      <w:r w:rsidRPr="001A420B">
        <w:rPr>
          <w:rFonts w:asciiTheme="majorBidi" w:hAnsiTheme="majorBidi" w:cstheme="majorBidi"/>
          <w:sz w:val="24"/>
          <w:szCs w:val="24"/>
        </w:rPr>
        <w:t xml:space="preserve"> </w:t>
      </w:r>
      <w:r>
        <w:rPr>
          <w:rFonts w:asciiTheme="majorBidi" w:hAnsiTheme="majorBidi" w:cstheme="majorBidi"/>
          <w:sz w:val="24"/>
          <w:szCs w:val="24"/>
        </w:rPr>
        <w:t>D</w:t>
      </w:r>
      <w:r w:rsidRPr="001A420B">
        <w:rPr>
          <w:rFonts w:asciiTheme="majorBidi" w:hAnsiTheme="majorBidi" w:cstheme="majorBidi"/>
          <w:sz w:val="24"/>
          <w:szCs w:val="24"/>
        </w:rPr>
        <w:t>isturb</w:t>
      </w:r>
      <w:r>
        <w:rPr>
          <w:rFonts w:asciiTheme="majorBidi" w:hAnsiTheme="majorBidi" w:cstheme="majorBidi"/>
          <w:sz w:val="24"/>
          <w:szCs w:val="24"/>
        </w:rPr>
        <w:t>ed</w:t>
      </w:r>
      <w:r w:rsidRPr="001A420B">
        <w:rPr>
          <w:rFonts w:asciiTheme="majorBidi" w:hAnsiTheme="majorBidi" w:cstheme="majorBidi"/>
          <w:sz w:val="24"/>
          <w:szCs w:val="24"/>
        </w:rPr>
        <w:t xml:space="preserve"> and undisturb</w:t>
      </w:r>
      <w:r>
        <w:rPr>
          <w:rFonts w:asciiTheme="majorBidi" w:hAnsiTheme="majorBidi" w:cstheme="majorBidi"/>
          <w:sz w:val="24"/>
          <w:szCs w:val="24"/>
        </w:rPr>
        <w:t>ed</w:t>
      </w:r>
      <w:r w:rsidRPr="001A420B">
        <w:rPr>
          <w:rFonts w:asciiTheme="majorBidi" w:hAnsiTheme="majorBidi" w:cstheme="majorBidi"/>
          <w:sz w:val="24"/>
          <w:szCs w:val="24"/>
        </w:rPr>
        <w:t xml:space="preserve"> samples were taken</w:t>
      </w:r>
      <w:r>
        <w:rPr>
          <w:rFonts w:asciiTheme="majorBidi" w:hAnsiTheme="majorBidi" w:cstheme="majorBidi"/>
          <w:sz w:val="24"/>
          <w:szCs w:val="24"/>
        </w:rPr>
        <w:t xml:space="preserve"> from</w:t>
      </w:r>
      <w:r w:rsidRPr="001A420B">
        <w:rPr>
          <w:rFonts w:asciiTheme="majorBidi" w:hAnsiTheme="majorBidi" w:cstheme="majorBidi"/>
          <w:sz w:val="24"/>
          <w:szCs w:val="24"/>
        </w:rPr>
        <w:t xml:space="preserve"> </w:t>
      </w:r>
      <w:r>
        <w:rPr>
          <w:rFonts w:asciiTheme="majorBidi" w:hAnsiTheme="majorBidi" w:cstheme="majorBidi"/>
          <w:sz w:val="24"/>
          <w:szCs w:val="24"/>
        </w:rPr>
        <w:t>nine boreholes</w:t>
      </w:r>
      <w:r w:rsidRPr="001A420B">
        <w:rPr>
          <w:rFonts w:asciiTheme="majorBidi" w:hAnsiTheme="majorBidi" w:cstheme="majorBidi"/>
          <w:sz w:val="24"/>
          <w:szCs w:val="24"/>
        </w:rPr>
        <w:t xml:space="preserve"> </w:t>
      </w:r>
      <w:r>
        <w:rPr>
          <w:rFonts w:asciiTheme="majorBidi" w:hAnsiTheme="majorBidi" w:cstheme="majorBidi"/>
          <w:sz w:val="24"/>
          <w:szCs w:val="24"/>
        </w:rPr>
        <w:t xml:space="preserve">in </w:t>
      </w:r>
      <w:r w:rsidRPr="001A420B">
        <w:rPr>
          <w:rFonts w:asciiTheme="majorBidi" w:hAnsiTheme="majorBidi" w:cstheme="majorBidi"/>
          <w:sz w:val="24"/>
          <w:szCs w:val="24"/>
        </w:rPr>
        <w:t>different locations</w:t>
      </w:r>
      <w:r>
        <w:rPr>
          <w:rFonts w:asciiTheme="majorBidi" w:hAnsiTheme="majorBidi" w:cstheme="majorBidi"/>
          <w:sz w:val="24"/>
          <w:szCs w:val="24"/>
        </w:rPr>
        <w:t xml:space="preserve"> in Mosul region northern Iraq,</w:t>
      </w:r>
      <w:r w:rsidRPr="001A420B">
        <w:rPr>
          <w:rFonts w:asciiTheme="majorBidi" w:hAnsiTheme="majorBidi" w:cstheme="majorBidi"/>
          <w:sz w:val="24"/>
          <w:szCs w:val="24"/>
        </w:rPr>
        <w:t xml:space="preserve"> </w:t>
      </w:r>
      <w:r>
        <w:rPr>
          <w:rFonts w:asciiTheme="majorBidi" w:hAnsiTheme="majorBidi" w:cstheme="majorBidi"/>
          <w:sz w:val="24"/>
          <w:szCs w:val="24"/>
        </w:rPr>
        <w:t>(</w:t>
      </w:r>
      <w:r w:rsidRPr="001A420B">
        <w:rPr>
          <w:rFonts w:asciiTheme="majorBidi" w:hAnsiTheme="majorBidi" w:cstheme="majorBidi"/>
          <w:sz w:val="24"/>
          <w:szCs w:val="24"/>
        </w:rPr>
        <w:t xml:space="preserve">figure </w:t>
      </w:r>
      <w:r>
        <w:rPr>
          <w:rFonts w:asciiTheme="majorBidi" w:hAnsiTheme="majorBidi" w:cstheme="majorBidi"/>
          <w:sz w:val="24"/>
          <w:szCs w:val="24"/>
        </w:rPr>
        <w:lastRenderedPageBreak/>
        <w:t>3)</w:t>
      </w:r>
      <w:r w:rsidRPr="001A420B">
        <w:rPr>
          <w:rFonts w:asciiTheme="majorBidi" w:hAnsiTheme="majorBidi" w:cstheme="majorBidi"/>
          <w:sz w:val="24"/>
          <w:szCs w:val="24"/>
        </w:rPr>
        <w:t>.</w:t>
      </w:r>
      <w:r>
        <w:rPr>
          <w:rFonts w:asciiTheme="majorBidi" w:hAnsiTheme="majorBidi" w:cstheme="majorBidi"/>
          <w:sz w:val="24"/>
          <w:szCs w:val="24"/>
        </w:rPr>
        <w:t>Three to four samples were taken from each borehole drilled to depth 3</w:t>
      </w:r>
      <w:r w:rsidR="002D3F6B">
        <w:rPr>
          <w:rFonts w:asciiTheme="majorBidi" w:hAnsiTheme="majorBidi" w:cstheme="majorBidi"/>
          <w:sz w:val="24"/>
          <w:szCs w:val="24"/>
        </w:rPr>
        <w:t>-</w:t>
      </w:r>
      <w:r w:rsidR="004430CE">
        <w:rPr>
          <w:rFonts w:asciiTheme="majorBidi" w:hAnsiTheme="majorBidi" w:cstheme="majorBidi"/>
          <w:sz w:val="24"/>
          <w:szCs w:val="24"/>
        </w:rPr>
        <w:t xml:space="preserve"> </w:t>
      </w:r>
      <w:r>
        <w:rPr>
          <w:rFonts w:asciiTheme="majorBidi" w:hAnsiTheme="majorBidi" w:cstheme="majorBidi"/>
          <w:sz w:val="24"/>
          <w:szCs w:val="24"/>
        </w:rPr>
        <w:t xml:space="preserve">10m. </w:t>
      </w:r>
    </w:p>
    <w:p w:rsidR="00DA23FF" w:rsidRPr="00DA23FF" w:rsidRDefault="00DA23FF" w:rsidP="00DA23FF">
      <w:pPr>
        <w:ind w:left="360" w:right="-113"/>
        <w:rPr>
          <w:rFonts w:asciiTheme="majorBidi" w:hAnsiTheme="majorBidi" w:cstheme="majorBidi"/>
          <w:szCs w:val="24"/>
        </w:rPr>
      </w:pPr>
      <w:r>
        <w:rPr>
          <w:noProof/>
          <w:lang w:val="sv-SE" w:eastAsia="sv-SE"/>
        </w:rPr>
        <w:drawing>
          <wp:anchor distT="0" distB="0" distL="114300" distR="114300" simplePos="0" relativeHeight="251662336" behindDoc="0" locked="0" layoutInCell="1" allowOverlap="1" wp14:anchorId="725BBC54" wp14:editId="4454DA2D">
            <wp:simplePos x="0" y="0"/>
            <wp:positionH relativeFrom="column">
              <wp:posOffset>521970</wp:posOffset>
            </wp:positionH>
            <wp:positionV relativeFrom="paragraph">
              <wp:posOffset>-150495</wp:posOffset>
            </wp:positionV>
            <wp:extent cx="3695700" cy="2141855"/>
            <wp:effectExtent l="19050" t="1905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95700" cy="214185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rsidR="00DA23FF" w:rsidRDefault="00DA23FF" w:rsidP="00DA23FF">
      <w:pPr>
        <w:pStyle w:val="ListParagraph"/>
        <w:ind w:left="426" w:right="-113"/>
        <w:jc w:val="both"/>
        <w:rPr>
          <w:rFonts w:asciiTheme="majorBidi" w:hAnsiTheme="majorBidi" w:cstheme="majorBidi"/>
          <w:sz w:val="24"/>
          <w:szCs w:val="24"/>
        </w:rPr>
      </w:pPr>
    </w:p>
    <w:p w:rsidR="00DA23FF" w:rsidRDefault="00DA23FF" w:rsidP="000375F9">
      <w:pPr>
        <w:spacing w:line="360" w:lineRule="auto"/>
        <w:rPr>
          <w:szCs w:val="24"/>
        </w:rPr>
      </w:pPr>
    </w:p>
    <w:p w:rsidR="00DA23FF" w:rsidRDefault="00DA23FF" w:rsidP="000375F9">
      <w:pPr>
        <w:spacing w:line="360" w:lineRule="auto"/>
        <w:rPr>
          <w:szCs w:val="24"/>
        </w:rPr>
      </w:pPr>
    </w:p>
    <w:p w:rsidR="00DA23FF" w:rsidRDefault="00DA23FF" w:rsidP="000375F9">
      <w:pPr>
        <w:spacing w:line="360" w:lineRule="auto"/>
        <w:rPr>
          <w:szCs w:val="24"/>
        </w:rPr>
      </w:pPr>
    </w:p>
    <w:p w:rsidR="003760E0" w:rsidRDefault="003760E0"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4430CE">
      <w:pPr>
        <w:spacing w:line="240" w:lineRule="auto"/>
        <w:jc w:val="center"/>
        <w:rPr>
          <w:szCs w:val="24"/>
        </w:rPr>
      </w:pPr>
    </w:p>
    <w:p w:rsidR="00AE3B12" w:rsidRDefault="00AE3B12" w:rsidP="004430CE">
      <w:pPr>
        <w:tabs>
          <w:tab w:val="left" w:pos="1150"/>
        </w:tabs>
        <w:jc w:val="center"/>
        <w:rPr>
          <w:rFonts w:asciiTheme="majorBidi" w:hAnsiTheme="majorBidi" w:cstheme="majorBidi"/>
          <w:b/>
          <w:bCs/>
          <w:szCs w:val="24"/>
        </w:rPr>
      </w:pPr>
      <w:r w:rsidRPr="006A0A32">
        <w:rPr>
          <w:rFonts w:asciiTheme="majorBidi" w:hAnsiTheme="majorBidi" w:cstheme="majorBidi"/>
          <w:b/>
          <w:bCs/>
          <w:szCs w:val="24"/>
        </w:rPr>
        <w:t xml:space="preserve">Figure </w:t>
      </w:r>
      <w:r>
        <w:rPr>
          <w:rFonts w:asciiTheme="majorBidi" w:hAnsiTheme="majorBidi" w:cstheme="majorBidi"/>
          <w:b/>
          <w:bCs/>
          <w:szCs w:val="24"/>
        </w:rPr>
        <w:t>3</w:t>
      </w:r>
      <w:r w:rsidRPr="006A0A32">
        <w:rPr>
          <w:rFonts w:asciiTheme="majorBidi" w:hAnsiTheme="majorBidi" w:cstheme="majorBidi"/>
          <w:b/>
          <w:bCs/>
          <w:szCs w:val="24"/>
        </w:rPr>
        <w:t>:</w:t>
      </w:r>
      <w:r>
        <w:rPr>
          <w:rFonts w:asciiTheme="majorBidi" w:hAnsiTheme="majorBidi" w:cstheme="majorBidi"/>
          <w:b/>
          <w:bCs/>
          <w:szCs w:val="24"/>
        </w:rPr>
        <w:t xml:space="preserve"> Mosul region</w:t>
      </w:r>
      <w:r w:rsidR="009312A6">
        <w:rPr>
          <w:rFonts w:asciiTheme="majorBidi" w:hAnsiTheme="majorBidi" w:cstheme="majorBidi"/>
          <w:b/>
          <w:bCs/>
          <w:szCs w:val="24"/>
        </w:rPr>
        <w:t xml:space="preserve"> northern Iraq map</w:t>
      </w:r>
      <w:r w:rsidR="004430CE">
        <w:rPr>
          <w:rFonts w:asciiTheme="majorBidi" w:hAnsiTheme="majorBidi" w:cstheme="majorBidi"/>
          <w:b/>
          <w:bCs/>
          <w:szCs w:val="24"/>
        </w:rPr>
        <w:t>.</w:t>
      </w:r>
    </w:p>
    <w:p w:rsidR="00AE3B12" w:rsidRDefault="00AE3B12" w:rsidP="00E150E7">
      <w:pPr>
        <w:widowControl/>
        <w:tabs>
          <w:tab w:val="left" w:pos="1150"/>
        </w:tabs>
        <w:adjustRightInd/>
        <w:spacing w:after="200" w:line="276" w:lineRule="auto"/>
        <w:textAlignment w:val="auto"/>
        <w:rPr>
          <w:rFonts w:eastAsia="Calibri"/>
          <w:szCs w:val="24"/>
          <w:lang w:eastAsia="en-US"/>
        </w:rPr>
      </w:pPr>
      <w:r>
        <w:rPr>
          <w:rFonts w:eastAsia="Calibri"/>
          <w:noProof/>
          <w:szCs w:val="24"/>
          <w:lang w:val="sv-SE" w:eastAsia="sv-SE"/>
        </w:rPr>
        <w:drawing>
          <wp:anchor distT="0" distB="0" distL="114300" distR="114300" simplePos="0" relativeHeight="251663360" behindDoc="0" locked="0" layoutInCell="1" allowOverlap="1" wp14:anchorId="4199994F" wp14:editId="3C9B3581">
            <wp:simplePos x="0" y="0"/>
            <wp:positionH relativeFrom="column">
              <wp:posOffset>656590</wp:posOffset>
            </wp:positionH>
            <wp:positionV relativeFrom="paragraph">
              <wp:posOffset>609600</wp:posOffset>
            </wp:positionV>
            <wp:extent cx="3822700" cy="23837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0" cy="2383790"/>
                    </a:xfrm>
                    <a:prstGeom prst="rect">
                      <a:avLst/>
                    </a:prstGeom>
                    <a:noFill/>
                  </pic:spPr>
                </pic:pic>
              </a:graphicData>
            </a:graphic>
            <wp14:sizeRelH relativeFrom="page">
              <wp14:pctWidth>0</wp14:pctWidth>
            </wp14:sizeRelH>
            <wp14:sizeRelV relativeFrom="page">
              <wp14:pctHeight>0</wp14:pctHeight>
            </wp14:sizeRelV>
          </wp:anchor>
        </w:drawing>
      </w:r>
      <w:r w:rsidRPr="00AE3B12">
        <w:rPr>
          <w:rFonts w:eastAsia="Calibri"/>
          <w:szCs w:val="24"/>
          <w:lang w:eastAsia="en-US"/>
        </w:rPr>
        <w:t>At Baghdad, samples were collected from five (figure 4). Three samples were taken from each borehole drilled to a depth of 10</w:t>
      </w:r>
      <w:r w:rsidR="004430CE">
        <w:rPr>
          <w:rFonts w:eastAsia="Calibri"/>
          <w:szCs w:val="24"/>
          <w:lang w:eastAsia="en-US"/>
        </w:rPr>
        <w:t xml:space="preserve"> </w:t>
      </w:r>
      <w:r w:rsidR="00E150E7">
        <w:rPr>
          <w:rFonts w:eastAsia="Calibri"/>
          <w:szCs w:val="24"/>
          <w:lang w:eastAsia="en-US"/>
        </w:rPr>
        <w:t>-</w:t>
      </w:r>
      <w:r w:rsidR="004430CE">
        <w:rPr>
          <w:rFonts w:eastAsia="Calibri"/>
          <w:szCs w:val="24"/>
          <w:lang w:eastAsia="en-US"/>
        </w:rPr>
        <w:t xml:space="preserve"> </w:t>
      </w:r>
      <w:r w:rsidRPr="00AE3B12">
        <w:rPr>
          <w:rFonts w:eastAsia="Calibri"/>
          <w:szCs w:val="24"/>
          <w:lang w:eastAsia="en-US"/>
        </w:rPr>
        <w:t>13m.</w:t>
      </w:r>
    </w:p>
    <w:p w:rsidR="00AE3B12" w:rsidRPr="00AE3B12" w:rsidRDefault="00AE3B12" w:rsidP="00AE3B12">
      <w:pPr>
        <w:widowControl/>
        <w:tabs>
          <w:tab w:val="left" w:pos="1150"/>
        </w:tabs>
        <w:adjustRightInd/>
        <w:spacing w:after="200" w:line="276" w:lineRule="auto"/>
        <w:textAlignment w:val="auto"/>
        <w:rPr>
          <w:rFonts w:eastAsia="Calibri"/>
          <w:szCs w:val="24"/>
          <w:lang w:eastAsia="en-US"/>
        </w:rPr>
      </w:pPr>
    </w:p>
    <w:p w:rsidR="00AE3B12" w:rsidRDefault="00AE3B12" w:rsidP="00AE3B12">
      <w:pPr>
        <w:tabs>
          <w:tab w:val="left" w:pos="1150"/>
        </w:tabs>
        <w:rPr>
          <w:rFonts w:asciiTheme="majorBidi" w:hAnsiTheme="majorBidi" w:cstheme="majorBidi"/>
          <w:b/>
          <w:bCs/>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Default="00DA23FF" w:rsidP="003760E0">
      <w:pPr>
        <w:spacing w:line="240" w:lineRule="auto"/>
        <w:rPr>
          <w:szCs w:val="24"/>
        </w:rPr>
      </w:pPr>
    </w:p>
    <w:p w:rsidR="00DA23FF" w:rsidRPr="003760E0" w:rsidRDefault="00DA23FF" w:rsidP="003760E0">
      <w:pPr>
        <w:spacing w:line="240" w:lineRule="auto"/>
        <w:rPr>
          <w:szCs w:val="24"/>
        </w:rPr>
      </w:pPr>
    </w:p>
    <w:p w:rsidR="00AE3B12" w:rsidRPr="00AE3B12" w:rsidRDefault="00AE3B12" w:rsidP="004430CE">
      <w:pPr>
        <w:tabs>
          <w:tab w:val="left" w:pos="1150"/>
        </w:tabs>
        <w:jc w:val="center"/>
        <w:rPr>
          <w:rFonts w:eastAsia="Calibri"/>
          <w:b/>
          <w:bCs/>
          <w:szCs w:val="24"/>
          <w:lang w:eastAsia="en-US"/>
        </w:rPr>
      </w:pPr>
      <w:r w:rsidRPr="00AE3B12">
        <w:rPr>
          <w:rFonts w:eastAsia="Calibri"/>
          <w:b/>
          <w:bCs/>
          <w:szCs w:val="24"/>
          <w:lang w:eastAsia="en-US"/>
        </w:rPr>
        <w:t>Figure 4: Baghdad region center</w:t>
      </w:r>
      <w:r w:rsidR="00D55D07">
        <w:rPr>
          <w:rFonts w:eastAsia="Calibri"/>
          <w:b/>
          <w:bCs/>
          <w:szCs w:val="24"/>
          <w:lang w:eastAsia="en-US"/>
        </w:rPr>
        <w:t xml:space="preserve"> Iraq map</w:t>
      </w:r>
      <w:r w:rsidR="004430CE">
        <w:rPr>
          <w:rFonts w:eastAsia="Calibri"/>
          <w:b/>
          <w:bCs/>
          <w:szCs w:val="24"/>
          <w:lang w:eastAsia="en-US"/>
        </w:rPr>
        <w:t>.</w:t>
      </w:r>
    </w:p>
    <w:p w:rsidR="00AE3B12" w:rsidRPr="00AE3B12" w:rsidRDefault="00AE3B12" w:rsidP="00AE3B12">
      <w:pPr>
        <w:widowControl/>
        <w:tabs>
          <w:tab w:val="left" w:pos="1150"/>
        </w:tabs>
        <w:adjustRightInd/>
        <w:spacing w:after="200" w:line="276" w:lineRule="auto"/>
        <w:textAlignment w:val="auto"/>
        <w:rPr>
          <w:rFonts w:ascii="Calibri" w:eastAsia="Calibri" w:hAnsi="Calibri" w:cs="Arial"/>
          <w:sz w:val="22"/>
          <w:szCs w:val="22"/>
          <w:lang w:eastAsia="en-US"/>
        </w:rPr>
      </w:pPr>
      <w:r w:rsidRPr="00AE3B12">
        <w:rPr>
          <w:rFonts w:eastAsia="Calibri"/>
          <w:szCs w:val="24"/>
          <w:lang w:eastAsia="en-US"/>
        </w:rPr>
        <w:t xml:space="preserve">In Basrah, samples were taken from nine boreholes in different locations (figure 5). Three to four samples were taken from each borehole drilled to a depth of 10-24 m. </w:t>
      </w:r>
      <w:r w:rsidRPr="00AE3B12">
        <w:rPr>
          <w:rFonts w:ascii="Calibri" w:eastAsia="Calibri" w:hAnsi="Calibri" w:cs="Arial"/>
          <w:sz w:val="22"/>
          <w:szCs w:val="22"/>
          <w:lang w:eastAsia="en-US"/>
        </w:rPr>
        <w:t xml:space="preserve"> </w:t>
      </w:r>
    </w:p>
    <w:p w:rsidR="00AE3B12" w:rsidRDefault="00AE3B12" w:rsidP="009A6DA1">
      <w:pPr>
        <w:spacing w:line="240" w:lineRule="auto"/>
        <w:rPr>
          <w:color w:val="000000"/>
          <w:szCs w:val="24"/>
        </w:rPr>
      </w:pPr>
    </w:p>
    <w:p w:rsidR="0057377A" w:rsidRPr="009A6DA1" w:rsidRDefault="0057377A" w:rsidP="009A6DA1">
      <w:pPr>
        <w:spacing w:line="240" w:lineRule="auto"/>
        <w:rPr>
          <w:b/>
          <w:color w:val="000000"/>
          <w:szCs w:val="24"/>
        </w:rPr>
      </w:pPr>
      <w:r>
        <w:rPr>
          <w:color w:val="000000"/>
          <w:szCs w:val="24"/>
        </w:rPr>
        <w:t xml:space="preserve"> </w:t>
      </w:r>
    </w:p>
    <w:p w:rsidR="000375F9" w:rsidRDefault="000375F9" w:rsidP="00AA77DB">
      <w:pPr>
        <w:spacing w:line="240" w:lineRule="auto"/>
        <w:rPr>
          <w:b/>
          <w:szCs w:val="24"/>
        </w:rPr>
      </w:pPr>
    </w:p>
    <w:p w:rsidR="00AE3B12" w:rsidRDefault="00AE3B12" w:rsidP="00AA77DB">
      <w:pPr>
        <w:spacing w:line="240" w:lineRule="auto"/>
        <w:rPr>
          <w:b/>
          <w:szCs w:val="24"/>
        </w:rPr>
      </w:pPr>
    </w:p>
    <w:p w:rsidR="00AA77DB" w:rsidRPr="00F03418" w:rsidRDefault="00AA77DB" w:rsidP="00AE3B12">
      <w:pPr>
        <w:spacing w:line="240" w:lineRule="auto"/>
        <w:rPr>
          <w:szCs w:val="24"/>
        </w:rPr>
      </w:pPr>
      <w:r>
        <w:rPr>
          <w:szCs w:val="24"/>
        </w:rPr>
        <w:t xml:space="preserve">                             </w:t>
      </w:r>
    </w:p>
    <w:p w:rsidR="009A6DA1" w:rsidRDefault="00AE3B12" w:rsidP="009A6DA1">
      <w:pPr>
        <w:spacing w:line="240" w:lineRule="auto"/>
        <w:rPr>
          <w:color w:val="000000"/>
          <w:szCs w:val="24"/>
        </w:rPr>
      </w:pPr>
      <w:r w:rsidRPr="00AE3B12">
        <w:rPr>
          <w:rFonts w:ascii="Calibri" w:eastAsia="Calibri" w:hAnsi="Calibri" w:cs="Arial"/>
          <w:noProof/>
          <w:sz w:val="22"/>
          <w:szCs w:val="22"/>
          <w:lang w:val="sv-SE" w:eastAsia="sv-SE"/>
        </w:rPr>
        <w:drawing>
          <wp:anchor distT="0" distB="0" distL="114300" distR="114300" simplePos="0" relativeHeight="251665408" behindDoc="0" locked="0" layoutInCell="1" allowOverlap="1" wp14:anchorId="0F459524" wp14:editId="7B773AE6">
            <wp:simplePos x="0" y="0"/>
            <wp:positionH relativeFrom="column">
              <wp:posOffset>378460</wp:posOffset>
            </wp:positionH>
            <wp:positionV relativeFrom="paragraph">
              <wp:posOffset>-199390</wp:posOffset>
            </wp:positionV>
            <wp:extent cx="3787775" cy="2364105"/>
            <wp:effectExtent l="19050" t="1905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87775" cy="2364105"/>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p>
    <w:p w:rsidR="000375F9" w:rsidRDefault="000375F9" w:rsidP="009A6DA1">
      <w:pPr>
        <w:spacing w:line="240" w:lineRule="auto"/>
        <w:rPr>
          <w:color w:val="000000"/>
          <w:szCs w:val="24"/>
        </w:rPr>
      </w:pPr>
    </w:p>
    <w:p w:rsidR="000375F9" w:rsidRDefault="000375F9" w:rsidP="009A6DA1">
      <w:pPr>
        <w:spacing w:line="240" w:lineRule="auto"/>
        <w:rPr>
          <w:color w:val="000000"/>
          <w:szCs w:val="24"/>
        </w:rPr>
      </w:pPr>
    </w:p>
    <w:p w:rsidR="000375F9" w:rsidRDefault="000375F9" w:rsidP="009A6DA1">
      <w:pPr>
        <w:spacing w:line="240" w:lineRule="auto"/>
        <w:rPr>
          <w:color w:val="000000"/>
          <w:szCs w:val="24"/>
        </w:rPr>
      </w:pPr>
    </w:p>
    <w:p w:rsidR="000375F9" w:rsidRDefault="000375F9" w:rsidP="009A6DA1">
      <w:pPr>
        <w:spacing w:line="240" w:lineRule="auto"/>
        <w:rPr>
          <w:color w:val="000000"/>
          <w:szCs w:val="24"/>
        </w:rPr>
      </w:pPr>
    </w:p>
    <w:p w:rsidR="00AE3B12" w:rsidRDefault="00AE3B12" w:rsidP="009A6DA1">
      <w:pPr>
        <w:spacing w:line="240" w:lineRule="auto"/>
        <w:rPr>
          <w:color w:val="000000"/>
          <w:szCs w:val="24"/>
        </w:rPr>
      </w:pPr>
    </w:p>
    <w:p w:rsidR="00AE3B12" w:rsidRDefault="00AE3B12" w:rsidP="009A6DA1">
      <w:pPr>
        <w:spacing w:line="240" w:lineRule="auto"/>
        <w:rPr>
          <w:color w:val="000000"/>
          <w:szCs w:val="24"/>
        </w:rPr>
      </w:pPr>
    </w:p>
    <w:p w:rsidR="00AE3B12" w:rsidRDefault="00AE3B12" w:rsidP="009A6DA1">
      <w:pPr>
        <w:spacing w:line="240" w:lineRule="auto"/>
        <w:rPr>
          <w:color w:val="000000"/>
          <w:szCs w:val="24"/>
        </w:rPr>
      </w:pPr>
    </w:p>
    <w:p w:rsidR="00AE3B12" w:rsidRDefault="00AE3B12" w:rsidP="009A6DA1">
      <w:pPr>
        <w:spacing w:line="240" w:lineRule="auto"/>
        <w:rPr>
          <w:color w:val="000000"/>
          <w:szCs w:val="24"/>
        </w:rPr>
      </w:pPr>
    </w:p>
    <w:p w:rsidR="00AE3B12" w:rsidRDefault="00AE3B12" w:rsidP="009A6DA1">
      <w:pPr>
        <w:spacing w:line="240" w:lineRule="auto"/>
        <w:rPr>
          <w:color w:val="000000"/>
          <w:szCs w:val="24"/>
        </w:rPr>
      </w:pPr>
    </w:p>
    <w:p w:rsidR="00AE3B12" w:rsidRDefault="00AE3B12" w:rsidP="009A6DA1">
      <w:pPr>
        <w:spacing w:line="240" w:lineRule="auto"/>
        <w:rPr>
          <w:color w:val="000000"/>
          <w:szCs w:val="24"/>
        </w:rPr>
      </w:pPr>
    </w:p>
    <w:p w:rsidR="00AE3B12" w:rsidRDefault="00AE3B12" w:rsidP="009A6DA1">
      <w:pPr>
        <w:spacing w:line="240" w:lineRule="auto"/>
        <w:rPr>
          <w:color w:val="000000"/>
          <w:szCs w:val="24"/>
        </w:rPr>
      </w:pPr>
    </w:p>
    <w:p w:rsidR="00AE3B12" w:rsidRDefault="00AE3B12" w:rsidP="009A6DA1">
      <w:pPr>
        <w:spacing w:line="240" w:lineRule="auto"/>
        <w:rPr>
          <w:color w:val="000000"/>
          <w:szCs w:val="24"/>
        </w:rPr>
      </w:pPr>
    </w:p>
    <w:p w:rsidR="00552BEA" w:rsidRPr="00552BEA" w:rsidRDefault="00D55D07" w:rsidP="00D55D07">
      <w:pPr>
        <w:widowControl/>
        <w:tabs>
          <w:tab w:val="left" w:pos="1440"/>
        </w:tabs>
        <w:adjustRightInd/>
        <w:spacing w:after="200" w:line="276" w:lineRule="auto"/>
        <w:textAlignment w:val="auto"/>
        <w:rPr>
          <w:rFonts w:eastAsia="Calibri"/>
          <w:b/>
          <w:bCs/>
          <w:szCs w:val="24"/>
          <w:lang w:eastAsia="en-US"/>
        </w:rPr>
      </w:pPr>
      <w:r>
        <w:rPr>
          <w:rFonts w:eastAsia="Calibri"/>
          <w:b/>
          <w:bCs/>
          <w:szCs w:val="24"/>
          <w:lang w:eastAsia="en-US"/>
        </w:rPr>
        <w:t xml:space="preserve">            </w:t>
      </w:r>
      <w:r w:rsidR="00AE3B12" w:rsidRPr="00AE3B12">
        <w:rPr>
          <w:rFonts w:eastAsia="Calibri"/>
          <w:b/>
          <w:bCs/>
          <w:szCs w:val="24"/>
          <w:lang w:eastAsia="en-US"/>
        </w:rPr>
        <w:t>Figure 5:  Basrah region</w:t>
      </w:r>
      <w:r>
        <w:rPr>
          <w:rFonts w:eastAsia="Calibri"/>
          <w:b/>
          <w:bCs/>
          <w:szCs w:val="24"/>
          <w:lang w:eastAsia="en-US"/>
        </w:rPr>
        <w:t xml:space="preserve"> in southern Iraq map</w:t>
      </w:r>
      <w:r w:rsidR="004430CE">
        <w:rPr>
          <w:rFonts w:eastAsia="Calibri"/>
          <w:b/>
          <w:bCs/>
          <w:szCs w:val="24"/>
          <w:lang w:eastAsia="en-US"/>
        </w:rPr>
        <w:t>.</w:t>
      </w:r>
    </w:p>
    <w:p w:rsidR="00552BEA" w:rsidRPr="00552BEA" w:rsidRDefault="00552BEA" w:rsidP="00D55D07">
      <w:pPr>
        <w:pStyle w:val="ListParagraph"/>
        <w:numPr>
          <w:ilvl w:val="1"/>
          <w:numId w:val="17"/>
        </w:numPr>
        <w:tabs>
          <w:tab w:val="left" w:pos="1150"/>
        </w:tabs>
        <w:jc w:val="both"/>
        <w:rPr>
          <w:rFonts w:asciiTheme="majorBidi" w:hAnsiTheme="majorBidi" w:cstheme="majorBidi"/>
          <w:sz w:val="24"/>
          <w:szCs w:val="24"/>
        </w:rPr>
      </w:pPr>
      <w:r w:rsidRPr="00552BEA">
        <w:rPr>
          <w:rFonts w:asciiTheme="majorBidi" w:hAnsiTheme="majorBidi" w:cstheme="majorBidi"/>
          <w:b/>
          <w:bCs/>
          <w:sz w:val="24"/>
          <w:szCs w:val="24"/>
        </w:rPr>
        <w:t xml:space="preserve">Samples Tests: </w:t>
      </w:r>
      <w:r w:rsidRPr="00552BEA">
        <w:rPr>
          <w:rFonts w:asciiTheme="majorBidi" w:hAnsiTheme="majorBidi" w:cstheme="majorBidi"/>
          <w:sz w:val="24"/>
          <w:szCs w:val="24"/>
        </w:rPr>
        <w:t>Field and laboratory tests were performed on the samples collected from</w:t>
      </w:r>
      <w:r w:rsidR="00D55D07">
        <w:rPr>
          <w:rFonts w:asciiTheme="majorBidi" w:hAnsiTheme="majorBidi" w:cstheme="majorBidi"/>
          <w:sz w:val="24"/>
          <w:szCs w:val="24"/>
        </w:rPr>
        <w:t xml:space="preserve"> the three Mosul, Baghdad, and Basrah. </w:t>
      </w:r>
      <w:r w:rsidRPr="00552BEA">
        <w:rPr>
          <w:rFonts w:asciiTheme="majorBidi" w:hAnsiTheme="majorBidi" w:cstheme="majorBidi"/>
          <w:sz w:val="24"/>
          <w:szCs w:val="24"/>
        </w:rPr>
        <w:t>The purpose of these tests was to classify and define the mechanical properties of subsoil. All tests were done according to ASTM, AASHT</w:t>
      </w:r>
      <w:r w:rsidR="00D55D07">
        <w:rPr>
          <w:rFonts w:asciiTheme="majorBidi" w:hAnsiTheme="majorBidi" w:cstheme="majorBidi"/>
          <w:sz w:val="24"/>
          <w:szCs w:val="24"/>
        </w:rPr>
        <w:t xml:space="preserve">O and BS standards [15 and 16] </w:t>
      </w:r>
      <w:r w:rsidRPr="00552BEA">
        <w:rPr>
          <w:rFonts w:asciiTheme="majorBidi" w:hAnsiTheme="majorBidi" w:cstheme="majorBidi"/>
          <w:sz w:val="24"/>
          <w:szCs w:val="24"/>
        </w:rPr>
        <w:t xml:space="preserve">as follows :  </w:t>
      </w:r>
    </w:p>
    <w:p w:rsidR="00552BEA" w:rsidRPr="00552BEA" w:rsidRDefault="00552BEA" w:rsidP="00D55D07">
      <w:pPr>
        <w:widowControl/>
        <w:numPr>
          <w:ilvl w:val="0"/>
          <w:numId w:val="15"/>
        </w:numPr>
        <w:tabs>
          <w:tab w:val="left" w:pos="1150"/>
        </w:tabs>
        <w:adjustRightInd/>
        <w:spacing w:after="200" w:line="276" w:lineRule="auto"/>
        <w:ind w:left="426"/>
        <w:contextualSpacing/>
        <w:textAlignment w:val="auto"/>
        <w:rPr>
          <w:rFonts w:eastAsia="Calibri"/>
          <w:szCs w:val="24"/>
          <w:lang w:eastAsia="en-US"/>
        </w:rPr>
      </w:pPr>
      <w:r w:rsidRPr="00552BEA">
        <w:rPr>
          <w:rFonts w:eastAsia="Calibri"/>
          <w:szCs w:val="24"/>
          <w:lang w:eastAsia="en-US"/>
        </w:rPr>
        <w:t xml:space="preserve">Sieving was performed using sieve numbers 4, 10, 20, 40, 60, 140 and 200 to classify the subsoil for each sample taken from different locations. The outcome was to find out the soil grains size distribution. Hydrometer grain size analysis was used for </w:t>
      </w:r>
      <w:r w:rsidR="008E72FE">
        <w:rPr>
          <w:rFonts w:eastAsia="Calibri"/>
          <w:szCs w:val="24"/>
          <w:lang w:eastAsia="en-US"/>
        </w:rPr>
        <w:t xml:space="preserve">the part of </w:t>
      </w:r>
      <w:r w:rsidRPr="00552BEA">
        <w:rPr>
          <w:rFonts w:eastAsia="Calibri"/>
          <w:szCs w:val="24"/>
          <w:lang w:eastAsia="en-US"/>
        </w:rPr>
        <w:t>soil</w:t>
      </w:r>
      <w:r w:rsidR="00D55D07">
        <w:rPr>
          <w:rFonts w:eastAsia="Calibri"/>
          <w:szCs w:val="24"/>
          <w:lang w:eastAsia="en-US"/>
        </w:rPr>
        <w:t xml:space="preserve"> particles</w:t>
      </w:r>
      <w:r w:rsidRPr="00552BEA">
        <w:rPr>
          <w:rFonts w:eastAsia="Calibri"/>
          <w:szCs w:val="24"/>
          <w:lang w:eastAsia="en-US"/>
        </w:rPr>
        <w:t xml:space="preserve"> which w</w:t>
      </w:r>
      <w:r w:rsidR="00D55D07">
        <w:rPr>
          <w:rFonts w:eastAsia="Calibri"/>
          <w:szCs w:val="24"/>
          <w:lang w:eastAsia="en-US"/>
        </w:rPr>
        <w:t>ere</w:t>
      </w:r>
      <w:r w:rsidRPr="00552BEA">
        <w:rPr>
          <w:rFonts w:eastAsia="Calibri"/>
          <w:szCs w:val="24"/>
          <w:lang w:eastAsia="en-US"/>
        </w:rPr>
        <w:t xml:space="preserve"> finer than sieve No.200. </w:t>
      </w:r>
    </w:p>
    <w:p w:rsidR="00552BEA" w:rsidRPr="00552BEA" w:rsidRDefault="00552BEA" w:rsidP="0040584D">
      <w:pPr>
        <w:widowControl/>
        <w:numPr>
          <w:ilvl w:val="0"/>
          <w:numId w:val="14"/>
        </w:numPr>
        <w:tabs>
          <w:tab w:val="left" w:pos="1150"/>
        </w:tabs>
        <w:adjustRightInd/>
        <w:spacing w:after="200" w:line="276" w:lineRule="auto"/>
        <w:ind w:left="426"/>
        <w:contextualSpacing/>
        <w:textAlignment w:val="auto"/>
        <w:rPr>
          <w:rFonts w:eastAsia="Calibri"/>
          <w:szCs w:val="24"/>
          <w:lang w:eastAsia="en-US"/>
        </w:rPr>
      </w:pPr>
      <w:r w:rsidRPr="00552BEA">
        <w:rPr>
          <w:rFonts w:eastAsia="Calibri"/>
          <w:szCs w:val="24"/>
          <w:lang w:eastAsia="en-US"/>
        </w:rPr>
        <w:t xml:space="preserve">Atterberg limits were used for the identification and description of subsoil conditions (ID). The test was done to obtain the liquid (LL), and plastic (LP) limits. The difference between them is the plastic index (PI).  </w:t>
      </w:r>
    </w:p>
    <w:p w:rsidR="00552BEA" w:rsidRPr="00552BEA" w:rsidRDefault="00552BEA" w:rsidP="0040584D">
      <w:pPr>
        <w:widowControl/>
        <w:numPr>
          <w:ilvl w:val="0"/>
          <w:numId w:val="14"/>
        </w:numPr>
        <w:tabs>
          <w:tab w:val="left" w:pos="1150"/>
        </w:tabs>
        <w:adjustRightInd/>
        <w:spacing w:after="200" w:line="276" w:lineRule="auto"/>
        <w:ind w:left="426"/>
        <w:contextualSpacing/>
        <w:textAlignment w:val="auto"/>
        <w:rPr>
          <w:rFonts w:eastAsia="Calibri"/>
          <w:szCs w:val="24"/>
          <w:lang w:eastAsia="en-US"/>
        </w:rPr>
      </w:pPr>
      <w:r w:rsidRPr="00552BEA">
        <w:rPr>
          <w:rFonts w:eastAsia="Calibri"/>
          <w:szCs w:val="24"/>
          <w:lang w:eastAsia="en-US"/>
        </w:rPr>
        <w:t>Strength parameters were obtained from two types of tests. The direct shear and the unconfined compression tests. The samples used for these tests should be undisturbed type. Finally, the results were cohesion (c), the angle of internal friction (ϕ</w:t>
      </w:r>
      <w:r w:rsidRPr="00552BEA">
        <w:rPr>
          <w:rFonts w:eastAsia="Calibri"/>
          <w:szCs w:val="24"/>
          <w:vertAlign w:val="superscript"/>
          <w:lang w:eastAsia="en-US"/>
        </w:rPr>
        <w:t>o</w:t>
      </w:r>
      <w:r w:rsidRPr="00552BEA">
        <w:rPr>
          <w:rFonts w:eastAsia="Calibri"/>
          <w:szCs w:val="24"/>
          <w:lang w:eastAsia="en-US"/>
        </w:rPr>
        <w:t>) of soil and undrained compressive strength (q</w:t>
      </w:r>
      <w:r w:rsidRPr="00552BEA">
        <w:rPr>
          <w:rFonts w:eastAsia="Calibri"/>
          <w:szCs w:val="24"/>
          <w:vertAlign w:val="subscript"/>
          <w:lang w:eastAsia="en-US"/>
        </w:rPr>
        <w:t>u</w:t>
      </w:r>
      <w:r w:rsidRPr="00552BEA">
        <w:rPr>
          <w:rFonts w:eastAsia="Calibri"/>
          <w:szCs w:val="24"/>
          <w:lang w:eastAsia="en-US"/>
        </w:rPr>
        <w:t xml:space="preserve">). </w:t>
      </w:r>
    </w:p>
    <w:p w:rsidR="00552BEA" w:rsidRDefault="00552BEA" w:rsidP="0040584D">
      <w:pPr>
        <w:widowControl/>
        <w:numPr>
          <w:ilvl w:val="0"/>
          <w:numId w:val="14"/>
        </w:numPr>
        <w:tabs>
          <w:tab w:val="left" w:pos="1150"/>
        </w:tabs>
        <w:adjustRightInd/>
        <w:spacing w:after="200" w:line="276" w:lineRule="auto"/>
        <w:ind w:left="426" w:hanging="219"/>
        <w:contextualSpacing/>
        <w:textAlignment w:val="auto"/>
        <w:rPr>
          <w:rFonts w:eastAsia="Calibri"/>
          <w:szCs w:val="24"/>
          <w:lang w:eastAsia="en-US"/>
        </w:rPr>
      </w:pPr>
      <w:r w:rsidRPr="00552BEA">
        <w:rPr>
          <w:rFonts w:eastAsia="Calibri"/>
          <w:szCs w:val="24"/>
          <w:lang w:eastAsia="en-US"/>
        </w:rPr>
        <w:t>Consolidation soil test was performed for undisturbed samples to obtain compression index (C</w:t>
      </w:r>
      <w:r w:rsidRPr="00552BEA">
        <w:rPr>
          <w:rFonts w:eastAsia="Calibri"/>
          <w:szCs w:val="24"/>
          <w:vertAlign w:val="subscript"/>
          <w:lang w:eastAsia="en-US"/>
        </w:rPr>
        <w:t>c</w:t>
      </w:r>
      <w:r w:rsidRPr="00552BEA">
        <w:rPr>
          <w:rFonts w:eastAsia="Calibri"/>
          <w:szCs w:val="24"/>
          <w:lang w:eastAsia="en-US"/>
        </w:rPr>
        <w:t>), swelling index (C</w:t>
      </w:r>
      <w:r w:rsidRPr="00552BEA">
        <w:rPr>
          <w:rFonts w:eastAsia="Calibri"/>
          <w:szCs w:val="24"/>
          <w:vertAlign w:val="subscript"/>
          <w:lang w:eastAsia="en-US"/>
        </w:rPr>
        <w:t>s</w:t>
      </w:r>
      <w:r w:rsidRPr="00552BEA">
        <w:rPr>
          <w:rFonts w:eastAsia="Calibri"/>
          <w:szCs w:val="24"/>
          <w:lang w:eastAsia="en-US"/>
        </w:rPr>
        <w:t>), pressure (P), and the preconsolidation pressure (P</w:t>
      </w:r>
      <w:r w:rsidRPr="00552BEA">
        <w:rPr>
          <w:rFonts w:eastAsia="Calibri"/>
          <w:szCs w:val="24"/>
          <w:vertAlign w:val="subscript"/>
          <w:lang w:eastAsia="en-US"/>
        </w:rPr>
        <w:t>c</w:t>
      </w:r>
      <w:r w:rsidRPr="00552BEA">
        <w:rPr>
          <w:rFonts w:eastAsia="Calibri"/>
          <w:szCs w:val="24"/>
          <w:lang w:eastAsia="en-US"/>
        </w:rPr>
        <w:t>).</w:t>
      </w:r>
    </w:p>
    <w:p w:rsidR="00455243" w:rsidRDefault="00455243" w:rsidP="00455243">
      <w:pPr>
        <w:widowControl/>
        <w:tabs>
          <w:tab w:val="left" w:pos="1150"/>
        </w:tabs>
        <w:adjustRightInd/>
        <w:spacing w:after="200" w:line="276" w:lineRule="auto"/>
        <w:ind w:left="426"/>
        <w:contextualSpacing/>
        <w:jc w:val="left"/>
        <w:textAlignment w:val="auto"/>
        <w:rPr>
          <w:rFonts w:eastAsia="Calibri"/>
          <w:szCs w:val="24"/>
          <w:lang w:eastAsia="en-US"/>
        </w:rPr>
      </w:pPr>
    </w:p>
    <w:p w:rsidR="00552BEA" w:rsidRPr="00455243" w:rsidRDefault="00552BEA" w:rsidP="00D55D07">
      <w:pPr>
        <w:pStyle w:val="ListParagraph"/>
        <w:numPr>
          <w:ilvl w:val="1"/>
          <w:numId w:val="17"/>
        </w:numPr>
        <w:tabs>
          <w:tab w:val="left" w:pos="1150"/>
        </w:tabs>
        <w:ind w:left="142"/>
        <w:rPr>
          <w:rFonts w:asciiTheme="majorBidi" w:hAnsiTheme="majorBidi" w:cstheme="majorBidi"/>
          <w:b/>
          <w:bCs/>
          <w:szCs w:val="24"/>
        </w:rPr>
      </w:pPr>
      <w:r w:rsidRPr="00455243">
        <w:rPr>
          <w:rFonts w:asciiTheme="majorBidi" w:hAnsiTheme="majorBidi" w:cstheme="majorBidi"/>
          <w:b/>
          <w:bCs/>
          <w:szCs w:val="24"/>
        </w:rPr>
        <w:lastRenderedPageBreak/>
        <w:t xml:space="preserve">Calculations of the Bearing Capacity: </w:t>
      </w:r>
      <w:r w:rsidRPr="00455243">
        <w:rPr>
          <w:rFonts w:asciiTheme="majorBidi" w:hAnsiTheme="majorBidi" w:cstheme="majorBidi"/>
          <w:szCs w:val="24"/>
        </w:rPr>
        <w:t>The calculations of ultimate bearing capacity (q</w:t>
      </w:r>
      <w:r w:rsidRPr="00455243">
        <w:rPr>
          <w:rFonts w:asciiTheme="majorBidi" w:hAnsiTheme="majorBidi" w:cstheme="majorBidi"/>
          <w:szCs w:val="24"/>
          <w:vertAlign w:val="subscript"/>
        </w:rPr>
        <w:t>ult</w:t>
      </w:r>
      <w:r w:rsidRPr="00455243">
        <w:rPr>
          <w:rFonts w:asciiTheme="majorBidi" w:hAnsiTheme="majorBidi" w:cstheme="majorBidi"/>
          <w:szCs w:val="24"/>
        </w:rPr>
        <w:t>) were performed using Hansen general equation [6] depending on the parameters obtained from the direct shear test:</w:t>
      </w:r>
    </w:p>
    <w:p w:rsidR="00552BEA" w:rsidRPr="00D55D07" w:rsidRDefault="00114E47" w:rsidP="00D55D07">
      <w:pPr>
        <w:tabs>
          <w:tab w:val="left" w:pos="1150"/>
        </w:tabs>
        <w:rPr>
          <w:rFonts w:asciiTheme="majorBidi" w:hAnsiTheme="majorBidi" w:cstheme="majorBidi"/>
          <w:b/>
          <w:bCs/>
          <w:szCs w:val="24"/>
        </w:rPr>
      </w:pPr>
      <m:oMath>
        <m:sSub>
          <m:sSubPr>
            <m:ctrlPr>
              <w:rPr>
                <w:rFonts w:ascii="Cambria Math" w:hAnsi="Cambria Math" w:cstheme="majorBidi"/>
                <w:b/>
                <w:bCs/>
                <w:i/>
                <w:szCs w:val="24"/>
              </w:rPr>
            </m:ctrlPr>
          </m:sSubPr>
          <m:e>
            <m:r>
              <m:rPr>
                <m:sty m:val="bi"/>
              </m:rPr>
              <w:rPr>
                <w:rFonts w:ascii="Cambria Math" w:hAnsi="Cambria Math" w:cstheme="majorBidi"/>
                <w:szCs w:val="24"/>
              </w:rPr>
              <m:t>q</m:t>
            </m:r>
          </m:e>
          <m:sub>
            <m:r>
              <m:rPr>
                <m:sty m:val="bi"/>
              </m:rPr>
              <w:rPr>
                <w:rFonts w:ascii="Cambria Math" w:hAnsi="Cambria Math" w:cstheme="majorBidi"/>
                <w:szCs w:val="24"/>
              </w:rPr>
              <m:t>ult</m:t>
            </m:r>
          </m:sub>
        </m:sSub>
        <m:r>
          <m:rPr>
            <m:sty m:val="bi"/>
          </m:rPr>
          <w:rPr>
            <w:rFonts w:ascii="Cambria Math" w:hAnsi="Cambria Math" w:cstheme="majorBidi"/>
            <w:szCs w:val="24"/>
          </w:rPr>
          <m:t>=c</m:t>
        </m:r>
        <m:sSub>
          <m:sSubPr>
            <m:ctrlPr>
              <w:rPr>
                <w:rFonts w:ascii="Cambria Math" w:hAnsi="Cambria Math" w:cstheme="majorBidi"/>
                <w:b/>
                <w:bCs/>
                <w:i/>
                <w:szCs w:val="24"/>
              </w:rPr>
            </m:ctrlPr>
          </m:sSubPr>
          <m:e>
            <m:r>
              <m:rPr>
                <m:sty m:val="bi"/>
              </m:rPr>
              <w:rPr>
                <w:rFonts w:ascii="Cambria Math" w:hAnsi="Cambria Math" w:cstheme="majorBidi"/>
                <w:szCs w:val="24"/>
              </w:rPr>
              <m:t>N</m:t>
            </m:r>
          </m:e>
          <m:sub>
            <m:r>
              <m:rPr>
                <m:sty m:val="bi"/>
              </m:rPr>
              <w:rPr>
                <w:rFonts w:ascii="Cambria Math" w:hAnsi="Cambria Math" w:cstheme="majorBidi"/>
                <w:szCs w:val="24"/>
              </w:rPr>
              <m:t>c</m:t>
            </m:r>
          </m:sub>
        </m:sSub>
        <m:sSub>
          <m:sSubPr>
            <m:ctrlPr>
              <w:rPr>
                <w:rFonts w:ascii="Cambria Math" w:hAnsi="Cambria Math" w:cstheme="majorBidi"/>
                <w:b/>
                <w:bCs/>
                <w:i/>
                <w:szCs w:val="24"/>
              </w:rPr>
            </m:ctrlPr>
          </m:sSubPr>
          <m:e>
            <m:r>
              <m:rPr>
                <m:sty m:val="bi"/>
              </m:rPr>
              <w:rPr>
                <w:rFonts w:ascii="Cambria Math" w:hAnsi="Cambria Math" w:cstheme="majorBidi"/>
                <w:szCs w:val="24"/>
              </w:rPr>
              <m:t>s</m:t>
            </m:r>
          </m:e>
          <m:sub>
            <m:r>
              <m:rPr>
                <m:sty m:val="bi"/>
              </m:rPr>
              <w:rPr>
                <w:rFonts w:ascii="Cambria Math" w:hAnsi="Cambria Math" w:cstheme="majorBidi"/>
                <w:szCs w:val="24"/>
              </w:rPr>
              <m:t>c</m:t>
            </m:r>
          </m:sub>
        </m:sSub>
        <m:sSub>
          <m:sSubPr>
            <m:ctrlPr>
              <w:rPr>
                <w:rFonts w:ascii="Cambria Math" w:hAnsi="Cambria Math" w:cstheme="majorBidi"/>
                <w:b/>
                <w:bCs/>
                <w:i/>
                <w:szCs w:val="24"/>
              </w:rPr>
            </m:ctrlPr>
          </m:sSubPr>
          <m:e>
            <m:r>
              <m:rPr>
                <m:sty m:val="bi"/>
              </m:rPr>
              <w:rPr>
                <w:rFonts w:ascii="Cambria Math" w:hAnsi="Cambria Math" w:cstheme="majorBidi"/>
                <w:szCs w:val="24"/>
              </w:rPr>
              <m:t>d</m:t>
            </m:r>
          </m:e>
          <m:sub>
            <m:r>
              <m:rPr>
                <m:sty m:val="bi"/>
              </m:rPr>
              <w:rPr>
                <w:rFonts w:ascii="Cambria Math" w:hAnsi="Cambria Math" w:cstheme="majorBidi"/>
                <w:szCs w:val="24"/>
              </w:rPr>
              <m:t>c</m:t>
            </m:r>
          </m:sub>
        </m:sSub>
        <m:sSub>
          <m:sSubPr>
            <m:ctrlPr>
              <w:rPr>
                <w:rFonts w:ascii="Cambria Math" w:hAnsi="Cambria Math" w:cstheme="majorBidi"/>
                <w:b/>
                <w:bCs/>
                <w:i/>
                <w:szCs w:val="24"/>
              </w:rPr>
            </m:ctrlPr>
          </m:sSubPr>
          <m:e>
            <m:r>
              <m:rPr>
                <m:sty m:val="bi"/>
              </m:rPr>
              <w:rPr>
                <w:rFonts w:ascii="Cambria Math" w:hAnsi="Cambria Math" w:cstheme="majorBidi"/>
                <w:szCs w:val="24"/>
              </w:rPr>
              <m:t>i</m:t>
            </m:r>
          </m:e>
          <m:sub>
            <m:r>
              <m:rPr>
                <m:sty m:val="bi"/>
              </m:rPr>
              <w:rPr>
                <w:rFonts w:ascii="Cambria Math" w:hAnsi="Cambria Math" w:cstheme="majorBidi"/>
                <w:szCs w:val="24"/>
              </w:rPr>
              <m:t>c</m:t>
            </m:r>
          </m:sub>
        </m:sSub>
        <m:sSub>
          <m:sSubPr>
            <m:ctrlPr>
              <w:rPr>
                <w:rFonts w:ascii="Cambria Math" w:hAnsi="Cambria Math" w:cstheme="majorBidi"/>
                <w:b/>
                <w:bCs/>
                <w:i/>
                <w:szCs w:val="24"/>
              </w:rPr>
            </m:ctrlPr>
          </m:sSubPr>
          <m:e>
            <m:r>
              <m:rPr>
                <m:sty m:val="bi"/>
              </m:rPr>
              <w:rPr>
                <w:rFonts w:ascii="Cambria Math" w:hAnsi="Cambria Math" w:cstheme="majorBidi"/>
                <w:szCs w:val="24"/>
              </w:rPr>
              <m:t>g</m:t>
            </m:r>
          </m:e>
          <m:sub>
            <m:r>
              <m:rPr>
                <m:sty m:val="bi"/>
              </m:rPr>
              <w:rPr>
                <w:rFonts w:ascii="Cambria Math" w:hAnsi="Cambria Math" w:cstheme="majorBidi"/>
                <w:szCs w:val="24"/>
              </w:rPr>
              <m:t>c</m:t>
            </m:r>
          </m:sub>
        </m:sSub>
        <m:sSub>
          <m:sSubPr>
            <m:ctrlPr>
              <w:rPr>
                <w:rFonts w:ascii="Cambria Math" w:hAnsi="Cambria Math" w:cstheme="majorBidi"/>
                <w:b/>
                <w:bCs/>
                <w:i/>
                <w:szCs w:val="24"/>
              </w:rPr>
            </m:ctrlPr>
          </m:sSubPr>
          <m:e>
            <m:r>
              <m:rPr>
                <m:sty m:val="bi"/>
              </m:rPr>
              <w:rPr>
                <w:rFonts w:ascii="Cambria Math" w:hAnsi="Cambria Math" w:cstheme="majorBidi"/>
                <w:szCs w:val="24"/>
              </w:rPr>
              <m:t>b</m:t>
            </m:r>
          </m:e>
          <m:sub>
            <m:r>
              <m:rPr>
                <m:sty m:val="bi"/>
              </m:rPr>
              <w:rPr>
                <w:rFonts w:ascii="Cambria Math" w:hAnsi="Cambria Math" w:cstheme="majorBidi"/>
                <w:szCs w:val="24"/>
              </w:rPr>
              <m:t>c</m:t>
            </m:r>
          </m:sub>
        </m:sSub>
        <m:r>
          <m:rPr>
            <m:sty m:val="bi"/>
          </m:rPr>
          <w:rPr>
            <w:rFonts w:ascii="Cambria Math" w:hAnsi="Cambria Math" w:cstheme="majorBidi"/>
            <w:szCs w:val="24"/>
          </w:rPr>
          <m:t>+q</m:t>
        </m:r>
        <m:sSub>
          <m:sSubPr>
            <m:ctrlPr>
              <w:rPr>
                <w:rFonts w:ascii="Cambria Math" w:hAnsi="Cambria Math" w:cstheme="majorBidi"/>
                <w:b/>
                <w:bCs/>
                <w:i/>
                <w:szCs w:val="24"/>
              </w:rPr>
            </m:ctrlPr>
          </m:sSubPr>
          <m:e>
            <m:r>
              <m:rPr>
                <m:sty m:val="bi"/>
              </m:rPr>
              <w:rPr>
                <w:rFonts w:ascii="Cambria Math" w:hAnsi="Cambria Math" w:cstheme="majorBidi"/>
                <w:szCs w:val="24"/>
              </w:rPr>
              <m:t>N</m:t>
            </m:r>
          </m:e>
          <m:sub>
            <m:r>
              <m:rPr>
                <m:sty m:val="bi"/>
              </m:rPr>
              <w:rPr>
                <w:rFonts w:ascii="Cambria Math" w:hAnsi="Cambria Math" w:cstheme="majorBidi"/>
                <w:szCs w:val="24"/>
              </w:rPr>
              <m:t>q</m:t>
            </m:r>
          </m:sub>
        </m:sSub>
        <m:sSub>
          <m:sSubPr>
            <m:ctrlPr>
              <w:rPr>
                <w:rFonts w:ascii="Cambria Math" w:hAnsi="Cambria Math" w:cstheme="majorBidi"/>
                <w:b/>
                <w:bCs/>
                <w:i/>
                <w:szCs w:val="24"/>
              </w:rPr>
            </m:ctrlPr>
          </m:sSubPr>
          <m:e>
            <m:r>
              <m:rPr>
                <m:sty m:val="bi"/>
              </m:rPr>
              <w:rPr>
                <w:rFonts w:ascii="Cambria Math" w:hAnsi="Cambria Math" w:cstheme="majorBidi"/>
                <w:szCs w:val="24"/>
              </w:rPr>
              <m:t>s</m:t>
            </m:r>
          </m:e>
          <m:sub>
            <m:r>
              <m:rPr>
                <m:sty m:val="bi"/>
              </m:rPr>
              <w:rPr>
                <w:rFonts w:ascii="Cambria Math" w:hAnsi="Cambria Math" w:cstheme="majorBidi"/>
                <w:szCs w:val="24"/>
              </w:rPr>
              <m:t>q</m:t>
            </m:r>
          </m:sub>
        </m:sSub>
        <m:sSub>
          <m:sSubPr>
            <m:ctrlPr>
              <w:rPr>
                <w:rFonts w:ascii="Cambria Math" w:hAnsi="Cambria Math" w:cstheme="majorBidi"/>
                <w:b/>
                <w:bCs/>
                <w:i/>
                <w:szCs w:val="24"/>
              </w:rPr>
            </m:ctrlPr>
          </m:sSubPr>
          <m:e>
            <m:r>
              <m:rPr>
                <m:sty m:val="bi"/>
              </m:rPr>
              <w:rPr>
                <w:rFonts w:ascii="Cambria Math" w:hAnsi="Cambria Math" w:cstheme="majorBidi"/>
                <w:szCs w:val="24"/>
              </w:rPr>
              <m:t>d</m:t>
            </m:r>
          </m:e>
          <m:sub>
            <m:r>
              <m:rPr>
                <m:sty m:val="bi"/>
              </m:rPr>
              <w:rPr>
                <w:rFonts w:ascii="Cambria Math" w:hAnsi="Cambria Math" w:cstheme="majorBidi"/>
                <w:szCs w:val="24"/>
              </w:rPr>
              <m:t>q</m:t>
            </m:r>
          </m:sub>
        </m:sSub>
        <m:sSub>
          <m:sSubPr>
            <m:ctrlPr>
              <w:rPr>
                <w:rFonts w:ascii="Cambria Math" w:hAnsi="Cambria Math" w:cstheme="majorBidi"/>
                <w:b/>
                <w:bCs/>
                <w:i/>
                <w:szCs w:val="24"/>
              </w:rPr>
            </m:ctrlPr>
          </m:sSubPr>
          <m:e>
            <m:r>
              <m:rPr>
                <m:sty m:val="bi"/>
              </m:rPr>
              <w:rPr>
                <w:rFonts w:ascii="Cambria Math" w:hAnsi="Cambria Math" w:cstheme="majorBidi"/>
                <w:szCs w:val="24"/>
              </w:rPr>
              <m:t>i</m:t>
            </m:r>
          </m:e>
          <m:sub>
            <m:r>
              <m:rPr>
                <m:sty m:val="bi"/>
              </m:rPr>
              <w:rPr>
                <w:rFonts w:ascii="Cambria Math" w:hAnsi="Cambria Math" w:cstheme="majorBidi"/>
                <w:szCs w:val="24"/>
              </w:rPr>
              <m:t>q</m:t>
            </m:r>
          </m:sub>
        </m:sSub>
        <m:sSub>
          <m:sSubPr>
            <m:ctrlPr>
              <w:rPr>
                <w:rFonts w:ascii="Cambria Math" w:hAnsi="Cambria Math" w:cstheme="majorBidi"/>
                <w:b/>
                <w:bCs/>
                <w:i/>
                <w:szCs w:val="24"/>
              </w:rPr>
            </m:ctrlPr>
          </m:sSubPr>
          <m:e>
            <m:r>
              <m:rPr>
                <m:sty m:val="bi"/>
              </m:rPr>
              <w:rPr>
                <w:rFonts w:ascii="Cambria Math" w:hAnsi="Cambria Math" w:cstheme="majorBidi"/>
                <w:szCs w:val="24"/>
              </w:rPr>
              <m:t>g</m:t>
            </m:r>
          </m:e>
          <m:sub>
            <m:r>
              <m:rPr>
                <m:sty m:val="bi"/>
              </m:rPr>
              <w:rPr>
                <w:rFonts w:ascii="Cambria Math" w:hAnsi="Cambria Math" w:cstheme="majorBidi"/>
                <w:szCs w:val="24"/>
              </w:rPr>
              <m:t>q</m:t>
            </m:r>
          </m:sub>
        </m:sSub>
        <m:sSub>
          <m:sSubPr>
            <m:ctrlPr>
              <w:rPr>
                <w:rFonts w:ascii="Cambria Math" w:hAnsi="Cambria Math" w:cstheme="majorBidi"/>
                <w:b/>
                <w:bCs/>
                <w:i/>
                <w:szCs w:val="24"/>
              </w:rPr>
            </m:ctrlPr>
          </m:sSubPr>
          <m:e>
            <m:r>
              <m:rPr>
                <m:sty m:val="bi"/>
              </m:rPr>
              <w:rPr>
                <w:rFonts w:ascii="Cambria Math" w:hAnsi="Cambria Math" w:cstheme="majorBidi"/>
                <w:szCs w:val="24"/>
              </w:rPr>
              <m:t>b</m:t>
            </m:r>
          </m:e>
          <m:sub>
            <m:r>
              <m:rPr>
                <m:sty m:val="bi"/>
              </m:rPr>
              <w:rPr>
                <w:rFonts w:ascii="Cambria Math" w:hAnsi="Cambria Math" w:cstheme="majorBidi"/>
                <w:szCs w:val="24"/>
              </w:rPr>
              <m:t>q</m:t>
            </m:r>
          </m:sub>
        </m:sSub>
        <m:r>
          <m:rPr>
            <m:sty m:val="bi"/>
          </m:rPr>
          <w:rPr>
            <w:rFonts w:ascii="Cambria Math" w:hAnsi="Cambria Math" w:cstheme="majorBidi"/>
            <w:szCs w:val="24"/>
          </w:rPr>
          <m:t>+0.5</m:t>
        </m:r>
        <m:r>
          <m:rPr>
            <m:sty m:val="bi"/>
          </m:rPr>
          <w:rPr>
            <w:rFonts w:ascii="Cambria Math" w:hAnsi="Cambria Math" w:cstheme="majorBidi"/>
            <w:szCs w:val="24"/>
          </w:rPr>
          <m:t>γB</m:t>
        </m:r>
        <m:sSub>
          <m:sSubPr>
            <m:ctrlPr>
              <w:rPr>
                <w:rFonts w:ascii="Cambria Math" w:hAnsi="Cambria Math" w:cstheme="majorBidi"/>
                <w:b/>
                <w:bCs/>
                <w:i/>
                <w:szCs w:val="24"/>
              </w:rPr>
            </m:ctrlPr>
          </m:sSubPr>
          <m:e>
            <m:r>
              <m:rPr>
                <m:sty m:val="bi"/>
              </m:rPr>
              <w:rPr>
                <w:rFonts w:ascii="Cambria Math" w:hAnsi="Cambria Math" w:cstheme="majorBidi"/>
                <w:szCs w:val="24"/>
              </w:rPr>
              <m:t>N</m:t>
            </m:r>
          </m:e>
          <m:sub>
            <m:r>
              <m:rPr>
                <m:sty m:val="bi"/>
              </m:rPr>
              <w:rPr>
                <w:rFonts w:ascii="Cambria Math" w:hAnsi="Cambria Math" w:cstheme="majorBidi"/>
                <w:szCs w:val="24"/>
              </w:rPr>
              <m:t>γ</m:t>
            </m:r>
          </m:sub>
        </m:sSub>
        <m:sSub>
          <m:sSubPr>
            <m:ctrlPr>
              <w:rPr>
                <w:rFonts w:ascii="Cambria Math" w:hAnsi="Cambria Math" w:cstheme="majorBidi"/>
                <w:b/>
                <w:bCs/>
                <w:i/>
                <w:szCs w:val="24"/>
              </w:rPr>
            </m:ctrlPr>
          </m:sSubPr>
          <m:e>
            <m:r>
              <m:rPr>
                <m:sty m:val="bi"/>
              </m:rPr>
              <w:rPr>
                <w:rFonts w:ascii="Cambria Math" w:hAnsi="Cambria Math" w:cstheme="majorBidi"/>
                <w:szCs w:val="24"/>
              </w:rPr>
              <m:t>s</m:t>
            </m:r>
          </m:e>
          <m:sub>
            <m:r>
              <m:rPr>
                <m:sty m:val="bi"/>
              </m:rPr>
              <w:rPr>
                <w:rFonts w:ascii="Cambria Math" w:hAnsi="Cambria Math" w:cstheme="majorBidi"/>
                <w:szCs w:val="24"/>
              </w:rPr>
              <m:t>γ</m:t>
            </m:r>
          </m:sub>
        </m:sSub>
        <m:sSub>
          <m:sSubPr>
            <m:ctrlPr>
              <w:rPr>
                <w:rFonts w:ascii="Cambria Math" w:hAnsi="Cambria Math" w:cstheme="majorBidi"/>
                <w:b/>
                <w:bCs/>
                <w:i/>
                <w:szCs w:val="24"/>
              </w:rPr>
            </m:ctrlPr>
          </m:sSubPr>
          <m:e>
            <m:r>
              <m:rPr>
                <m:sty m:val="bi"/>
              </m:rPr>
              <w:rPr>
                <w:rFonts w:ascii="Cambria Math" w:hAnsi="Cambria Math" w:cstheme="majorBidi"/>
                <w:szCs w:val="24"/>
              </w:rPr>
              <m:t>d</m:t>
            </m:r>
          </m:e>
          <m:sub>
            <m:r>
              <m:rPr>
                <m:sty m:val="bi"/>
              </m:rPr>
              <w:rPr>
                <w:rFonts w:ascii="Cambria Math" w:hAnsi="Cambria Math" w:cstheme="majorBidi"/>
                <w:szCs w:val="24"/>
              </w:rPr>
              <m:t>γ</m:t>
            </m:r>
          </m:sub>
        </m:sSub>
        <m:sSub>
          <m:sSubPr>
            <m:ctrlPr>
              <w:rPr>
                <w:rFonts w:ascii="Cambria Math" w:hAnsi="Cambria Math" w:cstheme="majorBidi"/>
                <w:b/>
                <w:bCs/>
                <w:i/>
                <w:szCs w:val="24"/>
              </w:rPr>
            </m:ctrlPr>
          </m:sSubPr>
          <m:e>
            <m:r>
              <m:rPr>
                <m:sty m:val="bi"/>
              </m:rPr>
              <w:rPr>
                <w:rFonts w:ascii="Cambria Math" w:hAnsi="Cambria Math" w:cstheme="majorBidi"/>
                <w:szCs w:val="24"/>
              </w:rPr>
              <m:t>i</m:t>
            </m:r>
          </m:e>
          <m:sub>
            <m:r>
              <m:rPr>
                <m:sty m:val="bi"/>
              </m:rPr>
              <w:rPr>
                <w:rFonts w:ascii="Cambria Math" w:hAnsi="Cambria Math" w:cstheme="majorBidi"/>
                <w:szCs w:val="24"/>
              </w:rPr>
              <m:t>γ</m:t>
            </m:r>
          </m:sub>
        </m:sSub>
        <m:sSub>
          <m:sSubPr>
            <m:ctrlPr>
              <w:rPr>
                <w:rFonts w:ascii="Cambria Math" w:hAnsi="Cambria Math" w:cstheme="majorBidi"/>
                <w:b/>
                <w:bCs/>
                <w:i/>
                <w:szCs w:val="24"/>
              </w:rPr>
            </m:ctrlPr>
          </m:sSubPr>
          <m:e>
            <m:r>
              <m:rPr>
                <m:sty m:val="bi"/>
              </m:rPr>
              <w:rPr>
                <w:rFonts w:ascii="Cambria Math" w:hAnsi="Cambria Math" w:cstheme="majorBidi"/>
                <w:szCs w:val="24"/>
              </w:rPr>
              <m:t>g</m:t>
            </m:r>
          </m:e>
          <m:sub>
            <m:r>
              <m:rPr>
                <m:sty m:val="bi"/>
              </m:rPr>
              <w:rPr>
                <w:rFonts w:ascii="Cambria Math" w:hAnsi="Cambria Math" w:cstheme="majorBidi"/>
                <w:szCs w:val="24"/>
              </w:rPr>
              <m:t>γ</m:t>
            </m:r>
          </m:sub>
        </m:sSub>
        <m:sSub>
          <m:sSubPr>
            <m:ctrlPr>
              <w:rPr>
                <w:rFonts w:ascii="Cambria Math" w:hAnsi="Cambria Math" w:cstheme="majorBidi"/>
                <w:b/>
                <w:bCs/>
                <w:i/>
                <w:szCs w:val="24"/>
              </w:rPr>
            </m:ctrlPr>
          </m:sSubPr>
          <m:e>
            <m:r>
              <m:rPr>
                <m:sty m:val="bi"/>
              </m:rPr>
              <w:rPr>
                <w:rFonts w:ascii="Cambria Math" w:hAnsi="Cambria Math" w:cstheme="majorBidi"/>
                <w:szCs w:val="24"/>
              </w:rPr>
              <m:t>b</m:t>
            </m:r>
          </m:e>
          <m:sub>
            <m:r>
              <m:rPr>
                <m:sty m:val="bi"/>
              </m:rPr>
              <w:rPr>
                <w:rFonts w:ascii="Cambria Math" w:hAnsi="Cambria Math" w:cstheme="majorBidi"/>
                <w:szCs w:val="24"/>
              </w:rPr>
              <m:t>γ</m:t>
            </m:r>
          </m:sub>
        </m:sSub>
      </m:oMath>
      <w:r w:rsidR="00552BEA" w:rsidRPr="00D55D07">
        <w:rPr>
          <w:rFonts w:asciiTheme="majorBidi" w:hAnsiTheme="majorBidi" w:cstheme="majorBidi"/>
          <w:b/>
          <w:bCs/>
          <w:szCs w:val="24"/>
        </w:rPr>
        <w:t xml:space="preserve"> </w:t>
      </w:r>
      <w:r w:rsidR="00FF4623" w:rsidRPr="00D55D07">
        <w:rPr>
          <w:rFonts w:asciiTheme="majorBidi" w:hAnsiTheme="majorBidi" w:cstheme="majorBidi"/>
          <w:b/>
          <w:bCs/>
          <w:szCs w:val="24"/>
        </w:rPr>
        <w:t>..1</w:t>
      </w:r>
      <w:r w:rsidR="00552BEA" w:rsidRPr="00D55D07">
        <w:rPr>
          <w:rFonts w:asciiTheme="majorBidi" w:hAnsiTheme="majorBidi" w:cstheme="majorBidi"/>
          <w:b/>
          <w:bCs/>
          <w:szCs w:val="24"/>
        </w:rPr>
        <w:t xml:space="preserve">      </w:t>
      </w:r>
    </w:p>
    <w:p w:rsidR="00552BEA" w:rsidRDefault="00552BEA" w:rsidP="00552BEA">
      <w:pPr>
        <w:tabs>
          <w:tab w:val="left" w:pos="1150"/>
        </w:tabs>
        <w:spacing w:line="240" w:lineRule="auto"/>
        <w:rPr>
          <w:rFonts w:asciiTheme="majorBidi" w:hAnsiTheme="majorBidi" w:cstheme="majorBidi"/>
          <w:iCs/>
          <w:szCs w:val="24"/>
        </w:rPr>
      </w:pPr>
      <w:r w:rsidRPr="008314B6">
        <w:rPr>
          <w:rFonts w:asciiTheme="majorBidi" w:hAnsiTheme="majorBidi" w:cstheme="majorBidi"/>
          <w:iCs/>
          <w:szCs w:val="24"/>
        </w:rPr>
        <w:t xml:space="preserve">Where: </w:t>
      </w:r>
      <w:r>
        <w:rPr>
          <w:rFonts w:asciiTheme="majorBidi" w:hAnsiTheme="majorBidi" w:cstheme="majorBidi"/>
          <w:iCs/>
          <w:szCs w:val="24"/>
        </w:rPr>
        <w:t xml:space="preserve">c: cohesion of soil, </w:t>
      </w:r>
      <w:r w:rsidRPr="007F7C6E">
        <w:rPr>
          <w:rFonts w:asciiTheme="majorBidi" w:hAnsiTheme="majorBidi" w:cstheme="majorBidi"/>
          <w:i/>
          <w:szCs w:val="24"/>
        </w:rPr>
        <w:t>kPa</w:t>
      </w:r>
      <w:r>
        <w:rPr>
          <w:rFonts w:asciiTheme="majorBidi" w:hAnsiTheme="majorBidi" w:cstheme="majorBidi"/>
          <w:iCs/>
          <w:szCs w:val="24"/>
        </w:rPr>
        <w:t>.</w:t>
      </w:r>
    </w:p>
    <w:p w:rsidR="00552BEA" w:rsidRDefault="00455243" w:rsidP="00552BEA">
      <w:pPr>
        <w:tabs>
          <w:tab w:val="left" w:pos="1150"/>
        </w:tabs>
        <w:spacing w:line="240" w:lineRule="auto"/>
        <w:rPr>
          <w:rFonts w:asciiTheme="majorBidi" w:hAnsiTheme="majorBidi" w:cstheme="majorBidi"/>
          <w:iCs/>
          <w:szCs w:val="24"/>
        </w:rPr>
      </w:pPr>
      <w:r>
        <w:rPr>
          <w:rFonts w:asciiTheme="majorBidi" w:hAnsiTheme="majorBidi" w:cstheme="majorBidi"/>
          <w:iCs/>
          <w:szCs w:val="24"/>
        </w:rPr>
        <w:t xml:space="preserve">    </w:t>
      </w:r>
      <w:r w:rsidR="00552BEA">
        <w:rPr>
          <w:rFonts w:asciiTheme="majorBidi" w:hAnsiTheme="majorBidi" w:cstheme="majorBidi"/>
          <w:iCs/>
          <w:szCs w:val="24"/>
        </w:rPr>
        <w:t xml:space="preserve"> </w:t>
      </w:r>
      <w:proofErr w:type="gramStart"/>
      <w:r w:rsidR="00552BEA">
        <w:rPr>
          <w:rFonts w:asciiTheme="majorBidi" w:hAnsiTheme="majorBidi" w:cstheme="majorBidi"/>
          <w:iCs/>
          <w:szCs w:val="24"/>
        </w:rPr>
        <w:t>q</w:t>
      </w:r>
      <w:proofErr w:type="gramEnd"/>
      <w:r w:rsidR="00552BEA">
        <w:rPr>
          <w:rFonts w:asciiTheme="majorBidi" w:hAnsiTheme="majorBidi" w:cstheme="majorBidi"/>
          <w:iCs/>
          <w:szCs w:val="24"/>
        </w:rPr>
        <w:t xml:space="preserve">: effective stress at the bottom level of foundation, </w:t>
      </w:r>
      <w:r w:rsidR="00552BEA" w:rsidRPr="007F7C6E">
        <w:rPr>
          <w:rFonts w:asciiTheme="majorBidi" w:hAnsiTheme="majorBidi" w:cstheme="majorBidi"/>
          <w:i/>
          <w:szCs w:val="24"/>
        </w:rPr>
        <w:t>kPa</w:t>
      </w:r>
      <w:r w:rsidR="00552BEA">
        <w:rPr>
          <w:rFonts w:asciiTheme="majorBidi" w:hAnsiTheme="majorBidi" w:cstheme="majorBidi"/>
          <w:iCs/>
          <w:szCs w:val="24"/>
        </w:rPr>
        <w:t>.</w:t>
      </w:r>
    </w:p>
    <w:p w:rsidR="00552BEA" w:rsidRDefault="00455243" w:rsidP="00552BEA">
      <w:pPr>
        <w:tabs>
          <w:tab w:val="left" w:pos="1150"/>
        </w:tabs>
        <w:spacing w:line="240" w:lineRule="auto"/>
        <w:rPr>
          <w:rFonts w:asciiTheme="majorBidi" w:hAnsiTheme="majorBidi" w:cstheme="majorBidi"/>
          <w:iCs/>
          <w:szCs w:val="24"/>
        </w:rPr>
      </w:pPr>
      <w:r>
        <w:rPr>
          <w:rFonts w:asciiTheme="majorBidi" w:hAnsiTheme="majorBidi" w:cstheme="majorBidi"/>
          <w:iCs/>
          <w:szCs w:val="24"/>
        </w:rPr>
        <w:t xml:space="preserve">     </w:t>
      </w:r>
      <w:r w:rsidR="00552BEA">
        <w:rPr>
          <w:rFonts w:asciiTheme="majorBidi" w:hAnsiTheme="majorBidi" w:cstheme="majorBidi"/>
          <w:iCs/>
          <w:szCs w:val="24"/>
        </w:rPr>
        <w:t>B: width of foundation</w:t>
      </w:r>
      <w:r w:rsidR="00552BEA" w:rsidRPr="007F7C6E">
        <w:rPr>
          <w:rFonts w:asciiTheme="majorBidi" w:hAnsiTheme="majorBidi" w:cstheme="majorBidi"/>
          <w:i/>
          <w:szCs w:val="24"/>
        </w:rPr>
        <w:t>, m</w:t>
      </w:r>
      <w:r w:rsidR="00552BEA">
        <w:rPr>
          <w:rFonts w:asciiTheme="majorBidi" w:hAnsiTheme="majorBidi" w:cstheme="majorBidi"/>
          <w:iCs/>
          <w:szCs w:val="24"/>
        </w:rPr>
        <w:t>.</w:t>
      </w:r>
    </w:p>
    <w:p w:rsidR="00552BEA" w:rsidRDefault="00455243" w:rsidP="00552BEA">
      <w:pPr>
        <w:tabs>
          <w:tab w:val="left" w:pos="1150"/>
        </w:tabs>
        <w:spacing w:line="240" w:lineRule="auto"/>
        <w:rPr>
          <w:rFonts w:asciiTheme="majorBidi" w:hAnsiTheme="majorBidi" w:cstheme="majorBidi"/>
          <w:iCs/>
          <w:szCs w:val="24"/>
        </w:rPr>
      </w:pPr>
      <w:r>
        <w:rPr>
          <w:rFonts w:asciiTheme="majorBidi" w:hAnsiTheme="majorBidi" w:cstheme="majorBidi"/>
          <w:iCs/>
          <w:szCs w:val="24"/>
        </w:rPr>
        <w:t xml:space="preserve">     </w:t>
      </w:r>
      <w:proofErr w:type="gramStart"/>
      <w:r w:rsidR="00552BEA">
        <w:rPr>
          <w:rFonts w:asciiTheme="majorBidi" w:hAnsiTheme="majorBidi" w:cstheme="majorBidi"/>
          <w:iCs/>
          <w:szCs w:val="24"/>
        </w:rPr>
        <w:t>γ</w:t>
      </w:r>
      <w:proofErr w:type="gramEnd"/>
      <w:r w:rsidR="00552BEA">
        <w:rPr>
          <w:rFonts w:asciiTheme="majorBidi" w:hAnsiTheme="majorBidi" w:cstheme="majorBidi"/>
          <w:iCs/>
          <w:szCs w:val="24"/>
        </w:rPr>
        <w:t xml:space="preserve">: unit weight of soil, </w:t>
      </w:r>
      <w:r w:rsidR="00552BEA" w:rsidRPr="007F7C6E">
        <w:rPr>
          <w:rFonts w:asciiTheme="majorBidi" w:hAnsiTheme="majorBidi" w:cstheme="majorBidi"/>
          <w:i/>
          <w:szCs w:val="24"/>
        </w:rPr>
        <w:t>KN/m</w:t>
      </w:r>
      <w:r w:rsidR="00552BEA" w:rsidRPr="007F7C6E">
        <w:rPr>
          <w:rFonts w:asciiTheme="majorBidi" w:hAnsiTheme="majorBidi" w:cstheme="majorBidi"/>
          <w:i/>
          <w:szCs w:val="24"/>
          <w:vertAlign w:val="superscript"/>
        </w:rPr>
        <w:t>3</w:t>
      </w:r>
      <w:r w:rsidR="00552BEA">
        <w:rPr>
          <w:rFonts w:asciiTheme="majorBidi" w:hAnsiTheme="majorBidi" w:cstheme="majorBidi"/>
          <w:iCs/>
          <w:szCs w:val="24"/>
        </w:rPr>
        <w:t>.</w:t>
      </w:r>
    </w:p>
    <w:p w:rsidR="00552BEA" w:rsidRDefault="00552BEA" w:rsidP="00552BEA">
      <w:pPr>
        <w:tabs>
          <w:tab w:val="left" w:pos="1150"/>
        </w:tabs>
        <w:spacing w:line="240" w:lineRule="auto"/>
        <w:rPr>
          <w:rFonts w:asciiTheme="majorBidi" w:hAnsiTheme="majorBidi" w:cstheme="majorBidi"/>
          <w:iCs/>
          <w:szCs w:val="24"/>
        </w:rPr>
      </w:pPr>
      <w:proofErr w:type="gramStart"/>
      <w:r>
        <w:rPr>
          <w:rFonts w:asciiTheme="majorBidi" w:hAnsiTheme="majorBidi" w:cstheme="majorBidi"/>
          <w:iCs/>
          <w:szCs w:val="24"/>
        </w:rPr>
        <w:t>N</w:t>
      </w:r>
      <w:r w:rsidRPr="004B1DF9">
        <w:rPr>
          <w:rFonts w:asciiTheme="majorBidi" w:hAnsiTheme="majorBidi" w:cstheme="majorBidi"/>
          <w:iCs/>
          <w:szCs w:val="24"/>
          <w:vertAlign w:val="subscript"/>
        </w:rPr>
        <w:t>c</w:t>
      </w:r>
      <w:proofErr w:type="gramEnd"/>
      <w:r>
        <w:rPr>
          <w:rFonts w:asciiTheme="majorBidi" w:hAnsiTheme="majorBidi" w:cstheme="majorBidi"/>
          <w:iCs/>
          <w:szCs w:val="24"/>
        </w:rPr>
        <w:t>, N</w:t>
      </w:r>
      <w:r w:rsidRPr="004B1DF9">
        <w:rPr>
          <w:rFonts w:asciiTheme="majorBidi" w:hAnsiTheme="majorBidi" w:cstheme="majorBidi"/>
          <w:iCs/>
          <w:szCs w:val="24"/>
          <w:vertAlign w:val="subscript"/>
        </w:rPr>
        <w:t>q</w:t>
      </w:r>
      <w:r>
        <w:rPr>
          <w:rFonts w:asciiTheme="majorBidi" w:hAnsiTheme="majorBidi" w:cstheme="majorBidi"/>
          <w:iCs/>
          <w:szCs w:val="24"/>
        </w:rPr>
        <w:t>, N</w:t>
      </w:r>
      <w:r w:rsidRPr="004B1DF9">
        <w:rPr>
          <w:rFonts w:asciiTheme="majorBidi" w:hAnsiTheme="majorBidi" w:cstheme="majorBidi"/>
          <w:iCs/>
          <w:szCs w:val="24"/>
          <w:vertAlign w:val="subscript"/>
        </w:rPr>
        <w:t>γ</w:t>
      </w:r>
      <w:r>
        <w:rPr>
          <w:rFonts w:asciiTheme="majorBidi" w:hAnsiTheme="majorBidi" w:cstheme="majorBidi"/>
          <w:iCs/>
          <w:szCs w:val="24"/>
        </w:rPr>
        <w:t xml:space="preserve">: bearing capacity factors, (their values can </w:t>
      </w:r>
      <w:r w:rsidR="009E312C">
        <w:rPr>
          <w:rFonts w:asciiTheme="majorBidi" w:hAnsiTheme="majorBidi" w:cstheme="majorBidi"/>
          <w:iCs/>
          <w:szCs w:val="24"/>
        </w:rPr>
        <w:t>take</w:t>
      </w:r>
      <w:r>
        <w:rPr>
          <w:rFonts w:asciiTheme="majorBidi" w:hAnsiTheme="majorBidi" w:cstheme="majorBidi"/>
          <w:iCs/>
          <w:szCs w:val="24"/>
        </w:rPr>
        <w:t xml:space="preserve"> from especial tables). </w:t>
      </w:r>
    </w:p>
    <w:p w:rsidR="00552BEA" w:rsidRDefault="00552BEA" w:rsidP="00552BEA">
      <w:pPr>
        <w:tabs>
          <w:tab w:val="left" w:pos="1150"/>
        </w:tabs>
        <w:spacing w:line="240" w:lineRule="auto"/>
        <w:rPr>
          <w:rFonts w:asciiTheme="majorBidi" w:hAnsiTheme="majorBidi" w:cstheme="majorBidi"/>
          <w:iCs/>
          <w:szCs w:val="24"/>
        </w:rPr>
      </w:pPr>
      <w:proofErr w:type="spellStart"/>
      <w:r>
        <w:rPr>
          <w:rFonts w:asciiTheme="majorBidi" w:hAnsiTheme="majorBidi" w:cstheme="majorBidi"/>
          <w:iCs/>
          <w:szCs w:val="24"/>
        </w:rPr>
        <w:t>S</w:t>
      </w:r>
      <w:r w:rsidRPr="004B1DF9">
        <w:rPr>
          <w:rFonts w:asciiTheme="majorBidi" w:hAnsiTheme="majorBidi" w:cstheme="majorBidi"/>
          <w:iCs/>
          <w:szCs w:val="24"/>
          <w:vertAlign w:val="subscript"/>
        </w:rPr>
        <w:t>c</w:t>
      </w:r>
      <w:proofErr w:type="spellEnd"/>
      <w:r>
        <w:rPr>
          <w:rFonts w:asciiTheme="majorBidi" w:hAnsiTheme="majorBidi" w:cstheme="majorBidi"/>
          <w:iCs/>
          <w:szCs w:val="24"/>
        </w:rPr>
        <w:t xml:space="preserve">, </w:t>
      </w:r>
      <w:proofErr w:type="spellStart"/>
      <w:r>
        <w:rPr>
          <w:rFonts w:asciiTheme="majorBidi" w:hAnsiTheme="majorBidi" w:cstheme="majorBidi"/>
          <w:iCs/>
          <w:szCs w:val="24"/>
        </w:rPr>
        <w:t>S</w:t>
      </w:r>
      <w:r w:rsidRPr="004B1DF9">
        <w:rPr>
          <w:rFonts w:asciiTheme="majorBidi" w:hAnsiTheme="majorBidi" w:cstheme="majorBidi"/>
          <w:iCs/>
          <w:szCs w:val="24"/>
          <w:vertAlign w:val="subscript"/>
        </w:rPr>
        <w:t>q</w:t>
      </w:r>
      <w:proofErr w:type="spellEnd"/>
      <w:r>
        <w:rPr>
          <w:rFonts w:asciiTheme="majorBidi" w:hAnsiTheme="majorBidi" w:cstheme="majorBidi"/>
          <w:iCs/>
          <w:szCs w:val="24"/>
        </w:rPr>
        <w:t xml:space="preserve">, </w:t>
      </w:r>
      <w:proofErr w:type="spellStart"/>
      <w:proofErr w:type="gramStart"/>
      <w:r>
        <w:rPr>
          <w:rFonts w:asciiTheme="majorBidi" w:hAnsiTheme="majorBidi" w:cstheme="majorBidi"/>
          <w:iCs/>
          <w:szCs w:val="24"/>
        </w:rPr>
        <w:t>S</w:t>
      </w:r>
      <w:r w:rsidRPr="004B1DF9">
        <w:rPr>
          <w:rFonts w:asciiTheme="majorBidi" w:hAnsiTheme="majorBidi" w:cstheme="majorBidi"/>
          <w:iCs/>
          <w:szCs w:val="24"/>
          <w:vertAlign w:val="subscript"/>
        </w:rPr>
        <w:t>γ</w:t>
      </w:r>
      <w:proofErr w:type="spellEnd"/>
      <w:proofErr w:type="gramEnd"/>
      <w:r>
        <w:rPr>
          <w:rFonts w:asciiTheme="majorBidi" w:hAnsiTheme="majorBidi" w:cstheme="majorBidi"/>
          <w:iCs/>
          <w:szCs w:val="24"/>
        </w:rPr>
        <w:t>: shape factors.</w:t>
      </w:r>
    </w:p>
    <w:p w:rsidR="00552BEA" w:rsidRDefault="00552BEA" w:rsidP="00552BEA">
      <w:pPr>
        <w:tabs>
          <w:tab w:val="left" w:pos="1150"/>
        </w:tabs>
        <w:spacing w:line="240" w:lineRule="auto"/>
        <w:rPr>
          <w:rFonts w:asciiTheme="majorBidi" w:hAnsiTheme="majorBidi" w:cstheme="majorBidi"/>
          <w:iCs/>
          <w:szCs w:val="24"/>
        </w:rPr>
      </w:pPr>
      <w:proofErr w:type="gramStart"/>
      <w:r>
        <w:rPr>
          <w:rFonts w:asciiTheme="majorBidi" w:hAnsiTheme="majorBidi" w:cstheme="majorBidi"/>
          <w:iCs/>
          <w:szCs w:val="24"/>
        </w:rPr>
        <w:t>d</w:t>
      </w:r>
      <w:r w:rsidRPr="004F7210">
        <w:rPr>
          <w:rFonts w:asciiTheme="majorBidi" w:hAnsiTheme="majorBidi" w:cstheme="majorBidi"/>
          <w:iCs/>
          <w:szCs w:val="24"/>
          <w:vertAlign w:val="subscript"/>
        </w:rPr>
        <w:t>c</w:t>
      </w:r>
      <w:proofErr w:type="gramEnd"/>
      <w:r>
        <w:rPr>
          <w:rFonts w:asciiTheme="majorBidi" w:hAnsiTheme="majorBidi" w:cstheme="majorBidi"/>
          <w:iCs/>
          <w:szCs w:val="24"/>
        </w:rPr>
        <w:t xml:space="preserve">, </w:t>
      </w:r>
      <w:proofErr w:type="spellStart"/>
      <w:r>
        <w:rPr>
          <w:rFonts w:asciiTheme="majorBidi" w:hAnsiTheme="majorBidi" w:cstheme="majorBidi"/>
          <w:iCs/>
          <w:szCs w:val="24"/>
        </w:rPr>
        <w:t>d</w:t>
      </w:r>
      <w:r w:rsidRPr="004F7210">
        <w:rPr>
          <w:rFonts w:asciiTheme="majorBidi" w:hAnsiTheme="majorBidi" w:cstheme="majorBidi"/>
          <w:iCs/>
          <w:szCs w:val="24"/>
          <w:vertAlign w:val="subscript"/>
        </w:rPr>
        <w:t>q</w:t>
      </w:r>
      <w:proofErr w:type="spellEnd"/>
      <w:r>
        <w:rPr>
          <w:rFonts w:asciiTheme="majorBidi" w:hAnsiTheme="majorBidi" w:cstheme="majorBidi"/>
          <w:iCs/>
          <w:szCs w:val="24"/>
        </w:rPr>
        <w:t xml:space="preserve">, </w:t>
      </w:r>
      <w:proofErr w:type="spellStart"/>
      <w:r>
        <w:rPr>
          <w:rFonts w:asciiTheme="majorBidi" w:hAnsiTheme="majorBidi" w:cstheme="majorBidi"/>
          <w:iCs/>
          <w:szCs w:val="24"/>
        </w:rPr>
        <w:t>d</w:t>
      </w:r>
      <w:r w:rsidRPr="004F7210">
        <w:rPr>
          <w:rFonts w:asciiTheme="majorBidi" w:hAnsiTheme="majorBidi" w:cstheme="majorBidi"/>
          <w:iCs/>
          <w:szCs w:val="24"/>
          <w:vertAlign w:val="subscript"/>
        </w:rPr>
        <w:t>γ</w:t>
      </w:r>
      <w:proofErr w:type="spellEnd"/>
      <w:r>
        <w:rPr>
          <w:rFonts w:asciiTheme="majorBidi" w:hAnsiTheme="majorBidi" w:cstheme="majorBidi"/>
          <w:iCs/>
          <w:szCs w:val="24"/>
        </w:rPr>
        <w:t>: depth factors.</w:t>
      </w:r>
    </w:p>
    <w:p w:rsidR="00552BEA" w:rsidRDefault="00552BEA" w:rsidP="00552BEA">
      <w:pPr>
        <w:tabs>
          <w:tab w:val="left" w:pos="1150"/>
        </w:tabs>
        <w:spacing w:line="240" w:lineRule="auto"/>
        <w:rPr>
          <w:rFonts w:asciiTheme="majorBidi" w:hAnsiTheme="majorBidi" w:cstheme="majorBidi"/>
          <w:iCs/>
          <w:szCs w:val="24"/>
        </w:rPr>
      </w:pPr>
      <w:proofErr w:type="spellStart"/>
      <w:proofErr w:type="gramStart"/>
      <w:r>
        <w:rPr>
          <w:rFonts w:asciiTheme="majorBidi" w:hAnsiTheme="majorBidi" w:cstheme="majorBidi"/>
          <w:iCs/>
          <w:szCs w:val="24"/>
        </w:rPr>
        <w:t>i</w:t>
      </w:r>
      <w:r w:rsidRPr="004F7210">
        <w:rPr>
          <w:rFonts w:asciiTheme="majorBidi" w:hAnsiTheme="majorBidi" w:cstheme="majorBidi"/>
          <w:iCs/>
          <w:szCs w:val="24"/>
          <w:vertAlign w:val="subscript"/>
        </w:rPr>
        <w:t>c</w:t>
      </w:r>
      <w:proofErr w:type="spellEnd"/>
      <w:proofErr w:type="gramEnd"/>
      <w:r>
        <w:rPr>
          <w:rFonts w:asciiTheme="majorBidi" w:hAnsiTheme="majorBidi" w:cstheme="majorBidi"/>
          <w:iCs/>
          <w:szCs w:val="24"/>
        </w:rPr>
        <w:t xml:space="preserve">, </w:t>
      </w:r>
      <w:proofErr w:type="spellStart"/>
      <w:r>
        <w:rPr>
          <w:rFonts w:asciiTheme="majorBidi" w:hAnsiTheme="majorBidi" w:cstheme="majorBidi"/>
          <w:iCs/>
          <w:szCs w:val="24"/>
        </w:rPr>
        <w:t>i</w:t>
      </w:r>
      <w:r w:rsidRPr="004F7210">
        <w:rPr>
          <w:rFonts w:asciiTheme="majorBidi" w:hAnsiTheme="majorBidi" w:cstheme="majorBidi"/>
          <w:iCs/>
          <w:szCs w:val="24"/>
          <w:vertAlign w:val="subscript"/>
        </w:rPr>
        <w:t>q</w:t>
      </w:r>
      <w:proofErr w:type="spellEnd"/>
      <w:r>
        <w:rPr>
          <w:rFonts w:asciiTheme="majorBidi" w:hAnsiTheme="majorBidi" w:cstheme="majorBidi"/>
          <w:iCs/>
          <w:szCs w:val="24"/>
        </w:rPr>
        <w:t xml:space="preserve">, </w:t>
      </w:r>
      <w:proofErr w:type="spellStart"/>
      <w:r>
        <w:rPr>
          <w:rFonts w:asciiTheme="majorBidi" w:hAnsiTheme="majorBidi" w:cstheme="majorBidi"/>
          <w:iCs/>
          <w:szCs w:val="24"/>
        </w:rPr>
        <w:t>i</w:t>
      </w:r>
      <w:r w:rsidRPr="004F7210">
        <w:rPr>
          <w:rFonts w:asciiTheme="majorBidi" w:hAnsiTheme="majorBidi" w:cstheme="majorBidi"/>
          <w:iCs/>
          <w:szCs w:val="24"/>
          <w:vertAlign w:val="subscript"/>
        </w:rPr>
        <w:t>γ</w:t>
      </w:r>
      <w:proofErr w:type="spellEnd"/>
      <w:r>
        <w:rPr>
          <w:rFonts w:asciiTheme="majorBidi" w:hAnsiTheme="majorBidi" w:cstheme="majorBidi"/>
          <w:iCs/>
          <w:szCs w:val="24"/>
        </w:rPr>
        <w:t>: load inclination factors.</w:t>
      </w:r>
    </w:p>
    <w:p w:rsidR="00552BEA" w:rsidRDefault="00552BEA" w:rsidP="00552BEA">
      <w:pPr>
        <w:tabs>
          <w:tab w:val="left" w:pos="1150"/>
        </w:tabs>
        <w:spacing w:line="240" w:lineRule="auto"/>
        <w:rPr>
          <w:rFonts w:asciiTheme="majorBidi" w:hAnsiTheme="majorBidi" w:cstheme="majorBidi"/>
          <w:iCs/>
          <w:szCs w:val="24"/>
        </w:rPr>
      </w:pPr>
      <w:proofErr w:type="spellStart"/>
      <w:proofErr w:type="gramStart"/>
      <w:r>
        <w:rPr>
          <w:rFonts w:asciiTheme="majorBidi" w:hAnsiTheme="majorBidi" w:cstheme="majorBidi"/>
          <w:iCs/>
          <w:szCs w:val="24"/>
        </w:rPr>
        <w:t>g</w:t>
      </w:r>
      <w:r w:rsidRPr="000875F8">
        <w:rPr>
          <w:rFonts w:asciiTheme="majorBidi" w:hAnsiTheme="majorBidi" w:cstheme="majorBidi"/>
          <w:iCs/>
          <w:szCs w:val="24"/>
          <w:vertAlign w:val="subscript"/>
        </w:rPr>
        <w:t>c</w:t>
      </w:r>
      <w:proofErr w:type="spellEnd"/>
      <w:proofErr w:type="gramEnd"/>
      <w:r>
        <w:rPr>
          <w:rFonts w:asciiTheme="majorBidi" w:hAnsiTheme="majorBidi" w:cstheme="majorBidi"/>
          <w:iCs/>
          <w:szCs w:val="24"/>
        </w:rPr>
        <w:t xml:space="preserve">, </w:t>
      </w:r>
      <w:proofErr w:type="spellStart"/>
      <w:r>
        <w:rPr>
          <w:rFonts w:asciiTheme="majorBidi" w:hAnsiTheme="majorBidi" w:cstheme="majorBidi"/>
          <w:iCs/>
          <w:szCs w:val="24"/>
        </w:rPr>
        <w:t>g</w:t>
      </w:r>
      <w:r w:rsidRPr="000875F8">
        <w:rPr>
          <w:rFonts w:asciiTheme="majorBidi" w:hAnsiTheme="majorBidi" w:cstheme="majorBidi"/>
          <w:iCs/>
          <w:szCs w:val="24"/>
          <w:vertAlign w:val="subscript"/>
        </w:rPr>
        <w:t>q</w:t>
      </w:r>
      <w:proofErr w:type="spellEnd"/>
      <w:r>
        <w:rPr>
          <w:rFonts w:asciiTheme="majorBidi" w:hAnsiTheme="majorBidi" w:cstheme="majorBidi"/>
          <w:iCs/>
          <w:szCs w:val="24"/>
        </w:rPr>
        <w:t xml:space="preserve">, </w:t>
      </w:r>
      <w:proofErr w:type="spellStart"/>
      <w:r>
        <w:rPr>
          <w:rFonts w:asciiTheme="majorBidi" w:hAnsiTheme="majorBidi" w:cstheme="majorBidi"/>
          <w:iCs/>
          <w:szCs w:val="24"/>
        </w:rPr>
        <w:t>g</w:t>
      </w:r>
      <w:r w:rsidRPr="000875F8">
        <w:rPr>
          <w:rFonts w:asciiTheme="majorBidi" w:hAnsiTheme="majorBidi" w:cstheme="majorBidi"/>
          <w:iCs/>
          <w:szCs w:val="24"/>
          <w:vertAlign w:val="subscript"/>
        </w:rPr>
        <w:t>γ</w:t>
      </w:r>
      <w:proofErr w:type="spellEnd"/>
      <w:r>
        <w:rPr>
          <w:rFonts w:asciiTheme="majorBidi" w:hAnsiTheme="majorBidi" w:cstheme="majorBidi"/>
          <w:iCs/>
          <w:szCs w:val="24"/>
        </w:rPr>
        <w:t>: ground inclination factors.</w:t>
      </w:r>
    </w:p>
    <w:p w:rsidR="00552BEA" w:rsidRDefault="00552BEA" w:rsidP="00552BEA">
      <w:pPr>
        <w:tabs>
          <w:tab w:val="left" w:pos="1150"/>
        </w:tabs>
        <w:spacing w:line="240" w:lineRule="auto"/>
        <w:rPr>
          <w:rFonts w:asciiTheme="majorBidi" w:hAnsiTheme="majorBidi" w:cstheme="majorBidi"/>
          <w:iCs/>
          <w:szCs w:val="24"/>
        </w:rPr>
      </w:pPr>
      <w:proofErr w:type="spellStart"/>
      <w:proofErr w:type="gramStart"/>
      <w:r>
        <w:rPr>
          <w:rFonts w:asciiTheme="majorBidi" w:hAnsiTheme="majorBidi" w:cstheme="majorBidi"/>
          <w:iCs/>
          <w:szCs w:val="24"/>
        </w:rPr>
        <w:t>b</w:t>
      </w:r>
      <w:r w:rsidRPr="000875F8">
        <w:rPr>
          <w:rFonts w:asciiTheme="majorBidi" w:hAnsiTheme="majorBidi" w:cstheme="majorBidi"/>
          <w:iCs/>
          <w:szCs w:val="24"/>
          <w:vertAlign w:val="subscript"/>
        </w:rPr>
        <w:t>c</w:t>
      </w:r>
      <w:proofErr w:type="spellEnd"/>
      <w:proofErr w:type="gramEnd"/>
      <w:r>
        <w:rPr>
          <w:rFonts w:asciiTheme="majorBidi" w:hAnsiTheme="majorBidi" w:cstheme="majorBidi"/>
          <w:iCs/>
          <w:szCs w:val="24"/>
        </w:rPr>
        <w:t xml:space="preserve">, </w:t>
      </w:r>
      <w:proofErr w:type="spellStart"/>
      <w:r>
        <w:rPr>
          <w:rFonts w:asciiTheme="majorBidi" w:hAnsiTheme="majorBidi" w:cstheme="majorBidi"/>
          <w:iCs/>
          <w:szCs w:val="24"/>
        </w:rPr>
        <w:t>b</w:t>
      </w:r>
      <w:r w:rsidRPr="000875F8">
        <w:rPr>
          <w:rFonts w:asciiTheme="majorBidi" w:hAnsiTheme="majorBidi" w:cstheme="majorBidi"/>
          <w:iCs/>
          <w:szCs w:val="24"/>
          <w:vertAlign w:val="subscript"/>
        </w:rPr>
        <w:t>q</w:t>
      </w:r>
      <w:proofErr w:type="spellEnd"/>
      <w:r>
        <w:rPr>
          <w:rFonts w:asciiTheme="majorBidi" w:hAnsiTheme="majorBidi" w:cstheme="majorBidi"/>
          <w:iCs/>
          <w:szCs w:val="24"/>
        </w:rPr>
        <w:t xml:space="preserve">, </w:t>
      </w:r>
      <w:proofErr w:type="spellStart"/>
      <w:r>
        <w:rPr>
          <w:rFonts w:asciiTheme="majorBidi" w:hAnsiTheme="majorBidi" w:cstheme="majorBidi"/>
          <w:iCs/>
          <w:szCs w:val="24"/>
        </w:rPr>
        <w:t>b</w:t>
      </w:r>
      <w:r w:rsidRPr="000875F8">
        <w:rPr>
          <w:rFonts w:asciiTheme="majorBidi" w:hAnsiTheme="majorBidi" w:cstheme="majorBidi"/>
          <w:iCs/>
          <w:szCs w:val="24"/>
          <w:vertAlign w:val="subscript"/>
        </w:rPr>
        <w:t>γ</w:t>
      </w:r>
      <w:proofErr w:type="spellEnd"/>
      <w:r>
        <w:rPr>
          <w:rFonts w:asciiTheme="majorBidi" w:hAnsiTheme="majorBidi" w:cstheme="majorBidi"/>
          <w:iCs/>
          <w:szCs w:val="24"/>
        </w:rPr>
        <w:t>: base inclination factors.</w:t>
      </w:r>
    </w:p>
    <w:p w:rsidR="00552BEA" w:rsidRDefault="00552BEA" w:rsidP="00552BEA">
      <w:pPr>
        <w:tabs>
          <w:tab w:val="left" w:pos="1150"/>
        </w:tabs>
        <w:spacing w:line="240" w:lineRule="auto"/>
        <w:rPr>
          <w:rFonts w:asciiTheme="majorBidi" w:hAnsiTheme="majorBidi" w:cstheme="majorBidi"/>
          <w:iCs/>
          <w:szCs w:val="24"/>
        </w:rPr>
      </w:pPr>
      <w:r>
        <w:rPr>
          <w:rFonts w:asciiTheme="majorBidi" w:hAnsiTheme="majorBidi" w:cstheme="majorBidi"/>
          <w:iCs/>
          <w:szCs w:val="24"/>
        </w:rPr>
        <w:t>The depth and shape factors values can be calculated from the following equations:</w:t>
      </w:r>
    </w:p>
    <w:p w:rsidR="00552BEA" w:rsidRPr="00252A56" w:rsidRDefault="00552BEA" w:rsidP="00552BEA">
      <w:pPr>
        <w:tabs>
          <w:tab w:val="left" w:pos="1150"/>
        </w:tabs>
        <w:spacing w:line="240" w:lineRule="auto"/>
        <w:rPr>
          <w:rFonts w:asciiTheme="majorBidi" w:hAnsiTheme="majorBidi" w:cstheme="majorBidi"/>
          <w:iCs/>
          <w:szCs w:val="24"/>
        </w:rPr>
      </w:pPr>
      <m:oMathPara>
        <m:oMathParaPr>
          <m:jc m:val="left"/>
        </m:oMathParaPr>
        <m:oMath>
          <m:r>
            <w:rPr>
              <w:rFonts w:ascii="Cambria Math" w:hAnsi="Cambria Math" w:cstheme="majorBidi"/>
              <w:szCs w:val="24"/>
            </w:rPr>
            <m:t>K=</m:t>
          </m:r>
          <m:f>
            <m:fPr>
              <m:type m:val="skw"/>
              <m:ctrlPr>
                <w:rPr>
                  <w:rFonts w:ascii="Cambria Math" w:hAnsi="Cambria Math" w:cstheme="majorBidi"/>
                  <w:i/>
                  <w:iCs/>
                  <w:szCs w:val="24"/>
                </w:rPr>
              </m:ctrlPr>
            </m:fPr>
            <m:num>
              <m:r>
                <w:rPr>
                  <w:rFonts w:ascii="Cambria Math" w:hAnsi="Cambria Math" w:cstheme="majorBidi"/>
                  <w:szCs w:val="24"/>
                </w:rPr>
                <m:t>D</m:t>
              </m:r>
            </m:num>
            <m:den>
              <m:r>
                <w:rPr>
                  <w:rFonts w:ascii="Cambria Math" w:hAnsi="Cambria Math" w:cstheme="majorBidi"/>
                  <w:szCs w:val="24"/>
                </w:rPr>
                <m:t>B</m:t>
              </m:r>
            </m:den>
          </m:f>
          <m:r>
            <w:rPr>
              <w:rFonts w:ascii="Cambria Math" w:hAnsi="Cambria Math" w:cstheme="majorBidi"/>
              <w:szCs w:val="24"/>
            </w:rPr>
            <m:t xml:space="preserve">…….For </m:t>
          </m:r>
          <m:f>
            <m:fPr>
              <m:type m:val="skw"/>
              <m:ctrlPr>
                <w:rPr>
                  <w:rFonts w:ascii="Cambria Math" w:hAnsi="Cambria Math" w:cstheme="majorBidi"/>
                  <w:i/>
                  <w:iCs/>
                  <w:szCs w:val="24"/>
                </w:rPr>
              </m:ctrlPr>
            </m:fPr>
            <m:num>
              <m:r>
                <w:rPr>
                  <w:rFonts w:ascii="Cambria Math" w:hAnsi="Cambria Math" w:cstheme="majorBidi"/>
                  <w:szCs w:val="24"/>
                </w:rPr>
                <m:t>D</m:t>
              </m:r>
            </m:num>
            <m:den>
              <m:r>
                <w:rPr>
                  <w:rFonts w:ascii="Cambria Math" w:hAnsi="Cambria Math" w:cstheme="majorBidi"/>
                  <w:szCs w:val="24"/>
                </w:rPr>
                <m:t>B</m:t>
              </m:r>
            </m:den>
          </m:f>
          <m:r>
            <w:rPr>
              <w:rFonts w:ascii="Cambria Math" w:hAnsi="Cambria Math" w:cstheme="majorBidi"/>
              <w:szCs w:val="24"/>
            </w:rPr>
            <m:t>≤1</m:t>
          </m:r>
        </m:oMath>
      </m:oMathPara>
    </w:p>
    <w:p w:rsidR="00552BEA" w:rsidRDefault="00552BEA" w:rsidP="00552BEA">
      <w:pPr>
        <w:tabs>
          <w:tab w:val="left" w:pos="1150"/>
        </w:tabs>
        <w:spacing w:line="240" w:lineRule="auto"/>
        <w:rPr>
          <w:rFonts w:asciiTheme="majorBidi" w:hAnsiTheme="majorBidi" w:cstheme="majorBidi"/>
          <w:iCs/>
          <w:szCs w:val="24"/>
        </w:rPr>
      </w:pPr>
      <w:r>
        <w:rPr>
          <w:rFonts w:asciiTheme="majorBidi" w:hAnsiTheme="majorBidi" w:cstheme="majorBidi"/>
          <w:iCs/>
          <w:szCs w:val="24"/>
        </w:rPr>
        <w:t>Equations for calculated depth factors are:</w:t>
      </w:r>
    </w:p>
    <w:p w:rsidR="00552BEA" w:rsidRPr="009922DB" w:rsidRDefault="00114E47" w:rsidP="00552BEA">
      <w:pPr>
        <w:tabs>
          <w:tab w:val="left" w:pos="1150"/>
        </w:tabs>
        <w:spacing w:line="240" w:lineRule="auto"/>
        <w:rPr>
          <w:rFonts w:asciiTheme="majorBidi" w:hAnsiTheme="majorBidi" w:cstheme="majorBidi"/>
          <w:iCs/>
          <w:szCs w:val="24"/>
        </w:rPr>
      </w:pPr>
      <m:oMathPara>
        <m:oMathParaPr>
          <m:jc m:val="left"/>
        </m:oMathParaPr>
        <m:oMath>
          <m:sSub>
            <m:sSubPr>
              <m:ctrlPr>
                <w:rPr>
                  <w:rFonts w:ascii="Cambria Math" w:hAnsi="Cambria Math" w:cstheme="majorBidi"/>
                  <w:i/>
                  <w:iCs/>
                  <w:szCs w:val="24"/>
                </w:rPr>
              </m:ctrlPr>
            </m:sSubPr>
            <m:e>
              <m:r>
                <w:rPr>
                  <w:rFonts w:ascii="Cambria Math" w:hAnsi="Cambria Math" w:cstheme="majorBidi"/>
                  <w:szCs w:val="24"/>
                </w:rPr>
                <m:t>d</m:t>
              </m:r>
            </m:e>
            <m:sub>
              <m:r>
                <w:rPr>
                  <w:rFonts w:ascii="Cambria Math" w:hAnsi="Cambria Math" w:cstheme="majorBidi"/>
                  <w:szCs w:val="24"/>
                </w:rPr>
                <m:t>c</m:t>
              </m:r>
            </m:sub>
          </m:sSub>
          <m:r>
            <w:rPr>
              <w:rFonts w:ascii="Cambria Math" w:hAnsi="Cambria Math" w:cstheme="majorBidi"/>
              <w:szCs w:val="24"/>
            </w:rPr>
            <m:t>=1.0+0.4k</m:t>
          </m:r>
        </m:oMath>
      </m:oMathPara>
    </w:p>
    <w:p w:rsidR="00552BEA" w:rsidRPr="009922DB" w:rsidRDefault="00114E47" w:rsidP="00552BEA">
      <w:pPr>
        <w:tabs>
          <w:tab w:val="left" w:pos="1150"/>
        </w:tabs>
        <w:spacing w:line="240" w:lineRule="auto"/>
        <w:rPr>
          <w:rFonts w:asciiTheme="majorBidi" w:hAnsiTheme="majorBidi" w:cstheme="majorBidi"/>
          <w:iCs/>
          <w:szCs w:val="24"/>
        </w:rPr>
      </w:pPr>
      <m:oMathPara>
        <m:oMathParaPr>
          <m:jc m:val="left"/>
        </m:oMathParaPr>
        <m:oMath>
          <m:sSub>
            <m:sSubPr>
              <m:ctrlPr>
                <w:rPr>
                  <w:rFonts w:ascii="Cambria Math" w:hAnsi="Cambria Math" w:cstheme="majorBidi"/>
                  <w:i/>
                  <w:iCs/>
                  <w:szCs w:val="24"/>
                </w:rPr>
              </m:ctrlPr>
            </m:sSubPr>
            <m:e>
              <m:r>
                <w:rPr>
                  <w:rFonts w:ascii="Cambria Math" w:hAnsi="Cambria Math" w:cstheme="majorBidi"/>
                  <w:szCs w:val="24"/>
                </w:rPr>
                <m:t>d</m:t>
              </m:r>
            </m:e>
            <m:sub>
              <m:r>
                <w:rPr>
                  <w:rFonts w:ascii="Cambria Math" w:hAnsi="Cambria Math" w:cstheme="majorBidi"/>
                  <w:szCs w:val="24"/>
                </w:rPr>
                <m:t>q</m:t>
              </m:r>
            </m:sub>
          </m:sSub>
          <m:r>
            <w:rPr>
              <w:rFonts w:ascii="Cambria Math" w:hAnsi="Cambria Math" w:cstheme="majorBidi"/>
              <w:szCs w:val="24"/>
            </w:rPr>
            <m:t>=1.0+2tan∅</m:t>
          </m:r>
          <m:d>
            <m:dPr>
              <m:ctrlPr>
                <w:rPr>
                  <w:rFonts w:ascii="Cambria Math" w:hAnsi="Cambria Math" w:cstheme="majorBidi"/>
                  <w:i/>
                  <w:iCs/>
                  <w:szCs w:val="24"/>
                </w:rPr>
              </m:ctrlPr>
            </m:dPr>
            <m:e>
              <m:r>
                <w:rPr>
                  <w:rFonts w:ascii="Cambria Math" w:hAnsi="Cambria Math" w:cstheme="majorBidi"/>
                  <w:szCs w:val="24"/>
                </w:rPr>
                <m:t>1-sin∅</m:t>
              </m:r>
            </m:e>
          </m:d>
          <m:r>
            <w:rPr>
              <w:rFonts w:ascii="Cambria Math" w:hAnsi="Cambria Math" w:cstheme="majorBidi"/>
              <w:szCs w:val="24"/>
            </w:rPr>
            <m:t>2k</m:t>
          </m:r>
        </m:oMath>
      </m:oMathPara>
    </w:p>
    <w:p w:rsidR="00552BEA" w:rsidRPr="009922DB" w:rsidRDefault="00114E47" w:rsidP="00552BEA">
      <w:pPr>
        <w:tabs>
          <w:tab w:val="left" w:pos="1150"/>
        </w:tabs>
        <w:spacing w:line="240" w:lineRule="auto"/>
        <w:rPr>
          <w:rFonts w:asciiTheme="majorBidi" w:hAnsiTheme="majorBidi" w:cstheme="majorBidi"/>
          <w:iCs/>
          <w:szCs w:val="24"/>
        </w:rPr>
      </w:pPr>
      <m:oMathPara>
        <m:oMathParaPr>
          <m:jc m:val="left"/>
        </m:oMathParaPr>
        <m:oMath>
          <m:sSub>
            <m:sSubPr>
              <m:ctrlPr>
                <w:rPr>
                  <w:rFonts w:ascii="Cambria Math" w:hAnsi="Cambria Math" w:cstheme="majorBidi"/>
                  <w:i/>
                  <w:iCs/>
                  <w:szCs w:val="24"/>
                </w:rPr>
              </m:ctrlPr>
            </m:sSubPr>
            <m:e>
              <m:r>
                <w:rPr>
                  <w:rFonts w:ascii="Cambria Math" w:hAnsi="Cambria Math" w:cstheme="majorBidi"/>
                  <w:szCs w:val="24"/>
                </w:rPr>
                <m:t>d</m:t>
              </m:r>
            </m:e>
            <m:sub>
              <m:r>
                <w:rPr>
                  <w:rFonts w:ascii="Cambria Math" w:hAnsi="Cambria Math" w:cstheme="majorBidi"/>
                  <w:szCs w:val="24"/>
                </w:rPr>
                <m:t>γ</m:t>
              </m:r>
            </m:sub>
          </m:sSub>
          <m:r>
            <w:rPr>
              <w:rFonts w:ascii="Cambria Math" w:hAnsi="Cambria Math" w:cstheme="majorBidi"/>
              <w:szCs w:val="24"/>
            </w:rPr>
            <m:t>=1.0</m:t>
          </m:r>
        </m:oMath>
      </m:oMathPara>
    </w:p>
    <w:p w:rsidR="00552BEA" w:rsidRPr="005D0EB5" w:rsidRDefault="00552BEA" w:rsidP="00552BEA">
      <w:pPr>
        <w:tabs>
          <w:tab w:val="left" w:pos="1150"/>
        </w:tabs>
        <w:spacing w:line="240" w:lineRule="auto"/>
        <w:rPr>
          <w:rFonts w:asciiTheme="majorBidi" w:hAnsiTheme="majorBidi" w:cstheme="majorBidi"/>
          <w:iCs/>
          <w:szCs w:val="24"/>
        </w:rPr>
      </w:pPr>
      <w:r>
        <w:rPr>
          <w:rFonts w:asciiTheme="majorBidi" w:hAnsiTheme="majorBidi" w:cstheme="majorBidi"/>
          <w:iCs/>
          <w:szCs w:val="24"/>
        </w:rPr>
        <w:t>Equations for calculated shape factors</w:t>
      </w:r>
    </w:p>
    <w:p w:rsidR="00552BEA" w:rsidRPr="00252A56" w:rsidRDefault="00114E47" w:rsidP="00552BEA">
      <w:pPr>
        <w:tabs>
          <w:tab w:val="left" w:pos="1150"/>
        </w:tabs>
        <w:spacing w:line="240" w:lineRule="auto"/>
        <w:rPr>
          <w:rFonts w:asciiTheme="majorBidi" w:hAnsiTheme="majorBidi" w:cstheme="majorBidi"/>
          <w:iCs/>
          <w:szCs w:val="24"/>
        </w:rPr>
      </w:pPr>
      <m:oMathPara>
        <m:oMathParaPr>
          <m:jc m:val="left"/>
        </m:oMathParaPr>
        <m:oMath>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c</m:t>
              </m:r>
            </m:sub>
          </m:sSub>
          <m:r>
            <w:rPr>
              <w:rFonts w:ascii="Cambria Math" w:hAnsi="Cambria Math" w:cstheme="majorBidi"/>
              <w:szCs w:val="24"/>
            </w:rPr>
            <m:t>=1.0+</m:t>
          </m:r>
          <m:sSub>
            <m:sSubPr>
              <m:ctrlPr>
                <w:rPr>
                  <w:rFonts w:ascii="Cambria Math" w:hAnsi="Cambria Math" w:cstheme="majorBidi"/>
                  <w:i/>
                  <w:iCs/>
                  <w:szCs w:val="24"/>
                </w:rPr>
              </m:ctrlPr>
            </m:sSubPr>
            <m:e>
              <m:r>
                <w:rPr>
                  <w:rFonts w:ascii="Cambria Math" w:hAnsi="Cambria Math" w:cstheme="majorBidi"/>
                  <w:szCs w:val="24"/>
                </w:rPr>
                <m:t>N</m:t>
              </m:r>
            </m:e>
            <m:sub>
              <m:r>
                <w:rPr>
                  <w:rFonts w:ascii="Cambria Math" w:hAnsi="Cambria Math" w:cstheme="majorBidi"/>
                  <w:szCs w:val="24"/>
                </w:rPr>
                <m:t>q</m:t>
              </m:r>
            </m:sub>
          </m:sSub>
          <m:r>
            <w:rPr>
              <w:rFonts w:ascii="Cambria Math" w:hAnsi="Cambria Math" w:cstheme="majorBidi"/>
              <w:szCs w:val="24"/>
            </w:rPr>
            <m:t>.</m:t>
          </m:r>
          <m:f>
            <m:fPr>
              <m:type m:val="skw"/>
              <m:ctrlPr>
                <w:rPr>
                  <w:rFonts w:ascii="Cambria Math" w:hAnsi="Cambria Math" w:cstheme="majorBidi"/>
                  <w:i/>
                  <w:iCs/>
                  <w:szCs w:val="24"/>
                </w:rPr>
              </m:ctrlPr>
            </m:fPr>
            <m:num>
              <m:r>
                <w:rPr>
                  <w:rFonts w:ascii="Cambria Math" w:hAnsi="Cambria Math" w:cstheme="majorBidi"/>
                  <w:szCs w:val="24"/>
                </w:rPr>
                <m:t>B</m:t>
              </m:r>
            </m:num>
            <m:den>
              <m:sSub>
                <m:sSubPr>
                  <m:ctrlPr>
                    <w:rPr>
                      <w:rFonts w:ascii="Cambria Math" w:hAnsi="Cambria Math" w:cstheme="majorBidi"/>
                      <w:i/>
                      <w:iCs/>
                      <w:szCs w:val="24"/>
                    </w:rPr>
                  </m:ctrlPr>
                </m:sSubPr>
                <m:e>
                  <m:r>
                    <w:rPr>
                      <w:rFonts w:ascii="Cambria Math" w:hAnsi="Cambria Math" w:cstheme="majorBidi"/>
                      <w:szCs w:val="24"/>
                    </w:rPr>
                    <m:t>N</m:t>
                  </m:r>
                </m:e>
                <m:sub>
                  <m:r>
                    <w:rPr>
                      <w:rFonts w:ascii="Cambria Math" w:hAnsi="Cambria Math" w:cstheme="majorBidi"/>
                      <w:szCs w:val="24"/>
                    </w:rPr>
                    <m:t>c</m:t>
                  </m:r>
                </m:sub>
              </m:sSub>
            </m:den>
          </m:f>
          <m:r>
            <w:rPr>
              <w:rFonts w:ascii="Cambria Math" w:hAnsi="Cambria Math" w:cstheme="majorBidi"/>
              <w:szCs w:val="24"/>
            </w:rPr>
            <m:t>. L</m:t>
          </m:r>
        </m:oMath>
      </m:oMathPara>
    </w:p>
    <w:p w:rsidR="00552BEA" w:rsidRPr="00C1574C" w:rsidRDefault="00114E47" w:rsidP="00552BEA">
      <w:pPr>
        <w:tabs>
          <w:tab w:val="left" w:pos="1150"/>
        </w:tabs>
        <w:spacing w:line="240" w:lineRule="auto"/>
        <w:rPr>
          <w:rFonts w:asciiTheme="majorBidi" w:hAnsiTheme="majorBidi" w:cstheme="majorBidi"/>
          <w:iCs/>
          <w:szCs w:val="24"/>
        </w:rPr>
      </w:pPr>
      <m:oMathPara>
        <m:oMathParaPr>
          <m:jc m:val="left"/>
        </m:oMathParaPr>
        <m:oMath>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q</m:t>
              </m:r>
            </m:sub>
          </m:sSub>
          <m:r>
            <w:rPr>
              <w:rFonts w:ascii="Cambria Math" w:hAnsi="Cambria Math" w:cstheme="majorBidi"/>
              <w:szCs w:val="24"/>
            </w:rPr>
            <m:t>=1.0+</m:t>
          </m:r>
          <m:f>
            <m:fPr>
              <m:type m:val="skw"/>
              <m:ctrlPr>
                <w:rPr>
                  <w:rFonts w:ascii="Cambria Math" w:hAnsi="Cambria Math" w:cstheme="majorBidi"/>
                  <w:i/>
                  <w:iCs/>
                  <w:szCs w:val="24"/>
                </w:rPr>
              </m:ctrlPr>
            </m:fPr>
            <m:num>
              <m:r>
                <w:rPr>
                  <w:rFonts w:ascii="Cambria Math" w:hAnsi="Cambria Math" w:cstheme="majorBidi"/>
                  <w:szCs w:val="24"/>
                </w:rPr>
                <m:t>B</m:t>
              </m:r>
            </m:num>
            <m:den>
              <m:r>
                <w:rPr>
                  <w:rFonts w:ascii="Cambria Math" w:hAnsi="Cambria Math" w:cstheme="majorBidi"/>
                  <w:szCs w:val="24"/>
                </w:rPr>
                <m:t>L</m:t>
              </m:r>
            </m:den>
          </m:f>
          <m:r>
            <w:rPr>
              <w:rFonts w:ascii="Cambria Math" w:hAnsi="Cambria Math" w:cstheme="majorBidi"/>
              <w:szCs w:val="24"/>
            </w:rPr>
            <m:t>sin∅………for all ∅</m:t>
          </m:r>
        </m:oMath>
      </m:oMathPara>
    </w:p>
    <w:p w:rsidR="00552BEA" w:rsidRPr="00455243" w:rsidRDefault="00114E47" w:rsidP="00552BEA">
      <w:pPr>
        <w:tabs>
          <w:tab w:val="left" w:pos="1150"/>
        </w:tabs>
        <w:spacing w:line="240" w:lineRule="auto"/>
        <w:rPr>
          <w:rFonts w:asciiTheme="majorBidi" w:hAnsiTheme="majorBidi" w:cstheme="majorBidi"/>
          <w:szCs w:val="24"/>
        </w:rPr>
      </w:pPr>
      <m:oMathPara>
        <m:oMathParaPr>
          <m:jc m:val="left"/>
        </m:oMathParaPr>
        <m:oMath>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γ</m:t>
              </m:r>
            </m:sub>
          </m:sSub>
          <m:r>
            <w:rPr>
              <w:rFonts w:ascii="Cambria Math" w:hAnsi="Cambria Math" w:cstheme="majorBidi"/>
              <w:szCs w:val="24"/>
            </w:rPr>
            <m:t>=1.0-0.4</m:t>
          </m:r>
          <m:f>
            <m:fPr>
              <m:type m:val="skw"/>
              <m:ctrlPr>
                <w:rPr>
                  <w:rFonts w:ascii="Cambria Math" w:hAnsi="Cambria Math" w:cstheme="majorBidi"/>
                  <w:i/>
                  <w:iCs/>
                  <w:szCs w:val="24"/>
                </w:rPr>
              </m:ctrlPr>
            </m:fPr>
            <m:num>
              <m:r>
                <w:rPr>
                  <w:rFonts w:ascii="Cambria Math" w:hAnsi="Cambria Math" w:cstheme="majorBidi"/>
                  <w:szCs w:val="24"/>
                </w:rPr>
                <m:t>B</m:t>
              </m:r>
            </m:num>
            <m:den>
              <m:r>
                <w:rPr>
                  <w:rFonts w:ascii="Cambria Math" w:hAnsi="Cambria Math" w:cstheme="majorBidi"/>
                  <w:szCs w:val="24"/>
                </w:rPr>
                <m:t>L</m:t>
              </m:r>
            </m:den>
          </m:f>
          <m:r>
            <w:rPr>
              <w:rFonts w:ascii="Cambria Math" w:hAnsi="Cambria Math" w:cstheme="majorBidi"/>
              <w:szCs w:val="24"/>
            </w:rPr>
            <m:t xml:space="preserve">………for </m:t>
          </m:r>
          <m:f>
            <m:fPr>
              <m:type m:val="skw"/>
              <m:ctrlPr>
                <w:rPr>
                  <w:rFonts w:ascii="Cambria Math" w:hAnsi="Cambria Math" w:cstheme="majorBidi"/>
                  <w:i/>
                  <w:iCs/>
                  <w:szCs w:val="24"/>
                </w:rPr>
              </m:ctrlPr>
            </m:fPr>
            <m:num>
              <m:r>
                <w:rPr>
                  <w:rFonts w:ascii="Cambria Math" w:hAnsi="Cambria Math" w:cstheme="majorBidi"/>
                  <w:szCs w:val="24"/>
                </w:rPr>
                <m:t>B</m:t>
              </m:r>
            </m:num>
            <m:den>
              <m:r>
                <w:rPr>
                  <w:rFonts w:ascii="Cambria Math" w:hAnsi="Cambria Math" w:cstheme="majorBidi"/>
                  <w:szCs w:val="24"/>
                </w:rPr>
                <m:t>L</m:t>
              </m:r>
            </m:den>
          </m:f>
          <m:r>
            <w:rPr>
              <w:rFonts w:ascii="Cambria Math" w:hAnsi="Cambria Math" w:cstheme="majorBidi"/>
              <w:szCs w:val="24"/>
            </w:rPr>
            <m:t xml:space="preserve"> ≥0.6</m:t>
          </m:r>
        </m:oMath>
      </m:oMathPara>
    </w:p>
    <w:p w:rsidR="00455243" w:rsidRPr="00455243" w:rsidRDefault="00455243" w:rsidP="00552BEA">
      <w:pPr>
        <w:tabs>
          <w:tab w:val="left" w:pos="1150"/>
        </w:tabs>
        <w:spacing w:line="240" w:lineRule="auto"/>
        <w:rPr>
          <w:rFonts w:asciiTheme="majorBidi" w:hAnsiTheme="majorBidi" w:cstheme="majorBidi"/>
          <w:szCs w:val="24"/>
        </w:rPr>
      </w:pPr>
    </w:p>
    <w:p w:rsidR="00455243" w:rsidRPr="00455243" w:rsidRDefault="00455243" w:rsidP="008E72FE">
      <w:pPr>
        <w:widowControl/>
        <w:tabs>
          <w:tab w:val="left" w:pos="1150"/>
        </w:tabs>
        <w:adjustRightInd/>
        <w:spacing w:line="240" w:lineRule="auto"/>
        <w:textAlignment w:val="auto"/>
        <w:rPr>
          <w:rFonts w:eastAsia="Calibri"/>
          <w:iCs/>
          <w:szCs w:val="24"/>
          <w:lang w:eastAsia="en-US"/>
        </w:rPr>
      </w:pPr>
      <w:r w:rsidRPr="00455243">
        <w:rPr>
          <w:rFonts w:eastAsia="Calibri"/>
          <w:iCs/>
          <w:szCs w:val="24"/>
          <w:lang w:eastAsia="en-US"/>
        </w:rPr>
        <w:t xml:space="preserve">In some locations in Baghdad and Basrah the calculations of ultimate bearing capacity </w:t>
      </w:r>
      <w:r w:rsidR="008E72FE">
        <w:rPr>
          <w:rFonts w:eastAsia="Calibri"/>
          <w:iCs/>
          <w:szCs w:val="24"/>
          <w:lang w:eastAsia="en-US"/>
        </w:rPr>
        <w:t>depended</w:t>
      </w:r>
      <w:r w:rsidRPr="00455243">
        <w:rPr>
          <w:rFonts w:eastAsia="Calibri"/>
          <w:iCs/>
          <w:szCs w:val="24"/>
          <w:lang w:eastAsia="en-US"/>
        </w:rPr>
        <w:t xml:space="preserve"> on the unconfined compression strength (q</w:t>
      </w:r>
      <w:r w:rsidRPr="00455243">
        <w:rPr>
          <w:rFonts w:eastAsia="Calibri"/>
          <w:iCs/>
          <w:szCs w:val="24"/>
          <w:vertAlign w:val="subscript"/>
          <w:lang w:eastAsia="en-US"/>
        </w:rPr>
        <w:t>u</w:t>
      </w:r>
      <w:r w:rsidRPr="00455243">
        <w:rPr>
          <w:rFonts w:eastAsia="Calibri"/>
          <w:iCs/>
          <w:szCs w:val="24"/>
          <w:lang w:eastAsia="en-US"/>
        </w:rPr>
        <w:t xml:space="preserve">) obtained from unconfined compression test and </w:t>
      </w:r>
      <w:r w:rsidR="008E72FE">
        <w:rPr>
          <w:rFonts w:eastAsia="Calibri"/>
          <w:iCs/>
          <w:szCs w:val="24"/>
          <w:lang w:eastAsia="en-US"/>
        </w:rPr>
        <w:t xml:space="preserve">was </w:t>
      </w:r>
      <w:r w:rsidRPr="00455243">
        <w:rPr>
          <w:rFonts w:eastAsia="Calibri"/>
          <w:iCs/>
          <w:szCs w:val="24"/>
          <w:lang w:eastAsia="en-US"/>
        </w:rPr>
        <w:t>used to calculate the undrained cohesion (C</w:t>
      </w:r>
      <w:r w:rsidRPr="00455243">
        <w:rPr>
          <w:rFonts w:eastAsia="Calibri"/>
          <w:iCs/>
          <w:szCs w:val="24"/>
          <w:vertAlign w:val="subscript"/>
          <w:lang w:eastAsia="en-US"/>
        </w:rPr>
        <w:t>u</w:t>
      </w:r>
      <w:r w:rsidRPr="00455243">
        <w:rPr>
          <w:rFonts w:eastAsia="Calibri"/>
          <w:iCs/>
          <w:szCs w:val="24"/>
          <w:lang w:eastAsia="en-US"/>
        </w:rPr>
        <w:t>) as follow [17]:</w:t>
      </w:r>
    </w:p>
    <w:p w:rsidR="00455243" w:rsidRPr="00455243" w:rsidRDefault="00114E47" w:rsidP="00455243">
      <w:pPr>
        <w:widowControl/>
        <w:tabs>
          <w:tab w:val="left" w:pos="1150"/>
        </w:tabs>
        <w:adjustRightInd/>
        <w:spacing w:line="240" w:lineRule="auto"/>
        <w:textAlignment w:val="auto"/>
        <w:rPr>
          <w:rFonts w:eastAsia="Calibri"/>
          <w:b/>
          <w:bCs/>
          <w:szCs w:val="24"/>
          <w:lang w:eastAsia="en-US"/>
        </w:rPr>
      </w:pPr>
      <m:oMathPara>
        <m:oMathParaPr>
          <m:jc m:val="center"/>
        </m:oMathParaPr>
        <m:oMath>
          <m:sSub>
            <m:sSubPr>
              <m:ctrlPr>
                <w:rPr>
                  <w:rFonts w:ascii="Cambria Math" w:eastAsia="Calibri" w:hAnsi="Cambria Math"/>
                  <w:b/>
                  <w:bCs/>
                  <w:szCs w:val="24"/>
                  <w:lang w:eastAsia="en-US"/>
                </w:rPr>
              </m:ctrlPr>
            </m:sSubPr>
            <m:e>
              <m:r>
                <m:rPr>
                  <m:sty m:val="b"/>
                </m:rPr>
                <w:rPr>
                  <w:rFonts w:ascii="Cambria Math" w:eastAsia="Calibri" w:hAnsi="Cambria Math"/>
                  <w:szCs w:val="24"/>
                  <w:lang w:eastAsia="en-US"/>
                </w:rPr>
                <m:t>c</m:t>
              </m:r>
            </m:e>
            <m:sub>
              <m:r>
                <m:rPr>
                  <m:sty m:val="b"/>
                </m:rPr>
                <w:rPr>
                  <w:rFonts w:ascii="Cambria Math" w:eastAsia="Calibri" w:hAnsi="Cambria Math"/>
                  <w:szCs w:val="24"/>
                  <w:lang w:eastAsia="en-US"/>
                </w:rPr>
                <m:t>u</m:t>
              </m:r>
            </m:sub>
          </m:sSub>
          <m:r>
            <m:rPr>
              <m:sty m:val="b"/>
            </m:rPr>
            <w:rPr>
              <w:rFonts w:ascii="Cambria Math" w:eastAsia="Calibri" w:hAnsi="Cambria Math"/>
              <w:szCs w:val="24"/>
              <w:lang w:eastAsia="en-US"/>
            </w:rPr>
            <m:t xml:space="preserve">= </m:t>
          </m:r>
          <m:f>
            <m:fPr>
              <m:ctrlPr>
                <w:rPr>
                  <w:rFonts w:ascii="Cambria Math" w:eastAsia="Calibri" w:hAnsi="Cambria Math"/>
                  <w:b/>
                  <w:bCs/>
                  <w:szCs w:val="24"/>
                  <w:lang w:eastAsia="en-US"/>
                </w:rPr>
              </m:ctrlPr>
            </m:fPr>
            <m:num>
              <m:r>
                <m:rPr>
                  <m:sty m:val="b"/>
                </m:rPr>
                <w:rPr>
                  <w:rFonts w:ascii="Cambria Math" w:eastAsia="Calibri" w:hAnsi="Cambria Math"/>
                  <w:szCs w:val="24"/>
                  <w:lang w:eastAsia="en-US"/>
                </w:rPr>
                <m:t>1</m:t>
              </m:r>
            </m:num>
            <m:den>
              <m:r>
                <m:rPr>
                  <m:sty m:val="b"/>
                </m:rPr>
                <w:rPr>
                  <w:rFonts w:ascii="Cambria Math" w:eastAsia="Calibri" w:hAnsi="Cambria Math"/>
                  <w:szCs w:val="24"/>
                  <w:lang w:eastAsia="en-US"/>
                </w:rPr>
                <m:t>2</m:t>
              </m:r>
            </m:den>
          </m:f>
          <m:sSub>
            <m:sSubPr>
              <m:ctrlPr>
                <w:rPr>
                  <w:rFonts w:ascii="Cambria Math" w:eastAsia="Calibri" w:hAnsi="Cambria Math"/>
                  <w:b/>
                  <w:bCs/>
                  <w:szCs w:val="24"/>
                  <w:lang w:eastAsia="en-US"/>
                </w:rPr>
              </m:ctrlPr>
            </m:sSubPr>
            <m:e>
              <m:r>
                <m:rPr>
                  <m:sty m:val="b"/>
                </m:rPr>
                <w:rPr>
                  <w:rFonts w:ascii="Cambria Math" w:eastAsia="Calibri" w:hAnsi="Cambria Math"/>
                  <w:szCs w:val="24"/>
                  <w:lang w:eastAsia="en-US"/>
                </w:rPr>
                <m:t>q</m:t>
              </m:r>
            </m:e>
            <m:sub>
              <m:r>
                <m:rPr>
                  <m:sty m:val="b"/>
                </m:rPr>
                <w:rPr>
                  <w:rFonts w:ascii="Cambria Math" w:eastAsia="Calibri" w:hAnsi="Cambria Math"/>
                  <w:szCs w:val="24"/>
                  <w:lang w:eastAsia="en-US"/>
                </w:rPr>
                <m:t>u</m:t>
              </m:r>
            </m:sub>
          </m:sSub>
          <m:r>
            <m:rPr>
              <m:sty m:val="bi"/>
            </m:rPr>
            <w:rPr>
              <w:rFonts w:ascii="Cambria Math" w:eastAsia="Calibri" w:hAnsi="Cambria Math"/>
              <w:szCs w:val="24"/>
              <w:lang w:eastAsia="en-US"/>
            </w:rPr>
            <m:t>…..2</m:t>
          </m:r>
        </m:oMath>
      </m:oMathPara>
    </w:p>
    <w:p w:rsidR="00455243" w:rsidRDefault="00455243" w:rsidP="008E72FE">
      <w:pPr>
        <w:widowControl/>
        <w:tabs>
          <w:tab w:val="left" w:pos="1150"/>
        </w:tabs>
        <w:adjustRightInd/>
        <w:spacing w:line="240" w:lineRule="auto"/>
        <w:textAlignment w:val="auto"/>
        <w:rPr>
          <w:rFonts w:eastAsia="Calibri"/>
          <w:iCs/>
          <w:szCs w:val="24"/>
          <w:lang w:eastAsia="en-US"/>
        </w:rPr>
      </w:pPr>
      <w:r w:rsidRPr="00455243">
        <w:rPr>
          <w:rFonts w:eastAsia="Calibri"/>
          <w:iCs/>
          <w:szCs w:val="24"/>
          <w:lang w:eastAsia="en-US"/>
        </w:rPr>
        <w:t>Standard penetration test (SPT) was used in some locations in Basrah to calculate the bearing capacity value.  Numbers of blows identify the compression strength (q</w:t>
      </w:r>
      <w:r w:rsidRPr="00455243">
        <w:rPr>
          <w:rFonts w:eastAsia="Calibri"/>
          <w:iCs/>
          <w:szCs w:val="24"/>
          <w:vertAlign w:val="subscript"/>
          <w:lang w:eastAsia="en-US"/>
        </w:rPr>
        <w:t>u)</w:t>
      </w:r>
      <w:r w:rsidRPr="00455243">
        <w:rPr>
          <w:rFonts w:eastAsia="Calibri"/>
          <w:iCs/>
          <w:szCs w:val="24"/>
          <w:lang w:eastAsia="en-US"/>
        </w:rPr>
        <w:t xml:space="preserve"> value depend</w:t>
      </w:r>
      <w:r w:rsidR="008E72FE">
        <w:rPr>
          <w:rFonts w:eastAsia="Calibri"/>
          <w:iCs/>
          <w:szCs w:val="24"/>
          <w:lang w:eastAsia="en-US"/>
        </w:rPr>
        <w:t>ing</w:t>
      </w:r>
      <w:r w:rsidRPr="00455243">
        <w:rPr>
          <w:rFonts w:eastAsia="Calibri"/>
          <w:iCs/>
          <w:szCs w:val="24"/>
          <w:lang w:eastAsia="en-US"/>
        </w:rPr>
        <w:t xml:space="preserve"> on the correlation </w:t>
      </w:r>
      <w:r w:rsidR="008E72FE">
        <w:rPr>
          <w:rFonts w:eastAsia="Calibri"/>
          <w:iCs/>
          <w:szCs w:val="24"/>
          <w:lang w:eastAsia="en-US"/>
        </w:rPr>
        <w:t xml:space="preserve">as </w:t>
      </w:r>
      <w:r w:rsidRPr="00455243">
        <w:rPr>
          <w:rFonts w:eastAsia="Calibri"/>
          <w:iCs/>
          <w:szCs w:val="24"/>
          <w:lang w:eastAsia="en-US"/>
        </w:rPr>
        <w:t>show</w:t>
      </w:r>
      <w:r w:rsidR="008E72FE">
        <w:rPr>
          <w:rFonts w:eastAsia="Calibri"/>
          <w:iCs/>
          <w:szCs w:val="24"/>
          <w:lang w:eastAsia="en-US"/>
        </w:rPr>
        <w:t>n</w:t>
      </w:r>
      <w:r w:rsidRPr="00455243">
        <w:rPr>
          <w:rFonts w:eastAsia="Calibri"/>
          <w:iCs/>
          <w:szCs w:val="24"/>
          <w:lang w:eastAsia="en-US"/>
        </w:rPr>
        <w:t xml:space="preserve"> in table 1. This correlation is quite useful when used according to the soil conditions [18].</w:t>
      </w:r>
    </w:p>
    <w:p w:rsidR="00114E47" w:rsidRDefault="00D55D07" w:rsidP="009E312C">
      <w:pPr>
        <w:spacing w:line="240" w:lineRule="auto"/>
        <w:rPr>
          <w:rFonts w:eastAsia="Calibri"/>
          <w:iCs/>
          <w:szCs w:val="24"/>
          <w:lang w:eastAsia="en-US"/>
        </w:rPr>
      </w:pPr>
      <w:r>
        <w:rPr>
          <w:rFonts w:eastAsia="Calibri"/>
          <w:iCs/>
          <w:szCs w:val="24"/>
          <w:lang w:eastAsia="en-US"/>
        </w:rPr>
        <w:t xml:space="preserve">               </w:t>
      </w:r>
    </w:p>
    <w:p w:rsidR="00114E47" w:rsidRDefault="00114E47" w:rsidP="009E312C">
      <w:pPr>
        <w:spacing w:line="240" w:lineRule="auto"/>
        <w:rPr>
          <w:rFonts w:eastAsia="Calibri"/>
          <w:iCs/>
          <w:szCs w:val="24"/>
          <w:lang w:eastAsia="en-US"/>
        </w:rPr>
      </w:pPr>
    </w:p>
    <w:p w:rsidR="00114E47" w:rsidRDefault="00114E47" w:rsidP="009E312C">
      <w:pPr>
        <w:spacing w:line="240" w:lineRule="auto"/>
        <w:rPr>
          <w:rFonts w:eastAsia="Calibri"/>
          <w:iCs/>
          <w:szCs w:val="24"/>
          <w:lang w:eastAsia="en-US"/>
        </w:rPr>
      </w:pPr>
    </w:p>
    <w:p w:rsidR="009E312C" w:rsidRPr="009E312C" w:rsidRDefault="009E312C" w:rsidP="00114E47">
      <w:pPr>
        <w:spacing w:line="240" w:lineRule="auto"/>
        <w:jc w:val="center"/>
        <w:rPr>
          <w:b/>
          <w:bCs/>
          <w:color w:val="000000"/>
          <w:szCs w:val="24"/>
        </w:rPr>
      </w:pPr>
      <w:proofErr w:type="gramStart"/>
      <w:r w:rsidRPr="009E312C">
        <w:rPr>
          <w:b/>
          <w:bCs/>
          <w:color w:val="000000"/>
          <w:szCs w:val="24"/>
        </w:rPr>
        <w:lastRenderedPageBreak/>
        <w:t>Table 1: Relation</w:t>
      </w:r>
      <w:r w:rsidR="008E72FE">
        <w:rPr>
          <w:b/>
          <w:bCs/>
          <w:color w:val="000000"/>
          <w:szCs w:val="24"/>
        </w:rPr>
        <w:t>ship</w:t>
      </w:r>
      <w:r w:rsidRPr="009E312C">
        <w:rPr>
          <w:b/>
          <w:bCs/>
          <w:color w:val="000000"/>
          <w:szCs w:val="24"/>
        </w:rPr>
        <w:t xml:space="preserve"> between N</w:t>
      </w:r>
      <w:r w:rsidRPr="009E312C">
        <w:rPr>
          <w:b/>
          <w:bCs/>
          <w:color w:val="000000"/>
          <w:szCs w:val="24"/>
          <w:vertAlign w:val="subscript"/>
        </w:rPr>
        <w:t>cor</w:t>
      </w:r>
      <w:r w:rsidRPr="009E312C">
        <w:rPr>
          <w:b/>
          <w:bCs/>
          <w:color w:val="000000"/>
          <w:szCs w:val="24"/>
        </w:rPr>
        <w:t xml:space="preserve"> and q</w:t>
      </w:r>
      <w:r w:rsidRPr="009E312C">
        <w:rPr>
          <w:b/>
          <w:bCs/>
          <w:color w:val="000000"/>
          <w:szCs w:val="24"/>
          <w:vertAlign w:val="subscript"/>
        </w:rPr>
        <w:t xml:space="preserve">u </w:t>
      </w:r>
      <w:r w:rsidRPr="009E312C">
        <w:rPr>
          <w:b/>
          <w:bCs/>
          <w:color w:val="000000"/>
          <w:szCs w:val="24"/>
        </w:rPr>
        <w:t>[18]</w:t>
      </w:r>
      <w:r>
        <w:rPr>
          <w:b/>
          <w:bCs/>
          <w:color w:val="000000"/>
          <w:szCs w:val="24"/>
        </w:rPr>
        <w:t>.</w:t>
      </w:r>
      <w:proofErr w:type="gramEnd"/>
    </w:p>
    <w:p w:rsidR="00455243" w:rsidRDefault="009E312C" w:rsidP="00455243">
      <w:pPr>
        <w:widowControl/>
        <w:tabs>
          <w:tab w:val="left" w:pos="1150"/>
        </w:tabs>
        <w:adjustRightInd/>
        <w:spacing w:line="240" w:lineRule="auto"/>
        <w:textAlignment w:val="auto"/>
        <w:rPr>
          <w:rFonts w:asciiTheme="majorBidi" w:hAnsiTheme="majorBidi" w:cstheme="majorBidi"/>
          <w:iCs/>
          <w:szCs w:val="24"/>
        </w:rPr>
      </w:pPr>
      <w:r>
        <w:rPr>
          <w:noProof/>
          <w:lang w:val="sv-SE" w:eastAsia="sv-SE"/>
        </w:rPr>
        <w:drawing>
          <wp:anchor distT="0" distB="0" distL="114300" distR="114300" simplePos="0" relativeHeight="251667456" behindDoc="0" locked="0" layoutInCell="1" allowOverlap="1" wp14:anchorId="68B8619A" wp14:editId="04853F78">
            <wp:simplePos x="0" y="0"/>
            <wp:positionH relativeFrom="column">
              <wp:posOffset>881380</wp:posOffset>
            </wp:positionH>
            <wp:positionV relativeFrom="paragraph">
              <wp:posOffset>109220</wp:posOffset>
            </wp:positionV>
            <wp:extent cx="3631565" cy="1564005"/>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40" t="3268" r="738" b="1632"/>
                    <a:stretch/>
                  </pic:blipFill>
                  <pic:spPr bwMode="auto">
                    <a:xfrm>
                      <a:off x="0" y="0"/>
                      <a:ext cx="3631565" cy="156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BEA" w:rsidRPr="00552BEA" w:rsidRDefault="00552BEA" w:rsidP="00552BEA">
      <w:pPr>
        <w:widowControl/>
        <w:tabs>
          <w:tab w:val="left" w:pos="1150"/>
        </w:tabs>
        <w:adjustRightInd/>
        <w:spacing w:after="200" w:line="276" w:lineRule="auto"/>
        <w:ind w:left="426"/>
        <w:contextualSpacing/>
        <w:jc w:val="left"/>
        <w:textAlignment w:val="auto"/>
        <w:rPr>
          <w:rFonts w:eastAsia="Calibri"/>
          <w:szCs w:val="24"/>
          <w:lang w:eastAsia="en-US"/>
        </w:rPr>
      </w:pPr>
    </w:p>
    <w:p w:rsidR="00552BEA" w:rsidRPr="00552BEA" w:rsidRDefault="00552BEA" w:rsidP="00552BEA">
      <w:pPr>
        <w:widowControl/>
        <w:tabs>
          <w:tab w:val="left" w:pos="1150"/>
        </w:tabs>
        <w:adjustRightInd/>
        <w:spacing w:after="200" w:line="276" w:lineRule="auto"/>
        <w:ind w:left="1566"/>
        <w:contextualSpacing/>
        <w:textAlignment w:val="auto"/>
        <w:rPr>
          <w:rFonts w:eastAsia="Calibri"/>
          <w:szCs w:val="24"/>
          <w:lang w:eastAsia="en-US"/>
        </w:rPr>
      </w:pPr>
    </w:p>
    <w:p w:rsidR="00AE3B12" w:rsidRPr="00AE3B12" w:rsidRDefault="00AE3B12" w:rsidP="00AE3B12">
      <w:pPr>
        <w:widowControl/>
        <w:tabs>
          <w:tab w:val="left" w:pos="1440"/>
        </w:tabs>
        <w:adjustRightInd/>
        <w:spacing w:after="200" w:line="276" w:lineRule="auto"/>
        <w:jc w:val="left"/>
        <w:textAlignment w:val="auto"/>
        <w:rPr>
          <w:rFonts w:eastAsia="Calibri"/>
          <w:b/>
          <w:bCs/>
          <w:szCs w:val="24"/>
          <w:lang w:eastAsia="en-US"/>
        </w:rPr>
      </w:pPr>
    </w:p>
    <w:p w:rsidR="00AE3B12" w:rsidRDefault="00AE3B12" w:rsidP="009A6DA1">
      <w:pPr>
        <w:spacing w:line="240" w:lineRule="auto"/>
        <w:rPr>
          <w:color w:val="000000"/>
          <w:szCs w:val="24"/>
        </w:rPr>
      </w:pPr>
    </w:p>
    <w:p w:rsidR="000375F9" w:rsidRDefault="000375F9" w:rsidP="009A6DA1">
      <w:pPr>
        <w:spacing w:line="240" w:lineRule="auto"/>
        <w:rPr>
          <w:color w:val="000000"/>
          <w:szCs w:val="24"/>
        </w:rPr>
      </w:pPr>
    </w:p>
    <w:p w:rsidR="00114E47" w:rsidRDefault="00114E47" w:rsidP="009A6DA1">
      <w:pPr>
        <w:spacing w:line="240" w:lineRule="auto"/>
        <w:rPr>
          <w:color w:val="000000"/>
          <w:szCs w:val="24"/>
        </w:rPr>
      </w:pPr>
    </w:p>
    <w:p w:rsidR="00114E47" w:rsidRDefault="00114E47" w:rsidP="009A6DA1">
      <w:pPr>
        <w:spacing w:line="240" w:lineRule="auto"/>
        <w:rPr>
          <w:color w:val="000000"/>
          <w:szCs w:val="24"/>
        </w:rPr>
      </w:pPr>
    </w:p>
    <w:p w:rsidR="00455243" w:rsidRDefault="009E312C" w:rsidP="009E312C">
      <w:pPr>
        <w:spacing w:line="240" w:lineRule="auto"/>
        <w:rPr>
          <w:color w:val="000000"/>
          <w:szCs w:val="24"/>
        </w:rPr>
      </w:pPr>
      <w:r>
        <w:rPr>
          <w:color w:val="000000"/>
          <w:szCs w:val="24"/>
        </w:rPr>
        <w:t xml:space="preserve">  </w:t>
      </w:r>
    </w:p>
    <w:p w:rsidR="00455243" w:rsidRPr="001B6DB9" w:rsidRDefault="006237CA" w:rsidP="00114E47">
      <w:pPr>
        <w:pStyle w:val="ListParagraph"/>
        <w:numPr>
          <w:ilvl w:val="1"/>
          <w:numId w:val="17"/>
        </w:numPr>
        <w:ind w:left="-142" w:hanging="284"/>
        <w:jc w:val="both"/>
        <w:rPr>
          <w:rFonts w:asciiTheme="majorBidi" w:hAnsiTheme="majorBidi" w:cstheme="majorBidi"/>
          <w:b/>
          <w:bCs/>
          <w:szCs w:val="24"/>
        </w:rPr>
      </w:pPr>
      <w:r>
        <w:rPr>
          <w:rFonts w:asciiTheme="majorBidi" w:hAnsiTheme="majorBidi" w:cstheme="majorBidi"/>
          <w:b/>
          <w:bCs/>
          <w:sz w:val="24"/>
          <w:szCs w:val="24"/>
        </w:rPr>
        <w:t>Results</w:t>
      </w:r>
      <w:r w:rsidR="00455243" w:rsidRPr="001B6DB9">
        <w:rPr>
          <w:rFonts w:asciiTheme="majorBidi" w:hAnsiTheme="majorBidi" w:cstheme="majorBidi"/>
          <w:b/>
          <w:bCs/>
          <w:sz w:val="24"/>
          <w:szCs w:val="24"/>
        </w:rPr>
        <w:t>:</w:t>
      </w:r>
      <w:r w:rsidR="00116D61">
        <w:rPr>
          <w:rFonts w:asciiTheme="majorBidi" w:hAnsiTheme="majorBidi" w:cstheme="majorBidi"/>
          <w:sz w:val="24"/>
          <w:szCs w:val="24"/>
        </w:rPr>
        <w:t xml:space="preserve"> </w:t>
      </w:r>
      <w:r w:rsidR="00455243" w:rsidRPr="001B6DB9">
        <w:rPr>
          <w:rFonts w:asciiTheme="majorBidi" w:hAnsiTheme="majorBidi" w:cstheme="majorBidi"/>
          <w:sz w:val="24"/>
          <w:szCs w:val="24"/>
        </w:rPr>
        <w:t>The results of field and laboratory tests</w:t>
      </w:r>
      <w:r w:rsidR="00455243" w:rsidRPr="001B6DB9">
        <w:rPr>
          <w:rFonts w:asciiTheme="majorBidi" w:hAnsiTheme="majorBidi" w:cstheme="majorBidi"/>
          <w:b/>
          <w:bCs/>
          <w:sz w:val="24"/>
          <w:szCs w:val="24"/>
        </w:rPr>
        <w:t xml:space="preserve"> </w:t>
      </w:r>
      <w:r w:rsidR="00455243" w:rsidRPr="001B6DB9">
        <w:rPr>
          <w:rFonts w:asciiTheme="majorBidi" w:hAnsiTheme="majorBidi" w:cstheme="majorBidi"/>
          <w:sz w:val="24"/>
          <w:szCs w:val="24"/>
        </w:rPr>
        <w:t>and the calculations of</w:t>
      </w:r>
      <w:r w:rsidR="00455243" w:rsidRPr="001B6DB9">
        <w:rPr>
          <w:rFonts w:asciiTheme="majorBidi" w:hAnsiTheme="majorBidi" w:cstheme="majorBidi"/>
          <w:szCs w:val="24"/>
        </w:rPr>
        <w:t xml:space="preserve"> bearing capacity for Mosul, Baghdad, and Basrah are shown in table 2. </w:t>
      </w:r>
    </w:p>
    <w:p w:rsidR="00455243" w:rsidRPr="00455243" w:rsidRDefault="00455243" w:rsidP="0016507E">
      <w:pPr>
        <w:widowControl/>
        <w:numPr>
          <w:ilvl w:val="0"/>
          <w:numId w:val="18"/>
        </w:numPr>
        <w:adjustRightInd/>
        <w:spacing w:after="200" w:line="276" w:lineRule="auto"/>
        <w:contextualSpacing/>
        <w:textAlignment w:val="auto"/>
        <w:rPr>
          <w:rFonts w:ascii="Calibri" w:eastAsia="Calibri" w:hAnsi="Calibri" w:cs="Arial"/>
          <w:sz w:val="22"/>
          <w:szCs w:val="22"/>
          <w:lang w:eastAsia="en-US"/>
        </w:rPr>
      </w:pPr>
      <w:r w:rsidRPr="00455243">
        <w:rPr>
          <w:rFonts w:eastAsia="Calibri"/>
          <w:szCs w:val="24"/>
          <w:lang w:eastAsia="en-US"/>
        </w:rPr>
        <w:t>Atterberg limits results included the LL, PL, and PI for different locations in the three regions. The results showed that the soil in Mosul region is between silty clay to clay with high to very high plasticity and in some areas contain sand or silt. In Baghdad region, the results showed that the soil is loam clay and silty clay, and in some area</w:t>
      </w:r>
      <w:r w:rsidR="005D4979">
        <w:rPr>
          <w:rFonts w:eastAsia="Calibri"/>
          <w:szCs w:val="24"/>
          <w:lang w:eastAsia="en-US"/>
        </w:rPr>
        <w:t xml:space="preserve">s </w:t>
      </w:r>
      <w:r w:rsidR="005D4979" w:rsidRPr="00455243">
        <w:rPr>
          <w:rFonts w:eastAsia="Calibri"/>
          <w:szCs w:val="24"/>
          <w:lang w:eastAsia="en-US"/>
        </w:rPr>
        <w:t>contain</w:t>
      </w:r>
      <w:r w:rsidRPr="00455243">
        <w:rPr>
          <w:rFonts w:eastAsia="Calibri"/>
          <w:szCs w:val="24"/>
          <w:lang w:eastAsia="en-US"/>
        </w:rPr>
        <w:t xml:space="preserve"> silt.</w:t>
      </w:r>
      <w:r w:rsidR="0016507E">
        <w:rPr>
          <w:rFonts w:eastAsia="Calibri"/>
          <w:szCs w:val="24"/>
          <w:lang w:eastAsia="en-US"/>
        </w:rPr>
        <w:t xml:space="preserve"> Range of</w:t>
      </w:r>
      <w:r w:rsidRPr="00455243">
        <w:rPr>
          <w:rFonts w:eastAsia="Calibri"/>
          <w:szCs w:val="24"/>
          <w:lang w:eastAsia="en-US"/>
        </w:rPr>
        <w:t xml:space="preserve"> </w:t>
      </w:r>
      <w:r w:rsidR="0016507E">
        <w:rPr>
          <w:rFonts w:eastAsia="Calibri"/>
          <w:szCs w:val="24"/>
          <w:lang w:eastAsia="en-US"/>
        </w:rPr>
        <w:t>p</w:t>
      </w:r>
      <w:r w:rsidRPr="00455243">
        <w:rPr>
          <w:rFonts w:eastAsia="Calibri"/>
          <w:szCs w:val="24"/>
          <w:lang w:eastAsia="en-US"/>
        </w:rPr>
        <w:t xml:space="preserve">lasticity was between medium to high and non-plastic in few sites. For Basrah region, the value of plasticity was medium and the soil type </w:t>
      </w:r>
      <w:r w:rsidR="0016507E">
        <w:rPr>
          <w:rFonts w:eastAsia="Calibri"/>
          <w:szCs w:val="24"/>
          <w:lang w:eastAsia="en-US"/>
        </w:rPr>
        <w:t>is</w:t>
      </w:r>
      <w:r w:rsidRPr="00455243">
        <w:rPr>
          <w:rFonts w:eastAsia="Calibri"/>
          <w:szCs w:val="24"/>
          <w:lang w:eastAsia="en-US"/>
        </w:rPr>
        <w:t xml:space="preserve"> clay loam and in many places it contains silt or sand. </w:t>
      </w:r>
    </w:p>
    <w:p w:rsidR="00455243" w:rsidRDefault="005D4979" w:rsidP="0040584D">
      <w:pPr>
        <w:widowControl/>
        <w:numPr>
          <w:ilvl w:val="0"/>
          <w:numId w:val="18"/>
        </w:numPr>
        <w:adjustRightInd/>
        <w:spacing w:after="200" w:line="276" w:lineRule="auto"/>
        <w:contextualSpacing/>
        <w:textAlignment w:val="auto"/>
        <w:rPr>
          <w:rFonts w:eastAsia="Calibri"/>
          <w:szCs w:val="24"/>
          <w:lang w:eastAsia="en-US"/>
        </w:rPr>
      </w:pPr>
      <w:r>
        <w:rPr>
          <w:rFonts w:eastAsia="Calibri"/>
          <w:szCs w:val="24"/>
          <w:lang w:eastAsia="en-US"/>
        </w:rPr>
        <w:t>The strength parameters</w:t>
      </w:r>
      <w:r w:rsidR="00455243" w:rsidRPr="00455243">
        <w:rPr>
          <w:rFonts w:eastAsia="Calibri"/>
          <w:szCs w:val="24"/>
          <w:lang w:eastAsia="en-US"/>
        </w:rPr>
        <w:t xml:space="preserve"> values for angle of internal friction</w:t>
      </w:r>
      <w:r w:rsidR="00455243" w:rsidRPr="00455243">
        <w:rPr>
          <w:rFonts w:eastAsia="Calibri"/>
          <w:b/>
          <w:bCs/>
          <w:szCs w:val="24"/>
          <w:lang w:eastAsia="en-US"/>
        </w:rPr>
        <w:t xml:space="preserve"> ϕ</w:t>
      </w:r>
      <w:r w:rsidR="00455243" w:rsidRPr="00455243">
        <w:rPr>
          <w:rFonts w:eastAsia="Calibri"/>
          <w:szCs w:val="24"/>
          <w:lang w:eastAsia="en-US"/>
        </w:rPr>
        <w:t xml:space="preserve">, cohesion of soil </w:t>
      </w:r>
      <w:r w:rsidR="00455243" w:rsidRPr="00455243">
        <w:rPr>
          <w:rFonts w:eastAsia="Calibri"/>
          <w:b/>
          <w:bCs/>
          <w:szCs w:val="24"/>
          <w:lang w:eastAsia="en-US"/>
        </w:rPr>
        <w:t xml:space="preserve">c, </w:t>
      </w:r>
      <w:r w:rsidR="00455243" w:rsidRPr="00455243">
        <w:rPr>
          <w:rFonts w:eastAsia="Calibri"/>
          <w:szCs w:val="24"/>
          <w:lang w:eastAsia="en-US"/>
        </w:rPr>
        <w:t>and</w:t>
      </w:r>
      <w:r w:rsidR="00455243" w:rsidRPr="00455243">
        <w:rPr>
          <w:rFonts w:eastAsia="Calibri"/>
          <w:b/>
          <w:bCs/>
          <w:szCs w:val="24"/>
          <w:lang w:eastAsia="en-US"/>
        </w:rPr>
        <w:t xml:space="preserve"> </w:t>
      </w:r>
      <w:r w:rsidR="00455243" w:rsidRPr="00455243">
        <w:rPr>
          <w:rFonts w:eastAsia="Calibri"/>
          <w:szCs w:val="24"/>
          <w:lang w:eastAsia="en-US"/>
        </w:rPr>
        <w:t xml:space="preserve">undrained compressive strength </w:t>
      </w:r>
      <w:r w:rsidR="00455243" w:rsidRPr="00455243">
        <w:rPr>
          <w:rFonts w:eastAsia="Calibri"/>
          <w:b/>
          <w:bCs/>
          <w:szCs w:val="24"/>
          <w:lang w:eastAsia="en-US"/>
        </w:rPr>
        <w:t>q</w:t>
      </w:r>
      <w:r w:rsidR="00455243" w:rsidRPr="00455243">
        <w:rPr>
          <w:rFonts w:eastAsia="Calibri"/>
          <w:b/>
          <w:bCs/>
          <w:szCs w:val="24"/>
          <w:vertAlign w:val="subscript"/>
          <w:lang w:eastAsia="en-US"/>
        </w:rPr>
        <w:t>u</w:t>
      </w:r>
      <w:r w:rsidR="00455243" w:rsidRPr="00455243">
        <w:rPr>
          <w:rFonts w:eastAsia="Calibri"/>
          <w:szCs w:val="24"/>
          <w:lang w:eastAsia="en-US"/>
        </w:rPr>
        <w:t xml:space="preserve"> were obtained from direct shear and unconfined compression tests.</w:t>
      </w:r>
    </w:p>
    <w:p w:rsidR="00114E47" w:rsidRPr="00114E47" w:rsidRDefault="00114E47" w:rsidP="00114E47">
      <w:pPr>
        <w:widowControl/>
        <w:numPr>
          <w:ilvl w:val="0"/>
          <w:numId w:val="18"/>
        </w:numPr>
        <w:adjustRightInd/>
        <w:spacing w:after="200" w:line="276" w:lineRule="auto"/>
        <w:contextualSpacing/>
        <w:textAlignment w:val="auto"/>
        <w:rPr>
          <w:rFonts w:eastAsia="Calibri"/>
          <w:szCs w:val="24"/>
          <w:lang w:eastAsia="en-US"/>
        </w:rPr>
      </w:pPr>
      <w:r w:rsidRPr="00114E47">
        <w:rPr>
          <w:rFonts w:eastAsia="Calibri"/>
          <w:szCs w:val="24"/>
          <w:lang w:eastAsia="en-US"/>
        </w:rPr>
        <w:t xml:space="preserve">Using the consolidation test, the initial void ratio </w:t>
      </w:r>
      <w:proofErr w:type="spellStart"/>
      <w:proofErr w:type="gramStart"/>
      <w:r w:rsidRPr="00114E47">
        <w:rPr>
          <w:rFonts w:eastAsia="Calibri"/>
          <w:szCs w:val="24"/>
          <w:lang w:eastAsia="en-US"/>
        </w:rPr>
        <w:t>eo</w:t>
      </w:r>
      <w:proofErr w:type="spellEnd"/>
      <w:proofErr w:type="gramEnd"/>
      <w:r w:rsidRPr="00114E47">
        <w:rPr>
          <w:rFonts w:eastAsia="Calibri"/>
          <w:szCs w:val="24"/>
          <w:lang w:eastAsia="en-US"/>
        </w:rPr>
        <w:t xml:space="preserve">, compression index Cc, swelling index Cs, and </w:t>
      </w:r>
      <w:proofErr w:type="spellStart"/>
      <w:r w:rsidRPr="00114E47">
        <w:rPr>
          <w:rFonts w:eastAsia="Calibri"/>
          <w:szCs w:val="24"/>
          <w:lang w:eastAsia="en-US"/>
        </w:rPr>
        <w:t>preconsolidation</w:t>
      </w:r>
      <w:proofErr w:type="spellEnd"/>
      <w:r w:rsidRPr="00114E47">
        <w:rPr>
          <w:rFonts w:eastAsia="Calibri"/>
          <w:szCs w:val="24"/>
          <w:lang w:eastAsia="en-US"/>
        </w:rPr>
        <w:t xml:space="preserve"> pressure Pc were obtained. These values were used to calculate the settlement.</w:t>
      </w:r>
    </w:p>
    <w:p w:rsidR="00114E47" w:rsidRPr="00114E47" w:rsidRDefault="00114E47" w:rsidP="00114E47">
      <w:pPr>
        <w:widowControl/>
        <w:numPr>
          <w:ilvl w:val="0"/>
          <w:numId w:val="18"/>
        </w:numPr>
        <w:adjustRightInd/>
        <w:spacing w:after="200" w:line="276" w:lineRule="auto"/>
        <w:contextualSpacing/>
        <w:textAlignment w:val="auto"/>
        <w:rPr>
          <w:rFonts w:eastAsia="Calibri"/>
          <w:szCs w:val="24"/>
          <w:lang w:eastAsia="en-US"/>
        </w:rPr>
      </w:pPr>
      <w:r w:rsidRPr="00114E47">
        <w:rPr>
          <w:rFonts w:eastAsia="Calibri"/>
          <w:szCs w:val="24"/>
          <w:lang w:eastAsia="en-US"/>
        </w:rPr>
        <w:t xml:space="preserve">In some locations in Basrah, SPT test was used to obtain the </w:t>
      </w:r>
      <w:proofErr w:type="spellStart"/>
      <w:r w:rsidRPr="00114E47">
        <w:rPr>
          <w:rFonts w:eastAsia="Calibri"/>
          <w:szCs w:val="24"/>
          <w:lang w:eastAsia="en-US"/>
        </w:rPr>
        <w:t>qu</w:t>
      </w:r>
      <w:proofErr w:type="spellEnd"/>
      <w:r w:rsidRPr="00114E47">
        <w:rPr>
          <w:rFonts w:eastAsia="Calibri"/>
          <w:szCs w:val="24"/>
          <w:lang w:eastAsia="en-US"/>
        </w:rPr>
        <w:t xml:space="preserve"> value.</w:t>
      </w:r>
    </w:p>
    <w:p w:rsidR="00114E47" w:rsidRPr="00114E47" w:rsidRDefault="00114E47" w:rsidP="00114E47">
      <w:pPr>
        <w:widowControl/>
        <w:numPr>
          <w:ilvl w:val="0"/>
          <w:numId w:val="18"/>
        </w:numPr>
        <w:adjustRightInd/>
        <w:spacing w:after="200" w:line="276" w:lineRule="auto"/>
        <w:contextualSpacing/>
        <w:textAlignment w:val="auto"/>
        <w:rPr>
          <w:rFonts w:eastAsia="Calibri"/>
          <w:szCs w:val="24"/>
          <w:lang w:eastAsia="en-US"/>
        </w:rPr>
      </w:pPr>
      <w:r w:rsidRPr="00114E47">
        <w:rPr>
          <w:rFonts w:eastAsia="Calibri"/>
          <w:szCs w:val="24"/>
          <w:lang w:eastAsia="en-US"/>
        </w:rPr>
        <w:t xml:space="preserve">Bearing capacity values were obtained using the general bearing capacity equation. The results are shown in figures 6, 7 and 8 for Mosul, Baghdad, and Basrah respectively.  </w:t>
      </w:r>
    </w:p>
    <w:p w:rsidR="00114E47" w:rsidRDefault="00114E47" w:rsidP="00114E47">
      <w:pPr>
        <w:widowControl/>
        <w:adjustRightInd/>
        <w:spacing w:after="200" w:line="276" w:lineRule="auto"/>
        <w:ind w:left="720"/>
        <w:contextualSpacing/>
        <w:textAlignment w:val="auto"/>
        <w:rPr>
          <w:rFonts w:eastAsia="Calibri"/>
          <w:szCs w:val="24"/>
          <w:lang w:eastAsia="en-US"/>
        </w:rPr>
      </w:pPr>
    </w:p>
    <w:p w:rsidR="00114E47" w:rsidRDefault="00114E47" w:rsidP="00114E47">
      <w:pPr>
        <w:widowControl/>
        <w:adjustRightInd/>
        <w:spacing w:after="200" w:line="276" w:lineRule="auto"/>
        <w:contextualSpacing/>
        <w:textAlignment w:val="auto"/>
        <w:rPr>
          <w:rFonts w:eastAsia="Calibri"/>
          <w:szCs w:val="24"/>
          <w:lang w:eastAsia="en-US"/>
        </w:rPr>
      </w:pPr>
    </w:p>
    <w:p w:rsidR="00114E47" w:rsidRDefault="00114E47" w:rsidP="00114E47">
      <w:pPr>
        <w:widowControl/>
        <w:adjustRightInd/>
        <w:spacing w:after="200" w:line="276" w:lineRule="auto"/>
        <w:contextualSpacing/>
        <w:textAlignment w:val="auto"/>
        <w:rPr>
          <w:rFonts w:eastAsia="Calibri"/>
          <w:szCs w:val="24"/>
          <w:lang w:eastAsia="en-US"/>
        </w:rPr>
      </w:pPr>
    </w:p>
    <w:p w:rsidR="00114E47" w:rsidRDefault="00114E47" w:rsidP="00114E47">
      <w:pPr>
        <w:widowControl/>
        <w:adjustRightInd/>
        <w:spacing w:after="200" w:line="276" w:lineRule="auto"/>
        <w:contextualSpacing/>
        <w:textAlignment w:val="auto"/>
        <w:rPr>
          <w:rFonts w:eastAsia="Calibri"/>
          <w:szCs w:val="24"/>
          <w:lang w:eastAsia="en-US"/>
        </w:rPr>
      </w:pPr>
    </w:p>
    <w:p w:rsidR="00114E47" w:rsidRDefault="00114E47" w:rsidP="00114E47">
      <w:pPr>
        <w:widowControl/>
        <w:adjustRightInd/>
        <w:spacing w:after="200" w:line="276" w:lineRule="auto"/>
        <w:contextualSpacing/>
        <w:textAlignment w:val="auto"/>
        <w:rPr>
          <w:rFonts w:eastAsia="Calibri"/>
          <w:szCs w:val="24"/>
          <w:lang w:eastAsia="en-US"/>
        </w:rPr>
      </w:pPr>
    </w:p>
    <w:p w:rsidR="00114E47" w:rsidRDefault="00114E47" w:rsidP="00114E47">
      <w:pPr>
        <w:widowControl/>
        <w:adjustRightInd/>
        <w:spacing w:after="200" w:line="276" w:lineRule="auto"/>
        <w:contextualSpacing/>
        <w:textAlignment w:val="auto"/>
        <w:rPr>
          <w:rFonts w:eastAsia="Calibri"/>
          <w:szCs w:val="24"/>
          <w:lang w:eastAsia="en-US"/>
        </w:rPr>
      </w:pPr>
    </w:p>
    <w:p w:rsidR="00114E47" w:rsidRDefault="00114E47" w:rsidP="00114E47">
      <w:pPr>
        <w:widowControl/>
        <w:adjustRightInd/>
        <w:spacing w:after="200" w:line="276" w:lineRule="auto"/>
        <w:contextualSpacing/>
        <w:textAlignment w:val="auto"/>
        <w:rPr>
          <w:rFonts w:eastAsia="Calibri"/>
          <w:szCs w:val="24"/>
          <w:lang w:eastAsia="en-US"/>
        </w:rPr>
      </w:pPr>
    </w:p>
    <w:p w:rsidR="00114E47" w:rsidRDefault="00114E47" w:rsidP="00114E47">
      <w:pPr>
        <w:widowControl/>
        <w:adjustRightInd/>
        <w:spacing w:after="200" w:line="276" w:lineRule="auto"/>
        <w:contextualSpacing/>
        <w:textAlignment w:val="auto"/>
        <w:rPr>
          <w:rFonts w:eastAsia="Calibri"/>
          <w:szCs w:val="24"/>
          <w:lang w:eastAsia="en-US"/>
        </w:rPr>
      </w:pPr>
    </w:p>
    <w:p w:rsidR="00485E38" w:rsidRPr="00FF2206" w:rsidRDefault="00FF2206" w:rsidP="00FF2206">
      <w:pPr>
        <w:spacing w:after="80" w:line="240" w:lineRule="auto"/>
        <w:rPr>
          <w:rFonts w:asciiTheme="majorBidi" w:hAnsiTheme="majorBidi" w:cstheme="majorBidi"/>
          <w:color w:val="000000"/>
          <w:szCs w:val="24"/>
        </w:rPr>
      </w:pPr>
      <w:r>
        <w:rPr>
          <w:rFonts w:asciiTheme="majorBidi" w:hAnsiTheme="majorBidi" w:cstheme="majorBidi"/>
          <w:b/>
          <w:bCs/>
          <w:szCs w:val="24"/>
        </w:rPr>
        <w:lastRenderedPageBreak/>
        <w:t xml:space="preserve">    </w:t>
      </w:r>
      <w:r w:rsidR="00485E38" w:rsidRPr="00FF2206">
        <w:rPr>
          <w:rFonts w:asciiTheme="majorBidi" w:hAnsiTheme="majorBidi" w:cstheme="majorBidi"/>
          <w:b/>
          <w:bCs/>
          <w:szCs w:val="24"/>
        </w:rPr>
        <w:t>Table 2: Results obtained from</w:t>
      </w:r>
      <w:r w:rsidR="00485E38" w:rsidRPr="00FF2206">
        <w:rPr>
          <w:rFonts w:asciiTheme="majorBidi" w:hAnsiTheme="majorBidi" w:cstheme="majorBidi"/>
          <w:szCs w:val="24"/>
        </w:rPr>
        <w:t xml:space="preserve"> </w:t>
      </w:r>
      <w:r w:rsidR="00485E38" w:rsidRPr="00FF2206">
        <w:rPr>
          <w:rFonts w:asciiTheme="majorBidi" w:hAnsiTheme="majorBidi" w:cstheme="majorBidi"/>
          <w:b/>
          <w:bCs/>
          <w:szCs w:val="24"/>
        </w:rPr>
        <w:t>field and laboratory tests.</w:t>
      </w:r>
    </w:p>
    <w:tbl>
      <w:tblPr>
        <w:tblStyle w:val="TableGrid2"/>
        <w:tblpPr w:leftFromText="141" w:rightFromText="141" w:vertAnchor="text" w:horzAnchor="margin" w:tblpY="172"/>
        <w:tblW w:w="8065" w:type="dxa"/>
        <w:tblLayout w:type="fixed"/>
        <w:tblLook w:val="04A0" w:firstRow="1" w:lastRow="0" w:firstColumn="1" w:lastColumn="0" w:noHBand="0" w:noVBand="1"/>
      </w:tblPr>
      <w:tblGrid>
        <w:gridCol w:w="4162"/>
        <w:gridCol w:w="1300"/>
        <w:gridCol w:w="1301"/>
        <w:gridCol w:w="1302"/>
      </w:tblGrid>
      <w:tr w:rsidR="00FF2206" w:rsidRPr="00114E47" w:rsidTr="00FF2206">
        <w:trPr>
          <w:trHeight w:val="167"/>
        </w:trPr>
        <w:tc>
          <w:tcPr>
            <w:tcW w:w="4162" w:type="dxa"/>
            <w:vMerge w:val="restart"/>
          </w:tcPr>
          <w:p w:rsidR="00FF2206" w:rsidRPr="00114E47" w:rsidRDefault="00FF2206" w:rsidP="00FF2206">
            <w:pPr>
              <w:widowControl/>
              <w:adjustRightInd/>
              <w:spacing w:line="240" w:lineRule="auto"/>
              <w:contextualSpacing/>
              <w:jc w:val="center"/>
              <w:textAlignment w:val="auto"/>
              <w:rPr>
                <w:rFonts w:ascii="Times New Roman"/>
                <w:b/>
                <w:bCs/>
                <w:sz w:val="20"/>
                <w:szCs w:val="20"/>
                <w:lang w:eastAsia="en-US"/>
              </w:rPr>
            </w:pPr>
            <w:r w:rsidRPr="00114E47">
              <w:rPr>
                <w:rFonts w:ascii="Times New Roman"/>
                <w:b/>
                <w:bCs/>
                <w:sz w:val="20"/>
                <w:szCs w:val="20"/>
                <w:lang w:eastAsia="en-US"/>
              </w:rPr>
              <w:t>Parameters obtained from field and laboratory  tests</w:t>
            </w:r>
          </w:p>
        </w:tc>
        <w:tc>
          <w:tcPr>
            <w:tcW w:w="3903" w:type="dxa"/>
            <w:gridSpan w:val="3"/>
          </w:tcPr>
          <w:p w:rsidR="00FF2206" w:rsidRPr="00114E47" w:rsidRDefault="00FF2206" w:rsidP="00FF2206">
            <w:pPr>
              <w:widowControl/>
              <w:adjustRightInd/>
              <w:spacing w:line="240" w:lineRule="auto"/>
              <w:contextualSpacing/>
              <w:jc w:val="center"/>
              <w:textAlignment w:val="auto"/>
              <w:rPr>
                <w:rFonts w:ascii="Times New Roman"/>
                <w:b/>
                <w:bCs/>
                <w:sz w:val="20"/>
                <w:szCs w:val="20"/>
                <w:lang w:eastAsia="en-US"/>
              </w:rPr>
            </w:pPr>
            <w:r w:rsidRPr="00114E47">
              <w:rPr>
                <w:rFonts w:ascii="Times New Roman"/>
                <w:b/>
                <w:bCs/>
                <w:sz w:val="20"/>
                <w:szCs w:val="20"/>
                <w:lang w:eastAsia="en-US"/>
              </w:rPr>
              <w:t>Locations</w:t>
            </w:r>
          </w:p>
        </w:tc>
      </w:tr>
      <w:tr w:rsidR="00FF2206" w:rsidRPr="00114E47" w:rsidTr="00FF2206">
        <w:trPr>
          <w:trHeight w:val="207"/>
        </w:trPr>
        <w:tc>
          <w:tcPr>
            <w:tcW w:w="4162" w:type="dxa"/>
            <w:vMerge/>
          </w:tcPr>
          <w:p w:rsidR="00FF2206" w:rsidRPr="00114E47" w:rsidRDefault="00FF2206" w:rsidP="00FF2206">
            <w:pPr>
              <w:widowControl/>
              <w:adjustRightInd/>
              <w:spacing w:line="240" w:lineRule="auto"/>
              <w:contextualSpacing/>
              <w:jc w:val="left"/>
              <w:textAlignment w:val="auto"/>
              <w:rPr>
                <w:rFonts w:ascii="Times New Roman"/>
                <w:b/>
                <w:bCs/>
                <w:sz w:val="20"/>
                <w:szCs w:val="20"/>
                <w:lang w:eastAsia="en-US"/>
              </w:rPr>
            </w:pPr>
          </w:p>
        </w:tc>
        <w:tc>
          <w:tcPr>
            <w:tcW w:w="1300" w:type="dxa"/>
          </w:tcPr>
          <w:p w:rsidR="00FF2206" w:rsidRPr="00114E47" w:rsidRDefault="00FF2206" w:rsidP="00FF2206">
            <w:pPr>
              <w:widowControl/>
              <w:adjustRightInd/>
              <w:spacing w:line="240" w:lineRule="auto"/>
              <w:contextualSpacing/>
              <w:jc w:val="center"/>
              <w:textAlignment w:val="auto"/>
              <w:rPr>
                <w:rFonts w:ascii="Times New Roman"/>
                <w:b/>
                <w:bCs/>
                <w:sz w:val="20"/>
                <w:szCs w:val="20"/>
                <w:lang w:eastAsia="en-US"/>
              </w:rPr>
            </w:pPr>
            <w:r w:rsidRPr="00114E47">
              <w:rPr>
                <w:rFonts w:ascii="Times New Roman"/>
                <w:b/>
                <w:bCs/>
                <w:sz w:val="20"/>
                <w:szCs w:val="20"/>
                <w:lang w:eastAsia="en-US"/>
              </w:rPr>
              <w:t>Mosul</w:t>
            </w:r>
          </w:p>
        </w:tc>
        <w:tc>
          <w:tcPr>
            <w:tcW w:w="1301" w:type="dxa"/>
          </w:tcPr>
          <w:p w:rsidR="00FF2206" w:rsidRPr="00114E47" w:rsidRDefault="00FF2206" w:rsidP="00FF2206">
            <w:pPr>
              <w:widowControl/>
              <w:adjustRightInd/>
              <w:spacing w:line="240" w:lineRule="auto"/>
              <w:contextualSpacing/>
              <w:jc w:val="center"/>
              <w:textAlignment w:val="auto"/>
              <w:rPr>
                <w:rFonts w:ascii="Times New Roman"/>
                <w:b/>
                <w:bCs/>
                <w:sz w:val="20"/>
                <w:szCs w:val="20"/>
                <w:lang w:eastAsia="en-US"/>
              </w:rPr>
            </w:pPr>
            <w:r w:rsidRPr="00114E47">
              <w:rPr>
                <w:rFonts w:ascii="Times New Roman"/>
                <w:b/>
                <w:bCs/>
                <w:sz w:val="20"/>
                <w:szCs w:val="20"/>
                <w:lang w:eastAsia="en-US"/>
              </w:rPr>
              <w:t>Baghdad</w:t>
            </w:r>
          </w:p>
        </w:tc>
        <w:tc>
          <w:tcPr>
            <w:tcW w:w="1302" w:type="dxa"/>
          </w:tcPr>
          <w:p w:rsidR="00FF2206" w:rsidRPr="00114E47" w:rsidRDefault="00FF2206" w:rsidP="00FF2206">
            <w:pPr>
              <w:widowControl/>
              <w:adjustRightInd/>
              <w:spacing w:line="240" w:lineRule="auto"/>
              <w:contextualSpacing/>
              <w:jc w:val="center"/>
              <w:textAlignment w:val="auto"/>
              <w:rPr>
                <w:rFonts w:ascii="Times New Roman"/>
                <w:b/>
                <w:bCs/>
                <w:sz w:val="20"/>
                <w:szCs w:val="20"/>
                <w:lang w:eastAsia="en-US"/>
              </w:rPr>
            </w:pPr>
            <w:r w:rsidRPr="00114E47">
              <w:rPr>
                <w:rFonts w:ascii="Times New Roman"/>
                <w:b/>
                <w:bCs/>
                <w:sz w:val="20"/>
                <w:szCs w:val="20"/>
                <w:lang w:eastAsia="en-US"/>
              </w:rPr>
              <w:t>Basrah</w:t>
            </w:r>
          </w:p>
        </w:tc>
      </w:tr>
      <w:tr w:rsidR="00FF2206" w:rsidRPr="00114E47" w:rsidTr="00FF2206">
        <w:trPr>
          <w:trHeight w:val="824"/>
        </w:trPr>
        <w:tc>
          <w:tcPr>
            <w:tcW w:w="4162" w:type="dxa"/>
          </w:tcPr>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Atterberg Limits:</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Liquid limit(L.L)</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Plastic limit (P.L) %</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Plastic index (P.I) %</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 xml:space="preserve"> </w:t>
            </w:r>
          </w:p>
        </w:tc>
        <w:tc>
          <w:tcPr>
            <w:tcW w:w="1300"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43-54</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22-26</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17-30</w:t>
            </w:r>
          </w:p>
        </w:tc>
        <w:tc>
          <w:tcPr>
            <w:tcW w:w="1301"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34-53</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19-30</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15-29</w:t>
            </w:r>
          </w:p>
        </w:tc>
        <w:tc>
          <w:tcPr>
            <w:tcW w:w="1302"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37-45.6</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21.33-31.9</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11-18</w:t>
            </w:r>
          </w:p>
        </w:tc>
      </w:tr>
      <w:tr w:rsidR="00FF2206" w:rsidRPr="00114E47" w:rsidTr="00FF2206">
        <w:trPr>
          <w:trHeight w:val="167"/>
        </w:trPr>
        <w:tc>
          <w:tcPr>
            <w:tcW w:w="4162"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Unit weight (</w:t>
            </w:r>
            <w:r w:rsidRPr="00114E47">
              <w:rPr>
                <w:rFonts w:ascii="Times New Roman"/>
                <w:sz w:val="20"/>
                <w:szCs w:val="20"/>
                <w:lang w:eastAsia="en-US"/>
              </w:rPr>
              <w:t>γ</w:t>
            </w:r>
            <w:r w:rsidRPr="00114E47">
              <w:rPr>
                <w:rFonts w:ascii="Times New Roman"/>
                <w:sz w:val="20"/>
                <w:szCs w:val="20"/>
                <w:lang w:eastAsia="en-US"/>
              </w:rPr>
              <w:t>) KN/m</w:t>
            </w:r>
            <w:r w:rsidRPr="00114E47">
              <w:rPr>
                <w:rFonts w:ascii="Times New Roman"/>
                <w:sz w:val="20"/>
                <w:szCs w:val="20"/>
                <w:vertAlign w:val="superscript"/>
                <w:lang w:eastAsia="en-US"/>
              </w:rPr>
              <w:t>3</w:t>
            </w:r>
          </w:p>
        </w:tc>
        <w:tc>
          <w:tcPr>
            <w:tcW w:w="1300"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15.7-19.7</w:t>
            </w:r>
          </w:p>
        </w:tc>
        <w:tc>
          <w:tcPr>
            <w:tcW w:w="1301"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14.4-20.31</w:t>
            </w:r>
          </w:p>
        </w:tc>
        <w:tc>
          <w:tcPr>
            <w:tcW w:w="1302"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15-20</w:t>
            </w:r>
          </w:p>
        </w:tc>
      </w:tr>
      <w:tr w:rsidR="00FF2206" w:rsidRPr="00114E47" w:rsidTr="00FF2206">
        <w:trPr>
          <w:trHeight w:val="491"/>
        </w:trPr>
        <w:tc>
          <w:tcPr>
            <w:tcW w:w="4162" w:type="dxa"/>
          </w:tcPr>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 xml:space="preserve">Direct shear test:  </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Angle of internal friction</w:t>
            </w:r>
          </w:p>
          <w:p w:rsidR="00FF2206" w:rsidRPr="00114E47" w:rsidRDefault="00FF2206" w:rsidP="00FF2206">
            <w:pPr>
              <w:widowControl/>
              <w:adjustRightInd/>
              <w:spacing w:line="240" w:lineRule="auto"/>
              <w:contextualSpacing/>
              <w:jc w:val="left"/>
              <w:textAlignment w:val="auto"/>
              <w:rPr>
                <w:rFonts w:ascii="Times New Roman"/>
                <w:sz w:val="20"/>
                <w:szCs w:val="20"/>
                <w:vertAlign w:val="superscript"/>
                <w:lang w:eastAsia="en-US"/>
              </w:rPr>
            </w:pPr>
            <w:r w:rsidRPr="00114E47">
              <w:rPr>
                <w:rFonts w:ascii="Times New Roman"/>
                <w:sz w:val="20"/>
                <w:szCs w:val="20"/>
                <w:lang w:eastAsia="en-US"/>
              </w:rPr>
              <w:t>Cohesion (C) KPa</w:t>
            </w:r>
          </w:p>
        </w:tc>
        <w:tc>
          <w:tcPr>
            <w:tcW w:w="1300"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15-28</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0-40</w:t>
            </w:r>
          </w:p>
        </w:tc>
        <w:tc>
          <w:tcPr>
            <w:tcW w:w="1301"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w:t>
            </w:r>
          </w:p>
        </w:tc>
        <w:tc>
          <w:tcPr>
            <w:tcW w:w="1302"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31-33</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0-4</w:t>
            </w:r>
          </w:p>
        </w:tc>
      </w:tr>
      <w:tr w:rsidR="00FF2206" w:rsidRPr="00114E47" w:rsidTr="00FF2206">
        <w:trPr>
          <w:trHeight w:val="824"/>
        </w:trPr>
        <w:tc>
          <w:tcPr>
            <w:tcW w:w="4162" w:type="dxa"/>
          </w:tcPr>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 xml:space="preserve">Consolidation test:     </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Initial void ratio (e</w:t>
            </w:r>
            <w:r w:rsidRPr="00114E47">
              <w:rPr>
                <w:rFonts w:ascii="Times New Roman"/>
                <w:sz w:val="20"/>
                <w:szCs w:val="20"/>
                <w:vertAlign w:val="subscript"/>
                <w:lang w:eastAsia="en-US"/>
              </w:rPr>
              <w:t>o</w:t>
            </w:r>
            <w:r w:rsidRPr="00114E47">
              <w:rPr>
                <w:rFonts w:ascii="Times New Roman"/>
                <w:sz w:val="20"/>
                <w:szCs w:val="20"/>
                <w:lang w:eastAsia="en-US"/>
              </w:rPr>
              <w:t>)</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 xml:space="preserve">Compression index </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 xml:space="preserve"> Swelling index (C</w:t>
            </w:r>
            <w:r w:rsidRPr="00114E47">
              <w:rPr>
                <w:rFonts w:ascii="Times New Roman"/>
                <w:sz w:val="20"/>
                <w:szCs w:val="20"/>
                <w:vertAlign w:val="subscript"/>
                <w:lang w:eastAsia="en-US"/>
              </w:rPr>
              <w:t>s</w:t>
            </w:r>
            <w:r w:rsidRPr="00114E47">
              <w:rPr>
                <w:rFonts w:ascii="Times New Roman"/>
                <w:sz w:val="20"/>
                <w:szCs w:val="20"/>
                <w:lang w:eastAsia="en-US"/>
              </w:rPr>
              <w:t>)</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Preconsolidation pressure (P</w:t>
            </w:r>
            <w:r w:rsidRPr="00114E47">
              <w:rPr>
                <w:rFonts w:ascii="Times New Roman"/>
                <w:sz w:val="20"/>
                <w:szCs w:val="20"/>
                <w:vertAlign w:val="subscript"/>
                <w:lang w:eastAsia="en-US"/>
              </w:rPr>
              <w:t>c</w:t>
            </w:r>
            <w:r w:rsidRPr="00114E47">
              <w:rPr>
                <w:rFonts w:ascii="Times New Roman"/>
                <w:sz w:val="20"/>
                <w:szCs w:val="20"/>
                <w:lang w:eastAsia="en-US"/>
              </w:rPr>
              <w:t>) KPa</w:t>
            </w:r>
          </w:p>
        </w:tc>
        <w:tc>
          <w:tcPr>
            <w:tcW w:w="1300"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0.558-0.767</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0.065-0.28</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0.11-0.156</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70-150</w:t>
            </w:r>
          </w:p>
        </w:tc>
        <w:tc>
          <w:tcPr>
            <w:tcW w:w="1301"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0.647-0.769</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0.156-0.22</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0.010-0.054</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95-165</w:t>
            </w:r>
          </w:p>
        </w:tc>
        <w:tc>
          <w:tcPr>
            <w:tcW w:w="1302"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0.72-0.90</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0.186-0.267</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0.028-0.090</w:t>
            </w: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90-135</w:t>
            </w:r>
          </w:p>
        </w:tc>
      </w:tr>
      <w:tr w:rsidR="00FF2206" w:rsidRPr="00114E47" w:rsidTr="00FF2206">
        <w:trPr>
          <w:trHeight w:val="326"/>
        </w:trPr>
        <w:tc>
          <w:tcPr>
            <w:tcW w:w="4162" w:type="dxa"/>
          </w:tcPr>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 xml:space="preserve">Unconfined test: </w:t>
            </w:r>
          </w:p>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unconfined compression strength (q</w:t>
            </w:r>
            <w:r w:rsidRPr="00114E47">
              <w:rPr>
                <w:rFonts w:ascii="Times New Roman"/>
                <w:sz w:val="20"/>
                <w:szCs w:val="20"/>
                <w:vertAlign w:val="subscript"/>
                <w:lang w:eastAsia="en-US"/>
              </w:rPr>
              <w:t>u</w:t>
            </w:r>
            <w:r w:rsidRPr="00114E47">
              <w:rPr>
                <w:rFonts w:ascii="Times New Roman"/>
                <w:sz w:val="20"/>
                <w:szCs w:val="20"/>
                <w:lang w:eastAsia="en-US"/>
              </w:rPr>
              <w:t>) KPa</w:t>
            </w:r>
          </w:p>
        </w:tc>
        <w:tc>
          <w:tcPr>
            <w:tcW w:w="1300"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w:t>
            </w:r>
          </w:p>
        </w:tc>
        <w:tc>
          <w:tcPr>
            <w:tcW w:w="1301"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76-370.6</w:t>
            </w:r>
          </w:p>
        </w:tc>
        <w:tc>
          <w:tcPr>
            <w:tcW w:w="1302"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p>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24-125</w:t>
            </w:r>
          </w:p>
        </w:tc>
      </w:tr>
      <w:tr w:rsidR="00FF2206" w:rsidRPr="00114E47" w:rsidTr="00FF2206">
        <w:trPr>
          <w:trHeight w:val="172"/>
        </w:trPr>
        <w:tc>
          <w:tcPr>
            <w:tcW w:w="4162" w:type="dxa"/>
          </w:tcPr>
          <w:p w:rsidR="00FF2206" w:rsidRPr="00114E47" w:rsidRDefault="00FF2206" w:rsidP="00FF2206">
            <w:pPr>
              <w:widowControl/>
              <w:adjustRightInd/>
              <w:spacing w:line="240" w:lineRule="auto"/>
              <w:contextualSpacing/>
              <w:jc w:val="left"/>
              <w:textAlignment w:val="auto"/>
              <w:rPr>
                <w:rFonts w:ascii="Times New Roman"/>
                <w:sz w:val="20"/>
                <w:szCs w:val="20"/>
                <w:lang w:eastAsia="en-US"/>
              </w:rPr>
            </w:pPr>
            <w:r w:rsidRPr="00114E47">
              <w:rPr>
                <w:rFonts w:ascii="Times New Roman"/>
                <w:sz w:val="20"/>
                <w:szCs w:val="20"/>
                <w:lang w:eastAsia="en-US"/>
              </w:rPr>
              <w:t>SPT test: q</w:t>
            </w:r>
            <w:r w:rsidRPr="00114E47">
              <w:rPr>
                <w:rFonts w:ascii="Times New Roman"/>
                <w:sz w:val="20"/>
                <w:szCs w:val="20"/>
                <w:vertAlign w:val="subscript"/>
                <w:lang w:eastAsia="en-US"/>
              </w:rPr>
              <w:t>u</w:t>
            </w:r>
            <w:r w:rsidRPr="00114E47">
              <w:rPr>
                <w:rFonts w:ascii="Times New Roman"/>
                <w:sz w:val="20"/>
                <w:szCs w:val="20"/>
                <w:lang w:eastAsia="en-US"/>
              </w:rPr>
              <w:t xml:space="preserve">  KPa</w:t>
            </w:r>
          </w:p>
        </w:tc>
        <w:tc>
          <w:tcPr>
            <w:tcW w:w="1300"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w:t>
            </w:r>
          </w:p>
        </w:tc>
        <w:tc>
          <w:tcPr>
            <w:tcW w:w="1301"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w:t>
            </w:r>
          </w:p>
        </w:tc>
        <w:tc>
          <w:tcPr>
            <w:tcW w:w="1302" w:type="dxa"/>
          </w:tcPr>
          <w:p w:rsidR="00FF2206" w:rsidRPr="00114E47" w:rsidRDefault="00FF2206" w:rsidP="00FF2206">
            <w:pPr>
              <w:widowControl/>
              <w:adjustRightInd/>
              <w:spacing w:line="240" w:lineRule="auto"/>
              <w:contextualSpacing/>
              <w:jc w:val="center"/>
              <w:textAlignment w:val="auto"/>
              <w:rPr>
                <w:rFonts w:ascii="Times New Roman"/>
                <w:sz w:val="20"/>
                <w:szCs w:val="20"/>
                <w:lang w:eastAsia="en-US"/>
              </w:rPr>
            </w:pPr>
            <w:r w:rsidRPr="00114E47">
              <w:rPr>
                <w:rFonts w:ascii="Times New Roman"/>
                <w:sz w:val="20"/>
                <w:szCs w:val="20"/>
                <w:lang w:eastAsia="en-US"/>
              </w:rPr>
              <w:t>24</w:t>
            </w:r>
          </w:p>
        </w:tc>
      </w:tr>
    </w:tbl>
    <w:p w:rsidR="00314C27" w:rsidRDefault="00314C27" w:rsidP="00314C27">
      <w:pPr>
        <w:spacing w:after="80" w:line="240" w:lineRule="auto"/>
        <w:rPr>
          <w:rFonts w:asciiTheme="majorBidi" w:hAnsiTheme="majorBidi" w:cstheme="majorBidi"/>
          <w:szCs w:val="24"/>
        </w:rPr>
      </w:pPr>
    </w:p>
    <w:p w:rsidR="005050D8" w:rsidRPr="00BD20EE" w:rsidRDefault="001B6DB9" w:rsidP="005050D8">
      <w:pPr>
        <w:pStyle w:val="ListParagraph"/>
        <w:rPr>
          <w:rFonts w:asciiTheme="majorBidi" w:hAnsiTheme="majorBidi" w:cstheme="majorBidi"/>
          <w:sz w:val="24"/>
          <w:szCs w:val="24"/>
        </w:rPr>
      </w:pPr>
      <w:r>
        <w:rPr>
          <w:noProof/>
          <w:lang w:val="sv-SE" w:eastAsia="sv-SE"/>
        </w:rPr>
        <w:drawing>
          <wp:anchor distT="0" distB="0" distL="114300" distR="114300" simplePos="0" relativeHeight="251675648" behindDoc="0" locked="0" layoutInCell="1" allowOverlap="1" wp14:anchorId="5482FD22" wp14:editId="4035F69D">
            <wp:simplePos x="0" y="0"/>
            <wp:positionH relativeFrom="column">
              <wp:posOffset>778510</wp:posOffset>
            </wp:positionH>
            <wp:positionV relativeFrom="paragraph">
              <wp:posOffset>91440</wp:posOffset>
            </wp:positionV>
            <wp:extent cx="3342005" cy="1519555"/>
            <wp:effectExtent l="0" t="0" r="10795" b="2349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55243" w:rsidRDefault="00455243">
      <w:pPr>
        <w:spacing w:line="240" w:lineRule="auto"/>
        <w:rPr>
          <w:color w:val="000000"/>
          <w:szCs w:val="24"/>
        </w:rPr>
      </w:pPr>
    </w:p>
    <w:p w:rsidR="00455243" w:rsidRDefault="00455243">
      <w:pPr>
        <w:spacing w:line="240" w:lineRule="auto"/>
        <w:rPr>
          <w:color w:val="000000"/>
          <w:szCs w:val="24"/>
        </w:rPr>
      </w:pPr>
    </w:p>
    <w:p w:rsidR="00455243" w:rsidRDefault="00455243">
      <w:pPr>
        <w:spacing w:line="240" w:lineRule="auto"/>
        <w:rPr>
          <w:color w:val="000000"/>
          <w:szCs w:val="24"/>
        </w:rPr>
      </w:pPr>
    </w:p>
    <w:p w:rsidR="00455243" w:rsidRDefault="00455243">
      <w:pPr>
        <w:spacing w:line="240" w:lineRule="auto"/>
        <w:rPr>
          <w:color w:val="000000"/>
          <w:szCs w:val="24"/>
        </w:rPr>
      </w:pPr>
    </w:p>
    <w:p w:rsidR="00455243" w:rsidRDefault="00455243">
      <w:pPr>
        <w:spacing w:line="240" w:lineRule="auto"/>
        <w:rPr>
          <w:color w:val="000000"/>
          <w:szCs w:val="24"/>
        </w:rPr>
      </w:pPr>
    </w:p>
    <w:p w:rsidR="009E312C" w:rsidRDefault="009E312C">
      <w:pPr>
        <w:spacing w:line="240" w:lineRule="auto"/>
        <w:rPr>
          <w:color w:val="000000"/>
          <w:szCs w:val="24"/>
        </w:rPr>
      </w:pPr>
    </w:p>
    <w:p w:rsidR="001B6DB9" w:rsidRDefault="001B6DB9">
      <w:pPr>
        <w:spacing w:line="240" w:lineRule="auto"/>
        <w:rPr>
          <w:color w:val="000000"/>
          <w:szCs w:val="24"/>
        </w:rPr>
      </w:pPr>
    </w:p>
    <w:p w:rsidR="001B6DB9" w:rsidRDefault="001B6DB9">
      <w:pPr>
        <w:spacing w:line="240" w:lineRule="auto"/>
        <w:rPr>
          <w:color w:val="000000"/>
          <w:szCs w:val="24"/>
        </w:rPr>
      </w:pPr>
    </w:p>
    <w:p w:rsidR="00D65903" w:rsidRDefault="001B6DB9" w:rsidP="00485E38">
      <w:pPr>
        <w:spacing w:line="240" w:lineRule="auto"/>
        <w:rPr>
          <w:rFonts w:asciiTheme="majorBidi" w:hAnsiTheme="majorBidi" w:cstheme="majorBidi"/>
          <w:b/>
          <w:bCs/>
          <w:szCs w:val="24"/>
        </w:rPr>
      </w:pPr>
      <w:r>
        <w:rPr>
          <w:rFonts w:asciiTheme="majorBidi" w:hAnsiTheme="majorBidi" w:cstheme="majorBidi"/>
          <w:b/>
          <w:bCs/>
          <w:szCs w:val="24"/>
        </w:rPr>
        <w:t xml:space="preserve">       </w:t>
      </w:r>
      <w:r w:rsidR="00E206ED">
        <w:rPr>
          <w:rFonts w:asciiTheme="majorBidi" w:hAnsiTheme="majorBidi" w:cstheme="majorBidi"/>
          <w:b/>
          <w:bCs/>
          <w:szCs w:val="24"/>
        </w:rPr>
        <w:t xml:space="preserve">     </w:t>
      </w:r>
      <w:r w:rsidR="00D65903" w:rsidRPr="001A5D75">
        <w:rPr>
          <w:rFonts w:asciiTheme="majorBidi" w:hAnsiTheme="majorBidi" w:cstheme="majorBidi"/>
          <w:b/>
          <w:bCs/>
          <w:szCs w:val="24"/>
        </w:rPr>
        <w:t xml:space="preserve">Figure </w:t>
      </w:r>
      <w:r w:rsidR="00D65903">
        <w:rPr>
          <w:rFonts w:asciiTheme="majorBidi" w:hAnsiTheme="majorBidi" w:cstheme="majorBidi"/>
          <w:b/>
          <w:bCs/>
          <w:szCs w:val="24"/>
        </w:rPr>
        <w:t>6</w:t>
      </w:r>
      <w:r w:rsidR="00D65903" w:rsidRPr="001A5D75">
        <w:rPr>
          <w:rFonts w:asciiTheme="majorBidi" w:hAnsiTheme="majorBidi" w:cstheme="majorBidi"/>
          <w:b/>
          <w:bCs/>
          <w:szCs w:val="24"/>
        </w:rPr>
        <w:t xml:space="preserve">: Results </w:t>
      </w:r>
      <w:r w:rsidR="00D65903">
        <w:rPr>
          <w:rFonts w:asciiTheme="majorBidi" w:hAnsiTheme="majorBidi" w:cstheme="majorBidi"/>
          <w:b/>
          <w:bCs/>
          <w:szCs w:val="24"/>
        </w:rPr>
        <w:t xml:space="preserve">of </w:t>
      </w:r>
      <w:r w:rsidR="00D65903" w:rsidRPr="001A5D75">
        <w:rPr>
          <w:rFonts w:asciiTheme="majorBidi" w:hAnsiTheme="majorBidi" w:cstheme="majorBidi"/>
          <w:b/>
          <w:bCs/>
          <w:szCs w:val="24"/>
        </w:rPr>
        <w:t>Bearing Capacity for Mosul</w:t>
      </w:r>
      <w:r w:rsidR="00D65903">
        <w:rPr>
          <w:rFonts w:asciiTheme="majorBidi" w:hAnsiTheme="majorBidi" w:cstheme="majorBidi"/>
          <w:b/>
          <w:bCs/>
          <w:szCs w:val="24"/>
        </w:rPr>
        <w:t>.</w:t>
      </w:r>
    </w:p>
    <w:p w:rsidR="00D65903" w:rsidRPr="001A5D75" w:rsidRDefault="00D65903" w:rsidP="00D65903">
      <w:pPr>
        <w:spacing w:line="240" w:lineRule="auto"/>
        <w:rPr>
          <w:rFonts w:asciiTheme="majorBidi" w:hAnsiTheme="majorBidi" w:cstheme="majorBidi"/>
          <w:b/>
          <w:bCs/>
          <w:szCs w:val="24"/>
        </w:rPr>
      </w:pPr>
    </w:p>
    <w:p w:rsidR="009E312C" w:rsidRDefault="001B6DB9" w:rsidP="00D65903">
      <w:pPr>
        <w:spacing w:line="240" w:lineRule="auto"/>
        <w:rPr>
          <w:color w:val="000000"/>
          <w:szCs w:val="24"/>
        </w:rPr>
      </w:pPr>
      <w:r>
        <w:rPr>
          <w:noProof/>
          <w:lang w:val="sv-SE" w:eastAsia="sv-SE"/>
        </w:rPr>
        <w:drawing>
          <wp:anchor distT="0" distB="0" distL="114300" distR="114300" simplePos="0" relativeHeight="251671552" behindDoc="0" locked="0" layoutInCell="1" allowOverlap="1" wp14:anchorId="47241511" wp14:editId="4E48F6AE">
            <wp:simplePos x="0" y="0"/>
            <wp:positionH relativeFrom="column">
              <wp:posOffset>727075</wp:posOffset>
            </wp:positionH>
            <wp:positionV relativeFrom="paragraph">
              <wp:posOffset>11430</wp:posOffset>
            </wp:positionV>
            <wp:extent cx="3438525" cy="1499870"/>
            <wp:effectExtent l="0" t="0" r="9525" b="2413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9E312C" w:rsidRDefault="009E312C" w:rsidP="00D65903">
      <w:pPr>
        <w:spacing w:line="240" w:lineRule="auto"/>
        <w:rPr>
          <w:color w:val="000000"/>
          <w:szCs w:val="24"/>
        </w:rPr>
      </w:pPr>
    </w:p>
    <w:p w:rsidR="009E312C" w:rsidRDefault="009E312C" w:rsidP="00D65903">
      <w:pPr>
        <w:spacing w:line="240" w:lineRule="auto"/>
        <w:rPr>
          <w:color w:val="000000"/>
          <w:szCs w:val="24"/>
        </w:rPr>
      </w:pPr>
    </w:p>
    <w:p w:rsidR="009E312C" w:rsidRDefault="009E312C" w:rsidP="00D65903">
      <w:pPr>
        <w:spacing w:line="240" w:lineRule="auto"/>
        <w:rPr>
          <w:color w:val="000000"/>
          <w:szCs w:val="24"/>
        </w:rPr>
      </w:pPr>
    </w:p>
    <w:p w:rsidR="009E312C" w:rsidRDefault="009E312C" w:rsidP="00D65903">
      <w:pPr>
        <w:spacing w:line="240" w:lineRule="auto"/>
        <w:rPr>
          <w:color w:val="000000"/>
          <w:szCs w:val="24"/>
        </w:rPr>
      </w:pPr>
    </w:p>
    <w:p w:rsidR="009E312C" w:rsidRDefault="009E312C" w:rsidP="00D65903">
      <w:pPr>
        <w:spacing w:line="240" w:lineRule="auto"/>
        <w:rPr>
          <w:color w:val="000000"/>
          <w:szCs w:val="24"/>
        </w:rPr>
      </w:pPr>
    </w:p>
    <w:p w:rsidR="009E312C" w:rsidRDefault="009E312C" w:rsidP="00D65903">
      <w:pPr>
        <w:spacing w:line="240" w:lineRule="auto"/>
        <w:rPr>
          <w:color w:val="000000"/>
          <w:szCs w:val="24"/>
        </w:rPr>
      </w:pPr>
    </w:p>
    <w:p w:rsidR="001B6DB9" w:rsidRDefault="001B6DB9" w:rsidP="00D65903">
      <w:pPr>
        <w:spacing w:line="240" w:lineRule="auto"/>
        <w:rPr>
          <w:color w:val="000000"/>
          <w:szCs w:val="24"/>
        </w:rPr>
      </w:pPr>
    </w:p>
    <w:p w:rsidR="00D65903" w:rsidRDefault="00D65903" w:rsidP="00D65903">
      <w:pPr>
        <w:tabs>
          <w:tab w:val="left" w:pos="449"/>
          <w:tab w:val="left" w:pos="1117"/>
          <w:tab w:val="left" w:pos="1440"/>
        </w:tabs>
        <w:spacing w:line="240" w:lineRule="auto"/>
        <w:rPr>
          <w:color w:val="000000"/>
          <w:szCs w:val="24"/>
        </w:rPr>
      </w:pPr>
    </w:p>
    <w:p w:rsidR="00D65903" w:rsidRPr="001B6DB9" w:rsidRDefault="00D65903" w:rsidP="00485E38">
      <w:pPr>
        <w:pStyle w:val="Caption"/>
        <w:rPr>
          <w:b/>
          <w:bCs/>
        </w:rPr>
      </w:pPr>
      <w:r>
        <w:rPr>
          <w:color w:val="000000"/>
        </w:rPr>
        <w:t xml:space="preserve">    </w:t>
      </w:r>
      <w:r w:rsidR="00E206ED">
        <w:rPr>
          <w:color w:val="000000"/>
        </w:rPr>
        <w:t xml:space="preserve">    </w:t>
      </w:r>
      <w:r w:rsidR="001B6DB9">
        <w:t xml:space="preserve"> </w:t>
      </w:r>
      <w:r w:rsidRPr="001B6DB9">
        <w:rPr>
          <w:b/>
          <w:bCs/>
        </w:rPr>
        <w:t>Figure 7: Results of Bearing Capacity for Baghdad.</w:t>
      </w:r>
    </w:p>
    <w:p w:rsidR="009E312C" w:rsidRDefault="004B0042">
      <w:pPr>
        <w:spacing w:line="240" w:lineRule="auto"/>
        <w:rPr>
          <w:color w:val="000000"/>
          <w:szCs w:val="24"/>
        </w:rPr>
      </w:pPr>
      <w:r>
        <w:rPr>
          <w:noProof/>
          <w:lang w:val="sv-SE" w:eastAsia="sv-SE"/>
        </w:rPr>
        <w:lastRenderedPageBreak/>
        <w:drawing>
          <wp:anchor distT="0" distB="0" distL="114300" distR="114300" simplePos="0" relativeHeight="251673600" behindDoc="0" locked="0" layoutInCell="1" allowOverlap="1" wp14:anchorId="24340477" wp14:editId="7A9C05FE">
            <wp:simplePos x="0" y="0"/>
            <wp:positionH relativeFrom="column">
              <wp:posOffset>585470</wp:posOffset>
            </wp:positionH>
            <wp:positionV relativeFrom="paragraph">
              <wp:posOffset>55245</wp:posOffset>
            </wp:positionV>
            <wp:extent cx="3580130" cy="1661160"/>
            <wp:effectExtent l="0" t="0" r="20320" b="1524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9E312C" w:rsidRDefault="009E312C">
      <w:pPr>
        <w:spacing w:line="240" w:lineRule="auto"/>
        <w:rPr>
          <w:color w:val="000000"/>
          <w:szCs w:val="24"/>
        </w:rPr>
      </w:pPr>
    </w:p>
    <w:p w:rsidR="009E312C" w:rsidRDefault="009E312C">
      <w:pPr>
        <w:spacing w:line="240" w:lineRule="auto"/>
        <w:rPr>
          <w:color w:val="000000"/>
          <w:szCs w:val="24"/>
        </w:rPr>
      </w:pPr>
    </w:p>
    <w:p w:rsidR="009E312C" w:rsidRDefault="009E312C">
      <w:pPr>
        <w:spacing w:line="240" w:lineRule="auto"/>
        <w:rPr>
          <w:color w:val="000000"/>
          <w:szCs w:val="24"/>
        </w:rPr>
      </w:pPr>
    </w:p>
    <w:p w:rsidR="009E312C" w:rsidRDefault="009E312C">
      <w:pPr>
        <w:spacing w:line="240" w:lineRule="auto"/>
        <w:rPr>
          <w:color w:val="000000"/>
          <w:szCs w:val="24"/>
        </w:rPr>
      </w:pPr>
    </w:p>
    <w:p w:rsidR="009E312C" w:rsidRDefault="009E312C">
      <w:pPr>
        <w:spacing w:line="240" w:lineRule="auto"/>
        <w:rPr>
          <w:color w:val="000000"/>
          <w:szCs w:val="24"/>
        </w:rPr>
      </w:pPr>
    </w:p>
    <w:p w:rsidR="00455243" w:rsidRDefault="00455243">
      <w:pPr>
        <w:spacing w:line="240" w:lineRule="auto"/>
        <w:rPr>
          <w:color w:val="000000"/>
          <w:szCs w:val="24"/>
        </w:rPr>
      </w:pPr>
    </w:p>
    <w:p w:rsidR="00455243" w:rsidRDefault="00455243">
      <w:pPr>
        <w:spacing w:line="240" w:lineRule="auto"/>
        <w:rPr>
          <w:color w:val="000000"/>
          <w:szCs w:val="24"/>
        </w:rPr>
      </w:pPr>
    </w:p>
    <w:p w:rsidR="00455243" w:rsidRDefault="00455243">
      <w:pPr>
        <w:spacing w:line="240" w:lineRule="auto"/>
        <w:rPr>
          <w:color w:val="000000"/>
          <w:szCs w:val="24"/>
        </w:rPr>
      </w:pPr>
    </w:p>
    <w:p w:rsidR="00D65903" w:rsidRDefault="00D65903">
      <w:pPr>
        <w:spacing w:line="240" w:lineRule="auto"/>
        <w:rPr>
          <w:color w:val="000000"/>
          <w:szCs w:val="24"/>
        </w:rPr>
      </w:pPr>
    </w:p>
    <w:p w:rsidR="00D65903" w:rsidRDefault="00D65903">
      <w:pPr>
        <w:spacing w:line="240" w:lineRule="auto"/>
        <w:rPr>
          <w:color w:val="000000"/>
          <w:szCs w:val="24"/>
        </w:rPr>
      </w:pPr>
    </w:p>
    <w:p w:rsidR="001B6DB9" w:rsidRDefault="004B0042" w:rsidP="00485E38">
      <w:pPr>
        <w:tabs>
          <w:tab w:val="left" w:pos="449"/>
          <w:tab w:val="left" w:pos="1117"/>
          <w:tab w:val="left" w:pos="1440"/>
        </w:tabs>
        <w:rPr>
          <w:rFonts w:asciiTheme="majorBidi" w:hAnsiTheme="majorBidi" w:cstheme="majorBidi"/>
          <w:b/>
          <w:bCs/>
          <w:szCs w:val="24"/>
        </w:rPr>
      </w:pPr>
      <w:r>
        <w:rPr>
          <w:color w:val="000000"/>
          <w:szCs w:val="24"/>
        </w:rPr>
        <w:t xml:space="preserve">    </w:t>
      </w:r>
      <w:r w:rsidR="00E206ED">
        <w:rPr>
          <w:color w:val="000000"/>
          <w:szCs w:val="24"/>
        </w:rPr>
        <w:t xml:space="preserve">    </w:t>
      </w:r>
      <w:r w:rsidR="001B6DB9">
        <w:rPr>
          <w:b/>
          <w:bCs/>
          <w:szCs w:val="24"/>
        </w:rPr>
        <w:t xml:space="preserve"> Figure 8: </w:t>
      </w:r>
      <w:r w:rsidR="001B6DB9" w:rsidRPr="001A5D75">
        <w:rPr>
          <w:rFonts w:asciiTheme="majorBidi" w:hAnsiTheme="majorBidi" w:cstheme="majorBidi"/>
          <w:b/>
          <w:bCs/>
          <w:szCs w:val="24"/>
        </w:rPr>
        <w:t xml:space="preserve">Results </w:t>
      </w:r>
      <w:r w:rsidR="001B6DB9">
        <w:rPr>
          <w:rFonts w:asciiTheme="majorBidi" w:hAnsiTheme="majorBidi" w:cstheme="majorBidi"/>
          <w:b/>
          <w:bCs/>
          <w:szCs w:val="24"/>
        </w:rPr>
        <w:t>of</w:t>
      </w:r>
      <w:r w:rsidR="001B6DB9" w:rsidRPr="001A5D75">
        <w:rPr>
          <w:rFonts w:asciiTheme="majorBidi" w:hAnsiTheme="majorBidi" w:cstheme="majorBidi"/>
          <w:b/>
          <w:bCs/>
          <w:szCs w:val="24"/>
        </w:rPr>
        <w:t xml:space="preserve"> Bearing Capacity for </w:t>
      </w:r>
      <w:r w:rsidR="001B6DB9">
        <w:rPr>
          <w:rFonts w:asciiTheme="majorBidi" w:hAnsiTheme="majorBidi" w:cstheme="majorBidi"/>
          <w:b/>
          <w:bCs/>
          <w:szCs w:val="24"/>
        </w:rPr>
        <w:t>Basrah.</w:t>
      </w:r>
    </w:p>
    <w:p w:rsidR="001B6DB9" w:rsidRDefault="001B6DB9">
      <w:pPr>
        <w:widowControl/>
        <w:autoSpaceDE w:val="0"/>
        <w:autoSpaceDN w:val="0"/>
        <w:spacing w:line="240" w:lineRule="auto"/>
        <w:textAlignment w:val="bottom"/>
        <w:rPr>
          <w:b/>
          <w:color w:val="000000"/>
          <w:sz w:val="30"/>
          <w:szCs w:val="30"/>
        </w:rPr>
      </w:pPr>
    </w:p>
    <w:p w:rsidR="001B6DB9" w:rsidRPr="004B0042" w:rsidRDefault="001B6DB9" w:rsidP="00114E47">
      <w:pPr>
        <w:pStyle w:val="ListParagraph"/>
        <w:numPr>
          <w:ilvl w:val="1"/>
          <w:numId w:val="17"/>
        </w:numPr>
        <w:tabs>
          <w:tab w:val="left" w:pos="449"/>
          <w:tab w:val="left" w:pos="1117"/>
          <w:tab w:val="left" w:pos="1440"/>
        </w:tabs>
        <w:ind w:left="0" w:hanging="426"/>
        <w:jc w:val="both"/>
        <w:rPr>
          <w:rFonts w:asciiTheme="majorBidi" w:hAnsiTheme="majorBidi" w:cstheme="majorBidi"/>
          <w:sz w:val="24"/>
          <w:szCs w:val="24"/>
        </w:rPr>
      </w:pPr>
      <w:r w:rsidRPr="004B0042">
        <w:rPr>
          <w:rFonts w:asciiTheme="majorBidi" w:hAnsiTheme="majorBidi" w:cstheme="majorBidi"/>
          <w:b/>
          <w:bCs/>
          <w:sz w:val="24"/>
          <w:szCs w:val="24"/>
        </w:rPr>
        <w:t xml:space="preserve">Computer modeling: </w:t>
      </w:r>
      <w:r w:rsidRPr="004B0042">
        <w:rPr>
          <w:rFonts w:asciiTheme="majorBidi" w:hAnsiTheme="majorBidi" w:cstheme="majorBidi"/>
          <w:sz w:val="24"/>
          <w:szCs w:val="24"/>
        </w:rPr>
        <w:t xml:space="preserve">The model of study was designed and analyzed using two computer programs. These programs were SAP2000 </w:t>
      </w:r>
      <w:r w:rsidR="00432112" w:rsidRPr="004B0042">
        <w:rPr>
          <w:rFonts w:asciiTheme="majorBidi" w:hAnsiTheme="majorBidi" w:cstheme="majorBidi"/>
          <w:sz w:val="24"/>
          <w:szCs w:val="24"/>
        </w:rPr>
        <w:t xml:space="preserve">(Structural Analysis Program, version 16) </w:t>
      </w:r>
      <w:r w:rsidRPr="004B0042">
        <w:rPr>
          <w:rFonts w:asciiTheme="majorBidi" w:hAnsiTheme="majorBidi" w:cstheme="majorBidi"/>
          <w:sz w:val="24"/>
          <w:szCs w:val="24"/>
        </w:rPr>
        <w:t>and SAFE</w:t>
      </w:r>
      <w:r w:rsidR="00432112">
        <w:rPr>
          <w:rFonts w:asciiTheme="majorBidi" w:hAnsiTheme="majorBidi" w:cstheme="majorBidi"/>
          <w:sz w:val="24"/>
          <w:szCs w:val="24"/>
        </w:rPr>
        <w:t xml:space="preserve"> </w:t>
      </w:r>
      <w:r w:rsidR="00432112" w:rsidRPr="004B0042">
        <w:rPr>
          <w:rFonts w:asciiTheme="majorBidi" w:hAnsiTheme="majorBidi" w:cstheme="majorBidi"/>
          <w:sz w:val="24"/>
          <w:szCs w:val="24"/>
        </w:rPr>
        <w:t>(Slab Analysis Finite Element) software</w:t>
      </w:r>
      <w:r w:rsidRPr="004B0042">
        <w:rPr>
          <w:rFonts w:asciiTheme="majorBidi" w:hAnsiTheme="majorBidi" w:cstheme="majorBidi"/>
          <w:sz w:val="24"/>
          <w:szCs w:val="24"/>
        </w:rPr>
        <w:t xml:space="preserve"> for structural and foundation design and analysis. SAP2000 is a program used to design general structures such as buildings, dams, towers, stadium; etc. It has advantages such as powerful and completely integrated design program for concrete, steel, co</w:t>
      </w:r>
      <w:r w:rsidR="00234BD1">
        <w:rPr>
          <w:rFonts w:asciiTheme="majorBidi" w:hAnsiTheme="majorBidi" w:cstheme="majorBidi"/>
          <w:sz w:val="24"/>
          <w:szCs w:val="24"/>
        </w:rPr>
        <w:t xml:space="preserve">ld formed steel, and aluminum. </w:t>
      </w:r>
      <w:r w:rsidRPr="004B0042">
        <w:rPr>
          <w:rFonts w:asciiTheme="majorBidi" w:hAnsiTheme="majorBidi" w:cstheme="majorBidi"/>
          <w:sz w:val="24"/>
          <w:szCs w:val="24"/>
        </w:rPr>
        <w:t>The concrete design for frame members includes the calculation of the amount of reinforcing steel required. The program includes a wide variety of national and international design codes. Moreover, It has unlimited analysis capabilities, time-history, a complete range of finite elements</w:t>
      </w:r>
      <w:r w:rsidRPr="004B0042">
        <w:rPr>
          <w:rFonts w:asciiTheme="majorBidi" w:hAnsiTheme="majorBidi" w:cstheme="majorBidi"/>
          <w:b/>
          <w:bCs/>
          <w:sz w:val="24"/>
          <w:szCs w:val="24"/>
        </w:rPr>
        <w:t xml:space="preserve"> </w:t>
      </w:r>
      <w:r w:rsidRPr="004B0042">
        <w:rPr>
          <w:rFonts w:asciiTheme="majorBidi" w:hAnsiTheme="majorBidi" w:cstheme="majorBidi"/>
          <w:sz w:val="24"/>
          <w:szCs w:val="24"/>
        </w:rPr>
        <w:t>analysis options and static nonlinear analysis. The program has a capability of export and import for other popular drafting and design programs as well [19 and 20]. SAFE is finite element software. It has many capabilities such as strong graphic tools for drawing various shapes and patterns, system of mesh generator, different load combinations are created, and the capability of presenting the loading states by 3D animation. The variety of outputs given by the software can be used to study the behavior of loads and deformations. SAFE is a sophisticated program for concrete slab</w:t>
      </w:r>
      <w:r w:rsidRPr="004B0042">
        <w:rPr>
          <w:rFonts w:asciiTheme="majorBidi" w:hAnsiTheme="majorBidi" w:cstheme="majorBidi"/>
          <w:sz w:val="24"/>
          <w:szCs w:val="24"/>
          <w:rtl/>
        </w:rPr>
        <w:t>\</w:t>
      </w:r>
      <w:r w:rsidRPr="004B0042">
        <w:rPr>
          <w:rFonts w:asciiTheme="majorBidi" w:hAnsiTheme="majorBidi" w:cstheme="majorBidi"/>
          <w:sz w:val="24"/>
          <w:szCs w:val="24"/>
        </w:rPr>
        <w:t xml:space="preserve"> </w:t>
      </w:r>
      <w:r w:rsidRPr="004B0042">
        <w:rPr>
          <w:rFonts w:asciiTheme="majorBidi" w:hAnsiTheme="majorBidi" w:cstheme="majorBidi"/>
          <w:sz w:val="24"/>
          <w:szCs w:val="24"/>
          <w:lang w:val="en-GB"/>
        </w:rPr>
        <w:t>beam and basement</w:t>
      </w:r>
      <w:r w:rsidRPr="004B0042">
        <w:rPr>
          <w:rFonts w:asciiTheme="majorBidi" w:hAnsiTheme="majorBidi" w:cstheme="majorBidi"/>
          <w:sz w:val="24"/>
          <w:szCs w:val="24"/>
          <w:rtl/>
          <w:lang w:val="en-GB"/>
        </w:rPr>
        <w:t>\</w:t>
      </w:r>
      <w:r w:rsidRPr="004B0042">
        <w:rPr>
          <w:rFonts w:asciiTheme="majorBidi" w:hAnsiTheme="majorBidi" w:cstheme="majorBidi"/>
          <w:sz w:val="24"/>
          <w:szCs w:val="24"/>
          <w:lang w:val="en-GB"/>
        </w:rPr>
        <w:t xml:space="preserve"> foundation systems. Moreover, the program has the capability to import and export models and design from other programs [21 and 22]</w:t>
      </w:r>
      <w:r w:rsidRPr="004B0042">
        <w:rPr>
          <w:rFonts w:asciiTheme="majorBidi" w:hAnsiTheme="majorBidi" w:cstheme="majorBidi"/>
          <w:sz w:val="24"/>
          <w:szCs w:val="24"/>
        </w:rPr>
        <w:t xml:space="preserve">. General steps </w:t>
      </w:r>
      <w:r w:rsidR="00432112">
        <w:rPr>
          <w:rFonts w:asciiTheme="majorBidi" w:hAnsiTheme="majorBidi" w:cstheme="majorBidi"/>
          <w:sz w:val="24"/>
          <w:szCs w:val="24"/>
        </w:rPr>
        <w:t>were</w:t>
      </w:r>
      <w:r w:rsidRPr="004B0042">
        <w:rPr>
          <w:rFonts w:asciiTheme="majorBidi" w:hAnsiTheme="majorBidi" w:cstheme="majorBidi"/>
          <w:sz w:val="24"/>
          <w:szCs w:val="24"/>
        </w:rPr>
        <w:t xml:space="preserve"> used in the design and analysis of any structure and foundation using SAP2000 and SAFE, </w:t>
      </w:r>
      <w:r w:rsidR="00432112">
        <w:rPr>
          <w:rFonts w:asciiTheme="majorBidi" w:hAnsiTheme="majorBidi" w:cstheme="majorBidi"/>
          <w:sz w:val="24"/>
          <w:szCs w:val="24"/>
        </w:rPr>
        <w:t xml:space="preserve">are </w:t>
      </w:r>
      <w:r w:rsidRPr="004B0042">
        <w:rPr>
          <w:rFonts w:asciiTheme="majorBidi" w:hAnsiTheme="majorBidi" w:cstheme="majorBidi"/>
          <w:sz w:val="24"/>
          <w:szCs w:val="24"/>
        </w:rPr>
        <w:t>as follow [23]:</w:t>
      </w:r>
    </w:p>
    <w:p w:rsidR="001B6DB9" w:rsidRPr="001B6DB9" w:rsidRDefault="001B6DB9" w:rsidP="001B6DB9">
      <w:pPr>
        <w:widowControl/>
        <w:numPr>
          <w:ilvl w:val="0"/>
          <w:numId w:val="18"/>
        </w:numPr>
        <w:tabs>
          <w:tab w:val="left" w:pos="449"/>
          <w:tab w:val="left" w:pos="1117"/>
          <w:tab w:val="left" w:pos="1440"/>
        </w:tabs>
        <w:adjustRightInd/>
        <w:spacing w:after="200" w:line="276" w:lineRule="auto"/>
        <w:contextualSpacing/>
        <w:jc w:val="left"/>
        <w:textAlignment w:val="auto"/>
        <w:rPr>
          <w:rFonts w:eastAsia="Calibri"/>
          <w:szCs w:val="24"/>
          <w:lang w:eastAsia="en-US"/>
        </w:rPr>
      </w:pPr>
      <w:r w:rsidRPr="001B6DB9">
        <w:rPr>
          <w:rFonts w:eastAsia="Calibri"/>
          <w:szCs w:val="24"/>
          <w:lang w:eastAsia="en-US"/>
        </w:rPr>
        <w:t>Creating a model or modifying it, which numerically defines the geometry, loading, properties, and analysis parameters for the structure.</w:t>
      </w:r>
    </w:p>
    <w:p w:rsidR="001B6DB9" w:rsidRPr="001B6DB9" w:rsidRDefault="001B6DB9" w:rsidP="001B6DB9">
      <w:pPr>
        <w:widowControl/>
        <w:numPr>
          <w:ilvl w:val="0"/>
          <w:numId w:val="18"/>
        </w:numPr>
        <w:tabs>
          <w:tab w:val="left" w:pos="449"/>
          <w:tab w:val="left" w:pos="1117"/>
          <w:tab w:val="left" w:pos="1440"/>
        </w:tabs>
        <w:adjustRightInd/>
        <w:spacing w:after="200" w:line="276" w:lineRule="auto"/>
        <w:contextualSpacing/>
        <w:jc w:val="left"/>
        <w:textAlignment w:val="auto"/>
        <w:rPr>
          <w:rFonts w:eastAsia="Calibri"/>
          <w:szCs w:val="24"/>
          <w:lang w:eastAsia="en-US"/>
        </w:rPr>
      </w:pPr>
      <w:r w:rsidRPr="001B6DB9">
        <w:rPr>
          <w:rFonts w:eastAsia="Calibri"/>
          <w:szCs w:val="24"/>
          <w:lang w:eastAsia="en-US"/>
        </w:rPr>
        <w:t>Executing an analysis of the model.</w:t>
      </w:r>
    </w:p>
    <w:p w:rsidR="001B6DB9" w:rsidRPr="001B6DB9" w:rsidRDefault="001B6DB9" w:rsidP="001B6DB9">
      <w:pPr>
        <w:widowControl/>
        <w:numPr>
          <w:ilvl w:val="0"/>
          <w:numId w:val="18"/>
        </w:numPr>
        <w:tabs>
          <w:tab w:val="left" w:pos="449"/>
          <w:tab w:val="left" w:pos="1117"/>
          <w:tab w:val="left" w:pos="1440"/>
        </w:tabs>
        <w:adjustRightInd/>
        <w:spacing w:after="200" w:line="276" w:lineRule="auto"/>
        <w:contextualSpacing/>
        <w:jc w:val="left"/>
        <w:textAlignment w:val="auto"/>
        <w:rPr>
          <w:rFonts w:eastAsia="Calibri"/>
          <w:szCs w:val="24"/>
          <w:lang w:eastAsia="en-US"/>
        </w:rPr>
      </w:pPr>
      <w:r w:rsidRPr="001B6DB9">
        <w:rPr>
          <w:rFonts w:eastAsia="Calibri"/>
          <w:szCs w:val="24"/>
          <w:lang w:eastAsia="en-US"/>
        </w:rPr>
        <w:lastRenderedPageBreak/>
        <w:t>Reviewing the results of the analysis.</w:t>
      </w:r>
    </w:p>
    <w:p w:rsidR="001B6DB9" w:rsidRPr="001B6DB9" w:rsidRDefault="001B6DB9" w:rsidP="001B6DB9">
      <w:pPr>
        <w:widowControl/>
        <w:numPr>
          <w:ilvl w:val="0"/>
          <w:numId w:val="18"/>
        </w:numPr>
        <w:tabs>
          <w:tab w:val="left" w:pos="449"/>
          <w:tab w:val="left" w:pos="1117"/>
          <w:tab w:val="left" w:pos="1440"/>
        </w:tabs>
        <w:adjustRightInd/>
        <w:spacing w:after="200" w:line="240" w:lineRule="auto"/>
        <w:contextualSpacing/>
        <w:jc w:val="left"/>
        <w:textAlignment w:val="auto"/>
        <w:rPr>
          <w:rFonts w:eastAsia="Calibri"/>
          <w:szCs w:val="24"/>
          <w:lang w:eastAsia="en-US"/>
        </w:rPr>
      </w:pPr>
      <w:r w:rsidRPr="001B6DB9">
        <w:rPr>
          <w:rFonts w:eastAsia="Calibri"/>
          <w:szCs w:val="24"/>
          <w:lang w:eastAsia="en-US"/>
        </w:rPr>
        <w:t xml:space="preserve">Checking and optimizing the design of the model.  </w:t>
      </w:r>
    </w:p>
    <w:p w:rsidR="001B6DB9" w:rsidRPr="001B6DB9" w:rsidRDefault="001B6DB9" w:rsidP="001B6DB9">
      <w:pPr>
        <w:widowControl/>
        <w:numPr>
          <w:ilvl w:val="0"/>
          <w:numId w:val="18"/>
        </w:numPr>
        <w:tabs>
          <w:tab w:val="left" w:pos="449"/>
          <w:tab w:val="left" w:pos="1117"/>
          <w:tab w:val="left" w:pos="1440"/>
        </w:tabs>
        <w:adjustRightInd/>
        <w:spacing w:after="200" w:line="240" w:lineRule="auto"/>
        <w:contextualSpacing/>
        <w:jc w:val="left"/>
        <w:textAlignment w:val="auto"/>
        <w:rPr>
          <w:rFonts w:eastAsia="Calibri"/>
          <w:szCs w:val="24"/>
          <w:lang w:eastAsia="en-US"/>
        </w:rPr>
      </w:pPr>
      <w:r w:rsidRPr="001B6DB9">
        <w:rPr>
          <w:rFonts w:eastAsia="Calibri"/>
          <w:szCs w:val="24"/>
          <w:lang w:eastAsia="en-US"/>
        </w:rPr>
        <w:t>Mouse over diagram shown instantaneous values.</w:t>
      </w:r>
    </w:p>
    <w:p w:rsidR="001B6DB9" w:rsidRDefault="001B6DB9" w:rsidP="001B6DB9">
      <w:pPr>
        <w:widowControl/>
        <w:tabs>
          <w:tab w:val="left" w:pos="449"/>
          <w:tab w:val="left" w:pos="1117"/>
          <w:tab w:val="left" w:pos="1440"/>
        </w:tabs>
        <w:adjustRightInd/>
        <w:spacing w:line="240" w:lineRule="auto"/>
        <w:ind w:left="360"/>
        <w:textAlignment w:val="auto"/>
        <w:rPr>
          <w:rFonts w:eastAsia="Calibri"/>
          <w:szCs w:val="24"/>
          <w:lang w:eastAsia="en-US"/>
        </w:rPr>
      </w:pPr>
      <w:r w:rsidRPr="001B6DB9">
        <w:rPr>
          <w:rFonts w:eastAsia="Calibri"/>
          <w:szCs w:val="24"/>
          <w:lang w:eastAsia="en-US"/>
        </w:rPr>
        <w:t>The results to be obtained from both programs are of different types depending on the case studi</w:t>
      </w:r>
      <w:r w:rsidR="002C2043">
        <w:rPr>
          <w:rFonts w:eastAsia="Calibri"/>
          <w:szCs w:val="24"/>
          <w:lang w:eastAsia="en-US"/>
        </w:rPr>
        <w:t>ed or the problem to be solved.</w:t>
      </w:r>
    </w:p>
    <w:p w:rsidR="002C2043" w:rsidRDefault="002C2043" w:rsidP="001B6DB9">
      <w:pPr>
        <w:widowControl/>
        <w:tabs>
          <w:tab w:val="left" w:pos="449"/>
          <w:tab w:val="left" w:pos="1117"/>
          <w:tab w:val="left" w:pos="1440"/>
        </w:tabs>
        <w:adjustRightInd/>
        <w:spacing w:line="240" w:lineRule="auto"/>
        <w:ind w:left="360"/>
        <w:textAlignment w:val="auto"/>
        <w:rPr>
          <w:rFonts w:eastAsia="Calibri"/>
          <w:szCs w:val="24"/>
          <w:lang w:eastAsia="en-US"/>
        </w:rPr>
      </w:pPr>
    </w:p>
    <w:p w:rsidR="002C2043" w:rsidRDefault="00432112" w:rsidP="001B6DB9">
      <w:pPr>
        <w:widowControl/>
        <w:tabs>
          <w:tab w:val="left" w:pos="449"/>
          <w:tab w:val="left" w:pos="1117"/>
          <w:tab w:val="left" w:pos="1440"/>
        </w:tabs>
        <w:adjustRightInd/>
        <w:spacing w:line="240" w:lineRule="auto"/>
        <w:ind w:left="360"/>
        <w:textAlignment w:val="auto"/>
        <w:rPr>
          <w:rFonts w:eastAsia="Calibri"/>
          <w:szCs w:val="24"/>
          <w:lang w:eastAsia="en-US"/>
        </w:rPr>
      </w:pPr>
      <w:r>
        <w:rPr>
          <w:rFonts w:eastAsia="Calibri"/>
          <w:noProof/>
          <w:szCs w:val="24"/>
          <w:lang w:eastAsia="sv-SE"/>
        </w:rPr>
        <w:t>I</w:t>
      </w:r>
      <w:r w:rsidR="002C2043" w:rsidRPr="001B6DB9">
        <w:rPr>
          <w:rFonts w:eastAsia="Calibri"/>
          <w:noProof/>
          <w:szCs w:val="24"/>
          <w:lang w:eastAsia="sv-SE"/>
        </w:rPr>
        <w:t>n this</w:t>
      </w:r>
      <w:r w:rsidR="002C2043" w:rsidRPr="001B6DB9">
        <w:rPr>
          <w:rFonts w:eastAsia="Calibri"/>
          <w:szCs w:val="24"/>
          <w:lang w:eastAsia="en-US"/>
        </w:rPr>
        <w:t xml:space="preserve"> study a building model was designed and the structure of the building was analyzed using SAP2000 software. The structure was of two floors of 25*60m dimensions with 3m as the height for each floor</w:t>
      </w:r>
      <w:r w:rsidR="002C2043">
        <w:rPr>
          <w:rFonts w:eastAsia="Calibri"/>
          <w:szCs w:val="24"/>
          <w:lang w:eastAsia="en-US"/>
        </w:rPr>
        <w:t>.</w:t>
      </w:r>
    </w:p>
    <w:p w:rsidR="001B6DB9" w:rsidRPr="001B6DB9" w:rsidRDefault="002C2043" w:rsidP="001B6DB9">
      <w:pPr>
        <w:widowControl/>
        <w:tabs>
          <w:tab w:val="left" w:pos="449"/>
          <w:tab w:val="left" w:pos="1117"/>
          <w:tab w:val="left" w:pos="1440"/>
        </w:tabs>
        <w:adjustRightInd/>
        <w:spacing w:after="200" w:line="276" w:lineRule="auto"/>
        <w:ind w:left="360"/>
        <w:textAlignment w:val="auto"/>
        <w:rPr>
          <w:rFonts w:eastAsia="Calibri"/>
          <w:szCs w:val="24"/>
          <w:lang w:eastAsia="en-US"/>
        </w:rPr>
      </w:pPr>
      <w:r w:rsidRPr="004B0042">
        <w:rPr>
          <w:rFonts w:eastAsia="Calibri"/>
          <w:noProof/>
          <w:szCs w:val="24"/>
          <w:lang w:val="sv-SE" w:eastAsia="sv-SE"/>
        </w:rPr>
        <w:drawing>
          <wp:anchor distT="0" distB="0" distL="114300" distR="114300" simplePos="0" relativeHeight="251677696" behindDoc="0" locked="0" layoutInCell="1" allowOverlap="1" wp14:anchorId="7024B21D" wp14:editId="4AD1E67D">
            <wp:simplePos x="0" y="0"/>
            <wp:positionH relativeFrom="column">
              <wp:posOffset>89535</wp:posOffset>
            </wp:positionH>
            <wp:positionV relativeFrom="paragraph">
              <wp:posOffset>804545</wp:posOffset>
            </wp:positionV>
            <wp:extent cx="4706620" cy="2382520"/>
            <wp:effectExtent l="19050" t="1905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6620" cy="2382520"/>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1B6DB9" w:rsidRPr="001B6DB9">
        <w:rPr>
          <w:rFonts w:eastAsia="Calibri"/>
          <w:szCs w:val="24"/>
          <w:lang w:eastAsia="en-US"/>
        </w:rPr>
        <w:t>The model was loaded with dead and live loads of 29.5 KN/m</w:t>
      </w:r>
      <w:r w:rsidR="001B6DB9" w:rsidRPr="001B6DB9">
        <w:rPr>
          <w:rFonts w:eastAsia="Calibri"/>
          <w:szCs w:val="24"/>
          <w:vertAlign w:val="superscript"/>
          <w:lang w:eastAsia="en-US"/>
        </w:rPr>
        <w:t>2</w:t>
      </w:r>
      <w:r w:rsidR="001B6DB9" w:rsidRPr="001B6DB9">
        <w:rPr>
          <w:rFonts w:eastAsia="Calibri"/>
          <w:szCs w:val="24"/>
          <w:lang w:eastAsia="en-US"/>
        </w:rPr>
        <w:t xml:space="preserve"> and 8 KN/m</w:t>
      </w:r>
      <w:r w:rsidR="001B6DB9" w:rsidRPr="001B6DB9">
        <w:rPr>
          <w:rFonts w:eastAsia="Calibri"/>
          <w:szCs w:val="24"/>
          <w:vertAlign w:val="superscript"/>
          <w:lang w:eastAsia="en-US"/>
        </w:rPr>
        <w:t>2</w:t>
      </w:r>
      <w:r w:rsidR="001B6DB9" w:rsidRPr="001B6DB9">
        <w:rPr>
          <w:rFonts w:eastAsia="Calibri"/>
          <w:szCs w:val="24"/>
          <w:lang w:eastAsia="en-US"/>
        </w:rPr>
        <w:t xml:space="preserve"> respectively.</w:t>
      </w:r>
      <w:r w:rsidR="001B6DB9" w:rsidRPr="001B6DB9">
        <w:rPr>
          <w:rFonts w:eastAsia="Calibri"/>
          <w:szCs w:val="24"/>
          <w:vertAlign w:val="superscript"/>
          <w:lang w:eastAsia="en-US"/>
        </w:rPr>
        <w:t xml:space="preserve"> </w:t>
      </w:r>
      <w:r w:rsidR="001B6DB9" w:rsidRPr="001B6DB9">
        <w:rPr>
          <w:rFonts w:eastAsia="Calibri"/>
          <w:szCs w:val="24"/>
          <w:lang w:eastAsia="en-US"/>
        </w:rPr>
        <w:t>ACI code was used in the design [24].</w:t>
      </w:r>
      <w:r w:rsidR="001B6DB9" w:rsidRPr="001B6DB9">
        <w:rPr>
          <w:rFonts w:eastAsia="Calibri"/>
          <w:szCs w:val="24"/>
          <w:vertAlign w:val="superscript"/>
          <w:lang w:eastAsia="en-US"/>
        </w:rPr>
        <w:t xml:space="preserve"> </w:t>
      </w:r>
      <w:r w:rsidR="001B6DB9" w:rsidRPr="001B6DB9">
        <w:rPr>
          <w:rFonts w:eastAsia="Calibri"/>
          <w:szCs w:val="24"/>
          <w:lang w:eastAsia="en-US"/>
        </w:rPr>
        <w:t xml:space="preserve">The model was analyzed to check the deformations for the columns and slabs (figure 9). </w:t>
      </w:r>
    </w:p>
    <w:p w:rsidR="004B0042" w:rsidRDefault="004B0042" w:rsidP="004B0042">
      <w:pPr>
        <w:widowControl/>
        <w:tabs>
          <w:tab w:val="left" w:pos="449"/>
          <w:tab w:val="left" w:pos="1117"/>
          <w:tab w:val="left" w:pos="1440"/>
        </w:tabs>
        <w:adjustRightInd/>
        <w:spacing w:after="200" w:line="276" w:lineRule="auto"/>
        <w:textAlignment w:val="auto"/>
        <w:rPr>
          <w:rFonts w:eastAsia="Calibri"/>
          <w:b/>
          <w:bCs/>
          <w:szCs w:val="24"/>
          <w:lang w:eastAsia="en-US"/>
        </w:rPr>
      </w:pPr>
      <w:r w:rsidRPr="004B0042">
        <w:rPr>
          <w:rFonts w:eastAsia="Calibri"/>
          <w:szCs w:val="24"/>
          <w:lang w:eastAsia="en-US"/>
        </w:rPr>
        <w:t xml:space="preserve">     </w:t>
      </w:r>
      <w:r w:rsidRPr="004B0042">
        <w:rPr>
          <w:rFonts w:eastAsia="Calibri"/>
          <w:b/>
          <w:bCs/>
          <w:szCs w:val="24"/>
          <w:lang w:eastAsia="en-US"/>
        </w:rPr>
        <w:t xml:space="preserve"> Figure 9: The structure of the building in SAP2000 program.</w:t>
      </w:r>
    </w:p>
    <w:p w:rsidR="004E6AEA" w:rsidRDefault="004E6AEA" w:rsidP="004B0042">
      <w:pPr>
        <w:widowControl/>
        <w:tabs>
          <w:tab w:val="left" w:pos="449"/>
          <w:tab w:val="left" w:pos="1117"/>
          <w:tab w:val="left" w:pos="1440"/>
        </w:tabs>
        <w:adjustRightInd/>
        <w:spacing w:after="200" w:line="276" w:lineRule="auto"/>
        <w:textAlignment w:val="auto"/>
        <w:rPr>
          <w:rFonts w:eastAsia="Calibri"/>
          <w:b/>
          <w:bCs/>
          <w:szCs w:val="24"/>
          <w:lang w:eastAsia="en-US"/>
        </w:rPr>
      </w:pPr>
    </w:p>
    <w:p w:rsidR="00397A3C" w:rsidRDefault="00397A3C" w:rsidP="005C1F7A">
      <w:pPr>
        <w:widowControl/>
        <w:tabs>
          <w:tab w:val="left" w:pos="0"/>
          <w:tab w:val="left" w:pos="1117"/>
          <w:tab w:val="left" w:pos="1440"/>
        </w:tabs>
        <w:adjustRightInd/>
        <w:spacing w:line="240" w:lineRule="auto"/>
        <w:textAlignment w:val="auto"/>
        <w:rPr>
          <w:rFonts w:eastAsia="Calibri"/>
          <w:szCs w:val="24"/>
          <w:lang w:eastAsia="en-US"/>
        </w:rPr>
      </w:pPr>
      <w:r w:rsidRPr="00397A3C">
        <w:rPr>
          <w:rFonts w:eastAsia="Calibri"/>
          <w:szCs w:val="24"/>
          <w:lang w:eastAsia="en-US"/>
        </w:rPr>
        <w:t>The structure model was exported to SAFE software with all loads on each column. In SAFE program, the raft foundation for the building was designed. The design parameters used were the dead load 25 KN/m</w:t>
      </w:r>
      <w:r w:rsidRPr="00397A3C">
        <w:rPr>
          <w:rFonts w:eastAsia="Calibri"/>
          <w:szCs w:val="24"/>
          <w:vertAlign w:val="superscript"/>
          <w:lang w:eastAsia="en-US"/>
        </w:rPr>
        <w:t>2</w:t>
      </w:r>
      <w:r w:rsidRPr="00397A3C">
        <w:rPr>
          <w:rFonts w:eastAsia="Calibri"/>
          <w:szCs w:val="24"/>
          <w:lang w:eastAsia="en-US"/>
        </w:rPr>
        <w:t>, as well as the live load. The load combination was used according to ACI code [24] as follows:</w:t>
      </w:r>
    </w:p>
    <w:p w:rsidR="00397A3C" w:rsidRPr="00397A3C" w:rsidRDefault="00397A3C" w:rsidP="00397A3C">
      <w:pPr>
        <w:widowControl/>
        <w:tabs>
          <w:tab w:val="left" w:pos="0"/>
          <w:tab w:val="left" w:pos="1117"/>
          <w:tab w:val="left" w:pos="1440"/>
        </w:tabs>
        <w:adjustRightInd/>
        <w:spacing w:line="240" w:lineRule="auto"/>
        <w:ind w:left="360"/>
        <w:jc w:val="center"/>
        <w:textAlignment w:val="auto"/>
        <w:rPr>
          <w:rFonts w:eastAsia="Calibri"/>
          <w:b/>
          <w:bCs/>
          <w:i/>
          <w:iCs/>
          <w:szCs w:val="24"/>
          <w:lang w:eastAsia="en-US"/>
        </w:rPr>
      </w:pPr>
      <w:r w:rsidRPr="00397A3C">
        <w:rPr>
          <w:rFonts w:eastAsia="Calibri"/>
          <w:b/>
          <w:bCs/>
          <w:i/>
          <w:iCs/>
          <w:szCs w:val="24"/>
          <w:lang w:eastAsia="en-US"/>
        </w:rPr>
        <w:t>1.2 DL + 1.6 LL</w:t>
      </w:r>
    </w:p>
    <w:p w:rsidR="00397A3C" w:rsidRPr="00397A3C" w:rsidRDefault="00397A3C" w:rsidP="00397A3C">
      <w:pPr>
        <w:widowControl/>
        <w:tabs>
          <w:tab w:val="left" w:pos="0"/>
          <w:tab w:val="left" w:pos="1117"/>
          <w:tab w:val="left" w:pos="1440"/>
        </w:tabs>
        <w:adjustRightInd/>
        <w:spacing w:line="240" w:lineRule="auto"/>
        <w:jc w:val="left"/>
        <w:textAlignment w:val="auto"/>
        <w:rPr>
          <w:rFonts w:eastAsia="Calibri"/>
          <w:szCs w:val="24"/>
          <w:lang w:eastAsia="en-US"/>
        </w:rPr>
      </w:pPr>
      <w:r w:rsidRPr="00397A3C">
        <w:rPr>
          <w:rFonts w:eastAsia="Calibri"/>
          <w:szCs w:val="24"/>
          <w:lang w:eastAsia="en-US"/>
        </w:rPr>
        <w:t>Where: DL is the dead load.</w:t>
      </w:r>
    </w:p>
    <w:p w:rsidR="00397A3C" w:rsidRPr="00397A3C" w:rsidRDefault="004D6F55" w:rsidP="00397A3C">
      <w:pPr>
        <w:widowControl/>
        <w:tabs>
          <w:tab w:val="left" w:pos="0"/>
          <w:tab w:val="left" w:pos="1117"/>
          <w:tab w:val="left" w:pos="1440"/>
        </w:tabs>
        <w:adjustRightInd/>
        <w:spacing w:line="240" w:lineRule="auto"/>
        <w:ind w:left="357"/>
        <w:jc w:val="left"/>
        <w:textAlignment w:val="auto"/>
        <w:rPr>
          <w:rFonts w:eastAsia="Calibri"/>
          <w:szCs w:val="24"/>
          <w:lang w:eastAsia="en-US"/>
        </w:rPr>
      </w:pPr>
      <w:r>
        <w:rPr>
          <w:rFonts w:eastAsia="Calibri"/>
          <w:szCs w:val="24"/>
          <w:lang w:eastAsia="en-US"/>
        </w:rPr>
        <w:t xml:space="preserve">    </w:t>
      </w:r>
      <w:r w:rsidR="00397A3C" w:rsidRPr="00397A3C">
        <w:rPr>
          <w:rFonts w:eastAsia="Calibri"/>
          <w:szCs w:val="24"/>
          <w:lang w:eastAsia="en-US"/>
        </w:rPr>
        <w:t>LL is the live load.</w:t>
      </w:r>
    </w:p>
    <w:p w:rsidR="00397A3C" w:rsidRPr="00397A3C" w:rsidRDefault="00397A3C" w:rsidP="00901ACD">
      <w:pPr>
        <w:widowControl/>
        <w:tabs>
          <w:tab w:val="left" w:pos="0"/>
          <w:tab w:val="left" w:pos="1117"/>
          <w:tab w:val="left" w:pos="1440"/>
        </w:tabs>
        <w:adjustRightInd/>
        <w:spacing w:after="80" w:line="240" w:lineRule="auto"/>
        <w:textAlignment w:val="auto"/>
        <w:rPr>
          <w:rFonts w:eastAsia="Calibri"/>
          <w:szCs w:val="24"/>
          <w:lang w:eastAsia="en-US"/>
        </w:rPr>
      </w:pPr>
      <w:r w:rsidRPr="00397A3C">
        <w:rPr>
          <w:rFonts w:eastAsia="Calibri"/>
          <w:szCs w:val="24"/>
          <w:lang w:eastAsia="en-US"/>
        </w:rPr>
        <w:t>The building model was applied in the three regions (Mosul, Baghdad, and Basrah). The calculated bearing capacity (in section 2.3) for each location was used twice</w:t>
      </w:r>
      <w:r w:rsidR="006953B1">
        <w:rPr>
          <w:rFonts w:eastAsia="Calibri"/>
          <w:szCs w:val="24"/>
          <w:lang w:eastAsia="en-US"/>
        </w:rPr>
        <w:t>. The</w:t>
      </w:r>
      <w:r w:rsidR="005C1F7A">
        <w:rPr>
          <w:rFonts w:eastAsia="Calibri"/>
          <w:szCs w:val="24"/>
          <w:lang w:eastAsia="en-US"/>
        </w:rPr>
        <w:t xml:space="preserve"> first using the</w:t>
      </w:r>
      <w:r w:rsidRPr="00397A3C">
        <w:rPr>
          <w:rFonts w:eastAsia="Calibri"/>
          <w:szCs w:val="24"/>
          <w:lang w:eastAsia="en-US"/>
        </w:rPr>
        <w:t xml:space="preserve"> average value and then the worst value</w:t>
      </w:r>
      <w:r w:rsidR="005C1F7A">
        <w:rPr>
          <w:rFonts w:eastAsia="Calibri"/>
          <w:szCs w:val="24"/>
          <w:lang w:eastAsia="en-US"/>
        </w:rPr>
        <w:t>s</w:t>
      </w:r>
      <w:r w:rsidRPr="00397A3C">
        <w:rPr>
          <w:rFonts w:eastAsia="Calibri"/>
          <w:szCs w:val="24"/>
          <w:lang w:eastAsia="en-US"/>
        </w:rPr>
        <w:t xml:space="preserve">. The results obtained from the program were illustrated in figures 10 </w:t>
      </w:r>
      <w:r w:rsidR="006953B1">
        <w:rPr>
          <w:rFonts w:eastAsia="Calibri"/>
          <w:szCs w:val="24"/>
          <w:lang w:eastAsia="en-US"/>
        </w:rPr>
        <w:t>to</w:t>
      </w:r>
      <w:r w:rsidRPr="00397A3C">
        <w:rPr>
          <w:rFonts w:eastAsia="Calibri"/>
          <w:szCs w:val="24"/>
          <w:lang w:eastAsia="en-US"/>
        </w:rPr>
        <w:t xml:space="preserve"> 15.</w:t>
      </w:r>
    </w:p>
    <w:p w:rsidR="00397A3C" w:rsidRDefault="00397A3C" w:rsidP="00397A3C">
      <w:pPr>
        <w:widowControl/>
        <w:tabs>
          <w:tab w:val="left" w:pos="0"/>
          <w:tab w:val="left" w:pos="1117"/>
          <w:tab w:val="left" w:pos="1440"/>
        </w:tabs>
        <w:adjustRightInd/>
        <w:spacing w:after="80" w:line="240" w:lineRule="auto"/>
        <w:textAlignment w:val="auto"/>
        <w:rPr>
          <w:rFonts w:eastAsia="Calibri"/>
          <w:szCs w:val="24"/>
          <w:lang w:eastAsia="en-US"/>
        </w:rPr>
      </w:pPr>
      <w:r w:rsidRPr="00397A3C">
        <w:rPr>
          <w:rFonts w:eastAsia="Calibri"/>
          <w:szCs w:val="24"/>
          <w:lang w:eastAsia="en-US"/>
        </w:rPr>
        <w:lastRenderedPageBreak/>
        <w:t>The results of the average bearing capacity value</w:t>
      </w:r>
      <w:r w:rsidR="00901ACD">
        <w:rPr>
          <w:rFonts w:eastAsia="Calibri"/>
          <w:szCs w:val="24"/>
          <w:lang w:eastAsia="en-US"/>
        </w:rPr>
        <w:t>s</w:t>
      </w:r>
      <w:r w:rsidRPr="00397A3C">
        <w:rPr>
          <w:rFonts w:eastAsia="Calibri"/>
          <w:szCs w:val="24"/>
          <w:lang w:eastAsia="en-US"/>
        </w:rPr>
        <w:t xml:space="preserve"> for Mosul are shown in figure 10. It indicates that the base pressure under the foundation ranges from 70 to110 KN/m</w:t>
      </w:r>
      <w:r w:rsidRPr="00397A3C">
        <w:rPr>
          <w:rFonts w:eastAsia="Calibri"/>
          <w:szCs w:val="24"/>
          <w:vertAlign w:val="superscript"/>
          <w:lang w:eastAsia="en-US"/>
        </w:rPr>
        <w:t>2</w:t>
      </w:r>
      <w:r w:rsidRPr="00397A3C">
        <w:rPr>
          <w:rFonts w:eastAsia="Calibri"/>
          <w:szCs w:val="24"/>
          <w:lang w:eastAsia="en-US"/>
        </w:rPr>
        <w:t xml:space="preserve">. These values were less than the calculated value </w:t>
      </w:r>
      <w:r w:rsidR="00901ACD">
        <w:rPr>
          <w:rFonts w:eastAsia="Calibri"/>
          <w:szCs w:val="24"/>
          <w:lang w:eastAsia="en-US"/>
        </w:rPr>
        <w:t>(</w:t>
      </w:r>
      <w:r w:rsidRPr="00397A3C">
        <w:rPr>
          <w:rFonts w:eastAsia="Calibri"/>
          <w:szCs w:val="24"/>
          <w:lang w:eastAsia="en-US"/>
        </w:rPr>
        <w:t>177KN/m</w:t>
      </w:r>
      <w:r w:rsidRPr="00397A3C">
        <w:rPr>
          <w:rFonts w:eastAsia="Calibri"/>
          <w:szCs w:val="24"/>
          <w:vertAlign w:val="superscript"/>
          <w:lang w:eastAsia="en-US"/>
        </w:rPr>
        <w:t>2</w:t>
      </w:r>
      <w:r w:rsidR="00901ACD">
        <w:rPr>
          <w:rFonts w:eastAsia="Calibri"/>
          <w:szCs w:val="24"/>
          <w:lang w:eastAsia="en-US"/>
        </w:rPr>
        <w:t>)</w:t>
      </w:r>
      <w:r w:rsidRPr="00397A3C">
        <w:rPr>
          <w:rFonts w:eastAsia="Calibri"/>
          <w:szCs w:val="24"/>
          <w:lang w:eastAsia="en-US"/>
        </w:rPr>
        <w:t>.</w:t>
      </w:r>
    </w:p>
    <w:p w:rsidR="004E6AEA" w:rsidRDefault="004E6AEA" w:rsidP="00397A3C">
      <w:pPr>
        <w:widowControl/>
        <w:tabs>
          <w:tab w:val="left" w:pos="0"/>
          <w:tab w:val="left" w:pos="1117"/>
          <w:tab w:val="left" w:pos="1440"/>
        </w:tabs>
        <w:adjustRightInd/>
        <w:spacing w:after="80" w:line="240" w:lineRule="auto"/>
        <w:textAlignment w:val="auto"/>
        <w:rPr>
          <w:rFonts w:eastAsia="Calibri"/>
          <w:szCs w:val="24"/>
          <w:lang w:eastAsia="en-US"/>
        </w:rPr>
      </w:pPr>
    </w:p>
    <w:p w:rsidR="004E6AEA" w:rsidRDefault="00114E47" w:rsidP="00397A3C">
      <w:pPr>
        <w:widowControl/>
        <w:tabs>
          <w:tab w:val="left" w:pos="0"/>
          <w:tab w:val="left" w:pos="1117"/>
          <w:tab w:val="left" w:pos="1440"/>
        </w:tabs>
        <w:adjustRightInd/>
        <w:spacing w:after="80" w:line="240" w:lineRule="auto"/>
        <w:textAlignment w:val="auto"/>
        <w:rPr>
          <w:rFonts w:eastAsia="Calibri"/>
          <w:szCs w:val="24"/>
          <w:lang w:eastAsia="en-US"/>
        </w:rPr>
      </w:pPr>
      <w:r w:rsidRPr="00397A3C">
        <w:rPr>
          <w:rFonts w:ascii="Calibri" w:eastAsia="Calibri" w:hAnsi="Calibri" w:cs="Arial"/>
          <w:noProof/>
          <w:sz w:val="22"/>
          <w:szCs w:val="22"/>
          <w:lang w:val="sv-SE" w:eastAsia="sv-SE"/>
        </w:rPr>
        <w:drawing>
          <wp:anchor distT="0" distB="0" distL="114300" distR="114300" simplePos="0" relativeHeight="251679744" behindDoc="0" locked="0" layoutInCell="1" allowOverlap="1" wp14:anchorId="638D34D9" wp14:editId="3B315002">
            <wp:simplePos x="0" y="0"/>
            <wp:positionH relativeFrom="column">
              <wp:posOffset>289560</wp:posOffset>
            </wp:positionH>
            <wp:positionV relativeFrom="paragraph">
              <wp:posOffset>356235</wp:posOffset>
            </wp:positionV>
            <wp:extent cx="4127500" cy="2153285"/>
            <wp:effectExtent l="19050" t="19050" r="25400" b="184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127500" cy="2153285"/>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p>
    <w:p w:rsidR="004E6AEA" w:rsidRPr="00397A3C" w:rsidRDefault="004E6AEA" w:rsidP="00397A3C">
      <w:pPr>
        <w:widowControl/>
        <w:tabs>
          <w:tab w:val="left" w:pos="0"/>
          <w:tab w:val="left" w:pos="1117"/>
          <w:tab w:val="left" w:pos="1440"/>
        </w:tabs>
        <w:adjustRightInd/>
        <w:spacing w:after="80" w:line="240" w:lineRule="auto"/>
        <w:textAlignment w:val="auto"/>
        <w:rPr>
          <w:rFonts w:eastAsia="Calibri"/>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271A37" w:rsidRDefault="00397A3C" w:rsidP="006953B1">
      <w:pPr>
        <w:widowControl/>
        <w:autoSpaceDE w:val="0"/>
        <w:autoSpaceDN w:val="0"/>
        <w:spacing w:line="240" w:lineRule="auto"/>
        <w:jc w:val="center"/>
        <w:textAlignment w:val="bottom"/>
        <w:rPr>
          <w:rFonts w:eastAsia="Calibri"/>
          <w:b/>
          <w:bCs/>
          <w:szCs w:val="24"/>
          <w:lang w:eastAsia="en-US"/>
        </w:rPr>
      </w:pPr>
      <w:r w:rsidRPr="00397A3C">
        <w:rPr>
          <w:rFonts w:eastAsia="Calibri"/>
          <w:b/>
          <w:bCs/>
          <w:szCs w:val="24"/>
          <w:lang w:eastAsia="en-US"/>
        </w:rPr>
        <w:t>Figure 10: Average bearing capacity obtained distribution of base pressure for Mosul</w:t>
      </w:r>
      <w:r w:rsidR="00271A37">
        <w:rPr>
          <w:rFonts w:eastAsia="Calibri"/>
          <w:b/>
          <w:bCs/>
          <w:szCs w:val="24"/>
          <w:lang w:eastAsia="en-US"/>
        </w:rPr>
        <w:t>.</w:t>
      </w:r>
    </w:p>
    <w:p w:rsidR="00114E47" w:rsidRDefault="00114E47" w:rsidP="006953B1">
      <w:pPr>
        <w:widowControl/>
        <w:autoSpaceDE w:val="0"/>
        <w:autoSpaceDN w:val="0"/>
        <w:spacing w:line="240" w:lineRule="auto"/>
        <w:jc w:val="center"/>
        <w:textAlignment w:val="bottom"/>
        <w:rPr>
          <w:b/>
          <w:color w:val="000000"/>
          <w:sz w:val="30"/>
          <w:szCs w:val="30"/>
        </w:rPr>
      </w:pPr>
    </w:p>
    <w:p w:rsidR="004E6AEA" w:rsidRDefault="00E0580C" w:rsidP="00242E0D">
      <w:pPr>
        <w:widowControl/>
        <w:autoSpaceDE w:val="0"/>
        <w:autoSpaceDN w:val="0"/>
        <w:spacing w:line="240" w:lineRule="auto"/>
        <w:textAlignment w:val="bottom"/>
        <w:rPr>
          <w:rFonts w:eastAsia="Calibri"/>
          <w:szCs w:val="24"/>
          <w:lang w:eastAsia="en-US"/>
        </w:rPr>
      </w:pPr>
      <w:r>
        <w:rPr>
          <w:noProof/>
          <w:lang w:val="sv-SE" w:eastAsia="sv-SE"/>
        </w:rPr>
        <w:drawing>
          <wp:anchor distT="0" distB="0" distL="114300" distR="114300" simplePos="0" relativeHeight="251695104" behindDoc="0" locked="0" layoutInCell="1" allowOverlap="1" wp14:anchorId="5731373D" wp14:editId="16210417">
            <wp:simplePos x="0" y="0"/>
            <wp:positionH relativeFrom="column">
              <wp:posOffset>160655</wp:posOffset>
            </wp:positionH>
            <wp:positionV relativeFrom="paragraph">
              <wp:posOffset>708660</wp:posOffset>
            </wp:positionV>
            <wp:extent cx="4391660" cy="2058035"/>
            <wp:effectExtent l="19050" t="19050" r="27940" b="184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1660" cy="205803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397A3C" w:rsidRPr="00397A3C">
        <w:rPr>
          <w:rFonts w:eastAsia="Calibri"/>
          <w:szCs w:val="24"/>
          <w:lang w:eastAsia="en-US"/>
        </w:rPr>
        <w:t>The worst value of bearing capacity used for Mosul region is shown in figure 11. The range of base pressure under the foundation was from 70 to 95KN/m</w:t>
      </w:r>
      <w:r w:rsidR="00397A3C" w:rsidRPr="00397A3C">
        <w:rPr>
          <w:rFonts w:eastAsia="Calibri"/>
          <w:szCs w:val="24"/>
          <w:vertAlign w:val="superscript"/>
          <w:lang w:eastAsia="en-US"/>
        </w:rPr>
        <w:t>2</w:t>
      </w:r>
      <w:r w:rsidR="00397A3C" w:rsidRPr="00397A3C">
        <w:rPr>
          <w:rFonts w:eastAsia="Calibri"/>
          <w:szCs w:val="24"/>
          <w:lang w:eastAsia="en-US"/>
        </w:rPr>
        <w:t>. These values were close to the calculated value.</w:t>
      </w:r>
    </w:p>
    <w:p w:rsidR="00114E47" w:rsidRDefault="00114E47" w:rsidP="00242E0D">
      <w:pPr>
        <w:widowControl/>
        <w:autoSpaceDE w:val="0"/>
        <w:autoSpaceDN w:val="0"/>
        <w:spacing w:line="240" w:lineRule="auto"/>
        <w:textAlignment w:val="bottom"/>
        <w:rPr>
          <w:rFonts w:eastAsia="Calibri"/>
          <w:szCs w:val="24"/>
          <w:lang w:eastAsia="en-US"/>
        </w:rPr>
      </w:pPr>
    </w:p>
    <w:p w:rsidR="004E6AEA" w:rsidRDefault="004E6AEA" w:rsidP="00271A37">
      <w:pPr>
        <w:widowControl/>
        <w:autoSpaceDE w:val="0"/>
        <w:autoSpaceDN w:val="0"/>
        <w:spacing w:line="240" w:lineRule="auto"/>
        <w:textAlignment w:val="bottom"/>
        <w:rPr>
          <w:rFonts w:eastAsia="Calibri"/>
          <w:szCs w:val="24"/>
          <w:lang w:eastAsia="en-US"/>
        </w:rPr>
      </w:pPr>
    </w:p>
    <w:p w:rsidR="00114E47" w:rsidRDefault="00114E4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14E47" w:rsidRDefault="00114E4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14E47" w:rsidRDefault="00114E4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14E47" w:rsidRDefault="00114E4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14E47" w:rsidRDefault="00114E4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14E47" w:rsidRDefault="00114E4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14E47" w:rsidRDefault="00114E4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271A37" w:rsidRDefault="00271A37"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r w:rsidRPr="00271A37">
        <w:rPr>
          <w:rFonts w:eastAsia="Calibri"/>
          <w:b/>
          <w:bCs/>
          <w:szCs w:val="24"/>
          <w:lang w:eastAsia="en-US"/>
        </w:rPr>
        <w:t>Figure 11:</w:t>
      </w:r>
      <w:r w:rsidRPr="00271A37">
        <w:rPr>
          <w:rFonts w:eastAsia="Calibri"/>
          <w:szCs w:val="24"/>
          <w:lang w:eastAsia="en-US"/>
        </w:rPr>
        <w:t xml:space="preserve"> </w:t>
      </w:r>
      <w:r w:rsidRPr="00271A37">
        <w:rPr>
          <w:rFonts w:eastAsia="Calibri"/>
          <w:b/>
          <w:bCs/>
          <w:szCs w:val="24"/>
          <w:lang w:eastAsia="en-US"/>
        </w:rPr>
        <w:t>Worst bearing capacity obtained distribution of base pressure for Mosul.</w:t>
      </w:r>
    </w:p>
    <w:p w:rsidR="00974D5B" w:rsidRPr="00974D5B" w:rsidRDefault="00974D5B" w:rsidP="00901ACD">
      <w:pPr>
        <w:widowControl/>
        <w:tabs>
          <w:tab w:val="left" w:pos="0"/>
          <w:tab w:val="left" w:pos="1117"/>
          <w:tab w:val="left" w:pos="1440"/>
        </w:tabs>
        <w:adjustRightInd/>
        <w:spacing w:after="200" w:line="276" w:lineRule="auto"/>
        <w:ind w:left="360"/>
        <w:textAlignment w:val="auto"/>
        <w:rPr>
          <w:rFonts w:eastAsia="Calibri"/>
          <w:szCs w:val="24"/>
          <w:lang w:eastAsia="en-US"/>
        </w:rPr>
      </w:pPr>
      <w:r w:rsidRPr="00974D5B">
        <w:rPr>
          <w:rFonts w:eastAsia="Calibri"/>
          <w:szCs w:val="24"/>
          <w:lang w:eastAsia="en-US"/>
        </w:rPr>
        <w:lastRenderedPageBreak/>
        <w:t>Figures 12</w:t>
      </w:r>
      <w:r w:rsidR="006953B1">
        <w:rPr>
          <w:rFonts w:eastAsia="Calibri"/>
          <w:szCs w:val="24"/>
          <w:lang w:eastAsia="en-US"/>
        </w:rPr>
        <w:t xml:space="preserve"> </w:t>
      </w:r>
      <w:r w:rsidRPr="00974D5B">
        <w:rPr>
          <w:rFonts w:eastAsia="Calibri"/>
          <w:szCs w:val="24"/>
          <w:lang w:eastAsia="en-US"/>
        </w:rPr>
        <w:t xml:space="preserve">and 13 show the distribution of base pressure under </w:t>
      </w:r>
      <w:r w:rsidR="006953B1">
        <w:rPr>
          <w:rFonts w:eastAsia="Calibri"/>
          <w:szCs w:val="24"/>
          <w:lang w:eastAsia="en-US"/>
        </w:rPr>
        <w:t xml:space="preserve">the </w:t>
      </w:r>
      <w:r w:rsidRPr="00974D5B">
        <w:rPr>
          <w:rFonts w:eastAsia="Calibri"/>
          <w:szCs w:val="24"/>
          <w:lang w:eastAsia="en-US"/>
        </w:rPr>
        <w:t>foundation using the average (125KN/m</w:t>
      </w:r>
      <w:r w:rsidRPr="00974D5B">
        <w:rPr>
          <w:rFonts w:eastAsia="Calibri"/>
          <w:szCs w:val="24"/>
          <w:vertAlign w:val="superscript"/>
          <w:lang w:eastAsia="en-US"/>
        </w:rPr>
        <w:t>2</w:t>
      </w:r>
      <w:r w:rsidRPr="00974D5B">
        <w:rPr>
          <w:rFonts w:eastAsia="Calibri"/>
          <w:szCs w:val="24"/>
          <w:lang w:eastAsia="en-US"/>
        </w:rPr>
        <w:t>) and worst (68 KN/m</w:t>
      </w:r>
      <w:r w:rsidRPr="00974D5B">
        <w:rPr>
          <w:rFonts w:eastAsia="Calibri"/>
          <w:szCs w:val="24"/>
          <w:vertAlign w:val="superscript"/>
          <w:lang w:eastAsia="en-US"/>
        </w:rPr>
        <w:t>2</w:t>
      </w:r>
      <w:r w:rsidRPr="00974D5B">
        <w:rPr>
          <w:rFonts w:eastAsia="Calibri"/>
          <w:szCs w:val="24"/>
          <w:lang w:eastAsia="en-US"/>
        </w:rPr>
        <w:t>) values of calculated bearing capacity for Baghdad region. The range of base pressure under foundation was 70-100 KN/m</w:t>
      </w:r>
      <w:r w:rsidRPr="00974D5B">
        <w:rPr>
          <w:rFonts w:eastAsia="Calibri"/>
          <w:szCs w:val="24"/>
          <w:vertAlign w:val="superscript"/>
          <w:lang w:eastAsia="en-US"/>
        </w:rPr>
        <w:t>2</w:t>
      </w:r>
      <w:r w:rsidRPr="00974D5B">
        <w:rPr>
          <w:rFonts w:eastAsia="Calibri"/>
          <w:szCs w:val="24"/>
          <w:lang w:eastAsia="en-US"/>
        </w:rPr>
        <w:t xml:space="preserve"> for average value, and between 65-96 KN/m</w:t>
      </w:r>
      <w:r w:rsidRPr="00974D5B">
        <w:rPr>
          <w:rFonts w:eastAsia="Calibri"/>
          <w:szCs w:val="24"/>
          <w:vertAlign w:val="superscript"/>
          <w:lang w:eastAsia="en-US"/>
        </w:rPr>
        <w:t xml:space="preserve">2 </w:t>
      </w:r>
      <w:r w:rsidRPr="00974D5B">
        <w:rPr>
          <w:rFonts w:eastAsia="Calibri"/>
          <w:szCs w:val="24"/>
          <w:lang w:eastAsia="en-US"/>
        </w:rPr>
        <w:t>for worst value. In both cases, the base pressure was less than or within the calculated value of bearing capacity.</w:t>
      </w:r>
    </w:p>
    <w:p w:rsidR="00CB63AE" w:rsidRPr="00271A37" w:rsidRDefault="00114E47" w:rsidP="00CB63AE">
      <w:pPr>
        <w:widowControl/>
        <w:tabs>
          <w:tab w:val="left" w:pos="0"/>
          <w:tab w:val="left" w:pos="1117"/>
          <w:tab w:val="left" w:pos="1440"/>
        </w:tabs>
        <w:adjustRightInd/>
        <w:spacing w:after="200" w:line="276" w:lineRule="auto"/>
        <w:jc w:val="left"/>
        <w:textAlignment w:val="auto"/>
        <w:rPr>
          <w:rFonts w:eastAsia="Calibri"/>
          <w:b/>
          <w:bCs/>
          <w:szCs w:val="24"/>
          <w:lang w:eastAsia="en-US"/>
        </w:rPr>
      </w:pPr>
      <w:r w:rsidRPr="00974D5B">
        <w:rPr>
          <w:rFonts w:ascii="Calibri" w:eastAsia="Calibri" w:hAnsi="Calibri" w:cs="Arial"/>
          <w:noProof/>
          <w:sz w:val="22"/>
          <w:szCs w:val="22"/>
          <w:lang w:val="sv-SE" w:eastAsia="sv-SE"/>
        </w:rPr>
        <w:drawing>
          <wp:anchor distT="0" distB="0" distL="114300" distR="114300" simplePos="0" relativeHeight="251683840" behindDoc="0" locked="0" layoutInCell="1" allowOverlap="1" wp14:anchorId="36264A9D" wp14:editId="7609463E">
            <wp:simplePos x="0" y="0"/>
            <wp:positionH relativeFrom="column">
              <wp:posOffset>501650</wp:posOffset>
            </wp:positionH>
            <wp:positionV relativeFrom="paragraph">
              <wp:posOffset>146050</wp:posOffset>
            </wp:positionV>
            <wp:extent cx="4164330" cy="2240915"/>
            <wp:effectExtent l="19050" t="19050" r="26670" b="260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64330" cy="2240915"/>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p>
    <w:p w:rsidR="001B6DB9" w:rsidRDefault="001B6DB9"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242E0D" w:rsidRDefault="00242E0D" w:rsidP="004E6AEA">
      <w:pPr>
        <w:widowControl/>
        <w:autoSpaceDE w:val="0"/>
        <w:autoSpaceDN w:val="0"/>
        <w:spacing w:line="240" w:lineRule="auto"/>
        <w:textAlignment w:val="bottom"/>
        <w:rPr>
          <w:b/>
          <w:color w:val="000000"/>
          <w:sz w:val="30"/>
          <w:szCs w:val="30"/>
        </w:rPr>
      </w:pPr>
    </w:p>
    <w:p w:rsidR="00417533" w:rsidRPr="00417533" w:rsidRDefault="00242E0D" w:rsidP="006953B1">
      <w:pPr>
        <w:widowControl/>
        <w:tabs>
          <w:tab w:val="left" w:pos="0"/>
          <w:tab w:val="left" w:pos="1117"/>
          <w:tab w:val="left" w:pos="1440"/>
        </w:tabs>
        <w:adjustRightInd/>
        <w:spacing w:after="200" w:line="276" w:lineRule="auto"/>
        <w:ind w:left="360"/>
        <w:jc w:val="center"/>
        <w:textAlignment w:val="auto"/>
        <w:rPr>
          <w:rFonts w:eastAsia="Calibri"/>
          <w:szCs w:val="24"/>
          <w:lang w:eastAsia="en-US"/>
        </w:rPr>
      </w:pPr>
      <w:r w:rsidRPr="00A35AD4">
        <w:rPr>
          <w:rFonts w:ascii="Calibri" w:eastAsia="Calibri" w:hAnsi="Calibri" w:cs="Arial"/>
          <w:noProof/>
          <w:sz w:val="22"/>
          <w:szCs w:val="22"/>
          <w:lang w:val="sv-SE" w:eastAsia="sv-SE"/>
        </w:rPr>
        <w:drawing>
          <wp:anchor distT="0" distB="0" distL="114300" distR="114300" simplePos="0" relativeHeight="251685888" behindDoc="0" locked="0" layoutInCell="1" allowOverlap="1" wp14:anchorId="40F4351D" wp14:editId="73A65E64">
            <wp:simplePos x="0" y="0"/>
            <wp:positionH relativeFrom="column">
              <wp:posOffset>308610</wp:posOffset>
            </wp:positionH>
            <wp:positionV relativeFrom="paragraph">
              <wp:posOffset>600710</wp:posOffset>
            </wp:positionV>
            <wp:extent cx="4159250" cy="2261235"/>
            <wp:effectExtent l="19050" t="19050" r="12700" b="247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59250" cy="2261235"/>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417533" w:rsidRPr="00417533">
        <w:rPr>
          <w:rFonts w:eastAsia="Calibri"/>
          <w:b/>
          <w:bCs/>
          <w:szCs w:val="24"/>
          <w:lang w:eastAsia="en-US"/>
        </w:rPr>
        <w:t>Figure 12:</w:t>
      </w:r>
      <w:r w:rsidR="00417533" w:rsidRPr="00417533">
        <w:rPr>
          <w:rFonts w:eastAsia="Calibri"/>
          <w:szCs w:val="24"/>
          <w:lang w:eastAsia="en-US"/>
        </w:rPr>
        <w:t xml:space="preserve"> </w:t>
      </w:r>
      <w:r w:rsidR="00417533" w:rsidRPr="00417533">
        <w:rPr>
          <w:rFonts w:eastAsia="Calibri"/>
          <w:b/>
          <w:bCs/>
          <w:szCs w:val="24"/>
          <w:lang w:eastAsia="en-US"/>
        </w:rPr>
        <w:t>Average bearing capacity obtained distribution of base pressure for Baghdad.</w:t>
      </w: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14E47" w:rsidRDefault="00114E47" w:rsidP="006953B1">
      <w:pPr>
        <w:widowControl/>
        <w:autoSpaceDE w:val="0"/>
        <w:autoSpaceDN w:val="0"/>
        <w:spacing w:line="240" w:lineRule="auto"/>
        <w:jc w:val="center"/>
        <w:textAlignment w:val="bottom"/>
        <w:rPr>
          <w:rFonts w:eastAsia="Calibri"/>
          <w:b/>
          <w:bCs/>
          <w:szCs w:val="24"/>
          <w:lang w:eastAsia="en-US"/>
        </w:rPr>
      </w:pPr>
    </w:p>
    <w:p w:rsidR="001B6DB9" w:rsidRDefault="00A35AD4" w:rsidP="006953B1">
      <w:pPr>
        <w:widowControl/>
        <w:autoSpaceDE w:val="0"/>
        <w:autoSpaceDN w:val="0"/>
        <w:spacing w:line="240" w:lineRule="auto"/>
        <w:jc w:val="center"/>
        <w:textAlignment w:val="bottom"/>
        <w:rPr>
          <w:b/>
          <w:color w:val="000000"/>
          <w:sz w:val="30"/>
          <w:szCs w:val="30"/>
        </w:rPr>
      </w:pPr>
      <w:r w:rsidRPr="00A35AD4">
        <w:rPr>
          <w:rFonts w:eastAsia="Calibri"/>
          <w:b/>
          <w:bCs/>
          <w:szCs w:val="24"/>
          <w:lang w:eastAsia="en-US"/>
        </w:rPr>
        <w:t>Figure 13: Worst bearing capacity obtained distribution of base pressure for Baghdad</w:t>
      </w:r>
      <w:r>
        <w:rPr>
          <w:rFonts w:eastAsia="Calibri"/>
          <w:b/>
          <w:bCs/>
          <w:szCs w:val="24"/>
          <w:lang w:eastAsia="en-US"/>
        </w:rPr>
        <w:t>.</w:t>
      </w:r>
      <w:r w:rsidRPr="00A35AD4">
        <w:rPr>
          <w:rFonts w:ascii="Calibri" w:eastAsia="Calibri" w:hAnsi="Calibri" w:cs="Arial"/>
          <w:noProof/>
          <w:sz w:val="22"/>
          <w:szCs w:val="22"/>
          <w:lang w:eastAsia="sv-SE"/>
        </w:rPr>
        <w:t xml:space="preserve"> </w:t>
      </w:r>
    </w:p>
    <w:p w:rsidR="001B6DB9" w:rsidRDefault="001B6DB9">
      <w:pPr>
        <w:widowControl/>
        <w:autoSpaceDE w:val="0"/>
        <w:autoSpaceDN w:val="0"/>
        <w:spacing w:line="240" w:lineRule="auto"/>
        <w:textAlignment w:val="bottom"/>
        <w:rPr>
          <w:b/>
          <w:color w:val="000000"/>
          <w:sz w:val="30"/>
          <w:szCs w:val="30"/>
        </w:rPr>
      </w:pPr>
    </w:p>
    <w:p w:rsidR="00496D93" w:rsidRDefault="00496D93" w:rsidP="00404FCA">
      <w:pPr>
        <w:widowControl/>
        <w:tabs>
          <w:tab w:val="left" w:pos="0"/>
          <w:tab w:val="left" w:pos="1117"/>
          <w:tab w:val="left" w:pos="1440"/>
        </w:tabs>
        <w:adjustRightInd/>
        <w:spacing w:after="200" w:line="276" w:lineRule="auto"/>
        <w:textAlignment w:val="auto"/>
        <w:rPr>
          <w:rFonts w:eastAsia="Calibri"/>
          <w:szCs w:val="24"/>
          <w:lang w:eastAsia="en-US"/>
        </w:rPr>
      </w:pPr>
      <w:r w:rsidRPr="00496D93">
        <w:rPr>
          <w:rFonts w:eastAsia="Calibri"/>
          <w:szCs w:val="24"/>
          <w:lang w:eastAsia="en-US"/>
        </w:rPr>
        <w:lastRenderedPageBreak/>
        <w:t xml:space="preserve"> For Basrah region, figure 14 shows</w:t>
      </w:r>
      <w:r w:rsidR="00901ACD">
        <w:rPr>
          <w:rFonts w:eastAsia="Calibri"/>
          <w:szCs w:val="24"/>
          <w:lang w:eastAsia="en-US"/>
        </w:rPr>
        <w:t xml:space="preserve"> that</w:t>
      </w:r>
      <w:r w:rsidRPr="00496D93">
        <w:rPr>
          <w:rFonts w:eastAsia="Calibri"/>
          <w:szCs w:val="24"/>
          <w:lang w:eastAsia="en-US"/>
        </w:rPr>
        <w:t xml:space="preserve"> the base pressure distribution for average value of calculated bearing capacity was 84 KN/m</w:t>
      </w:r>
      <w:r w:rsidRPr="00496D93">
        <w:rPr>
          <w:rFonts w:eastAsia="Calibri"/>
          <w:szCs w:val="24"/>
          <w:vertAlign w:val="superscript"/>
          <w:lang w:eastAsia="en-US"/>
        </w:rPr>
        <w:t>2</w:t>
      </w:r>
      <w:r w:rsidRPr="00496D93">
        <w:rPr>
          <w:rFonts w:eastAsia="Calibri"/>
          <w:szCs w:val="24"/>
          <w:lang w:eastAsia="en-US"/>
        </w:rPr>
        <w:t>. The range for the base pressure under foundation was 70-95 KN/m</w:t>
      </w:r>
      <w:r w:rsidRPr="00496D93">
        <w:rPr>
          <w:rFonts w:eastAsia="Calibri"/>
          <w:szCs w:val="24"/>
          <w:vertAlign w:val="superscript"/>
          <w:lang w:eastAsia="en-US"/>
        </w:rPr>
        <w:t>2</w:t>
      </w:r>
      <w:r w:rsidRPr="00496D93">
        <w:rPr>
          <w:rFonts w:eastAsia="Calibri"/>
          <w:szCs w:val="24"/>
          <w:lang w:eastAsia="en-US"/>
        </w:rPr>
        <w:t>, which is close to the calcula</w:t>
      </w:r>
      <w:r w:rsidR="004E6AEA">
        <w:rPr>
          <w:rFonts w:eastAsia="Calibri"/>
          <w:szCs w:val="24"/>
          <w:lang w:eastAsia="en-US"/>
        </w:rPr>
        <w:t xml:space="preserve">ted value of bearing capacity. </w:t>
      </w:r>
    </w:p>
    <w:p w:rsidR="00C9580F" w:rsidRDefault="00C9580F" w:rsidP="00C9580F">
      <w:pPr>
        <w:widowControl/>
        <w:autoSpaceDE w:val="0"/>
        <w:autoSpaceDN w:val="0"/>
        <w:spacing w:line="240" w:lineRule="auto"/>
        <w:textAlignment w:val="bottom"/>
        <w:rPr>
          <w:b/>
          <w:color w:val="000000"/>
          <w:sz w:val="30"/>
          <w:szCs w:val="30"/>
        </w:rPr>
      </w:pPr>
      <w:r w:rsidRPr="00C84DCF">
        <w:rPr>
          <w:rFonts w:eastAsia="Calibri"/>
          <w:szCs w:val="24"/>
          <w:lang w:eastAsia="en-US"/>
        </w:rPr>
        <w:t>Furthermore, figure 15 shows the distribution of base pressure for the worst calculated bearing capacity (24 KN/m</w:t>
      </w:r>
      <w:r w:rsidRPr="00C84DCF">
        <w:rPr>
          <w:rFonts w:eastAsia="Calibri"/>
          <w:szCs w:val="24"/>
          <w:vertAlign w:val="superscript"/>
          <w:lang w:eastAsia="en-US"/>
        </w:rPr>
        <w:t>2</w:t>
      </w:r>
      <w:r w:rsidRPr="00C84DCF">
        <w:rPr>
          <w:rFonts w:eastAsia="Calibri"/>
          <w:szCs w:val="24"/>
          <w:lang w:eastAsia="en-US"/>
        </w:rPr>
        <w:t>). The value of the base pressure under the foundation was between 72 -100KN/m</w:t>
      </w:r>
      <w:r w:rsidRPr="00C84DCF">
        <w:rPr>
          <w:rFonts w:eastAsia="Calibri"/>
          <w:szCs w:val="24"/>
          <w:vertAlign w:val="superscript"/>
          <w:lang w:eastAsia="en-US"/>
        </w:rPr>
        <w:t>2</w:t>
      </w:r>
      <w:r w:rsidRPr="00C84DCF">
        <w:rPr>
          <w:rFonts w:eastAsia="Calibri"/>
          <w:szCs w:val="24"/>
          <w:lang w:eastAsia="en-US"/>
        </w:rPr>
        <w:t>.</w:t>
      </w:r>
    </w:p>
    <w:p w:rsidR="00242E0D" w:rsidRDefault="00242E0D" w:rsidP="00496D93">
      <w:pPr>
        <w:widowControl/>
        <w:tabs>
          <w:tab w:val="left" w:pos="0"/>
          <w:tab w:val="left" w:pos="1117"/>
          <w:tab w:val="left" w:pos="1440"/>
        </w:tabs>
        <w:adjustRightInd/>
        <w:spacing w:after="200" w:line="276" w:lineRule="auto"/>
        <w:jc w:val="center"/>
        <w:textAlignment w:val="auto"/>
        <w:rPr>
          <w:rFonts w:eastAsia="Calibri"/>
          <w:b/>
          <w:bCs/>
          <w:szCs w:val="24"/>
          <w:lang w:eastAsia="en-US"/>
        </w:rPr>
      </w:pPr>
      <w:r w:rsidRPr="00C84DCF">
        <w:rPr>
          <w:rFonts w:ascii="Calibri" w:eastAsia="Calibri" w:hAnsi="Calibri" w:cs="Arial"/>
          <w:noProof/>
          <w:sz w:val="22"/>
          <w:szCs w:val="22"/>
          <w:lang w:val="sv-SE" w:eastAsia="sv-SE"/>
        </w:rPr>
        <w:drawing>
          <wp:anchor distT="0" distB="0" distL="114300" distR="114300" simplePos="0" relativeHeight="251689984" behindDoc="0" locked="0" layoutInCell="1" allowOverlap="1" wp14:anchorId="4AE9F781" wp14:editId="0CC8DC4B">
            <wp:simplePos x="0" y="0"/>
            <wp:positionH relativeFrom="column">
              <wp:posOffset>199390</wp:posOffset>
            </wp:positionH>
            <wp:positionV relativeFrom="paragraph">
              <wp:posOffset>41275</wp:posOffset>
            </wp:positionV>
            <wp:extent cx="4062730" cy="2212340"/>
            <wp:effectExtent l="19050" t="19050" r="13970" b="165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2730" cy="2212340"/>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p>
    <w:p w:rsidR="00242E0D" w:rsidRDefault="00242E0D" w:rsidP="00496D93">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242E0D" w:rsidRDefault="00242E0D" w:rsidP="00496D93">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242E0D" w:rsidRDefault="00242E0D" w:rsidP="00496D93">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242E0D" w:rsidRDefault="00242E0D" w:rsidP="00496D93">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242E0D" w:rsidRDefault="00242E0D" w:rsidP="00496D93">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242E0D" w:rsidRDefault="00242E0D" w:rsidP="00496D93">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242E0D" w:rsidRPr="00242E0D" w:rsidRDefault="00496D93" w:rsidP="006953B1">
      <w:pPr>
        <w:widowControl/>
        <w:tabs>
          <w:tab w:val="left" w:pos="0"/>
          <w:tab w:val="left" w:pos="1117"/>
          <w:tab w:val="left" w:pos="1440"/>
        </w:tabs>
        <w:adjustRightInd/>
        <w:spacing w:after="200" w:line="276" w:lineRule="auto"/>
        <w:jc w:val="center"/>
        <w:textAlignment w:val="auto"/>
        <w:rPr>
          <w:rFonts w:eastAsia="Calibri"/>
          <w:b/>
          <w:bCs/>
          <w:szCs w:val="24"/>
          <w:lang w:eastAsia="en-US"/>
        </w:rPr>
      </w:pPr>
      <w:r w:rsidRPr="00496D93">
        <w:rPr>
          <w:rFonts w:eastAsia="Calibri"/>
          <w:b/>
          <w:bCs/>
          <w:szCs w:val="24"/>
          <w:lang w:eastAsia="en-US"/>
        </w:rPr>
        <w:t xml:space="preserve">Figure 14: Average bearing capacity obtained distribution of </w:t>
      </w:r>
      <w:r w:rsidR="00242E0D">
        <w:rPr>
          <w:rFonts w:eastAsia="Calibri"/>
          <w:b/>
          <w:bCs/>
          <w:szCs w:val="24"/>
          <w:lang w:eastAsia="en-US"/>
        </w:rPr>
        <w:t>base pressure for Basrah</w:t>
      </w:r>
      <w:r w:rsidR="006953B1">
        <w:rPr>
          <w:rFonts w:eastAsia="Calibri"/>
          <w:b/>
          <w:bCs/>
          <w:szCs w:val="24"/>
          <w:lang w:eastAsia="en-US"/>
        </w:rPr>
        <w:t>.</w:t>
      </w:r>
    </w:p>
    <w:p w:rsidR="001B6DB9" w:rsidRDefault="00242E0D">
      <w:pPr>
        <w:widowControl/>
        <w:autoSpaceDE w:val="0"/>
        <w:autoSpaceDN w:val="0"/>
        <w:spacing w:line="240" w:lineRule="auto"/>
        <w:textAlignment w:val="bottom"/>
        <w:rPr>
          <w:b/>
          <w:color w:val="000000"/>
          <w:sz w:val="30"/>
          <w:szCs w:val="30"/>
        </w:rPr>
      </w:pPr>
      <w:r w:rsidRPr="00271A37">
        <w:rPr>
          <w:rFonts w:ascii="Calibri" w:eastAsia="Calibri" w:hAnsi="Calibri" w:cs="Arial"/>
          <w:noProof/>
          <w:sz w:val="22"/>
          <w:szCs w:val="22"/>
          <w:lang w:val="sv-SE" w:eastAsia="sv-SE"/>
        </w:rPr>
        <w:drawing>
          <wp:anchor distT="0" distB="0" distL="114300" distR="114300" simplePos="0" relativeHeight="251681792" behindDoc="0" locked="0" layoutInCell="1" allowOverlap="1" wp14:anchorId="3B2D90C4" wp14:editId="5E1784EB">
            <wp:simplePos x="0" y="0"/>
            <wp:positionH relativeFrom="column">
              <wp:posOffset>276860</wp:posOffset>
            </wp:positionH>
            <wp:positionV relativeFrom="paragraph">
              <wp:posOffset>186055</wp:posOffset>
            </wp:positionV>
            <wp:extent cx="3985895" cy="2196465"/>
            <wp:effectExtent l="19050" t="19050" r="14605" b="133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5895" cy="2196465"/>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p>
    <w:p w:rsidR="00242E0D" w:rsidRDefault="00242E0D">
      <w:pPr>
        <w:widowControl/>
        <w:autoSpaceDE w:val="0"/>
        <w:autoSpaceDN w:val="0"/>
        <w:spacing w:line="240" w:lineRule="auto"/>
        <w:textAlignment w:val="bottom"/>
        <w:rPr>
          <w:b/>
          <w:color w:val="000000"/>
          <w:sz w:val="30"/>
          <w:szCs w:val="30"/>
        </w:rPr>
      </w:pPr>
    </w:p>
    <w:p w:rsidR="00242E0D" w:rsidRDefault="00242E0D">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4E6AEA" w:rsidRDefault="004E6AEA">
      <w:pPr>
        <w:widowControl/>
        <w:autoSpaceDE w:val="0"/>
        <w:autoSpaceDN w:val="0"/>
        <w:spacing w:line="240" w:lineRule="auto"/>
        <w:textAlignment w:val="bottom"/>
        <w:rPr>
          <w:b/>
          <w:color w:val="000000"/>
          <w:sz w:val="30"/>
          <w:szCs w:val="30"/>
        </w:rPr>
      </w:pPr>
    </w:p>
    <w:p w:rsidR="00FF2206" w:rsidRDefault="00FF2206">
      <w:pPr>
        <w:widowControl/>
        <w:autoSpaceDE w:val="0"/>
        <w:autoSpaceDN w:val="0"/>
        <w:spacing w:line="240" w:lineRule="auto"/>
        <w:textAlignment w:val="bottom"/>
        <w:rPr>
          <w:b/>
          <w:color w:val="000000"/>
          <w:sz w:val="30"/>
          <w:szCs w:val="30"/>
        </w:rPr>
      </w:pPr>
    </w:p>
    <w:p w:rsidR="00C9580F" w:rsidRPr="003A1A33" w:rsidRDefault="00C84DCF" w:rsidP="00901ACD">
      <w:pPr>
        <w:widowControl/>
        <w:tabs>
          <w:tab w:val="left" w:pos="0"/>
          <w:tab w:val="left" w:pos="1117"/>
          <w:tab w:val="left" w:pos="1440"/>
        </w:tabs>
        <w:adjustRightInd/>
        <w:spacing w:after="200" w:line="276" w:lineRule="auto"/>
        <w:jc w:val="center"/>
        <w:textAlignment w:val="auto"/>
        <w:rPr>
          <w:rFonts w:eastAsia="Calibri"/>
          <w:b/>
          <w:bCs/>
          <w:szCs w:val="24"/>
          <w:lang w:eastAsia="en-US"/>
        </w:rPr>
      </w:pPr>
      <w:r w:rsidRPr="00C84DCF">
        <w:rPr>
          <w:rFonts w:eastAsia="Calibri"/>
          <w:b/>
          <w:bCs/>
          <w:szCs w:val="24"/>
          <w:lang w:eastAsia="en-US"/>
        </w:rPr>
        <w:t>Figure 15:</w:t>
      </w:r>
      <w:r w:rsidRPr="00C84DCF">
        <w:rPr>
          <w:rFonts w:eastAsia="Calibri"/>
          <w:szCs w:val="24"/>
          <w:lang w:eastAsia="en-US"/>
        </w:rPr>
        <w:t xml:space="preserve"> </w:t>
      </w:r>
      <w:r w:rsidRPr="00C84DCF">
        <w:rPr>
          <w:rFonts w:eastAsia="Calibri"/>
          <w:b/>
          <w:bCs/>
          <w:szCs w:val="24"/>
          <w:lang w:eastAsia="en-US"/>
        </w:rPr>
        <w:t>Worst bearing capacity obtained distribution of base pressure for Basrah.</w:t>
      </w:r>
    </w:p>
    <w:p w:rsidR="003A1A33" w:rsidRPr="003A1A33" w:rsidRDefault="003A1A33" w:rsidP="003A1A33">
      <w:pPr>
        <w:pStyle w:val="ListParagraph"/>
        <w:numPr>
          <w:ilvl w:val="0"/>
          <w:numId w:val="17"/>
        </w:numPr>
        <w:tabs>
          <w:tab w:val="left" w:pos="0"/>
          <w:tab w:val="left" w:pos="1117"/>
          <w:tab w:val="left" w:pos="1440"/>
        </w:tabs>
        <w:rPr>
          <w:rFonts w:asciiTheme="majorBidi" w:hAnsiTheme="majorBidi" w:cstheme="majorBidi"/>
          <w:b/>
          <w:bCs/>
          <w:sz w:val="28"/>
          <w:szCs w:val="28"/>
        </w:rPr>
      </w:pPr>
      <w:r w:rsidRPr="003A1A33">
        <w:rPr>
          <w:rFonts w:asciiTheme="majorBidi" w:hAnsiTheme="majorBidi" w:cstheme="majorBidi"/>
          <w:b/>
          <w:bCs/>
          <w:sz w:val="28"/>
          <w:szCs w:val="28"/>
        </w:rPr>
        <w:lastRenderedPageBreak/>
        <w:t xml:space="preserve">Discussion </w:t>
      </w:r>
    </w:p>
    <w:p w:rsidR="003A1A33" w:rsidRPr="003A1A33" w:rsidRDefault="003A1A33" w:rsidP="006234D8">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r w:rsidRPr="003A1A33">
        <w:rPr>
          <w:rFonts w:eastAsia="Calibri"/>
          <w:szCs w:val="24"/>
          <w:lang w:eastAsia="en-US"/>
        </w:rPr>
        <w:t xml:space="preserve">In this research, the purpose of the case study was to define the soil pressure under foundation for different locations (Mosul, Baghdad, and Basrah in Iraq). Usually, SAFE program gives the results of soil pressure in two directions: tension </w:t>
      </w:r>
      <w:r w:rsidR="00C3247F">
        <w:rPr>
          <w:rFonts w:eastAsia="Calibri"/>
          <w:szCs w:val="24"/>
          <w:lang w:eastAsia="en-US"/>
        </w:rPr>
        <w:t>(</w:t>
      </w:r>
      <w:r w:rsidRPr="003A1A33">
        <w:rPr>
          <w:rFonts w:eastAsia="Calibri"/>
          <w:szCs w:val="24"/>
          <w:lang w:eastAsia="en-US"/>
        </w:rPr>
        <w:t>positive</w:t>
      </w:r>
      <w:r w:rsidR="00C3247F">
        <w:rPr>
          <w:rFonts w:eastAsia="Calibri"/>
          <w:szCs w:val="24"/>
          <w:lang w:eastAsia="en-US"/>
        </w:rPr>
        <w:t>)</w:t>
      </w:r>
      <w:r w:rsidRPr="003A1A33">
        <w:rPr>
          <w:rFonts w:eastAsia="Calibri"/>
          <w:szCs w:val="24"/>
          <w:lang w:eastAsia="en-US"/>
        </w:rPr>
        <w:t xml:space="preserve"> and compression </w:t>
      </w:r>
      <w:r w:rsidR="00C3247F">
        <w:rPr>
          <w:rFonts w:eastAsia="Calibri"/>
          <w:szCs w:val="24"/>
          <w:lang w:eastAsia="en-US"/>
        </w:rPr>
        <w:t>(</w:t>
      </w:r>
      <w:r w:rsidRPr="003A1A33">
        <w:rPr>
          <w:rFonts w:eastAsia="Calibri"/>
          <w:szCs w:val="24"/>
          <w:lang w:eastAsia="en-US"/>
        </w:rPr>
        <w:t>negative</w:t>
      </w:r>
      <w:r w:rsidR="00C3247F">
        <w:rPr>
          <w:rFonts w:eastAsia="Calibri"/>
          <w:szCs w:val="24"/>
          <w:lang w:eastAsia="en-US"/>
        </w:rPr>
        <w:t>)</w:t>
      </w:r>
      <w:r w:rsidRPr="003A1A33">
        <w:rPr>
          <w:rFonts w:eastAsia="Calibri"/>
          <w:szCs w:val="24"/>
          <w:lang w:eastAsia="en-US"/>
        </w:rPr>
        <w:t>. The results were only negative, which mean</w:t>
      </w:r>
      <w:r w:rsidR="006234D8">
        <w:rPr>
          <w:rFonts w:eastAsia="Calibri"/>
          <w:szCs w:val="24"/>
          <w:lang w:eastAsia="en-US"/>
        </w:rPr>
        <w:t>s</w:t>
      </w:r>
      <w:r w:rsidRPr="003A1A33">
        <w:rPr>
          <w:rFonts w:eastAsia="Calibri"/>
          <w:szCs w:val="24"/>
          <w:lang w:eastAsia="en-US"/>
        </w:rPr>
        <w:t xml:space="preserve"> that the effect of tension was zero (legend of the values of base pressure </w:t>
      </w:r>
      <w:r w:rsidR="006234D8">
        <w:rPr>
          <w:rFonts w:eastAsia="Calibri"/>
          <w:szCs w:val="24"/>
          <w:lang w:eastAsia="en-US"/>
        </w:rPr>
        <w:t>tabulated</w:t>
      </w:r>
      <w:r w:rsidRPr="003A1A33">
        <w:rPr>
          <w:rFonts w:eastAsia="Calibri"/>
          <w:szCs w:val="24"/>
          <w:lang w:eastAsia="en-US"/>
        </w:rPr>
        <w:t xml:space="preserve"> in the right side of figures 10-15</w:t>
      </w:r>
      <w:r w:rsidR="00D16150">
        <w:rPr>
          <w:rFonts w:eastAsia="Calibri"/>
          <w:szCs w:val="24"/>
          <w:lang w:eastAsia="en-US"/>
        </w:rPr>
        <w:t>)</w:t>
      </w:r>
      <w:r w:rsidRPr="003A1A33">
        <w:rPr>
          <w:rFonts w:eastAsia="Calibri"/>
          <w:szCs w:val="24"/>
          <w:lang w:eastAsia="en-US"/>
        </w:rPr>
        <w:t xml:space="preserve">.  </w:t>
      </w:r>
    </w:p>
    <w:p w:rsidR="003A1A33" w:rsidRPr="003A1A33" w:rsidRDefault="003A1A33" w:rsidP="00ED03CE">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r w:rsidRPr="003A1A33">
        <w:rPr>
          <w:rFonts w:eastAsia="Calibri"/>
          <w:szCs w:val="24"/>
          <w:lang w:eastAsia="en-US"/>
        </w:rPr>
        <w:t>The results obtained for Mosul region (figure 10), were values of the base pressure distributed under the foundation for the average value of calculated bearing capacity. The maximum value of the base pressure was 100 KN/m</w:t>
      </w:r>
      <w:r w:rsidRPr="003A1A33">
        <w:rPr>
          <w:rFonts w:eastAsia="Calibri"/>
          <w:szCs w:val="24"/>
          <w:vertAlign w:val="superscript"/>
          <w:lang w:eastAsia="en-US"/>
        </w:rPr>
        <w:t>2</w:t>
      </w:r>
      <w:r w:rsidRPr="003A1A33">
        <w:rPr>
          <w:rFonts w:eastAsia="Calibri"/>
          <w:szCs w:val="24"/>
          <w:lang w:eastAsia="en-US"/>
        </w:rPr>
        <w:t xml:space="preserve">, which was less than the calculated bearing capacity value </w:t>
      </w:r>
      <w:r w:rsidR="006234D8">
        <w:rPr>
          <w:rFonts w:eastAsia="Calibri"/>
          <w:szCs w:val="24"/>
          <w:lang w:eastAsia="en-US"/>
        </w:rPr>
        <w:t>(</w:t>
      </w:r>
      <w:r w:rsidRPr="003A1A33">
        <w:rPr>
          <w:rFonts w:eastAsia="Calibri"/>
          <w:szCs w:val="24"/>
          <w:lang w:eastAsia="en-US"/>
        </w:rPr>
        <w:t>177 KN/m</w:t>
      </w:r>
      <w:r w:rsidRPr="003A1A33">
        <w:rPr>
          <w:rFonts w:eastAsia="Calibri"/>
          <w:szCs w:val="24"/>
          <w:vertAlign w:val="superscript"/>
          <w:lang w:eastAsia="en-US"/>
        </w:rPr>
        <w:t>2</w:t>
      </w:r>
      <w:r w:rsidR="006234D8">
        <w:rPr>
          <w:rFonts w:eastAsia="Calibri"/>
          <w:szCs w:val="24"/>
          <w:lang w:eastAsia="en-US"/>
        </w:rPr>
        <w:t>)</w:t>
      </w:r>
      <w:r w:rsidRPr="003A1A33">
        <w:rPr>
          <w:rFonts w:eastAsia="Calibri"/>
          <w:szCs w:val="24"/>
          <w:lang w:eastAsia="en-US"/>
        </w:rPr>
        <w:t>. It is significant that the best type of foundation should be chosen. While, the maximum value of base pressure shown in figure 11, for the worst value of calculated bearing capacity was 92 KN/m</w:t>
      </w:r>
      <w:r w:rsidRPr="003A1A33">
        <w:rPr>
          <w:rFonts w:eastAsia="Calibri"/>
          <w:szCs w:val="24"/>
          <w:vertAlign w:val="superscript"/>
          <w:lang w:eastAsia="en-US"/>
        </w:rPr>
        <w:t>2</w:t>
      </w:r>
      <w:r w:rsidRPr="003A1A33">
        <w:rPr>
          <w:rFonts w:eastAsia="Calibri"/>
          <w:szCs w:val="24"/>
          <w:lang w:eastAsia="en-US"/>
        </w:rPr>
        <w:t xml:space="preserve"> for some areas under the foundation. These values will not affect the foundation, although it is beyond the calculated value of bearing </w:t>
      </w:r>
      <w:r w:rsidR="00782CD2" w:rsidRPr="003A1A33">
        <w:rPr>
          <w:rFonts w:eastAsia="Calibri"/>
          <w:szCs w:val="24"/>
          <w:lang w:eastAsia="en-US"/>
        </w:rPr>
        <w:t>capacity</w:t>
      </w:r>
      <w:r w:rsidR="00782CD2">
        <w:rPr>
          <w:rFonts w:eastAsia="Calibri"/>
          <w:szCs w:val="24"/>
          <w:lang w:eastAsia="en-US"/>
        </w:rPr>
        <w:t xml:space="preserve"> (77KN/m</w:t>
      </w:r>
      <w:r w:rsidR="00782CD2" w:rsidRPr="00782CD2">
        <w:rPr>
          <w:rFonts w:eastAsia="Calibri"/>
          <w:szCs w:val="24"/>
          <w:vertAlign w:val="superscript"/>
          <w:lang w:eastAsia="en-US"/>
        </w:rPr>
        <w:t>2</w:t>
      </w:r>
      <w:r w:rsidR="00782CD2">
        <w:rPr>
          <w:rFonts w:eastAsia="Calibri"/>
          <w:szCs w:val="24"/>
          <w:lang w:eastAsia="en-US"/>
        </w:rPr>
        <w:t>)</w:t>
      </w:r>
      <w:r w:rsidRPr="003A1A33">
        <w:rPr>
          <w:rFonts w:eastAsia="Calibri"/>
          <w:szCs w:val="24"/>
          <w:lang w:eastAsia="en-US"/>
        </w:rPr>
        <w:t>. In the previous work done by Al-Taie, et al. (2014</w:t>
      </w:r>
      <w:proofErr w:type="gramStart"/>
      <w:r w:rsidRPr="003A1A33">
        <w:rPr>
          <w:rFonts w:eastAsia="Calibri"/>
          <w:szCs w:val="24"/>
          <w:lang w:eastAsia="en-US"/>
        </w:rPr>
        <w:t>)[</w:t>
      </w:r>
      <w:proofErr w:type="gramEnd"/>
      <w:r w:rsidRPr="003A1A33">
        <w:rPr>
          <w:rFonts w:eastAsia="Calibri"/>
          <w:szCs w:val="24"/>
          <w:lang w:eastAsia="en-US"/>
        </w:rPr>
        <w:t xml:space="preserve">25] for the same building model using the same data, but the design and analysis was done using STADD Pro </w:t>
      </w:r>
      <w:r w:rsidRPr="003A1A33">
        <w:rPr>
          <w:rFonts w:eastAsia="Calibri"/>
          <w:i/>
          <w:iCs/>
          <w:szCs w:val="24"/>
          <w:lang w:eastAsia="en-US"/>
        </w:rPr>
        <w:t xml:space="preserve">vi8 </w:t>
      </w:r>
      <w:r w:rsidRPr="003A1A33">
        <w:rPr>
          <w:rFonts w:eastAsia="Calibri"/>
          <w:szCs w:val="24"/>
          <w:lang w:eastAsia="en-US"/>
        </w:rPr>
        <w:t>program for Mosul region</w:t>
      </w:r>
      <w:r w:rsidR="006234D8">
        <w:rPr>
          <w:rFonts w:eastAsia="Calibri"/>
          <w:szCs w:val="24"/>
          <w:lang w:eastAsia="en-US"/>
        </w:rPr>
        <w:t>,</w:t>
      </w:r>
      <w:r w:rsidRPr="003A1A33">
        <w:rPr>
          <w:rFonts w:eastAsia="Calibri"/>
          <w:szCs w:val="24"/>
          <w:lang w:eastAsia="en-US"/>
        </w:rPr>
        <w:t xml:space="preserve"> </w:t>
      </w:r>
      <w:r w:rsidR="006234D8">
        <w:rPr>
          <w:rFonts w:eastAsia="Calibri"/>
          <w:szCs w:val="24"/>
          <w:lang w:eastAsia="en-US"/>
        </w:rPr>
        <w:t>t</w:t>
      </w:r>
      <w:r w:rsidRPr="003A1A33">
        <w:rPr>
          <w:rFonts w:eastAsia="Calibri"/>
          <w:szCs w:val="24"/>
          <w:lang w:eastAsia="en-US"/>
        </w:rPr>
        <w:t>he results showed the maximum value of the base pressure under the foundation was 99 KN/m</w:t>
      </w:r>
      <w:r w:rsidRPr="003A1A33">
        <w:rPr>
          <w:rFonts w:eastAsia="Calibri"/>
          <w:szCs w:val="24"/>
          <w:vertAlign w:val="superscript"/>
          <w:lang w:eastAsia="en-US"/>
        </w:rPr>
        <w:t>2</w:t>
      </w:r>
      <w:r w:rsidRPr="003A1A33">
        <w:rPr>
          <w:rFonts w:eastAsia="Calibri"/>
          <w:szCs w:val="24"/>
          <w:lang w:eastAsia="en-US"/>
        </w:rPr>
        <w:t xml:space="preserve"> for the average calculated value of the bearing capacity</w:t>
      </w:r>
      <w:r w:rsidR="00782CD2">
        <w:rPr>
          <w:rFonts w:eastAsia="Calibri"/>
          <w:szCs w:val="24"/>
          <w:lang w:eastAsia="en-US"/>
        </w:rPr>
        <w:t xml:space="preserve"> (177KN/m</w:t>
      </w:r>
      <w:r w:rsidR="00782CD2" w:rsidRPr="00782CD2">
        <w:rPr>
          <w:rFonts w:eastAsia="Calibri"/>
          <w:szCs w:val="24"/>
          <w:vertAlign w:val="superscript"/>
          <w:lang w:eastAsia="en-US"/>
        </w:rPr>
        <w:t>2</w:t>
      </w:r>
      <w:r w:rsidR="00782CD2">
        <w:rPr>
          <w:rFonts w:eastAsia="Calibri"/>
          <w:szCs w:val="24"/>
          <w:lang w:eastAsia="en-US"/>
        </w:rPr>
        <w:t>)</w:t>
      </w:r>
      <w:r w:rsidRPr="003A1A33">
        <w:rPr>
          <w:rFonts w:eastAsia="Calibri"/>
          <w:szCs w:val="24"/>
          <w:lang w:eastAsia="en-US"/>
        </w:rPr>
        <w:t>. The result was less than the calculated value as shown in figures 16 and 17. While, the maximum value of the base pressure under the foundation was 75 KN/m</w:t>
      </w:r>
      <w:r w:rsidRPr="003A1A33">
        <w:rPr>
          <w:rFonts w:eastAsia="Calibri"/>
          <w:szCs w:val="24"/>
          <w:vertAlign w:val="superscript"/>
          <w:lang w:eastAsia="en-US"/>
        </w:rPr>
        <w:t xml:space="preserve">2 </w:t>
      </w:r>
      <w:r w:rsidRPr="003A1A33">
        <w:rPr>
          <w:rFonts w:eastAsia="Calibri"/>
          <w:szCs w:val="24"/>
          <w:lang w:eastAsia="en-US"/>
        </w:rPr>
        <w:t>for the worst value of the calculated bearing capacity. The result value was less than the calculated (table 3). The recommendation (in the previous work) for Mosul region was to use continuous or spread type of foundation and raft type if a basement is required for buildings with many floors. While,</w:t>
      </w:r>
      <w:r w:rsidR="00ED03CE">
        <w:rPr>
          <w:rFonts w:eastAsia="Calibri"/>
          <w:szCs w:val="24"/>
          <w:lang w:eastAsia="en-US"/>
        </w:rPr>
        <w:t xml:space="preserve"> the suggestion depended on</w:t>
      </w:r>
      <w:r w:rsidRPr="003A1A33">
        <w:rPr>
          <w:rFonts w:eastAsia="Calibri"/>
          <w:szCs w:val="24"/>
          <w:lang w:eastAsia="en-US"/>
        </w:rPr>
        <w:t xml:space="preserve"> the results obtained from SAFE program</w:t>
      </w:r>
      <w:r w:rsidR="00ED03CE">
        <w:rPr>
          <w:rFonts w:eastAsia="Calibri"/>
          <w:szCs w:val="24"/>
          <w:lang w:eastAsia="en-US"/>
        </w:rPr>
        <w:t>,</w:t>
      </w:r>
      <w:r w:rsidRPr="003A1A33">
        <w:rPr>
          <w:rFonts w:eastAsia="Calibri"/>
          <w:szCs w:val="24"/>
          <w:lang w:eastAsia="en-US"/>
        </w:rPr>
        <w:t xml:space="preserve"> the best type of foundation is spread or continuous for buildings with many floors</w:t>
      </w:r>
      <w:r w:rsidR="006234D8">
        <w:rPr>
          <w:rFonts w:eastAsia="Calibri"/>
          <w:szCs w:val="24"/>
          <w:lang w:eastAsia="en-US"/>
        </w:rPr>
        <w:t>,</w:t>
      </w:r>
      <w:r w:rsidRPr="003A1A33">
        <w:rPr>
          <w:rFonts w:eastAsia="Calibri"/>
          <w:szCs w:val="24"/>
          <w:lang w:eastAsia="en-US"/>
        </w:rPr>
        <w:t xml:space="preserve"> </w:t>
      </w:r>
      <w:r w:rsidR="006234D8">
        <w:rPr>
          <w:rFonts w:eastAsia="Calibri"/>
          <w:szCs w:val="24"/>
          <w:lang w:eastAsia="en-US"/>
        </w:rPr>
        <w:t>a</w:t>
      </w:r>
      <w:r w:rsidRPr="003A1A33">
        <w:rPr>
          <w:rFonts w:eastAsia="Calibri"/>
          <w:szCs w:val="24"/>
          <w:lang w:eastAsia="en-US"/>
        </w:rPr>
        <w:t xml:space="preserve">nd raft type foundation if basement is to be used. Earlier work </w:t>
      </w:r>
      <w:r w:rsidR="006234D8">
        <w:rPr>
          <w:rFonts w:eastAsia="Calibri"/>
          <w:szCs w:val="24"/>
          <w:lang w:eastAsia="en-US"/>
        </w:rPr>
        <w:t>[26]</w:t>
      </w:r>
      <w:r w:rsidRPr="003A1A33">
        <w:rPr>
          <w:rFonts w:eastAsia="Calibri"/>
          <w:szCs w:val="24"/>
          <w:lang w:eastAsia="en-US"/>
        </w:rPr>
        <w:t xml:space="preserve"> for Mosul </w:t>
      </w:r>
      <w:r w:rsidR="00345AEE" w:rsidRPr="003A1A33">
        <w:rPr>
          <w:rFonts w:eastAsia="Calibri"/>
          <w:szCs w:val="24"/>
          <w:lang w:eastAsia="en-US"/>
        </w:rPr>
        <w:t>location</w:t>
      </w:r>
      <w:r w:rsidRPr="003A1A33">
        <w:rPr>
          <w:rFonts w:eastAsia="Calibri"/>
          <w:szCs w:val="24"/>
          <w:lang w:eastAsia="en-US"/>
        </w:rPr>
        <w:t xml:space="preserve"> </w:t>
      </w:r>
      <w:r w:rsidR="006234D8">
        <w:rPr>
          <w:rFonts w:eastAsia="Calibri"/>
          <w:szCs w:val="24"/>
          <w:lang w:eastAsia="en-US"/>
        </w:rPr>
        <w:t xml:space="preserve">indicated that </w:t>
      </w:r>
      <w:r w:rsidRPr="003A1A33">
        <w:rPr>
          <w:rFonts w:eastAsia="Calibri"/>
          <w:szCs w:val="24"/>
          <w:lang w:eastAsia="en-US"/>
        </w:rPr>
        <w:t>continuous type of foundation</w:t>
      </w:r>
      <w:r w:rsidR="006234D8">
        <w:rPr>
          <w:rFonts w:eastAsia="Calibri"/>
          <w:szCs w:val="24"/>
          <w:lang w:eastAsia="en-US"/>
        </w:rPr>
        <w:t xml:space="preserve"> is recommended</w:t>
      </w:r>
      <w:r w:rsidRPr="003A1A33">
        <w:rPr>
          <w:rFonts w:eastAsia="Calibri"/>
          <w:szCs w:val="24"/>
          <w:lang w:eastAsia="en-US"/>
        </w:rPr>
        <w:t xml:space="preserve">. </w:t>
      </w:r>
    </w:p>
    <w:p w:rsidR="003A1A33" w:rsidRDefault="003A1A33" w:rsidP="00611579">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r w:rsidRPr="003A1A33">
        <w:rPr>
          <w:rFonts w:eastAsia="Calibri"/>
          <w:szCs w:val="24"/>
          <w:lang w:eastAsia="en-US"/>
        </w:rPr>
        <w:t xml:space="preserve">The base pressure under foundation </w:t>
      </w:r>
      <w:r w:rsidR="00345AEE">
        <w:rPr>
          <w:rFonts w:eastAsia="Calibri"/>
          <w:szCs w:val="24"/>
          <w:lang w:eastAsia="en-US"/>
        </w:rPr>
        <w:t>(</w:t>
      </w:r>
      <w:r w:rsidRPr="003A1A33">
        <w:rPr>
          <w:rFonts w:eastAsia="Calibri"/>
          <w:szCs w:val="24"/>
          <w:lang w:eastAsia="en-US"/>
        </w:rPr>
        <w:t>figure 12</w:t>
      </w:r>
      <w:r w:rsidR="00345AEE">
        <w:rPr>
          <w:rFonts w:eastAsia="Calibri"/>
          <w:szCs w:val="24"/>
          <w:lang w:eastAsia="en-US"/>
        </w:rPr>
        <w:t>)</w:t>
      </w:r>
      <w:r w:rsidRPr="003A1A33">
        <w:rPr>
          <w:rFonts w:eastAsia="Calibri"/>
          <w:szCs w:val="24"/>
          <w:lang w:eastAsia="en-US"/>
        </w:rPr>
        <w:t>, for Baghdad region was for the average value of calculated bearing capacity (125KN/m</w:t>
      </w:r>
      <w:r w:rsidRPr="003A1A33">
        <w:rPr>
          <w:rFonts w:eastAsia="Calibri"/>
          <w:szCs w:val="24"/>
          <w:vertAlign w:val="superscript"/>
          <w:lang w:eastAsia="en-US"/>
        </w:rPr>
        <w:t>2</w:t>
      </w:r>
      <w:r w:rsidRPr="003A1A33">
        <w:rPr>
          <w:rFonts w:eastAsia="Calibri"/>
          <w:szCs w:val="24"/>
          <w:lang w:eastAsia="en-US"/>
        </w:rPr>
        <w:t>). The maximum value of base pressure shown under the foundation was 95 KN/m</w:t>
      </w:r>
      <w:r w:rsidRPr="003A1A33">
        <w:rPr>
          <w:rFonts w:eastAsia="Calibri"/>
          <w:szCs w:val="24"/>
          <w:vertAlign w:val="superscript"/>
          <w:lang w:eastAsia="en-US"/>
        </w:rPr>
        <w:t>2</w:t>
      </w:r>
      <w:r w:rsidRPr="003A1A33">
        <w:rPr>
          <w:rFonts w:eastAsia="Calibri"/>
          <w:szCs w:val="24"/>
          <w:lang w:eastAsia="en-US"/>
        </w:rPr>
        <w:t>. This value was less than the calculated value. Figure 13</w:t>
      </w:r>
      <w:r w:rsidR="00114E47">
        <w:rPr>
          <w:rFonts w:eastAsia="Calibri"/>
          <w:szCs w:val="24"/>
          <w:lang w:eastAsia="en-US"/>
        </w:rPr>
        <w:t>,</w:t>
      </w:r>
      <w:r w:rsidRPr="003A1A33">
        <w:rPr>
          <w:rFonts w:eastAsia="Calibri"/>
          <w:szCs w:val="24"/>
          <w:lang w:eastAsia="en-US"/>
        </w:rPr>
        <w:t xml:space="preserve"> shows that the base pressure under foundation for worst value of calculated bearing capacity </w:t>
      </w:r>
      <w:r w:rsidR="00345AEE">
        <w:rPr>
          <w:rFonts w:eastAsia="Calibri"/>
          <w:szCs w:val="24"/>
          <w:lang w:eastAsia="en-US"/>
        </w:rPr>
        <w:t xml:space="preserve">was </w:t>
      </w:r>
      <w:r w:rsidRPr="003A1A33">
        <w:rPr>
          <w:rFonts w:eastAsia="Calibri"/>
          <w:szCs w:val="24"/>
          <w:lang w:eastAsia="en-US"/>
        </w:rPr>
        <w:t>68 KN/m</w:t>
      </w:r>
      <w:r w:rsidRPr="003A1A33">
        <w:rPr>
          <w:rFonts w:eastAsia="Calibri"/>
          <w:szCs w:val="24"/>
          <w:vertAlign w:val="superscript"/>
          <w:lang w:eastAsia="en-US"/>
        </w:rPr>
        <w:t>2</w:t>
      </w:r>
      <w:r w:rsidRPr="003A1A33">
        <w:rPr>
          <w:rFonts w:eastAsia="Calibri"/>
          <w:szCs w:val="24"/>
          <w:lang w:eastAsia="en-US"/>
        </w:rPr>
        <w:t xml:space="preserve">. The </w:t>
      </w:r>
      <w:r w:rsidRPr="003A1A33">
        <w:rPr>
          <w:rFonts w:eastAsia="Calibri"/>
          <w:szCs w:val="24"/>
          <w:lang w:eastAsia="en-US"/>
        </w:rPr>
        <w:lastRenderedPageBreak/>
        <w:t>result for the value of the maximum base pressure was 90KN/m</w:t>
      </w:r>
      <w:r w:rsidRPr="003A1A33">
        <w:rPr>
          <w:rFonts w:eastAsia="Calibri"/>
          <w:szCs w:val="24"/>
          <w:vertAlign w:val="superscript"/>
          <w:lang w:eastAsia="en-US"/>
        </w:rPr>
        <w:t>2</w:t>
      </w:r>
      <w:r w:rsidRPr="003A1A33">
        <w:rPr>
          <w:rFonts w:eastAsia="Calibri"/>
          <w:szCs w:val="24"/>
          <w:lang w:eastAsia="en-US"/>
        </w:rPr>
        <w:t>. It was higher than the calculated value. While, in the previous work [25] for the same building</w:t>
      </w:r>
      <w:r w:rsidR="00611579">
        <w:rPr>
          <w:rFonts w:eastAsia="Calibri"/>
          <w:szCs w:val="24"/>
          <w:lang w:eastAsia="en-US"/>
        </w:rPr>
        <w:t xml:space="preserve"> model</w:t>
      </w:r>
      <w:r w:rsidRPr="003A1A33">
        <w:rPr>
          <w:rFonts w:eastAsia="Calibri"/>
          <w:szCs w:val="24"/>
          <w:lang w:eastAsia="en-US"/>
        </w:rPr>
        <w:t xml:space="preserve"> showed that the maximum value of base pressure under foundation was 87 KN/m</w:t>
      </w:r>
      <w:r w:rsidRPr="003A1A33">
        <w:rPr>
          <w:rFonts w:eastAsia="Calibri"/>
          <w:szCs w:val="24"/>
          <w:vertAlign w:val="superscript"/>
          <w:lang w:eastAsia="en-US"/>
        </w:rPr>
        <w:t>2</w:t>
      </w:r>
      <w:r w:rsidRPr="003A1A33">
        <w:rPr>
          <w:rFonts w:eastAsia="Calibri"/>
          <w:szCs w:val="24"/>
          <w:lang w:eastAsia="en-US"/>
        </w:rPr>
        <w:t xml:space="preserve">, </w:t>
      </w:r>
      <w:r w:rsidR="00611579">
        <w:rPr>
          <w:rFonts w:eastAsia="Calibri"/>
          <w:szCs w:val="24"/>
          <w:lang w:eastAsia="en-US"/>
        </w:rPr>
        <w:t xml:space="preserve">for the </w:t>
      </w:r>
      <w:r w:rsidR="00611579" w:rsidRPr="003A1A33">
        <w:rPr>
          <w:rFonts w:eastAsia="Calibri"/>
          <w:szCs w:val="24"/>
          <w:lang w:eastAsia="en-US"/>
        </w:rPr>
        <w:t>average</w:t>
      </w:r>
      <w:r w:rsidR="00611579">
        <w:rPr>
          <w:rFonts w:eastAsia="Calibri"/>
          <w:szCs w:val="24"/>
          <w:lang w:eastAsia="en-US"/>
        </w:rPr>
        <w:t xml:space="preserve"> of calculated bearing capacity</w:t>
      </w:r>
      <w:r w:rsidR="00611579" w:rsidRPr="003A1A33">
        <w:rPr>
          <w:rFonts w:eastAsia="Calibri"/>
          <w:szCs w:val="24"/>
          <w:lang w:eastAsia="en-US"/>
        </w:rPr>
        <w:t xml:space="preserve"> </w:t>
      </w:r>
      <w:r w:rsidR="00345AEE" w:rsidRPr="003A1A33">
        <w:rPr>
          <w:rFonts w:eastAsia="Calibri"/>
          <w:szCs w:val="24"/>
          <w:lang w:eastAsia="en-US"/>
        </w:rPr>
        <w:t>125 KN/</w:t>
      </w:r>
      <w:r w:rsidR="00F87E28" w:rsidRPr="003A1A33">
        <w:rPr>
          <w:rFonts w:eastAsia="Calibri"/>
          <w:szCs w:val="24"/>
          <w:lang w:eastAsia="en-US"/>
        </w:rPr>
        <w:t>m</w:t>
      </w:r>
      <w:r w:rsidR="00F87E28" w:rsidRPr="003A1A33">
        <w:rPr>
          <w:rFonts w:eastAsia="Calibri"/>
          <w:szCs w:val="24"/>
          <w:vertAlign w:val="superscript"/>
          <w:lang w:eastAsia="en-US"/>
        </w:rPr>
        <w:t>2</w:t>
      </w:r>
      <w:r w:rsidR="00F87E28">
        <w:rPr>
          <w:rFonts w:eastAsia="Calibri"/>
          <w:szCs w:val="24"/>
          <w:vertAlign w:val="superscript"/>
          <w:lang w:eastAsia="en-US"/>
        </w:rPr>
        <w:t xml:space="preserve"> </w:t>
      </w:r>
      <w:r w:rsidRPr="003A1A33">
        <w:rPr>
          <w:rFonts w:eastAsia="Calibri"/>
          <w:szCs w:val="24"/>
          <w:lang w:eastAsia="en-US"/>
        </w:rPr>
        <w:t>value</w:t>
      </w:r>
      <w:r w:rsidR="00345AEE">
        <w:rPr>
          <w:rFonts w:eastAsia="Calibri"/>
          <w:szCs w:val="24"/>
          <w:lang w:eastAsia="en-US"/>
        </w:rPr>
        <w:t>.</w:t>
      </w:r>
      <w:r w:rsidRPr="003A1A33">
        <w:rPr>
          <w:rFonts w:eastAsia="Calibri"/>
          <w:szCs w:val="24"/>
          <w:lang w:eastAsia="en-US"/>
        </w:rPr>
        <w:t xml:space="preserve"> The maximum value of the base pressure was 79 KN/m</w:t>
      </w:r>
      <w:r w:rsidRPr="003A1A33">
        <w:rPr>
          <w:rFonts w:eastAsia="Calibri"/>
          <w:szCs w:val="24"/>
          <w:vertAlign w:val="superscript"/>
          <w:lang w:eastAsia="en-US"/>
        </w:rPr>
        <w:t xml:space="preserve">2 </w:t>
      </w:r>
      <w:r w:rsidRPr="003A1A33">
        <w:rPr>
          <w:rFonts w:eastAsia="Calibri"/>
          <w:szCs w:val="24"/>
          <w:lang w:eastAsia="en-US"/>
        </w:rPr>
        <w:t>for</w:t>
      </w:r>
      <w:r w:rsidRPr="003A1A33">
        <w:rPr>
          <w:rFonts w:eastAsia="Calibri"/>
          <w:szCs w:val="24"/>
          <w:vertAlign w:val="superscript"/>
          <w:lang w:eastAsia="en-US"/>
        </w:rPr>
        <w:t xml:space="preserve"> </w:t>
      </w:r>
      <w:r w:rsidRPr="003A1A33">
        <w:rPr>
          <w:rFonts w:eastAsia="Calibri"/>
          <w:szCs w:val="24"/>
          <w:lang w:eastAsia="en-US"/>
        </w:rPr>
        <w:t>the worst</w:t>
      </w:r>
      <w:r w:rsidRPr="003A1A33">
        <w:rPr>
          <w:rFonts w:eastAsia="Calibri"/>
          <w:szCs w:val="24"/>
          <w:vertAlign w:val="superscript"/>
          <w:lang w:eastAsia="en-US"/>
        </w:rPr>
        <w:t xml:space="preserve"> </w:t>
      </w:r>
      <w:r w:rsidRPr="003A1A33">
        <w:rPr>
          <w:rFonts w:eastAsia="Calibri"/>
          <w:szCs w:val="24"/>
          <w:lang w:eastAsia="en-US"/>
        </w:rPr>
        <w:t>value of the calculated bearing capacity. This value was high</w:t>
      </w:r>
      <w:r w:rsidR="00F87E28">
        <w:rPr>
          <w:rFonts w:eastAsia="Calibri"/>
          <w:szCs w:val="24"/>
          <w:lang w:eastAsia="en-US"/>
        </w:rPr>
        <w:t>er</w:t>
      </w:r>
      <w:r w:rsidRPr="003A1A33">
        <w:rPr>
          <w:rFonts w:eastAsia="Calibri"/>
          <w:szCs w:val="24"/>
          <w:lang w:eastAsia="en-US"/>
        </w:rPr>
        <w:t xml:space="preserve"> than the calculated value </w:t>
      </w:r>
      <w:r w:rsidR="00F87E28">
        <w:rPr>
          <w:rFonts w:eastAsia="Calibri"/>
          <w:szCs w:val="24"/>
          <w:lang w:eastAsia="en-US"/>
        </w:rPr>
        <w:t>(</w:t>
      </w:r>
      <w:r w:rsidRPr="003A1A33">
        <w:rPr>
          <w:rFonts w:eastAsia="Calibri"/>
          <w:szCs w:val="24"/>
          <w:lang w:eastAsia="en-US"/>
        </w:rPr>
        <w:t>68 KN/m</w:t>
      </w:r>
      <w:r w:rsidRPr="003A1A33">
        <w:rPr>
          <w:rFonts w:eastAsia="Calibri"/>
          <w:szCs w:val="24"/>
          <w:vertAlign w:val="superscript"/>
          <w:lang w:eastAsia="en-US"/>
        </w:rPr>
        <w:t>2</w:t>
      </w:r>
      <w:r w:rsidR="00F87E28">
        <w:rPr>
          <w:rFonts w:eastAsia="Calibri"/>
          <w:szCs w:val="24"/>
          <w:lang w:eastAsia="en-US"/>
        </w:rPr>
        <w:t>)</w:t>
      </w:r>
      <w:r w:rsidRPr="003A1A33">
        <w:rPr>
          <w:rFonts w:eastAsia="Calibri"/>
          <w:szCs w:val="24"/>
          <w:lang w:eastAsia="en-US"/>
        </w:rPr>
        <w:t>, as</w:t>
      </w:r>
      <w:bookmarkStart w:id="0" w:name="_GoBack"/>
      <w:bookmarkEnd w:id="0"/>
      <w:r w:rsidRPr="003A1A33">
        <w:rPr>
          <w:rFonts w:eastAsia="Calibri"/>
          <w:szCs w:val="24"/>
          <w:lang w:eastAsia="en-US"/>
        </w:rPr>
        <w:t xml:space="preserve"> shown in figures 16 and 17. </w:t>
      </w:r>
      <w:r w:rsidR="00F87E28">
        <w:rPr>
          <w:rFonts w:eastAsia="Calibri"/>
          <w:szCs w:val="24"/>
          <w:lang w:eastAsia="en-US"/>
        </w:rPr>
        <w:t>S</w:t>
      </w:r>
      <w:r w:rsidRPr="003A1A33">
        <w:rPr>
          <w:rFonts w:eastAsia="Calibri"/>
          <w:szCs w:val="24"/>
          <w:lang w:eastAsia="en-US"/>
        </w:rPr>
        <w:t xml:space="preserve">pread or raft foundation type for </w:t>
      </w:r>
      <w:r w:rsidR="00F87E28">
        <w:rPr>
          <w:rFonts w:eastAsia="Calibri"/>
          <w:szCs w:val="24"/>
          <w:lang w:eastAsia="en-US"/>
        </w:rPr>
        <w:t>such</w:t>
      </w:r>
      <w:r w:rsidRPr="003A1A33">
        <w:rPr>
          <w:rFonts w:eastAsia="Calibri"/>
          <w:szCs w:val="24"/>
          <w:lang w:eastAsia="en-US"/>
        </w:rPr>
        <w:t xml:space="preserve"> areas </w:t>
      </w:r>
      <w:r w:rsidR="00F87E28">
        <w:rPr>
          <w:rFonts w:eastAsia="Calibri"/>
          <w:szCs w:val="24"/>
          <w:lang w:eastAsia="en-US"/>
        </w:rPr>
        <w:t>are recommended using</w:t>
      </w:r>
      <w:r w:rsidRPr="003A1A33">
        <w:rPr>
          <w:rFonts w:eastAsia="Calibri"/>
          <w:szCs w:val="24"/>
          <w:lang w:eastAsia="en-US"/>
        </w:rPr>
        <w:t xml:space="preserve"> the average value of bearing capacity, and only raft foundation type is the suitable for the area with worst value of bearing capacity </w:t>
      </w:r>
      <w:r w:rsidR="00F87E28">
        <w:rPr>
          <w:rFonts w:eastAsia="Calibri"/>
          <w:szCs w:val="24"/>
          <w:lang w:eastAsia="en-US"/>
        </w:rPr>
        <w:t>[25]</w:t>
      </w:r>
      <w:r w:rsidRPr="003A1A33">
        <w:rPr>
          <w:rFonts w:eastAsia="Calibri"/>
          <w:szCs w:val="24"/>
          <w:lang w:eastAsia="en-US"/>
        </w:rPr>
        <w:t xml:space="preserve">. </w:t>
      </w:r>
      <w:r w:rsidR="00F87E28">
        <w:rPr>
          <w:rFonts w:eastAsia="Calibri"/>
          <w:szCs w:val="24"/>
          <w:lang w:eastAsia="en-US"/>
        </w:rPr>
        <w:t xml:space="preserve">According to </w:t>
      </w:r>
      <w:r w:rsidRPr="003A1A33">
        <w:rPr>
          <w:rFonts w:eastAsia="Calibri"/>
          <w:szCs w:val="24"/>
          <w:lang w:eastAsia="en-US"/>
        </w:rPr>
        <w:t>SAFE program</w:t>
      </w:r>
      <w:r w:rsidR="00F87E28">
        <w:rPr>
          <w:rFonts w:eastAsia="Calibri"/>
          <w:szCs w:val="24"/>
          <w:lang w:eastAsia="en-US"/>
        </w:rPr>
        <w:t>,</w:t>
      </w:r>
      <w:r w:rsidRPr="003A1A33">
        <w:rPr>
          <w:rFonts w:eastAsia="Calibri"/>
          <w:szCs w:val="24"/>
          <w:lang w:eastAsia="en-US"/>
        </w:rPr>
        <w:t xml:space="preserve"> continuous or raft foundation type </w:t>
      </w:r>
      <w:r w:rsidR="00F87E28">
        <w:rPr>
          <w:rFonts w:eastAsia="Calibri"/>
          <w:szCs w:val="24"/>
          <w:lang w:eastAsia="en-US"/>
        </w:rPr>
        <w:t xml:space="preserve">are recommended </w:t>
      </w:r>
      <w:r w:rsidRPr="003A1A33">
        <w:rPr>
          <w:rFonts w:eastAsia="Calibri"/>
          <w:szCs w:val="24"/>
          <w:lang w:eastAsia="en-US"/>
        </w:rPr>
        <w:t>for buildings not higher than five floors</w:t>
      </w:r>
      <w:r w:rsidR="00F87E28">
        <w:rPr>
          <w:rFonts w:eastAsia="Calibri"/>
          <w:szCs w:val="24"/>
          <w:lang w:eastAsia="en-US"/>
        </w:rPr>
        <w:t>.</w:t>
      </w:r>
      <w:r w:rsidRPr="003A1A33">
        <w:rPr>
          <w:rFonts w:eastAsia="Calibri"/>
          <w:szCs w:val="24"/>
          <w:lang w:eastAsia="en-US"/>
        </w:rPr>
        <w:t xml:space="preserve"> </w:t>
      </w:r>
      <w:r w:rsidR="00F87E28">
        <w:rPr>
          <w:rFonts w:eastAsia="Calibri"/>
          <w:szCs w:val="24"/>
          <w:lang w:eastAsia="en-US"/>
        </w:rPr>
        <w:t>For</w:t>
      </w:r>
      <w:r w:rsidRPr="003A1A33">
        <w:rPr>
          <w:rFonts w:eastAsia="Calibri"/>
          <w:szCs w:val="24"/>
          <w:lang w:eastAsia="en-US"/>
        </w:rPr>
        <w:t xml:space="preserve"> areas with worst bearing capacity value raft or mat foundation </w:t>
      </w:r>
      <w:r w:rsidR="00F87E28">
        <w:rPr>
          <w:rFonts w:eastAsia="Calibri"/>
          <w:szCs w:val="24"/>
          <w:lang w:eastAsia="en-US"/>
        </w:rPr>
        <w:t xml:space="preserve">is recommended </w:t>
      </w:r>
      <w:r w:rsidRPr="003A1A33">
        <w:rPr>
          <w:rFonts w:eastAsia="Calibri"/>
          <w:szCs w:val="24"/>
          <w:lang w:eastAsia="en-US"/>
        </w:rPr>
        <w:t xml:space="preserve">(table 3). </w:t>
      </w:r>
      <w:r w:rsidR="00F87E28">
        <w:rPr>
          <w:rFonts w:eastAsia="Calibri"/>
          <w:szCs w:val="24"/>
          <w:lang w:eastAsia="en-US"/>
        </w:rPr>
        <w:t>Previous w</w:t>
      </w:r>
      <w:r w:rsidRPr="003A1A33">
        <w:rPr>
          <w:rFonts w:eastAsia="Calibri"/>
          <w:szCs w:val="24"/>
          <w:lang w:eastAsia="en-US"/>
        </w:rPr>
        <w:t xml:space="preserve">ork </w:t>
      </w:r>
      <w:r w:rsidR="00F87E28">
        <w:rPr>
          <w:rFonts w:eastAsia="Calibri"/>
          <w:szCs w:val="24"/>
          <w:lang w:eastAsia="en-US"/>
        </w:rPr>
        <w:t xml:space="preserve">[26] </w:t>
      </w:r>
      <w:r w:rsidRPr="003A1A33">
        <w:rPr>
          <w:rFonts w:eastAsia="Calibri"/>
          <w:szCs w:val="24"/>
          <w:lang w:eastAsia="en-US"/>
        </w:rPr>
        <w:t>suggest</w:t>
      </w:r>
      <w:r w:rsidR="00F87E28">
        <w:rPr>
          <w:rFonts w:eastAsia="Calibri"/>
          <w:szCs w:val="24"/>
          <w:lang w:eastAsia="en-US"/>
        </w:rPr>
        <w:t>ed</w:t>
      </w:r>
      <w:r w:rsidRPr="003A1A33">
        <w:rPr>
          <w:rFonts w:eastAsia="Calibri"/>
          <w:szCs w:val="24"/>
          <w:lang w:eastAsia="en-US"/>
        </w:rPr>
        <w:t xml:space="preserve"> raft type of foundation </w:t>
      </w:r>
      <w:r w:rsidR="00F87E28">
        <w:rPr>
          <w:rFonts w:eastAsia="Calibri"/>
          <w:szCs w:val="24"/>
          <w:lang w:eastAsia="en-US"/>
        </w:rPr>
        <w:t>for Baghdad</w:t>
      </w:r>
      <w:r w:rsidRPr="003A1A33">
        <w:rPr>
          <w:rFonts w:eastAsia="Calibri"/>
          <w:szCs w:val="24"/>
          <w:lang w:eastAsia="en-US"/>
        </w:rPr>
        <w:t>.</w:t>
      </w:r>
    </w:p>
    <w:p w:rsidR="003A1A33" w:rsidRDefault="003A1A33" w:rsidP="003A1A33">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r w:rsidRPr="003A1A33">
        <w:rPr>
          <w:rFonts w:eastAsia="Calibri"/>
          <w:szCs w:val="24"/>
          <w:lang w:eastAsia="en-US"/>
        </w:rPr>
        <w:t xml:space="preserve"> </w:t>
      </w:r>
    </w:p>
    <w:p w:rsidR="003A1A33" w:rsidRPr="003A1A33" w:rsidRDefault="003A1A33" w:rsidP="004C044C">
      <w:pPr>
        <w:widowControl/>
        <w:tabs>
          <w:tab w:val="left" w:pos="0"/>
          <w:tab w:val="left" w:pos="1117"/>
          <w:tab w:val="left" w:pos="1440"/>
        </w:tabs>
        <w:adjustRightInd/>
        <w:spacing w:after="200" w:line="276" w:lineRule="auto"/>
        <w:ind w:left="284"/>
        <w:contextualSpacing/>
        <w:jc w:val="center"/>
        <w:textAlignment w:val="auto"/>
        <w:rPr>
          <w:rFonts w:eastAsia="Calibri"/>
          <w:szCs w:val="24"/>
          <w:lang w:eastAsia="en-US"/>
        </w:rPr>
      </w:pPr>
      <w:r w:rsidRPr="003A1A33">
        <w:rPr>
          <w:rFonts w:eastAsia="Calibri"/>
          <w:b/>
          <w:bCs/>
          <w:szCs w:val="24"/>
          <w:lang w:eastAsia="en-US"/>
        </w:rPr>
        <w:t xml:space="preserve">Table 3: comparison of the results obtained </w:t>
      </w:r>
      <w:r w:rsidR="004C044C">
        <w:rPr>
          <w:rFonts w:eastAsia="Calibri"/>
          <w:b/>
          <w:bCs/>
          <w:szCs w:val="24"/>
          <w:lang w:eastAsia="en-US"/>
        </w:rPr>
        <w:t>of</w:t>
      </w:r>
      <w:r w:rsidRPr="003A1A33">
        <w:rPr>
          <w:rFonts w:eastAsia="Calibri"/>
          <w:b/>
          <w:bCs/>
          <w:szCs w:val="24"/>
          <w:lang w:eastAsia="en-US"/>
        </w:rPr>
        <w:t xml:space="preserve"> current and previous works.</w:t>
      </w:r>
    </w:p>
    <w:tbl>
      <w:tblPr>
        <w:tblStyle w:val="TableGrid3"/>
        <w:tblW w:w="0" w:type="auto"/>
        <w:tblInd w:w="284" w:type="dxa"/>
        <w:tblLook w:val="04A0" w:firstRow="1" w:lastRow="0" w:firstColumn="1" w:lastColumn="0" w:noHBand="0" w:noVBand="1"/>
      </w:tblPr>
      <w:tblGrid>
        <w:gridCol w:w="1292"/>
        <w:gridCol w:w="1631"/>
        <w:gridCol w:w="1116"/>
        <w:gridCol w:w="1208"/>
        <w:gridCol w:w="2645"/>
      </w:tblGrid>
      <w:tr w:rsidR="003A1A33" w:rsidRPr="003A1A33" w:rsidTr="003A1A33">
        <w:tc>
          <w:tcPr>
            <w:tcW w:w="138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b/>
                <w:bCs/>
                <w:szCs w:val="24"/>
                <w:lang w:eastAsia="en-US"/>
              </w:rPr>
            </w:pPr>
            <w:r w:rsidRPr="003A1A33">
              <w:rPr>
                <w:rFonts w:ascii="Times New Roman"/>
                <w:b/>
                <w:bCs/>
                <w:szCs w:val="24"/>
                <w:lang w:eastAsia="en-US"/>
              </w:rPr>
              <w:t>Location</w:t>
            </w: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b/>
                <w:bCs/>
                <w:szCs w:val="24"/>
                <w:lang w:eastAsia="en-US"/>
              </w:rPr>
            </w:pPr>
            <w:r w:rsidRPr="003A1A33">
              <w:rPr>
                <w:rFonts w:ascii="Times New Roman"/>
                <w:b/>
                <w:bCs/>
                <w:szCs w:val="24"/>
                <w:lang w:eastAsia="en-US"/>
              </w:rPr>
              <w:t>Method used</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b/>
                <w:bCs/>
                <w:szCs w:val="24"/>
                <w:lang w:eastAsia="en-US"/>
              </w:rPr>
            </w:pPr>
            <w:r w:rsidRPr="003A1A33">
              <w:rPr>
                <w:rFonts w:ascii="Times New Roman"/>
                <w:b/>
                <w:bCs/>
                <w:szCs w:val="24"/>
                <w:lang w:eastAsia="en-US"/>
              </w:rPr>
              <w:t>Average bearing capacity</w:t>
            </w:r>
            <w:r w:rsidRPr="003A1A33">
              <w:rPr>
                <w:rFonts w:ascii="Times New Roman"/>
                <w:szCs w:val="24"/>
                <w:lang w:eastAsia="en-US"/>
              </w:rPr>
              <w:t xml:space="preserve"> </w:t>
            </w:r>
            <w:r w:rsidRPr="003A1A33">
              <w:rPr>
                <w:rFonts w:ascii="Times New Roman"/>
                <w:b/>
                <w:bCs/>
                <w:szCs w:val="24"/>
                <w:lang w:eastAsia="en-US"/>
              </w:rPr>
              <w:t>(KN/m</w:t>
            </w:r>
            <w:r w:rsidRPr="003A1A33">
              <w:rPr>
                <w:rFonts w:ascii="Times New Roman"/>
                <w:b/>
                <w:bCs/>
                <w:szCs w:val="24"/>
                <w:vertAlign w:val="superscript"/>
                <w:lang w:eastAsia="en-US"/>
              </w:rPr>
              <w:t>2</w:t>
            </w:r>
            <w:r w:rsidRPr="003A1A33">
              <w:rPr>
                <w:rFonts w:ascii="Times New Roman"/>
                <w:b/>
                <w:bCs/>
                <w:szCs w:val="24"/>
                <w:lang w:eastAsia="en-US"/>
              </w:rPr>
              <w:t>)</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b/>
                <w:bCs/>
                <w:szCs w:val="24"/>
                <w:lang w:eastAsia="en-US"/>
              </w:rPr>
            </w:pPr>
            <w:r w:rsidRPr="003A1A33">
              <w:rPr>
                <w:rFonts w:ascii="Times New Roman"/>
                <w:b/>
                <w:bCs/>
                <w:szCs w:val="24"/>
                <w:lang w:eastAsia="en-US"/>
              </w:rPr>
              <w:t>Worst</w:t>
            </w:r>
          </w:p>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b/>
                <w:bCs/>
                <w:szCs w:val="24"/>
                <w:lang w:eastAsia="en-US"/>
              </w:rPr>
            </w:pPr>
            <w:r w:rsidRPr="003A1A33">
              <w:rPr>
                <w:rFonts w:ascii="Times New Roman"/>
                <w:b/>
                <w:bCs/>
                <w:szCs w:val="24"/>
                <w:lang w:eastAsia="en-US"/>
              </w:rPr>
              <w:t>bearing capacity</w:t>
            </w:r>
          </w:p>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b/>
                <w:bCs/>
                <w:szCs w:val="24"/>
                <w:lang w:eastAsia="en-US"/>
              </w:rPr>
            </w:pPr>
            <w:r w:rsidRPr="003A1A33">
              <w:rPr>
                <w:rFonts w:ascii="Times New Roman"/>
                <w:b/>
                <w:bCs/>
                <w:szCs w:val="24"/>
                <w:lang w:eastAsia="en-US"/>
              </w:rPr>
              <w:t>(KN/m</w:t>
            </w:r>
            <w:r w:rsidRPr="003A1A33">
              <w:rPr>
                <w:rFonts w:ascii="Times New Roman"/>
                <w:b/>
                <w:bCs/>
                <w:szCs w:val="24"/>
                <w:vertAlign w:val="superscript"/>
                <w:lang w:eastAsia="en-US"/>
              </w:rPr>
              <w:t>2</w:t>
            </w:r>
            <w:r w:rsidRPr="003A1A33">
              <w:rPr>
                <w:rFonts w:ascii="Times New Roman"/>
                <w:b/>
                <w:bCs/>
                <w:szCs w:val="24"/>
                <w:lang w:eastAsia="en-US"/>
              </w:rPr>
              <w:t>)</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b/>
                <w:bCs/>
                <w:szCs w:val="24"/>
                <w:lang w:eastAsia="en-US"/>
              </w:rPr>
            </w:pPr>
            <w:r w:rsidRPr="003A1A33">
              <w:rPr>
                <w:rFonts w:ascii="Times New Roman"/>
                <w:b/>
                <w:bCs/>
                <w:szCs w:val="24"/>
                <w:lang w:eastAsia="en-US"/>
              </w:rPr>
              <w:t>Foundation to be used</w:t>
            </w:r>
          </w:p>
        </w:tc>
      </w:tr>
      <w:tr w:rsidR="003A1A33" w:rsidRPr="003A1A33" w:rsidTr="003A1A33">
        <w:tc>
          <w:tcPr>
            <w:tcW w:w="1384" w:type="dxa"/>
            <w:vMerge w:val="restart"/>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Mosul</w:t>
            </w: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Calculated</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177</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77</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Shallow type</w:t>
            </w:r>
          </w:p>
        </w:tc>
      </w:tr>
      <w:tr w:rsidR="003A1A33" w:rsidRPr="003A1A33" w:rsidTr="003A1A33">
        <w:tc>
          <w:tcPr>
            <w:tcW w:w="1384" w:type="dxa"/>
            <w:vMerge/>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STAAD Pro.</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99</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75</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Continuous or spread type, &amp; raft type for basement.</w:t>
            </w:r>
          </w:p>
        </w:tc>
      </w:tr>
      <w:tr w:rsidR="003A1A33" w:rsidRPr="003A1A33" w:rsidTr="003A1A33">
        <w:tc>
          <w:tcPr>
            <w:tcW w:w="1384" w:type="dxa"/>
            <w:vMerge/>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SAFE</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100</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92</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Continuous or spread type, &amp; raft type for basement.</w:t>
            </w:r>
          </w:p>
        </w:tc>
      </w:tr>
      <w:tr w:rsidR="003A1A33" w:rsidRPr="003A1A33" w:rsidTr="003A1A33">
        <w:tc>
          <w:tcPr>
            <w:tcW w:w="1384" w:type="dxa"/>
            <w:vMerge w:val="restart"/>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Baghdad</w:t>
            </w: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Calculated</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125</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68</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Shallow type</w:t>
            </w:r>
          </w:p>
        </w:tc>
      </w:tr>
      <w:tr w:rsidR="003A1A33" w:rsidRPr="003A1A33" w:rsidTr="003A1A33">
        <w:tc>
          <w:tcPr>
            <w:tcW w:w="1384" w:type="dxa"/>
            <w:vMerge/>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STAAD Pro</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87</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90</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Spread or raft type.</w:t>
            </w:r>
          </w:p>
        </w:tc>
      </w:tr>
      <w:tr w:rsidR="003A1A33" w:rsidRPr="003A1A33" w:rsidTr="003A1A33">
        <w:tc>
          <w:tcPr>
            <w:tcW w:w="1384" w:type="dxa"/>
            <w:vMerge/>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SAFE</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95</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79</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Spread or raft type.</w:t>
            </w:r>
          </w:p>
        </w:tc>
      </w:tr>
      <w:tr w:rsidR="003A1A33" w:rsidRPr="003A1A33" w:rsidTr="003A1A33">
        <w:tc>
          <w:tcPr>
            <w:tcW w:w="1384" w:type="dxa"/>
            <w:vMerge w:val="restart"/>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Basrah</w:t>
            </w: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Calculated</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84</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24</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Shallow and deep type</w:t>
            </w:r>
          </w:p>
        </w:tc>
      </w:tr>
      <w:tr w:rsidR="003A1A33" w:rsidRPr="003A1A33" w:rsidTr="003A1A33">
        <w:tc>
          <w:tcPr>
            <w:tcW w:w="1384" w:type="dxa"/>
            <w:vMerge/>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STAAD Pro</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81</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77</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Raft and pile types.</w:t>
            </w:r>
          </w:p>
        </w:tc>
      </w:tr>
      <w:tr w:rsidR="003A1A33" w:rsidRPr="003A1A33" w:rsidTr="003A1A33">
        <w:tc>
          <w:tcPr>
            <w:tcW w:w="1384" w:type="dxa"/>
            <w:vMerge/>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p>
        </w:tc>
        <w:tc>
          <w:tcPr>
            <w:tcW w:w="1842" w:type="dxa"/>
          </w:tcPr>
          <w:p w:rsidR="003A1A33" w:rsidRPr="003A1A33" w:rsidRDefault="003A1A33" w:rsidP="003A1A33">
            <w:pPr>
              <w:widowControl/>
              <w:tabs>
                <w:tab w:val="left" w:pos="0"/>
                <w:tab w:val="left" w:pos="1117"/>
                <w:tab w:val="left" w:pos="1440"/>
              </w:tabs>
              <w:adjustRightInd/>
              <w:spacing w:line="240" w:lineRule="auto"/>
              <w:contextualSpacing/>
              <w:jc w:val="left"/>
              <w:textAlignment w:val="auto"/>
              <w:rPr>
                <w:rFonts w:ascii="Times New Roman"/>
                <w:szCs w:val="24"/>
                <w:lang w:eastAsia="en-US"/>
              </w:rPr>
            </w:pPr>
            <w:r w:rsidRPr="003A1A33">
              <w:rPr>
                <w:rFonts w:ascii="Times New Roman"/>
                <w:szCs w:val="24"/>
                <w:lang w:eastAsia="en-US"/>
              </w:rPr>
              <w:t>SAFE</w:t>
            </w:r>
          </w:p>
        </w:tc>
        <w:tc>
          <w:tcPr>
            <w:tcW w:w="1134"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81</w:t>
            </w:r>
          </w:p>
        </w:tc>
        <w:tc>
          <w:tcPr>
            <w:tcW w:w="1276" w:type="dxa"/>
          </w:tcPr>
          <w:p w:rsidR="003A1A33" w:rsidRPr="003A1A33" w:rsidRDefault="003A1A33" w:rsidP="003A1A33">
            <w:pPr>
              <w:widowControl/>
              <w:tabs>
                <w:tab w:val="left" w:pos="0"/>
                <w:tab w:val="left" w:pos="1117"/>
                <w:tab w:val="left" w:pos="1440"/>
              </w:tabs>
              <w:adjustRightInd/>
              <w:spacing w:line="240" w:lineRule="auto"/>
              <w:contextualSpacing/>
              <w:jc w:val="center"/>
              <w:textAlignment w:val="auto"/>
              <w:rPr>
                <w:rFonts w:ascii="Times New Roman"/>
                <w:szCs w:val="24"/>
                <w:lang w:eastAsia="en-US"/>
              </w:rPr>
            </w:pPr>
            <w:r w:rsidRPr="003A1A33">
              <w:rPr>
                <w:rFonts w:ascii="Times New Roman"/>
                <w:szCs w:val="24"/>
                <w:lang w:eastAsia="en-US"/>
              </w:rPr>
              <w:t>96</w:t>
            </w:r>
          </w:p>
        </w:tc>
        <w:tc>
          <w:tcPr>
            <w:tcW w:w="3322" w:type="dxa"/>
          </w:tcPr>
          <w:p w:rsidR="003A1A33" w:rsidRPr="003A1A33" w:rsidRDefault="003A1A33" w:rsidP="003A1A33">
            <w:pPr>
              <w:widowControl/>
              <w:tabs>
                <w:tab w:val="left" w:pos="0"/>
                <w:tab w:val="left" w:pos="1117"/>
                <w:tab w:val="left" w:pos="1440"/>
              </w:tabs>
              <w:adjustRightInd/>
              <w:spacing w:line="240" w:lineRule="auto"/>
              <w:contextualSpacing/>
              <w:textAlignment w:val="auto"/>
              <w:rPr>
                <w:rFonts w:ascii="Times New Roman"/>
                <w:szCs w:val="24"/>
                <w:lang w:eastAsia="en-US"/>
              </w:rPr>
            </w:pPr>
            <w:r w:rsidRPr="003A1A33">
              <w:rPr>
                <w:rFonts w:ascii="Times New Roman"/>
                <w:szCs w:val="24"/>
                <w:lang w:eastAsia="en-US"/>
              </w:rPr>
              <w:t>Raft and pile types.</w:t>
            </w:r>
          </w:p>
        </w:tc>
      </w:tr>
    </w:tbl>
    <w:p w:rsidR="003A1A33" w:rsidRPr="003A1A33" w:rsidRDefault="003A1A33" w:rsidP="003A1A33">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p>
    <w:p w:rsidR="003A1A33" w:rsidRPr="003A1A33" w:rsidRDefault="003A1A33" w:rsidP="003A1A33">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p>
    <w:p w:rsidR="003A1A33" w:rsidRPr="003A1A33" w:rsidRDefault="003A1A33" w:rsidP="003C514D">
      <w:pPr>
        <w:widowControl/>
        <w:tabs>
          <w:tab w:val="left" w:pos="0"/>
          <w:tab w:val="left" w:pos="1117"/>
          <w:tab w:val="left" w:pos="1440"/>
        </w:tabs>
        <w:adjustRightInd/>
        <w:spacing w:after="200" w:line="276" w:lineRule="auto"/>
        <w:textAlignment w:val="auto"/>
        <w:rPr>
          <w:rFonts w:eastAsia="Calibri"/>
          <w:szCs w:val="24"/>
          <w:lang w:eastAsia="en-US"/>
        </w:rPr>
      </w:pPr>
      <w:r w:rsidRPr="003A1A33">
        <w:rPr>
          <w:rFonts w:eastAsia="Calibri"/>
          <w:szCs w:val="24"/>
          <w:lang w:eastAsia="en-US"/>
        </w:rPr>
        <w:t xml:space="preserve">Figure 14, for Basrah region shows that the maximum value of base pressure </w:t>
      </w:r>
      <w:r w:rsidR="00013CF2">
        <w:rPr>
          <w:rFonts w:eastAsia="Calibri"/>
          <w:szCs w:val="24"/>
          <w:lang w:eastAsia="en-US"/>
        </w:rPr>
        <w:t>(</w:t>
      </w:r>
      <w:r w:rsidRPr="003A1A33">
        <w:rPr>
          <w:rFonts w:eastAsia="Calibri"/>
          <w:szCs w:val="24"/>
          <w:lang w:eastAsia="en-US"/>
        </w:rPr>
        <w:t>81 KN/m</w:t>
      </w:r>
      <w:r w:rsidRPr="003A1A33">
        <w:rPr>
          <w:rFonts w:eastAsia="Calibri"/>
          <w:szCs w:val="24"/>
          <w:vertAlign w:val="superscript"/>
          <w:lang w:eastAsia="en-US"/>
        </w:rPr>
        <w:t>2</w:t>
      </w:r>
      <w:r w:rsidR="00013CF2">
        <w:rPr>
          <w:rFonts w:eastAsia="Calibri"/>
          <w:szCs w:val="24"/>
          <w:lang w:eastAsia="en-US"/>
        </w:rPr>
        <w:t>)</w:t>
      </w:r>
      <w:r w:rsidRPr="003A1A33">
        <w:rPr>
          <w:rFonts w:eastAsia="Calibri"/>
          <w:szCs w:val="24"/>
          <w:lang w:eastAsia="en-US"/>
        </w:rPr>
        <w:t xml:space="preserve"> for the average calculated bearing capacity (84 KN/m</w:t>
      </w:r>
      <w:r w:rsidRPr="003A1A33">
        <w:rPr>
          <w:rFonts w:eastAsia="Calibri"/>
          <w:szCs w:val="24"/>
          <w:vertAlign w:val="superscript"/>
          <w:lang w:eastAsia="en-US"/>
        </w:rPr>
        <w:t>2</w:t>
      </w:r>
      <w:r w:rsidR="00013CF2">
        <w:rPr>
          <w:rFonts w:eastAsia="Calibri"/>
          <w:szCs w:val="24"/>
          <w:lang w:eastAsia="en-US"/>
        </w:rPr>
        <w:t xml:space="preserve">). Figure </w:t>
      </w:r>
      <w:r w:rsidRPr="003A1A33">
        <w:rPr>
          <w:rFonts w:eastAsia="Calibri"/>
          <w:szCs w:val="24"/>
          <w:lang w:eastAsia="en-US"/>
        </w:rPr>
        <w:t>1</w:t>
      </w:r>
      <w:r w:rsidR="00013CF2">
        <w:rPr>
          <w:rFonts w:eastAsia="Calibri"/>
          <w:szCs w:val="24"/>
          <w:lang w:eastAsia="en-US"/>
        </w:rPr>
        <w:t>5</w:t>
      </w:r>
      <w:r w:rsidRPr="003A1A33">
        <w:rPr>
          <w:rFonts w:eastAsia="Calibri"/>
          <w:szCs w:val="24"/>
          <w:lang w:eastAsia="en-US"/>
        </w:rPr>
        <w:t xml:space="preserve"> show that the value of the maximum base pressure </w:t>
      </w:r>
      <w:r w:rsidR="00013CF2">
        <w:rPr>
          <w:rFonts w:eastAsia="Calibri"/>
          <w:szCs w:val="24"/>
          <w:lang w:eastAsia="en-US"/>
        </w:rPr>
        <w:t>(</w:t>
      </w:r>
      <w:r w:rsidRPr="003A1A33">
        <w:rPr>
          <w:rFonts w:eastAsia="Calibri"/>
          <w:szCs w:val="24"/>
          <w:lang w:eastAsia="en-US"/>
        </w:rPr>
        <w:t>96 KN/m</w:t>
      </w:r>
      <w:r w:rsidRPr="003A1A33">
        <w:rPr>
          <w:rFonts w:eastAsia="Calibri"/>
          <w:szCs w:val="24"/>
          <w:vertAlign w:val="superscript"/>
          <w:lang w:eastAsia="en-US"/>
        </w:rPr>
        <w:t>2</w:t>
      </w:r>
      <w:r w:rsidR="00013CF2">
        <w:rPr>
          <w:rFonts w:eastAsia="Calibri"/>
          <w:szCs w:val="24"/>
          <w:lang w:eastAsia="en-US"/>
        </w:rPr>
        <w:t>)</w:t>
      </w:r>
      <w:r w:rsidRPr="003A1A33">
        <w:rPr>
          <w:rFonts w:eastAsia="Calibri"/>
          <w:szCs w:val="24"/>
          <w:lang w:eastAsia="en-US"/>
        </w:rPr>
        <w:t xml:space="preserve"> for the worst value of calculated bearing capacity (68 KN/m</w:t>
      </w:r>
      <w:r w:rsidRPr="003A1A33">
        <w:rPr>
          <w:rFonts w:eastAsia="Calibri"/>
          <w:szCs w:val="24"/>
          <w:vertAlign w:val="superscript"/>
          <w:lang w:eastAsia="en-US"/>
        </w:rPr>
        <w:t>2</w:t>
      </w:r>
      <w:r w:rsidRPr="003A1A33">
        <w:rPr>
          <w:rFonts w:eastAsia="Calibri"/>
          <w:szCs w:val="24"/>
          <w:lang w:eastAsia="en-US"/>
        </w:rPr>
        <w:t xml:space="preserve">). </w:t>
      </w:r>
      <w:r w:rsidR="00013CF2">
        <w:rPr>
          <w:rFonts w:eastAsia="Calibri"/>
          <w:szCs w:val="24"/>
          <w:lang w:eastAsia="en-US"/>
        </w:rPr>
        <w:t>P</w:t>
      </w:r>
      <w:r w:rsidRPr="003A1A33">
        <w:rPr>
          <w:rFonts w:eastAsia="Calibri"/>
          <w:szCs w:val="24"/>
          <w:lang w:eastAsia="en-US"/>
        </w:rPr>
        <w:t xml:space="preserve">revious work </w:t>
      </w:r>
      <w:r w:rsidR="00013CF2">
        <w:rPr>
          <w:rFonts w:eastAsia="Calibri"/>
          <w:szCs w:val="24"/>
          <w:lang w:eastAsia="en-US"/>
        </w:rPr>
        <w:t>[25]</w:t>
      </w:r>
      <w:r w:rsidRPr="003A1A33">
        <w:rPr>
          <w:rFonts w:eastAsia="Calibri"/>
          <w:szCs w:val="24"/>
          <w:lang w:eastAsia="en-US"/>
        </w:rPr>
        <w:t xml:space="preserve"> showed that the maximum value of base pressure under foundation was 81 KN/m</w:t>
      </w:r>
      <w:r w:rsidRPr="003A1A33">
        <w:rPr>
          <w:rFonts w:eastAsia="Calibri"/>
          <w:szCs w:val="24"/>
          <w:vertAlign w:val="superscript"/>
          <w:lang w:eastAsia="en-US"/>
        </w:rPr>
        <w:t>2</w:t>
      </w:r>
      <w:r w:rsidRPr="003A1A33">
        <w:rPr>
          <w:rFonts w:eastAsia="Calibri"/>
          <w:szCs w:val="24"/>
          <w:lang w:eastAsia="en-US"/>
        </w:rPr>
        <w:t xml:space="preserve">, for the average </w:t>
      </w:r>
      <w:r w:rsidRPr="003A1A33">
        <w:rPr>
          <w:rFonts w:eastAsia="Calibri"/>
          <w:szCs w:val="24"/>
          <w:lang w:eastAsia="en-US"/>
        </w:rPr>
        <w:lastRenderedPageBreak/>
        <w:t>calculated value of bearing capacity 84 KN/ m</w:t>
      </w:r>
      <w:r w:rsidRPr="003A1A33">
        <w:rPr>
          <w:rFonts w:eastAsia="Calibri"/>
          <w:szCs w:val="24"/>
          <w:vertAlign w:val="superscript"/>
          <w:lang w:eastAsia="en-US"/>
        </w:rPr>
        <w:t>2</w:t>
      </w:r>
      <w:r w:rsidRPr="003A1A33">
        <w:rPr>
          <w:rFonts w:eastAsia="Calibri"/>
          <w:szCs w:val="24"/>
          <w:lang w:eastAsia="en-US"/>
        </w:rPr>
        <w:t>. While, the maximum value of the base pressure obtained from STAAD Pro program was 77 KN/ m</w:t>
      </w:r>
      <w:r w:rsidRPr="003A1A33">
        <w:rPr>
          <w:rFonts w:eastAsia="Calibri"/>
          <w:szCs w:val="24"/>
          <w:vertAlign w:val="superscript"/>
          <w:lang w:eastAsia="en-US"/>
        </w:rPr>
        <w:t>2</w:t>
      </w:r>
      <w:r w:rsidRPr="003A1A33">
        <w:rPr>
          <w:rFonts w:eastAsia="Calibri"/>
          <w:szCs w:val="24"/>
          <w:lang w:eastAsia="en-US"/>
        </w:rPr>
        <w:t>, for the worst value of the calculated bearing capacity 24 KN/m</w:t>
      </w:r>
      <w:r w:rsidRPr="003A1A33">
        <w:rPr>
          <w:rFonts w:eastAsia="Calibri"/>
          <w:szCs w:val="24"/>
          <w:vertAlign w:val="superscript"/>
          <w:lang w:eastAsia="en-US"/>
        </w:rPr>
        <w:t>2</w:t>
      </w:r>
      <w:r w:rsidR="00013CF2">
        <w:rPr>
          <w:rFonts w:eastAsia="Calibri"/>
          <w:szCs w:val="24"/>
          <w:vertAlign w:val="superscript"/>
          <w:lang w:eastAsia="en-US"/>
        </w:rPr>
        <w:t xml:space="preserve"> </w:t>
      </w:r>
      <w:r w:rsidR="00013CF2">
        <w:rPr>
          <w:rFonts w:eastAsia="Calibri"/>
          <w:szCs w:val="24"/>
          <w:lang w:eastAsia="en-US"/>
        </w:rPr>
        <w:t>(</w:t>
      </w:r>
      <w:r w:rsidRPr="003A1A33">
        <w:rPr>
          <w:rFonts w:eastAsia="Calibri"/>
          <w:szCs w:val="24"/>
          <w:lang w:eastAsia="en-US"/>
        </w:rPr>
        <w:t>figures 16 and 17</w:t>
      </w:r>
      <w:r w:rsidR="00013CF2">
        <w:rPr>
          <w:rFonts w:eastAsia="Calibri"/>
          <w:szCs w:val="24"/>
          <w:lang w:eastAsia="en-US"/>
        </w:rPr>
        <w:t>)</w:t>
      </w:r>
      <w:r w:rsidRPr="003A1A33">
        <w:rPr>
          <w:rFonts w:eastAsia="Calibri"/>
          <w:szCs w:val="24"/>
          <w:lang w:eastAsia="en-US"/>
        </w:rPr>
        <w:t>. The raft foundation was the type of foundation recommended for the average value of bearing capacity</w:t>
      </w:r>
      <w:r w:rsidR="0080287D">
        <w:rPr>
          <w:rFonts w:eastAsia="Calibri"/>
          <w:szCs w:val="24"/>
          <w:lang w:eastAsia="en-US"/>
        </w:rPr>
        <w:t xml:space="preserve"> [25]</w:t>
      </w:r>
      <w:r w:rsidR="003C514D">
        <w:rPr>
          <w:rFonts w:eastAsia="Calibri"/>
          <w:szCs w:val="24"/>
          <w:lang w:eastAsia="en-US"/>
        </w:rPr>
        <w:t xml:space="preserve">. </w:t>
      </w:r>
      <w:r w:rsidRPr="003A1A33">
        <w:rPr>
          <w:rFonts w:eastAsia="Calibri"/>
          <w:szCs w:val="24"/>
          <w:lang w:eastAsia="en-US"/>
        </w:rPr>
        <w:t xml:space="preserve">The piles were the best type of foundation recommended for the worst value of the bearing capacity. The suggestions </w:t>
      </w:r>
      <w:r w:rsidR="0080287D">
        <w:rPr>
          <w:rFonts w:eastAsia="Calibri"/>
          <w:szCs w:val="24"/>
          <w:lang w:eastAsia="en-US"/>
        </w:rPr>
        <w:t xml:space="preserve">according to the </w:t>
      </w:r>
      <w:r w:rsidRPr="003A1A33">
        <w:rPr>
          <w:rFonts w:eastAsia="Calibri"/>
          <w:szCs w:val="24"/>
          <w:lang w:eastAsia="en-US"/>
        </w:rPr>
        <w:t>results obtained from the current work</w:t>
      </w:r>
      <w:r w:rsidR="0080287D">
        <w:rPr>
          <w:rFonts w:eastAsia="Calibri"/>
          <w:szCs w:val="24"/>
          <w:lang w:eastAsia="en-US"/>
        </w:rPr>
        <w:t>,</w:t>
      </w:r>
      <w:r w:rsidRPr="003A1A33">
        <w:rPr>
          <w:rFonts w:eastAsia="Calibri"/>
          <w:szCs w:val="24"/>
          <w:lang w:eastAsia="en-US"/>
        </w:rPr>
        <w:t xml:space="preserve"> </w:t>
      </w:r>
      <w:r w:rsidR="0080287D">
        <w:rPr>
          <w:rFonts w:eastAsia="Calibri"/>
          <w:szCs w:val="24"/>
          <w:lang w:eastAsia="en-US"/>
        </w:rPr>
        <w:t xml:space="preserve">is </w:t>
      </w:r>
      <w:r w:rsidR="003C514D">
        <w:rPr>
          <w:rFonts w:eastAsia="Calibri"/>
          <w:szCs w:val="24"/>
          <w:lang w:eastAsia="en-US"/>
        </w:rPr>
        <w:t>that</w:t>
      </w:r>
      <w:r w:rsidRPr="003A1A33">
        <w:rPr>
          <w:rFonts w:eastAsia="Calibri"/>
          <w:szCs w:val="24"/>
          <w:lang w:eastAsia="en-US"/>
        </w:rPr>
        <w:t xml:space="preserve"> areas with a high value of bearing capacity</w:t>
      </w:r>
      <w:r w:rsidR="0080287D">
        <w:rPr>
          <w:rFonts w:eastAsia="Calibri"/>
          <w:szCs w:val="24"/>
          <w:lang w:eastAsia="en-US"/>
        </w:rPr>
        <w:t>,</w:t>
      </w:r>
      <w:r w:rsidRPr="003A1A33">
        <w:rPr>
          <w:rFonts w:eastAsia="Calibri"/>
          <w:szCs w:val="24"/>
          <w:lang w:eastAsia="en-US"/>
        </w:rPr>
        <w:t xml:space="preserve"> raft type </w:t>
      </w:r>
      <w:r w:rsidR="0080287D">
        <w:rPr>
          <w:rFonts w:eastAsia="Calibri"/>
          <w:szCs w:val="24"/>
          <w:lang w:eastAsia="en-US"/>
        </w:rPr>
        <w:t xml:space="preserve">is recommended </w:t>
      </w:r>
      <w:r w:rsidRPr="003A1A33">
        <w:rPr>
          <w:rFonts w:eastAsia="Calibri"/>
          <w:szCs w:val="24"/>
          <w:lang w:eastAsia="en-US"/>
        </w:rPr>
        <w:t>for building not high than three floors. The areas with low values of bearing capacity the deep fou</w:t>
      </w:r>
      <w:r w:rsidR="0080287D">
        <w:rPr>
          <w:rFonts w:eastAsia="Calibri"/>
          <w:szCs w:val="24"/>
          <w:lang w:eastAsia="en-US"/>
        </w:rPr>
        <w:t>ndation type is the suitable</w:t>
      </w:r>
      <w:r w:rsidR="003C514D">
        <w:rPr>
          <w:rFonts w:eastAsia="Calibri"/>
          <w:szCs w:val="24"/>
          <w:lang w:eastAsia="en-US"/>
        </w:rPr>
        <w:t xml:space="preserve"> one. </w:t>
      </w:r>
      <w:r w:rsidRPr="003A1A33">
        <w:rPr>
          <w:rFonts w:eastAsia="Calibri"/>
          <w:szCs w:val="24"/>
          <w:lang w:eastAsia="en-US"/>
        </w:rPr>
        <w:t xml:space="preserve">Al-Taie et al. [26], </w:t>
      </w:r>
      <w:r w:rsidR="0080287D">
        <w:rPr>
          <w:rFonts w:eastAsia="Calibri"/>
          <w:szCs w:val="24"/>
          <w:lang w:eastAsia="en-US"/>
        </w:rPr>
        <w:t xml:space="preserve">suggested </w:t>
      </w:r>
      <w:r w:rsidR="0080287D" w:rsidRPr="003A1A33">
        <w:rPr>
          <w:rFonts w:eastAsia="Calibri"/>
          <w:szCs w:val="24"/>
          <w:lang w:eastAsia="en-US"/>
        </w:rPr>
        <w:t xml:space="preserve">raft foundation </w:t>
      </w:r>
      <w:r w:rsidR="0080287D">
        <w:rPr>
          <w:rFonts w:eastAsia="Calibri"/>
          <w:szCs w:val="24"/>
          <w:lang w:eastAsia="en-US"/>
        </w:rPr>
        <w:t xml:space="preserve">for </w:t>
      </w:r>
      <w:r w:rsidRPr="003A1A33">
        <w:rPr>
          <w:rFonts w:eastAsia="Calibri"/>
          <w:szCs w:val="24"/>
          <w:lang w:eastAsia="en-US"/>
        </w:rPr>
        <w:t xml:space="preserve">Basrah.  </w:t>
      </w:r>
    </w:p>
    <w:p w:rsidR="001E3301" w:rsidRDefault="008B5193" w:rsidP="001E3301">
      <w:pPr>
        <w:widowControl/>
        <w:tabs>
          <w:tab w:val="left" w:pos="0"/>
          <w:tab w:val="left" w:pos="1117"/>
          <w:tab w:val="left" w:pos="1440"/>
        </w:tabs>
        <w:adjustRightInd/>
        <w:spacing w:after="200" w:line="276" w:lineRule="auto"/>
        <w:jc w:val="center"/>
        <w:textAlignment w:val="auto"/>
        <w:rPr>
          <w:rFonts w:eastAsia="Calibri"/>
          <w:b/>
          <w:bCs/>
          <w:szCs w:val="24"/>
          <w:lang w:eastAsia="en-US"/>
        </w:rPr>
      </w:pPr>
      <w:r>
        <w:rPr>
          <w:noProof/>
          <w:lang w:val="sv-SE" w:eastAsia="sv-SE"/>
        </w:rPr>
        <w:drawing>
          <wp:anchor distT="0" distB="0" distL="114300" distR="114300" simplePos="0" relativeHeight="251692032" behindDoc="0" locked="0" layoutInCell="1" allowOverlap="1" wp14:anchorId="3E33E0BF" wp14:editId="6741D34E">
            <wp:simplePos x="0" y="0"/>
            <wp:positionH relativeFrom="column">
              <wp:posOffset>469900</wp:posOffset>
            </wp:positionH>
            <wp:positionV relativeFrom="paragraph">
              <wp:posOffset>38735</wp:posOffset>
            </wp:positionV>
            <wp:extent cx="4217670" cy="1899285"/>
            <wp:effectExtent l="0" t="0" r="0" b="571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1E3301" w:rsidRDefault="001E3301" w:rsidP="001E330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E3301" w:rsidRDefault="001E3301" w:rsidP="001E330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E3301" w:rsidRDefault="001E3301" w:rsidP="001E330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E3301" w:rsidRDefault="001E3301" w:rsidP="001E330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E3301" w:rsidRDefault="001E3301" w:rsidP="001E3301">
      <w:pPr>
        <w:widowControl/>
        <w:tabs>
          <w:tab w:val="left" w:pos="0"/>
          <w:tab w:val="left" w:pos="1117"/>
          <w:tab w:val="left" w:pos="1440"/>
        </w:tabs>
        <w:adjustRightInd/>
        <w:spacing w:after="200" w:line="276" w:lineRule="auto"/>
        <w:jc w:val="center"/>
        <w:textAlignment w:val="auto"/>
        <w:rPr>
          <w:rFonts w:eastAsia="Calibri"/>
          <w:b/>
          <w:bCs/>
          <w:szCs w:val="24"/>
          <w:lang w:eastAsia="en-US"/>
        </w:rPr>
      </w:pPr>
    </w:p>
    <w:p w:rsidR="001E3301" w:rsidRDefault="001E3301" w:rsidP="001E3301">
      <w:pPr>
        <w:widowControl/>
        <w:tabs>
          <w:tab w:val="left" w:pos="0"/>
          <w:tab w:val="left" w:pos="1117"/>
          <w:tab w:val="left" w:pos="1440"/>
        </w:tabs>
        <w:adjustRightInd/>
        <w:spacing w:after="200" w:line="276" w:lineRule="auto"/>
        <w:jc w:val="center"/>
        <w:textAlignment w:val="auto"/>
        <w:rPr>
          <w:rFonts w:eastAsia="Calibri"/>
          <w:b/>
          <w:bCs/>
          <w:szCs w:val="24"/>
          <w:lang w:eastAsia="en-US"/>
        </w:rPr>
      </w:pPr>
      <w:r w:rsidRPr="001E3301">
        <w:rPr>
          <w:rFonts w:eastAsia="Calibri"/>
          <w:b/>
          <w:bCs/>
          <w:szCs w:val="24"/>
          <w:lang w:eastAsia="en-US"/>
        </w:rPr>
        <w:t>Figure 16: The results of q average values from STAAD Pro., SAFE programs and calculations</w:t>
      </w:r>
      <w:r>
        <w:rPr>
          <w:rFonts w:eastAsia="Calibri"/>
          <w:b/>
          <w:bCs/>
          <w:szCs w:val="24"/>
          <w:lang w:eastAsia="en-US"/>
        </w:rPr>
        <w:t>.</w:t>
      </w:r>
    </w:p>
    <w:p w:rsidR="001E3301" w:rsidRPr="001E3301" w:rsidRDefault="001E3301" w:rsidP="001E3301">
      <w:pPr>
        <w:widowControl/>
        <w:tabs>
          <w:tab w:val="left" w:pos="0"/>
          <w:tab w:val="left" w:pos="1117"/>
          <w:tab w:val="left" w:pos="1440"/>
        </w:tabs>
        <w:adjustRightInd/>
        <w:spacing w:after="200" w:line="276" w:lineRule="auto"/>
        <w:jc w:val="left"/>
        <w:textAlignment w:val="auto"/>
        <w:rPr>
          <w:rFonts w:eastAsia="Calibri"/>
          <w:b/>
          <w:bCs/>
          <w:szCs w:val="24"/>
          <w:lang w:eastAsia="en-US"/>
        </w:rPr>
      </w:pPr>
      <w:r>
        <w:rPr>
          <w:noProof/>
          <w:lang w:val="sv-SE" w:eastAsia="sv-SE"/>
        </w:rPr>
        <w:drawing>
          <wp:anchor distT="0" distB="0" distL="114300" distR="114300" simplePos="0" relativeHeight="251694080" behindDoc="0" locked="0" layoutInCell="1" allowOverlap="1" wp14:anchorId="75E2AD83" wp14:editId="14277EB1">
            <wp:simplePos x="0" y="0"/>
            <wp:positionH relativeFrom="column">
              <wp:posOffset>430530</wp:posOffset>
            </wp:positionH>
            <wp:positionV relativeFrom="paragraph">
              <wp:posOffset>30480</wp:posOffset>
            </wp:positionV>
            <wp:extent cx="4197985" cy="1873250"/>
            <wp:effectExtent l="0" t="0" r="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1E3301" w:rsidRPr="001E3301" w:rsidRDefault="001E3301" w:rsidP="001E3301">
      <w:pPr>
        <w:widowControl/>
        <w:tabs>
          <w:tab w:val="left" w:pos="0"/>
          <w:tab w:val="left" w:pos="1117"/>
          <w:tab w:val="left" w:pos="1440"/>
        </w:tabs>
        <w:adjustRightInd/>
        <w:spacing w:after="200" w:line="276" w:lineRule="auto"/>
        <w:ind w:left="284"/>
        <w:contextualSpacing/>
        <w:jc w:val="center"/>
        <w:textAlignment w:val="auto"/>
        <w:rPr>
          <w:rFonts w:eastAsia="Calibri"/>
          <w:szCs w:val="24"/>
          <w:lang w:eastAsia="en-US"/>
        </w:rPr>
      </w:pPr>
      <w:r w:rsidRPr="001E3301">
        <w:rPr>
          <w:rFonts w:eastAsia="Calibri"/>
          <w:b/>
          <w:bCs/>
          <w:szCs w:val="24"/>
          <w:lang w:eastAsia="en-US"/>
        </w:rPr>
        <w:t>Figure 17: The results of q worst values from STAAD Pro., SAFE programs and calculations</w:t>
      </w:r>
      <w:r>
        <w:rPr>
          <w:rFonts w:eastAsia="Calibri"/>
          <w:b/>
          <w:bCs/>
          <w:szCs w:val="24"/>
          <w:lang w:eastAsia="en-US"/>
        </w:rPr>
        <w:t>.</w:t>
      </w:r>
    </w:p>
    <w:p w:rsidR="001E3301" w:rsidRDefault="001E3301" w:rsidP="001E3301">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p>
    <w:p w:rsidR="00114E47" w:rsidRPr="001E3301" w:rsidRDefault="00114E47" w:rsidP="001E3301">
      <w:pPr>
        <w:widowControl/>
        <w:tabs>
          <w:tab w:val="left" w:pos="0"/>
          <w:tab w:val="left" w:pos="1117"/>
          <w:tab w:val="left" w:pos="1440"/>
        </w:tabs>
        <w:adjustRightInd/>
        <w:spacing w:after="200" w:line="276" w:lineRule="auto"/>
        <w:ind w:left="284"/>
        <w:contextualSpacing/>
        <w:textAlignment w:val="auto"/>
        <w:rPr>
          <w:rFonts w:eastAsia="Calibri"/>
          <w:szCs w:val="24"/>
          <w:lang w:eastAsia="en-US"/>
        </w:rPr>
      </w:pPr>
    </w:p>
    <w:p w:rsidR="001E3301" w:rsidRPr="001E3301" w:rsidRDefault="008B5193" w:rsidP="001E3301">
      <w:pPr>
        <w:widowControl/>
        <w:tabs>
          <w:tab w:val="left" w:pos="0"/>
          <w:tab w:val="left" w:pos="1117"/>
          <w:tab w:val="left" w:pos="1440"/>
        </w:tabs>
        <w:adjustRightInd/>
        <w:spacing w:after="200" w:line="276" w:lineRule="auto"/>
        <w:contextualSpacing/>
        <w:jc w:val="left"/>
        <w:textAlignment w:val="auto"/>
        <w:rPr>
          <w:rFonts w:eastAsia="Calibri"/>
          <w:b/>
          <w:bCs/>
          <w:sz w:val="28"/>
          <w:szCs w:val="28"/>
          <w:lang w:eastAsia="en-US"/>
        </w:rPr>
      </w:pPr>
      <w:r>
        <w:rPr>
          <w:rFonts w:eastAsia="Calibri"/>
          <w:b/>
          <w:bCs/>
          <w:sz w:val="28"/>
          <w:szCs w:val="28"/>
          <w:lang w:eastAsia="en-US"/>
        </w:rPr>
        <w:lastRenderedPageBreak/>
        <w:t>4.</w:t>
      </w:r>
      <w:r w:rsidRPr="001E3301">
        <w:rPr>
          <w:rFonts w:eastAsia="Calibri"/>
          <w:b/>
          <w:bCs/>
          <w:sz w:val="28"/>
          <w:szCs w:val="28"/>
          <w:lang w:eastAsia="en-US"/>
        </w:rPr>
        <w:t xml:space="preserve"> Conclusions</w:t>
      </w:r>
      <w:r w:rsidR="001E3301" w:rsidRPr="001E3301">
        <w:rPr>
          <w:rFonts w:eastAsia="Calibri"/>
          <w:b/>
          <w:bCs/>
          <w:sz w:val="28"/>
          <w:szCs w:val="28"/>
          <w:lang w:eastAsia="en-US"/>
        </w:rPr>
        <w:t xml:space="preserve"> </w:t>
      </w:r>
    </w:p>
    <w:p w:rsidR="001E3301" w:rsidRPr="001E3301" w:rsidRDefault="001E3301" w:rsidP="00303DC9">
      <w:pPr>
        <w:widowControl/>
        <w:numPr>
          <w:ilvl w:val="0"/>
          <w:numId w:val="19"/>
        </w:numPr>
        <w:adjustRightInd/>
        <w:spacing w:after="200" w:line="276" w:lineRule="auto"/>
        <w:ind w:left="426"/>
        <w:contextualSpacing/>
        <w:textAlignment w:val="auto"/>
        <w:rPr>
          <w:rFonts w:ascii="Calibri" w:eastAsia="Calibri" w:hAnsi="Calibri" w:cs="Arial"/>
          <w:sz w:val="22"/>
          <w:szCs w:val="22"/>
          <w:lang w:eastAsia="en-US"/>
        </w:rPr>
      </w:pPr>
      <w:r w:rsidRPr="001E3301">
        <w:rPr>
          <w:rFonts w:eastAsia="Calibri"/>
          <w:szCs w:val="24"/>
          <w:lang w:eastAsia="en-US"/>
        </w:rPr>
        <w:t>Exploration for soil in northern (Mosul), middle (Baghdad) and southern (Basrah) parts of Iraq. Was carried out to find the best suitable foundation to be used in these areas. Field and laboratory tests were performed on seventy nine samples collected from these areas. The results indicated that the soil in Mosul had high to very high plasticity and its type was silty clay and clay, while, in some areas it was sand or silt. In Baghdad</w:t>
      </w:r>
      <w:r w:rsidR="00303DC9">
        <w:rPr>
          <w:rFonts w:eastAsia="Calibri"/>
          <w:szCs w:val="24"/>
          <w:lang w:eastAsia="en-US"/>
        </w:rPr>
        <w:t>,</w:t>
      </w:r>
      <w:r w:rsidRPr="001E3301">
        <w:rPr>
          <w:rFonts w:eastAsia="Calibri"/>
          <w:szCs w:val="24"/>
          <w:lang w:eastAsia="en-US"/>
        </w:rPr>
        <w:t xml:space="preserve"> the results showed that the soil had medium to high plasticity and non-plastic in few sites. Soil type was loam clay, silty clay and in some area silt. Plasticity of soil in Basrah region was medium and the soil type was clay loam and in many places it was silt or sand. </w:t>
      </w:r>
    </w:p>
    <w:p w:rsidR="001E3301" w:rsidRPr="001E3301" w:rsidRDefault="00303DC9" w:rsidP="00303DC9">
      <w:pPr>
        <w:widowControl/>
        <w:numPr>
          <w:ilvl w:val="0"/>
          <w:numId w:val="19"/>
        </w:numPr>
        <w:adjustRightInd/>
        <w:spacing w:after="200" w:line="276" w:lineRule="auto"/>
        <w:ind w:left="426"/>
        <w:contextualSpacing/>
        <w:textAlignment w:val="auto"/>
        <w:rPr>
          <w:rFonts w:ascii="Calibri" w:eastAsia="Calibri" w:hAnsi="Calibri" w:cs="Arial"/>
          <w:sz w:val="22"/>
          <w:szCs w:val="22"/>
          <w:lang w:eastAsia="en-US"/>
        </w:rPr>
      </w:pPr>
      <w:r>
        <w:rPr>
          <w:rFonts w:eastAsia="Calibri"/>
          <w:szCs w:val="24"/>
          <w:lang w:eastAsia="en-US"/>
        </w:rPr>
        <w:t>Model</w:t>
      </w:r>
      <w:r w:rsidR="001E3301" w:rsidRPr="001E3301">
        <w:rPr>
          <w:rFonts w:eastAsia="Calibri"/>
          <w:szCs w:val="24"/>
          <w:lang w:eastAsia="en-US"/>
        </w:rPr>
        <w:t xml:space="preserve"> of building was designed and analyzed using SAP2000 program specialist for structure and SAFE program specialist for foundation, depending on the calculated bearing capacities for different locations in the three regions of Iraq. The effect of loads (dead and live) on each column in the structure was transported to SAFE program. The results showed that the contours for the base pressure distribution under the foundation </w:t>
      </w:r>
      <w:r>
        <w:rPr>
          <w:rFonts w:eastAsia="Calibri"/>
          <w:szCs w:val="24"/>
          <w:lang w:eastAsia="en-US"/>
        </w:rPr>
        <w:t xml:space="preserve">is </w:t>
      </w:r>
      <w:r w:rsidR="001E3301" w:rsidRPr="001E3301">
        <w:rPr>
          <w:rFonts w:eastAsia="Calibri"/>
          <w:szCs w:val="24"/>
          <w:lang w:eastAsia="en-US"/>
        </w:rPr>
        <w:t xml:space="preserve">more accurate and more realistic compared to results from STAAD Pro program. </w:t>
      </w:r>
    </w:p>
    <w:p w:rsidR="001E3301" w:rsidRPr="001E3301" w:rsidRDefault="001E3301" w:rsidP="00303DC9">
      <w:pPr>
        <w:widowControl/>
        <w:numPr>
          <w:ilvl w:val="0"/>
          <w:numId w:val="19"/>
        </w:numPr>
        <w:tabs>
          <w:tab w:val="left" w:pos="0"/>
          <w:tab w:val="left" w:pos="426"/>
          <w:tab w:val="left" w:pos="1117"/>
        </w:tabs>
        <w:adjustRightInd/>
        <w:spacing w:after="200" w:line="276" w:lineRule="auto"/>
        <w:ind w:left="426" w:hanging="284"/>
        <w:contextualSpacing/>
        <w:textAlignment w:val="auto"/>
        <w:rPr>
          <w:rFonts w:eastAsia="Calibri"/>
          <w:szCs w:val="24"/>
          <w:lang w:eastAsia="en-US"/>
        </w:rPr>
      </w:pPr>
      <w:r w:rsidRPr="001E3301">
        <w:rPr>
          <w:rFonts w:eastAsia="Calibri"/>
          <w:szCs w:val="24"/>
          <w:lang w:eastAsia="en-US"/>
        </w:rPr>
        <w:t xml:space="preserve">The results obtained from the programs, for Mosul region </w:t>
      </w:r>
      <w:r w:rsidR="00303DC9">
        <w:rPr>
          <w:rFonts w:eastAsia="Calibri"/>
          <w:szCs w:val="24"/>
          <w:lang w:eastAsia="en-US"/>
        </w:rPr>
        <w:t xml:space="preserve">showed that </w:t>
      </w:r>
      <w:r w:rsidRPr="001E3301">
        <w:rPr>
          <w:rFonts w:eastAsia="Calibri"/>
          <w:szCs w:val="24"/>
          <w:lang w:eastAsia="en-US"/>
        </w:rPr>
        <w:t>the value for base pressure under foundation was lower than the average calculated bearing capacity in the whole area. The same results were obtained when using the worst value for bearing capacity as well. For that, the best type of foundation recommended for Mosul region is spread or continuous type for buildings with many floors and raft type foundation if basement is to be used.</w:t>
      </w:r>
    </w:p>
    <w:p w:rsidR="001E3301" w:rsidRPr="001E3301" w:rsidRDefault="001E3301" w:rsidP="008B5193">
      <w:pPr>
        <w:widowControl/>
        <w:tabs>
          <w:tab w:val="left" w:pos="0"/>
          <w:tab w:val="left" w:pos="426"/>
          <w:tab w:val="left" w:pos="1117"/>
        </w:tabs>
        <w:adjustRightInd/>
        <w:spacing w:after="200" w:line="276" w:lineRule="auto"/>
        <w:ind w:left="426"/>
        <w:contextualSpacing/>
        <w:textAlignment w:val="auto"/>
        <w:rPr>
          <w:rFonts w:eastAsia="Calibri"/>
          <w:szCs w:val="24"/>
          <w:lang w:eastAsia="en-US"/>
        </w:rPr>
      </w:pPr>
      <w:r w:rsidRPr="001E3301">
        <w:rPr>
          <w:rFonts w:eastAsia="Calibri"/>
          <w:szCs w:val="24"/>
          <w:lang w:eastAsia="en-US"/>
        </w:rPr>
        <w:t>In Baghdad region the value obtained for the base pressure under foundation did not exceed the average value of calculated bearing capacity. This makes the choice of continuous or raft foundation type is more suitable for buildings with not more than four to five floors in some locations of Baghdad. While, the results of the base pressure value were close to the worst calculated value of bearing capacity. The suitable choice for such areas is the raft or mat foundation.</w:t>
      </w:r>
    </w:p>
    <w:p w:rsidR="001E3301" w:rsidRPr="001E3301" w:rsidRDefault="001E3301" w:rsidP="001E3301">
      <w:pPr>
        <w:widowControl/>
        <w:tabs>
          <w:tab w:val="left" w:pos="0"/>
          <w:tab w:val="left" w:pos="426"/>
          <w:tab w:val="left" w:pos="1117"/>
        </w:tabs>
        <w:adjustRightInd/>
        <w:spacing w:after="200" w:line="276" w:lineRule="auto"/>
        <w:ind w:left="426"/>
        <w:contextualSpacing/>
        <w:textAlignment w:val="auto"/>
        <w:rPr>
          <w:rFonts w:eastAsia="Calibri"/>
          <w:szCs w:val="24"/>
          <w:lang w:eastAsia="en-US"/>
        </w:rPr>
      </w:pPr>
      <w:r w:rsidRPr="001E3301">
        <w:rPr>
          <w:rFonts w:eastAsia="Calibri"/>
          <w:szCs w:val="24"/>
          <w:lang w:eastAsia="en-US"/>
        </w:rPr>
        <w:t>Results for Basrah region showed that the suitable type of foundation for the average value of bearing capacity is the raft type for the normal building wi</w:t>
      </w:r>
      <w:r w:rsidR="00336CFF">
        <w:rPr>
          <w:rFonts w:eastAsia="Calibri"/>
          <w:szCs w:val="24"/>
          <w:lang w:eastAsia="en-US"/>
        </w:rPr>
        <w:t xml:space="preserve">th not more than three floors. </w:t>
      </w:r>
      <w:r w:rsidRPr="001E3301">
        <w:rPr>
          <w:rFonts w:eastAsia="Calibri"/>
          <w:szCs w:val="24"/>
          <w:lang w:eastAsia="en-US"/>
        </w:rPr>
        <w:t>This type was chosen because the value of the base pressure was less than the calculated value. The value of the base pressure obtained using worst calculated value for bearing capacity was higher. In such a case, deep foundation (piles or drilled shafts) type is recommended.</w:t>
      </w:r>
    </w:p>
    <w:p w:rsidR="001E3301" w:rsidRPr="001E3301" w:rsidRDefault="001E3301" w:rsidP="00336CFF">
      <w:pPr>
        <w:widowControl/>
        <w:tabs>
          <w:tab w:val="left" w:pos="0"/>
          <w:tab w:val="left" w:pos="426"/>
          <w:tab w:val="left" w:pos="1117"/>
        </w:tabs>
        <w:adjustRightInd/>
        <w:spacing w:after="200" w:line="276" w:lineRule="auto"/>
        <w:ind w:left="426"/>
        <w:contextualSpacing/>
        <w:textAlignment w:val="auto"/>
        <w:rPr>
          <w:rFonts w:eastAsia="Calibri"/>
          <w:szCs w:val="24"/>
          <w:lang w:eastAsia="en-US"/>
        </w:rPr>
      </w:pPr>
      <w:r w:rsidRPr="001E3301">
        <w:rPr>
          <w:rFonts w:eastAsia="Calibri"/>
          <w:szCs w:val="24"/>
          <w:lang w:eastAsia="en-US"/>
        </w:rPr>
        <w:lastRenderedPageBreak/>
        <w:t xml:space="preserve">The comparison of the results obtained from this research and the previous one (using STAAD Pro program) for the same building and areas, gave the same suggestions for the type of foundation to be used </w:t>
      </w:r>
      <w:r w:rsidR="00303DC9">
        <w:rPr>
          <w:rFonts w:eastAsia="Calibri"/>
          <w:szCs w:val="24"/>
          <w:lang w:eastAsia="en-US"/>
        </w:rPr>
        <w:t xml:space="preserve">in </w:t>
      </w:r>
      <w:r w:rsidRPr="001E3301">
        <w:rPr>
          <w:rFonts w:eastAsia="Calibri"/>
          <w:szCs w:val="24"/>
          <w:lang w:eastAsia="en-US"/>
        </w:rPr>
        <w:t xml:space="preserve">the three regions (Mosul, Baghdad, and Basrah) due to the fact that, the values of base pressure obtained from STAAD Pro and SAP2000, SAFE programs were </w:t>
      </w:r>
      <w:r w:rsidR="00336CFF">
        <w:rPr>
          <w:rFonts w:eastAsia="Calibri"/>
          <w:szCs w:val="24"/>
          <w:lang w:eastAsia="en-US"/>
        </w:rPr>
        <w:t>c</w:t>
      </w:r>
      <w:r w:rsidR="00336CFF" w:rsidRPr="00336CFF">
        <w:rPr>
          <w:rFonts w:eastAsia="Calibri"/>
          <w:szCs w:val="24"/>
          <w:lang w:eastAsia="en-US"/>
        </w:rPr>
        <w:t xml:space="preserve">onvergent with each </w:t>
      </w:r>
      <w:r w:rsidRPr="001E3301">
        <w:rPr>
          <w:rFonts w:eastAsia="Calibri"/>
          <w:szCs w:val="24"/>
          <w:lang w:eastAsia="en-US"/>
        </w:rPr>
        <w:t xml:space="preserve">other. These differences were related to the finite element technique used in each program. Moreover, the value of base pressure in any area under the foundation in SAFE program can be obtained directly from the contour.  </w:t>
      </w:r>
    </w:p>
    <w:p w:rsidR="001B6DB9" w:rsidRDefault="001B6DB9">
      <w:pPr>
        <w:widowControl/>
        <w:autoSpaceDE w:val="0"/>
        <w:autoSpaceDN w:val="0"/>
        <w:spacing w:line="240" w:lineRule="auto"/>
        <w:textAlignment w:val="bottom"/>
        <w:rPr>
          <w:b/>
          <w:color w:val="000000"/>
          <w:sz w:val="30"/>
          <w:szCs w:val="30"/>
        </w:rPr>
      </w:pPr>
    </w:p>
    <w:p w:rsidR="001B6DB9" w:rsidRDefault="001B6DB9">
      <w:pPr>
        <w:widowControl/>
        <w:autoSpaceDE w:val="0"/>
        <w:autoSpaceDN w:val="0"/>
        <w:spacing w:line="240" w:lineRule="auto"/>
        <w:textAlignment w:val="bottom"/>
        <w:rPr>
          <w:b/>
          <w:color w:val="000000"/>
          <w:sz w:val="30"/>
          <w:szCs w:val="30"/>
        </w:rPr>
      </w:pPr>
    </w:p>
    <w:p w:rsidR="00E74776" w:rsidRDefault="00E74776">
      <w:pPr>
        <w:widowControl/>
        <w:autoSpaceDE w:val="0"/>
        <w:autoSpaceDN w:val="0"/>
        <w:spacing w:line="240" w:lineRule="auto"/>
        <w:textAlignment w:val="bottom"/>
        <w:rPr>
          <w:b/>
          <w:color w:val="000000"/>
          <w:sz w:val="30"/>
          <w:szCs w:val="30"/>
        </w:rPr>
      </w:pPr>
      <w:r w:rsidRPr="000574E9">
        <w:rPr>
          <w:b/>
          <w:color w:val="000000"/>
          <w:sz w:val="30"/>
          <w:szCs w:val="30"/>
        </w:rPr>
        <w:t>References</w:t>
      </w:r>
    </w:p>
    <w:p w:rsidR="001E3301" w:rsidRDefault="001E3301">
      <w:pPr>
        <w:widowControl/>
        <w:autoSpaceDE w:val="0"/>
        <w:autoSpaceDN w:val="0"/>
        <w:spacing w:line="240" w:lineRule="auto"/>
        <w:textAlignment w:val="bottom"/>
        <w:rPr>
          <w:b/>
          <w:color w:val="000000"/>
          <w:sz w:val="30"/>
          <w:szCs w:val="30"/>
        </w:rPr>
      </w:pPr>
    </w:p>
    <w:p w:rsidR="001E3301" w:rsidRDefault="001E3301" w:rsidP="001E3301">
      <w:pPr>
        <w:spacing w:line="240" w:lineRule="exact"/>
        <w:rPr>
          <w:rFonts w:eastAsia="SimSun"/>
          <w:color w:val="000000"/>
          <w:szCs w:val="24"/>
          <w:lang w:val="en-GB"/>
        </w:rPr>
      </w:pPr>
      <w:r w:rsidRPr="001E3301">
        <w:rPr>
          <w:bCs/>
          <w:color w:val="000000"/>
          <w:szCs w:val="24"/>
          <w:lang w:bidi="ar-IQ"/>
        </w:rPr>
        <w:t>[1]D</w:t>
      </w:r>
      <w:r>
        <w:rPr>
          <w:b/>
          <w:color w:val="000000"/>
          <w:szCs w:val="24"/>
          <w:lang w:bidi="ar-IQ"/>
        </w:rPr>
        <w:t xml:space="preserve">. </w:t>
      </w:r>
      <w:r w:rsidRPr="001E3301">
        <w:rPr>
          <w:bCs/>
          <w:color w:val="000000"/>
          <w:szCs w:val="24"/>
          <w:lang w:bidi="ar-IQ"/>
        </w:rPr>
        <w:t>P</w:t>
      </w:r>
      <w:r>
        <w:rPr>
          <w:b/>
          <w:color w:val="000000"/>
          <w:szCs w:val="24"/>
          <w:lang w:bidi="ar-IQ"/>
        </w:rPr>
        <w:t>.</w:t>
      </w:r>
      <w:r w:rsidRPr="001E3301">
        <w:rPr>
          <w:b/>
          <w:color w:val="000000"/>
          <w:szCs w:val="24"/>
          <w:lang w:bidi="ar-IQ"/>
        </w:rPr>
        <w:t xml:space="preserve"> </w:t>
      </w:r>
      <w:r w:rsidRPr="001E3301">
        <w:rPr>
          <w:rFonts w:eastAsia="SimSun"/>
          <w:color w:val="000000"/>
          <w:szCs w:val="24"/>
          <w:lang w:val="en-GB"/>
        </w:rPr>
        <w:t>Coduto, Foundation Design: principles and practices, 2</w:t>
      </w:r>
      <w:r w:rsidRPr="001E3301">
        <w:rPr>
          <w:rFonts w:eastAsia="SimSun"/>
          <w:color w:val="000000"/>
          <w:szCs w:val="24"/>
          <w:vertAlign w:val="superscript"/>
          <w:lang w:val="en-GB"/>
        </w:rPr>
        <w:t>nd</w:t>
      </w:r>
      <w:r w:rsidRPr="001E3301">
        <w:rPr>
          <w:rFonts w:eastAsia="SimSun"/>
          <w:color w:val="000000"/>
          <w:szCs w:val="24"/>
          <w:lang w:val="en-GB"/>
        </w:rPr>
        <w:t xml:space="preserve"> edition, printed by Prentice-Hall, Inc., New Jersey, USA</w:t>
      </w:r>
      <w:r>
        <w:rPr>
          <w:rFonts w:eastAsia="SimSun"/>
          <w:color w:val="000000"/>
          <w:szCs w:val="24"/>
          <w:lang w:val="en-GB"/>
        </w:rPr>
        <w:t>, 2001.</w:t>
      </w:r>
    </w:p>
    <w:p w:rsidR="001E3301" w:rsidRDefault="001E3301" w:rsidP="001E3301">
      <w:pPr>
        <w:spacing w:line="240" w:lineRule="exact"/>
        <w:rPr>
          <w:rFonts w:eastAsia="SimSun"/>
          <w:color w:val="000000"/>
          <w:szCs w:val="24"/>
          <w:lang w:val="en-GB"/>
        </w:rPr>
      </w:pPr>
    </w:p>
    <w:p w:rsidR="001E3301" w:rsidRDefault="001E3301" w:rsidP="001E3301">
      <w:pPr>
        <w:autoSpaceDE w:val="0"/>
        <w:autoSpaceDN w:val="0"/>
        <w:spacing w:line="240" w:lineRule="auto"/>
        <w:rPr>
          <w:szCs w:val="24"/>
          <w:lang w:val="en-GB"/>
        </w:rPr>
      </w:pPr>
      <w:r w:rsidRPr="001E3301">
        <w:rPr>
          <w:rFonts w:eastAsia="SimSun"/>
          <w:color w:val="000000"/>
          <w:szCs w:val="24"/>
          <w:lang w:val="en-GB"/>
        </w:rPr>
        <w:t>[2]</w:t>
      </w:r>
      <w:r w:rsidRPr="001E3301">
        <w:rPr>
          <w:szCs w:val="24"/>
          <w:lang w:val="en-GB"/>
        </w:rPr>
        <w:t xml:space="preserve"> </w:t>
      </w:r>
      <w:r>
        <w:rPr>
          <w:szCs w:val="24"/>
          <w:lang w:val="en-GB"/>
        </w:rPr>
        <w:t xml:space="preserve">K. </w:t>
      </w:r>
      <w:r w:rsidRPr="001E3301">
        <w:rPr>
          <w:szCs w:val="24"/>
          <w:lang w:val="en-GB"/>
        </w:rPr>
        <w:t>Terzaghi</w:t>
      </w:r>
      <w:r>
        <w:rPr>
          <w:szCs w:val="24"/>
          <w:lang w:val="en-GB"/>
        </w:rPr>
        <w:t>, R. B.</w:t>
      </w:r>
      <w:r w:rsidRPr="001E3301">
        <w:rPr>
          <w:szCs w:val="24"/>
          <w:lang w:val="en-GB"/>
        </w:rPr>
        <w:t xml:space="preserve"> Peck</w:t>
      </w:r>
      <w:r>
        <w:rPr>
          <w:szCs w:val="24"/>
          <w:lang w:val="en-GB"/>
        </w:rPr>
        <w:t xml:space="preserve"> </w:t>
      </w:r>
      <w:r w:rsidRPr="001E3301">
        <w:rPr>
          <w:szCs w:val="24"/>
          <w:lang w:val="en-GB"/>
        </w:rPr>
        <w:t>and</w:t>
      </w:r>
      <w:r>
        <w:rPr>
          <w:szCs w:val="24"/>
          <w:lang w:val="en-GB"/>
        </w:rPr>
        <w:t xml:space="preserve"> G.</w:t>
      </w:r>
      <w:r w:rsidRPr="001E3301">
        <w:rPr>
          <w:szCs w:val="24"/>
          <w:lang w:val="en-GB"/>
        </w:rPr>
        <w:t xml:space="preserve"> Mesri, Soil Mechanics in Engineering Practice, 3</w:t>
      </w:r>
      <w:r w:rsidRPr="001E3301">
        <w:rPr>
          <w:szCs w:val="24"/>
          <w:vertAlign w:val="superscript"/>
          <w:lang w:val="en-GB"/>
        </w:rPr>
        <w:t>rd</w:t>
      </w:r>
      <w:r w:rsidRPr="001E3301">
        <w:rPr>
          <w:szCs w:val="24"/>
          <w:lang w:val="en-GB"/>
        </w:rPr>
        <w:t>, John Wiley &amp; Sons, Inc., New York, USA</w:t>
      </w:r>
      <w:r>
        <w:rPr>
          <w:szCs w:val="24"/>
          <w:lang w:val="en-GB"/>
        </w:rPr>
        <w:t>, 1996</w:t>
      </w:r>
      <w:r w:rsidRPr="001E3301">
        <w:rPr>
          <w:szCs w:val="24"/>
          <w:lang w:val="en-GB"/>
        </w:rPr>
        <w:t>.</w:t>
      </w:r>
    </w:p>
    <w:p w:rsidR="001E3301" w:rsidRDefault="001E3301" w:rsidP="001E3301">
      <w:pPr>
        <w:autoSpaceDE w:val="0"/>
        <w:autoSpaceDN w:val="0"/>
        <w:spacing w:line="240" w:lineRule="auto"/>
        <w:rPr>
          <w:szCs w:val="24"/>
          <w:lang w:val="en-GB"/>
        </w:rPr>
      </w:pPr>
    </w:p>
    <w:p w:rsidR="00850290" w:rsidRDefault="001E3301" w:rsidP="00850290">
      <w:pPr>
        <w:spacing w:line="240" w:lineRule="exact"/>
        <w:rPr>
          <w:rFonts w:eastAsia="SimSun"/>
          <w:color w:val="000000"/>
          <w:szCs w:val="24"/>
          <w:lang w:val="en-GB"/>
        </w:rPr>
      </w:pPr>
      <w:r w:rsidRPr="00850290">
        <w:rPr>
          <w:szCs w:val="24"/>
          <w:lang w:val="en-GB"/>
        </w:rPr>
        <w:t>[3]</w:t>
      </w:r>
      <w:r w:rsidR="00850290">
        <w:rPr>
          <w:szCs w:val="24"/>
          <w:lang w:val="en-GB"/>
        </w:rPr>
        <w:t xml:space="preserve"> B. M.</w:t>
      </w:r>
      <w:r w:rsidR="00850290" w:rsidRPr="00850290">
        <w:rPr>
          <w:rFonts w:eastAsia="SimSun"/>
          <w:color w:val="000000"/>
          <w:szCs w:val="24"/>
          <w:lang w:val="en-GB"/>
        </w:rPr>
        <w:t xml:space="preserve"> Das, Shallow Foundation: bearing capacity and settlement, 2</w:t>
      </w:r>
      <w:r w:rsidR="00850290" w:rsidRPr="00850290">
        <w:rPr>
          <w:rFonts w:eastAsia="SimSun"/>
          <w:color w:val="000000"/>
          <w:szCs w:val="24"/>
          <w:vertAlign w:val="superscript"/>
          <w:lang w:val="en-GB"/>
        </w:rPr>
        <w:t>nd</w:t>
      </w:r>
      <w:r w:rsidR="00850290" w:rsidRPr="00850290">
        <w:rPr>
          <w:rFonts w:eastAsia="SimSun"/>
          <w:color w:val="000000"/>
          <w:szCs w:val="24"/>
          <w:lang w:val="en-GB"/>
        </w:rPr>
        <w:t xml:space="preserve"> edition, press Taylor &amp; Francis group, New York, USA</w:t>
      </w:r>
      <w:r w:rsidR="00850290">
        <w:rPr>
          <w:rFonts w:eastAsia="SimSun"/>
          <w:color w:val="000000"/>
          <w:szCs w:val="24"/>
          <w:lang w:val="en-GB"/>
        </w:rPr>
        <w:t>, 2009</w:t>
      </w:r>
      <w:r w:rsidR="00850290" w:rsidRPr="00850290">
        <w:rPr>
          <w:rFonts w:eastAsia="SimSun"/>
          <w:color w:val="000000"/>
          <w:szCs w:val="24"/>
          <w:lang w:val="en-GB"/>
        </w:rPr>
        <w:t>.</w:t>
      </w:r>
    </w:p>
    <w:p w:rsidR="00850290" w:rsidRDefault="00850290" w:rsidP="00850290">
      <w:pPr>
        <w:spacing w:line="240" w:lineRule="exact"/>
        <w:rPr>
          <w:rFonts w:eastAsia="SimSun"/>
          <w:color w:val="000000"/>
          <w:szCs w:val="24"/>
          <w:lang w:val="en-GB"/>
        </w:rPr>
      </w:pPr>
    </w:p>
    <w:p w:rsidR="00850290" w:rsidRDefault="00850290" w:rsidP="00850290">
      <w:pPr>
        <w:autoSpaceDE w:val="0"/>
        <w:autoSpaceDN w:val="0"/>
        <w:spacing w:line="240" w:lineRule="auto"/>
        <w:rPr>
          <w:szCs w:val="24"/>
          <w:lang w:val="en-GB"/>
        </w:rPr>
      </w:pPr>
      <w:r w:rsidRPr="00850290">
        <w:rPr>
          <w:rFonts w:eastAsia="SimSun"/>
          <w:color w:val="000000"/>
          <w:szCs w:val="24"/>
          <w:lang w:val="en-GB"/>
        </w:rPr>
        <w:t>[4]</w:t>
      </w:r>
      <w:r>
        <w:rPr>
          <w:rFonts w:eastAsia="SimSun"/>
          <w:color w:val="000000"/>
          <w:szCs w:val="24"/>
          <w:lang w:val="en-GB"/>
        </w:rPr>
        <w:t xml:space="preserve"> N. S. V.</w:t>
      </w:r>
      <w:r w:rsidRPr="00850290">
        <w:rPr>
          <w:rFonts w:eastAsia="SimSun"/>
          <w:color w:val="000000"/>
          <w:szCs w:val="24"/>
          <w:lang w:val="en-GB"/>
        </w:rPr>
        <w:t xml:space="preserve"> </w:t>
      </w:r>
      <w:r w:rsidRPr="00850290">
        <w:rPr>
          <w:szCs w:val="24"/>
          <w:lang w:val="en-GB"/>
        </w:rPr>
        <w:t xml:space="preserve">Kameswara Rao, Foundation Design theory and practice, </w:t>
      </w:r>
      <w:r w:rsidRPr="00850290">
        <w:rPr>
          <w:rFonts w:ascii="Times-Roman" w:hAnsi="Times-Roman" w:cs="Times-Roman"/>
          <w:szCs w:val="24"/>
          <w:lang w:val="en-GB"/>
        </w:rPr>
        <w:t>John Wiley &amp; Sons</w:t>
      </w:r>
      <w:r w:rsidRPr="00850290">
        <w:rPr>
          <w:rFonts w:ascii="AdvP41153C" w:hAnsi="AdvP41153C" w:cs="AdvP41153C"/>
          <w:sz w:val="16"/>
          <w:szCs w:val="16"/>
          <w:lang w:val="en-GB"/>
        </w:rPr>
        <w:t xml:space="preserve"> </w:t>
      </w:r>
      <w:r w:rsidRPr="00850290">
        <w:rPr>
          <w:szCs w:val="24"/>
          <w:lang w:val="en-GB"/>
        </w:rPr>
        <w:t>(Asia) Pte Ltd, Singapore</w:t>
      </w:r>
      <w:r>
        <w:rPr>
          <w:szCs w:val="24"/>
          <w:lang w:val="en-GB"/>
        </w:rPr>
        <w:t>, 2011</w:t>
      </w:r>
      <w:r w:rsidRPr="00850290">
        <w:rPr>
          <w:szCs w:val="24"/>
          <w:lang w:val="en-GB"/>
        </w:rPr>
        <w:t>.</w:t>
      </w:r>
    </w:p>
    <w:p w:rsidR="00850290" w:rsidRDefault="00850290" w:rsidP="00850290">
      <w:pPr>
        <w:autoSpaceDE w:val="0"/>
        <w:autoSpaceDN w:val="0"/>
        <w:spacing w:line="240" w:lineRule="auto"/>
        <w:rPr>
          <w:szCs w:val="24"/>
          <w:lang w:val="en-GB"/>
        </w:rPr>
      </w:pPr>
    </w:p>
    <w:p w:rsidR="00850290" w:rsidRDefault="00850290" w:rsidP="00850290">
      <w:pPr>
        <w:spacing w:after="80" w:line="240" w:lineRule="auto"/>
        <w:rPr>
          <w:rFonts w:eastAsia="Calibri"/>
          <w:szCs w:val="24"/>
        </w:rPr>
      </w:pPr>
      <w:r w:rsidRPr="00850290">
        <w:rPr>
          <w:szCs w:val="24"/>
          <w:lang w:val="en-GB"/>
        </w:rPr>
        <w:t>[5]</w:t>
      </w:r>
      <w:r>
        <w:rPr>
          <w:szCs w:val="24"/>
          <w:lang w:val="en-GB"/>
        </w:rPr>
        <w:t xml:space="preserve"> B. M. A. A.</w:t>
      </w:r>
      <w:r w:rsidRPr="00850290">
        <w:rPr>
          <w:szCs w:val="24"/>
          <w:lang w:val="en-GB"/>
        </w:rPr>
        <w:t xml:space="preserve"> </w:t>
      </w:r>
      <w:r w:rsidRPr="00850290">
        <w:rPr>
          <w:rFonts w:eastAsia="SimSun"/>
          <w:color w:val="000000"/>
          <w:szCs w:val="24"/>
          <w:lang w:val="en-GB"/>
        </w:rPr>
        <w:t xml:space="preserve">Al-Imam, </w:t>
      </w:r>
      <w:r w:rsidRPr="00850290">
        <w:rPr>
          <w:rFonts w:eastAsia="Times New Roman" w:cs="Simplified Arabic"/>
          <w:szCs w:val="24"/>
          <w:lang w:bidi="ar-IQ"/>
        </w:rPr>
        <w:t xml:space="preserve">Primary Study to Execution and Testing Geotechnical Model Based on GIS Technique in the Left Side of Mosul City, PhD thesis,  </w:t>
      </w:r>
      <w:r w:rsidRPr="00850290">
        <w:rPr>
          <w:rFonts w:eastAsia="Times New Roman" w:cs="Simplified Arabic"/>
          <w:rtl/>
          <w:lang w:bidi="ar-IQ"/>
        </w:rPr>
        <w:t xml:space="preserve"> </w:t>
      </w:r>
      <w:r w:rsidRPr="00850290">
        <w:rPr>
          <w:rFonts w:eastAsia="Calibri"/>
          <w:szCs w:val="24"/>
        </w:rPr>
        <w:t>College of Engineering,  University of Mosul, Iraq</w:t>
      </w:r>
      <w:r>
        <w:rPr>
          <w:rFonts w:eastAsia="Calibri"/>
          <w:szCs w:val="24"/>
        </w:rPr>
        <w:t>, 2013</w:t>
      </w:r>
    </w:p>
    <w:p w:rsidR="00362B4F" w:rsidRDefault="00362B4F" w:rsidP="00850290">
      <w:pPr>
        <w:spacing w:after="80" w:line="240" w:lineRule="auto"/>
        <w:rPr>
          <w:rFonts w:eastAsia="Calibri"/>
          <w:szCs w:val="24"/>
        </w:rPr>
      </w:pPr>
    </w:p>
    <w:p w:rsidR="00362B4F" w:rsidRDefault="00362B4F" w:rsidP="00362B4F">
      <w:pPr>
        <w:spacing w:line="240" w:lineRule="exact"/>
        <w:rPr>
          <w:rFonts w:eastAsia="SimSun"/>
          <w:color w:val="000000"/>
          <w:szCs w:val="24"/>
          <w:lang w:val="en-GB"/>
        </w:rPr>
      </w:pPr>
      <w:proofErr w:type="gramStart"/>
      <w:r w:rsidRPr="00362B4F">
        <w:rPr>
          <w:rFonts w:eastAsia="Calibri"/>
          <w:szCs w:val="24"/>
        </w:rPr>
        <w:t>[6]</w:t>
      </w:r>
      <w:r>
        <w:rPr>
          <w:rFonts w:eastAsia="Calibri"/>
          <w:szCs w:val="24"/>
        </w:rPr>
        <w:t xml:space="preserve"> B. M.</w:t>
      </w:r>
      <w:r w:rsidRPr="00362B4F">
        <w:rPr>
          <w:rFonts w:eastAsia="SimSun"/>
          <w:color w:val="000000"/>
          <w:szCs w:val="24"/>
          <w:lang w:val="en-GB"/>
        </w:rPr>
        <w:t xml:space="preserve"> Das, Principles of Foundation Engineers, 7</w:t>
      </w:r>
      <w:r w:rsidRPr="00362B4F">
        <w:rPr>
          <w:rFonts w:eastAsia="SimSun"/>
          <w:color w:val="000000"/>
          <w:szCs w:val="24"/>
          <w:vertAlign w:val="superscript"/>
          <w:lang w:val="en-GB"/>
        </w:rPr>
        <w:t>TH</w:t>
      </w:r>
      <w:r w:rsidRPr="00362B4F">
        <w:rPr>
          <w:rFonts w:eastAsia="SimSun"/>
          <w:color w:val="000000"/>
          <w:szCs w:val="24"/>
          <w:lang w:val="en-GB"/>
        </w:rPr>
        <w:t xml:space="preserve"> edition, Cengage learning, Stamford, USA</w:t>
      </w:r>
      <w:r>
        <w:rPr>
          <w:rFonts w:eastAsia="SimSun"/>
          <w:color w:val="000000"/>
          <w:szCs w:val="24"/>
          <w:lang w:val="en-GB"/>
        </w:rPr>
        <w:t>, 2011</w:t>
      </w:r>
      <w:r w:rsidRPr="00362B4F">
        <w:rPr>
          <w:rFonts w:eastAsia="SimSun"/>
          <w:color w:val="000000"/>
          <w:szCs w:val="24"/>
          <w:lang w:val="en-GB"/>
        </w:rPr>
        <w:t>.</w:t>
      </w:r>
      <w:proofErr w:type="gramEnd"/>
    </w:p>
    <w:p w:rsidR="00362B4F" w:rsidRDefault="00362B4F" w:rsidP="00362B4F">
      <w:pPr>
        <w:spacing w:line="240" w:lineRule="exact"/>
        <w:rPr>
          <w:rFonts w:eastAsia="SimSun"/>
          <w:color w:val="000000"/>
          <w:szCs w:val="24"/>
          <w:lang w:val="en-GB"/>
        </w:rPr>
      </w:pPr>
    </w:p>
    <w:p w:rsidR="00362B4F" w:rsidRDefault="00362B4F" w:rsidP="00362B4F">
      <w:pPr>
        <w:autoSpaceDE w:val="0"/>
        <w:autoSpaceDN w:val="0"/>
        <w:spacing w:line="240" w:lineRule="auto"/>
        <w:rPr>
          <w:szCs w:val="24"/>
          <w:lang w:val="en-GB"/>
        </w:rPr>
      </w:pPr>
      <w:r w:rsidRPr="00362B4F">
        <w:rPr>
          <w:rFonts w:eastAsia="SimSun"/>
          <w:color w:val="000000"/>
          <w:szCs w:val="24"/>
          <w:lang w:val="en-GB"/>
        </w:rPr>
        <w:t>[7]</w:t>
      </w:r>
      <w:r w:rsidRPr="00362B4F">
        <w:rPr>
          <w:szCs w:val="24"/>
          <w:lang w:val="en-GB"/>
        </w:rPr>
        <w:t xml:space="preserve"> </w:t>
      </w:r>
      <w:r>
        <w:rPr>
          <w:szCs w:val="24"/>
          <w:lang w:val="en-GB"/>
        </w:rPr>
        <w:t>J.</w:t>
      </w:r>
      <w:r w:rsidRPr="00362B4F">
        <w:rPr>
          <w:szCs w:val="24"/>
          <w:lang w:val="en-GB"/>
        </w:rPr>
        <w:t>Riseborough</w:t>
      </w:r>
      <w:r>
        <w:rPr>
          <w:szCs w:val="24"/>
          <w:lang w:val="en-GB"/>
        </w:rPr>
        <w:t xml:space="preserve"> </w:t>
      </w:r>
      <w:r w:rsidRPr="00362B4F">
        <w:rPr>
          <w:szCs w:val="24"/>
          <w:lang w:val="en-GB"/>
        </w:rPr>
        <w:t xml:space="preserve">and </w:t>
      </w:r>
      <w:r>
        <w:rPr>
          <w:szCs w:val="24"/>
          <w:lang w:val="en-GB"/>
        </w:rPr>
        <w:t xml:space="preserve">S. </w:t>
      </w:r>
      <w:r w:rsidRPr="00362B4F">
        <w:rPr>
          <w:szCs w:val="24"/>
          <w:lang w:val="en-GB"/>
        </w:rPr>
        <w:t>Tysl, LRFD implementation of shallow spread footing for bridge structures, Contech engineering solution,</w:t>
      </w:r>
      <w:r>
        <w:rPr>
          <w:szCs w:val="24"/>
          <w:lang w:val="en-GB"/>
        </w:rPr>
        <w:t xml:space="preserve"> 2010.</w:t>
      </w:r>
      <w:r w:rsidRPr="00362B4F">
        <w:rPr>
          <w:szCs w:val="24"/>
          <w:lang w:val="en-GB"/>
        </w:rPr>
        <w:t xml:space="preserve"> </w:t>
      </w:r>
      <w:hyperlink r:id="rId27" w:history="1">
        <w:r w:rsidRPr="00362B4F">
          <w:rPr>
            <w:color w:val="0000FF"/>
            <w:szCs w:val="24"/>
            <w:u w:val="single"/>
            <w:lang w:val="en-GB"/>
          </w:rPr>
          <w:t>www.conteches.com</w:t>
        </w:r>
      </w:hyperlink>
      <w:r w:rsidRPr="00362B4F">
        <w:rPr>
          <w:szCs w:val="24"/>
          <w:lang w:val="en-GB"/>
        </w:rPr>
        <w:t xml:space="preserve"> .</w:t>
      </w:r>
    </w:p>
    <w:p w:rsidR="00362B4F" w:rsidRDefault="00362B4F" w:rsidP="00362B4F">
      <w:pPr>
        <w:autoSpaceDE w:val="0"/>
        <w:autoSpaceDN w:val="0"/>
        <w:spacing w:line="240" w:lineRule="auto"/>
        <w:rPr>
          <w:szCs w:val="24"/>
          <w:lang w:val="en-GB"/>
        </w:rPr>
      </w:pPr>
    </w:p>
    <w:p w:rsidR="0021715A" w:rsidRPr="00F35188" w:rsidRDefault="00362B4F" w:rsidP="0021715A">
      <w:pPr>
        <w:autoSpaceDE w:val="0"/>
        <w:autoSpaceDN w:val="0"/>
        <w:spacing w:line="240" w:lineRule="auto"/>
        <w:rPr>
          <w:szCs w:val="24"/>
        </w:rPr>
      </w:pPr>
      <w:r w:rsidRPr="00F35188">
        <w:rPr>
          <w:szCs w:val="24"/>
        </w:rPr>
        <w:t xml:space="preserve">[8] J. B. Hansen and S. </w:t>
      </w:r>
      <w:proofErr w:type="spellStart"/>
      <w:r w:rsidRPr="00F35188">
        <w:rPr>
          <w:szCs w:val="24"/>
        </w:rPr>
        <w:t>I</w:t>
      </w:r>
      <w:r w:rsidR="0021715A" w:rsidRPr="00F35188">
        <w:rPr>
          <w:szCs w:val="24"/>
        </w:rPr>
        <w:t>nan</w:t>
      </w:r>
      <w:proofErr w:type="spellEnd"/>
      <w:r w:rsidR="0021715A" w:rsidRPr="00F35188">
        <w:rPr>
          <w:szCs w:val="24"/>
        </w:rPr>
        <w:t xml:space="preserve">, Bulletin No. 28, </w:t>
      </w:r>
      <w:proofErr w:type="spellStart"/>
      <w:r w:rsidR="0021715A" w:rsidRPr="00F35188">
        <w:rPr>
          <w:szCs w:val="24"/>
        </w:rPr>
        <w:t>geoteknisk</w:t>
      </w:r>
      <w:proofErr w:type="spellEnd"/>
      <w:r w:rsidR="0021715A" w:rsidRPr="00F35188">
        <w:rPr>
          <w:szCs w:val="24"/>
        </w:rPr>
        <w:t xml:space="preserve"> </w:t>
      </w:r>
      <w:proofErr w:type="spellStart"/>
      <w:r w:rsidR="0021715A" w:rsidRPr="00F35188">
        <w:rPr>
          <w:szCs w:val="24"/>
        </w:rPr>
        <w:t>institut</w:t>
      </w:r>
      <w:proofErr w:type="spellEnd"/>
      <w:r w:rsidR="0021715A" w:rsidRPr="00F35188">
        <w:rPr>
          <w:szCs w:val="24"/>
        </w:rPr>
        <w:t>, Copenhagen, 1970.</w:t>
      </w:r>
    </w:p>
    <w:p w:rsidR="00AF7713" w:rsidRPr="00F35188" w:rsidRDefault="00AF7713" w:rsidP="0021715A">
      <w:pPr>
        <w:autoSpaceDE w:val="0"/>
        <w:autoSpaceDN w:val="0"/>
        <w:spacing w:line="240" w:lineRule="auto"/>
        <w:rPr>
          <w:szCs w:val="24"/>
        </w:rPr>
      </w:pPr>
    </w:p>
    <w:p w:rsidR="00AF7713" w:rsidRDefault="00AF7713" w:rsidP="00AF7713">
      <w:pPr>
        <w:spacing w:line="240" w:lineRule="auto"/>
        <w:rPr>
          <w:rFonts w:eastAsia="Calibri"/>
          <w:szCs w:val="24"/>
        </w:rPr>
      </w:pPr>
      <w:r w:rsidRPr="00AF7713">
        <w:rPr>
          <w:szCs w:val="24"/>
        </w:rPr>
        <w:t xml:space="preserve">[9] </w:t>
      </w:r>
      <w:r>
        <w:rPr>
          <w:szCs w:val="24"/>
        </w:rPr>
        <w:t xml:space="preserve">M. O. </w:t>
      </w:r>
      <w:r w:rsidRPr="00AF7713">
        <w:rPr>
          <w:rFonts w:eastAsia="SimSun"/>
          <w:color w:val="000000"/>
          <w:szCs w:val="24"/>
        </w:rPr>
        <w:t xml:space="preserve">Al-Ashou, Expansive properties of the clay in Mosul area, M.Sc. thesis, </w:t>
      </w:r>
      <w:r w:rsidRPr="00AF7713">
        <w:rPr>
          <w:rFonts w:eastAsia="Calibri"/>
          <w:szCs w:val="24"/>
        </w:rPr>
        <w:t>College of Engineering, University of Mosul, Iraq</w:t>
      </w:r>
      <w:r>
        <w:rPr>
          <w:rFonts w:eastAsia="Calibri"/>
          <w:szCs w:val="24"/>
        </w:rPr>
        <w:t>, 1977</w:t>
      </w:r>
      <w:r w:rsidRPr="00AF7713">
        <w:rPr>
          <w:rFonts w:eastAsia="Calibri"/>
          <w:szCs w:val="24"/>
        </w:rPr>
        <w:t>.</w:t>
      </w:r>
    </w:p>
    <w:p w:rsidR="00AF7713" w:rsidRDefault="00AF7713" w:rsidP="00AF7713">
      <w:pPr>
        <w:spacing w:line="240" w:lineRule="auto"/>
        <w:rPr>
          <w:rFonts w:eastAsia="Calibri"/>
          <w:szCs w:val="24"/>
        </w:rPr>
      </w:pPr>
    </w:p>
    <w:p w:rsidR="00AF7713" w:rsidRDefault="00AF7713" w:rsidP="00AF7713">
      <w:pPr>
        <w:spacing w:line="240" w:lineRule="exact"/>
        <w:rPr>
          <w:rFonts w:eastAsia="SimSun"/>
          <w:color w:val="000000"/>
          <w:szCs w:val="24"/>
          <w:lang w:val="en-GB"/>
        </w:rPr>
      </w:pPr>
      <w:r w:rsidRPr="00AF7713">
        <w:rPr>
          <w:rFonts w:eastAsia="Calibri"/>
          <w:szCs w:val="24"/>
        </w:rPr>
        <w:t>[10]</w:t>
      </w:r>
      <w:r>
        <w:rPr>
          <w:rFonts w:eastAsia="Calibri"/>
          <w:szCs w:val="24"/>
        </w:rPr>
        <w:t xml:space="preserve">A. H. T. </w:t>
      </w:r>
      <w:r w:rsidRPr="00AF7713">
        <w:rPr>
          <w:rFonts w:eastAsia="SimSun"/>
          <w:color w:val="000000"/>
          <w:szCs w:val="24"/>
          <w:lang w:val="en-GB"/>
        </w:rPr>
        <w:t xml:space="preserve">Al-Zubaydi, Effect of Wetting and Drying Cycles on Swell/Collapse </w:t>
      </w:r>
      <w:r w:rsidRPr="00AF7713">
        <w:rPr>
          <w:rFonts w:eastAsia="SimSun"/>
          <w:color w:val="000000"/>
          <w:szCs w:val="24"/>
          <w:lang w:val="en-GB"/>
        </w:rPr>
        <w:lastRenderedPageBreak/>
        <w:t>Behaviour and Cracks of Fine – Grained Soils, Tikrit Journal of Engineering. Sciences, Vol.18, No.4,</w:t>
      </w:r>
      <w:r>
        <w:rPr>
          <w:rFonts w:eastAsia="SimSun"/>
          <w:color w:val="000000"/>
          <w:szCs w:val="24"/>
          <w:lang w:val="en-GB"/>
        </w:rPr>
        <w:t xml:space="preserve"> (2011),</w:t>
      </w:r>
      <w:r w:rsidRPr="00AF7713">
        <w:rPr>
          <w:rFonts w:eastAsia="SimSun"/>
          <w:color w:val="000000"/>
          <w:szCs w:val="24"/>
          <w:lang w:val="en-GB"/>
        </w:rPr>
        <w:t xml:space="preserve"> </w:t>
      </w:r>
      <w:r>
        <w:rPr>
          <w:rFonts w:eastAsia="SimSun"/>
          <w:color w:val="000000"/>
          <w:szCs w:val="24"/>
          <w:lang w:val="en-GB"/>
        </w:rPr>
        <w:t>71-79</w:t>
      </w:r>
      <w:r w:rsidRPr="00AF7713">
        <w:rPr>
          <w:rFonts w:eastAsia="SimSun"/>
          <w:color w:val="000000"/>
          <w:szCs w:val="24"/>
          <w:lang w:val="en-GB"/>
        </w:rPr>
        <w:t>.</w:t>
      </w:r>
      <w:r w:rsidRPr="00AF7713">
        <w:rPr>
          <w:rFonts w:eastAsia="SimSun"/>
          <w:color w:val="000000"/>
          <w:szCs w:val="24"/>
          <w:lang w:val="en-GB"/>
        </w:rPr>
        <w:cr/>
      </w:r>
    </w:p>
    <w:p w:rsidR="00AF7713" w:rsidRDefault="00AF7713" w:rsidP="00737B2D">
      <w:pPr>
        <w:spacing w:after="80" w:line="240" w:lineRule="auto"/>
        <w:rPr>
          <w:rFonts w:eastAsia="Times New Roman"/>
          <w:szCs w:val="24"/>
          <w:lang w:bidi="ar-IQ"/>
        </w:rPr>
      </w:pPr>
      <w:r w:rsidRPr="00AF7713">
        <w:rPr>
          <w:rFonts w:eastAsia="SimSun"/>
          <w:color w:val="000000"/>
          <w:szCs w:val="24"/>
          <w:lang w:val="en-GB"/>
        </w:rPr>
        <w:t xml:space="preserve">[11] </w:t>
      </w:r>
      <w:r>
        <w:rPr>
          <w:rFonts w:eastAsia="SimSun"/>
          <w:color w:val="000000"/>
          <w:szCs w:val="24"/>
          <w:lang w:val="en-GB"/>
        </w:rPr>
        <w:t xml:space="preserve">S. M. </w:t>
      </w:r>
      <w:r w:rsidRPr="00AF7713">
        <w:rPr>
          <w:rFonts w:eastAsia="Times New Roman"/>
          <w:szCs w:val="24"/>
          <w:lang w:bidi="ar-IQ"/>
        </w:rPr>
        <w:t>Ali, Hydrogeological Environmental Assessment of Baghdad Area, PhD thesis, University of Baghdad, College of Science, Iraq</w:t>
      </w:r>
      <w:r w:rsidR="00737B2D">
        <w:rPr>
          <w:rFonts w:eastAsia="Times New Roman"/>
          <w:szCs w:val="24"/>
          <w:lang w:bidi="ar-IQ"/>
        </w:rPr>
        <w:t>, 2012</w:t>
      </w:r>
      <w:r w:rsidRPr="00AF7713">
        <w:rPr>
          <w:rFonts w:eastAsia="Times New Roman"/>
          <w:szCs w:val="24"/>
          <w:lang w:bidi="ar-IQ"/>
        </w:rPr>
        <w:t>.</w:t>
      </w:r>
    </w:p>
    <w:p w:rsidR="00737B2D" w:rsidRDefault="00737B2D" w:rsidP="00737B2D">
      <w:pPr>
        <w:spacing w:after="80" w:line="240" w:lineRule="auto"/>
        <w:rPr>
          <w:rFonts w:eastAsia="Times New Roman"/>
          <w:szCs w:val="24"/>
          <w:lang w:bidi="ar-IQ"/>
        </w:rPr>
      </w:pPr>
    </w:p>
    <w:p w:rsidR="00737B2D" w:rsidRDefault="00737B2D" w:rsidP="00737B2D">
      <w:pPr>
        <w:autoSpaceDE w:val="0"/>
        <w:autoSpaceDN w:val="0"/>
        <w:spacing w:line="240" w:lineRule="auto"/>
        <w:rPr>
          <w:szCs w:val="24"/>
          <w:lang w:val="en-GB"/>
        </w:rPr>
      </w:pPr>
      <w:r w:rsidRPr="00737B2D">
        <w:rPr>
          <w:rFonts w:eastAsia="Times New Roman"/>
          <w:szCs w:val="24"/>
          <w:lang w:bidi="ar-IQ"/>
        </w:rPr>
        <w:t xml:space="preserve">[12] </w:t>
      </w:r>
      <w:r>
        <w:rPr>
          <w:rFonts w:eastAsia="Times New Roman"/>
          <w:szCs w:val="24"/>
          <w:lang w:bidi="ar-IQ"/>
        </w:rPr>
        <w:t xml:space="preserve">S. F. A. </w:t>
      </w:r>
      <w:r w:rsidRPr="00737B2D">
        <w:rPr>
          <w:rFonts w:eastAsia="SimSun"/>
          <w:color w:val="000000"/>
          <w:szCs w:val="24"/>
          <w:lang w:val="en-GB"/>
        </w:rPr>
        <w:t xml:space="preserve">Fouad and </w:t>
      </w:r>
      <w:r>
        <w:rPr>
          <w:rFonts w:eastAsia="SimSun"/>
          <w:color w:val="000000"/>
          <w:szCs w:val="24"/>
          <w:lang w:val="en-GB"/>
        </w:rPr>
        <w:t xml:space="preserve">V. K. </w:t>
      </w:r>
      <w:r w:rsidRPr="00737B2D">
        <w:rPr>
          <w:rFonts w:eastAsia="SimSun"/>
          <w:color w:val="000000"/>
          <w:szCs w:val="24"/>
          <w:lang w:val="en-GB"/>
        </w:rPr>
        <w:t xml:space="preserve">Sissakian, </w:t>
      </w:r>
      <w:r w:rsidRPr="00737B2D">
        <w:rPr>
          <w:szCs w:val="24"/>
          <w:lang w:val="en-GB"/>
        </w:rPr>
        <w:t>Tectonic and Structural Evolution of the Mesopotamia Plain,</w:t>
      </w:r>
      <w:r>
        <w:rPr>
          <w:szCs w:val="24"/>
          <w:lang w:val="en-GB"/>
        </w:rPr>
        <w:t xml:space="preserve"> Journal of Iraqi Bill. </w:t>
      </w:r>
      <w:r w:rsidRPr="00737B2D">
        <w:rPr>
          <w:szCs w:val="24"/>
          <w:lang w:val="en-GB"/>
        </w:rPr>
        <w:t>Geological and Mining, Special Issue (Geology of the Mesopotamia Plain), No.4</w:t>
      </w:r>
      <w:r w:rsidRPr="00737B2D">
        <w:rPr>
          <w:b/>
          <w:bCs/>
          <w:i/>
          <w:iCs/>
          <w:sz w:val="22"/>
          <w:szCs w:val="22"/>
          <w:lang w:val="en-GB"/>
        </w:rPr>
        <w:t>,</w:t>
      </w:r>
      <w:r>
        <w:rPr>
          <w:sz w:val="22"/>
          <w:szCs w:val="22"/>
          <w:lang w:val="en-GB"/>
        </w:rPr>
        <w:t xml:space="preserve"> (2011),</w:t>
      </w:r>
      <w:r w:rsidRPr="00737B2D">
        <w:rPr>
          <w:b/>
          <w:bCs/>
          <w:i/>
          <w:iCs/>
          <w:sz w:val="22"/>
          <w:szCs w:val="22"/>
          <w:lang w:val="en-GB"/>
        </w:rPr>
        <w:t xml:space="preserve"> </w:t>
      </w:r>
      <w:r w:rsidRPr="00737B2D">
        <w:rPr>
          <w:szCs w:val="24"/>
          <w:lang w:val="en-GB"/>
        </w:rPr>
        <w:t>33-46.</w:t>
      </w:r>
    </w:p>
    <w:p w:rsidR="00737B2D" w:rsidRDefault="00737B2D" w:rsidP="00737B2D">
      <w:pPr>
        <w:autoSpaceDE w:val="0"/>
        <w:autoSpaceDN w:val="0"/>
        <w:spacing w:line="240" w:lineRule="auto"/>
        <w:rPr>
          <w:szCs w:val="24"/>
          <w:lang w:val="en-GB"/>
        </w:rPr>
      </w:pPr>
    </w:p>
    <w:p w:rsidR="00737B2D" w:rsidRDefault="00737B2D" w:rsidP="00737B2D">
      <w:pPr>
        <w:autoSpaceDE w:val="0"/>
        <w:autoSpaceDN w:val="0"/>
        <w:spacing w:line="240" w:lineRule="auto"/>
        <w:rPr>
          <w:szCs w:val="24"/>
          <w:shd w:val="clear" w:color="auto" w:fill="FFFFFF"/>
        </w:rPr>
      </w:pPr>
      <w:r w:rsidRPr="00737B2D">
        <w:rPr>
          <w:szCs w:val="24"/>
          <w:lang w:val="en-GB"/>
        </w:rPr>
        <w:t xml:space="preserve">[13] </w:t>
      </w:r>
      <w:r>
        <w:rPr>
          <w:szCs w:val="24"/>
          <w:lang w:val="en-GB"/>
        </w:rPr>
        <w:t xml:space="preserve">W. R. </w:t>
      </w:r>
      <w:r w:rsidRPr="00737B2D">
        <w:rPr>
          <w:szCs w:val="24"/>
          <w:lang w:val="en-GB"/>
        </w:rPr>
        <w:t xml:space="preserve">Muttashar, </w:t>
      </w:r>
      <w:r>
        <w:rPr>
          <w:szCs w:val="24"/>
          <w:lang w:val="en-GB"/>
        </w:rPr>
        <w:t xml:space="preserve">F. K. </w:t>
      </w:r>
      <w:r w:rsidRPr="00737B2D">
        <w:rPr>
          <w:szCs w:val="24"/>
          <w:lang w:val="en-GB"/>
        </w:rPr>
        <w:t>Al-Amari</w:t>
      </w:r>
      <w:r>
        <w:rPr>
          <w:szCs w:val="24"/>
          <w:lang w:val="en-GB"/>
        </w:rPr>
        <w:t xml:space="preserve"> and</w:t>
      </w:r>
      <w:r w:rsidRPr="00737B2D">
        <w:rPr>
          <w:szCs w:val="24"/>
          <w:lang w:val="en-GB"/>
        </w:rPr>
        <w:t xml:space="preserve"> </w:t>
      </w:r>
      <w:r>
        <w:rPr>
          <w:szCs w:val="24"/>
          <w:lang w:val="en-GB"/>
        </w:rPr>
        <w:t xml:space="preserve">M. A. A. </w:t>
      </w:r>
      <w:r w:rsidRPr="00737B2D">
        <w:rPr>
          <w:szCs w:val="24"/>
          <w:lang w:val="en-GB"/>
        </w:rPr>
        <w:t xml:space="preserve">Al-Hussein, </w:t>
      </w:r>
      <w:r w:rsidRPr="00737B2D">
        <w:rPr>
          <w:color w:val="000000"/>
          <w:szCs w:val="24"/>
          <w:shd w:val="clear" w:color="auto" w:fill="FFFFFF"/>
        </w:rPr>
        <w:t>Geotechnical analysis for types of surficial fine-grained Soils at eastern side of Basra region, Southern Iraq,  </w:t>
      </w:r>
      <w:hyperlink r:id="rId28" w:history="1">
        <w:r w:rsidRPr="00737B2D">
          <w:rPr>
            <w:szCs w:val="24"/>
            <w:shd w:val="clear" w:color="auto" w:fill="FFFFFF"/>
          </w:rPr>
          <w:t>Journal of University of Thi-Qar</w:t>
        </w:r>
      </w:hyperlink>
      <w:r w:rsidRPr="00737B2D">
        <w:rPr>
          <w:szCs w:val="24"/>
        </w:rPr>
        <w:t>,</w:t>
      </w:r>
      <w:r w:rsidRPr="00737B2D">
        <w:rPr>
          <w:rFonts w:ascii="Verdana" w:hAnsi="Verdana" w:cs="Arial"/>
          <w:color w:val="585858"/>
          <w:sz w:val="23"/>
          <w:szCs w:val="23"/>
          <w:shd w:val="clear" w:color="auto" w:fill="FFFFFF"/>
        </w:rPr>
        <w:t xml:space="preserve"> </w:t>
      </w:r>
      <w:r w:rsidRPr="00737B2D">
        <w:rPr>
          <w:szCs w:val="24"/>
          <w:shd w:val="clear" w:color="auto" w:fill="FFFFFF"/>
        </w:rPr>
        <w:t>Vol.</w:t>
      </w:r>
      <w:r w:rsidRPr="00737B2D">
        <w:rPr>
          <w:b/>
          <w:bCs/>
          <w:szCs w:val="24"/>
          <w:shd w:val="clear" w:color="auto" w:fill="FFFFFF"/>
        </w:rPr>
        <w:t xml:space="preserve"> 7, </w:t>
      </w:r>
      <w:r w:rsidRPr="00737B2D">
        <w:rPr>
          <w:szCs w:val="24"/>
          <w:shd w:val="clear" w:color="auto" w:fill="FFFFFF"/>
        </w:rPr>
        <w:t>Issue</w:t>
      </w:r>
      <w:r w:rsidRPr="00737B2D">
        <w:rPr>
          <w:b/>
          <w:bCs/>
          <w:szCs w:val="24"/>
          <w:shd w:val="clear" w:color="auto" w:fill="FFFFFF"/>
        </w:rPr>
        <w:t xml:space="preserve"> 2, </w:t>
      </w:r>
      <w:r>
        <w:rPr>
          <w:szCs w:val="24"/>
          <w:shd w:val="clear" w:color="auto" w:fill="FFFFFF"/>
        </w:rPr>
        <w:t>(2012),</w:t>
      </w:r>
      <w:r w:rsidRPr="00737B2D">
        <w:rPr>
          <w:b/>
          <w:bCs/>
          <w:szCs w:val="24"/>
          <w:shd w:val="clear" w:color="auto" w:fill="FFFFFF"/>
        </w:rPr>
        <w:t xml:space="preserve"> </w:t>
      </w:r>
      <w:r w:rsidRPr="00737B2D">
        <w:rPr>
          <w:szCs w:val="24"/>
          <w:shd w:val="clear" w:color="auto" w:fill="FFFFFF"/>
        </w:rPr>
        <w:t>1-11.</w:t>
      </w:r>
    </w:p>
    <w:p w:rsidR="00737B2D" w:rsidRDefault="00737B2D" w:rsidP="00737B2D">
      <w:pPr>
        <w:autoSpaceDE w:val="0"/>
        <w:autoSpaceDN w:val="0"/>
        <w:spacing w:line="240" w:lineRule="auto"/>
        <w:rPr>
          <w:szCs w:val="24"/>
          <w:shd w:val="clear" w:color="auto" w:fill="FFFFFF"/>
        </w:rPr>
      </w:pPr>
    </w:p>
    <w:p w:rsidR="00A16FA4" w:rsidRDefault="00A16FA4" w:rsidP="00A16FA4">
      <w:pPr>
        <w:spacing w:line="240" w:lineRule="auto"/>
        <w:rPr>
          <w:rFonts w:asciiTheme="majorBidi" w:hAnsiTheme="majorBidi" w:cstheme="majorBidi"/>
          <w:szCs w:val="24"/>
        </w:rPr>
      </w:pPr>
      <w:r w:rsidRPr="00A16FA4">
        <w:rPr>
          <w:szCs w:val="24"/>
          <w:shd w:val="clear" w:color="auto" w:fill="FFFFFF"/>
        </w:rPr>
        <w:t>[14</w:t>
      </w:r>
      <w:r w:rsidRPr="00A16FA4">
        <w:rPr>
          <w:rFonts w:asciiTheme="majorBidi" w:hAnsiTheme="majorBidi" w:cstheme="majorBidi"/>
          <w:szCs w:val="24"/>
          <w:shd w:val="clear" w:color="auto" w:fill="FFFFFF"/>
        </w:rPr>
        <w:t xml:space="preserve">] M. H. A. </w:t>
      </w:r>
      <w:r w:rsidRPr="00A16FA4">
        <w:rPr>
          <w:rFonts w:asciiTheme="majorBidi" w:hAnsiTheme="majorBidi" w:cstheme="majorBidi"/>
          <w:szCs w:val="24"/>
        </w:rPr>
        <w:t>Al-Jabberi, Sedimentological and environmental aspects of subsurface Basrah sediments-south Iraq, Mesopotamian Journal of Marine Science, vol</w:t>
      </w:r>
      <w:r>
        <w:rPr>
          <w:rFonts w:asciiTheme="majorBidi" w:hAnsiTheme="majorBidi" w:cstheme="majorBidi"/>
          <w:szCs w:val="24"/>
        </w:rPr>
        <w:t>.</w:t>
      </w:r>
      <w:r w:rsidRPr="00A16FA4">
        <w:rPr>
          <w:rFonts w:asciiTheme="majorBidi" w:hAnsiTheme="majorBidi" w:cstheme="majorBidi"/>
          <w:szCs w:val="24"/>
        </w:rPr>
        <w:t xml:space="preserve"> 25, No. 2, (2010),176-187. </w:t>
      </w:r>
      <w:hyperlink r:id="rId29" w:history="1">
        <w:r w:rsidRPr="00A16FA4">
          <w:rPr>
            <w:rFonts w:asciiTheme="majorBidi" w:hAnsiTheme="majorBidi" w:cstheme="majorBidi"/>
            <w:color w:val="0000FF"/>
            <w:szCs w:val="24"/>
            <w:u w:val="single"/>
          </w:rPr>
          <w:t>www.iasj.net</w:t>
        </w:r>
      </w:hyperlink>
      <w:r w:rsidRPr="00A16FA4">
        <w:rPr>
          <w:rFonts w:asciiTheme="majorBidi" w:hAnsiTheme="majorBidi" w:cstheme="majorBidi"/>
          <w:szCs w:val="24"/>
        </w:rPr>
        <w:t xml:space="preserve"> .</w:t>
      </w:r>
    </w:p>
    <w:p w:rsidR="00A16FA4" w:rsidRDefault="00A16FA4" w:rsidP="00A16FA4">
      <w:pPr>
        <w:spacing w:line="240" w:lineRule="auto"/>
        <w:rPr>
          <w:rFonts w:asciiTheme="majorBidi" w:hAnsiTheme="majorBidi" w:cstheme="majorBidi"/>
          <w:szCs w:val="24"/>
        </w:rPr>
      </w:pPr>
      <w:r w:rsidRPr="00A16FA4">
        <w:rPr>
          <w:rFonts w:asciiTheme="majorBidi" w:hAnsiTheme="majorBidi" w:cstheme="majorBidi"/>
          <w:szCs w:val="24"/>
        </w:rPr>
        <w:t xml:space="preserve"> </w:t>
      </w:r>
    </w:p>
    <w:p w:rsidR="00A16FA4" w:rsidRDefault="00A16FA4" w:rsidP="00A16FA4">
      <w:pPr>
        <w:autoSpaceDE w:val="0"/>
        <w:autoSpaceDN w:val="0"/>
        <w:spacing w:line="240" w:lineRule="auto"/>
        <w:rPr>
          <w:szCs w:val="24"/>
          <w:lang w:val="en-GB"/>
        </w:rPr>
      </w:pPr>
      <w:r w:rsidRPr="00A16FA4">
        <w:rPr>
          <w:rFonts w:asciiTheme="majorBidi" w:hAnsiTheme="majorBidi" w:cstheme="majorBidi"/>
          <w:szCs w:val="24"/>
        </w:rPr>
        <w:t xml:space="preserve">[15] </w:t>
      </w:r>
      <w:r>
        <w:rPr>
          <w:rFonts w:asciiTheme="majorBidi" w:hAnsiTheme="majorBidi" w:cstheme="majorBidi"/>
          <w:szCs w:val="24"/>
        </w:rPr>
        <w:t xml:space="preserve">T. W. </w:t>
      </w:r>
      <w:r w:rsidRPr="00A16FA4">
        <w:rPr>
          <w:szCs w:val="24"/>
          <w:lang w:val="en-GB"/>
        </w:rPr>
        <w:t xml:space="preserve">Lambe, Soil Testing for engineers, </w:t>
      </w:r>
      <w:r>
        <w:rPr>
          <w:szCs w:val="24"/>
          <w:lang w:val="en-GB"/>
        </w:rPr>
        <w:t>J</w:t>
      </w:r>
      <w:r w:rsidRPr="00A16FA4">
        <w:rPr>
          <w:szCs w:val="24"/>
          <w:lang w:val="en-GB"/>
        </w:rPr>
        <w:t>ohn Wiley &amp; sons Inc., USA</w:t>
      </w:r>
      <w:r>
        <w:rPr>
          <w:szCs w:val="24"/>
          <w:lang w:val="en-GB"/>
        </w:rPr>
        <w:t>, 1951</w:t>
      </w:r>
      <w:r w:rsidRPr="00A16FA4">
        <w:rPr>
          <w:szCs w:val="24"/>
          <w:lang w:val="en-GB"/>
        </w:rPr>
        <w:t>.</w:t>
      </w:r>
    </w:p>
    <w:p w:rsidR="00A16FA4" w:rsidRDefault="00A16FA4" w:rsidP="00A16FA4">
      <w:pPr>
        <w:autoSpaceDE w:val="0"/>
        <w:autoSpaceDN w:val="0"/>
        <w:spacing w:line="240" w:lineRule="auto"/>
        <w:rPr>
          <w:szCs w:val="24"/>
          <w:lang w:val="en-GB"/>
        </w:rPr>
      </w:pPr>
    </w:p>
    <w:p w:rsidR="00377022" w:rsidRDefault="00A16FA4" w:rsidP="00377022">
      <w:pPr>
        <w:rPr>
          <w:rFonts w:eastAsia="Calibri"/>
          <w:szCs w:val="24"/>
          <w:lang w:val="en-GB"/>
        </w:rPr>
      </w:pPr>
      <w:r w:rsidRPr="00377022">
        <w:rPr>
          <w:szCs w:val="24"/>
          <w:lang w:val="en-GB"/>
        </w:rPr>
        <w:t xml:space="preserve">[16] </w:t>
      </w:r>
      <w:r w:rsidR="00377022">
        <w:rPr>
          <w:szCs w:val="24"/>
          <w:lang w:val="en-GB"/>
        </w:rPr>
        <w:t xml:space="preserve">B. M. </w:t>
      </w:r>
      <w:r w:rsidR="00377022" w:rsidRPr="00377022">
        <w:rPr>
          <w:rFonts w:eastAsia="SimSun"/>
          <w:color w:val="000000"/>
          <w:szCs w:val="24"/>
          <w:lang w:val="en-GB"/>
        </w:rPr>
        <w:t>Das, Soil Mechanics Laboratory Manual, 7</w:t>
      </w:r>
      <w:r w:rsidR="00377022" w:rsidRPr="00377022">
        <w:rPr>
          <w:rFonts w:eastAsia="SimSun"/>
          <w:color w:val="000000"/>
          <w:szCs w:val="24"/>
          <w:vertAlign w:val="superscript"/>
          <w:lang w:val="en-GB"/>
        </w:rPr>
        <w:t>th</w:t>
      </w:r>
      <w:r w:rsidR="00377022" w:rsidRPr="00377022">
        <w:rPr>
          <w:rFonts w:eastAsia="SimSun"/>
          <w:color w:val="000000"/>
          <w:szCs w:val="24"/>
          <w:lang w:val="en-GB"/>
        </w:rPr>
        <w:t xml:space="preserve"> edition, </w:t>
      </w:r>
      <w:r w:rsidR="00377022" w:rsidRPr="00377022">
        <w:rPr>
          <w:rFonts w:eastAsia="Calibri"/>
          <w:szCs w:val="24"/>
          <w:lang w:val="en-GB"/>
        </w:rPr>
        <w:t xml:space="preserve">OXFORD University press, New York. </w:t>
      </w:r>
      <w:proofErr w:type="gramStart"/>
      <w:r w:rsidR="00377022" w:rsidRPr="00377022">
        <w:rPr>
          <w:rFonts w:eastAsia="Calibri"/>
          <w:szCs w:val="24"/>
          <w:lang w:val="en-GB"/>
        </w:rPr>
        <w:t>USA</w:t>
      </w:r>
      <w:r w:rsidR="00377022">
        <w:rPr>
          <w:rFonts w:eastAsia="Calibri"/>
          <w:szCs w:val="24"/>
          <w:lang w:val="en-GB"/>
        </w:rPr>
        <w:t>, 2009</w:t>
      </w:r>
      <w:r w:rsidR="00377022" w:rsidRPr="00377022">
        <w:rPr>
          <w:rFonts w:eastAsia="Calibri"/>
          <w:szCs w:val="24"/>
          <w:lang w:val="en-GB"/>
        </w:rPr>
        <w:t>.</w:t>
      </w:r>
      <w:proofErr w:type="gramEnd"/>
    </w:p>
    <w:p w:rsidR="00377022" w:rsidRDefault="00377022" w:rsidP="00377022">
      <w:pPr>
        <w:spacing w:line="240" w:lineRule="exact"/>
        <w:rPr>
          <w:rFonts w:eastAsia="SimSun"/>
          <w:color w:val="000000"/>
          <w:szCs w:val="24"/>
          <w:lang w:val="en-GB"/>
        </w:rPr>
      </w:pPr>
      <w:proofErr w:type="gramStart"/>
      <w:r w:rsidRPr="00377022">
        <w:rPr>
          <w:rFonts w:eastAsia="Calibri"/>
          <w:szCs w:val="24"/>
          <w:lang w:val="en-GB"/>
        </w:rPr>
        <w:t xml:space="preserve">[17] </w:t>
      </w:r>
      <w:r>
        <w:rPr>
          <w:rFonts w:eastAsia="Calibri"/>
          <w:szCs w:val="24"/>
          <w:lang w:val="en-GB"/>
        </w:rPr>
        <w:t xml:space="preserve">M. B. </w:t>
      </w:r>
      <w:r>
        <w:rPr>
          <w:rFonts w:eastAsia="SimSun"/>
          <w:color w:val="000000"/>
          <w:szCs w:val="24"/>
          <w:lang w:val="en-GB"/>
        </w:rPr>
        <w:t xml:space="preserve">Das, </w:t>
      </w:r>
      <w:r w:rsidRPr="00377022">
        <w:rPr>
          <w:rFonts w:eastAsia="SimSun"/>
          <w:color w:val="000000"/>
          <w:szCs w:val="24"/>
          <w:lang w:val="en-GB"/>
        </w:rPr>
        <w:t>Principle of Geotechnical Engineering, 7</w:t>
      </w:r>
      <w:r w:rsidRPr="00377022">
        <w:rPr>
          <w:rFonts w:eastAsia="SimSun"/>
          <w:color w:val="000000"/>
          <w:szCs w:val="24"/>
          <w:vertAlign w:val="superscript"/>
          <w:lang w:val="en-GB"/>
        </w:rPr>
        <w:t>th</w:t>
      </w:r>
      <w:r w:rsidRPr="00377022">
        <w:rPr>
          <w:rFonts w:eastAsia="SimSun"/>
          <w:color w:val="000000"/>
          <w:szCs w:val="24"/>
          <w:lang w:val="en-GB"/>
        </w:rPr>
        <w:t xml:space="preserve"> edition, Cengage learning, Stamford, USA</w:t>
      </w:r>
      <w:r>
        <w:rPr>
          <w:rFonts w:eastAsia="SimSun"/>
          <w:color w:val="000000"/>
          <w:szCs w:val="24"/>
          <w:lang w:val="en-GB"/>
        </w:rPr>
        <w:t>, 2010</w:t>
      </w:r>
      <w:r w:rsidRPr="00377022">
        <w:rPr>
          <w:rFonts w:eastAsia="SimSun"/>
          <w:color w:val="000000"/>
          <w:szCs w:val="24"/>
          <w:lang w:val="en-GB"/>
        </w:rPr>
        <w:t>.</w:t>
      </w:r>
      <w:proofErr w:type="gramEnd"/>
    </w:p>
    <w:p w:rsidR="00377022" w:rsidRDefault="00377022" w:rsidP="00377022">
      <w:pPr>
        <w:spacing w:line="240" w:lineRule="exact"/>
        <w:rPr>
          <w:rFonts w:eastAsia="SimSun"/>
          <w:color w:val="000000"/>
          <w:szCs w:val="24"/>
          <w:lang w:val="en-GB"/>
        </w:rPr>
      </w:pPr>
    </w:p>
    <w:p w:rsidR="0001069B" w:rsidRDefault="0001069B" w:rsidP="0001069B">
      <w:pPr>
        <w:autoSpaceDE w:val="0"/>
        <w:autoSpaceDN w:val="0"/>
        <w:spacing w:line="240" w:lineRule="auto"/>
        <w:rPr>
          <w:szCs w:val="24"/>
          <w:lang w:val="en-GB"/>
        </w:rPr>
      </w:pPr>
      <w:r w:rsidRPr="0001069B">
        <w:rPr>
          <w:rFonts w:eastAsia="SimSun"/>
          <w:color w:val="000000"/>
          <w:szCs w:val="24"/>
          <w:lang w:val="en-GB"/>
        </w:rPr>
        <w:t xml:space="preserve">[18] </w:t>
      </w:r>
      <w:r>
        <w:rPr>
          <w:rFonts w:eastAsia="SimSun"/>
          <w:color w:val="000000"/>
          <w:szCs w:val="24"/>
          <w:lang w:val="en-GB"/>
        </w:rPr>
        <w:t xml:space="preserve">V. N. S. </w:t>
      </w:r>
      <w:r w:rsidRPr="0001069B">
        <w:rPr>
          <w:szCs w:val="24"/>
          <w:lang w:val="en-GB"/>
        </w:rPr>
        <w:t>Murthy, Geotechnical Engineering: Principles and practices of soil mechanics and foundation engineering, Marcel Dekker Inc., New York, USA</w:t>
      </w:r>
      <w:r>
        <w:rPr>
          <w:szCs w:val="24"/>
          <w:lang w:val="en-GB"/>
        </w:rPr>
        <w:t>, 2002</w:t>
      </w:r>
      <w:r w:rsidRPr="0001069B">
        <w:rPr>
          <w:szCs w:val="24"/>
          <w:lang w:val="en-GB"/>
        </w:rPr>
        <w:t>.</w:t>
      </w:r>
    </w:p>
    <w:p w:rsidR="009F0152" w:rsidRDefault="009F0152" w:rsidP="0001069B">
      <w:pPr>
        <w:autoSpaceDE w:val="0"/>
        <w:autoSpaceDN w:val="0"/>
        <w:spacing w:line="240" w:lineRule="auto"/>
        <w:rPr>
          <w:szCs w:val="24"/>
          <w:lang w:val="en-GB"/>
        </w:rPr>
      </w:pPr>
    </w:p>
    <w:p w:rsidR="009F0152" w:rsidRDefault="009F0152" w:rsidP="009F0152">
      <w:pPr>
        <w:autoSpaceDE w:val="0"/>
        <w:autoSpaceDN w:val="0"/>
        <w:spacing w:line="240" w:lineRule="auto"/>
        <w:rPr>
          <w:szCs w:val="24"/>
          <w:lang w:val="en-GB"/>
        </w:rPr>
      </w:pPr>
      <w:r w:rsidRPr="009F0152">
        <w:rPr>
          <w:szCs w:val="24"/>
        </w:rPr>
        <w:t>[19] K. Soni Priya, T. Durgabhavani, K. Mounika</w:t>
      </w:r>
      <w:r w:rsidRPr="009F0152">
        <w:rPr>
          <w:szCs w:val="24"/>
          <w:lang w:val="en-GB"/>
        </w:rPr>
        <w:t xml:space="preserve">, </w:t>
      </w:r>
      <w:r>
        <w:rPr>
          <w:szCs w:val="24"/>
          <w:lang w:val="en-GB"/>
        </w:rPr>
        <w:t xml:space="preserve">M. </w:t>
      </w:r>
      <w:r w:rsidRPr="009F0152">
        <w:rPr>
          <w:szCs w:val="24"/>
          <w:lang w:val="en-GB"/>
        </w:rPr>
        <w:t xml:space="preserve">Nageswari and </w:t>
      </w:r>
      <w:r>
        <w:rPr>
          <w:szCs w:val="24"/>
          <w:lang w:val="en-GB"/>
        </w:rPr>
        <w:t xml:space="preserve">P. </w:t>
      </w:r>
      <w:r w:rsidRPr="009F0152">
        <w:rPr>
          <w:szCs w:val="24"/>
          <w:lang w:val="en-GB"/>
        </w:rPr>
        <w:t>Poluraju</w:t>
      </w:r>
      <w:r>
        <w:rPr>
          <w:szCs w:val="24"/>
          <w:lang w:val="en-GB"/>
        </w:rPr>
        <w:t>,</w:t>
      </w:r>
      <w:r w:rsidRPr="009F0152">
        <w:rPr>
          <w:szCs w:val="24"/>
          <w:lang w:val="en-GB"/>
        </w:rPr>
        <w:t xml:space="preserve"> Non-Linear Pushover Analysis of Flat slab Building by using SAP2000, International Journal of Recent Technology and Engineering (IJRTE), Vol.1, Issue1, </w:t>
      </w:r>
      <w:r>
        <w:rPr>
          <w:szCs w:val="24"/>
          <w:lang w:val="en-GB"/>
        </w:rPr>
        <w:t xml:space="preserve">(2012), </w:t>
      </w:r>
      <w:r w:rsidRPr="009F0152">
        <w:rPr>
          <w:szCs w:val="24"/>
          <w:lang w:val="en-GB"/>
        </w:rPr>
        <w:t>29-33.</w:t>
      </w:r>
    </w:p>
    <w:p w:rsidR="00303EC3" w:rsidRDefault="00303EC3" w:rsidP="009F0152">
      <w:pPr>
        <w:autoSpaceDE w:val="0"/>
        <w:autoSpaceDN w:val="0"/>
        <w:spacing w:line="240" w:lineRule="auto"/>
        <w:rPr>
          <w:szCs w:val="24"/>
          <w:lang w:val="en-GB"/>
        </w:rPr>
      </w:pPr>
    </w:p>
    <w:p w:rsidR="00200BAF" w:rsidRDefault="00303EC3" w:rsidP="00193C17">
      <w:pPr>
        <w:pStyle w:val="Default"/>
      </w:pPr>
      <w:r>
        <w:t>[20]</w:t>
      </w:r>
      <w:r w:rsidR="00200BAF">
        <w:t xml:space="preserve"> M. Y.</w:t>
      </w:r>
      <w:r>
        <w:t xml:space="preserve"> </w:t>
      </w:r>
      <w:r w:rsidR="00200BAF" w:rsidRPr="00200BAF">
        <w:t xml:space="preserve">Abdulwahid, </w:t>
      </w:r>
      <w:r w:rsidR="00200BAF">
        <w:t xml:space="preserve">I. A. </w:t>
      </w:r>
      <w:r w:rsidR="00200BAF" w:rsidRPr="00200BAF">
        <w:t>Al-Qasem</w:t>
      </w:r>
      <w:r w:rsidR="00200BAF">
        <w:t xml:space="preserve"> </w:t>
      </w:r>
      <w:r w:rsidR="00200BAF" w:rsidRPr="00200BAF">
        <w:t xml:space="preserve">and </w:t>
      </w:r>
      <w:r w:rsidR="00200BAF">
        <w:t xml:space="preserve">I. </w:t>
      </w:r>
      <w:r w:rsidR="00200BAF" w:rsidRPr="00200BAF">
        <w:t>Arman</w:t>
      </w:r>
      <w:r w:rsidR="00200BAF">
        <w:t>,</w:t>
      </w:r>
      <w:r w:rsidR="00200BAF" w:rsidRPr="00200BAF">
        <w:t xml:space="preserve"> Determination of load transfer in reinforced concrete solid slabs by finite element computer analysis,</w:t>
      </w:r>
      <w:r w:rsidR="00200BAF" w:rsidRPr="00200BAF">
        <w:rPr>
          <w:i/>
          <w:iCs/>
          <w:sz w:val="22"/>
          <w:szCs w:val="22"/>
        </w:rPr>
        <w:t xml:space="preserve"> </w:t>
      </w:r>
      <w:r w:rsidR="00200BAF" w:rsidRPr="00200BAF">
        <w:t>IOSR Journal of Mechanical and Civil Engineering (IOSR-JMCE)</w:t>
      </w:r>
      <w:r w:rsidR="00193C17" w:rsidRPr="00200BAF">
        <w:t>, Vol</w:t>
      </w:r>
      <w:r w:rsidR="00193C17">
        <w:t>.</w:t>
      </w:r>
      <w:r w:rsidR="00200BAF" w:rsidRPr="00200BAF">
        <w:t xml:space="preserve"> 8, Issue 3, </w:t>
      </w:r>
      <w:r w:rsidR="00200BAF">
        <w:t xml:space="preserve">(2013), </w:t>
      </w:r>
      <w:r w:rsidR="00200BAF" w:rsidRPr="00200BAF">
        <w:t xml:space="preserve">01-07.  </w:t>
      </w:r>
      <w:hyperlink r:id="rId30" w:history="1">
        <w:r w:rsidR="00200BAF" w:rsidRPr="00200BAF">
          <w:rPr>
            <w:color w:val="0000FF"/>
            <w:u w:val="single"/>
          </w:rPr>
          <w:t>www.iosrjournals.org</w:t>
        </w:r>
      </w:hyperlink>
      <w:r w:rsidR="00200BAF" w:rsidRPr="00200BAF">
        <w:t xml:space="preserve"> </w:t>
      </w:r>
    </w:p>
    <w:p w:rsidR="00215419" w:rsidRDefault="00215419" w:rsidP="00193C17">
      <w:pPr>
        <w:pStyle w:val="Default"/>
      </w:pPr>
    </w:p>
    <w:p w:rsidR="00215419" w:rsidRDefault="00215419" w:rsidP="00215419">
      <w:pPr>
        <w:autoSpaceDE w:val="0"/>
        <w:autoSpaceDN w:val="0"/>
        <w:spacing w:line="240" w:lineRule="auto"/>
        <w:rPr>
          <w:szCs w:val="24"/>
          <w:lang w:val="en-GB"/>
        </w:rPr>
      </w:pPr>
      <w:r>
        <w:t xml:space="preserve">[21] A. </w:t>
      </w:r>
      <w:r w:rsidRPr="00215419">
        <w:rPr>
          <w:szCs w:val="24"/>
          <w:lang w:val="en-GB"/>
        </w:rPr>
        <w:t>Hassani</w:t>
      </w:r>
      <w:r>
        <w:rPr>
          <w:szCs w:val="24"/>
          <w:lang w:val="en-GB"/>
        </w:rPr>
        <w:t xml:space="preserve"> </w:t>
      </w:r>
      <w:r w:rsidRPr="00215419">
        <w:rPr>
          <w:szCs w:val="24"/>
          <w:lang w:val="en-GB"/>
        </w:rPr>
        <w:t xml:space="preserve">and </w:t>
      </w:r>
      <w:r>
        <w:rPr>
          <w:szCs w:val="24"/>
          <w:lang w:val="en-GB"/>
        </w:rPr>
        <w:t xml:space="preserve">A. </w:t>
      </w:r>
      <w:r w:rsidRPr="00215419">
        <w:rPr>
          <w:szCs w:val="24"/>
          <w:lang w:val="en-GB"/>
        </w:rPr>
        <w:t xml:space="preserve">Jamshidi, </w:t>
      </w:r>
      <w:r w:rsidRPr="00215419">
        <w:rPr>
          <w:rFonts w:ascii="TimesNewRomanPS-BoldMT" w:hAnsi="TimesNewRomanPS-BoldMT" w:cs="TimesNewRomanPS-BoldMT"/>
          <w:szCs w:val="24"/>
          <w:lang w:val="en-GB"/>
        </w:rPr>
        <w:t xml:space="preserve">Modelling and structural design of a concrete block pavement system, </w:t>
      </w:r>
      <w:r w:rsidRPr="00215419">
        <w:rPr>
          <w:szCs w:val="24"/>
          <w:lang w:val="en-GB"/>
        </w:rPr>
        <w:t xml:space="preserve">8th International Conference on Concrete Block Paving, </w:t>
      </w:r>
      <w:r w:rsidRPr="00215419">
        <w:rPr>
          <w:szCs w:val="24"/>
          <w:lang w:val="en-GB"/>
        </w:rPr>
        <w:lastRenderedPageBreak/>
        <w:t xml:space="preserve">San Francisco, California, USA, </w:t>
      </w:r>
      <w:r>
        <w:rPr>
          <w:szCs w:val="24"/>
          <w:lang w:val="en-GB"/>
        </w:rPr>
        <w:t xml:space="preserve">(2006), </w:t>
      </w:r>
      <w:r w:rsidRPr="00215419">
        <w:rPr>
          <w:szCs w:val="24"/>
          <w:lang w:val="en-GB"/>
        </w:rPr>
        <w:t>389-398.</w:t>
      </w:r>
    </w:p>
    <w:p w:rsidR="003B0C6A" w:rsidRDefault="003B0C6A" w:rsidP="003B0C6A">
      <w:pPr>
        <w:autoSpaceDE w:val="0"/>
        <w:autoSpaceDN w:val="0"/>
        <w:spacing w:line="240" w:lineRule="auto"/>
        <w:rPr>
          <w:rFonts w:ascii="TimesNewRomanPS-BoldMT" w:hAnsi="TimesNewRomanPS-BoldMT"/>
          <w:szCs w:val="24"/>
          <w:lang w:val="en-GB"/>
        </w:rPr>
      </w:pPr>
      <w:r w:rsidRPr="003B0C6A">
        <w:rPr>
          <w:szCs w:val="24"/>
          <w:lang w:val="en-GB"/>
        </w:rPr>
        <w:t>[22]</w:t>
      </w:r>
      <w:r w:rsidRPr="003B0C6A">
        <w:rPr>
          <w:rFonts w:eastAsia="Times New Roman"/>
          <w:szCs w:val="24"/>
          <w:lang w:bidi="ar-IQ"/>
        </w:rPr>
        <w:t xml:space="preserve"> </w:t>
      </w:r>
      <w:r>
        <w:rPr>
          <w:rFonts w:eastAsia="Times New Roman"/>
          <w:szCs w:val="24"/>
          <w:lang w:bidi="ar-IQ"/>
        </w:rPr>
        <w:t xml:space="preserve">M. A. </w:t>
      </w:r>
      <w:r w:rsidRPr="003B0C6A">
        <w:rPr>
          <w:rFonts w:eastAsia="Times New Roman"/>
          <w:szCs w:val="24"/>
          <w:lang w:bidi="ar-IQ"/>
        </w:rPr>
        <w:t xml:space="preserve">Alashorafa, </w:t>
      </w:r>
      <w:r w:rsidRPr="003B0C6A">
        <w:rPr>
          <w:szCs w:val="24"/>
          <w:lang w:val="en-GB"/>
        </w:rPr>
        <w:t xml:space="preserve">Modifications of Conventional Rigid and Flexible Methods for Mat Foundation Design, M.Sc. thesis, Islamic University of Gaza, </w:t>
      </w:r>
      <w:r w:rsidRPr="003B0C6A">
        <w:rPr>
          <w:rFonts w:ascii="TimesNewRomanPS-BoldMT" w:hAnsi="TimesNewRomanPS-BoldMT" w:cs="TimesNewRomanPS-BoldMT"/>
          <w:szCs w:val="24"/>
          <w:lang w:val="en-GB"/>
        </w:rPr>
        <w:t>Faculty of Engineering</w:t>
      </w:r>
      <w:r w:rsidRPr="003B0C6A">
        <w:rPr>
          <w:rFonts w:ascii="TimesNewRomanPS-BoldMT" w:hAnsi="TimesNewRomanPS-BoldMT" w:cs="TimesNewRomanPS-BoldMT"/>
          <w:b/>
          <w:bCs/>
          <w:szCs w:val="24"/>
          <w:lang w:val="en-GB"/>
        </w:rPr>
        <w:t xml:space="preserve"> </w:t>
      </w:r>
      <w:r w:rsidRPr="003B0C6A">
        <w:rPr>
          <w:rFonts w:ascii="TimesNewRomanPS-BoldMT" w:hAnsi="TimesNewRomanPS-BoldMT"/>
          <w:b/>
          <w:bCs/>
          <w:szCs w:val="24"/>
          <w:lang w:val="en-GB"/>
        </w:rPr>
        <w:t xml:space="preserve">, </w:t>
      </w:r>
      <w:r w:rsidRPr="003B0C6A">
        <w:rPr>
          <w:rFonts w:ascii="TimesNewRomanPS-BoldMT" w:hAnsi="TimesNewRomanPS-BoldMT"/>
          <w:szCs w:val="24"/>
          <w:lang w:val="en-GB"/>
        </w:rPr>
        <w:t>Palestine</w:t>
      </w:r>
      <w:r>
        <w:rPr>
          <w:rFonts w:ascii="TimesNewRomanPS-BoldMT" w:hAnsi="TimesNewRomanPS-BoldMT"/>
          <w:szCs w:val="24"/>
          <w:lang w:val="en-GB"/>
        </w:rPr>
        <w:t>, 2008</w:t>
      </w:r>
      <w:r w:rsidRPr="003B0C6A">
        <w:rPr>
          <w:rFonts w:ascii="TimesNewRomanPS-BoldMT" w:hAnsi="TimesNewRomanPS-BoldMT"/>
          <w:szCs w:val="24"/>
          <w:lang w:val="en-GB"/>
        </w:rPr>
        <w:t>.</w:t>
      </w:r>
    </w:p>
    <w:p w:rsidR="003B0C6A" w:rsidRDefault="003B0C6A" w:rsidP="003B0C6A">
      <w:pPr>
        <w:autoSpaceDE w:val="0"/>
        <w:autoSpaceDN w:val="0"/>
        <w:spacing w:line="240" w:lineRule="auto"/>
        <w:rPr>
          <w:rFonts w:ascii="TimesNewRomanPS-BoldMT" w:hAnsi="TimesNewRomanPS-BoldMT"/>
          <w:szCs w:val="24"/>
          <w:lang w:val="en-GB"/>
        </w:rPr>
      </w:pPr>
    </w:p>
    <w:p w:rsidR="003B0C6A" w:rsidRDefault="003B0C6A" w:rsidP="003B0C6A">
      <w:pPr>
        <w:spacing w:line="240" w:lineRule="exact"/>
        <w:rPr>
          <w:rFonts w:asciiTheme="majorBidi" w:hAnsiTheme="majorBidi" w:cstheme="majorBidi"/>
          <w:szCs w:val="24"/>
          <w:shd w:val="clear" w:color="auto" w:fill="FFFFFF"/>
        </w:rPr>
      </w:pPr>
      <w:r w:rsidRPr="003B0C6A">
        <w:rPr>
          <w:rFonts w:ascii="TimesNewRomanPS-BoldMT" w:hAnsi="TimesNewRomanPS-BoldMT"/>
          <w:szCs w:val="24"/>
          <w:lang w:val="en-GB"/>
        </w:rPr>
        <w:t xml:space="preserve">[23] </w:t>
      </w:r>
      <w:r w:rsidRPr="003B0C6A">
        <w:rPr>
          <w:rFonts w:eastAsia="SimSun"/>
          <w:color w:val="000000"/>
          <w:szCs w:val="24"/>
          <w:lang w:val="en-GB"/>
        </w:rPr>
        <w:t>Computers and Structures, Inc.</w:t>
      </w:r>
      <w:r>
        <w:rPr>
          <w:rFonts w:eastAsia="SimSun"/>
          <w:color w:val="000000"/>
          <w:szCs w:val="24"/>
          <w:lang w:val="en-GB"/>
        </w:rPr>
        <w:t xml:space="preserve">, </w:t>
      </w:r>
      <w:r w:rsidRPr="003B0C6A">
        <w:rPr>
          <w:rFonts w:eastAsia="SimSun"/>
          <w:color w:val="000000"/>
          <w:szCs w:val="24"/>
          <w:lang w:val="en-GB"/>
        </w:rPr>
        <w:t xml:space="preserve">CSI Analysis Reference Manual, </w:t>
      </w:r>
      <w:r w:rsidRPr="003B0C6A">
        <w:rPr>
          <w:rFonts w:eastAsia="Calibri"/>
          <w:color w:val="1F1A17"/>
          <w:szCs w:val="24"/>
          <w:lang w:val="en-GB"/>
        </w:rPr>
        <w:t>Berkley, California, USA</w:t>
      </w:r>
      <w:r>
        <w:rPr>
          <w:rFonts w:eastAsia="Calibri"/>
          <w:color w:val="1F1A17"/>
          <w:szCs w:val="24"/>
          <w:lang w:val="en-GB"/>
        </w:rPr>
        <w:t>, 2013</w:t>
      </w:r>
      <w:r w:rsidRPr="003B0C6A">
        <w:rPr>
          <w:rFonts w:eastAsia="Calibri"/>
          <w:color w:val="1F1A17"/>
          <w:szCs w:val="24"/>
          <w:lang w:val="en-GB"/>
        </w:rPr>
        <w:t>.</w:t>
      </w:r>
      <w:r w:rsidRPr="003B0C6A">
        <w:rPr>
          <w:rFonts w:ascii="Arial" w:hAnsi="Arial" w:cs="Arial"/>
          <w:color w:val="006621"/>
          <w:sz w:val="20"/>
          <w:shd w:val="clear" w:color="auto" w:fill="FFFFFF"/>
        </w:rPr>
        <w:t xml:space="preserve"> </w:t>
      </w:r>
      <w:hyperlink r:id="rId31" w:history="1">
        <w:r w:rsidRPr="00255E88">
          <w:rPr>
            <w:rStyle w:val="Hyperlink"/>
            <w:rFonts w:asciiTheme="majorBidi" w:hAnsiTheme="majorBidi" w:cstheme="majorBidi"/>
            <w:szCs w:val="24"/>
            <w:shd w:val="clear" w:color="auto" w:fill="FFFFFF"/>
          </w:rPr>
          <w:t>https://docs.csiamerica.com</w:t>
        </w:r>
      </w:hyperlink>
      <w:r>
        <w:rPr>
          <w:rFonts w:asciiTheme="majorBidi" w:hAnsiTheme="majorBidi" w:cstheme="majorBidi"/>
          <w:szCs w:val="24"/>
          <w:shd w:val="clear" w:color="auto" w:fill="FFFFFF"/>
        </w:rPr>
        <w:t>.</w:t>
      </w:r>
    </w:p>
    <w:p w:rsidR="003B0C6A" w:rsidRDefault="003B0C6A" w:rsidP="003B0C6A">
      <w:pPr>
        <w:spacing w:line="240" w:lineRule="exact"/>
        <w:rPr>
          <w:rFonts w:asciiTheme="majorBidi" w:hAnsiTheme="majorBidi" w:cstheme="majorBidi"/>
          <w:szCs w:val="24"/>
          <w:shd w:val="clear" w:color="auto" w:fill="FFFFFF"/>
        </w:rPr>
      </w:pPr>
    </w:p>
    <w:p w:rsidR="003D3F58" w:rsidRPr="003D3F58" w:rsidRDefault="003B0C6A" w:rsidP="003D3F58">
      <w:pPr>
        <w:spacing w:line="240" w:lineRule="exact"/>
        <w:rPr>
          <w:rFonts w:eastAsia="SimSun"/>
          <w:color w:val="000000"/>
          <w:szCs w:val="24"/>
        </w:rPr>
      </w:pPr>
      <w:r w:rsidRPr="003D3F58">
        <w:rPr>
          <w:rFonts w:asciiTheme="majorBidi" w:hAnsiTheme="majorBidi" w:cstheme="majorBidi"/>
          <w:szCs w:val="24"/>
          <w:shd w:val="clear" w:color="auto" w:fill="FFFFFF"/>
        </w:rPr>
        <w:t xml:space="preserve">[24] </w:t>
      </w:r>
      <w:r w:rsidR="003D3F58" w:rsidRPr="003D3F58">
        <w:rPr>
          <w:rFonts w:eastAsia="SimSun"/>
          <w:color w:val="000000"/>
          <w:szCs w:val="24"/>
        </w:rPr>
        <w:t>ACI committee 318-08</w:t>
      </w:r>
      <w:r w:rsidR="003D3F58">
        <w:rPr>
          <w:rFonts w:eastAsia="SimSun"/>
          <w:color w:val="000000"/>
          <w:szCs w:val="24"/>
        </w:rPr>
        <w:t>,</w:t>
      </w:r>
      <w:r w:rsidR="003D3F58" w:rsidRPr="003D3F58">
        <w:rPr>
          <w:rFonts w:eastAsia="SimSun"/>
          <w:color w:val="000000"/>
          <w:szCs w:val="24"/>
        </w:rPr>
        <w:t xml:space="preserve"> Building Code Requirements for Structural Concrete (ACI 318-08) and Commentary, American Concrete Institute, Farmington Hills</w:t>
      </w:r>
      <w:r w:rsidR="003D3F58">
        <w:rPr>
          <w:rFonts w:eastAsia="SimSun"/>
          <w:color w:val="000000"/>
          <w:szCs w:val="24"/>
        </w:rPr>
        <w:t>, 2008</w:t>
      </w:r>
      <w:r w:rsidR="003D3F58" w:rsidRPr="003D3F58">
        <w:rPr>
          <w:rFonts w:eastAsia="SimSun"/>
          <w:color w:val="000000"/>
          <w:szCs w:val="24"/>
        </w:rPr>
        <w:t>.</w:t>
      </w:r>
    </w:p>
    <w:p w:rsidR="003B0C6A" w:rsidRDefault="003B0C6A" w:rsidP="003B0C6A">
      <w:pPr>
        <w:spacing w:line="240" w:lineRule="exact"/>
        <w:rPr>
          <w:rFonts w:asciiTheme="majorBidi" w:hAnsiTheme="majorBidi" w:cstheme="majorBidi"/>
          <w:szCs w:val="24"/>
          <w:shd w:val="clear" w:color="auto" w:fill="FFFFFF"/>
        </w:rPr>
      </w:pPr>
    </w:p>
    <w:p w:rsidR="003D3F58" w:rsidRDefault="003D3F58" w:rsidP="002D529C">
      <w:pPr>
        <w:spacing w:line="240" w:lineRule="exact"/>
        <w:rPr>
          <w:rFonts w:eastAsia="SimSun"/>
          <w:color w:val="000000"/>
          <w:szCs w:val="24"/>
          <w:lang w:val="en-GB"/>
        </w:rPr>
      </w:pPr>
      <w:r w:rsidRPr="003D3F58">
        <w:rPr>
          <w:rFonts w:asciiTheme="majorBidi" w:hAnsiTheme="majorBidi" w:cstheme="majorBidi"/>
          <w:szCs w:val="24"/>
          <w:shd w:val="clear" w:color="auto" w:fill="FFFFFF"/>
        </w:rPr>
        <w:t xml:space="preserve">[25] </w:t>
      </w:r>
      <w:r w:rsidR="002D529C">
        <w:rPr>
          <w:rFonts w:asciiTheme="majorBidi" w:hAnsiTheme="majorBidi" w:cstheme="majorBidi"/>
          <w:szCs w:val="24"/>
          <w:shd w:val="clear" w:color="auto" w:fill="FFFFFF"/>
        </w:rPr>
        <w:t xml:space="preserve">E. </w:t>
      </w:r>
      <w:r w:rsidRPr="003D3F58">
        <w:rPr>
          <w:rFonts w:eastAsia="SimSun"/>
          <w:color w:val="000000"/>
          <w:szCs w:val="24"/>
          <w:lang w:val="en-GB"/>
        </w:rPr>
        <w:t xml:space="preserve">Al-Taie, </w:t>
      </w:r>
      <w:r w:rsidR="002D529C">
        <w:rPr>
          <w:rFonts w:eastAsia="SimSun"/>
          <w:color w:val="000000"/>
          <w:szCs w:val="24"/>
          <w:lang w:val="en-GB"/>
        </w:rPr>
        <w:t xml:space="preserve">N. </w:t>
      </w:r>
      <w:r w:rsidRPr="003D3F58">
        <w:rPr>
          <w:rFonts w:eastAsia="SimSun"/>
          <w:color w:val="000000"/>
          <w:szCs w:val="24"/>
          <w:lang w:val="en-GB"/>
        </w:rPr>
        <w:t>Al-Ansari</w:t>
      </w:r>
      <w:r w:rsidR="002D529C">
        <w:rPr>
          <w:rFonts w:eastAsia="SimSun"/>
          <w:color w:val="000000"/>
          <w:szCs w:val="24"/>
          <w:lang w:val="en-GB"/>
        </w:rPr>
        <w:t xml:space="preserve"> </w:t>
      </w:r>
      <w:r w:rsidRPr="003D3F58">
        <w:rPr>
          <w:rFonts w:eastAsia="SimSun"/>
          <w:color w:val="000000"/>
          <w:szCs w:val="24"/>
          <w:lang w:val="en-GB"/>
        </w:rPr>
        <w:t xml:space="preserve">and </w:t>
      </w:r>
      <w:r w:rsidR="002D529C">
        <w:rPr>
          <w:rFonts w:eastAsia="SimSun"/>
          <w:color w:val="000000"/>
          <w:szCs w:val="24"/>
          <w:lang w:val="en-GB"/>
        </w:rPr>
        <w:t xml:space="preserve">S. </w:t>
      </w:r>
      <w:r w:rsidRPr="003D3F58">
        <w:rPr>
          <w:rFonts w:eastAsia="SimSun"/>
          <w:color w:val="000000"/>
          <w:szCs w:val="24"/>
          <w:lang w:val="en-GB"/>
        </w:rPr>
        <w:t>Knutsson, (2014), Effect of bearing capacity on designing foundations in Iraq using STAAD Pro-v8i, Engineering, 6,</w:t>
      </w:r>
      <w:r w:rsidR="002D529C">
        <w:rPr>
          <w:rFonts w:eastAsia="SimSun"/>
          <w:color w:val="000000"/>
          <w:szCs w:val="24"/>
          <w:lang w:val="en-GB"/>
        </w:rPr>
        <w:t>(2014)</w:t>
      </w:r>
      <w:r w:rsidRPr="003D3F58">
        <w:rPr>
          <w:rFonts w:eastAsia="SimSun"/>
          <w:color w:val="000000"/>
          <w:szCs w:val="24"/>
          <w:lang w:val="en-GB"/>
        </w:rPr>
        <w:t xml:space="preserve"> 292-303; </w:t>
      </w:r>
      <w:hyperlink r:id="rId32" w:history="1">
        <w:r w:rsidRPr="003D3F58">
          <w:rPr>
            <w:rFonts w:eastAsia="SimSun"/>
            <w:color w:val="0000FF"/>
            <w:szCs w:val="24"/>
            <w:u w:val="single"/>
            <w:lang w:val="en-GB"/>
          </w:rPr>
          <w:t>http://dx.doi.org/10.4236/eng.2014.66033</w:t>
        </w:r>
      </w:hyperlink>
      <w:r w:rsidRPr="003D3F58">
        <w:rPr>
          <w:rFonts w:eastAsia="SimSun"/>
          <w:color w:val="000000"/>
          <w:szCs w:val="24"/>
          <w:lang w:val="en-GB"/>
        </w:rPr>
        <w:t xml:space="preserve">. </w:t>
      </w:r>
    </w:p>
    <w:p w:rsidR="002D529C" w:rsidRDefault="002D529C" w:rsidP="002D529C">
      <w:pPr>
        <w:spacing w:line="240" w:lineRule="exact"/>
        <w:rPr>
          <w:rFonts w:eastAsia="SimSun"/>
          <w:color w:val="000000"/>
          <w:szCs w:val="24"/>
          <w:lang w:val="en-GB"/>
        </w:rPr>
      </w:pPr>
    </w:p>
    <w:p w:rsidR="002D529C" w:rsidRPr="003D3F58" w:rsidRDefault="002D529C" w:rsidP="002D529C">
      <w:pPr>
        <w:spacing w:line="240" w:lineRule="exact"/>
        <w:rPr>
          <w:rFonts w:eastAsia="SimSun"/>
          <w:color w:val="000000"/>
          <w:szCs w:val="24"/>
          <w:lang w:val="en-GB"/>
        </w:rPr>
      </w:pPr>
      <w:r>
        <w:rPr>
          <w:rFonts w:eastAsia="SimSun"/>
          <w:color w:val="000000"/>
          <w:szCs w:val="24"/>
          <w:lang w:val="en-GB"/>
        </w:rPr>
        <w:t xml:space="preserve">[26] </w:t>
      </w:r>
      <w:r>
        <w:rPr>
          <w:rFonts w:asciiTheme="majorBidi" w:hAnsiTheme="majorBidi" w:cstheme="majorBidi"/>
          <w:szCs w:val="24"/>
          <w:shd w:val="clear" w:color="auto" w:fill="FFFFFF"/>
        </w:rPr>
        <w:t xml:space="preserve">E. </w:t>
      </w:r>
      <w:r w:rsidRPr="003D3F58">
        <w:rPr>
          <w:rFonts w:eastAsia="SimSun"/>
          <w:color w:val="000000"/>
          <w:szCs w:val="24"/>
          <w:lang w:val="en-GB"/>
        </w:rPr>
        <w:t xml:space="preserve">Al-Taie, </w:t>
      </w:r>
      <w:r>
        <w:rPr>
          <w:rFonts w:eastAsia="SimSun"/>
          <w:color w:val="000000"/>
          <w:szCs w:val="24"/>
          <w:lang w:val="en-GB"/>
        </w:rPr>
        <w:t xml:space="preserve">N. </w:t>
      </w:r>
      <w:r w:rsidRPr="003D3F58">
        <w:rPr>
          <w:rFonts w:eastAsia="SimSun"/>
          <w:color w:val="000000"/>
          <w:szCs w:val="24"/>
          <w:lang w:val="en-GB"/>
        </w:rPr>
        <w:t>Al-Ansari</w:t>
      </w:r>
      <w:r>
        <w:rPr>
          <w:rFonts w:eastAsia="SimSun"/>
          <w:color w:val="000000"/>
          <w:szCs w:val="24"/>
          <w:lang w:val="en-GB"/>
        </w:rPr>
        <w:t xml:space="preserve">, S. </w:t>
      </w:r>
      <w:r w:rsidRPr="003D3F58">
        <w:rPr>
          <w:rFonts w:eastAsia="SimSun"/>
          <w:color w:val="000000"/>
          <w:szCs w:val="24"/>
          <w:lang w:val="en-GB"/>
        </w:rPr>
        <w:t>Knutsson</w:t>
      </w:r>
      <w:r>
        <w:rPr>
          <w:rFonts w:eastAsia="SimSun"/>
          <w:color w:val="000000"/>
          <w:szCs w:val="24"/>
          <w:lang w:val="en-GB"/>
        </w:rPr>
        <w:t xml:space="preserve"> and T. E. Saad, Foundation Assessment in different parts of Iraq using STDDA Prov</w:t>
      </w:r>
      <w:r w:rsidRPr="002D529C">
        <w:rPr>
          <w:rFonts w:eastAsia="SimSun"/>
          <w:i/>
          <w:iCs/>
          <w:color w:val="000000"/>
          <w:szCs w:val="24"/>
          <w:lang w:val="en-GB"/>
        </w:rPr>
        <w:t>8i</w:t>
      </w:r>
      <w:r>
        <w:rPr>
          <w:rFonts w:eastAsia="SimSun"/>
          <w:color w:val="000000"/>
          <w:szCs w:val="24"/>
          <w:lang w:val="en-GB"/>
        </w:rPr>
        <w:t xml:space="preserve">, journal of civil Engineering and Architecture, vol. 7, No. 3, (2013), 273-281.  </w:t>
      </w:r>
    </w:p>
    <w:p w:rsidR="003D3F58" w:rsidRPr="003D3F58" w:rsidRDefault="003D3F58" w:rsidP="003D3F58">
      <w:pPr>
        <w:widowControl/>
        <w:adjustRightInd/>
        <w:spacing w:after="200" w:line="276" w:lineRule="auto"/>
        <w:ind w:left="720"/>
        <w:contextualSpacing/>
        <w:jc w:val="left"/>
        <w:textAlignment w:val="auto"/>
        <w:rPr>
          <w:rFonts w:eastAsia="SimSun"/>
          <w:color w:val="000000"/>
          <w:szCs w:val="24"/>
          <w:lang w:val="en-GB" w:eastAsia="en-US"/>
        </w:rPr>
      </w:pPr>
    </w:p>
    <w:p w:rsidR="003D3F58" w:rsidRPr="003D3F58" w:rsidRDefault="003D3F58" w:rsidP="003B0C6A">
      <w:pPr>
        <w:spacing w:line="240" w:lineRule="exact"/>
        <w:rPr>
          <w:rFonts w:asciiTheme="majorBidi" w:hAnsiTheme="majorBidi" w:cstheme="majorBidi"/>
          <w:szCs w:val="24"/>
          <w:shd w:val="clear" w:color="auto" w:fill="FFFFFF"/>
          <w:lang w:val="en-GB"/>
        </w:rPr>
      </w:pPr>
    </w:p>
    <w:p w:rsidR="003B0C6A" w:rsidRPr="003B0C6A" w:rsidRDefault="003B0C6A" w:rsidP="003B0C6A">
      <w:pPr>
        <w:spacing w:line="240" w:lineRule="exact"/>
        <w:rPr>
          <w:rFonts w:eastAsia="SimSun"/>
          <w:color w:val="000000"/>
          <w:szCs w:val="24"/>
          <w:lang w:val="en-GB"/>
        </w:rPr>
      </w:pPr>
    </w:p>
    <w:p w:rsidR="003B0C6A" w:rsidRPr="003B0C6A" w:rsidRDefault="003B0C6A" w:rsidP="003B0C6A">
      <w:pPr>
        <w:autoSpaceDE w:val="0"/>
        <w:autoSpaceDN w:val="0"/>
        <w:spacing w:line="240" w:lineRule="auto"/>
        <w:rPr>
          <w:szCs w:val="24"/>
          <w:lang w:val="en-GB"/>
        </w:rPr>
      </w:pPr>
      <w:r>
        <w:rPr>
          <w:rFonts w:ascii="TimesNewRomanPS-BoldMT" w:hAnsi="TimesNewRomanPS-BoldMT"/>
          <w:szCs w:val="24"/>
          <w:lang w:val="en-GB"/>
        </w:rPr>
        <w:t xml:space="preserve"> </w:t>
      </w:r>
    </w:p>
    <w:p w:rsidR="003B0C6A" w:rsidRPr="00215419" w:rsidRDefault="003B0C6A" w:rsidP="00215419">
      <w:pPr>
        <w:autoSpaceDE w:val="0"/>
        <w:autoSpaceDN w:val="0"/>
        <w:spacing w:line="240" w:lineRule="auto"/>
        <w:rPr>
          <w:szCs w:val="24"/>
          <w:lang w:val="en-GB"/>
        </w:rPr>
      </w:pPr>
      <w:r>
        <w:rPr>
          <w:szCs w:val="24"/>
          <w:lang w:val="en-GB"/>
        </w:rPr>
        <w:t xml:space="preserve"> </w:t>
      </w:r>
    </w:p>
    <w:p w:rsidR="00215419" w:rsidRPr="00215419" w:rsidRDefault="00215419" w:rsidP="00215419">
      <w:pPr>
        <w:widowControl/>
        <w:autoSpaceDE w:val="0"/>
        <w:autoSpaceDN w:val="0"/>
        <w:spacing w:line="240" w:lineRule="auto"/>
        <w:jc w:val="left"/>
        <w:textAlignment w:val="auto"/>
        <w:rPr>
          <w:rFonts w:eastAsia="Calibri"/>
          <w:szCs w:val="24"/>
          <w:lang w:val="en-GB" w:eastAsia="en-US"/>
        </w:rPr>
      </w:pPr>
    </w:p>
    <w:p w:rsidR="00215419" w:rsidRPr="00200BAF" w:rsidRDefault="00215419" w:rsidP="00193C17">
      <w:pPr>
        <w:pStyle w:val="Default"/>
      </w:pPr>
    </w:p>
    <w:p w:rsidR="00303EC3" w:rsidRPr="009F0152" w:rsidRDefault="00303EC3" w:rsidP="009F0152">
      <w:pPr>
        <w:autoSpaceDE w:val="0"/>
        <w:autoSpaceDN w:val="0"/>
        <w:spacing w:line="240" w:lineRule="auto"/>
        <w:rPr>
          <w:szCs w:val="24"/>
          <w:lang w:val="en-GB"/>
        </w:rPr>
      </w:pPr>
    </w:p>
    <w:p w:rsidR="009F0152" w:rsidRPr="0001069B" w:rsidRDefault="009F0152" w:rsidP="0001069B">
      <w:pPr>
        <w:autoSpaceDE w:val="0"/>
        <w:autoSpaceDN w:val="0"/>
        <w:spacing w:line="240" w:lineRule="auto"/>
        <w:rPr>
          <w:szCs w:val="24"/>
          <w:lang w:val="en-GB"/>
        </w:rPr>
      </w:pPr>
    </w:p>
    <w:p w:rsidR="0001069B" w:rsidRPr="0001069B" w:rsidRDefault="0001069B" w:rsidP="0001069B">
      <w:pPr>
        <w:widowControl/>
        <w:adjustRightInd/>
        <w:spacing w:after="200" w:line="276" w:lineRule="auto"/>
        <w:ind w:left="720"/>
        <w:contextualSpacing/>
        <w:jc w:val="left"/>
        <w:textAlignment w:val="auto"/>
        <w:rPr>
          <w:rFonts w:eastAsia="Calibri"/>
          <w:szCs w:val="24"/>
          <w:lang w:val="en-GB" w:eastAsia="en-US"/>
        </w:rPr>
      </w:pPr>
    </w:p>
    <w:p w:rsidR="0001069B" w:rsidRPr="00377022" w:rsidRDefault="0001069B" w:rsidP="00377022">
      <w:pPr>
        <w:spacing w:line="240" w:lineRule="exact"/>
        <w:rPr>
          <w:rFonts w:eastAsia="SimSun"/>
          <w:color w:val="000000"/>
          <w:szCs w:val="24"/>
          <w:lang w:val="en-GB"/>
        </w:rPr>
      </w:pPr>
    </w:p>
    <w:p w:rsidR="00377022" w:rsidRDefault="00377022" w:rsidP="00377022">
      <w:pPr>
        <w:rPr>
          <w:rFonts w:eastAsia="Calibri"/>
          <w:szCs w:val="24"/>
          <w:lang w:val="en-GB"/>
        </w:rPr>
      </w:pPr>
    </w:p>
    <w:p w:rsidR="00377022" w:rsidRPr="00377022" w:rsidRDefault="00377022" w:rsidP="00377022">
      <w:pPr>
        <w:rPr>
          <w:rFonts w:eastAsia="SimSun"/>
          <w:szCs w:val="24"/>
          <w:lang w:val="en-GB"/>
        </w:rPr>
      </w:pPr>
    </w:p>
    <w:p w:rsidR="00A16FA4" w:rsidRPr="00A16FA4" w:rsidRDefault="00A16FA4" w:rsidP="00A16FA4">
      <w:pPr>
        <w:autoSpaceDE w:val="0"/>
        <w:autoSpaceDN w:val="0"/>
        <w:spacing w:line="240" w:lineRule="auto"/>
        <w:rPr>
          <w:szCs w:val="24"/>
          <w:lang w:val="en-GB"/>
        </w:rPr>
      </w:pPr>
    </w:p>
    <w:p w:rsidR="00A16FA4" w:rsidRPr="00A16FA4" w:rsidRDefault="00A16FA4" w:rsidP="00A16FA4">
      <w:pPr>
        <w:widowControl/>
        <w:adjustRightInd/>
        <w:spacing w:after="200" w:line="276" w:lineRule="auto"/>
        <w:ind w:left="720"/>
        <w:contextualSpacing/>
        <w:jc w:val="left"/>
        <w:textAlignment w:val="auto"/>
        <w:rPr>
          <w:rFonts w:eastAsia="Calibri"/>
          <w:szCs w:val="24"/>
          <w:lang w:val="en-GB" w:eastAsia="en-US"/>
        </w:rPr>
      </w:pPr>
    </w:p>
    <w:p w:rsidR="00A16FA4" w:rsidRPr="00A16FA4" w:rsidRDefault="00A16FA4" w:rsidP="00A16FA4">
      <w:pPr>
        <w:spacing w:line="240" w:lineRule="auto"/>
        <w:rPr>
          <w:rFonts w:asciiTheme="majorBidi" w:eastAsia="Times New Roman" w:hAnsiTheme="majorBidi" w:cstheme="majorBidi"/>
          <w:szCs w:val="24"/>
          <w:lang w:val="en-GB" w:bidi="ar-IQ"/>
        </w:rPr>
      </w:pPr>
    </w:p>
    <w:p w:rsidR="00A16FA4" w:rsidRPr="00737B2D" w:rsidRDefault="00A16FA4" w:rsidP="00737B2D">
      <w:pPr>
        <w:autoSpaceDE w:val="0"/>
        <w:autoSpaceDN w:val="0"/>
        <w:spacing w:line="240" w:lineRule="auto"/>
        <w:rPr>
          <w:szCs w:val="24"/>
          <w:lang w:val="en-GB"/>
        </w:rPr>
      </w:pPr>
    </w:p>
    <w:p w:rsidR="00737B2D" w:rsidRPr="00737B2D" w:rsidRDefault="00737B2D" w:rsidP="00737B2D">
      <w:pPr>
        <w:autoSpaceDE w:val="0"/>
        <w:autoSpaceDN w:val="0"/>
        <w:spacing w:line="240" w:lineRule="auto"/>
        <w:rPr>
          <w:szCs w:val="24"/>
          <w:lang w:val="en-GB"/>
        </w:rPr>
      </w:pPr>
      <w:r>
        <w:rPr>
          <w:szCs w:val="24"/>
          <w:lang w:val="en-GB"/>
        </w:rPr>
        <w:t xml:space="preserve"> </w:t>
      </w:r>
    </w:p>
    <w:p w:rsidR="00737B2D" w:rsidRPr="00737B2D" w:rsidRDefault="00737B2D" w:rsidP="00737B2D">
      <w:pPr>
        <w:widowControl/>
        <w:adjustRightInd/>
        <w:spacing w:after="200" w:line="276" w:lineRule="auto"/>
        <w:ind w:left="720"/>
        <w:contextualSpacing/>
        <w:jc w:val="left"/>
        <w:textAlignment w:val="auto"/>
        <w:rPr>
          <w:rFonts w:eastAsia="Calibri"/>
          <w:szCs w:val="24"/>
          <w:lang w:val="en-GB" w:eastAsia="en-US"/>
        </w:rPr>
      </w:pPr>
    </w:p>
    <w:p w:rsidR="00737B2D" w:rsidRPr="00737B2D" w:rsidRDefault="00737B2D" w:rsidP="00737B2D">
      <w:pPr>
        <w:spacing w:after="80" w:line="240" w:lineRule="auto"/>
        <w:rPr>
          <w:rFonts w:eastAsia="Times New Roman"/>
          <w:szCs w:val="24"/>
          <w:lang w:val="en-GB" w:bidi="ar-IQ"/>
        </w:rPr>
      </w:pPr>
    </w:p>
    <w:p w:rsidR="00AF7713" w:rsidRPr="00AF7713" w:rsidRDefault="00AF7713" w:rsidP="00AF7713">
      <w:pPr>
        <w:widowControl/>
        <w:adjustRightInd/>
        <w:spacing w:after="80" w:line="240" w:lineRule="auto"/>
        <w:jc w:val="left"/>
        <w:textAlignment w:val="auto"/>
        <w:rPr>
          <w:rFonts w:eastAsia="Times New Roman"/>
          <w:szCs w:val="24"/>
          <w:lang w:eastAsia="en-US" w:bidi="ar-IQ"/>
        </w:rPr>
      </w:pPr>
    </w:p>
    <w:p w:rsidR="00AF7713" w:rsidRPr="00AF7713" w:rsidRDefault="00AF7713" w:rsidP="00AF7713">
      <w:pPr>
        <w:spacing w:line="240" w:lineRule="exact"/>
        <w:rPr>
          <w:rFonts w:eastAsia="SimSun"/>
          <w:color w:val="000000"/>
          <w:szCs w:val="24"/>
        </w:rPr>
      </w:pPr>
    </w:p>
    <w:p w:rsidR="00AF7713" w:rsidRPr="00AF7713" w:rsidRDefault="00AF7713" w:rsidP="00AF7713">
      <w:pPr>
        <w:spacing w:line="240" w:lineRule="auto"/>
        <w:rPr>
          <w:rFonts w:eastAsia="Times New Roman"/>
          <w:szCs w:val="24"/>
          <w:lang w:bidi="ar-IQ"/>
        </w:rPr>
      </w:pPr>
    </w:p>
    <w:p w:rsidR="00362B4F" w:rsidRPr="00AF7713" w:rsidRDefault="0021715A" w:rsidP="0021715A">
      <w:pPr>
        <w:autoSpaceDE w:val="0"/>
        <w:autoSpaceDN w:val="0"/>
        <w:spacing w:line="240" w:lineRule="auto"/>
        <w:rPr>
          <w:szCs w:val="24"/>
        </w:rPr>
      </w:pPr>
      <w:r w:rsidRPr="00AF7713">
        <w:rPr>
          <w:szCs w:val="24"/>
        </w:rPr>
        <w:lastRenderedPageBreak/>
        <w:t xml:space="preserve"> </w:t>
      </w:r>
      <w:r w:rsidR="00362B4F" w:rsidRPr="00AF7713">
        <w:rPr>
          <w:szCs w:val="24"/>
        </w:rPr>
        <w:t xml:space="preserve"> </w:t>
      </w:r>
    </w:p>
    <w:p w:rsidR="00362B4F" w:rsidRPr="00AF7713" w:rsidRDefault="00362B4F" w:rsidP="00362B4F">
      <w:pPr>
        <w:spacing w:line="240" w:lineRule="exact"/>
        <w:rPr>
          <w:rFonts w:eastAsia="SimSun"/>
          <w:color w:val="000000"/>
          <w:szCs w:val="24"/>
        </w:rPr>
      </w:pPr>
      <w:r w:rsidRPr="00AF7713">
        <w:rPr>
          <w:rFonts w:eastAsia="SimSun"/>
          <w:color w:val="000000"/>
          <w:szCs w:val="24"/>
        </w:rPr>
        <w:t xml:space="preserve"> </w:t>
      </w:r>
    </w:p>
    <w:p w:rsidR="00362B4F" w:rsidRPr="00AF7713" w:rsidRDefault="00362B4F" w:rsidP="00850290">
      <w:pPr>
        <w:spacing w:after="80" w:line="240" w:lineRule="auto"/>
        <w:rPr>
          <w:rFonts w:eastAsia="Calibri"/>
          <w:szCs w:val="24"/>
        </w:rPr>
      </w:pPr>
    </w:p>
    <w:p w:rsidR="00362B4F" w:rsidRPr="00AF7713" w:rsidRDefault="00362B4F" w:rsidP="00850290">
      <w:pPr>
        <w:spacing w:after="80" w:line="240" w:lineRule="auto"/>
        <w:rPr>
          <w:rFonts w:eastAsia="Times New Roman"/>
          <w:szCs w:val="24"/>
          <w:lang w:bidi="ar-IQ"/>
        </w:rPr>
      </w:pPr>
    </w:p>
    <w:p w:rsidR="00850290" w:rsidRPr="00AF7713" w:rsidRDefault="00850290" w:rsidP="00850290">
      <w:pPr>
        <w:autoSpaceDE w:val="0"/>
        <w:autoSpaceDN w:val="0"/>
        <w:spacing w:line="240" w:lineRule="auto"/>
        <w:rPr>
          <w:szCs w:val="24"/>
        </w:rPr>
      </w:pPr>
    </w:p>
    <w:p w:rsidR="00850290" w:rsidRPr="00AF7713" w:rsidRDefault="00850290" w:rsidP="00850290">
      <w:pPr>
        <w:spacing w:line="240" w:lineRule="exact"/>
        <w:rPr>
          <w:rFonts w:eastAsia="SimSun"/>
          <w:color w:val="000000"/>
          <w:szCs w:val="24"/>
        </w:rPr>
      </w:pPr>
    </w:p>
    <w:p w:rsidR="001E3301" w:rsidRPr="00AF7713" w:rsidRDefault="001E3301" w:rsidP="001E3301">
      <w:pPr>
        <w:autoSpaceDE w:val="0"/>
        <w:autoSpaceDN w:val="0"/>
        <w:spacing w:line="240" w:lineRule="auto"/>
        <w:rPr>
          <w:szCs w:val="24"/>
        </w:rPr>
      </w:pPr>
      <w:r w:rsidRPr="00AF7713">
        <w:rPr>
          <w:szCs w:val="24"/>
        </w:rPr>
        <w:t xml:space="preserve"> </w:t>
      </w:r>
    </w:p>
    <w:p w:rsidR="001E3301" w:rsidRPr="001E3301" w:rsidRDefault="001E3301" w:rsidP="001E3301">
      <w:pPr>
        <w:adjustRightInd/>
        <w:spacing w:line="240" w:lineRule="exact"/>
        <w:ind w:left="720"/>
        <w:contextualSpacing/>
        <w:textAlignment w:val="auto"/>
        <w:rPr>
          <w:rFonts w:eastAsia="SimSun"/>
          <w:color w:val="000000"/>
          <w:szCs w:val="24"/>
          <w:lang w:eastAsia="en-US"/>
        </w:rPr>
      </w:pPr>
    </w:p>
    <w:p w:rsidR="001E3301" w:rsidRPr="00AF7713" w:rsidRDefault="001E3301" w:rsidP="001E3301">
      <w:pPr>
        <w:spacing w:line="240" w:lineRule="exact"/>
        <w:rPr>
          <w:rFonts w:eastAsia="SimSun"/>
          <w:color w:val="000000"/>
          <w:szCs w:val="24"/>
        </w:rPr>
      </w:pPr>
      <w:r w:rsidRPr="00AF7713">
        <w:rPr>
          <w:rFonts w:eastAsia="SimSun"/>
          <w:color w:val="000000"/>
          <w:szCs w:val="24"/>
        </w:rPr>
        <w:t xml:space="preserve"> </w:t>
      </w:r>
    </w:p>
    <w:p w:rsidR="001E3301" w:rsidRPr="00AF7713" w:rsidRDefault="001E3301">
      <w:pPr>
        <w:widowControl/>
        <w:autoSpaceDE w:val="0"/>
        <w:autoSpaceDN w:val="0"/>
        <w:spacing w:line="240" w:lineRule="auto"/>
        <w:textAlignment w:val="bottom"/>
        <w:rPr>
          <w:b/>
          <w:caps/>
          <w:color w:val="000000"/>
          <w:szCs w:val="24"/>
          <w:lang w:bidi="ar-IQ"/>
        </w:rPr>
      </w:pPr>
    </w:p>
    <w:p w:rsidR="00E74776" w:rsidRPr="00AF7713" w:rsidRDefault="00E74776">
      <w:pPr>
        <w:widowControl/>
        <w:autoSpaceDE w:val="0"/>
        <w:autoSpaceDN w:val="0"/>
        <w:spacing w:line="240" w:lineRule="auto"/>
        <w:textAlignment w:val="bottom"/>
        <w:rPr>
          <w:rFonts w:eastAsia="DFKai-SB"/>
          <w:bCs/>
          <w:iCs/>
          <w:color w:val="000000"/>
          <w:szCs w:val="24"/>
        </w:rPr>
      </w:pPr>
    </w:p>
    <w:p w:rsidR="00F537F4" w:rsidRPr="00AF7713" w:rsidRDefault="00F537F4" w:rsidP="00F537F4">
      <w:pPr>
        <w:widowControl/>
        <w:autoSpaceDE w:val="0"/>
        <w:autoSpaceDN w:val="0"/>
        <w:spacing w:line="360" w:lineRule="auto"/>
        <w:textAlignment w:val="bottom"/>
        <w:rPr>
          <w:rFonts w:eastAsia="DFKai-SB"/>
          <w:color w:val="000000"/>
          <w:szCs w:val="24"/>
        </w:rPr>
      </w:pPr>
    </w:p>
    <w:p w:rsidR="00E74776" w:rsidRPr="00AF7713" w:rsidRDefault="00E74776" w:rsidP="000375F9">
      <w:pPr>
        <w:widowControl/>
        <w:autoSpaceDE w:val="0"/>
        <w:autoSpaceDN w:val="0"/>
        <w:spacing w:line="360" w:lineRule="auto"/>
        <w:textAlignment w:val="bottom"/>
        <w:rPr>
          <w:rFonts w:ascii="Century" w:eastAsia="DFKai-SB" w:hAnsi="Century"/>
          <w:b/>
          <w:color w:val="000000"/>
          <w:szCs w:val="24"/>
        </w:rPr>
      </w:pPr>
    </w:p>
    <w:sectPr w:rsidR="00E74776" w:rsidRPr="00AF7713" w:rsidSect="000375F9">
      <w:headerReference w:type="even" r:id="rId33"/>
      <w:headerReference w:type="default" r:id="rId34"/>
      <w:headerReference w:type="first" r:id="rId35"/>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91E" w:rsidRDefault="0015691E">
      <w:r>
        <w:separator/>
      </w:r>
    </w:p>
  </w:endnote>
  <w:endnote w:type="continuationSeparator" w:id="0">
    <w:p w:rsidR="0015691E" w:rsidRDefault="0015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roman"/>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Century">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91E" w:rsidRDefault="0015691E">
      <w:r>
        <w:separator/>
      </w:r>
    </w:p>
  </w:footnote>
  <w:footnote w:type="continuationSeparator" w:id="0">
    <w:p w:rsidR="0015691E" w:rsidRDefault="0015691E">
      <w:r>
        <w:continuationSeparator/>
      </w:r>
    </w:p>
  </w:footnote>
  <w:footnote w:id="1">
    <w:p w:rsidR="00FF2206" w:rsidRDefault="00FF2206" w:rsidP="002A2D5F">
      <w:pPr>
        <w:pStyle w:val="FootnoteText"/>
        <w:spacing w:line="240" w:lineRule="auto"/>
      </w:pPr>
      <w:r>
        <w:rPr>
          <w:rStyle w:val="FootnoteReference"/>
        </w:rPr>
        <w:footnoteRef/>
      </w:r>
      <w:r>
        <w:t xml:space="preserve"> </w:t>
      </w:r>
      <w:r w:rsidRPr="000331B1">
        <w:t>Lulea University of Technology,</w:t>
      </w:r>
      <w:r>
        <w:t xml:space="preserve"> </w:t>
      </w:r>
      <w:r w:rsidRPr="000331B1">
        <w:t>97187 Lulea, Sweden.</w:t>
      </w:r>
      <w:r>
        <w:t xml:space="preserve"> Email</w:t>
      </w:r>
      <w:r w:rsidRPr="000331B1">
        <w:t xml:space="preserve">: </w:t>
      </w:r>
      <w:hyperlink r:id="rId1" w:history="1">
        <w:r w:rsidRPr="00255E88">
          <w:rPr>
            <w:rStyle w:val="Hyperlink"/>
          </w:rPr>
          <w:t>entidhar.altaie@ltu.se</w:t>
        </w:r>
      </w:hyperlink>
      <w:r>
        <w:t xml:space="preserve"> </w:t>
      </w:r>
    </w:p>
  </w:footnote>
  <w:footnote w:id="2">
    <w:p w:rsidR="00FF2206" w:rsidRDefault="00FF2206" w:rsidP="002A2D5F">
      <w:pPr>
        <w:pStyle w:val="FootnoteText"/>
        <w:spacing w:line="240" w:lineRule="auto"/>
      </w:pPr>
      <w:r>
        <w:rPr>
          <w:rStyle w:val="FootnoteReference"/>
        </w:rPr>
        <w:footnoteRef/>
      </w:r>
      <w:r>
        <w:t xml:space="preserve"> </w:t>
      </w:r>
      <w:r w:rsidRPr="000331B1">
        <w:t>Lulea University of Technology, 97187 Lulea, Sweden.</w:t>
      </w:r>
      <w:r>
        <w:t xml:space="preserve"> Email</w:t>
      </w:r>
      <w:r w:rsidRPr="000331B1">
        <w:t>:</w:t>
      </w:r>
      <w:r>
        <w:t xml:space="preserve"> </w:t>
      </w:r>
      <w:hyperlink r:id="rId2" w:history="1">
        <w:r w:rsidRPr="00255E88">
          <w:rPr>
            <w:rStyle w:val="Hyperlink"/>
          </w:rPr>
          <w:t>nadhir.alansari@ltu.se</w:t>
        </w:r>
      </w:hyperlink>
      <w:r>
        <w:t xml:space="preserve"> </w:t>
      </w:r>
    </w:p>
  </w:footnote>
  <w:footnote w:id="3">
    <w:p w:rsidR="00FF2206" w:rsidRDefault="00FF2206" w:rsidP="002A2D5F">
      <w:pPr>
        <w:pStyle w:val="FootnoteText"/>
        <w:spacing w:line="240" w:lineRule="auto"/>
      </w:pPr>
      <w:r>
        <w:rPr>
          <w:rStyle w:val="FootnoteReference"/>
        </w:rPr>
        <w:footnoteRef/>
      </w:r>
      <w:r>
        <w:t xml:space="preserve"> </w:t>
      </w:r>
      <w:r w:rsidRPr="000331B1">
        <w:t>Lulea University of Technology, 97187 Lulea, Sweden.</w:t>
      </w:r>
      <w:r>
        <w:t xml:space="preserve"> Email</w:t>
      </w:r>
      <w:r w:rsidRPr="000331B1">
        <w:t>:</w:t>
      </w:r>
      <w:r>
        <w:t xml:space="preserve"> </w:t>
      </w:r>
      <w:hyperlink r:id="rId3" w:history="1">
        <w:r w:rsidRPr="00255E88">
          <w:rPr>
            <w:rStyle w:val="Hyperlink"/>
          </w:rPr>
          <w:t>tarek.edrees@ltu.se</w:t>
        </w:r>
      </w:hyperlink>
      <w:r>
        <w:t xml:space="preserve"> </w:t>
      </w:r>
    </w:p>
  </w:footnote>
  <w:footnote w:id="4">
    <w:p w:rsidR="00FF2206" w:rsidRDefault="00FF2206" w:rsidP="002A2D5F">
      <w:pPr>
        <w:pStyle w:val="FootnoteText"/>
        <w:spacing w:line="240" w:lineRule="auto"/>
      </w:pPr>
      <w:r>
        <w:rPr>
          <w:rStyle w:val="FootnoteReference"/>
        </w:rPr>
        <w:footnoteRef/>
      </w:r>
      <w:r>
        <w:t xml:space="preserve"> </w:t>
      </w:r>
      <w:r w:rsidRPr="000331B1">
        <w:t>Lulea University of Technology, 97187 Lulea, Sweden.</w:t>
      </w:r>
      <w:r>
        <w:t xml:space="preserve"> Email</w:t>
      </w:r>
      <w:r w:rsidRPr="000331B1">
        <w:t>:</w:t>
      </w:r>
      <w:r>
        <w:t xml:space="preserve"> </w:t>
      </w:r>
      <w:hyperlink r:id="rId4" w:history="1">
        <w:r w:rsidRPr="00255E88">
          <w:rPr>
            <w:rStyle w:val="Hyperlink"/>
          </w:rPr>
          <w:t>sven.knutsson@ltu.se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206" w:rsidRDefault="00FF2206" w:rsidP="004A218D">
    <w:pPr>
      <w:pStyle w:val="Header"/>
      <w:framePr w:wrap="around" w:vAnchor="text" w:hAnchor="margin" w:xAlign="right" w:y="1"/>
      <w:ind w:right="360" w:firstLine="360"/>
      <w:rPr>
        <w:rStyle w:val="PageNumber"/>
      </w:rPr>
    </w:pPr>
  </w:p>
  <w:p w:rsidR="00FF2206" w:rsidRPr="003508EF" w:rsidRDefault="00221FDC" w:rsidP="00221FDC">
    <w:pPr>
      <w:pStyle w:val="Header"/>
      <w:ind w:right="360"/>
      <w:rPr>
        <w:i/>
        <w:iCs/>
        <w:sz w:val="22"/>
        <w:szCs w:val="22"/>
      </w:rPr>
    </w:pPr>
    <w:r w:rsidRPr="003508EF">
      <w:rPr>
        <w:i/>
        <w:iCs/>
        <w:sz w:val="22"/>
        <w:szCs w:val="22"/>
      </w:rPr>
      <w:t xml:space="preserve">Al-Taie E., Al-Ansari N., </w:t>
    </w:r>
    <w:proofErr w:type="spellStart"/>
    <w:r w:rsidRPr="003508EF">
      <w:rPr>
        <w:i/>
        <w:iCs/>
        <w:sz w:val="22"/>
        <w:szCs w:val="22"/>
      </w:rPr>
      <w:t>Saaed</w:t>
    </w:r>
    <w:proofErr w:type="spellEnd"/>
    <w:r w:rsidRPr="003508EF">
      <w:rPr>
        <w:i/>
        <w:iCs/>
        <w:sz w:val="22"/>
        <w:szCs w:val="22"/>
      </w:rPr>
      <w:t xml:space="preserve"> T. and Knutsson 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206" w:rsidRPr="00C15591" w:rsidRDefault="00FF2206"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114E47">
      <w:rPr>
        <w:rStyle w:val="PageNumber"/>
        <w:noProof/>
        <w:sz w:val="22"/>
        <w:szCs w:val="22"/>
      </w:rPr>
      <w:t>19</w:t>
    </w:r>
    <w:r w:rsidRPr="00C15591">
      <w:rPr>
        <w:rStyle w:val="PageNumber"/>
        <w:sz w:val="22"/>
        <w:szCs w:val="22"/>
      </w:rPr>
      <w:fldChar w:fldCharType="end"/>
    </w:r>
  </w:p>
  <w:p w:rsidR="00FF2206" w:rsidRDefault="00FF2206" w:rsidP="00C15591">
    <w:pPr>
      <w:pStyle w:val="Header"/>
      <w:framePr w:wrap="around" w:vAnchor="text" w:hAnchor="page" w:x="9421" w:y="-48"/>
      <w:ind w:right="360"/>
      <w:rPr>
        <w:rStyle w:val="PageNumber"/>
      </w:rPr>
    </w:pPr>
  </w:p>
  <w:p w:rsidR="00FF2206" w:rsidRPr="00C15591" w:rsidRDefault="00CE5E53" w:rsidP="00CE5E53">
    <w:pPr>
      <w:pStyle w:val="Header"/>
      <w:ind w:right="360"/>
      <w:rPr>
        <w:i/>
        <w:sz w:val="22"/>
        <w:szCs w:val="22"/>
      </w:rPr>
    </w:pPr>
    <w:r w:rsidRPr="00CE5E53">
      <w:rPr>
        <w:i/>
        <w:sz w:val="22"/>
        <w:szCs w:val="22"/>
      </w:rPr>
      <w:t xml:space="preserve">Bearing Capacity Affecting the Design of Shallow Foundation in Various Regions of Iraq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206" w:rsidRPr="00F503C0" w:rsidRDefault="00FF2206"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FF2206" w:rsidRPr="00F503C0" w:rsidRDefault="00FF2206"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FF2206" w:rsidRPr="00D4528E" w:rsidRDefault="00FF2206"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FF2206" w:rsidRPr="003A3D8F" w:rsidRDefault="00FF2206"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D76107"/>
    <w:multiLevelType w:val="multilevel"/>
    <w:tmpl w:val="D6786FA4"/>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6C214F"/>
    <w:multiLevelType w:val="hybridMultilevel"/>
    <w:tmpl w:val="E64C9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1B763183"/>
    <w:multiLevelType w:val="multilevel"/>
    <w:tmpl w:val="2F3C815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7">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9">
    <w:nsid w:val="3C722F17"/>
    <w:multiLevelType w:val="multilevel"/>
    <w:tmpl w:val="6A06E330"/>
    <w:lvl w:ilvl="0">
      <w:start w:val="2"/>
      <w:numFmt w:val="decimal"/>
      <w:lvlText w:val="%1."/>
      <w:lvlJc w:val="left"/>
      <w:pPr>
        <w:ind w:left="540" w:hanging="540"/>
      </w:pPr>
      <w:rPr>
        <w:rFonts w:hint="default"/>
        <w:b/>
      </w:rPr>
    </w:lvl>
    <w:lvl w:ilvl="1">
      <w:start w:val="1"/>
      <w:numFmt w:val="decimal"/>
      <w:lvlText w:val="%1.%2."/>
      <w:lvlJc w:val="left"/>
      <w:pPr>
        <w:ind w:left="720" w:hanging="540"/>
      </w:pPr>
      <w:rPr>
        <w:rFonts w:asciiTheme="majorBidi" w:hAnsiTheme="majorBidi" w:cstheme="majorBidi" w:hint="default"/>
        <w:b/>
        <w:sz w:val="24"/>
        <w:szCs w:val="24"/>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0">
    <w:nsid w:val="3CCB7880"/>
    <w:multiLevelType w:val="hybridMultilevel"/>
    <w:tmpl w:val="09FA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12">
    <w:nsid w:val="4D8D59BD"/>
    <w:multiLevelType w:val="hybridMultilevel"/>
    <w:tmpl w:val="C5E0A4EE"/>
    <w:lvl w:ilvl="0" w:tplc="08090001">
      <w:start w:val="1"/>
      <w:numFmt w:val="bullet"/>
      <w:lvlText w:val=""/>
      <w:lvlJc w:val="left"/>
      <w:pPr>
        <w:ind w:left="1566" w:hanging="360"/>
      </w:pPr>
      <w:rPr>
        <w:rFonts w:ascii="Symbol" w:hAnsi="Symbol" w:hint="default"/>
      </w:rPr>
    </w:lvl>
    <w:lvl w:ilvl="1" w:tplc="08090003" w:tentative="1">
      <w:start w:val="1"/>
      <w:numFmt w:val="bullet"/>
      <w:lvlText w:val="o"/>
      <w:lvlJc w:val="left"/>
      <w:pPr>
        <w:ind w:left="2286" w:hanging="360"/>
      </w:pPr>
      <w:rPr>
        <w:rFonts w:ascii="Courier New" w:hAnsi="Courier New" w:cs="Courier New" w:hint="default"/>
      </w:rPr>
    </w:lvl>
    <w:lvl w:ilvl="2" w:tplc="08090005" w:tentative="1">
      <w:start w:val="1"/>
      <w:numFmt w:val="bullet"/>
      <w:lvlText w:val=""/>
      <w:lvlJc w:val="left"/>
      <w:pPr>
        <w:ind w:left="3006" w:hanging="360"/>
      </w:pPr>
      <w:rPr>
        <w:rFonts w:ascii="Wingdings" w:hAnsi="Wingdings" w:hint="default"/>
      </w:rPr>
    </w:lvl>
    <w:lvl w:ilvl="3" w:tplc="08090001" w:tentative="1">
      <w:start w:val="1"/>
      <w:numFmt w:val="bullet"/>
      <w:lvlText w:val=""/>
      <w:lvlJc w:val="left"/>
      <w:pPr>
        <w:ind w:left="3726" w:hanging="360"/>
      </w:pPr>
      <w:rPr>
        <w:rFonts w:ascii="Symbol" w:hAnsi="Symbol" w:hint="default"/>
      </w:rPr>
    </w:lvl>
    <w:lvl w:ilvl="4" w:tplc="08090003" w:tentative="1">
      <w:start w:val="1"/>
      <w:numFmt w:val="bullet"/>
      <w:lvlText w:val="o"/>
      <w:lvlJc w:val="left"/>
      <w:pPr>
        <w:ind w:left="4446" w:hanging="360"/>
      </w:pPr>
      <w:rPr>
        <w:rFonts w:ascii="Courier New" w:hAnsi="Courier New" w:cs="Courier New" w:hint="default"/>
      </w:rPr>
    </w:lvl>
    <w:lvl w:ilvl="5" w:tplc="08090005" w:tentative="1">
      <w:start w:val="1"/>
      <w:numFmt w:val="bullet"/>
      <w:lvlText w:val=""/>
      <w:lvlJc w:val="left"/>
      <w:pPr>
        <w:ind w:left="5166" w:hanging="360"/>
      </w:pPr>
      <w:rPr>
        <w:rFonts w:ascii="Wingdings" w:hAnsi="Wingdings" w:hint="default"/>
      </w:rPr>
    </w:lvl>
    <w:lvl w:ilvl="6" w:tplc="08090001" w:tentative="1">
      <w:start w:val="1"/>
      <w:numFmt w:val="bullet"/>
      <w:lvlText w:val=""/>
      <w:lvlJc w:val="left"/>
      <w:pPr>
        <w:ind w:left="5886" w:hanging="360"/>
      </w:pPr>
      <w:rPr>
        <w:rFonts w:ascii="Symbol" w:hAnsi="Symbol" w:hint="default"/>
      </w:rPr>
    </w:lvl>
    <w:lvl w:ilvl="7" w:tplc="08090003" w:tentative="1">
      <w:start w:val="1"/>
      <w:numFmt w:val="bullet"/>
      <w:lvlText w:val="o"/>
      <w:lvlJc w:val="left"/>
      <w:pPr>
        <w:ind w:left="6606" w:hanging="360"/>
      </w:pPr>
      <w:rPr>
        <w:rFonts w:ascii="Courier New" w:hAnsi="Courier New" w:cs="Courier New" w:hint="default"/>
      </w:rPr>
    </w:lvl>
    <w:lvl w:ilvl="8" w:tplc="08090005" w:tentative="1">
      <w:start w:val="1"/>
      <w:numFmt w:val="bullet"/>
      <w:lvlText w:val=""/>
      <w:lvlJc w:val="left"/>
      <w:pPr>
        <w:ind w:left="7326" w:hanging="360"/>
      </w:pPr>
      <w:rPr>
        <w:rFonts w:ascii="Wingdings" w:hAnsi="Wingdings" w:hint="default"/>
      </w:rPr>
    </w:lvl>
  </w:abstractNum>
  <w:abstractNum w:abstractNumId="13">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5">
    <w:nsid w:val="63B90B79"/>
    <w:multiLevelType w:val="hybridMultilevel"/>
    <w:tmpl w:val="3B66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354351"/>
    <w:multiLevelType w:val="hybridMultilevel"/>
    <w:tmpl w:val="D610E1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75A4736D"/>
    <w:multiLevelType w:val="multilevel"/>
    <w:tmpl w:val="BEB82B24"/>
    <w:lvl w:ilvl="0">
      <w:start w:val="2"/>
      <w:numFmt w:val="decimal"/>
      <w:lvlText w:val="%1."/>
      <w:lvlJc w:val="left"/>
      <w:pPr>
        <w:ind w:left="540" w:hanging="540"/>
      </w:pPr>
      <w:rPr>
        <w:rFonts w:hint="default"/>
        <w:b/>
      </w:rPr>
    </w:lvl>
    <w:lvl w:ilvl="1">
      <w:start w:val="1"/>
      <w:numFmt w:val="decimal"/>
      <w:lvlText w:val="%1.%2."/>
      <w:lvlJc w:val="left"/>
      <w:pPr>
        <w:ind w:left="720" w:hanging="540"/>
      </w:pPr>
      <w:rPr>
        <w:rFonts w:hint="default"/>
        <w:b/>
      </w:rPr>
    </w:lvl>
    <w:lvl w:ilvl="2">
      <w:start w:val="4"/>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8">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4"/>
  </w:num>
  <w:num w:numId="3">
    <w:abstractNumId w:val="8"/>
  </w:num>
  <w:num w:numId="4">
    <w:abstractNumId w:val="11"/>
  </w:num>
  <w:num w:numId="5">
    <w:abstractNumId w:val="6"/>
  </w:num>
  <w:num w:numId="6">
    <w:abstractNumId w:val="13"/>
  </w:num>
  <w:num w:numId="7">
    <w:abstractNumId w:val="3"/>
  </w:num>
  <w:num w:numId="8">
    <w:abstractNumId w:val="18"/>
  </w:num>
  <w:num w:numId="9">
    <w:abstractNumId w:val="7"/>
  </w:num>
  <w:num w:numId="10">
    <w:abstractNumId w:val="4"/>
  </w:num>
  <w:num w:numId="11">
    <w:abstractNumId w:val="11"/>
    <w:lvlOverride w:ilvl="0">
      <w:startOverride w:val="1"/>
    </w:lvlOverride>
  </w:num>
  <w:num w:numId="12">
    <w:abstractNumId w:val="1"/>
  </w:num>
  <w:num w:numId="13">
    <w:abstractNumId w:val="17"/>
  </w:num>
  <w:num w:numId="14">
    <w:abstractNumId w:val="12"/>
  </w:num>
  <w:num w:numId="15">
    <w:abstractNumId w:val="16"/>
  </w:num>
  <w:num w:numId="16">
    <w:abstractNumId w:val="5"/>
  </w:num>
  <w:num w:numId="17">
    <w:abstractNumId w:val="9"/>
  </w:num>
  <w:num w:numId="18">
    <w:abstractNumId w:val="15"/>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1069B"/>
    <w:rsid w:val="00013CF2"/>
    <w:rsid w:val="000331B1"/>
    <w:rsid w:val="00034661"/>
    <w:rsid w:val="000375F9"/>
    <w:rsid w:val="00047F33"/>
    <w:rsid w:val="00050501"/>
    <w:rsid w:val="000574E9"/>
    <w:rsid w:val="00085C4B"/>
    <w:rsid w:val="0009018B"/>
    <w:rsid w:val="00096CFE"/>
    <w:rsid w:val="000B1D94"/>
    <w:rsid w:val="00114E47"/>
    <w:rsid w:val="00116D61"/>
    <w:rsid w:val="00125EF9"/>
    <w:rsid w:val="0015691E"/>
    <w:rsid w:val="001610A0"/>
    <w:rsid w:val="001637F6"/>
    <w:rsid w:val="0016507E"/>
    <w:rsid w:val="00193C17"/>
    <w:rsid w:val="001B6DB9"/>
    <w:rsid w:val="001D3013"/>
    <w:rsid w:val="001E3301"/>
    <w:rsid w:val="00200BAF"/>
    <w:rsid w:val="002070F7"/>
    <w:rsid w:val="00215419"/>
    <w:rsid w:val="0021715A"/>
    <w:rsid w:val="00221FDC"/>
    <w:rsid w:val="00233785"/>
    <w:rsid w:val="00234BD1"/>
    <w:rsid w:val="00242E0D"/>
    <w:rsid w:val="002509A8"/>
    <w:rsid w:val="00260962"/>
    <w:rsid w:val="00271A37"/>
    <w:rsid w:val="002A2D5F"/>
    <w:rsid w:val="002C2043"/>
    <w:rsid w:val="002D3F6B"/>
    <w:rsid w:val="002D529C"/>
    <w:rsid w:val="002E218C"/>
    <w:rsid w:val="002E3749"/>
    <w:rsid w:val="00303353"/>
    <w:rsid w:val="00303DC9"/>
    <w:rsid w:val="00303EC3"/>
    <w:rsid w:val="00314C27"/>
    <w:rsid w:val="00322DA7"/>
    <w:rsid w:val="00336CFF"/>
    <w:rsid w:val="00345AEE"/>
    <w:rsid w:val="00347F24"/>
    <w:rsid w:val="003508EF"/>
    <w:rsid w:val="00362B4F"/>
    <w:rsid w:val="003760E0"/>
    <w:rsid w:val="00377022"/>
    <w:rsid w:val="003849B5"/>
    <w:rsid w:val="00386699"/>
    <w:rsid w:val="00395B5C"/>
    <w:rsid w:val="00397A3C"/>
    <w:rsid w:val="003A1A33"/>
    <w:rsid w:val="003A3D8F"/>
    <w:rsid w:val="003B0C6A"/>
    <w:rsid w:val="003B5CF2"/>
    <w:rsid w:val="003C03F8"/>
    <w:rsid w:val="003C514D"/>
    <w:rsid w:val="003D24DA"/>
    <w:rsid w:val="003D3BD5"/>
    <w:rsid w:val="003D3F58"/>
    <w:rsid w:val="003E59D5"/>
    <w:rsid w:val="003E6242"/>
    <w:rsid w:val="00404FCA"/>
    <w:rsid w:val="0040584D"/>
    <w:rsid w:val="00411AF5"/>
    <w:rsid w:val="00412D8C"/>
    <w:rsid w:val="00417533"/>
    <w:rsid w:val="00425D81"/>
    <w:rsid w:val="00432112"/>
    <w:rsid w:val="004430CE"/>
    <w:rsid w:val="00455243"/>
    <w:rsid w:val="00485E38"/>
    <w:rsid w:val="00496D93"/>
    <w:rsid w:val="004A218D"/>
    <w:rsid w:val="004B0042"/>
    <w:rsid w:val="004C044C"/>
    <w:rsid w:val="004D6F55"/>
    <w:rsid w:val="004E6AEA"/>
    <w:rsid w:val="004F50AA"/>
    <w:rsid w:val="005050D8"/>
    <w:rsid w:val="005141B4"/>
    <w:rsid w:val="00552BEA"/>
    <w:rsid w:val="0056424E"/>
    <w:rsid w:val="0057377A"/>
    <w:rsid w:val="005C1F7A"/>
    <w:rsid w:val="005D4979"/>
    <w:rsid w:val="005F5EDB"/>
    <w:rsid w:val="00611579"/>
    <w:rsid w:val="006234D8"/>
    <w:rsid w:val="006237CA"/>
    <w:rsid w:val="00641F7D"/>
    <w:rsid w:val="00671586"/>
    <w:rsid w:val="00680B18"/>
    <w:rsid w:val="00683AD7"/>
    <w:rsid w:val="006953B1"/>
    <w:rsid w:val="006A4676"/>
    <w:rsid w:val="006C55B9"/>
    <w:rsid w:val="006F57E2"/>
    <w:rsid w:val="007024DA"/>
    <w:rsid w:val="0070258F"/>
    <w:rsid w:val="00735E85"/>
    <w:rsid w:val="00737B2D"/>
    <w:rsid w:val="00745359"/>
    <w:rsid w:val="0077016D"/>
    <w:rsid w:val="00772216"/>
    <w:rsid w:val="00782CD2"/>
    <w:rsid w:val="007C434A"/>
    <w:rsid w:val="007E3666"/>
    <w:rsid w:val="0080287D"/>
    <w:rsid w:val="00827E9C"/>
    <w:rsid w:val="00850290"/>
    <w:rsid w:val="00884246"/>
    <w:rsid w:val="008B5193"/>
    <w:rsid w:val="008C661C"/>
    <w:rsid w:val="008D0267"/>
    <w:rsid w:val="008E25D1"/>
    <w:rsid w:val="008E72FE"/>
    <w:rsid w:val="00901ACD"/>
    <w:rsid w:val="00924E0E"/>
    <w:rsid w:val="00924EA4"/>
    <w:rsid w:val="009312A6"/>
    <w:rsid w:val="00974D5B"/>
    <w:rsid w:val="00986DD1"/>
    <w:rsid w:val="009A1C0D"/>
    <w:rsid w:val="009A6DA1"/>
    <w:rsid w:val="009C3A50"/>
    <w:rsid w:val="009D443D"/>
    <w:rsid w:val="009E312C"/>
    <w:rsid w:val="009F0152"/>
    <w:rsid w:val="009F30B1"/>
    <w:rsid w:val="00A16FA4"/>
    <w:rsid w:val="00A31F3C"/>
    <w:rsid w:val="00A35AD4"/>
    <w:rsid w:val="00A805EA"/>
    <w:rsid w:val="00A95D65"/>
    <w:rsid w:val="00AA3116"/>
    <w:rsid w:val="00AA77DB"/>
    <w:rsid w:val="00AE3B12"/>
    <w:rsid w:val="00AF7713"/>
    <w:rsid w:val="00B1683B"/>
    <w:rsid w:val="00B32FD6"/>
    <w:rsid w:val="00B678C0"/>
    <w:rsid w:val="00B85B16"/>
    <w:rsid w:val="00BB125D"/>
    <w:rsid w:val="00BB1528"/>
    <w:rsid w:val="00C15591"/>
    <w:rsid w:val="00C3247F"/>
    <w:rsid w:val="00C6565A"/>
    <w:rsid w:val="00C67EAF"/>
    <w:rsid w:val="00C7500E"/>
    <w:rsid w:val="00C81F48"/>
    <w:rsid w:val="00C84DCF"/>
    <w:rsid w:val="00C9580F"/>
    <w:rsid w:val="00CB63AE"/>
    <w:rsid w:val="00CE5E53"/>
    <w:rsid w:val="00CE6B5B"/>
    <w:rsid w:val="00D05155"/>
    <w:rsid w:val="00D16150"/>
    <w:rsid w:val="00D4528E"/>
    <w:rsid w:val="00D55638"/>
    <w:rsid w:val="00D55D07"/>
    <w:rsid w:val="00D6487E"/>
    <w:rsid w:val="00D65903"/>
    <w:rsid w:val="00DA23FF"/>
    <w:rsid w:val="00DC034A"/>
    <w:rsid w:val="00E0580C"/>
    <w:rsid w:val="00E12D33"/>
    <w:rsid w:val="00E150E7"/>
    <w:rsid w:val="00E206ED"/>
    <w:rsid w:val="00E25B8E"/>
    <w:rsid w:val="00E74776"/>
    <w:rsid w:val="00E87401"/>
    <w:rsid w:val="00EB5E6E"/>
    <w:rsid w:val="00ED03CE"/>
    <w:rsid w:val="00EE27AB"/>
    <w:rsid w:val="00F0206E"/>
    <w:rsid w:val="00F03418"/>
    <w:rsid w:val="00F05772"/>
    <w:rsid w:val="00F07086"/>
    <w:rsid w:val="00F162D0"/>
    <w:rsid w:val="00F32657"/>
    <w:rsid w:val="00F35188"/>
    <w:rsid w:val="00F4037A"/>
    <w:rsid w:val="00F43E70"/>
    <w:rsid w:val="00F52343"/>
    <w:rsid w:val="00F537F4"/>
    <w:rsid w:val="00F87E28"/>
    <w:rsid w:val="00F97F14"/>
    <w:rsid w:val="00FF2206"/>
    <w:rsid w:val="00FF4623"/>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link w:val="FooterChar"/>
    <w:uiPriority w:val="99"/>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E12D33"/>
    <w:pPr>
      <w:widowControl/>
      <w:adjustRightInd/>
      <w:spacing w:after="200" w:line="276" w:lineRule="auto"/>
      <w:ind w:left="720"/>
      <w:contextualSpacing/>
      <w:jc w:val="left"/>
      <w:textAlignment w:val="auto"/>
    </w:pPr>
    <w:rPr>
      <w:rFonts w:ascii="Calibri" w:eastAsia="Calibri" w:hAnsi="Calibri" w:cs="Arial"/>
      <w:sz w:val="22"/>
      <w:szCs w:val="22"/>
      <w:lang w:eastAsia="en-US"/>
    </w:rPr>
  </w:style>
  <w:style w:type="character" w:customStyle="1" w:styleId="FooterChar">
    <w:name w:val="Footer Char"/>
    <w:basedOn w:val="DefaultParagraphFont"/>
    <w:link w:val="Footer"/>
    <w:uiPriority w:val="99"/>
    <w:rsid w:val="0009018B"/>
    <w:rPr>
      <w:rFonts w:ascii="MingLiU" w:eastAsia="MingLiU"/>
      <w:lang w:val="en-US" w:eastAsia="zh-TW"/>
    </w:rPr>
  </w:style>
  <w:style w:type="paragraph" w:styleId="BalloonText">
    <w:name w:val="Balloon Text"/>
    <w:basedOn w:val="Normal"/>
    <w:link w:val="BalloonTextChar"/>
    <w:rsid w:val="0009018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9018B"/>
    <w:rPr>
      <w:rFonts w:ascii="Tahoma" w:hAnsi="Tahoma" w:cs="Tahoma"/>
      <w:sz w:val="16"/>
      <w:szCs w:val="16"/>
      <w:lang w:val="en-US" w:eastAsia="zh-TW"/>
    </w:rPr>
  </w:style>
  <w:style w:type="table" w:customStyle="1" w:styleId="TableGrid1">
    <w:name w:val="Table Grid1"/>
    <w:basedOn w:val="TableNormal"/>
    <w:next w:val="TableGrid"/>
    <w:uiPriority w:val="59"/>
    <w:rsid w:val="00455243"/>
    <w:rPr>
      <w:rFonts w:ascii="Calibri" w:eastAsia="Calibri" w:hAnsi="Calibri" w:cs="Arial"/>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4552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E312C"/>
    <w:rPr>
      <w:rFonts w:ascii="Calibri" w:eastAsia="Calibri" w:hAnsi="Calibri" w:cs="Arial"/>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A1A33"/>
    <w:rPr>
      <w:rFonts w:ascii="Calibri" w:eastAsia="Calibri" w:hAnsi="Calibri" w:cs="Arial"/>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00BAF"/>
    <w:pPr>
      <w:autoSpaceDE w:val="0"/>
      <w:autoSpaceDN w:val="0"/>
      <w:adjustRightInd w:val="0"/>
    </w:pPr>
    <w:rPr>
      <w:rFonts w:eastAsia="Calibri"/>
      <w:color w:val="000000"/>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link w:val="FooterChar"/>
    <w:uiPriority w:val="99"/>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E12D33"/>
    <w:pPr>
      <w:widowControl/>
      <w:adjustRightInd/>
      <w:spacing w:after="200" w:line="276" w:lineRule="auto"/>
      <w:ind w:left="720"/>
      <w:contextualSpacing/>
      <w:jc w:val="left"/>
      <w:textAlignment w:val="auto"/>
    </w:pPr>
    <w:rPr>
      <w:rFonts w:ascii="Calibri" w:eastAsia="Calibri" w:hAnsi="Calibri" w:cs="Arial"/>
      <w:sz w:val="22"/>
      <w:szCs w:val="22"/>
      <w:lang w:eastAsia="en-US"/>
    </w:rPr>
  </w:style>
  <w:style w:type="character" w:customStyle="1" w:styleId="FooterChar">
    <w:name w:val="Footer Char"/>
    <w:basedOn w:val="DefaultParagraphFont"/>
    <w:link w:val="Footer"/>
    <w:uiPriority w:val="99"/>
    <w:rsid w:val="0009018B"/>
    <w:rPr>
      <w:rFonts w:ascii="MingLiU" w:eastAsia="MingLiU"/>
      <w:lang w:val="en-US" w:eastAsia="zh-TW"/>
    </w:rPr>
  </w:style>
  <w:style w:type="paragraph" w:styleId="BalloonText">
    <w:name w:val="Balloon Text"/>
    <w:basedOn w:val="Normal"/>
    <w:link w:val="BalloonTextChar"/>
    <w:rsid w:val="0009018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9018B"/>
    <w:rPr>
      <w:rFonts w:ascii="Tahoma" w:hAnsi="Tahoma" w:cs="Tahoma"/>
      <w:sz w:val="16"/>
      <w:szCs w:val="16"/>
      <w:lang w:val="en-US" w:eastAsia="zh-TW"/>
    </w:rPr>
  </w:style>
  <w:style w:type="table" w:customStyle="1" w:styleId="TableGrid1">
    <w:name w:val="Table Grid1"/>
    <w:basedOn w:val="TableNormal"/>
    <w:next w:val="TableGrid"/>
    <w:uiPriority w:val="59"/>
    <w:rsid w:val="00455243"/>
    <w:rPr>
      <w:rFonts w:ascii="Calibri" w:eastAsia="Calibri" w:hAnsi="Calibri" w:cs="Arial"/>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4552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E312C"/>
    <w:rPr>
      <w:rFonts w:ascii="Calibri" w:eastAsia="Calibri" w:hAnsi="Calibri" w:cs="Arial"/>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A1A33"/>
    <w:rPr>
      <w:rFonts w:ascii="Calibri" w:eastAsia="Calibri" w:hAnsi="Calibri" w:cs="Arial"/>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00BAF"/>
    <w:pPr>
      <w:autoSpaceDE w:val="0"/>
      <w:autoSpaceDN w:val="0"/>
      <w:adjustRightInd w:val="0"/>
    </w:pPr>
    <w:rPr>
      <w:rFonts w:eastAsia="Calibri"/>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4.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hyperlink" Target="http://www.iasj.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dx.doi.org/10.4236/eng.2014.66033"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hyperlink" Target="http://www.iasj.net/iasj?func=issues&amp;jId=183&amp;uiLanguage=en"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docs.csiameric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conteches.com" TargetMode="External"/><Relationship Id="rId30" Type="http://schemas.openxmlformats.org/officeDocument/2006/relationships/hyperlink" Target="http://www.iosrjournals.org"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mailto:tarek.edrees@ltu.se" TargetMode="External"/><Relationship Id="rId2" Type="http://schemas.openxmlformats.org/officeDocument/2006/relationships/hyperlink" Target="mailto:nadhir.alansari@ltu.se" TargetMode="External"/><Relationship Id="rId1" Type="http://schemas.openxmlformats.org/officeDocument/2006/relationships/hyperlink" Target="mailto:entidhar.altaie@ltu.se" TargetMode="External"/><Relationship Id="rId4" Type="http://schemas.openxmlformats.org/officeDocument/2006/relationships/hyperlink" Target="mailto:sven.knutsson@ltu.s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latin typeface="Times New Roman" panose="02020603050405020304" pitchFamily="18" charset="0"/>
                <a:cs typeface="Times New Roman" panose="02020603050405020304" pitchFamily="18" charset="0"/>
              </a:rPr>
              <a:t>qa for Mosul region</a:t>
            </a:r>
          </a:p>
        </c:rich>
      </c:tx>
      <c:layout>
        <c:manualLayout>
          <c:xMode val="edge"/>
          <c:yMode val="edge"/>
          <c:x val="0.24646522309711291"/>
          <c:y val="2.3148148148148147E-2"/>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itle>
    <c:autoTitleDeleted val="0"/>
    <c:plotArea>
      <c:layout>
        <c:manualLayout>
          <c:layoutTarget val="inner"/>
          <c:xMode val="edge"/>
          <c:yMode val="edge"/>
          <c:x val="0.21189972660751399"/>
          <c:y val="0.26284798815732446"/>
          <c:w val="0.74846059561787393"/>
          <c:h val="0.38237106777400226"/>
        </c:manualLayout>
      </c:layout>
      <c:barChart>
        <c:barDir val="col"/>
        <c:grouping val="stacked"/>
        <c:varyColors val="0"/>
        <c:ser>
          <c:idx val="0"/>
          <c:order val="0"/>
          <c:tx>
            <c:strRef>
              <c:f>Sheet3!$P$1</c:f>
              <c:strCache>
                <c:ptCount val="1"/>
                <c:pt idx="0">
                  <c:v>qa</c:v>
                </c:pt>
              </c:strCache>
            </c:strRef>
          </c:tx>
          <c:invertIfNegative val="0"/>
          <c:cat>
            <c:strRef>
              <c:f>Sheet3!$A$2:$A$12</c:f>
              <c:strCache>
                <c:ptCount val="11"/>
                <c:pt idx="0">
                  <c:v>al-hamedat</c:v>
                </c:pt>
                <c:pt idx="1">
                  <c:v>al-Qush</c:v>
                </c:pt>
                <c:pt idx="2">
                  <c:v>hai-althaqafi</c:v>
                </c:pt>
                <c:pt idx="3">
                  <c:v>hai al-arabi</c:v>
                </c:pt>
                <c:pt idx="4">
                  <c:v>hai al-arabi</c:v>
                </c:pt>
                <c:pt idx="5">
                  <c:v>hai al-shema</c:v>
                </c:pt>
                <c:pt idx="6">
                  <c:v>hai al-shema</c:v>
                </c:pt>
                <c:pt idx="7">
                  <c:v>hai rashidiyah</c:v>
                </c:pt>
                <c:pt idx="8">
                  <c:v>hai al-hindia</c:v>
                </c:pt>
                <c:pt idx="9">
                  <c:v>sinjar</c:v>
                </c:pt>
                <c:pt idx="10">
                  <c:v>ba'shiqah</c:v>
                </c:pt>
              </c:strCache>
            </c:strRef>
          </c:cat>
          <c:val>
            <c:numRef>
              <c:f>Sheet3!$P$2:$P$12</c:f>
              <c:numCache>
                <c:formatCode>General</c:formatCode>
                <c:ptCount val="11"/>
                <c:pt idx="0">
                  <c:v>257.09386905600002</c:v>
                </c:pt>
                <c:pt idx="1">
                  <c:v>164.43231135599999</c:v>
                </c:pt>
                <c:pt idx="2">
                  <c:v>158.62707293333332</c:v>
                </c:pt>
                <c:pt idx="3">
                  <c:v>182.42246784</c:v>
                </c:pt>
                <c:pt idx="4">
                  <c:v>205.32586782000001</c:v>
                </c:pt>
                <c:pt idx="5">
                  <c:v>151.66317001900003</c:v>
                </c:pt>
                <c:pt idx="6">
                  <c:v>128.83600119466666</c:v>
                </c:pt>
                <c:pt idx="7">
                  <c:v>77.340700486666663</c:v>
                </c:pt>
                <c:pt idx="8">
                  <c:v>182.99291319000005</c:v>
                </c:pt>
                <c:pt idx="9">
                  <c:v>234.54358953666664</c:v>
                </c:pt>
                <c:pt idx="10">
                  <c:v>187.02662205866667</c:v>
                </c:pt>
              </c:numCache>
            </c:numRef>
          </c:val>
        </c:ser>
        <c:dLbls>
          <c:showLegendKey val="0"/>
          <c:showVal val="0"/>
          <c:showCatName val="0"/>
          <c:showSerName val="0"/>
          <c:showPercent val="0"/>
          <c:showBubbleSize val="0"/>
        </c:dLbls>
        <c:gapWidth val="150"/>
        <c:overlap val="100"/>
        <c:axId val="68768512"/>
        <c:axId val="35472128"/>
      </c:barChart>
      <c:catAx>
        <c:axId val="68768512"/>
        <c:scaling>
          <c:orientation val="minMax"/>
        </c:scaling>
        <c:delete val="0"/>
        <c:axPos val="b"/>
        <c:majorTickMark val="out"/>
        <c:minorTickMark val="none"/>
        <c:tickLblPos val="nextTo"/>
        <c:crossAx val="35472128"/>
        <c:crosses val="autoZero"/>
        <c:auto val="1"/>
        <c:lblAlgn val="ctr"/>
        <c:lblOffset val="100"/>
        <c:noMultiLvlLbl val="0"/>
      </c:catAx>
      <c:valAx>
        <c:axId val="35472128"/>
        <c:scaling>
          <c:orientation val="minMax"/>
        </c:scaling>
        <c:delete val="0"/>
        <c:axPos val="l"/>
        <c:majorGridlines/>
        <c:numFmt formatCode="General" sourceLinked="1"/>
        <c:majorTickMark val="out"/>
        <c:minorTickMark val="none"/>
        <c:tickLblPos val="nextTo"/>
        <c:crossAx val="68768512"/>
        <c:crosses val="autoZero"/>
        <c:crossBetween val="between"/>
      </c:valAx>
    </c:plotArea>
    <c:legend>
      <c:legendPos val="l"/>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600">
                <a:latin typeface="Times New Roman" panose="02020603050405020304" pitchFamily="18" charset="0"/>
                <a:cs typeface="Times New Roman" panose="02020603050405020304" pitchFamily="18" charset="0"/>
              </a:rPr>
              <a:t>qa  for Baghdad region </a:t>
            </a:r>
          </a:p>
        </c:rich>
      </c:tx>
      <c:layout>
        <c:manualLayout>
          <c:xMode val="edge"/>
          <c:yMode val="edge"/>
          <c:x val="0.2562467801072742"/>
          <c:y val="5.0431502936110163E-4"/>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itle>
    <c:autoTitleDeleted val="0"/>
    <c:plotArea>
      <c:layout>
        <c:manualLayout>
          <c:layoutTarget val="inner"/>
          <c:xMode val="edge"/>
          <c:yMode val="edge"/>
          <c:x val="0.16069466866429977"/>
          <c:y val="0.1634543431661877"/>
          <c:w val="0.79162401574803154"/>
          <c:h val="0.51873651210265381"/>
        </c:manualLayout>
      </c:layout>
      <c:barChart>
        <c:barDir val="col"/>
        <c:grouping val="stacked"/>
        <c:varyColors val="0"/>
        <c:ser>
          <c:idx val="0"/>
          <c:order val="0"/>
          <c:tx>
            <c:strRef>
              <c:f>Sheet2!$K$2</c:f>
              <c:strCache>
                <c:ptCount val="1"/>
                <c:pt idx="0">
                  <c:v>qa</c:v>
                </c:pt>
              </c:strCache>
            </c:strRef>
          </c:tx>
          <c:invertIfNegative val="0"/>
          <c:cat>
            <c:strRef>
              <c:f>Sheet2!$A$3:$A$8</c:f>
              <c:strCache>
                <c:ptCount val="5"/>
                <c:pt idx="0">
                  <c:v>al-arast</c:v>
                </c:pt>
                <c:pt idx="1">
                  <c:v>abu nawas</c:v>
                </c:pt>
                <c:pt idx="2">
                  <c:v>almustansiriya</c:v>
                </c:pt>
                <c:pt idx="3">
                  <c:v>IAP- Baghdad</c:v>
                </c:pt>
                <c:pt idx="4">
                  <c:v>aljadeariah</c:v>
                </c:pt>
              </c:strCache>
            </c:strRef>
          </c:cat>
          <c:val>
            <c:numRef>
              <c:f>Sheet2!$K$3:$K$8</c:f>
              <c:numCache>
                <c:formatCode>General</c:formatCode>
                <c:ptCount val="6"/>
                <c:pt idx="0">
                  <c:v>320.98066666666665</c:v>
                </c:pt>
                <c:pt idx="1">
                  <c:v>71.86666666666666</c:v>
                </c:pt>
                <c:pt idx="2">
                  <c:v>87.536333333333332</c:v>
                </c:pt>
                <c:pt idx="3">
                  <c:v>77.029999999999987</c:v>
                </c:pt>
                <c:pt idx="4">
                  <c:v>67.506666666666661</c:v>
                </c:pt>
              </c:numCache>
            </c:numRef>
          </c:val>
        </c:ser>
        <c:dLbls>
          <c:showLegendKey val="0"/>
          <c:showVal val="0"/>
          <c:showCatName val="0"/>
          <c:showSerName val="0"/>
          <c:showPercent val="0"/>
          <c:showBubbleSize val="0"/>
        </c:dLbls>
        <c:gapWidth val="150"/>
        <c:overlap val="100"/>
        <c:axId val="60723968"/>
        <c:axId val="60725504"/>
      </c:barChart>
      <c:catAx>
        <c:axId val="60723968"/>
        <c:scaling>
          <c:orientation val="minMax"/>
        </c:scaling>
        <c:delete val="0"/>
        <c:axPos val="b"/>
        <c:majorTickMark val="out"/>
        <c:minorTickMark val="none"/>
        <c:tickLblPos val="nextTo"/>
        <c:crossAx val="60725504"/>
        <c:crosses val="autoZero"/>
        <c:auto val="1"/>
        <c:lblAlgn val="ctr"/>
        <c:lblOffset val="100"/>
        <c:noMultiLvlLbl val="0"/>
      </c:catAx>
      <c:valAx>
        <c:axId val="60725504"/>
        <c:scaling>
          <c:orientation val="minMax"/>
        </c:scaling>
        <c:delete val="0"/>
        <c:axPos val="l"/>
        <c:majorGridlines/>
        <c:numFmt formatCode="General" sourceLinked="1"/>
        <c:majorTickMark val="out"/>
        <c:minorTickMark val="none"/>
        <c:tickLblPos val="nextTo"/>
        <c:crossAx val="60723968"/>
        <c:crosses val="autoZero"/>
        <c:crossBetween val="between"/>
      </c:valAx>
    </c:plotArea>
    <c:legend>
      <c:legendPos val="l"/>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latin typeface="Times New Roman" panose="02020603050405020304" pitchFamily="18" charset="0"/>
                <a:cs typeface="Times New Roman" panose="02020603050405020304" pitchFamily="18" charset="0"/>
              </a:rPr>
              <a:t>qa for Basrah region</a:t>
            </a:r>
          </a:p>
        </c:rich>
      </c:tx>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itle>
    <c:autoTitleDeleted val="0"/>
    <c:plotArea>
      <c:layout>
        <c:manualLayout>
          <c:layoutTarget val="inner"/>
          <c:xMode val="edge"/>
          <c:yMode val="edge"/>
          <c:x val="0.18459859515572485"/>
          <c:y val="0.22568242444082018"/>
          <c:w val="0.78696954254448737"/>
          <c:h val="0.36259691162854207"/>
        </c:manualLayout>
      </c:layout>
      <c:barChart>
        <c:barDir val="col"/>
        <c:grouping val="stacked"/>
        <c:varyColors val="0"/>
        <c:ser>
          <c:idx val="0"/>
          <c:order val="0"/>
          <c:tx>
            <c:strRef>
              <c:f>Sheet2!$R$1</c:f>
              <c:strCache>
                <c:ptCount val="1"/>
                <c:pt idx="0">
                  <c:v>qa</c:v>
                </c:pt>
              </c:strCache>
            </c:strRef>
          </c:tx>
          <c:invertIfNegative val="0"/>
          <c:cat>
            <c:strRef>
              <c:f>Sheet2!$A$2:$A$10</c:f>
              <c:strCache>
                <c:ptCount val="9"/>
                <c:pt idx="0">
                  <c:v>rumaila</c:v>
                </c:pt>
                <c:pt idx="1">
                  <c:v>garmat ali</c:v>
                </c:pt>
                <c:pt idx="2">
                  <c:v>bab alzubair</c:v>
                </c:pt>
                <c:pt idx="3">
                  <c:v>albradheya quarter</c:v>
                </c:pt>
                <c:pt idx="4">
                  <c:v>alfao district</c:v>
                </c:pt>
                <c:pt idx="5">
                  <c:v>alhussain quarter</c:v>
                </c:pt>
                <c:pt idx="6">
                  <c:v>al-hartha district</c:v>
                </c:pt>
                <c:pt idx="7">
                  <c:v>qurna</c:v>
                </c:pt>
                <c:pt idx="8">
                  <c:v>safwan district</c:v>
                </c:pt>
              </c:strCache>
            </c:strRef>
          </c:cat>
          <c:val>
            <c:numRef>
              <c:f>Sheet2!$R$2:$R$10</c:f>
              <c:numCache>
                <c:formatCode>General</c:formatCode>
                <c:ptCount val="9"/>
                <c:pt idx="0">
                  <c:v>228.69344886500002</c:v>
                </c:pt>
                <c:pt idx="1">
                  <c:v>84.088333333333324</c:v>
                </c:pt>
                <c:pt idx="2">
                  <c:v>70.45953333333334</c:v>
                </c:pt>
                <c:pt idx="3">
                  <c:v>48.75333333333333</c:v>
                </c:pt>
                <c:pt idx="4">
                  <c:v>23.693333333333332</c:v>
                </c:pt>
                <c:pt idx="5">
                  <c:v>110.33566666666665</c:v>
                </c:pt>
                <c:pt idx="6">
                  <c:v>23.659999999999997</c:v>
                </c:pt>
                <c:pt idx="7">
                  <c:v>46.133333333333333</c:v>
                </c:pt>
                <c:pt idx="8">
                  <c:v>117.98446446933332</c:v>
                </c:pt>
              </c:numCache>
            </c:numRef>
          </c:val>
        </c:ser>
        <c:dLbls>
          <c:showLegendKey val="0"/>
          <c:showVal val="0"/>
          <c:showCatName val="0"/>
          <c:showSerName val="0"/>
          <c:showPercent val="0"/>
          <c:showBubbleSize val="0"/>
        </c:dLbls>
        <c:gapWidth val="150"/>
        <c:overlap val="100"/>
        <c:axId val="60746752"/>
        <c:axId val="85598976"/>
      </c:barChart>
      <c:catAx>
        <c:axId val="60746752"/>
        <c:scaling>
          <c:orientation val="minMax"/>
        </c:scaling>
        <c:delete val="0"/>
        <c:axPos val="b"/>
        <c:majorTickMark val="out"/>
        <c:minorTickMark val="none"/>
        <c:tickLblPos val="nextTo"/>
        <c:crossAx val="85598976"/>
        <c:crosses val="autoZero"/>
        <c:auto val="1"/>
        <c:lblAlgn val="ctr"/>
        <c:lblOffset val="100"/>
        <c:noMultiLvlLbl val="0"/>
      </c:catAx>
      <c:valAx>
        <c:axId val="85598976"/>
        <c:scaling>
          <c:orientation val="minMax"/>
        </c:scaling>
        <c:delete val="0"/>
        <c:axPos val="l"/>
        <c:majorGridlines/>
        <c:numFmt formatCode="General" sourceLinked="1"/>
        <c:majorTickMark val="out"/>
        <c:minorTickMark val="none"/>
        <c:tickLblPos val="nextTo"/>
        <c:crossAx val="60746752"/>
        <c:crosses val="autoZero"/>
        <c:crossBetween val="between"/>
      </c:valAx>
    </c:plotArea>
    <c:legend>
      <c:legendPos val="l"/>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latin typeface="Times New Roman" panose="02020603050405020304" pitchFamily="18" charset="0"/>
                <a:cs typeface="Times New Roman" panose="02020603050405020304" pitchFamily="18" charset="0"/>
              </a:rPr>
              <a:t>Comparison for q average </a:t>
            </a:r>
          </a:p>
        </c:rich>
      </c:tx>
      <c:layout/>
      <c:overlay val="0"/>
    </c:title>
    <c:autoTitleDeleted val="0"/>
    <c:plotArea>
      <c:layout>
        <c:manualLayout>
          <c:layoutTarget val="inner"/>
          <c:xMode val="edge"/>
          <c:yMode val="edge"/>
          <c:x val="0.16008573928258968"/>
          <c:y val="0.21785725060229541"/>
          <c:w val="0.82324759405074366"/>
          <c:h val="0.63955022863521371"/>
        </c:manualLayout>
      </c:layout>
      <c:barChart>
        <c:barDir val="col"/>
        <c:grouping val="clustered"/>
        <c:varyColors val="0"/>
        <c:ser>
          <c:idx val="0"/>
          <c:order val="0"/>
          <c:tx>
            <c:strRef>
              <c:f>Sheet1!$C$12</c:f>
              <c:strCache>
                <c:ptCount val="1"/>
                <c:pt idx="0">
                  <c:v>Mosul</c:v>
                </c:pt>
              </c:strCache>
            </c:strRef>
          </c:tx>
          <c:invertIfNegative val="0"/>
          <c:dLbls>
            <c:dLbl>
              <c:idx val="2"/>
              <c:layout/>
              <c:showLegendKey val="0"/>
              <c:showVal val="1"/>
              <c:showCatName val="0"/>
              <c:showSerName val="1"/>
              <c:showPercent val="0"/>
              <c:showBubbleSize val="0"/>
            </c:dLbl>
            <c:showLegendKey val="0"/>
            <c:showVal val="0"/>
            <c:showCatName val="0"/>
            <c:showSerName val="0"/>
            <c:showPercent val="0"/>
            <c:showBubbleSize val="0"/>
          </c:dLbls>
          <c:cat>
            <c:strRef>
              <c:f>Sheet1!$A$13:$A$15</c:f>
              <c:strCache>
                <c:ptCount val="3"/>
                <c:pt idx="0">
                  <c:v>qavg-STD. </c:v>
                </c:pt>
                <c:pt idx="1">
                  <c:v>qavg-SAFE</c:v>
                </c:pt>
                <c:pt idx="2">
                  <c:v>qcal.</c:v>
                </c:pt>
              </c:strCache>
            </c:strRef>
          </c:cat>
          <c:val>
            <c:numRef>
              <c:f>Sheet1!$C$13:$C$15</c:f>
              <c:numCache>
                <c:formatCode>General</c:formatCode>
                <c:ptCount val="3"/>
                <c:pt idx="0">
                  <c:v>99</c:v>
                </c:pt>
                <c:pt idx="1">
                  <c:v>100</c:v>
                </c:pt>
                <c:pt idx="2">
                  <c:v>177</c:v>
                </c:pt>
              </c:numCache>
            </c:numRef>
          </c:val>
        </c:ser>
        <c:ser>
          <c:idx val="1"/>
          <c:order val="1"/>
          <c:tx>
            <c:strRef>
              <c:f>Sheet1!$D$12</c:f>
              <c:strCache>
                <c:ptCount val="1"/>
                <c:pt idx="0">
                  <c:v>Baghdad</c:v>
                </c:pt>
              </c:strCache>
            </c:strRef>
          </c:tx>
          <c:invertIfNegative val="0"/>
          <c:dLbls>
            <c:dLbl>
              <c:idx val="2"/>
              <c:layout/>
              <c:showLegendKey val="0"/>
              <c:showVal val="1"/>
              <c:showCatName val="0"/>
              <c:showSerName val="1"/>
              <c:showPercent val="0"/>
              <c:showBubbleSize val="0"/>
            </c:dLbl>
            <c:showLegendKey val="0"/>
            <c:showVal val="0"/>
            <c:showCatName val="0"/>
            <c:showSerName val="0"/>
            <c:showPercent val="0"/>
            <c:showBubbleSize val="0"/>
          </c:dLbls>
          <c:val>
            <c:numRef>
              <c:f>Sheet1!$D$13:$D$15</c:f>
              <c:numCache>
                <c:formatCode>General</c:formatCode>
                <c:ptCount val="3"/>
                <c:pt idx="0">
                  <c:v>87</c:v>
                </c:pt>
                <c:pt idx="1">
                  <c:v>95</c:v>
                </c:pt>
                <c:pt idx="2">
                  <c:v>125</c:v>
                </c:pt>
              </c:numCache>
            </c:numRef>
          </c:val>
        </c:ser>
        <c:ser>
          <c:idx val="2"/>
          <c:order val="2"/>
          <c:tx>
            <c:strRef>
              <c:f>Sheet1!$E$12</c:f>
              <c:strCache>
                <c:ptCount val="1"/>
                <c:pt idx="0">
                  <c:v>Basrah</c:v>
                </c:pt>
              </c:strCache>
            </c:strRef>
          </c:tx>
          <c:invertIfNegative val="0"/>
          <c:dLbls>
            <c:dLbl>
              <c:idx val="2"/>
              <c:layout/>
              <c:showLegendKey val="0"/>
              <c:showVal val="1"/>
              <c:showCatName val="0"/>
              <c:showSerName val="1"/>
              <c:showPercent val="0"/>
              <c:showBubbleSize val="0"/>
            </c:dLbl>
            <c:showLegendKey val="0"/>
            <c:showVal val="0"/>
            <c:showCatName val="0"/>
            <c:showSerName val="0"/>
            <c:showPercent val="0"/>
            <c:showBubbleSize val="0"/>
          </c:dLbls>
          <c:val>
            <c:numRef>
              <c:f>Sheet1!$E$13:$E$15</c:f>
              <c:numCache>
                <c:formatCode>General</c:formatCode>
                <c:ptCount val="3"/>
                <c:pt idx="0">
                  <c:v>81</c:v>
                </c:pt>
                <c:pt idx="1">
                  <c:v>96</c:v>
                </c:pt>
                <c:pt idx="2">
                  <c:v>24</c:v>
                </c:pt>
              </c:numCache>
            </c:numRef>
          </c:val>
        </c:ser>
        <c:dLbls>
          <c:showLegendKey val="0"/>
          <c:showVal val="0"/>
          <c:showCatName val="0"/>
          <c:showSerName val="0"/>
          <c:showPercent val="0"/>
          <c:showBubbleSize val="0"/>
        </c:dLbls>
        <c:gapWidth val="150"/>
        <c:axId val="87173760"/>
        <c:axId val="87187840"/>
      </c:barChart>
      <c:catAx>
        <c:axId val="87173760"/>
        <c:scaling>
          <c:orientation val="minMax"/>
        </c:scaling>
        <c:delete val="0"/>
        <c:axPos val="b"/>
        <c:majorTickMark val="none"/>
        <c:minorTickMark val="none"/>
        <c:tickLblPos val="nextTo"/>
        <c:crossAx val="87187840"/>
        <c:crosses val="autoZero"/>
        <c:auto val="1"/>
        <c:lblAlgn val="ctr"/>
        <c:lblOffset val="100"/>
        <c:noMultiLvlLbl val="0"/>
      </c:catAx>
      <c:valAx>
        <c:axId val="87187840"/>
        <c:scaling>
          <c:orientation val="minMax"/>
        </c:scaling>
        <c:delete val="0"/>
        <c:axPos val="l"/>
        <c:majorGridlines/>
        <c:title>
          <c:tx>
            <c:rich>
              <a:bodyPr/>
              <a:lstStyle/>
              <a:p>
                <a:pPr>
                  <a:defRPr/>
                </a:pPr>
                <a:r>
                  <a:rPr lang="en-US" sz="1100">
                    <a:latin typeface="Times New Roman" panose="02020603050405020304" pitchFamily="18" charset="0"/>
                    <a:cs typeface="Times New Roman" panose="02020603050405020304" pitchFamily="18" charset="0"/>
                  </a:rPr>
                  <a:t>q average</a:t>
                </a:r>
              </a:p>
            </c:rich>
          </c:tx>
          <c:layout/>
          <c:overlay val="0"/>
        </c:title>
        <c:numFmt formatCode="General" sourceLinked="1"/>
        <c:majorTickMark val="none"/>
        <c:minorTickMark val="none"/>
        <c:tickLblPos val="nextTo"/>
        <c:crossAx val="8717376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comparison for</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qworst </a:t>
            </a:r>
          </a:p>
        </c:rich>
      </c:tx>
      <c:layout>
        <c:manualLayout>
          <c:xMode val="edge"/>
          <c:yMode val="edge"/>
          <c:x val="0.29075000000000001"/>
          <c:y val="2.7777777777777776E-2"/>
        </c:manualLayout>
      </c:layout>
      <c:overlay val="0"/>
    </c:title>
    <c:autoTitleDeleted val="0"/>
    <c:plotArea>
      <c:layout/>
      <c:barChart>
        <c:barDir val="col"/>
        <c:grouping val="clustered"/>
        <c:varyColors val="0"/>
        <c:ser>
          <c:idx val="0"/>
          <c:order val="0"/>
          <c:tx>
            <c:strRef>
              <c:f>Sheet1!$C$25</c:f>
              <c:strCache>
                <c:ptCount val="1"/>
                <c:pt idx="0">
                  <c:v>Mosul</c:v>
                </c:pt>
              </c:strCache>
            </c:strRef>
          </c:tx>
          <c:invertIfNegative val="0"/>
          <c:dLbls>
            <c:dLbl>
              <c:idx val="2"/>
              <c:layout/>
              <c:showLegendKey val="0"/>
              <c:showVal val="1"/>
              <c:showCatName val="0"/>
              <c:showSerName val="1"/>
              <c:showPercent val="0"/>
              <c:showBubbleSize val="0"/>
            </c:dLbl>
            <c:showLegendKey val="0"/>
            <c:showVal val="0"/>
            <c:showCatName val="0"/>
            <c:showSerName val="0"/>
            <c:showPercent val="0"/>
            <c:showBubbleSize val="0"/>
          </c:dLbls>
          <c:cat>
            <c:strRef>
              <c:f>Sheet1!$A$26:$A$28</c:f>
              <c:strCache>
                <c:ptCount val="3"/>
                <c:pt idx="0">
                  <c:v>qw.-STAAD</c:v>
                </c:pt>
                <c:pt idx="1">
                  <c:v>qw.-SAFE</c:v>
                </c:pt>
                <c:pt idx="2">
                  <c:v>qcal.</c:v>
                </c:pt>
              </c:strCache>
            </c:strRef>
          </c:cat>
          <c:val>
            <c:numRef>
              <c:f>Sheet1!$C$26:$C$28</c:f>
              <c:numCache>
                <c:formatCode>General</c:formatCode>
                <c:ptCount val="3"/>
                <c:pt idx="0">
                  <c:v>75</c:v>
                </c:pt>
                <c:pt idx="1">
                  <c:v>92</c:v>
                </c:pt>
                <c:pt idx="2">
                  <c:v>77</c:v>
                </c:pt>
              </c:numCache>
            </c:numRef>
          </c:val>
        </c:ser>
        <c:ser>
          <c:idx val="1"/>
          <c:order val="1"/>
          <c:tx>
            <c:strRef>
              <c:f>Sheet1!$D$25</c:f>
              <c:strCache>
                <c:ptCount val="1"/>
                <c:pt idx="0">
                  <c:v>Baghdad</c:v>
                </c:pt>
              </c:strCache>
            </c:strRef>
          </c:tx>
          <c:invertIfNegative val="0"/>
          <c:dLbls>
            <c:dLbl>
              <c:idx val="2"/>
              <c:layout/>
              <c:showLegendKey val="0"/>
              <c:showVal val="1"/>
              <c:showCatName val="0"/>
              <c:showSerName val="1"/>
              <c:showPercent val="0"/>
              <c:showBubbleSize val="0"/>
            </c:dLbl>
            <c:showLegendKey val="0"/>
            <c:showVal val="0"/>
            <c:showCatName val="0"/>
            <c:showSerName val="0"/>
            <c:showPercent val="0"/>
            <c:showBubbleSize val="0"/>
          </c:dLbls>
          <c:val>
            <c:numRef>
              <c:f>Sheet1!$D$26:$D$28</c:f>
              <c:numCache>
                <c:formatCode>General</c:formatCode>
                <c:ptCount val="3"/>
                <c:pt idx="0">
                  <c:v>79</c:v>
                </c:pt>
                <c:pt idx="1">
                  <c:v>90</c:v>
                </c:pt>
                <c:pt idx="2">
                  <c:v>68</c:v>
                </c:pt>
              </c:numCache>
            </c:numRef>
          </c:val>
        </c:ser>
        <c:ser>
          <c:idx val="2"/>
          <c:order val="2"/>
          <c:tx>
            <c:strRef>
              <c:f>Sheet1!$E$25</c:f>
              <c:strCache>
                <c:ptCount val="1"/>
                <c:pt idx="0">
                  <c:v>Basrah</c:v>
                </c:pt>
              </c:strCache>
            </c:strRef>
          </c:tx>
          <c:invertIfNegative val="0"/>
          <c:dLbls>
            <c:dLbl>
              <c:idx val="2"/>
              <c:layout/>
              <c:showLegendKey val="0"/>
              <c:showVal val="1"/>
              <c:showCatName val="0"/>
              <c:showSerName val="1"/>
              <c:showPercent val="0"/>
              <c:showBubbleSize val="0"/>
            </c:dLbl>
            <c:showLegendKey val="0"/>
            <c:showVal val="0"/>
            <c:showCatName val="0"/>
            <c:showSerName val="0"/>
            <c:showPercent val="0"/>
            <c:showBubbleSize val="0"/>
          </c:dLbls>
          <c:val>
            <c:numRef>
              <c:f>Sheet1!$E$26:$E$28</c:f>
              <c:numCache>
                <c:formatCode>General</c:formatCode>
                <c:ptCount val="3"/>
                <c:pt idx="0">
                  <c:v>77</c:v>
                </c:pt>
                <c:pt idx="1">
                  <c:v>84</c:v>
                </c:pt>
                <c:pt idx="2">
                  <c:v>24</c:v>
                </c:pt>
              </c:numCache>
            </c:numRef>
          </c:val>
        </c:ser>
        <c:dLbls>
          <c:showLegendKey val="0"/>
          <c:showVal val="0"/>
          <c:showCatName val="0"/>
          <c:showSerName val="0"/>
          <c:showPercent val="0"/>
          <c:showBubbleSize val="0"/>
        </c:dLbls>
        <c:gapWidth val="150"/>
        <c:axId val="35115008"/>
        <c:axId val="35116544"/>
      </c:barChart>
      <c:catAx>
        <c:axId val="35115008"/>
        <c:scaling>
          <c:orientation val="minMax"/>
        </c:scaling>
        <c:delete val="0"/>
        <c:axPos val="b"/>
        <c:majorTickMark val="none"/>
        <c:minorTickMark val="none"/>
        <c:tickLblPos val="nextTo"/>
        <c:crossAx val="35116544"/>
        <c:crosses val="autoZero"/>
        <c:auto val="1"/>
        <c:lblAlgn val="ctr"/>
        <c:lblOffset val="100"/>
        <c:noMultiLvlLbl val="0"/>
      </c:catAx>
      <c:valAx>
        <c:axId val="35116544"/>
        <c:scaling>
          <c:orientation val="minMax"/>
        </c:scaling>
        <c:delete val="0"/>
        <c:axPos val="l"/>
        <c:majorGridlines/>
        <c:title>
          <c:tx>
            <c:rich>
              <a:bodyPr/>
              <a:lstStyle/>
              <a:p>
                <a:pPr>
                  <a:defRPr/>
                </a:pPr>
                <a:r>
                  <a:rPr lang="en-GB" sz="1200">
                    <a:latin typeface="Times New Roman" panose="02020603050405020304" pitchFamily="18" charset="0"/>
                    <a:cs typeface="Times New Roman" panose="02020603050405020304" pitchFamily="18" charset="0"/>
                  </a:rPr>
                  <a:t>q</a:t>
                </a:r>
                <a:r>
                  <a:rPr lang="en-GB" sz="1200" baseline="0">
                    <a:latin typeface="Times New Roman" panose="02020603050405020304" pitchFamily="18" charset="0"/>
                    <a:cs typeface="Times New Roman" panose="02020603050405020304" pitchFamily="18" charset="0"/>
                  </a:rPr>
                  <a:t> worst</a:t>
                </a:r>
                <a:endParaRPr lang="en-GB" sz="1200">
                  <a:latin typeface="Times New Roman" panose="02020603050405020304" pitchFamily="18" charset="0"/>
                  <a:cs typeface="Times New Roman" panose="02020603050405020304" pitchFamily="18" charset="0"/>
                </a:endParaRPr>
              </a:p>
            </c:rich>
          </c:tx>
          <c:layout/>
          <c:overlay val="0"/>
        </c:title>
        <c:numFmt formatCode="General" sourceLinked="1"/>
        <c:majorTickMark val="none"/>
        <c:minorTickMark val="none"/>
        <c:tickLblPos val="nextTo"/>
        <c:crossAx val="351150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BE295-3979-457A-9EFF-8B60CFF95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5179</Words>
  <Characters>28034</Characters>
  <Application>Microsoft Office Word</Application>
  <DocSecurity>0</DocSecurity>
  <Lines>233</Lines>
  <Paragraphs>66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33147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5</cp:revision>
  <cp:lastPrinted>2010-11-10T15:06:00Z</cp:lastPrinted>
  <dcterms:created xsi:type="dcterms:W3CDTF">2014-06-28T08:08:00Z</dcterms:created>
  <dcterms:modified xsi:type="dcterms:W3CDTF">2014-06-28T09:41:00Z</dcterms:modified>
</cp:coreProperties>
</file>