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BF0" w:rsidRPr="000616A7" w:rsidRDefault="000A4BF0" w:rsidP="000A4BF0">
      <w:pPr>
        <w:autoSpaceDE w:val="0"/>
        <w:autoSpaceDN w:val="0"/>
        <w:adjustRightInd w:val="0"/>
        <w:spacing w:line="480" w:lineRule="auto"/>
        <w:jc w:val="center"/>
        <w:rPr>
          <w:b/>
          <w:sz w:val="32"/>
          <w:szCs w:val="32"/>
        </w:rPr>
      </w:pPr>
      <w:r w:rsidRPr="000616A7">
        <w:rPr>
          <w:b/>
          <w:sz w:val="32"/>
          <w:szCs w:val="32"/>
        </w:rPr>
        <w:t xml:space="preserve">Determinants </w:t>
      </w:r>
      <w:r w:rsidR="000616A7">
        <w:rPr>
          <w:b/>
          <w:sz w:val="32"/>
          <w:szCs w:val="32"/>
        </w:rPr>
        <w:t>and Behavior of Dividend Policy in Pakistani Listed Companies</w:t>
      </w:r>
      <w:r w:rsidRPr="000616A7">
        <w:rPr>
          <w:b/>
          <w:sz w:val="32"/>
          <w:szCs w:val="32"/>
        </w:rPr>
        <w:t xml:space="preserve"> </w:t>
      </w:r>
    </w:p>
    <w:p w:rsidR="00631300" w:rsidRDefault="00631300" w:rsidP="000A4BF0">
      <w:pPr>
        <w:autoSpaceDE w:val="0"/>
        <w:autoSpaceDN w:val="0"/>
        <w:adjustRightInd w:val="0"/>
        <w:spacing w:line="480" w:lineRule="auto"/>
        <w:jc w:val="center"/>
        <w:rPr>
          <w:b/>
          <w:bCs/>
        </w:rPr>
      </w:pPr>
    </w:p>
    <w:p w:rsidR="000616A7" w:rsidRPr="00FE14F8" w:rsidRDefault="000616A7" w:rsidP="000616A7">
      <w:pPr>
        <w:jc w:val="center"/>
      </w:pPr>
      <w:r w:rsidRPr="00FE14F8">
        <w:t>Raheel Gohar (Corresponding Author)</w:t>
      </w:r>
    </w:p>
    <w:p w:rsidR="000616A7" w:rsidRPr="00FE14F8" w:rsidRDefault="000616A7" w:rsidP="000616A7">
      <w:pPr>
        <w:jc w:val="center"/>
      </w:pPr>
      <w:r w:rsidRPr="00FE14F8">
        <w:t>Al Yamamah University</w:t>
      </w:r>
    </w:p>
    <w:p w:rsidR="000616A7" w:rsidRPr="00FE14F8" w:rsidRDefault="000616A7" w:rsidP="000616A7">
      <w:pPr>
        <w:jc w:val="center"/>
      </w:pPr>
      <w:r w:rsidRPr="00FE14F8">
        <w:t>College of Business Administration</w:t>
      </w:r>
    </w:p>
    <w:p w:rsidR="000616A7" w:rsidRPr="00FE14F8" w:rsidRDefault="000616A7" w:rsidP="000616A7">
      <w:pPr>
        <w:jc w:val="center"/>
      </w:pPr>
      <w:r w:rsidRPr="00FE14F8">
        <w:t>Riyadh, Kingdom of Saudi Arabia.</w:t>
      </w:r>
    </w:p>
    <w:p w:rsidR="000616A7" w:rsidRPr="00FE14F8" w:rsidRDefault="000616A7" w:rsidP="000616A7">
      <w:pPr>
        <w:jc w:val="center"/>
      </w:pPr>
      <w:r w:rsidRPr="00FE14F8">
        <w:t>r_gohar@yu.edu.sa</w:t>
      </w:r>
    </w:p>
    <w:p w:rsidR="000616A7" w:rsidRPr="00FE14F8" w:rsidRDefault="000616A7" w:rsidP="000616A7">
      <w:pPr>
        <w:jc w:val="center"/>
      </w:pPr>
      <w:r w:rsidRPr="00FE14F8">
        <w:t>raheelgohr@yahoo.com</w:t>
      </w:r>
    </w:p>
    <w:p w:rsidR="000616A7" w:rsidRDefault="000616A7" w:rsidP="000616A7">
      <w:pPr>
        <w:autoSpaceDE w:val="0"/>
        <w:autoSpaceDN w:val="0"/>
        <w:adjustRightInd w:val="0"/>
        <w:spacing w:line="480" w:lineRule="auto"/>
        <w:jc w:val="center"/>
      </w:pPr>
      <w:r w:rsidRPr="00FE14F8">
        <w:t>Tel: +966-505213088</w:t>
      </w:r>
    </w:p>
    <w:p w:rsidR="000616A7" w:rsidRDefault="000616A7" w:rsidP="000616A7">
      <w:pPr>
        <w:autoSpaceDE w:val="0"/>
        <w:autoSpaceDN w:val="0"/>
        <w:adjustRightInd w:val="0"/>
        <w:spacing w:line="480" w:lineRule="auto"/>
        <w:jc w:val="center"/>
      </w:pPr>
    </w:p>
    <w:p w:rsidR="000616A7" w:rsidRPr="00FE14F8" w:rsidRDefault="000616A7" w:rsidP="000616A7">
      <w:pPr>
        <w:jc w:val="center"/>
      </w:pPr>
      <w:r>
        <w:t>Mohammed Shahwar Alam</w:t>
      </w:r>
    </w:p>
    <w:p w:rsidR="000616A7" w:rsidRPr="00FE14F8" w:rsidRDefault="000616A7" w:rsidP="000616A7">
      <w:pPr>
        <w:jc w:val="center"/>
      </w:pPr>
      <w:r w:rsidRPr="00FE14F8">
        <w:t>Al Yamamah University</w:t>
      </w:r>
    </w:p>
    <w:p w:rsidR="000616A7" w:rsidRPr="00FE14F8" w:rsidRDefault="000616A7" w:rsidP="000616A7">
      <w:pPr>
        <w:jc w:val="center"/>
      </w:pPr>
      <w:r w:rsidRPr="00FE14F8">
        <w:t>College of Business Administration</w:t>
      </w:r>
    </w:p>
    <w:p w:rsidR="000616A7" w:rsidRPr="00FE14F8" w:rsidRDefault="000616A7" w:rsidP="000616A7">
      <w:pPr>
        <w:jc w:val="center"/>
      </w:pPr>
      <w:r w:rsidRPr="00FE14F8">
        <w:t>Riyadh, Kingdom of Saudi Arabia.</w:t>
      </w:r>
    </w:p>
    <w:p w:rsidR="000616A7" w:rsidRPr="00FE14F8" w:rsidRDefault="000616A7" w:rsidP="000616A7">
      <w:pPr>
        <w:jc w:val="center"/>
      </w:pPr>
      <w:r>
        <w:t>m</w:t>
      </w:r>
      <w:r w:rsidRPr="00FE14F8">
        <w:t>_</w:t>
      </w:r>
      <w:r>
        <w:t>alam</w:t>
      </w:r>
      <w:r w:rsidRPr="00FE14F8">
        <w:t>@yu.edu.sa</w:t>
      </w:r>
    </w:p>
    <w:p w:rsidR="000616A7" w:rsidRDefault="000616A7" w:rsidP="000616A7">
      <w:pPr>
        <w:autoSpaceDE w:val="0"/>
        <w:autoSpaceDN w:val="0"/>
        <w:adjustRightInd w:val="0"/>
        <w:spacing w:line="480" w:lineRule="auto"/>
        <w:jc w:val="center"/>
      </w:pPr>
    </w:p>
    <w:p w:rsidR="000616A7" w:rsidRDefault="000616A7" w:rsidP="000616A7">
      <w:pPr>
        <w:autoSpaceDE w:val="0"/>
        <w:autoSpaceDN w:val="0"/>
        <w:adjustRightInd w:val="0"/>
        <w:spacing w:line="480" w:lineRule="auto"/>
        <w:jc w:val="center"/>
      </w:pPr>
    </w:p>
    <w:p w:rsidR="000616A7" w:rsidRDefault="000616A7" w:rsidP="000616A7">
      <w:pPr>
        <w:autoSpaceDE w:val="0"/>
        <w:autoSpaceDN w:val="0"/>
        <w:adjustRightInd w:val="0"/>
        <w:spacing w:line="480" w:lineRule="auto"/>
        <w:jc w:val="center"/>
        <w:rPr>
          <w:b/>
          <w:bCs/>
        </w:rPr>
      </w:pPr>
    </w:p>
    <w:p w:rsidR="000616A7" w:rsidRDefault="000616A7" w:rsidP="000A4BF0">
      <w:pPr>
        <w:autoSpaceDE w:val="0"/>
        <w:autoSpaceDN w:val="0"/>
        <w:adjustRightInd w:val="0"/>
        <w:spacing w:line="480" w:lineRule="auto"/>
        <w:jc w:val="center"/>
        <w:rPr>
          <w:b/>
          <w:bCs/>
        </w:rPr>
      </w:pPr>
    </w:p>
    <w:p w:rsidR="000616A7" w:rsidRDefault="000616A7" w:rsidP="000A4BF0">
      <w:pPr>
        <w:autoSpaceDE w:val="0"/>
        <w:autoSpaceDN w:val="0"/>
        <w:adjustRightInd w:val="0"/>
        <w:spacing w:line="480" w:lineRule="auto"/>
        <w:jc w:val="center"/>
        <w:rPr>
          <w:b/>
          <w:bCs/>
        </w:rPr>
      </w:pPr>
    </w:p>
    <w:p w:rsidR="000616A7" w:rsidRDefault="000616A7" w:rsidP="000A4BF0">
      <w:pPr>
        <w:autoSpaceDE w:val="0"/>
        <w:autoSpaceDN w:val="0"/>
        <w:adjustRightInd w:val="0"/>
        <w:spacing w:line="480" w:lineRule="auto"/>
        <w:jc w:val="center"/>
        <w:rPr>
          <w:b/>
          <w:bCs/>
        </w:rPr>
      </w:pPr>
    </w:p>
    <w:p w:rsidR="000616A7" w:rsidRDefault="000616A7" w:rsidP="000A4BF0">
      <w:pPr>
        <w:autoSpaceDE w:val="0"/>
        <w:autoSpaceDN w:val="0"/>
        <w:adjustRightInd w:val="0"/>
        <w:spacing w:line="480" w:lineRule="auto"/>
        <w:jc w:val="center"/>
        <w:rPr>
          <w:b/>
          <w:bCs/>
        </w:rPr>
      </w:pPr>
    </w:p>
    <w:p w:rsidR="000616A7" w:rsidRDefault="000616A7" w:rsidP="000A4BF0">
      <w:pPr>
        <w:autoSpaceDE w:val="0"/>
        <w:autoSpaceDN w:val="0"/>
        <w:adjustRightInd w:val="0"/>
        <w:spacing w:line="480" w:lineRule="auto"/>
        <w:jc w:val="center"/>
        <w:rPr>
          <w:b/>
          <w:bCs/>
        </w:rPr>
      </w:pPr>
    </w:p>
    <w:p w:rsidR="000616A7" w:rsidRDefault="000616A7" w:rsidP="000A4BF0">
      <w:pPr>
        <w:autoSpaceDE w:val="0"/>
        <w:autoSpaceDN w:val="0"/>
        <w:adjustRightInd w:val="0"/>
        <w:spacing w:line="480" w:lineRule="auto"/>
        <w:jc w:val="center"/>
        <w:rPr>
          <w:b/>
          <w:bCs/>
        </w:rPr>
      </w:pPr>
    </w:p>
    <w:p w:rsidR="000616A7" w:rsidRDefault="000616A7" w:rsidP="000A4BF0">
      <w:pPr>
        <w:autoSpaceDE w:val="0"/>
        <w:autoSpaceDN w:val="0"/>
        <w:adjustRightInd w:val="0"/>
        <w:spacing w:line="480" w:lineRule="auto"/>
        <w:jc w:val="center"/>
        <w:rPr>
          <w:b/>
          <w:bCs/>
        </w:rPr>
      </w:pPr>
    </w:p>
    <w:p w:rsidR="000616A7" w:rsidRDefault="000616A7" w:rsidP="000A4BF0">
      <w:pPr>
        <w:autoSpaceDE w:val="0"/>
        <w:autoSpaceDN w:val="0"/>
        <w:adjustRightInd w:val="0"/>
        <w:spacing w:line="480" w:lineRule="auto"/>
        <w:jc w:val="center"/>
        <w:rPr>
          <w:b/>
          <w:bCs/>
        </w:rPr>
      </w:pPr>
    </w:p>
    <w:p w:rsidR="000616A7" w:rsidRDefault="000616A7" w:rsidP="000A4BF0">
      <w:pPr>
        <w:autoSpaceDE w:val="0"/>
        <w:autoSpaceDN w:val="0"/>
        <w:adjustRightInd w:val="0"/>
        <w:spacing w:line="480" w:lineRule="auto"/>
        <w:jc w:val="center"/>
        <w:rPr>
          <w:b/>
          <w:bCs/>
        </w:rPr>
      </w:pPr>
    </w:p>
    <w:p w:rsidR="00F96E53" w:rsidRPr="000A4BF0" w:rsidRDefault="00F96E53" w:rsidP="000A4BF0">
      <w:pPr>
        <w:autoSpaceDE w:val="0"/>
        <w:autoSpaceDN w:val="0"/>
        <w:adjustRightInd w:val="0"/>
        <w:spacing w:line="480" w:lineRule="auto"/>
        <w:rPr>
          <w:b/>
          <w:bCs/>
        </w:rPr>
      </w:pPr>
      <w:r w:rsidRPr="000A4BF0">
        <w:rPr>
          <w:b/>
          <w:bCs/>
        </w:rPr>
        <w:lastRenderedPageBreak/>
        <w:t>Abstract</w:t>
      </w:r>
    </w:p>
    <w:p w:rsidR="00F96E53" w:rsidRPr="000A4BF0" w:rsidRDefault="00F96E53" w:rsidP="000A4BF0">
      <w:pPr>
        <w:autoSpaceDE w:val="0"/>
        <w:autoSpaceDN w:val="0"/>
        <w:adjustRightInd w:val="0"/>
        <w:spacing w:line="480" w:lineRule="auto"/>
        <w:jc w:val="both"/>
        <w:rPr>
          <w:bCs/>
        </w:rPr>
      </w:pPr>
      <w:r w:rsidRPr="000A4BF0">
        <w:rPr>
          <w:bCs/>
        </w:rPr>
        <w:t>The rationale of the study was to identify the factors which effect dividend payout policy of the firm and whether that policy is stable depending upon last year’s dividend and current earnings or not.</w:t>
      </w:r>
      <w:r w:rsidR="00F933D4" w:rsidRPr="000A4BF0">
        <w:rPr>
          <w:bCs/>
        </w:rPr>
        <w:t xml:space="preserve"> </w:t>
      </w:r>
      <w:r w:rsidR="00385CEC">
        <w:rPr>
          <w:bCs/>
        </w:rPr>
        <w:t xml:space="preserve">This study was conducted on </w:t>
      </w:r>
      <w:r w:rsidR="00976F5D" w:rsidRPr="000A4BF0">
        <w:rPr>
          <w:bCs/>
        </w:rPr>
        <w:t>Karachi Stock Exchange</w:t>
      </w:r>
      <w:r w:rsidR="00385CEC">
        <w:rPr>
          <w:bCs/>
        </w:rPr>
        <w:t xml:space="preserve"> listed companies and </w:t>
      </w:r>
      <w:r w:rsidR="00976F5D" w:rsidRPr="000A4BF0">
        <w:rPr>
          <w:bCs/>
        </w:rPr>
        <w:t xml:space="preserve">found that leverage and tangibility were significant however other variables have </w:t>
      </w:r>
      <w:r w:rsidR="00050507" w:rsidRPr="000A4BF0">
        <w:rPr>
          <w:bCs/>
        </w:rPr>
        <w:t>consistent</w:t>
      </w:r>
      <w:r w:rsidR="00976F5D" w:rsidRPr="000A4BF0">
        <w:rPr>
          <w:bCs/>
        </w:rPr>
        <w:t xml:space="preserve"> relationship with dividend payout policy as found in </w:t>
      </w:r>
      <w:r w:rsidR="00050507" w:rsidRPr="000A4BF0">
        <w:rPr>
          <w:bCs/>
        </w:rPr>
        <w:t>literature. It</w:t>
      </w:r>
      <w:r w:rsidR="009F1CB8" w:rsidRPr="000A4BF0">
        <w:rPr>
          <w:bCs/>
        </w:rPr>
        <w:t xml:space="preserve"> was also found that firms do not follow stable dividend policy however there was strong significant relationship between dividend payout with last year’s dividend.</w:t>
      </w:r>
    </w:p>
    <w:p w:rsidR="000A4BF0" w:rsidRPr="000A4BF0" w:rsidRDefault="000A4BF0" w:rsidP="000A4BF0">
      <w:pPr>
        <w:autoSpaceDE w:val="0"/>
        <w:autoSpaceDN w:val="0"/>
        <w:adjustRightInd w:val="0"/>
        <w:spacing w:line="480" w:lineRule="auto"/>
        <w:jc w:val="both"/>
        <w:rPr>
          <w:bCs/>
        </w:rPr>
      </w:pPr>
      <w:r w:rsidRPr="00385CEC">
        <w:rPr>
          <w:b/>
          <w:bCs/>
        </w:rPr>
        <w:t>Key Words:</w:t>
      </w:r>
      <w:r w:rsidRPr="000A4BF0">
        <w:rPr>
          <w:bCs/>
        </w:rPr>
        <w:t xml:space="preserve"> </w:t>
      </w:r>
      <w:r w:rsidR="00385CEC">
        <w:rPr>
          <w:bCs/>
        </w:rPr>
        <w:t xml:space="preserve"> </w:t>
      </w:r>
      <w:r w:rsidRPr="000A4BF0">
        <w:rPr>
          <w:bCs/>
        </w:rPr>
        <w:t>dividend payout policy, Karachi Stock exchange, leverage, tangibility</w:t>
      </w:r>
    </w:p>
    <w:p w:rsidR="00345084" w:rsidRPr="000A4BF0" w:rsidRDefault="00345084" w:rsidP="000A4BF0">
      <w:pPr>
        <w:autoSpaceDE w:val="0"/>
        <w:autoSpaceDN w:val="0"/>
        <w:adjustRightInd w:val="0"/>
        <w:spacing w:line="480" w:lineRule="auto"/>
        <w:rPr>
          <w:b/>
          <w:bCs/>
        </w:rPr>
      </w:pPr>
    </w:p>
    <w:p w:rsidR="0033527B" w:rsidRPr="000A4BF0" w:rsidRDefault="0033527B" w:rsidP="000A4BF0">
      <w:pPr>
        <w:autoSpaceDE w:val="0"/>
        <w:autoSpaceDN w:val="0"/>
        <w:adjustRightInd w:val="0"/>
        <w:spacing w:line="480" w:lineRule="auto"/>
        <w:rPr>
          <w:b/>
          <w:bCs/>
        </w:rPr>
      </w:pPr>
      <w:r w:rsidRPr="000A4BF0">
        <w:rPr>
          <w:b/>
          <w:bCs/>
        </w:rPr>
        <w:t>1. Introduction</w:t>
      </w:r>
    </w:p>
    <w:p w:rsidR="0091678E" w:rsidRPr="000A4BF0" w:rsidRDefault="00444DE1" w:rsidP="000A4BF0">
      <w:pPr>
        <w:autoSpaceDE w:val="0"/>
        <w:autoSpaceDN w:val="0"/>
        <w:adjustRightInd w:val="0"/>
        <w:spacing w:line="480" w:lineRule="auto"/>
        <w:jc w:val="both"/>
      </w:pPr>
      <w:r w:rsidRPr="000A4BF0">
        <w:t>D</w:t>
      </w:r>
      <w:r w:rsidR="0033527B" w:rsidRPr="000A4BF0">
        <w:t>ividend po</w:t>
      </w:r>
      <w:r w:rsidR="00C92A25" w:rsidRPr="000A4BF0">
        <w:t xml:space="preserve">licy is one of the most </w:t>
      </w:r>
      <w:r w:rsidR="00F42E8D" w:rsidRPr="000A4BF0">
        <w:t>controversial issues</w:t>
      </w:r>
      <w:r w:rsidR="0033527B" w:rsidRPr="000A4BF0">
        <w:t xml:space="preserve"> in modern corporate finance. This has led to the emergence of a number of competing theoretical explanations for dividend policy. No consensus has emerged about the rival theoretical approaches to dividend policy despite several</w:t>
      </w:r>
      <w:r w:rsidR="00C92A25" w:rsidRPr="000A4BF0">
        <w:t xml:space="preserve"> </w:t>
      </w:r>
      <w:r w:rsidR="0033527B" w:rsidRPr="000A4BF0">
        <w:t>decades of research.</w:t>
      </w:r>
      <w:r w:rsidR="00DB6F89" w:rsidRPr="000A4BF0">
        <w:t xml:space="preserve"> </w:t>
      </w:r>
      <w:r w:rsidR="00D25F45" w:rsidRPr="000A4BF0">
        <w:t xml:space="preserve">Brealey and Myers (2005) list dividends as one of the top ten important unresolved issues in the field of advance corporate </w:t>
      </w:r>
      <w:r w:rsidR="00F96E53" w:rsidRPr="000A4BF0">
        <w:t>finance. The</w:t>
      </w:r>
      <w:r w:rsidR="0033527B" w:rsidRPr="000A4BF0">
        <w:t xml:space="preserve"> empirical work on dividend policy has</w:t>
      </w:r>
      <w:r w:rsidR="006911DD" w:rsidRPr="000A4BF0">
        <w:t xml:space="preserve"> generally been focused on developed stock markets such as the UK</w:t>
      </w:r>
      <w:r w:rsidR="0033527B" w:rsidRPr="000A4BF0">
        <w:t>,</w:t>
      </w:r>
      <w:r w:rsidR="0091678E" w:rsidRPr="000A4BF0">
        <w:t xml:space="preserve"> and US.</w:t>
      </w:r>
    </w:p>
    <w:p w:rsidR="0033527B" w:rsidRPr="000A4BF0" w:rsidRDefault="0091678E" w:rsidP="000A4BF0">
      <w:pPr>
        <w:autoSpaceDE w:val="0"/>
        <w:autoSpaceDN w:val="0"/>
        <w:adjustRightInd w:val="0"/>
        <w:spacing w:line="480" w:lineRule="auto"/>
        <w:jc w:val="both"/>
      </w:pPr>
      <w:r w:rsidRPr="000A4BF0">
        <w:t>The examination of dividend policy</w:t>
      </w:r>
      <w:r w:rsidR="00F42E8D" w:rsidRPr="000A4BF0">
        <w:t xml:space="preserve"> in emerging stock markets has </w:t>
      </w:r>
      <w:r w:rsidRPr="000A4BF0">
        <w:t>until recently, been much more limited. Yet the sorts of firm and market characteristics that may influence dividend policy may in fact be more likely to be present in developing markets in an</w:t>
      </w:r>
      <w:r w:rsidR="00385CEC">
        <w:t xml:space="preserve"> </w:t>
      </w:r>
      <w:r w:rsidRPr="000A4BF0">
        <w:t xml:space="preserve">exaggerated fashion than in developed markets. </w:t>
      </w:r>
    </w:p>
    <w:p w:rsidR="00832F1D" w:rsidRPr="000A4BF0" w:rsidRDefault="00832F1D" w:rsidP="000A4BF0">
      <w:pPr>
        <w:autoSpaceDE w:val="0"/>
        <w:autoSpaceDN w:val="0"/>
        <w:adjustRightInd w:val="0"/>
        <w:spacing w:line="480" w:lineRule="auto"/>
        <w:jc w:val="both"/>
      </w:pPr>
      <w:r w:rsidRPr="000A4BF0">
        <w:t xml:space="preserve">One of the renowned dividend </w:t>
      </w:r>
      <w:r w:rsidR="0009452B" w:rsidRPr="000A4BF0">
        <w:t>behaviors</w:t>
      </w:r>
      <w:r w:rsidRPr="000A4BF0">
        <w:t xml:space="preserve"> is the smoothi</w:t>
      </w:r>
      <w:r w:rsidR="00DA10B3" w:rsidRPr="000A4BF0">
        <w:t>ng of firm’s dividends through</w:t>
      </w:r>
      <w:r w:rsidR="00991FAF" w:rsidRPr="000A4BF0">
        <w:t xml:space="preserve"> </w:t>
      </w:r>
      <w:r w:rsidRPr="000A4BF0">
        <w:t>earnings and growth. In his seminal research, Lintner (1956) found that firms in the United States</w:t>
      </w:r>
      <w:r w:rsidR="000D2406" w:rsidRPr="000A4BF0">
        <w:t xml:space="preserve"> </w:t>
      </w:r>
      <w:r w:rsidRPr="000A4BF0">
        <w:t>adjust their dividends smoothly to maintain a target long run payout ratio. The findings of Lintner</w:t>
      </w:r>
      <w:r w:rsidR="00385CEC">
        <w:t xml:space="preserve"> (1956)</w:t>
      </w:r>
      <w:r w:rsidR="000D2406" w:rsidRPr="000A4BF0">
        <w:t xml:space="preserve"> </w:t>
      </w:r>
      <w:r w:rsidRPr="000A4BF0">
        <w:t>regarding the dividend smoothing have also been confirmed by numerous studies since its publications.</w:t>
      </w:r>
      <w:r w:rsidR="000D2406" w:rsidRPr="000A4BF0">
        <w:t xml:space="preserve"> </w:t>
      </w:r>
      <w:r w:rsidRPr="000A4BF0">
        <w:t xml:space="preserve">The smoothing of the dividend is the </w:t>
      </w:r>
      <w:r w:rsidR="00385CEC" w:rsidRPr="000A4BF0">
        <w:t>well-known</w:t>
      </w:r>
      <w:r w:rsidRPr="000A4BF0">
        <w:t xml:space="preserve"> empirical fact but the empirical evidence is based on</w:t>
      </w:r>
      <w:r w:rsidR="000D2406" w:rsidRPr="000A4BF0">
        <w:t xml:space="preserve"> </w:t>
      </w:r>
      <w:r w:rsidRPr="000A4BF0">
        <w:t>United States market. The dividend policy of the companies varies from country to country due to</w:t>
      </w:r>
      <w:r w:rsidR="000D2406" w:rsidRPr="000A4BF0">
        <w:t xml:space="preserve"> </w:t>
      </w:r>
      <w:r w:rsidRPr="000A4BF0">
        <w:t>various institutions and capital market differences.</w:t>
      </w:r>
    </w:p>
    <w:p w:rsidR="0033527B" w:rsidRPr="000A4BF0" w:rsidRDefault="006911DD" w:rsidP="000A4BF0">
      <w:pPr>
        <w:autoSpaceDE w:val="0"/>
        <w:autoSpaceDN w:val="0"/>
        <w:adjustRightInd w:val="0"/>
        <w:spacing w:line="480" w:lineRule="auto"/>
        <w:jc w:val="both"/>
      </w:pPr>
      <w:r w:rsidRPr="000A4BF0">
        <w:t>The purpose of this stud</w:t>
      </w:r>
      <w:r w:rsidR="00556EAC" w:rsidRPr="000A4BF0">
        <w:t>y is to investigate the behavior</w:t>
      </w:r>
      <w:r w:rsidRPr="000A4BF0">
        <w:t xml:space="preserve"> and determinants of dividend policy</w:t>
      </w:r>
      <w:r w:rsidR="00385CEC">
        <w:t xml:space="preserve"> </w:t>
      </w:r>
      <w:r w:rsidRPr="000A4BF0">
        <w:t>in Pakistan</w:t>
      </w:r>
      <w:r w:rsidR="00385CEC">
        <w:t>i listed companies</w:t>
      </w:r>
      <w:r w:rsidRPr="000A4BF0">
        <w:t xml:space="preserve">. </w:t>
      </w:r>
      <w:r w:rsidR="00F671BC" w:rsidRPr="000A4BF0">
        <w:t>T</w:t>
      </w:r>
      <w:r w:rsidRPr="000A4BF0">
        <w:t>his study empiri</w:t>
      </w:r>
      <w:r w:rsidR="005E63E4" w:rsidRPr="000A4BF0">
        <w:t>cally examined whether these</w:t>
      </w:r>
      <w:r w:rsidRPr="000A4BF0">
        <w:t xml:space="preserve"> firms follow stable dividend</w:t>
      </w:r>
      <w:r w:rsidR="005E63E4" w:rsidRPr="000A4BF0">
        <w:t xml:space="preserve"> </w:t>
      </w:r>
      <w:r w:rsidRPr="000A4BF0">
        <w:t>policies as in developed markets where dividend smoothing is stylized fact in long run</w:t>
      </w:r>
      <w:r w:rsidR="00F42E8D" w:rsidRPr="000A4BF0">
        <w:t xml:space="preserve"> or the unstable one</w:t>
      </w:r>
      <w:r w:rsidRPr="000A4BF0">
        <w:t>. This paper</w:t>
      </w:r>
      <w:r w:rsidR="00DA0DEB" w:rsidRPr="000A4BF0">
        <w:t xml:space="preserve"> </w:t>
      </w:r>
      <w:r w:rsidR="005E63E4" w:rsidRPr="000A4BF0">
        <w:t>identifies the prominent variables influencing the dividend policies of the</w:t>
      </w:r>
      <w:r w:rsidR="0009452B" w:rsidRPr="000A4BF0">
        <w:t xml:space="preserve"> </w:t>
      </w:r>
      <w:r w:rsidR="005E63E4" w:rsidRPr="000A4BF0">
        <w:t>select</w:t>
      </w:r>
      <w:r w:rsidR="00B401F4" w:rsidRPr="000A4BF0">
        <w:t>ed</w:t>
      </w:r>
      <w:r w:rsidR="005E63E4" w:rsidRPr="000A4BF0">
        <w:t xml:space="preserve"> companies</w:t>
      </w:r>
      <w:r w:rsidR="00DA0DEB" w:rsidRPr="000A4BF0">
        <w:t>.</w:t>
      </w:r>
      <w:r w:rsidR="005E63E4" w:rsidRPr="000A4BF0">
        <w:t xml:space="preserve"> </w:t>
      </w:r>
      <w:r w:rsidRPr="000A4BF0">
        <w:t>The outcomes of the research will provide meaningful and handy information in the role</w:t>
      </w:r>
      <w:r w:rsidR="00B401F4" w:rsidRPr="000A4BF0">
        <w:t xml:space="preserve"> </w:t>
      </w:r>
      <w:r w:rsidRPr="000A4BF0">
        <w:t>of institutional factors which creates dividend policy at firm’s level.</w:t>
      </w:r>
    </w:p>
    <w:p w:rsidR="0033527B" w:rsidRPr="000A4BF0" w:rsidRDefault="00501D28" w:rsidP="000A4BF0">
      <w:pPr>
        <w:autoSpaceDE w:val="0"/>
        <w:autoSpaceDN w:val="0"/>
        <w:adjustRightInd w:val="0"/>
        <w:spacing w:line="480" w:lineRule="auto"/>
        <w:jc w:val="both"/>
      </w:pPr>
      <w:r w:rsidRPr="000A4BF0">
        <w:t>Section 2 gives the literature review of previous researches. Section 3 discusses</w:t>
      </w:r>
      <w:r w:rsidR="00F96E53" w:rsidRPr="000A4BF0">
        <w:t xml:space="preserve"> </w:t>
      </w:r>
      <w:r w:rsidRPr="000A4BF0">
        <w:t>selected</w:t>
      </w:r>
      <w:r w:rsidR="00385CEC">
        <w:t xml:space="preserve"> </w:t>
      </w:r>
      <w:r w:rsidRPr="000A4BF0">
        <w:t>sample, data sources, variables and methodology of the research.</w:t>
      </w:r>
      <w:r w:rsidR="00F96E53" w:rsidRPr="000A4BF0">
        <w:t xml:space="preserve"> </w:t>
      </w:r>
      <w:r w:rsidRPr="000A4BF0">
        <w:t>Section 4 covers the de</w:t>
      </w:r>
      <w:r w:rsidR="00821969" w:rsidRPr="000A4BF0">
        <w:t>scriptive as well as regression</w:t>
      </w:r>
      <w:r w:rsidRPr="000A4BF0">
        <w:t xml:space="preserve"> </w:t>
      </w:r>
      <w:r w:rsidR="001E3533" w:rsidRPr="000A4BF0">
        <w:t>analysis. Section</w:t>
      </w:r>
      <w:r w:rsidR="009C2F0A" w:rsidRPr="000A4BF0">
        <w:t xml:space="preserve"> 5</w:t>
      </w:r>
      <w:r w:rsidR="0009452B" w:rsidRPr="000A4BF0">
        <w:t xml:space="preserve"> conclusion.</w:t>
      </w:r>
    </w:p>
    <w:p w:rsidR="00385CEC" w:rsidRPr="000A4BF0" w:rsidRDefault="00385CEC" w:rsidP="000A4BF0">
      <w:pPr>
        <w:autoSpaceDE w:val="0"/>
        <w:autoSpaceDN w:val="0"/>
        <w:adjustRightInd w:val="0"/>
        <w:spacing w:line="480" w:lineRule="auto"/>
        <w:jc w:val="both"/>
        <w:rPr>
          <w:b/>
          <w:bCs/>
        </w:rPr>
      </w:pPr>
    </w:p>
    <w:p w:rsidR="005712FE" w:rsidRPr="000A4BF0" w:rsidRDefault="006553D8" w:rsidP="000A4BF0">
      <w:pPr>
        <w:autoSpaceDE w:val="0"/>
        <w:autoSpaceDN w:val="0"/>
        <w:adjustRightInd w:val="0"/>
        <w:spacing w:line="480" w:lineRule="auto"/>
        <w:jc w:val="both"/>
        <w:rPr>
          <w:b/>
          <w:bCs/>
        </w:rPr>
      </w:pPr>
      <w:r w:rsidRPr="000A4BF0">
        <w:rPr>
          <w:b/>
          <w:bCs/>
        </w:rPr>
        <w:t xml:space="preserve">2. </w:t>
      </w:r>
      <w:r w:rsidR="005712FE" w:rsidRPr="000A4BF0">
        <w:rPr>
          <w:b/>
          <w:bCs/>
        </w:rPr>
        <w:t xml:space="preserve">Literature </w:t>
      </w:r>
      <w:r w:rsidR="00685845" w:rsidRPr="000A4BF0">
        <w:rPr>
          <w:b/>
          <w:bCs/>
        </w:rPr>
        <w:t>Review</w:t>
      </w:r>
    </w:p>
    <w:p w:rsidR="00DF69E6" w:rsidRPr="000A4BF0" w:rsidRDefault="00DF69E6" w:rsidP="000A4BF0">
      <w:pPr>
        <w:autoSpaceDE w:val="0"/>
        <w:autoSpaceDN w:val="0"/>
        <w:adjustRightInd w:val="0"/>
        <w:spacing w:line="480" w:lineRule="auto"/>
        <w:jc w:val="both"/>
      </w:pPr>
      <w:r w:rsidRPr="000A4BF0">
        <w:t>Based on the earlier work done by diff</w:t>
      </w:r>
      <w:r w:rsidR="009E6D49">
        <w:t>erent researchers, Black (</w:t>
      </w:r>
      <w:r w:rsidRPr="000A4BF0">
        <w:t>1976</w:t>
      </w:r>
      <w:r w:rsidR="009E6D49">
        <w:t>)</w:t>
      </w:r>
      <w:r w:rsidR="00E11C2E" w:rsidRPr="000A4BF0">
        <w:t xml:space="preserve"> </w:t>
      </w:r>
      <w:r w:rsidRPr="000A4BF0">
        <w:t>conclude</w:t>
      </w:r>
      <w:r w:rsidR="00CF0F40" w:rsidRPr="000A4BF0">
        <w:t>d</w:t>
      </w:r>
      <w:r w:rsidRPr="000A4BF0">
        <w:t xml:space="preserve"> that “dividends” is a puzzle. This conclusion is a motivation to study the</w:t>
      </w:r>
      <w:r w:rsidR="00E11C2E" w:rsidRPr="000A4BF0">
        <w:t xml:space="preserve"> </w:t>
      </w:r>
      <w:r w:rsidRPr="000A4BF0">
        <w:t>subject in more detail, specially the factors that would be helpful in determining</w:t>
      </w:r>
      <w:r w:rsidR="00E11C2E" w:rsidRPr="000A4BF0">
        <w:t xml:space="preserve"> </w:t>
      </w:r>
      <w:r w:rsidRPr="000A4BF0">
        <w:t>the dividend policy for Pakistan as a country of emerging economy. A study on</w:t>
      </w:r>
      <w:r w:rsidR="00E11C2E" w:rsidRPr="000A4BF0">
        <w:t xml:space="preserve"> </w:t>
      </w:r>
      <w:r w:rsidRPr="000A4BF0">
        <w:t>emerging countries including Pakistan</w:t>
      </w:r>
      <w:r w:rsidR="0057258E" w:rsidRPr="000A4BF0">
        <w:t xml:space="preserve"> was</w:t>
      </w:r>
      <w:r w:rsidRPr="000A4BF0">
        <w:t xml:space="preserve"> done by Aivazian, Booth and Clearly</w:t>
      </w:r>
      <w:r w:rsidR="00E11C2E" w:rsidRPr="000A4BF0">
        <w:t xml:space="preserve"> </w:t>
      </w:r>
      <w:r w:rsidR="002D6A8F" w:rsidRPr="000A4BF0">
        <w:t>(2003)</w:t>
      </w:r>
      <w:r w:rsidR="00385CEC">
        <w:t xml:space="preserve"> who </w:t>
      </w:r>
      <w:r w:rsidR="002D6A8F" w:rsidRPr="000A4BF0">
        <w:t>fou</w:t>
      </w:r>
      <w:r w:rsidRPr="000A4BF0">
        <w:t>nd that profitability and Investment opportunities play an important</w:t>
      </w:r>
      <w:r w:rsidR="00E11C2E" w:rsidRPr="000A4BF0">
        <w:t xml:space="preserve"> </w:t>
      </w:r>
      <w:r w:rsidRPr="000A4BF0">
        <w:t>role in determination of dividends.</w:t>
      </w:r>
    </w:p>
    <w:p w:rsidR="00DD5440" w:rsidRPr="000A4BF0" w:rsidRDefault="00DD5440" w:rsidP="000A4BF0">
      <w:pPr>
        <w:autoSpaceDE w:val="0"/>
        <w:autoSpaceDN w:val="0"/>
        <w:adjustRightInd w:val="0"/>
        <w:spacing w:line="480" w:lineRule="auto"/>
        <w:jc w:val="both"/>
      </w:pPr>
      <w:r w:rsidRPr="000A4BF0">
        <w:t>Amidu and Abor (2006) conducted the study on determinants of dividend policy in Ghana</w:t>
      </w:r>
      <w:r w:rsidR="008D704E" w:rsidRPr="000A4BF0">
        <w:t xml:space="preserve">. </w:t>
      </w:r>
      <w:r w:rsidRPr="000A4BF0">
        <w:t>They choose the sample of 20 listed firms of Ghana Stock Exchange (GSE) which represent the 76%</w:t>
      </w:r>
      <w:r w:rsidR="008D704E" w:rsidRPr="000A4BF0">
        <w:t xml:space="preserve"> </w:t>
      </w:r>
      <w:r w:rsidRPr="000A4BF0">
        <w:t>of the total GSE listed firms. They have taken the Payout Ratio as dependent variable and defined as</w:t>
      </w:r>
      <w:r w:rsidR="008E321D" w:rsidRPr="000A4BF0">
        <w:t xml:space="preserve"> </w:t>
      </w:r>
      <w:r w:rsidRPr="000A4BF0">
        <w:t>dividend per share divided by earning per share. The</w:t>
      </w:r>
      <w:r w:rsidR="00C805DA" w:rsidRPr="000A4BF0">
        <w:t>y</w:t>
      </w:r>
      <w:r w:rsidRPr="000A4BF0">
        <w:t xml:space="preserve"> included the explanatory variable</w:t>
      </w:r>
      <w:r w:rsidR="002D6A8F" w:rsidRPr="000A4BF0">
        <w:t xml:space="preserve">s as </w:t>
      </w:r>
      <w:r w:rsidR="00175633" w:rsidRPr="000A4BF0">
        <w:t>profitability</w:t>
      </w:r>
      <w:r w:rsidR="00385CEC">
        <w:t>,</w:t>
      </w:r>
      <w:r w:rsidR="00175633" w:rsidRPr="000A4BF0">
        <w:t xml:space="preserve"> </w:t>
      </w:r>
      <w:r w:rsidRPr="000A4BF0">
        <w:t xml:space="preserve">risk, cash flows, corporate </w:t>
      </w:r>
      <w:r w:rsidR="00385CEC" w:rsidRPr="000A4BF0">
        <w:t>tax</w:t>
      </w:r>
      <w:r w:rsidRPr="000A4BF0">
        <w:t xml:space="preserve">, institutional holdings, </w:t>
      </w:r>
      <w:r w:rsidR="00385CEC">
        <w:t>s</w:t>
      </w:r>
      <w:r w:rsidRPr="000A4BF0">
        <w:t>ales</w:t>
      </w:r>
      <w:r w:rsidR="008D704E" w:rsidRPr="000A4BF0">
        <w:t xml:space="preserve"> </w:t>
      </w:r>
      <w:r w:rsidR="00385CEC">
        <w:t>g</w:t>
      </w:r>
      <w:r w:rsidRPr="000A4BF0">
        <w:t xml:space="preserve">rowth and </w:t>
      </w:r>
      <w:r w:rsidR="00385CEC">
        <w:t>m</w:t>
      </w:r>
      <w:r w:rsidRPr="000A4BF0">
        <w:t xml:space="preserve">arket to </w:t>
      </w:r>
      <w:r w:rsidR="00385CEC">
        <w:t>b</w:t>
      </w:r>
      <w:r w:rsidRPr="000A4BF0">
        <w:t>ook value</w:t>
      </w:r>
      <w:r w:rsidR="008D704E" w:rsidRPr="000A4BF0">
        <w:t>. Th</w:t>
      </w:r>
      <w:r w:rsidR="002D6A8F" w:rsidRPr="000A4BF0">
        <w:t>e final conclusion of article was</w:t>
      </w:r>
      <w:r w:rsidR="008D704E" w:rsidRPr="000A4BF0">
        <w:t xml:space="preserve"> that dividend payout policy decision of listed firms in GSE is influenced by profitability, cash flow position, and growth scenario and investment opportunities of the</w:t>
      </w:r>
      <w:r w:rsidR="00F56CBB" w:rsidRPr="000A4BF0">
        <w:t xml:space="preserve"> </w:t>
      </w:r>
      <w:r w:rsidR="008D704E" w:rsidRPr="000A4BF0">
        <w:t>firms</w:t>
      </w:r>
      <w:r w:rsidR="00834978" w:rsidRPr="000A4BF0">
        <w:t>.</w:t>
      </w:r>
    </w:p>
    <w:p w:rsidR="00834978" w:rsidRPr="000A4BF0" w:rsidRDefault="00834978" w:rsidP="000A4BF0">
      <w:pPr>
        <w:autoSpaceDE w:val="0"/>
        <w:autoSpaceDN w:val="0"/>
        <w:adjustRightInd w:val="0"/>
        <w:spacing w:line="480" w:lineRule="auto"/>
        <w:jc w:val="both"/>
      </w:pPr>
      <w:r w:rsidRPr="000A4BF0">
        <w:t>Reddy</w:t>
      </w:r>
      <w:r w:rsidR="00F600CF">
        <w:t xml:space="preserve"> and Rath</w:t>
      </w:r>
      <w:r w:rsidRPr="000A4BF0">
        <w:t xml:space="preserve"> (2006) examined the dividend policy of Indian corporat</w:t>
      </w:r>
      <w:r w:rsidR="00F56CBB" w:rsidRPr="000A4BF0">
        <w:t xml:space="preserve">e firms, trend and determinants </w:t>
      </w:r>
      <w:r w:rsidRPr="000A4BF0">
        <w:t xml:space="preserve">and make attempt to explain the observed </w:t>
      </w:r>
      <w:r w:rsidR="00B57DA1" w:rsidRPr="000A4BF0">
        <w:t>behavior</w:t>
      </w:r>
      <w:r w:rsidRPr="000A4BF0">
        <w:t xml:space="preserve"> of the firms listed on Bombay Stock</w:t>
      </w:r>
      <w:r w:rsidR="00F56CBB" w:rsidRPr="000A4BF0">
        <w:t xml:space="preserve"> </w:t>
      </w:r>
      <w:r w:rsidRPr="000A4BF0">
        <w:t>Exchange</w:t>
      </w:r>
      <w:r w:rsidR="00385CEC">
        <w:t xml:space="preserve"> </w:t>
      </w:r>
      <w:r w:rsidRPr="000A4BF0">
        <w:t xml:space="preserve">(BSE) with the help of trade off theory and </w:t>
      </w:r>
      <w:r w:rsidR="00B57DA1" w:rsidRPr="000A4BF0">
        <w:t>signaling</w:t>
      </w:r>
      <w:r w:rsidRPr="000A4BF0">
        <w:t xml:space="preserve"> theory </w:t>
      </w:r>
      <w:r w:rsidR="00B57DA1" w:rsidRPr="000A4BF0">
        <w:t>hypothesis. It</w:t>
      </w:r>
      <w:r w:rsidR="005257AD" w:rsidRPr="000A4BF0">
        <w:t xml:space="preserve"> was found</w:t>
      </w:r>
      <w:r w:rsidR="00B57DA1" w:rsidRPr="000A4BF0">
        <w:t xml:space="preserve"> that dividends paying firms were</w:t>
      </w:r>
      <w:r w:rsidR="005257AD" w:rsidRPr="000A4BF0">
        <w:t xml:space="preserve"> more</w:t>
      </w:r>
      <w:r w:rsidR="00F56CBB" w:rsidRPr="000A4BF0">
        <w:t xml:space="preserve"> </w:t>
      </w:r>
      <w:r w:rsidR="005257AD" w:rsidRPr="000A4BF0">
        <w:t xml:space="preserve">profitable, </w:t>
      </w:r>
      <w:r w:rsidR="00B57DA1" w:rsidRPr="000A4BF0">
        <w:t>large in size, and growth did no</w:t>
      </w:r>
      <w:r w:rsidR="005257AD" w:rsidRPr="000A4BF0">
        <w:t>t seem to discourage Indian firms from paying higher</w:t>
      </w:r>
      <w:r w:rsidR="00F56CBB" w:rsidRPr="000A4BF0">
        <w:t xml:space="preserve"> </w:t>
      </w:r>
      <w:r w:rsidR="005257AD" w:rsidRPr="000A4BF0">
        <w:t>dividends. The corporate tax or tax preference theory doesn’t appear to hold true in Indian context.</w:t>
      </w:r>
      <w:r w:rsidR="00F56CBB" w:rsidRPr="000A4BF0">
        <w:t xml:space="preserve"> </w:t>
      </w:r>
      <w:r w:rsidR="005257AD" w:rsidRPr="000A4BF0">
        <w:t>Finally the dividend changes appear to signal contemporary and la</w:t>
      </w:r>
      <w:r w:rsidR="00C36F67" w:rsidRPr="000A4BF0">
        <w:t xml:space="preserve">gged earning performance rather </w:t>
      </w:r>
      <w:r w:rsidR="005257AD" w:rsidRPr="000A4BF0">
        <w:t>than future earnings performance.</w:t>
      </w:r>
    </w:p>
    <w:p w:rsidR="00AF6633" w:rsidRPr="000A4BF0" w:rsidRDefault="0085314A" w:rsidP="00385CEC">
      <w:pPr>
        <w:autoSpaceDE w:val="0"/>
        <w:autoSpaceDN w:val="0"/>
        <w:adjustRightInd w:val="0"/>
        <w:spacing w:line="480" w:lineRule="auto"/>
        <w:jc w:val="both"/>
      </w:pPr>
      <w:r w:rsidRPr="00385CEC">
        <w:rPr>
          <w:iCs/>
        </w:rPr>
        <w:t>Lintner (1956)</w:t>
      </w:r>
      <w:r w:rsidRPr="000A4BF0">
        <w:rPr>
          <w:i/>
          <w:iCs/>
        </w:rPr>
        <w:t xml:space="preserve"> </w:t>
      </w:r>
      <w:r w:rsidRPr="000A4BF0">
        <w:t>found evidence that firms had in mind a target payout ratio towards which they</w:t>
      </w:r>
      <w:r w:rsidR="003C4C77" w:rsidRPr="000A4BF0">
        <w:t xml:space="preserve"> </w:t>
      </w:r>
      <w:r w:rsidRPr="000A4BF0">
        <w:t>moved with stable speed of adjustment. His approach suggested the stylized facts as follow: (i) managers</w:t>
      </w:r>
      <w:r w:rsidR="004A4D0E" w:rsidRPr="000A4BF0">
        <w:t xml:space="preserve"> </w:t>
      </w:r>
      <w:r w:rsidRPr="000A4BF0">
        <w:t>believe that firms should have some long-term target payout ratio whereby they decide on the fraction of</w:t>
      </w:r>
      <w:r w:rsidR="004A4D0E" w:rsidRPr="000A4BF0">
        <w:t xml:space="preserve"> </w:t>
      </w:r>
      <w:r w:rsidRPr="000A4BF0">
        <w:t xml:space="preserve">earnings they are </w:t>
      </w:r>
      <w:r w:rsidR="00D359CB" w:rsidRPr="000A4BF0">
        <w:t>willing</w:t>
      </w:r>
      <w:r w:rsidRPr="000A4BF0">
        <w:t xml:space="preserve"> to pay out as dividends in long term, (ii) in setting dividends, they focus on the</w:t>
      </w:r>
      <w:r w:rsidR="004A4D0E" w:rsidRPr="000A4BF0">
        <w:t xml:space="preserve"> </w:t>
      </w:r>
      <w:r w:rsidRPr="000A4BF0">
        <w:t>change in existing payouts, not on the level, (iii) a major unanticipated an</w:t>
      </w:r>
      <w:r w:rsidR="00D359CB" w:rsidRPr="000A4BF0">
        <w:t>d</w:t>
      </w:r>
      <w:r w:rsidRPr="000A4BF0">
        <w:t xml:space="preserve"> </w:t>
      </w:r>
      <w:r w:rsidR="00445172" w:rsidRPr="000A4BF0">
        <w:t>non-transitory</w:t>
      </w:r>
      <w:r w:rsidRPr="000A4BF0">
        <w:t xml:space="preserve"> change in</w:t>
      </w:r>
      <w:r w:rsidR="004A4D0E" w:rsidRPr="000A4BF0">
        <w:t xml:space="preserve"> </w:t>
      </w:r>
      <w:r w:rsidRPr="000A4BF0">
        <w:t>earnings would be an important reason to change dividends, (iv) most managers try to avoid making</w:t>
      </w:r>
      <w:r w:rsidR="004A4D0E" w:rsidRPr="000A4BF0">
        <w:t xml:space="preserve"> </w:t>
      </w:r>
      <w:r w:rsidRPr="000A4BF0">
        <w:t xml:space="preserve">changes in dividends that stand a good chance of having to be reversed within the near future. </w:t>
      </w:r>
    </w:p>
    <w:p w:rsidR="005712FE" w:rsidRPr="000A4BF0" w:rsidRDefault="00CD53FC" w:rsidP="000A4BF0">
      <w:pPr>
        <w:autoSpaceDE w:val="0"/>
        <w:autoSpaceDN w:val="0"/>
        <w:adjustRightInd w:val="0"/>
        <w:spacing w:line="480" w:lineRule="auto"/>
        <w:jc w:val="both"/>
      </w:pPr>
      <w:r w:rsidRPr="000A4BF0">
        <w:t>Glen et al. (1995) study the dividend policy of firms in emerging markets. They find that firms in these markets have a target dividend payout rate, but less concerned with volatility in dividends over time. They also find that shareholders and governments exert a great deal of influence on dividend policy and observe that dividends have little signaling content in these markets.</w:t>
      </w:r>
    </w:p>
    <w:p w:rsidR="005712FE" w:rsidRPr="000A4BF0" w:rsidRDefault="001A4706" w:rsidP="000A4BF0">
      <w:pPr>
        <w:autoSpaceDE w:val="0"/>
        <w:autoSpaceDN w:val="0"/>
        <w:adjustRightInd w:val="0"/>
        <w:spacing w:line="480" w:lineRule="auto"/>
        <w:jc w:val="both"/>
      </w:pPr>
      <w:r w:rsidRPr="000A4BF0">
        <w:rPr>
          <w:bCs/>
        </w:rPr>
        <w:t>Ahmed and Javid (2009) studied</w:t>
      </w:r>
      <w:r w:rsidRPr="000A4BF0">
        <w:rPr>
          <w:b/>
          <w:bCs/>
        </w:rPr>
        <w:t xml:space="preserve"> </w:t>
      </w:r>
      <w:r w:rsidRPr="000A4BF0">
        <w:rPr>
          <w:bCs/>
        </w:rPr>
        <w:t xml:space="preserve">Dynamics and Determinants of Dividend Policy in Pakistan </w:t>
      </w:r>
      <w:r w:rsidR="00432A5E" w:rsidRPr="000A4BF0">
        <w:rPr>
          <w:bCs/>
        </w:rPr>
        <w:t>for the time period 2001-2006.</w:t>
      </w:r>
      <w:r w:rsidR="00800D62" w:rsidRPr="000A4BF0">
        <w:t xml:space="preserve"> The results</w:t>
      </w:r>
      <w:r w:rsidR="00666CE6" w:rsidRPr="000A4BF0">
        <w:t xml:space="preserve"> </w:t>
      </w:r>
      <w:r w:rsidR="00800D62" w:rsidRPr="000A4BF0">
        <w:t>consistently support that Pakistani listed non-financial firms rely on both the change in</w:t>
      </w:r>
      <w:r w:rsidR="00666CE6" w:rsidRPr="000A4BF0">
        <w:t xml:space="preserve"> </w:t>
      </w:r>
      <w:r w:rsidR="00800D62" w:rsidRPr="000A4BF0">
        <w:t>dividends and change in net earnings which clearly demonstrate that the firms rely on both current earning per share and past dividend per share to set their dividend payments.</w:t>
      </w:r>
      <w:r w:rsidR="00666CE6" w:rsidRPr="000A4BF0">
        <w:t xml:space="preserve"> </w:t>
      </w:r>
      <w:r w:rsidR="00CC6E9F" w:rsidRPr="000A4BF0">
        <w:t xml:space="preserve">They also showed that </w:t>
      </w:r>
      <w:r w:rsidR="00F26C4C" w:rsidRPr="000A4BF0">
        <w:t>profitable firms with more stable</w:t>
      </w:r>
      <w:r w:rsidR="00BD5F4D" w:rsidRPr="000A4BF0">
        <w:t xml:space="preserve"> net earnings can afford larger </w:t>
      </w:r>
      <w:r w:rsidR="00F26C4C" w:rsidRPr="000A4BF0">
        <w:t>free cash flows and therefore pay larger dividends. Furthermore the ownership</w:t>
      </w:r>
      <w:r w:rsidR="00666CE6" w:rsidRPr="000A4BF0">
        <w:t xml:space="preserve"> </w:t>
      </w:r>
      <w:r w:rsidR="00F26C4C" w:rsidRPr="000A4BF0">
        <w:t>concentration and market liquidity have the positive impact on dividend payout policy.</w:t>
      </w:r>
      <w:r w:rsidR="00666CE6" w:rsidRPr="000A4BF0">
        <w:t xml:space="preserve"> </w:t>
      </w:r>
      <w:r w:rsidR="00BD5F4D" w:rsidRPr="000A4BF0">
        <w:t>S</w:t>
      </w:r>
      <w:r w:rsidR="00F26C4C" w:rsidRPr="000A4BF0">
        <w:t>lack and leverage have the negative impact on dividend payout policy. The</w:t>
      </w:r>
      <w:r w:rsidR="00BD5F4D" w:rsidRPr="000A4BF0">
        <w:t xml:space="preserve"> </w:t>
      </w:r>
      <w:r w:rsidR="00F26C4C" w:rsidRPr="000A4BF0">
        <w:t>market capitalization and size of the firms have the negative impact on dividend payout</w:t>
      </w:r>
      <w:r w:rsidR="00666CE6" w:rsidRPr="000A4BF0">
        <w:t xml:space="preserve"> </w:t>
      </w:r>
      <w:r w:rsidR="00F26C4C" w:rsidRPr="000A4BF0">
        <w:t>policy which clearly shows that the firms prefer to invest in their assets rather than pay</w:t>
      </w:r>
      <w:r w:rsidR="00666CE6" w:rsidRPr="000A4BF0">
        <w:t xml:space="preserve"> </w:t>
      </w:r>
      <w:r w:rsidR="00F26C4C" w:rsidRPr="000A4BF0">
        <w:t>dividends to its shareholders.</w:t>
      </w:r>
    </w:p>
    <w:p w:rsidR="00B733AD" w:rsidRDefault="00B733AD" w:rsidP="000A4BF0">
      <w:pPr>
        <w:autoSpaceDE w:val="0"/>
        <w:autoSpaceDN w:val="0"/>
        <w:adjustRightInd w:val="0"/>
        <w:spacing w:line="480" w:lineRule="auto"/>
        <w:jc w:val="both"/>
        <w:rPr>
          <w:b/>
          <w:bCs/>
        </w:rPr>
      </w:pPr>
    </w:p>
    <w:p w:rsidR="000616A7" w:rsidRDefault="000616A7" w:rsidP="000A4BF0">
      <w:pPr>
        <w:autoSpaceDE w:val="0"/>
        <w:autoSpaceDN w:val="0"/>
        <w:adjustRightInd w:val="0"/>
        <w:spacing w:line="480" w:lineRule="auto"/>
        <w:jc w:val="both"/>
        <w:rPr>
          <w:b/>
          <w:bCs/>
        </w:rPr>
      </w:pPr>
    </w:p>
    <w:p w:rsidR="000616A7" w:rsidRDefault="000616A7" w:rsidP="000A4BF0">
      <w:pPr>
        <w:autoSpaceDE w:val="0"/>
        <w:autoSpaceDN w:val="0"/>
        <w:adjustRightInd w:val="0"/>
        <w:spacing w:line="480" w:lineRule="auto"/>
        <w:jc w:val="both"/>
        <w:rPr>
          <w:b/>
          <w:bCs/>
        </w:rPr>
      </w:pPr>
    </w:p>
    <w:p w:rsidR="005712FE" w:rsidRPr="000A4BF0" w:rsidRDefault="000616A7" w:rsidP="000A4BF0">
      <w:pPr>
        <w:autoSpaceDE w:val="0"/>
        <w:autoSpaceDN w:val="0"/>
        <w:adjustRightInd w:val="0"/>
        <w:spacing w:line="480" w:lineRule="auto"/>
        <w:jc w:val="both"/>
        <w:rPr>
          <w:b/>
          <w:bCs/>
        </w:rPr>
      </w:pPr>
      <w:r>
        <w:rPr>
          <w:b/>
          <w:bCs/>
        </w:rPr>
        <w:t xml:space="preserve">3. </w:t>
      </w:r>
      <w:r w:rsidR="00B733AD">
        <w:rPr>
          <w:b/>
          <w:bCs/>
        </w:rPr>
        <w:t xml:space="preserve">Hypothesis of Study: </w:t>
      </w:r>
    </w:p>
    <w:p w:rsidR="00043FCE" w:rsidRPr="000A4BF0" w:rsidRDefault="00043FCE" w:rsidP="00B733AD">
      <w:pPr>
        <w:autoSpaceDE w:val="0"/>
        <w:autoSpaceDN w:val="0"/>
        <w:adjustRightInd w:val="0"/>
        <w:spacing w:line="480" w:lineRule="auto"/>
        <w:jc w:val="both"/>
      </w:pPr>
      <w:r w:rsidRPr="000A4BF0">
        <w:t xml:space="preserve">Following </w:t>
      </w:r>
      <w:r w:rsidR="008E321D" w:rsidRPr="000A4BF0">
        <w:t>Amidu and Abor (2006</w:t>
      </w:r>
      <w:r w:rsidR="00CD2772" w:rsidRPr="000A4BF0">
        <w:t xml:space="preserve">) </w:t>
      </w:r>
      <w:r w:rsidRPr="000A4BF0">
        <w:t>Dividend payout</w:t>
      </w:r>
      <w:r w:rsidR="00CD2772" w:rsidRPr="000A4BF0">
        <w:t xml:space="preserve"> </w:t>
      </w:r>
      <w:r w:rsidRPr="000A4BF0">
        <w:t>ratio</w:t>
      </w:r>
      <w:r w:rsidR="00CD2772" w:rsidRPr="000A4BF0">
        <w:t xml:space="preserve"> can be</w:t>
      </w:r>
      <w:r w:rsidRPr="000A4BF0">
        <w:t xml:space="preserve"> defined as the dividend per share for a company divided by earning per</w:t>
      </w:r>
      <w:r w:rsidR="00CD2772" w:rsidRPr="000A4BF0">
        <w:t xml:space="preserve"> </w:t>
      </w:r>
      <w:r w:rsidR="00F307D0" w:rsidRPr="000A4BF0">
        <w:t xml:space="preserve">share of that company, as </w:t>
      </w:r>
      <w:r w:rsidRPr="000A4BF0">
        <w:t>dependent variable</w:t>
      </w:r>
      <w:r w:rsidR="00654A28" w:rsidRPr="000A4BF0">
        <w:t>.</w:t>
      </w:r>
    </w:p>
    <w:p w:rsidR="00654A28" w:rsidRPr="000A4BF0" w:rsidRDefault="00654A28" w:rsidP="000A4BF0">
      <w:pPr>
        <w:autoSpaceDE w:val="0"/>
        <w:autoSpaceDN w:val="0"/>
        <w:adjustRightInd w:val="0"/>
        <w:spacing w:line="480" w:lineRule="auto"/>
        <w:rPr>
          <w:b/>
          <w:bCs/>
        </w:rPr>
      </w:pPr>
      <w:r w:rsidRPr="000A4BF0">
        <w:rPr>
          <w:b/>
          <w:bCs/>
          <w:i/>
          <w:iCs/>
        </w:rPr>
        <w:t xml:space="preserve">Hypothesis </w:t>
      </w:r>
      <w:r w:rsidR="00AA1410" w:rsidRPr="000A4BF0">
        <w:rPr>
          <w:b/>
          <w:bCs/>
          <w:i/>
          <w:iCs/>
        </w:rPr>
        <w:t>1</w:t>
      </w:r>
      <w:r w:rsidRPr="000A4BF0">
        <w:rPr>
          <w:b/>
          <w:bCs/>
        </w:rPr>
        <w:t>: The firm size</w:t>
      </w:r>
      <w:r w:rsidR="00D723B3">
        <w:rPr>
          <w:b/>
          <w:bCs/>
        </w:rPr>
        <w:t xml:space="preserve"> (LGS)</w:t>
      </w:r>
      <w:r w:rsidRPr="000A4BF0">
        <w:rPr>
          <w:b/>
          <w:bCs/>
        </w:rPr>
        <w:t xml:space="preserve"> is positively associated with dividend</w:t>
      </w:r>
      <w:r w:rsidR="00DC299C" w:rsidRPr="000A4BF0">
        <w:rPr>
          <w:b/>
          <w:bCs/>
        </w:rPr>
        <w:t xml:space="preserve"> </w:t>
      </w:r>
      <w:r w:rsidRPr="000A4BF0">
        <w:rPr>
          <w:b/>
          <w:bCs/>
        </w:rPr>
        <w:t>payouts</w:t>
      </w:r>
    </w:p>
    <w:p w:rsidR="00654A28" w:rsidRPr="000A4BF0" w:rsidRDefault="00654A28" w:rsidP="000A4BF0">
      <w:pPr>
        <w:autoSpaceDE w:val="0"/>
        <w:autoSpaceDN w:val="0"/>
        <w:adjustRightInd w:val="0"/>
        <w:spacing w:line="480" w:lineRule="auto"/>
        <w:jc w:val="both"/>
      </w:pPr>
      <w:r w:rsidRPr="000A4BF0">
        <w:t>A large firm typically has better access to capital markets and finds it</w:t>
      </w:r>
      <w:r w:rsidR="00A55897" w:rsidRPr="000A4BF0">
        <w:t xml:space="preserve"> </w:t>
      </w:r>
      <w:r w:rsidRPr="000A4BF0">
        <w:t>easier to raise funds with lower cost and fewer constraints compared to a</w:t>
      </w:r>
      <w:r w:rsidR="00A55897" w:rsidRPr="000A4BF0">
        <w:t xml:space="preserve"> </w:t>
      </w:r>
      <w:r w:rsidR="00E056E4" w:rsidRPr="000A4BF0">
        <w:t>small firm</w:t>
      </w:r>
      <w:r w:rsidRPr="000A4BF0">
        <w:t>. Therefore, ceteris paribus, large firms are more likely</w:t>
      </w:r>
      <w:r w:rsidR="00D244F5" w:rsidRPr="000A4BF0">
        <w:t xml:space="preserve"> </w:t>
      </w:r>
      <w:r w:rsidRPr="000A4BF0">
        <w:t>to afford paying higher dividends to shareholders.</w:t>
      </w:r>
      <w:r w:rsidR="0098533E" w:rsidRPr="000A4BF0">
        <w:t xml:space="preserve"> Scott and </w:t>
      </w:r>
      <w:r w:rsidR="00494B35">
        <w:t>M</w:t>
      </w:r>
      <w:r w:rsidR="0098533E" w:rsidRPr="000A4BF0">
        <w:t>artin (1975) found that the size of the firm is very important factor which can affect the firms’ dividend policy and debt policy.</w:t>
      </w:r>
      <w:r w:rsidR="0062394A" w:rsidRPr="000A4BF0">
        <w:t xml:space="preserve"> F</w:t>
      </w:r>
      <w:r w:rsidRPr="000A4BF0">
        <w:t>irm’s</w:t>
      </w:r>
      <w:r w:rsidR="00A55897" w:rsidRPr="000A4BF0">
        <w:t xml:space="preserve"> </w:t>
      </w:r>
      <w:r w:rsidR="001B5FE3" w:rsidRPr="000A4BF0">
        <w:t>log of sales</w:t>
      </w:r>
      <w:r w:rsidRPr="000A4BF0">
        <w:t xml:space="preserve"> is used as a measure for</w:t>
      </w:r>
      <w:r w:rsidR="001B5FE3" w:rsidRPr="000A4BF0">
        <w:t xml:space="preserve"> </w:t>
      </w:r>
      <w:r w:rsidR="00B733AD" w:rsidRPr="000A4BF0">
        <w:t xml:space="preserve">size. </w:t>
      </w:r>
      <w:r w:rsidRPr="000A4BF0">
        <w:t>Based on the above discussion and</w:t>
      </w:r>
      <w:r w:rsidR="00A55897" w:rsidRPr="000A4BF0">
        <w:t xml:space="preserve"> </w:t>
      </w:r>
      <w:r w:rsidRPr="000A4BF0">
        <w:t>consistent with previous research the size variable is expected to have a</w:t>
      </w:r>
      <w:r w:rsidR="00A55897" w:rsidRPr="000A4BF0">
        <w:t xml:space="preserve"> </w:t>
      </w:r>
      <w:r w:rsidRPr="000A4BF0">
        <w:t>positive relationship with dividend payouts.</w:t>
      </w:r>
      <w:r w:rsidR="0098533E" w:rsidRPr="000A4BF0">
        <w:t xml:space="preserve"> </w:t>
      </w:r>
    </w:p>
    <w:p w:rsidR="00B733AD" w:rsidRDefault="00B733AD" w:rsidP="000A4BF0">
      <w:pPr>
        <w:autoSpaceDE w:val="0"/>
        <w:autoSpaceDN w:val="0"/>
        <w:adjustRightInd w:val="0"/>
        <w:spacing w:line="480" w:lineRule="auto"/>
        <w:rPr>
          <w:b/>
          <w:bCs/>
          <w:i/>
          <w:iCs/>
        </w:rPr>
      </w:pPr>
    </w:p>
    <w:p w:rsidR="00345084" w:rsidRPr="000A4BF0" w:rsidRDefault="00DC299C" w:rsidP="000A4BF0">
      <w:pPr>
        <w:autoSpaceDE w:val="0"/>
        <w:autoSpaceDN w:val="0"/>
        <w:adjustRightInd w:val="0"/>
        <w:spacing w:line="480" w:lineRule="auto"/>
        <w:rPr>
          <w:b/>
          <w:bCs/>
        </w:rPr>
      </w:pPr>
      <w:r w:rsidRPr="000A4BF0">
        <w:rPr>
          <w:b/>
          <w:bCs/>
          <w:i/>
          <w:iCs/>
        </w:rPr>
        <w:t xml:space="preserve">Hypothesis </w:t>
      </w:r>
      <w:r w:rsidR="00AA1410" w:rsidRPr="000A4BF0">
        <w:rPr>
          <w:b/>
          <w:bCs/>
          <w:i/>
          <w:iCs/>
        </w:rPr>
        <w:t>2</w:t>
      </w:r>
      <w:r w:rsidRPr="000A4BF0">
        <w:rPr>
          <w:b/>
          <w:bCs/>
        </w:rPr>
        <w:t>: The firm debt</w:t>
      </w:r>
      <w:r w:rsidR="00D723B3">
        <w:rPr>
          <w:b/>
          <w:bCs/>
        </w:rPr>
        <w:t xml:space="preserve"> (DR)</w:t>
      </w:r>
      <w:r w:rsidRPr="000A4BF0">
        <w:rPr>
          <w:b/>
          <w:bCs/>
        </w:rPr>
        <w:t xml:space="preserve"> is negatively associated with dividend payouts</w:t>
      </w:r>
    </w:p>
    <w:p w:rsidR="00DB2B64" w:rsidRPr="000A4BF0" w:rsidRDefault="00C409B1" w:rsidP="000A4BF0">
      <w:pPr>
        <w:autoSpaceDE w:val="0"/>
        <w:autoSpaceDN w:val="0"/>
        <w:adjustRightInd w:val="0"/>
        <w:spacing w:line="480" w:lineRule="auto"/>
        <w:jc w:val="both"/>
      </w:pPr>
      <w:r w:rsidRPr="000A4BF0">
        <w:t>When a firm acquires debt financing it commits itself to fixed financial</w:t>
      </w:r>
      <w:r w:rsidR="00C4607A" w:rsidRPr="000A4BF0">
        <w:t xml:space="preserve"> </w:t>
      </w:r>
      <w:r w:rsidRPr="000A4BF0">
        <w:t>charges embodied in interest payments and the principal amount, and failure</w:t>
      </w:r>
      <w:r w:rsidR="00C4607A" w:rsidRPr="000A4BF0">
        <w:t xml:space="preserve"> </w:t>
      </w:r>
      <w:r w:rsidRPr="000A4BF0">
        <w:t>to meet these obligations may lead the firm into liquidation. The risk</w:t>
      </w:r>
      <w:r w:rsidR="00C4607A" w:rsidRPr="000A4BF0">
        <w:t xml:space="preserve"> </w:t>
      </w:r>
      <w:r w:rsidRPr="000A4BF0">
        <w:t>associated with high degrees of financial leverage may therefore result in</w:t>
      </w:r>
      <w:r w:rsidR="00E5083C" w:rsidRPr="000A4BF0">
        <w:t xml:space="preserve"> </w:t>
      </w:r>
      <w:r w:rsidRPr="000A4BF0">
        <w:t>low dividend payments because, ceteris paribus, firms need to maintain their</w:t>
      </w:r>
      <w:r w:rsidR="00C4607A" w:rsidRPr="000A4BF0">
        <w:t xml:space="preserve"> </w:t>
      </w:r>
      <w:r w:rsidRPr="000A4BF0">
        <w:t>internal cash flow to pay their obligations rather than distributing the cash to</w:t>
      </w:r>
      <w:r w:rsidR="00C4607A" w:rsidRPr="000A4BF0">
        <w:t xml:space="preserve"> </w:t>
      </w:r>
      <w:r w:rsidRPr="000A4BF0">
        <w:t xml:space="preserve">shareholders. Moreover, Rozeff (1982) points out </w:t>
      </w:r>
      <w:r w:rsidR="008359C6" w:rsidRPr="000A4BF0">
        <w:t>that firm</w:t>
      </w:r>
      <w:r w:rsidRPr="000A4BF0">
        <w:t xml:space="preserve"> with high</w:t>
      </w:r>
      <w:r w:rsidR="00C4607A" w:rsidRPr="000A4BF0">
        <w:t xml:space="preserve"> </w:t>
      </w:r>
      <w:r w:rsidRPr="000A4BF0">
        <w:t>financial leverage tend to have low payouts ratios to reduce the transaction</w:t>
      </w:r>
      <w:r w:rsidR="00E5083C" w:rsidRPr="000A4BF0">
        <w:t xml:space="preserve"> </w:t>
      </w:r>
      <w:r w:rsidRPr="000A4BF0">
        <w:t>costs associated with external financing.</w:t>
      </w:r>
      <w:r w:rsidR="00BD3074" w:rsidRPr="000A4BF0">
        <w:t xml:space="preserve"> Similarly H</w:t>
      </w:r>
      <w:r w:rsidR="00E5083C" w:rsidRPr="000A4BF0">
        <w:t xml:space="preserve">iggins (1972) </w:t>
      </w:r>
      <w:r w:rsidR="00BD3074" w:rsidRPr="000A4BF0">
        <w:t>suggested that long term debt had negative impact on the amount of dividend paid</w:t>
      </w:r>
      <w:r w:rsidRPr="000A4BF0">
        <w:t xml:space="preserve"> Therefore, other things being equal,</w:t>
      </w:r>
      <w:r w:rsidR="00947F48" w:rsidRPr="000A4BF0">
        <w:t xml:space="preserve"> </w:t>
      </w:r>
      <w:r w:rsidRPr="000A4BF0">
        <w:t>an inverse relation</w:t>
      </w:r>
      <w:r w:rsidR="005524F8" w:rsidRPr="000A4BF0">
        <w:t xml:space="preserve">ship between debt </w:t>
      </w:r>
      <w:r w:rsidRPr="000A4BF0">
        <w:t>ratio, defined as the ratio</w:t>
      </w:r>
      <w:r w:rsidR="00E5083C" w:rsidRPr="000A4BF0">
        <w:t xml:space="preserve"> </w:t>
      </w:r>
      <w:r w:rsidRPr="000A4BF0">
        <w:t>of</w:t>
      </w:r>
      <w:r w:rsidR="0012044F" w:rsidRPr="000A4BF0">
        <w:t xml:space="preserve"> total debt to total asset</w:t>
      </w:r>
      <w:r w:rsidRPr="000A4BF0">
        <w:t>,</w:t>
      </w:r>
      <w:r w:rsidR="0012044F" w:rsidRPr="000A4BF0">
        <w:t xml:space="preserve"> </w:t>
      </w:r>
      <w:r w:rsidRPr="000A4BF0">
        <w:t>and dividends is expected.</w:t>
      </w:r>
    </w:p>
    <w:p w:rsidR="00B733AD" w:rsidRDefault="00B733AD" w:rsidP="000A4BF0">
      <w:pPr>
        <w:autoSpaceDE w:val="0"/>
        <w:autoSpaceDN w:val="0"/>
        <w:adjustRightInd w:val="0"/>
        <w:spacing w:line="480" w:lineRule="auto"/>
        <w:rPr>
          <w:b/>
          <w:bCs/>
          <w:i/>
          <w:iCs/>
        </w:rPr>
      </w:pPr>
    </w:p>
    <w:p w:rsidR="002364E5" w:rsidRPr="000A4BF0" w:rsidRDefault="002364E5" w:rsidP="000A4BF0">
      <w:pPr>
        <w:autoSpaceDE w:val="0"/>
        <w:autoSpaceDN w:val="0"/>
        <w:adjustRightInd w:val="0"/>
        <w:spacing w:line="480" w:lineRule="auto"/>
        <w:rPr>
          <w:b/>
          <w:bCs/>
        </w:rPr>
      </w:pPr>
      <w:r w:rsidRPr="000A4BF0">
        <w:rPr>
          <w:b/>
          <w:bCs/>
          <w:i/>
          <w:iCs/>
        </w:rPr>
        <w:t xml:space="preserve">Hypothesis </w:t>
      </w:r>
      <w:r w:rsidR="004028E1" w:rsidRPr="000A4BF0">
        <w:rPr>
          <w:b/>
          <w:bCs/>
          <w:i/>
          <w:iCs/>
        </w:rPr>
        <w:t>3</w:t>
      </w:r>
      <w:r w:rsidRPr="000A4BF0">
        <w:rPr>
          <w:b/>
          <w:bCs/>
        </w:rPr>
        <w:t>: There is a positive relationship between a firm’s profitability</w:t>
      </w:r>
      <w:r w:rsidR="00BC0C5F">
        <w:rPr>
          <w:b/>
          <w:bCs/>
        </w:rPr>
        <w:t xml:space="preserve"> (ROA)</w:t>
      </w:r>
      <w:r w:rsidRPr="000A4BF0">
        <w:rPr>
          <w:b/>
          <w:bCs/>
        </w:rPr>
        <w:t xml:space="preserve"> and dividend payouts</w:t>
      </w:r>
    </w:p>
    <w:p w:rsidR="00DB2B64" w:rsidRPr="000A4BF0" w:rsidRDefault="002364E5" w:rsidP="000A4BF0">
      <w:pPr>
        <w:autoSpaceDE w:val="0"/>
        <w:autoSpaceDN w:val="0"/>
        <w:adjustRightInd w:val="0"/>
        <w:spacing w:line="480" w:lineRule="auto"/>
        <w:jc w:val="both"/>
      </w:pPr>
      <w:r w:rsidRPr="000A4BF0">
        <w:t>The decision to pay dividends starts with pr</w:t>
      </w:r>
      <w:r w:rsidR="001E12C8" w:rsidRPr="000A4BF0">
        <w:t xml:space="preserve">ofits. Therefore, it is logical </w:t>
      </w:r>
      <w:r w:rsidRPr="000A4BF0">
        <w:t>to consider profitability as a threshold factor, and the level of profitability as</w:t>
      </w:r>
      <w:r w:rsidR="001E12C8" w:rsidRPr="000A4BF0">
        <w:t xml:space="preserve"> </w:t>
      </w:r>
      <w:r w:rsidRPr="000A4BF0">
        <w:t>one of the most important factors that may influence firms’ dividend</w:t>
      </w:r>
      <w:r w:rsidR="001E12C8" w:rsidRPr="000A4BF0">
        <w:t xml:space="preserve"> </w:t>
      </w:r>
      <w:r w:rsidRPr="000A4BF0">
        <w:t>decisions. In his classic study, Lintner (1956) found that a firm’s net</w:t>
      </w:r>
      <w:r w:rsidR="001E12C8" w:rsidRPr="000A4BF0">
        <w:t xml:space="preserve"> </w:t>
      </w:r>
      <w:r w:rsidRPr="000A4BF0">
        <w:t>earnings are the critical determinant of dividend changes.</w:t>
      </w:r>
      <w:r w:rsidR="001E12C8" w:rsidRPr="000A4BF0">
        <w:t xml:space="preserve"> </w:t>
      </w:r>
      <w:r w:rsidRPr="000A4BF0">
        <w:t>The pecking order hypothesis may provide an explanation for the</w:t>
      </w:r>
      <w:r w:rsidR="001E12C8" w:rsidRPr="000A4BF0">
        <w:t xml:space="preserve"> </w:t>
      </w:r>
      <w:r w:rsidRPr="000A4BF0">
        <w:t>relationship between profitability and dividends. That is, taking into account</w:t>
      </w:r>
      <w:r w:rsidR="001E12C8" w:rsidRPr="000A4BF0">
        <w:t xml:space="preserve"> </w:t>
      </w:r>
      <w:r w:rsidRPr="000A4BF0">
        <w:t>the costs of issuing debt and equity financing, less profitable firms will not</w:t>
      </w:r>
      <w:r w:rsidR="001E12C8" w:rsidRPr="000A4BF0">
        <w:t xml:space="preserve"> </w:t>
      </w:r>
      <w:r w:rsidRPr="000A4BF0">
        <w:t>find it optimal to pay dividends, ceteris paribus. On the other hand, highly</w:t>
      </w:r>
      <w:r w:rsidR="001E12C8" w:rsidRPr="000A4BF0">
        <w:t xml:space="preserve"> </w:t>
      </w:r>
      <w:r w:rsidRPr="000A4BF0">
        <w:t>profitable firms are more able to pay dividends and to generate internal funds</w:t>
      </w:r>
      <w:r w:rsidR="001E12C8" w:rsidRPr="000A4BF0">
        <w:t xml:space="preserve"> </w:t>
      </w:r>
      <w:r w:rsidRPr="000A4BF0">
        <w:t>(retained earnings) to finance investments. Fama and French (2002) used the</w:t>
      </w:r>
      <w:r w:rsidR="00196F57" w:rsidRPr="000A4BF0">
        <w:t xml:space="preserve"> </w:t>
      </w:r>
      <w:r w:rsidRPr="000A4BF0">
        <w:t>expected profitability of assets in plac</w:t>
      </w:r>
      <w:r w:rsidR="001E12C8" w:rsidRPr="000A4BF0">
        <w:t xml:space="preserve">e for testing the pecking order </w:t>
      </w:r>
      <w:r w:rsidRPr="000A4BF0">
        <w:t>hypothesis. In another study, Fama and French (2001) interpreted their</w:t>
      </w:r>
      <w:r w:rsidR="001E12C8" w:rsidRPr="000A4BF0">
        <w:t xml:space="preserve"> </w:t>
      </w:r>
      <w:r w:rsidRPr="000A4BF0">
        <w:t>results of the positive relationship between profitability and dividends as</w:t>
      </w:r>
      <w:r w:rsidR="001E12C8" w:rsidRPr="000A4BF0">
        <w:t xml:space="preserve"> </w:t>
      </w:r>
      <w:r w:rsidRPr="000A4BF0">
        <w:t>consistent with the pecking order hypothesis.</w:t>
      </w:r>
      <w:r w:rsidR="001E12C8" w:rsidRPr="000A4BF0">
        <w:t xml:space="preserve"> </w:t>
      </w:r>
      <w:r w:rsidRPr="000A4BF0">
        <w:t>Based on the above discussion, profitability is expected to be a key</w:t>
      </w:r>
      <w:r w:rsidR="001E12C8" w:rsidRPr="000A4BF0">
        <w:t xml:space="preserve"> </w:t>
      </w:r>
      <w:r w:rsidRPr="000A4BF0">
        <w:t>determinant of cor</w:t>
      </w:r>
      <w:r w:rsidR="00885BFA" w:rsidRPr="000A4BF0">
        <w:t>porate dividend policy in Pakistan</w:t>
      </w:r>
      <w:r w:rsidRPr="000A4BF0">
        <w:t>. To test this hypothesis,</w:t>
      </w:r>
      <w:r w:rsidR="003A47C4" w:rsidRPr="000A4BF0">
        <w:t xml:space="preserve"> </w:t>
      </w:r>
      <w:r w:rsidRPr="000A4BF0">
        <w:t>the af</w:t>
      </w:r>
      <w:r w:rsidR="00E130F9" w:rsidRPr="000A4BF0">
        <w:t xml:space="preserve">ter tax </w:t>
      </w:r>
      <w:r w:rsidR="0058201B" w:rsidRPr="000A4BF0">
        <w:t>earnings is</w:t>
      </w:r>
      <w:r w:rsidRPr="000A4BF0">
        <w:t xml:space="preserve"> used as a measure of a firm’s</w:t>
      </w:r>
      <w:r w:rsidR="001E12C8" w:rsidRPr="000A4BF0">
        <w:t xml:space="preserve"> </w:t>
      </w:r>
      <w:r w:rsidRPr="000A4BF0">
        <w:t>profitability. The hypot</w:t>
      </w:r>
      <w:r w:rsidR="00E130F9" w:rsidRPr="000A4BF0">
        <w:t xml:space="preserve">hesized relationship between after tax </w:t>
      </w:r>
      <w:r w:rsidR="000A4BF0" w:rsidRPr="000A4BF0">
        <w:t>earnings</w:t>
      </w:r>
      <w:r w:rsidRPr="000A4BF0">
        <w:t xml:space="preserve"> and dividends is</w:t>
      </w:r>
      <w:r w:rsidR="001E12C8" w:rsidRPr="000A4BF0">
        <w:t xml:space="preserve"> </w:t>
      </w:r>
      <w:r w:rsidRPr="000A4BF0">
        <w:t>positive.</w:t>
      </w:r>
    </w:p>
    <w:p w:rsidR="00DB2B64" w:rsidRPr="000A4BF0" w:rsidRDefault="00DB2B64" w:rsidP="000A4BF0">
      <w:pPr>
        <w:autoSpaceDE w:val="0"/>
        <w:autoSpaceDN w:val="0"/>
        <w:adjustRightInd w:val="0"/>
        <w:spacing w:line="480" w:lineRule="auto"/>
        <w:jc w:val="both"/>
        <w:rPr>
          <w:b/>
          <w:bCs/>
        </w:rPr>
      </w:pPr>
    </w:p>
    <w:p w:rsidR="00246009" w:rsidRPr="000A4BF0" w:rsidRDefault="00246009" w:rsidP="000A4BF0">
      <w:pPr>
        <w:autoSpaceDE w:val="0"/>
        <w:autoSpaceDN w:val="0"/>
        <w:adjustRightInd w:val="0"/>
        <w:spacing w:line="480" w:lineRule="auto"/>
        <w:rPr>
          <w:b/>
          <w:bCs/>
        </w:rPr>
      </w:pPr>
      <w:r w:rsidRPr="000A4BF0">
        <w:rPr>
          <w:b/>
          <w:bCs/>
          <w:i/>
          <w:iCs/>
        </w:rPr>
        <w:t>Hypothesis 4</w:t>
      </w:r>
      <w:r w:rsidRPr="000A4BF0">
        <w:rPr>
          <w:b/>
          <w:bCs/>
        </w:rPr>
        <w:t>: Firm growth and investment opportunities</w:t>
      </w:r>
      <w:r w:rsidR="00BC0C5F">
        <w:rPr>
          <w:b/>
          <w:bCs/>
        </w:rPr>
        <w:t xml:space="preserve"> (MB)</w:t>
      </w:r>
      <w:r w:rsidRPr="000A4BF0">
        <w:rPr>
          <w:b/>
          <w:bCs/>
        </w:rPr>
        <w:t xml:space="preserve"> are negatively</w:t>
      </w:r>
      <w:r w:rsidR="00C7583B" w:rsidRPr="000A4BF0">
        <w:rPr>
          <w:b/>
          <w:bCs/>
        </w:rPr>
        <w:t xml:space="preserve"> </w:t>
      </w:r>
      <w:r w:rsidRPr="000A4BF0">
        <w:rPr>
          <w:b/>
          <w:bCs/>
        </w:rPr>
        <w:t>associated with dividend payouts</w:t>
      </w:r>
    </w:p>
    <w:p w:rsidR="00246009" w:rsidRPr="000A4BF0" w:rsidRDefault="00246009" w:rsidP="000A4BF0">
      <w:pPr>
        <w:autoSpaceDE w:val="0"/>
        <w:autoSpaceDN w:val="0"/>
        <w:adjustRightInd w:val="0"/>
        <w:spacing w:line="480" w:lineRule="auto"/>
        <w:jc w:val="both"/>
      </w:pPr>
      <w:r w:rsidRPr="000A4BF0">
        <w:t>Firms with high growth and investm</w:t>
      </w:r>
      <w:r w:rsidR="00A1483C" w:rsidRPr="000A4BF0">
        <w:t xml:space="preserve">ent opportunities will need the </w:t>
      </w:r>
      <w:r w:rsidRPr="000A4BF0">
        <w:t>internally generated funds to finance those investments, and thus tend to pay</w:t>
      </w:r>
      <w:r w:rsidR="00A1483C" w:rsidRPr="000A4BF0">
        <w:t xml:space="preserve"> </w:t>
      </w:r>
      <w:r w:rsidR="008359C6" w:rsidRPr="000A4BF0">
        <w:t xml:space="preserve">little or no dividends. This </w:t>
      </w:r>
      <w:r w:rsidRPr="000A4BF0">
        <w:t>prediction is consistent with the pecking order</w:t>
      </w:r>
      <w:r w:rsidR="00786487" w:rsidRPr="000A4BF0">
        <w:t xml:space="preserve"> </w:t>
      </w:r>
      <w:r w:rsidR="00FF71A3" w:rsidRPr="000A4BF0">
        <w:t>hypothesis proposed</w:t>
      </w:r>
      <w:r w:rsidRPr="000A4BF0">
        <w:t xml:space="preserve"> by Myers and</w:t>
      </w:r>
      <w:r w:rsidR="00A1483C" w:rsidRPr="000A4BF0">
        <w:t xml:space="preserve"> Majluf (1984). Accordingly, it is </w:t>
      </w:r>
      <w:r w:rsidRPr="000A4BF0">
        <w:t>expect</w:t>
      </w:r>
      <w:r w:rsidR="00A1483C" w:rsidRPr="000A4BF0">
        <w:t>ed that</w:t>
      </w:r>
      <w:r w:rsidRPr="000A4BF0">
        <w:t xml:space="preserve"> firm’s growth and investment opportunities, as measured by market-to</w:t>
      </w:r>
      <w:r w:rsidR="004761A2" w:rsidRPr="000A4BF0">
        <w:t xml:space="preserve"> </w:t>
      </w:r>
      <w:r w:rsidRPr="000A4BF0">
        <w:t>book</w:t>
      </w:r>
      <w:r w:rsidR="008F1249" w:rsidRPr="000A4BF0">
        <w:t xml:space="preserve"> </w:t>
      </w:r>
      <w:r w:rsidRPr="000A4BF0">
        <w:t>ratio (MBR), to be negatively relate</w:t>
      </w:r>
      <w:r w:rsidR="008F1249" w:rsidRPr="000A4BF0">
        <w:t>d to dividends payouts (</w:t>
      </w:r>
      <w:r w:rsidRPr="000A4BF0">
        <w:t>Deshmukh, 2003, and Aivazian et al., 2003).</w:t>
      </w:r>
    </w:p>
    <w:p w:rsidR="00345084" w:rsidRPr="000A4BF0" w:rsidRDefault="00345084" w:rsidP="000A4BF0">
      <w:pPr>
        <w:autoSpaceDE w:val="0"/>
        <w:autoSpaceDN w:val="0"/>
        <w:adjustRightInd w:val="0"/>
        <w:spacing w:line="480" w:lineRule="auto"/>
        <w:jc w:val="both"/>
      </w:pPr>
    </w:p>
    <w:p w:rsidR="00DB2B64" w:rsidRPr="000A4BF0" w:rsidRDefault="001D2ECC" w:rsidP="000A4BF0">
      <w:pPr>
        <w:autoSpaceDE w:val="0"/>
        <w:autoSpaceDN w:val="0"/>
        <w:adjustRightInd w:val="0"/>
        <w:spacing w:line="480" w:lineRule="auto"/>
        <w:jc w:val="both"/>
        <w:rPr>
          <w:b/>
        </w:rPr>
      </w:pPr>
      <w:r w:rsidRPr="000A4BF0">
        <w:rPr>
          <w:b/>
          <w:i/>
        </w:rPr>
        <w:t>Hypothesis</w:t>
      </w:r>
      <w:r w:rsidR="00F56CBB" w:rsidRPr="000A4BF0">
        <w:rPr>
          <w:b/>
          <w:i/>
        </w:rPr>
        <w:t xml:space="preserve"> 5</w:t>
      </w:r>
      <w:r w:rsidR="0058201B" w:rsidRPr="000A4BF0">
        <w:rPr>
          <w:b/>
        </w:rPr>
        <w:t xml:space="preserve">: </w:t>
      </w:r>
      <w:r w:rsidR="003956CA" w:rsidRPr="000A4BF0">
        <w:rPr>
          <w:b/>
        </w:rPr>
        <w:t>Tangibility</w:t>
      </w:r>
      <w:r w:rsidR="00F56CBB" w:rsidRPr="000A4BF0">
        <w:rPr>
          <w:b/>
        </w:rPr>
        <w:t xml:space="preserve"> is associated negatively with dividend payout</w:t>
      </w:r>
    </w:p>
    <w:p w:rsidR="001845A8" w:rsidRPr="000A4BF0" w:rsidRDefault="001845A8" w:rsidP="000A4BF0">
      <w:pPr>
        <w:autoSpaceDE w:val="0"/>
        <w:autoSpaceDN w:val="0"/>
        <w:adjustRightInd w:val="0"/>
        <w:spacing w:line="480" w:lineRule="auto"/>
        <w:jc w:val="both"/>
      </w:pPr>
      <w:r w:rsidRPr="000A4BF0">
        <w:t>Asset structure defined as total assets minus current assets divided by totals</w:t>
      </w:r>
      <w:r w:rsidR="00403EBC" w:rsidRPr="000A4BF0">
        <w:t xml:space="preserve"> </w:t>
      </w:r>
      <w:r w:rsidRPr="000A4BF0">
        <w:t xml:space="preserve">assets will be used to capture tangibility </w:t>
      </w:r>
      <w:r w:rsidR="00990C3E" w:rsidRPr="000A4BF0">
        <w:t>.</w:t>
      </w:r>
      <w:r w:rsidRPr="000A4BF0">
        <w:t>Investments in fixed assets for</w:t>
      </w:r>
      <w:r w:rsidR="0026621D" w:rsidRPr="000A4BF0">
        <w:t xml:space="preserve"> </w:t>
      </w:r>
      <w:r w:rsidRPr="000A4BF0">
        <w:t>expansion purpose leave little out of profits to be paid to shareholders as</w:t>
      </w:r>
      <w:r w:rsidR="007D37D1" w:rsidRPr="000A4BF0">
        <w:t xml:space="preserve"> dividends. Therefore it </w:t>
      </w:r>
      <w:r w:rsidR="00FF71A3" w:rsidRPr="000A4BF0">
        <w:t xml:space="preserve">is </w:t>
      </w:r>
      <w:r w:rsidR="00F03464" w:rsidRPr="000A4BF0">
        <w:t>hypothesize to</w:t>
      </w:r>
      <w:r w:rsidR="00990C3E" w:rsidRPr="000A4BF0">
        <w:t xml:space="preserve"> have a negative relationship</w:t>
      </w:r>
      <w:r w:rsidR="007D37D1" w:rsidRPr="000A4BF0">
        <w:t xml:space="preserve"> </w:t>
      </w:r>
      <w:r w:rsidR="00990C3E" w:rsidRPr="000A4BF0">
        <w:t>wi</w:t>
      </w:r>
      <w:r w:rsidR="00214355" w:rsidRPr="000A4BF0">
        <w:t>th dividend policy.</w:t>
      </w:r>
      <w:r w:rsidR="00990C3E" w:rsidRPr="000A4BF0">
        <w:t xml:space="preserve"> Ramcharran (2001) also finds support that</w:t>
      </w:r>
      <w:r w:rsidR="005F6AC5" w:rsidRPr="000A4BF0">
        <w:t xml:space="preserve"> </w:t>
      </w:r>
      <w:r w:rsidR="00990C3E" w:rsidRPr="000A4BF0">
        <w:t>retentions (i.e. lower dividends) are associate</w:t>
      </w:r>
      <w:r w:rsidR="00214355" w:rsidRPr="000A4BF0">
        <w:t>d with greater growth</w:t>
      </w:r>
      <w:r w:rsidR="00990C3E" w:rsidRPr="000A4BF0">
        <w:t>.</w:t>
      </w:r>
    </w:p>
    <w:p w:rsidR="00345084" w:rsidRPr="000A4BF0" w:rsidRDefault="00345084" w:rsidP="000A4BF0">
      <w:pPr>
        <w:autoSpaceDE w:val="0"/>
        <w:autoSpaceDN w:val="0"/>
        <w:adjustRightInd w:val="0"/>
        <w:spacing w:line="480" w:lineRule="auto"/>
        <w:jc w:val="both"/>
      </w:pPr>
    </w:p>
    <w:p w:rsidR="008246D4" w:rsidRPr="000A4BF0" w:rsidRDefault="008246D4" w:rsidP="000A4BF0">
      <w:pPr>
        <w:autoSpaceDE w:val="0"/>
        <w:autoSpaceDN w:val="0"/>
        <w:adjustRightInd w:val="0"/>
        <w:spacing w:line="480" w:lineRule="auto"/>
        <w:jc w:val="both"/>
        <w:rPr>
          <w:b/>
        </w:rPr>
      </w:pPr>
      <w:r w:rsidRPr="000A4BF0">
        <w:rPr>
          <w:b/>
          <w:i/>
        </w:rPr>
        <w:t>Hypothesis</w:t>
      </w:r>
      <w:r w:rsidR="00F56CBB" w:rsidRPr="000A4BF0">
        <w:rPr>
          <w:b/>
          <w:i/>
        </w:rPr>
        <w:t xml:space="preserve"> 6</w:t>
      </w:r>
      <w:r w:rsidR="00445172" w:rsidRPr="000A4BF0">
        <w:rPr>
          <w:b/>
        </w:rPr>
        <w:t>: Liquidity</w:t>
      </w:r>
      <w:r w:rsidR="00BC0C5F">
        <w:rPr>
          <w:b/>
        </w:rPr>
        <w:t xml:space="preserve"> (CR)</w:t>
      </w:r>
      <w:r w:rsidR="00952CFC" w:rsidRPr="000A4BF0">
        <w:rPr>
          <w:b/>
        </w:rPr>
        <w:t xml:space="preserve"> is associated positively</w:t>
      </w:r>
      <w:r w:rsidR="00F56CBB" w:rsidRPr="000A4BF0">
        <w:rPr>
          <w:b/>
        </w:rPr>
        <w:t xml:space="preserve"> with dividend payout</w:t>
      </w:r>
    </w:p>
    <w:p w:rsidR="00DB2B64" w:rsidRDefault="001954F7" w:rsidP="000A4BF0">
      <w:pPr>
        <w:autoSpaceDE w:val="0"/>
        <w:autoSpaceDN w:val="0"/>
        <w:adjustRightInd w:val="0"/>
        <w:spacing w:line="480" w:lineRule="auto"/>
        <w:jc w:val="both"/>
      </w:pPr>
      <w:r w:rsidRPr="000A4BF0">
        <w:t>According to Omran and Pointon (2004)</w:t>
      </w:r>
      <w:r w:rsidR="00383015" w:rsidRPr="000A4BF0">
        <w:t xml:space="preserve"> </w:t>
      </w:r>
      <w:r w:rsidRPr="000A4BF0">
        <w:t>Firms that exhibit less liquidity are</w:t>
      </w:r>
      <w:r w:rsidR="00B91471" w:rsidRPr="000A4BF0">
        <w:t xml:space="preserve"> </w:t>
      </w:r>
      <w:r w:rsidRPr="000A4BF0">
        <w:t>more inclined to reduce dividends</w:t>
      </w:r>
      <w:r w:rsidR="00383015" w:rsidRPr="000A4BF0">
        <w:t>.</w:t>
      </w:r>
      <w:r w:rsidR="0097314E" w:rsidRPr="000A4BF0">
        <w:rPr>
          <w:b/>
        </w:rPr>
        <w:t xml:space="preserve"> </w:t>
      </w:r>
      <w:r w:rsidRPr="000A4BF0">
        <w:t xml:space="preserve">For the purpose of examining the </w:t>
      </w:r>
      <w:r w:rsidR="00B733AD" w:rsidRPr="000A4BF0">
        <w:t>effect</w:t>
      </w:r>
      <w:r w:rsidRPr="000A4BF0">
        <w:t xml:space="preserve"> of liquidity current ratio which is calculated by dividing</w:t>
      </w:r>
      <w:r w:rsidR="0097314E" w:rsidRPr="000A4BF0">
        <w:rPr>
          <w:b/>
        </w:rPr>
        <w:t xml:space="preserve"> </w:t>
      </w:r>
      <w:r w:rsidRPr="000A4BF0">
        <w:t xml:space="preserve">current assets by current liabilities </w:t>
      </w:r>
      <w:r w:rsidR="0097314E" w:rsidRPr="000A4BF0">
        <w:t>is used.</w:t>
      </w:r>
    </w:p>
    <w:p w:rsidR="000616A7" w:rsidRDefault="000616A7" w:rsidP="000E6D77">
      <w:pPr>
        <w:autoSpaceDE w:val="0"/>
        <w:autoSpaceDN w:val="0"/>
        <w:adjustRightInd w:val="0"/>
        <w:spacing w:line="480" w:lineRule="auto"/>
        <w:jc w:val="both"/>
        <w:rPr>
          <w:b/>
          <w:bCs/>
        </w:rPr>
      </w:pPr>
    </w:p>
    <w:p w:rsidR="000616A7" w:rsidRDefault="000616A7" w:rsidP="000E6D77">
      <w:pPr>
        <w:autoSpaceDE w:val="0"/>
        <w:autoSpaceDN w:val="0"/>
        <w:adjustRightInd w:val="0"/>
        <w:spacing w:line="480" w:lineRule="auto"/>
        <w:jc w:val="both"/>
        <w:rPr>
          <w:b/>
          <w:bCs/>
        </w:rPr>
      </w:pPr>
    </w:p>
    <w:p w:rsidR="000616A7" w:rsidRDefault="000616A7" w:rsidP="000E6D77">
      <w:pPr>
        <w:autoSpaceDE w:val="0"/>
        <w:autoSpaceDN w:val="0"/>
        <w:adjustRightInd w:val="0"/>
        <w:spacing w:line="480" w:lineRule="auto"/>
        <w:jc w:val="both"/>
        <w:rPr>
          <w:b/>
          <w:bCs/>
        </w:rPr>
      </w:pPr>
    </w:p>
    <w:p w:rsidR="000E6D77" w:rsidRPr="000A4BF0" w:rsidRDefault="000E6D77" w:rsidP="000E6D77">
      <w:pPr>
        <w:autoSpaceDE w:val="0"/>
        <w:autoSpaceDN w:val="0"/>
        <w:adjustRightInd w:val="0"/>
        <w:spacing w:line="480" w:lineRule="auto"/>
        <w:jc w:val="both"/>
        <w:rPr>
          <w:b/>
          <w:bCs/>
        </w:rPr>
      </w:pPr>
      <w:r w:rsidRPr="000A4BF0">
        <w:rPr>
          <w:b/>
          <w:bCs/>
        </w:rPr>
        <w:t>Hypothesis 7: Firms follow a stable dividend policy</w:t>
      </w:r>
    </w:p>
    <w:p w:rsidR="000E6D77" w:rsidRPr="000A4BF0" w:rsidRDefault="000E6D77" w:rsidP="000E6D77">
      <w:pPr>
        <w:autoSpaceDE w:val="0"/>
        <w:autoSpaceDN w:val="0"/>
        <w:adjustRightInd w:val="0"/>
        <w:spacing w:line="480" w:lineRule="auto"/>
        <w:jc w:val="both"/>
      </w:pPr>
      <w:r w:rsidRPr="000A4BF0">
        <w:t>Lintner</w:t>
      </w:r>
      <w:r>
        <w:t xml:space="preserve"> (1956)</w:t>
      </w:r>
      <w:r w:rsidRPr="000A4BF0">
        <w:t xml:space="preserve"> model relates dividend to lagged dividends and net earnings. The rational for this model is that dividends depend directly on current net earning but also constrained by past dividends, because of reluctance to cut dividends or to raise them to higher levels which may not be maintained. </w:t>
      </w:r>
    </w:p>
    <w:p w:rsidR="00B733AD" w:rsidRPr="000A4BF0" w:rsidRDefault="00B733AD" w:rsidP="000A4BF0">
      <w:pPr>
        <w:autoSpaceDE w:val="0"/>
        <w:autoSpaceDN w:val="0"/>
        <w:adjustRightInd w:val="0"/>
        <w:spacing w:line="480" w:lineRule="auto"/>
        <w:jc w:val="both"/>
      </w:pPr>
    </w:p>
    <w:p w:rsidR="00B733AD" w:rsidRPr="000A4BF0" w:rsidRDefault="000616A7" w:rsidP="00B733AD">
      <w:pPr>
        <w:autoSpaceDE w:val="0"/>
        <w:autoSpaceDN w:val="0"/>
        <w:adjustRightInd w:val="0"/>
        <w:spacing w:line="480" w:lineRule="auto"/>
        <w:jc w:val="both"/>
        <w:rPr>
          <w:b/>
          <w:bCs/>
        </w:rPr>
      </w:pPr>
      <w:r>
        <w:rPr>
          <w:b/>
          <w:bCs/>
        </w:rPr>
        <w:t>4</w:t>
      </w:r>
      <w:r w:rsidR="00B733AD" w:rsidRPr="000A4BF0">
        <w:rPr>
          <w:b/>
          <w:bCs/>
        </w:rPr>
        <w:t>. Data and Methodology</w:t>
      </w:r>
    </w:p>
    <w:p w:rsidR="00345084" w:rsidRPr="000A4BF0" w:rsidRDefault="00B733AD" w:rsidP="00B733AD">
      <w:pPr>
        <w:autoSpaceDE w:val="0"/>
        <w:autoSpaceDN w:val="0"/>
        <w:adjustRightInd w:val="0"/>
        <w:spacing w:line="480" w:lineRule="auto"/>
        <w:jc w:val="both"/>
        <w:rPr>
          <w:b/>
          <w:bCs/>
        </w:rPr>
      </w:pPr>
      <w:r w:rsidRPr="000A4BF0">
        <w:t xml:space="preserve">For the study KSE </w:t>
      </w:r>
      <w:r>
        <w:t xml:space="preserve">100 index </w:t>
      </w:r>
      <w:r w:rsidRPr="000A4BF0">
        <w:t xml:space="preserve">listed </w:t>
      </w:r>
      <w:r>
        <w:t>companies</w:t>
      </w:r>
      <w:r w:rsidRPr="000A4BF0">
        <w:t xml:space="preserve"> were selected</w:t>
      </w:r>
      <w:r>
        <w:t xml:space="preserve"> and t</w:t>
      </w:r>
      <w:r w:rsidRPr="000A4BF0">
        <w:t xml:space="preserve">he data </w:t>
      </w:r>
      <w:r>
        <w:t>covers the time period from 20010</w:t>
      </w:r>
      <w:r w:rsidRPr="000A4BF0">
        <w:t xml:space="preserve"> to 20</w:t>
      </w:r>
      <w:r>
        <w:t>14</w:t>
      </w:r>
      <w:r w:rsidRPr="000A4BF0">
        <w:t>.</w:t>
      </w:r>
    </w:p>
    <w:p w:rsidR="009E03D8" w:rsidRPr="000A4BF0" w:rsidRDefault="003C7D3A" w:rsidP="000A4BF0">
      <w:pPr>
        <w:autoSpaceDE w:val="0"/>
        <w:autoSpaceDN w:val="0"/>
        <w:adjustRightInd w:val="0"/>
        <w:spacing w:line="480" w:lineRule="auto"/>
        <w:jc w:val="both"/>
        <w:rPr>
          <w:b/>
          <w:bCs/>
        </w:rPr>
      </w:pPr>
      <w:r w:rsidRPr="000A4BF0">
        <w:rPr>
          <w:b/>
          <w:bCs/>
        </w:rPr>
        <w:t>Model</w:t>
      </w:r>
      <w:r w:rsidR="00445172" w:rsidRPr="000A4BF0">
        <w:rPr>
          <w:b/>
          <w:bCs/>
        </w:rPr>
        <w:t>: 1</w:t>
      </w:r>
    </w:p>
    <w:p w:rsidR="009E03D8" w:rsidRPr="000A4BF0" w:rsidRDefault="0061091D" w:rsidP="000A4BF0">
      <w:pPr>
        <w:autoSpaceDE w:val="0"/>
        <w:autoSpaceDN w:val="0"/>
        <w:adjustRightInd w:val="0"/>
        <w:spacing w:line="480" w:lineRule="auto"/>
      </w:pPr>
      <w:r w:rsidRPr="000A4BF0">
        <w:t>S</w:t>
      </w:r>
      <w:r w:rsidR="007D294D" w:rsidRPr="000A4BF0">
        <w:t xml:space="preserve">ample consists of N cross sectional units </w:t>
      </w:r>
      <w:r w:rsidR="009E03D8" w:rsidRPr="000A4BF0">
        <w:t>from</w:t>
      </w:r>
      <w:r w:rsidR="007D294D" w:rsidRPr="000A4BF0">
        <w:t xml:space="preserve"> the time period</w:t>
      </w:r>
      <w:r w:rsidR="007B2E9E" w:rsidRPr="000A4BF0">
        <w:t xml:space="preserve"> 20</w:t>
      </w:r>
      <w:r w:rsidR="00B733AD">
        <w:t>10</w:t>
      </w:r>
      <w:r w:rsidR="007B2E9E" w:rsidRPr="000A4BF0">
        <w:t xml:space="preserve"> to 20</w:t>
      </w:r>
      <w:r w:rsidR="00B733AD">
        <w:t>14</w:t>
      </w:r>
      <w:r w:rsidR="00560E15" w:rsidRPr="000A4BF0">
        <w:t xml:space="preserve"> </w:t>
      </w:r>
    </w:p>
    <w:p w:rsidR="000E6D77" w:rsidRDefault="000E6D77" w:rsidP="000A4BF0">
      <w:pPr>
        <w:autoSpaceDE w:val="0"/>
        <w:autoSpaceDN w:val="0"/>
        <w:adjustRightInd w:val="0"/>
        <w:spacing w:line="480" w:lineRule="auto"/>
        <w:jc w:val="both"/>
      </w:pPr>
    </w:p>
    <w:p w:rsidR="009E03D8" w:rsidRPr="000A4BF0" w:rsidRDefault="003B7CC7" w:rsidP="000A4BF0">
      <w:pPr>
        <w:autoSpaceDE w:val="0"/>
        <w:autoSpaceDN w:val="0"/>
        <w:adjustRightInd w:val="0"/>
        <w:spacing w:line="480" w:lineRule="auto"/>
        <w:jc w:val="both"/>
      </w:pPr>
      <w:r w:rsidRPr="000A4BF0">
        <w:t>Dividend Payout Ratio</w:t>
      </w:r>
      <w:r w:rsidR="007A23DA" w:rsidRPr="000A4BF0">
        <w:t xml:space="preserve"> = ƒ (CR, DR, LOS</w:t>
      </w:r>
      <w:r w:rsidR="00560E15" w:rsidRPr="000A4BF0">
        <w:t>, ROA, MB</w:t>
      </w:r>
      <w:r w:rsidR="00F03464" w:rsidRPr="000A4BF0">
        <w:t xml:space="preserve">, </w:t>
      </w:r>
      <w:r w:rsidR="00AC7053" w:rsidRPr="000A4BF0">
        <w:t>Tangibility</w:t>
      </w:r>
      <w:r w:rsidR="009F029F" w:rsidRPr="000A4BF0">
        <w:t>)</w:t>
      </w:r>
    </w:p>
    <w:p w:rsidR="004E1FB8" w:rsidRPr="000A4BF0" w:rsidRDefault="004E1FB8" w:rsidP="000A4BF0">
      <w:pPr>
        <w:autoSpaceDE w:val="0"/>
        <w:autoSpaceDN w:val="0"/>
        <w:adjustRightInd w:val="0"/>
        <w:spacing w:line="480" w:lineRule="auto"/>
        <w:jc w:val="both"/>
        <w:rPr>
          <w:b/>
          <w:bCs/>
        </w:rPr>
      </w:pPr>
      <w:r w:rsidRPr="000A4BF0">
        <w:t>D</w:t>
      </w:r>
      <w:r w:rsidR="00DA2893" w:rsidRPr="000A4BF0">
        <w:t>PO</w:t>
      </w:r>
      <w:r w:rsidRPr="000A4BF0">
        <w:t xml:space="preserve">it = β0+ β1 </w:t>
      </w:r>
      <w:r w:rsidR="00D85F96" w:rsidRPr="000A4BF0">
        <w:t>CR</w:t>
      </w:r>
      <w:r w:rsidRPr="000A4BF0">
        <w:t>it-1 + β2</w:t>
      </w:r>
      <w:r w:rsidR="00757C86" w:rsidRPr="000A4BF0">
        <w:t>DR</w:t>
      </w:r>
      <w:r w:rsidRPr="000A4BF0">
        <w:t>it +β3</w:t>
      </w:r>
      <w:r w:rsidR="00B63512" w:rsidRPr="000A4BF0">
        <w:t>LOS</w:t>
      </w:r>
      <w:r w:rsidRPr="000A4BF0">
        <w:t>it+β4</w:t>
      </w:r>
      <w:r w:rsidR="00E11337" w:rsidRPr="000A4BF0">
        <w:t>ROA</w:t>
      </w:r>
      <w:r w:rsidRPr="000A4BF0">
        <w:t>it+β5</w:t>
      </w:r>
      <w:r w:rsidR="0054695A" w:rsidRPr="000A4BF0">
        <w:t>MB</w:t>
      </w:r>
      <w:r w:rsidRPr="000A4BF0">
        <w:t>it +</w:t>
      </w:r>
      <w:r w:rsidR="0054695A" w:rsidRPr="000A4BF0">
        <w:t>β6</w:t>
      </w:r>
      <w:r w:rsidR="00D56F16" w:rsidRPr="000A4BF0">
        <w:t xml:space="preserve"> (</w:t>
      </w:r>
      <w:r w:rsidR="00F03464" w:rsidRPr="000A4BF0">
        <w:t>Tangibility</w:t>
      </w:r>
      <w:r w:rsidR="0054695A" w:rsidRPr="000A4BF0">
        <w:t xml:space="preserve">) </w:t>
      </w:r>
      <w:r w:rsidR="002A4838" w:rsidRPr="000A4BF0">
        <w:t>+</w:t>
      </w:r>
      <w:r w:rsidRPr="000A4BF0">
        <w:t>εit</w:t>
      </w:r>
    </w:p>
    <w:p w:rsidR="00345084" w:rsidRPr="000A4BF0" w:rsidRDefault="00345084" w:rsidP="000A4BF0">
      <w:pPr>
        <w:autoSpaceDE w:val="0"/>
        <w:autoSpaceDN w:val="0"/>
        <w:adjustRightInd w:val="0"/>
        <w:spacing w:line="480" w:lineRule="auto"/>
        <w:jc w:val="both"/>
        <w:rPr>
          <w:b/>
          <w:bCs/>
        </w:rPr>
      </w:pPr>
    </w:p>
    <w:p w:rsidR="00447FE5" w:rsidRPr="000A4BF0" w:rsidRDefault="000E6D77" w:rsidP="000A4BF0">
      <w:pPr>
        <w:autoSpaceDE w:val="0"/>
        <w:autoSpaceDN w:val="0"/>
        <w:adjustRightInd w:val="0"/>
        <w:spacing w:line="480" w:lineRule="auto"/>
        <w:jc w:val="both"/>
      </w:pPr>
      <w:r>
        <w:t xml:space="preserve">In order to check hypothesis 7 this study follows the model used by </w:t>
      </w:r>
      <w:r w:rsidR="00BA5361" w:rsidRPr="000A4BF0">
        <w:t>K</w:t>
      </w:r>
      <w:r w:rsidR="002223F6" w:rsidRPr="000A4BF0">
        <w:t>ouki and Imen (2005)</w:t>
      </w:r>
      <w:r>
        <w:t xml:space="preserve"> which is given below as a model 2</w:t>
      </w:r>
      <w:r w:rsidR="00FE40CD" w:rsidRPr="000A4BF0">
        <w:t>.</w:t>
      </w:r>
    </w:p>
    <w:p w:rsidR="00447FE5" w:rsidRPr="000A4BF0" w:rsidRDefault="000E6D77" w:rsidP="000A4BF0">
      <w:pPr>
        <w:autoSpaceDE w:val="0"/>
        <w:autoSpaceDN w:val="0"/>
        <w:adjustRightInd w:val="0"/>
        <w:spacing w:line="480" w:lineRule="auto"/>
        <w:rPr>
          <w:b/>
        </w:rPr>
      </w:pPr>
      <w:r w:rsidRPr="000A4BF0">
        <w:rPr>
          <w:b/>
        </w:rPr>
        <w:t>Model: 2</w:t>
      </w:r>
    </w:p>
    <w:p w:rsidR="00850B53" w:rsidRDefault="00850B53" w:rsidP="00850B53">
      <w:pPr>
        <w:autoSpaceDE w:val="0"/>
        <w:autoSpaceDN w:val="0"/>
        <w:adjustRightInd w:val="0"/>
        <w:spacing w:line="360" w:lineRule="auto"/>
        <w:rPr>
          <w:i/>
          <w:iCs/>
          <w:sz w:val="14"/>
          <w:szCs w:val="14"/>
        </w:rPr>
      </w:pPr>
      <w:r>
        <w:rPr>
          <w:i/>
          <w:iCs/>
        </w:rPr>
        <w:t>DPO</w:t>
      </w:r>
      <w:r w:rsidRPr="00C5450A">
        <w:rPr>
          <w:i/>
          <w:iCs/>
          <w:sz w:val="14"/>
          <w:szCs w:val="14"/>
        </w:rPr>
        <w:t xml:space="preserve"> </w:t>
      </w:r>
      <w:r>
        <w:rPr>
          <w:i/>
          <w:iCs/>
          <w:sz w:val="14"/>
          <w:szCs w:val="14"/>
        </w:rPr>
        <w:t>t</w:t>
      </w:r>
      <w:r>
        <w:rPr>
          <w:i/>
          <w:iCs/>
        </w:rPr>
        <w:t xml:space="preserve"> </w:t>
      </w:r>
      <w:r>
        <w:rPr>
          <w:rFonts w:ascii="Symbol" w:hAnsi="Symbol" w:cs="Symbol"/>
        </w:rPr>
        <w:t></w:t>
      </w:r>
      <w:r>
        <w:rPr>
          <w:rFonts w:ascii="Symbol" w:hAnsi="Symbol" w:cs="Symbol"/>
        </w:rPr>
        <w:t></w:t>
      </w:r>
      <w:r>
        <w:rPr>
          <w:i/>
          <w:iCs/>
        </w:rPr>
        <w:t xml:space="preserve">a </w:t>
      </w:r>
      <w:r>
        <w:rPr>
          <w:rFonts w:ascii="Symbol" w:hAnsi="Symbol" w:cs="Symbol"/>
        </w:rPr>
        <w:t></w:t>
      </w:r>
      <w:r>
        <w:rPr>
          <w:rFonts w:ascii="Symbol" w:hAnsi="Symbol" w:cs="Symbol"/>
        </w:rPr>
        <w:t></w:t>
      </w:r>
      <w:r>
        <w:rPr>
          <w:i/>
          <w:iCs/>
        </w:rPr>
        <w:t>b DPO</w:t>
      </w:r>
      <w:r w:rsidRPr="00C5450A">
        <w:rPr>
          <w:i/>
          <w:iCs/>
          <w:sz w:val="14"/>
          <w:szCs w:val="14"/>
        </w:rPr>
        <w:t xml:space="preserve"> </w:t>
      </w:r>
      <w:r>
        <w:rPr>
          <w:i/>
          <w:iCs/>
          <w:sz w:val="14"/>
          <w:szCs w:val="14"/>
        </w:rPr>
        <w:t>t-1</w:t>
      </w:r>
      <w:r>
        <w:rPr>
          <w:i/>
          <w:iCs/>
        </w:rPr>
        <w:t xml:space="preserve"> </w:t>
      </w:r>
      <w:r>
        <w:rPr>
          <w:rFonts w:ascii="Symbol" w:hAnsi="Symbol" w:cs="Symbol"/>
        </w:rPr>
        <w:t></w:t>
      </w:r>
      <w:r>
        <w:rPr>
          <w:rFonts w:ascii="Symbol" w:hAnsi="Symbol" w:cs="Symbol"/>
        </w:rPr>
        <w:t></w:t>
      </w:r>
      <w:r>
        <w:rPr>
          <w:i/>
          <w:iCs/>
        </w:rPr>
        <w:t>b EPS</w:t>
      </w:r>
      <w:r w:rsidRPr="00546B0F">
        <w:rPr>
          <w:i/>
          <w:iCs/>
          <w:sz w:val="14"/>
          <w:szCs w:val="14"/>
        </w:rPr>
        <w:t xml:space="preserve"> </w:t>
      </w:r>
      <w:r>
        <w:rPr>
          <w:i/>
          <w:iCs/>
          <w:sz w:val="14"/>
          <w:szCs w:val="14"/>
        </w:rPr>
        <w:t>t</w:t>
      </w:r>
      <w:r>
        <w:rPr>
          <w:i/>
          <w:iCs/>
        </w:rPr>
        <w:t xml:space="preserve"> </w:t>
      </w:r>
      <w:r>
        <w:rPr>
          <w:rFonts w:ascii="Symbol" w:hAnsi="Symbol" w:cs="Symbol"/>
        </w:rPr>
        <w:t></w:t>
      </w:r>
      <w:r>
        <w:rPr>
          <w:rFonts w:ascii="Symbol" w:hAnsi="Symbol" w:cs="Symbol"/>
        </w:rPr>
        <w:t></w:t>
      </w:r>
      <w:r>
        <w:rPr>
          <w:i/>
          <w:iCs/>
        </w:rPr>
        <w:t>u</w:t>
      </w:r>
      <w:r w:rsidRPr="00546B0F">
        <w:rPr>
          <w:i/>
          <w:iCs/>
          <w:sz w:val="14"/>
          <w:szCs w:val="14"/>
        </w:rPr>
        <w:t xml:space="preserve"> </w:t>
      </w:r>
      <w:r>
        <w:rPr>
          <w:i/>
          <w:iCs/>
          <w:sz w:val="14"/>
          <w:szCs w:val="14"/>
        </w:rPr>
        <w:t>t</w:t>
      </w:r>
    </w:p>
    <w:p w:rsidR="00DB2B64" w:rsidRPr="000A4BF0" w:rsidRDefault="00A2218D" w:rsidP="000A4BF0">
      <w:pPr>
        <w:autoSpaceDE w:val="0"/>
        <w:autoSpaceDN w:val="0"/>
        <w:adjustRightInd w:val="0"/>
        <w:spacing w:line="480" w:lineRule="auto"/>
        <w:jc w:val="both"/>
      </w:pPr>
      <w:r w:rsidRPr="000A4BF0">
        <w:t xml:space="preserve">For the purpose of estimating effect </w:t>
      </w:r>
      <w:r w:rsidR="00334575" w:rsidRPr="000A4BF0">
        <w:t>of independent</w:t>
      </w:r>
      <w:r w:rsidRPr="000A4BF0">
        <w:t xml:space="preserve"> variables over the firm’s</w:t>
      </w:r>
      <w:r w:rsidR="00DC01E3" w:rsidRPr="000A4BF0">
        <w:t xml:space="preserve"> </w:t>
      </w:r>
      <w:r w:rsidRPr="000A4BF0">
        <w:t xml:space="preserve">dividend </w:t>
      </w:r>
      <w:r w:rsidR="00B02013" w:rsidRPr="000A4BF0">
        <w:t xml:space="preserve">policy </w:t>
      </w:r>
      <w:r w:rsidR="00B42AB3" w:rsidRPr="000A4BF0">
        <w:t xml:space="preserve">multiple </w:t>
      </w:r>
      <w:r w:rsidR="00B02013" w:rsidRPr="000A4BF0">
        <w:t>regression</w:t>
      </w:r>
      <w:r w:rsidR="003E7BE5" w:rsidRPr="000A4BF0">
        <w:t xml:space="preserve"> model is use. </w:t>
      </w:r>
      <w:r w:rsidR="004B496B" w:rsidRPr="000A4BF0">
        <w:t xml:space="preserve">It is </w:t>
      </w:r>
      <w:r w:rsidRPr="000A4BF0">
        <w:t>opted to</w:t>
      </w:r>
      <w:r w:rsidR="004B496B" w:rsidRPr="000A4BF0">
        <w:t xml:space="preserve"> </w:t>
      </w:r>
      <w:r w:rsidRPr="000A4BF0">
        <w:t>use the Ordinary Least Squares method (OLS</w:t>
      </w:r>
      <w:r w:rsidR="00334575" w:rsidRPr="000A4BF0">
        <w:t>).</w:t>
      </w:r>
    </w:p>
    <w:p w:rsidR="000E6D77" w:rsidRDefault="000E6D77" w:rsidP="000A4BF0">
      <w:pPr>
        <w:autoSpaceDE w:val="0"/>
        <w:autoSpaceDN w:val="0"/>
        <w:adjustRightInd w:val="0"/>
        <w:spacing w:line="480" w:lineRule="auto"/>
        <w:jc w:val="both"/>
        <w:rPr>
          <w:b/>
          <w:bCs/>
        </w:rPr>
      </w:pPr>
    </w:p>
    <w:p w:rsidR="000E6D77" w:rsidRDefault="000E6D77" w:rsidP="000A4BF0">
      <w:pPr>
        <w:autoSpaceDE w:val="0"/>
        <w:autoSpaceDN w:val="0"/>
        <w:adjustRightInd w:val="0"/>
        <w:spacing w:line="480" w:lineRule="auto"/>
        <w:jc w:val="both"/>
        <w:rPr>
          <w:b/>
          <w:bCs/>
        </w:rPr>
      </w:pPr>
    </w:p>
    <w:p w:rsidR="00DB2B64" w:rsidRPr="000A4BF0" w:rsidRDefault="000616A7" w:rsidP="006940C8">
      <w:pPr>
        <w:autoSpaceDE w:val="0"/>
        <w:autoSpaceDN w:val="0"/>
        <w:adjustRightInd w:val="0"/>
        <w:spacing w:line="480" w:lineRule="auto"/>
        <w:jc w:val="both"/>
        <w:rPr>
          <w:b/>
          <w:bCs/>
        </w:rPr>
      </w:pPr>
      <w:r>
        <w:rPr>
          <w:b/>
          <w:bCs/>
        </w:rPr>
        <w:t>5</w:t>
      </w:r>
      <w:r w:rsidR="00175633" w:rsidRPr="000A4BF0">
        <w:rPr>
          <w:b/>
          <w:bCs/>
        </w:rPr>
        <w:t xml:space="preserve">. </w:t>
      </w:r>
      <w:r w:rsidR="00D723B3">
        <w:rPr>
          <w:b/>
          <w:bCs/>
        </w:rPr>
        <w:t>Results</w:t>
      </w:r>
      <w:r w:rsidR="00230000" w:rsidRPr="000A4BF0">
        <w:rPr>
          <w:b/>
          <w:bCs/>
        </w:rPr>
        <w:t xml:space="preserve"> and Discussion</w:t>
      </w:r>
    </w:p>
    <w:p w:rsidR="00D41A9D" w:rsidRPr="000A4BF0" w:rsidRDefault="005F2564" w:rsidP="006940C8">
      <w:pPr>
        <w:autoSpaceDE w:val="0"/>
        <w:autoSpaceDN w:val="0"/>
        <w:adjustRightInd w:val="0"/>
        <w:spacing w:line="480" w:lineRule="auto"/>
        <w:jc w:val="both"/>
      </w:pPr>
      <w:r w:rsidRPr="000A4BF0">
        <w:t>Table 1</w:t>
      </w:r>
      <w:r w:rsidR="00D41A9D" w:rsidRPr="000A4BF0">
        <w:t xml:space="preserve"> shows the average and standard deviation of the different variables in</w:t>
      </w:r>
      <w:r w:rsidR="00C80C0F" w:rsidRPr="000A4BF0">
        <w:t xml:space="preserve"> </w:t>
      </w:r>
      <w:r w:rsidR="00D41A9D" w:rsidRPr="000A4BF0">
        <w:t>the study. It also presents the minimum and maximum values of the variables.</w:t>
      </w:r>
      <w:r w:rsidR="008359C6" w:rsidRPr="000A4BF0">
        <w:t xml:space="preserve"> The descriptive </w:t>
      </w:r>
      <w:r w:rsidR="00DC01E3" w:rsidRPr="000A4BF0">
        <w:t>statistics shows</w:t>
      </w:r>
      <w:r w:rsidR="00D41A9D" w:rsidRPr="000A4BF0">
        <w:t xml:space="preserve"> that </w:t>
      </w:r>
      <w:r w:rsidR="00B20318" w:rsidRPr="000A4BF0">
        <w:t xml:space="preserve">the </w:t>
      </w:r>
      <w:r w:rsidR="00617600">
        <w:t xml:space="preserve">sample </w:t>
      </w:r>
      <w:r w:rsidR="00B20318" w:rsidRPr="000A4BF0">
        <w:t>firms pay an average of 0.31</w:t>
      </w:r>
      <w:r w:rsidR="00756972" w:rsidRPr="000A4BF0">
        <w:t xml:space="preserve"> </w:t>
      </w:r>
      <w:r w:rsidR="00C80C0F" w:rsidRPr="000A4BF0">
        <w:t>or 31%</w:t>
      </w:r>
      <w:r w:rsidR="00B20318" w:rsidRPr="000A4BF0">
        <w:t xml:space="preserve"> of their earnings</w:t>
      </w:r>
      <w:r w:rsidR="00D41A9D" w:rsidRPr="000A4BF0">
        <w:t xml:space="preserve"> as dividends. </w:t>
      </w:r>
    </w:p>
    <w:p w:rsidR="00CB058E" w:rsidRPr="000A4BF0" w:rsidRDefault="00345084" w:rsidP="006940C8">
      <w:pPr>
        <w:spacing w:line="480" w:lineRule="auto"/>
        <w:rPr>
          <w:b/>
        </w:rPr>
      </w:pPr>
      <w:r w:rsidRPr="000A4BF0">
        <w:rPr>
          <w:b/>
        </w:rPr>
        <w:t>Table 1</w:t>
      </w:r>
      <w:r w:rsidR="00617600">
        <w:rPr>
          <w:b/>
        </w:rPr>
        <w:t>:</w:t>
      </w:r>
      <w:r w:rsidRPr="000A4BF0">
        <w:rPr>
          <w:b/>
        </w:rPr>
        <w:t xml:space="preserve"> </w:t>
      </w:r>
      <w:r w:rsidR="00CB058E" w:rsidRPr="000A4BF0">
        <w:rPr>
          <w:b/>
        </w:rPr>
        <w:t>Descriptive statistic</w:t>
      </w:r>
    </w:p>
    <w:tbl>
      <w:tblPr>
        <w:tblW w:w="8928" w:type="dxa"/>
        <w:tblLook w:val="01E0" w:firstRow="1" w:lastRow="1" w:firstColumn="1" w:lastColumn="1" w:noHBand="0" w:noVBand="0"/>
      </w:tblPr>
      <w:tblGrid>
        <w:gridCol w:w="1272"/>
        <w:gridCol w:w="1083"/>
        <w:gridCol w:w="1049"/>
        <w:gridCol w:w="1078"/>
        <w:gridCol w:w="1052"/>
        <w:gridCol w:w="1086"/>
        <w:gridCol w:w="1161"/>
        <w:gridCol w:w="1147"/>
      </w:tblGrid>
      <w:tr w:rsidR="00CB058E" w:rsidRPr="000A4BF0" w:rsidTr="00345084">
        <w:tc>
          <w:tcPr>
            <w:tcW w:w="1283" w:type="dxa"/>
            <w:tcBorders>
              <w:top w:val="single" w:sz="4" w:space="0" w:color="auto"/>
              <w:bottom w:val="single" w:sz="4" w:space="0" w:color="auto"/>
            </w:tcBorders>
          </w:tcPr>
          <w:p w:rsidR="00CB058E" w:rsidRPr="000A4BF0" w:rsidRDefault="00CB058E" w:rsidP="006940C8">
            <w:pPr>
              <w:spacing w:line="480" w:lineRule="auto"/>
              <w:rPr>
                <w:b/>
                <w:sz w:val="20"/>
                <w:szCs w:val="20"/>
              </w:rPr>
            </w:pPr>
          </w:p>
        </w:tc>
        <w:tc>
          <w:tcPr>
            <w:tcW w:w="1109" w:type="dxa"/>
            <w:tcBorders>
              <w:top w:val="single" w:sz="4" w:space="0" w:color="auto"/>
              <w:bottom w:val="single" w:sz="4" w:space="0" w:color="auto"/>
            </w:tcBorders>
          </w:tcPr>
          <w:p w:rsidR="00CB058E" w:rsidRPr="000A4BF0" w:rsidRDefault="00CB058E" w:rsidP="006940C8">
            <w:pPr>
              <w:spacing w:line="480" w:lineRule="auto"/>
              <w:rPr>
                <w:b/>
                <w:sz w:val="20"/>
                <w:szCs w:val="20"/>
              </w:rPr>
            </w:pPr>
            <w:r w:rsidRPr="000A4BF0">
              <w:rPr>
                <w:b/>
                <w:sz w:val="20"/>
                <w:szCs w:val="20"/>
              </w:rPr>
              <w:t>CR</w:t>
            </w:r>
          </w:p>
        </w:tc>
        <w:tc>
          <w:tcPr>
            <w:tcW w:w="1067" w:type="dxa"/>
            <w:tcBorders>
              <w:top w:val="single" w:sz="4" w:space="0" w:color="auto"/>
              <w:bottom w:val="single" w:sz="4" w:space="0" w:color="auto"/>
            </w:tcBorders>
          </w:tcPr>
          <w:p w:rsidR="00CB058E" w:rsidRPr="000A4BF0" w:rsidRDefault="00CB058E" w:rsidP="006940C8">
            <w:pPr>
              <w:spacing w:line="480" w:lineRule="auto"/>
              <w:rPr>
                <w:b/>
                <w:sz w:val="20"/>
                <w:szCs w:val="20"/>
              </w:rPr>
            </w:pPr>
            <w:r w:rsidRPr="000A4BF0">
              <w:rPr>
                <w:b/>
                <w:sz w:val="20"/>
                <w:szCs w:val="20"/>
              </w:rPr>
              <w:t>DR</w:t>
            </w:r>
          </w:p>
        </w:tc>
        <w:tc>
          <w:tcPr>
            <w:tcW w:w="1098" w:type="dxa"/>
            <w:tcBorders>
              <w:top w:val="single" w:sz="4" w:space="0" w:color="auto"/>
              <w:bottom w:val="single" w:sz="4" w:space="0" w:color="auto"/>
            </w:tcBorders>
          </w:tcPr>
          <w:p w:rsidR="00CB058E" w:rsidRPr="000A4BF0" w:rsidRDefault="00CB058E" w:rsidP="006940C8">
            <w:pPr>
              <w:spacing w:line="480" w:lineRule="auto"/>
              <w:rPr>
                <w:b/>
                <w:sz w:val="20"/>
                <w:szCs w:val="20"/>
              </w:rPr>
            </w:pPr>
            <w:r w:rsidRPr="000A4BF0">
              <w:rPr>
                <w:b/>
                <w:sz w:val="20"/>
                <w:szCs w:val="20"/>
              </w:rPr>
              <w:t>LGS</w:t>
            </w:r>
          </w:p>
        </w:tc>
        <w:tc>
          <w:tcPr>
            <w:tcW w:w="1070" w:type="dxa"/>
            <w:tcBorders>
              <w:top w:val="single" w:sz="4" w:space="0" w:color="auto"/>
              <w:bottom w:val="single" w:sz="4" w:space="0" w:color="auto"/>
            </w:tcBorders>
          </w:tcPr>
          <w:p w:rsidR="00CB058E" w:rsidRPr="000A4BF0" w:rsidRDefault="00CB058E" w:rsidP="006940C8">
            <w:pPr>
              <w:spacing w:line="480" w:lineRule="auto"/>
              <w:rPr>
                <w:b/>
                <w:sz w:val="20"/>
                <w:szCs w:val="20"/>
              </w:rPr>
            </w:pPr>
            <w:r w:rsidRPr="000A4BF0">
              <w:rPr>
                <w:b/>
                <w:sz w:val="20"/>
                <w:szCs w:val="20"/>
              </w:rPr>
              <w:t>MB</w:t>
            </w:r>
          </w:p>
        </w:tc>
        <w:tc>
          <w:tcPr>
            <w:tcW w:w="1106" w:type="dxa"/>
            <w:tcBorders>
              <w:top w:val="single" w:sz="4" w:space="0" w:color="auto"/>
              <w:bottom w:val="single" w:sz="4" w:space="0" w:color="auto"/>
            </w:tcBorders>
          </w:tcPr>
          <w:p w:rsidR="00CB058E" w:rsidRPr="000A4BF0" w:rsidRDefault="00CB058E" w:rsidP="006940C8">
            <w:pPr>
              <w:spacing w:line="480" w:lineRule="auto"/>
              <w:rPr>
                <w:b/>
                <w:sz w:val="20"/>
                <w:szCs w:val="20"/>
              </w:rPr>
            </w:pPr>
            <w:r w:rsidRPr="000A4BF0">
              <w:rPr>
                <w:b/>
                <w:sz w:val="20"/>
                <w:szCs w:val="20"/>
              </w:rPr>
              <w:t>ROA</w:t>
            </w:r>
          </w:p>
        </w:tc>
        <w:tc>
          <w:tcPr>
            <w:tcW w:w="1018" w:type="dxa"/>
            <w:tcBorders>
              <w:top w:val="single" w:sz="4" w:space="0" w:color="auto"/>
              <w:bottom w:val="single" w:sz="4" w:space="0" w:color="auto"/>
            </w:tcBorders>
          </w:tcPr>
          <w:p w:rsidR="00CB058E" w:rsidRPr="000A4BF0" w:rsidRDefault="00506146" w:rsidP="006940C8">
            <w:pPr>
              <w:spacing w:line="480" w:lineRule="auto"/>
              <w:rPr>
                <w:b/>
                <w:sz w:val="20"/>
                <w:szCs w:val="20"/>
              </w:rPr>
            </w:pPr>
            <w:r w:rsidRPr="000A4BF0">
              <w:rPr>
                <w:b/>
                <w:sz w:val="20"/>
                <w:szCs w:val="20"/>
              </w:rPr>
              <w:t>Tangibility</w:t>
            </w:r>
          </w:p>
        </w:tc>
        <w:tc>
          <w:tcPr>
            <w:tcW w:w="1177" w:type="dxa"/>
            <w:tcBorders>
              <w:top w:val="single" w:sz="4" w:space="0" w:color="auto"/>
              <w:bottom w:val="single" w:sz="4" w:space="0" w:color="auto"/>
            </w:tcBorders>
          </w:tcPr>
          <w:p w:rsidR="00CB058E" w:rsidRPr="000A4BF0" w:rsidRDefault="00CB058E" w:rsidP="006940C8">
            <w:pPr>
              <w:spacing w:line="480" w:lineRule="auto"/>
              <w:rPr>
                <w:b/>
                <w:sz w:val="20"/>
                <w:szCs w:val="20"/>
              </w:rPr>
            </w:pPr>
            <w:r w:rsidRPr="000A4BF0">
              <w:rPr>
                <w:b/>
                <w:sz w:val="20"/>
                <w:szCs w:val="20"/>
              </w:rPr>
              <w:t>DPO</w:t>
            </w:r>
          </w:p>
        </w:tc>
      </w:tr>
      <w:tr w:rsidR="00CB058E" w:rsidRPr="000A4BF0" w:rsidTr="00345084">
        <w:tc>
          <w:tcPr>
            <w:tcW w:w="1283" w:type="dxa"/>
            <w:tcBorders>
              <w:top w:val="single" w:sz="4" w:space="0" w:color="auto"/>
            </w:tcBorders>
          </w:tcPr>
          <w:p w:rsidR="00CB058E" w:rsidRPr="000A4BF0" w:rsidRDefault="00CB058E" w:rsidP="006940C8">
            <w:pPr>
              <w:spacing w:line="480" w:lineRule="auto"/>
              <w:rPr>
                <w:b/>
                <w:sz w:val="20"/>
                <w:szCs w:val="20"/>
              </w:rPr>
            </w:pPr>
            <w:r w:rsidRPr="000A4BF0">
              <w:rPr>
                <w:b/>
                <w:sz w:val="20"/>
                <w:szCs w:val="20"/>
              </w:rPr>
              <w:t>Mean</w:t>
            </w:r>
          </w:p>
        </w:tc>
        <w:tc>
          <w:tcPr>
            <w:tcW w:w="1109" w:type="dxa"/>
            <w:tcBorders>
              <w:top w:val="single" w:sz="4" w:space="0" w:color="auto"/>
            </w:tcBorders>
          </w:tcPr>
          <w:p w:rsidR="00CB058E" w:rsidRPr="000A4BF0" w:rsidRDefault="00CB058E" w:rsidP="006940C8">
            <w:pPr>
              <w:autoSpaceDE w:val="0"/>
              <w:autoSpaceDN w:val="0"/>
              <w:adjustRightInd w:val="0"/>
              <w:spacing w:line="480" w:lineRule="auto"/>
              <w:rPr>
                <w:sz w:val="20"/>
                <w:szCs w:val="20"/>
              </w:rPr>
            </w:pPr>
            <w:r w:rsidRPr="000A4BF0">
              <w:rPr>
                <w:sz w:val="20"/>
                <w:szCs w:val="20"/>
              </w:rPr>
              <w:t>1.59</w:t>
            </w:r>
            <w:r w:rsidR="00494B35">
              <w:rPr>
                <w:sz w:val="20"/>
                <w:szCs w:val="20"/>
              </w:rPr>
              <w:t>1</w:t>
            </w:r>
          </w:p>
          <w:p w:rsidR="00CB058E" w:rsidRPr="000A4BF0" w:rsidRDefault="00CB058E" w:rsidP="006940C8">
            <w:pPr>
              <w:spacing w:line="480" w:lineRule="auto"/>
              <w:rPr>
                <w:b/>
                <w:sz w:val="20"/>
                <w:szCs w:val="20"/>
              </w:rPr>
            </w:pPr>
          </w:p>
        </w:tc>
        <w:tc>
          <w:tcPr>
            <w:tcW w:w="1067" w:type="dxa"/>
            <w:tcBorders>
              <w:top w:val="single" w:sz="4" w:space="0" w:color="auto"/>
            </w:tcBorders>
          </w:tcPr>
          <w:p w:rsidR="00CB058E" w:rsidRPr="000A4BF0" w:rsidRDefault="00CB058E" w:rsidP="006940C8">
            <w:pPr>
              <w:autoSpaceDE w:val="0"/>
              <w:autoSpaceDN w:val="0"/>
              <w:adjustRightInd w:val="0"/>
              <w:spacing w:line="480" w:lineRule="auto"/>
              <w:rPr>
                <w:sz w:val="20"/>
                <w:szCs w:val="20"/>
              </w:rPr>
            </w:pPr>
            <w:r w:rsidRPr="000A4BF0">
              <w:rPr>
                <w:sz w:val="20"/>
                <w:szCs w:val="20"/>
              </w:rPr>
              <w:t>1.35</w:t>
            </w:r>
            <w:r w:rsidR="00494B35">
              <w:rPr>
                <w:sz w:val="20"/>
                <w:szCs w:val="20"/>
              </w:rPr>
              <w:t>4</w:t>
            </w:r>
          </w:p>
          <w:p w:rsidR="00CB058E" w:rsidRPr="000A4BF0" w:rsidRDefault="00CB058E" w:rsidP="006940C8">
            <w:pPr>
              <w:spacing w:line="480" w:lineRule="auto"/>
              <w:rPr>
                <w:b/>
                <w:sz w:val="20"/>
                <w:szCs w:val="20"/>
              </w:rPr>
            </w:pPr>
          </w:p>
        </w:tc>
        <w:tc>
          <w:tcPr>
            <w:tcW w:w="1098" w:type="dxa"/>
            <w:tcBorders>
              <w:top w:val="single" w:sz="4" w:space="0" w:color="auto"/>
            </w:tcBorders>
          </w:tcPr>
          <w:p w:rsidR="00CB058E" w:rsidRPr="000A4BF0" w:rsidRDefault="00CB058E" w:rsidP="006940C8">
            <w:pPr>
              <w:autoSpaceDE w:val="0"/>
              <w:autoSpaceDN w:val="0"/>
              <w:adjustRightInd w:val="0"/>
              <w:spacing w:line="480" w:lineRule="auto"/>
              <w:rPr>
                <w:sz w:val="20"/>
                <w:szCs w:val="20"/>
              </w:rPr>
            </w:pPr>
            <w:r w:rsidRPr="000A4BF0">
              <w:rPr>
                <w:sz w:val="20"/>
                <w:szCs w:val="20"/>
              </w:rPr>
              <w:t>3.99</w:t>
            </w:r>
            <w:r w:rsidR="00494B35">
              <w:rPr>
                <w:sz w:val="20"/>
                <w:szCs w:val="20"/>
              </w:rPr>
              <w:t>6</w:t>
            </w:r>
          </w:p>
          <w:p w:rsidR="00CB058E" w:rsidRPr="000A4BF0" w:rsidRDefault="00CB058E" w:rsidP="006940C8">
            <w:pPr>
              <w:spacing w:line="480" w:lineRule="auto"/>
              <w:rPr>
                <w:b/>
                <w:sz w:val="20"/>
                <w:szCs w:val="20"/>
              </w:rPr>
            </w:pPr>
          </w:p>
        </w:tc>
        <w:tc>
          <w:tcPr>
            <w:tcW w:w="1070" w:type="dxa"/>
            <w:tcBorders>
              <w:top w:val="single" w:sz="4" w:space="0" w:color="auto"/>
            </w:tcBorders>
          </w:tcPr>
          <w:p w:rsidR="00CB058E" w:rsidRPr="000A4BF0" w:rsidRDefault="00CB058E" w:rsidP="00494B35">
            <w:pPr>
              <w:spacing w:line="480" w:lineRule="auto"/>
              <w:rPr>
                <w:sz w:val="20"/>
                <w:szCs w:val="20"/>
              </w:rPr>
            </w:pPr>
            <w:r w:rsidRPr="000A4BF0">
              <w:rPr>
                <w:sz w:val="20"/>
                <w:szCs w:val="20"/>
              </w:rPr>
              <w:t>2.622</w:t>
            </w:r>
          </w:p>
        </w:tc>
        <w:tc>
          <w:tcPr>
            <w:tcW w:w="1106" w:type="dxa"/>
            <w:tcBorders>
              <w:top w:val="single" w:sz="4" w:space="0" w:color="auto"/>
            </w:tcBorders>
          </w:tcPr>
          <w:p w:rsidR="00CB058E" w:rsidRPr="000A4BF0" w:rsidRDefault="00CB058E" w:rsidP="006940C8">
            <w:pPr>
              <w:autoSpaceDE w:val="0"/>
              <w:autoSpaceDN w:val="0"/>
              <w:adjustRightInd w:val="0"/>
              <w:spacing w:line="480" w:lineRule="auto"/>
              <w:rPr>
                <w:sz w:val="20"/>
                <w:szCs w:val="20"/>
              </w:rPr>
            </w:pPr>
            <w:r w:rsidRPr="000A4BF0">
              <w:rPr>
                <w:sz w:val="20"/>
                <w:szCs w:val="20"/>
              </w:rPr>
              <w:t>0.20</w:t>
            </w:r>
            <w:r w:rsidR="00494B35">
              <w:rPr>
                <w:sz w:val="20"/>
                <w:szCs w:val="20"/>
              </w:rPr>
              <w:t>3</w:t>
            </w:r>
          </w:p>
          <w:p w:rsidR="00CB058E" w:rsidRPr="000A4BF0" w:rsidRDefault="00CB058E" w:rsidP="006940C8">
            <w:pPr>
              <w:spacing w:line="480" w:lineRule="auto"/>
              <w:rPr>
                <w:b/>
                <w:sz w:val="20"/>
                <w:szCs w:val="20"/>
              </w:rPr>
            </w:pPr>
          </w:p>
        </w:tc>
        <w:tc>
          <w:tcPr>
            <w:tcW w:w="1018" w:type="dxa"/>
            <w:tcBorders>
              <w:top w:val="single" w:sz="4" w:space="0" w:color="auto"/>
            </w:tcBorders>
          </w:tcPr>
          <w:p w:rsidR="00CB058E" w:rsidRPr="000A4BF0" w:rsidRDefault="00CB058E" w:rsidP="006940C8">
            <w:pPr>
              <w:autoSpaceDE w:val="0"/>
              <w:autoSpaceDN w:val="0"/>
              <w:adjustRightInd w:val="0"/>
              <w:spacing w:line="480" w:lineRule="auto"/>
              <w:rPr>
                <w:sz w:val="20"/>
                <w:szCs w:val="20"/>
              </w:rPr>
            </w:pPr>
            <w:r w:rsidRPr="000A4BF0">
              <w:rPr>
                <w:sz w:val="20"/>
                <w:szCs w:val="20"/>
              </w:rPr>
              <w:t>0.384</w:t>
            </w:r>
          </w:p>
          <w:p w:rsidR="00CB058E" w:rsidRPr="000A4BF0" w:rsidRDefault="00CB058E" w:rsidP="006940C8">
            <w:pPr>
              <w:spacing w:line="480" w:lineRule="auto"/>
              <w:rPr>
                <w:b/>
                <w:sz w:val="20"/>
                <w:szCs w:val="20"/>
              </w:rPr>
            </w:pPr>
          </w:p>
        </w:tc>
        <w:tc>
          <w:tcPr>
            <w:tcW w:w="1177" w:type="dxa"/>
            <w:tcBorders>
              <w:top w:val="single" w:sz="4" w:space="0" w:color="auto"/>
            </w:tcBorders>
          </w:tcPr>
          <w:p w:rsidR="00CB058E" w:rsidRPr="000A4BF0" w:rsidRDefault="00CB058E" w:rsidP="006940C8">
            <w:pPr>
              <w:autoSpaceDE w:val="0"/>
              <w:autoSpaceDN w:val="0"/>
              <w:adjustRightInd w:val="0"/>
              <w:spacing w:line="480" w:lineRule="auto"/>
              <w:rPr>
                <w:sz w:val="20"/>
                <w:szCs w:val="20"/>
              </w:rPr>
            </w:pPr>
            <w:r w:rsidRPr="000A4BF0">
              <w:rPr>
                <w:sz w:val="20"/>
                <w:szCs w:val="20"/>
              </w:rPr>
              <w:t>0.31</w:t>
            </w:r>
            <w:r w:rsidR="00494B35">
              <w:rPr>
                <w:sz w:val="20"/>
                <w:szCs w:val="20"/>
              </w:rPr>
              <w:t>1</w:t>
            </w:r>
          </w:p>
          <w:p w:rsidR="00CB058E" w:rsidRPr="000A4BF0" w:rsidRDefault="00CB058E" w:rsidP="006940C8">
            <w:pPr>
              <w:spacing w:line="480" w:lineRule="auto"/>
              <w:rPr>
                <w:b/>
                <w:sz w:val="20"/>
                <w:szCs w:val="20"/>
              </w:rPr>
            </w:pPr>
          </w:p>
        </w:tc>
      </w:tr>
      <w:tr w:rsidR="00CB058E" w:rsidRPr="000A4BF0" w:rsidTr="00345084">
        <w:tc>
          <w:tcPr>
            <w:tcW w:w="1283" w:type="dxa"/>
          </w:tcPr>
          <w:p w:rsidR="00CB058E" w:rsidRPr="000A4BF0" w:rsidRDefault="00CB058E" w:rsidP="006940C8">
            <w:pPr>
              <w:spacing w:line="480" w:lineRule="auto"/>
              <w:rPr>
                <w:b/>
                <w:sz w:val="20"/>
                <w:szCs w:val="20"/>
              </w:rPr>
            </w:pPr>
            <w:r w:rsidRPr="000A4BF0">
              <w:rPr>
                <w:b/>
                <w:sz w:val="20"/>
                <w:szCs w:val="20"/>
              </w:rPr>
              <w:t>Maximum</w:t>
            </w:r>
          </w:p>
        </w:tc>
        <w:tc>
          <w:tcPr>
            <w:tcW w:w="1109" w:type="dxa"/>
          </w:tcPr>
          <w:p w:rsidR="00CB058E" w:rsidRPr="000A4BF0" w:rsidRDefault="00CB058E" w:rsidP="006940C8">
            <w:pPr>
              <w:autoSpaceDE w:val="0"/>
              <w:autoSpaceDN w:val="0"/>
              <w:adjustRightInd w:val="0"/>
              <w:spacing w:line="480" w:lineRule="auto"/>
              <w:rPr>
                <w:sz w:val="20"/>
                <w:szCs w:val="20"/>
              </w:rPr>
            </w:pPr>
            <w:r w:rsidRPr="000A4BF0">
              <w:rPr>
                <w:sz w:val="20"/>
                <w:szCs w:val="20"/>
              </w:rPr>
              <w:t>7.260</w:t>
            </w:r>
          </w:p>
          <w:p w:rsidR="00CB058E" w:rsidRPr="000A4BF0" w:rsidRDefault="00CB058E" w:rsidP="006940C8">
            <w:pPr>
              <w:spacing w:line="480" w:lineRule="auto"/>
              <w:rPr>
                <w:b/>
                <w:sz w:val="20"/>
                <w:szCs w:val="20"/>
              </w:rPr>
            </w:pPr>
          </w:p>
        </w:tc>
        <w:tc>
          <w:tcPr>
            <w:tcW w:w="1067" w:type="dxa"/>
          </w:tcPr>
          <w:p w:rsidR="00CB058E" w:rsidRPr="000A4BF0" w:rsidRDefault="00CB058E" w:rsidP="006940C8">
            <w:pPr>
              <w:autoSpaceDE w:val="0"/>
              <w:autoSpaceDN w:val="0"/>
              <w:adjustRightInd w:val="0"/>
              <w:spacing w:line="480" w:lineRule="auto"/>
              <w:rPr>
                <w:sz w:val="20"/>
                <w:szCs w:val="20"/>
              </w:rPr>
            </w:pPr>
            <w:r w:rsidRPr="000A4BF0">
              <w:rPr>
                <w:sz w:val="20"/>
                <w:szCs w:val="20"/>
              </w:rPr>
              <w:t>28.170</w:t>
            </w:r>
          </w:p>
          <w:p w:rsidR="00CB058E" w:rsidRPr="000A4BF0" w:rsidRDefault="00CB058E" w:rsidP="006940C8">
            <w:pPr>
              <w:spacing w:line="480" w:lineRule="auto"/>
              <w:rPr>
                <w:b/>
                <w:sz w:val="20"/>
                <w:szCs w:val="20"/>
              </w:rPr>
            </w:pPr>
          </w:p>
        </w:tc>
        <w:tc>
          <w:tcPr>
            <w:tcW w:w="1098" w:type="dxa"/>
          </w:tcPr>
          <w:p w:rsidR="00CB058E" w:rsidRPr="000A4BF0" w:rsidRDefault="00CB058E" w:rsidP="006940C8">
            <w:pPr>
              <w:autoSpaceDE w:val="0"/>
              <w:autoSpaceDN w:val="0"/>
              <w:adjustRightInd w:val="0"/>
              <w:spacing w:line="480" w:lineRule="auto"/>
              <w:rPr>
                <w:sz w:val="20"/>
                <w:szCs w:val="20"/>
              </w:rPr>
            </w:pPr>
            <w:r w:rsidRPr="000A4BF0">
              <w:rPr>
                <w:sz w:val="20"/>
                <w:szCs w:val="20"/>
              </w:rPr>
              <w:t>58.900</w:t>
            </w:r>
          </w:p>
          <w:p w:rsidR="00CB058E" w:rsidRPr="000A4BF0" w:rsidRDefault="00CB058E" w:rsidP="006940C8">
            <w:pPr>
              <w:spacing w:line="480" w:lineRule="auto"/>
              <w:rPr>
                <w:b/>
                <w:sz w:val="20"/>
                <w:szCs w:val="20"/>
              </w:rPr>
            </w:pPr>
          </w:p>
        </w:tc>
        <w:tc>
          <w:tcPr>
            <w:tcW w:w="1070" w:type="dxa"/>
          </w:tcPr>
          <w:p w:rsidR="00CB058E" w:rsidRPr="000A4BF0" w:rsidRDefault="00CB058E" w:rsidP="00494B35">
            <w:pPr>
              <w:spacing w:line="480" w:lineRule="auto"/>
              <w:rPr>
                <w:sz w:val="20"/>
                <w:szCs w:val="20"/>
              </w:rPr>
            </w:pPr>
            <w:r w:rsidRPr="000A4BF0">
              <w:rPr>
                <w:sz w:val="20"/>
                <w:szCs w:val="20"/>
              </w:rPr>
              <w:t>37.66</w:t>
            </w:r>
            <w:r w:rsidR="00494B35">
              <w:rPr>
                <w:sz w:val="20"/>
                <w:szCs w:val="20"/>
              </w:rPr>
              <w:t>2</w:t>
            </w:r>
          </w:p>
        </w:tc>
        <w:tc>
          <w:tcPr>
            <w:tcW w:w="1106" w:type="dxa"/>
          </w:tcPr>
          <w:p w:rsidR="00CB058E" w:rsidRPr="000A4BF0" w:rsidRDefault="00CB058E" w:rsidP="006940C8">
            <w:pPr>
              <w:autoSpaceDE w:val="0"/>
              <w:autoSpaceDN w:val="0"/>
              <w:adjustRightInd w:val="0"/>
              <w:spacing w:line="480" w:lineRule="auto"/>
              <w:rPr>
                <w:sz w:val="20"/>
                <w:szCs w:val="20"/>
              </w:rPr>
            </w:pPr>
            <w:r w:rsidRPr="000A4BF0">
              <w:rPr>
                <w:sz w:val="20"/>
                <w:szCs w:val="20"/>
              </w:rPr>
              <w:t>12.170</w:t>
            </w:r>
          </w:p>
          <w:p w:rsidR="00CB058E" w:rsidRPr="000A4BF0" w:rsidRDefault="00CB058E" w:rsidP="006940C8">
            <w:pPr>
              <w:spacing w:line="480" w:lineRule="auto"/>
              <w:rPr>
                <w:b/>
                <w:sz w:val="20"/>
                <w:szCs w:val="20"/>
              </w:rPr>
            </w:pPr>
          </w:p>
        </w:tc>
        <w:tc>
          <w:tcPr>
            <w:tcW w:w="1018" w:type="dxa"/>
          </w:tcPr>
          <w:p w:rsidR="00CB058E" w:rsidRPr="000A4BF0" w:rsidRDefault="00CB058E" w:rsidP="006940C8">
            <w:pPr>
              <w:autoSpaceDE w:val="0"/>
              <w:autoSpaceDN w:val="0"/>
              <w:adjustRightInd w:val="0"/>
              <w:spacing w:line="480" w:lineRule="auto"/>
              <w:rPr>
                <w:sz w:val="20"/>
                <w:szCs w:val="20"/>
              </w:rPr>
            </w:pPr>
            <w:r w:rsidRPr="000A4BF0">
              <w:rPr>
                <w:sz w:val="20"/>
                <w:szCs w:val="20"/>
              </w:rPr>
              <w:t>0.992392</w:t>
            </w:r>
          </w:p>
          <w:p w:rsidR="00CB058E" w:rsidRPr="000A4BF0" w:rsidRDefault="00CB058E" w:rsidP="006940C8">
            <w:pPr>
              <w:spacing w:line="480" w:lineRule="auto"/>
              <w:rPr>
                <w:b/>
                <w:sz w:val="20"/>
                <w:szCs w:val="20"/>
              </w:rPr>
            </w:pPr>
          </w:p>
        </w:tc>
        <w:tc>
          <w:tcPr>
            <w:tcW w:w="1177" w:type="dxa"/>
          </w:tcPr>
          <w:p w:rsidR="00CB058E" w:rsidRPr="000A4BF0" w:rsidRDefault="00CB058E" w:rsidP="006940C8">
            <w:pPr>
              <w:autoSpaceDE w:val="0"/>
              <w:autoSpaceDN w:val="0"/>
              <w:adjustRightInd w:val="0"/>
              <w:spacing w:line="480" w:lineRule="auto"/>
              <w:rPr>
                <w:sz w:val="20"/>
                <w:szCs w:val="20"/>
              </w:rPr>
            </w:pPr>
            <w:r w:rsidRPr="000A4BF0">
              <w:rPr>
                <w:sz w:val="20"/>
                <w:szCs w:val="20"/>
              </w:rPr>
              <w:t>2.390</w:t>
            </w:r>
          </w:p>
          <w:p w:rsidR="00CB058E" w:rsidRPr="000A4BF0" w:rsidRDefault="00CB058E" w:rsidP="006940C8">
            <w:pPr>
              <w:autoSpaceDE w:val="0"/>
              <w:autoSpaceDN w:val="0"/>
              <w:adjustRightInd w:val="0"/>
              <w:spacing w:line="480" w:lineRule="auto"/>
              <w:rPr>
                <w:b/>
                <w:sz w:val="20"/>
                <w:szCs w:val="20"/>
              </w:rPr>
            </w:pPr>
          </w:p>
        </w:tc>
      </w:tr>
      <w:tr w:rsidR="00CB058E" w:rsidRPr="000A4BF0" w:rsidTr="00345084">
        <w:tc>
          <w:tcPr>
            <w:tcW w:w="1283" w:type="dxa"/>
          </w:tcPr>
          <w:p w:rsidR="00CB058E" w:rsidRPr="000A4BF0" w:rsidRDefault="00CB058E" w:rsidP="006940C8">
            <w:pPr>
              <w:spacing w:line="480" w:lineRule="auto"/>
              <w:rPr>
                <w:b/>
                <w:sz w:val="20"/>
                <w:szCs w:val="20"/>
              </w:rPr>
            </w:pPr>
            <w:r w:rsidRPr="000A4BF0">
              <w:rPr>
                <w:b/>
                <w:sz w:val="20"/>
                <w:szCs w:val="20"/>
              </w:rPr>
              <w:t>Minimum</w:t>
            </w:r>
          </w:p>
        </w:tc>
        <w:tc>
          <w:tcPr>
            <w:tcW w:w="1109" w:type="dxa"/>
          </w:tcPr>
          <w:p w:rsidR="00CB058E" w:rsidRPr="000A4BF0" w:rsidRDefault="00CB058E" w:rsidP="006940C8">
            <w:pPr>
              <w:autoSpaceDE w:val="0"/>
              <w:autoSpaceDN w:val="0"/>
              <w:adjustRightInd w:val="0"/>
              <w:spacing w:line="480" w:lineRule="auto"/>
              <w:rPr>
                <w:sz w:val="20"/>
                <w:szCs w:val="20"/>
              </w:rPr>
            </w:pPr>
            <w:r w:rsidRPr="000A4BF0">
              <w:rPr>
                <w:sz w:val="20"/>
                <w:szCs w:val="20"/>
              </w:rPr>
              <w:t>0.010</w:t>
            </w:r>
          </w:p>
          <w:p w:rsidR="00CB058E" w:rsidRPr="000A4BF0" w:rsidRDefault="00CB058E" w:rsidP="006940C8">
            <w:pPr>
              <w:spacing w:line="480" w:lineRule="auto"/>
              <w:rPr>
                <w:b/>
                <w:sz w:val="20"/>
                <w:szCs w:val="20"/>
              </w:rPr>
            </w:pPr>
          </w:p>
        </w:tc>
        <w:tc>
          <w:tcPr>
            <w:tcW w:w="1067" w:type="dxa"/>
          </w:tcPr>
          <w:p w:rsidR="00CB058E" w:rsidRPr="000A4BF0" w:rsidRDefault="00CB058E" w:rsidP="006940C8">
            <w:pPr>
              <w:autoSpaceDE w:val="0"/>
              <w:autoSpaceDN w:val="0"/>
              <w:adjustRightInd w:val="0"/>
              <w:spacing w:line="480" w:lineRule="auto"/>
              <w:rPr>
                <w:sz w:val="20"/>
                <w:szCs w:val="20"/>
              </w:rPr>
            </w:pPr>
            <w:r w:rsidRPr="000A4BF0">
              <w:rPr>
                <w:sz w:val="20"/>
                <w:szCs w:val="20"/>
              </w:rPr>
              <w:t>0.1545</w:t>
            </w:r>
          </w:p>
          <w:p w:rsidR="00CB058E" w:rsidRPr="000A4BF0" w:rsidRDefault="00CB058E" w:rsidP="006940C8">
            <w:pPr>
              <w:spacing w:line="480" w:lineRule="auto"/>
              <w:rPr>
                <w:b/>
                <w:sz w:val="20"/>
                <w:szCs w:val="20"/>
              </w:rPr>
            </w:pPr>
          </w:p>
        </w:tc>
        <w:tc>
          <w:tcPr>
            <w:tcW w:w="1098" w:type="dxa"/>
          </w:tcPr>
          <w:p w:rsidR="00CB058E" w:rsidRPr="000A4BF0" w:rsidRDefault="00CB058E" w:rsidP="006940C8">
            <w:pPr>
              <w:autoSpaceDE w:val="0"/>
              <w:autoSpaceDN w:val="0"/>
              <w:adjustRightInd w:val="0"/>
              <w:spacing w:line="480" w:lineRule="auto"/>
              <w:rPr>
                <w:sz w:val="20"/>
                <w:szCs w:val="20"/>
              </w:rPr>
            </w:pPr>
            <w:r w:rsidRPr="000A4BF0">
              <w:rPr>
                <w:sz w:val="20"/>
                <w:szCs w:val="20"/>
              </w:rPr>
              <w:t>0.000</w:t>
            </w:r>
          </w:p>
          <w:p w:rsidR="00CB058E" w:rsidRPr="000A4BF0" w:rsidRDefault="00CB058E" w:rsidP="006940C8">
            <w:pPr>
              <w:spacing w:line="480" w:lineRule="auto"/>
              <w:rPr>
                <w:b/>
                <w:sz w:val="20"/>
                <w:szCs w:val="20"/>
              </w:rPr>
            </w:pPr>
          </w:p>
        </w:tc>
        <w:tc>
          <w:tcPr>
            <w:tcW w:w="1070" w:type="dxa"/>
          </w:tcPr>
          <w:p w:rsidR="00CB058E" w:rsidRPr="000A4BF0" w:rsidRDefault="00CB058E" w:rsidP="00494B35">
            <w:pPr>
              <w:spacing w:line="480" w:lineRule="auto"/>
              <w:rPr>
                <w:sz w:val="20"/>
                <w:szCs w:val="20"/>
              </w:rPr>
            </w:pPr>
            <w:r w:rsidRPr="000A4BF0">
              <w:rPr>
                <w:sz w:val="20"/>
                <w:szCs w:val="20"/>
              </w:rPr>
              <w:t>-1.811</w:t>
            </w:r>
          </w:p>
        </w:tc>
        <w:tc>
          <w:tcPr>
            <w:tcW w:w="1106" w:type="dxa"/>
          </w:tcPr>
          <w:p w:rsidR="00CB058E" w:rsidRPr="000A4BF0" w:rsidRDefault="00CB058E" w:rsidP="006940C8">
            <w:pPr>
              <w:autoSpaceDE w:val="0"/>
              <w:autoSpaceDN w:val="0"/>
              <w:adjustRightInd w:val="0"/>
              <w:spacing w:line="480" w:lineRule="auto"/>
              <w:rPr>
                <w:sz w:val="20"/>
                <w:szCs w:val="20"/>
              </w:rPr>
            </w:pPr>
            <w:r w:rsidRPr="000A4BF0">
              <w:rPr>
                <w:sz w:val="20"/>
                <w:szCs w:val="20"/>
              </w:rPr>
              <w:t>-0.370</w:t>
            </w:r>
          </w:p>
          <w:p w:rsidR="00CB058E" w:rsidRPr="000A4BF0" w:rsidRDefault="00CB058E" w:rsidP="006940C8">
            <w:pPr>
              <w:spacing w:line="480" w:lineRule="auto"/>
              <w:rPr>
                <w:b/>
                <w:sz w:val="20"/>
                <w:szCs w:val="20"/>
              </w:rPr>
            </w:pPr>
          </w:p>
        </w:tc>
        <w:tc>
          <w:tcPr>
            <w:tcW w:w="1018" w:type="dxa"/>
          </w:tcPr>
          <w:p w:rsidR="00CB058E" w:rsidRPr="000A4BF0" w:rsidRDefault="00CB058E" w:rsidP="006940C8">
            <w:pPr>
              <w:autoSpaceDE w:val="0"/>
              <w:autoSpaceDN w:val="0"/>
              <w:adjustRightInd w:val="0"/>
              <w:spacing w:line="480" w:lineRule="auto"/>
              <w:rPr>
                <w:sz w:val="20"/>
                <w:szCs w:val="20"/>
              </w:rPr>
            </w:pPr>
            <w:r w:rsidRPr="000A4BF0">
              <w:rPr>
                <w:sz w:val="20"/>
                <w:szCs w:val="20"/>
              </w:rPr>
              <w:t>0.000</w:t>
            </w:r>
          </w:p>
          <w:p w:rsidR="00CB058E" w:rsidRPr="000A4BF0" w:rsidRDefault="00CB058E" w:rsidP="006940C8">
            <w:pPr>
              <w:spacing w:line="480" w:lineRule="auto"/>
              <w:rPr>
                <w:b/>
                <w:sz w:val="20"/>
                <w:szCs w:val="20"/>
              </w:rPr>
            </w:pPr>
          </w:p>
        </w:tc>
        <w:tc>
          <w:tcPr>
            <w:tcW w:w="1177" w:type="dxa"/>
          </w:tcPr>
          <w:p w:rsidR="00CB058E" w:rsidRPr="000A4BF0" w:rsidRDefault="00CB058E" w:rsidP="006940C8">
            <w:pPr>
              <w:autoSpaceDE w:val="0"/>
              <w:autoSpaceDN w:val="0"/>
              <w:adjustRightInd w:val="0"/>
              <w:spacing w:line="480" w:lineRule="auto"/>
              <w:rPr>
                <w:sz w:val="20"/>
                <w:szCs w:val="20"/>
              </w:rPr>
            </w:pPr>
            <w:r w:rsidRPr="000A4BF0">
              <w:rPr>
                <w:sz w:val="20"/>
                <w:szCs w:val="20"/>
              </w:rPr>
              <w:t>-0.620</w:t>
            </w:r>
          </w:p>
          <w:p w:rsidR="00CB058E" w:rsidRPr="000A4BF0" w:rsidRDefault="00CB058E" w:rsidP="006940C8">
            <w:pPr>
              <w:spacing w:line="480" w:lineRule="auto"/>
              <w:rPr>
                <w:b/>
                <w:sz w:val="20"/>
                <w:szCs w:val="20"/>
              </w:rPr>
            </w:pPr>
          </w:p>
        </w:tc>
      </w:tr>
      <w:tr w:rsidR="00CB058E" w:rsidRPr="000A4BF0" w:rsidTr="00345084">
        <w:tc>
          <w:tcPr>
            <w:tcW w:w="1283" w:type="dxa"/>
            <w:tcBorders>
              <w:bottom w:val="single" w:sz="4" w:space="0" w:color="auto"/>
            </w:tcBorders>
          </w:tcPr>
          <w:p w:rsidR="00CB058E" w:rsidRPr="000A4BF0" w:rsidRDefault="00CB058E" w:rsidP="006940C8">
            <w:pPr>
              <w:spacing w:line="480" w:lineRule="auto"/>
              <w:rPr>
                <w:b/>
                <w:sz w:val="20"/>
                <w:szCs w:val="20"/>
              </w:rPr>
            </w:pPr>
            <w:r w:rsidRPr="000A4BF0">
              <w:rPr>
                <w:b/>
                <w:sz w:val="20"/>
                <w:szCs w:val="20"/>
              </w:rPr>
              <w:t>S.D</w:t>
            </w:r>
          </w:p>
        </w:tc>
        <w:tc>
          <w:tcPr>
            <w:tcW w:w="1109" w:type="dxa"/>
            <w:tcBorders>
              <w:bottom w:val="single" w:sz="4" w:space="0" w:color="auto"/>
            </w:tcBorders>
          </w:tcPr>
          <w:p w:rsidR="00CB058E" w:rsidRPr="000A4BF0" w:rsidRDefault="00CB058E" w:rsidP="006940C8">
            <w:pPr>
              <w:autoSpaceDE w:val="0"/>
              <w:autoSpaceDN w:val="0"/>
              <w:adjustRightInd w:val="0"/>
              <w:spacing w:line="480" w:lineRule="auto"/>
              <w:rPr>
                <w:sz w:val="20"/>
                <w:szCs w:val="20"/>
              </w:rPr>
            </w:pPr>
            <w:r w:rsidRPr="000A4BF0">
              <w:rPr>
                <w:sz w:val="20"/>
                <w:szCs w:val="20"/>
              </w:rPr>
              <w:t>1.099</w:t>
            </w:r>
          </w:p>
          <w:p w:rsidR="00CB058E" w:rsidRPr="000A4BF0" w:rsidRDefault="00CB058E" w:rsidP="006940C8">
            <w:pPr>
              <w:spacing w:line="480" w:lineRule="auto"/>
              <w:rPr>
                <w:b/>
                <w:sz w:val="20"/>
                <w:szCs w:val="20"/>
              </w:rPr>
            </w:pPr>
          </w:p>
        </w:tc>
        <w:tc>
          <w:tcPr>
            <w:tcW w:w="1067" w:type="dxa"/>
            <w:tcBorders>
              <w:bottom w:val="single" w:sz="4" w:space="0" w:color="auto"/>
            </w:tcBorders>
          </w:tcPr>
          <w:p w:rsidR="00CB058E" w:rsidRPr="000A4BF0" w:rsidRDefault="00CB058E" w:rsidP="006940C8">
            <w:pPr>
              <w:autoSpaceDE w:val="0"/>
              <w:autoSpaceDN w:val="0"/>
              <w:adjustRightInd w:val="0"/>
              <w:spacing w:line="480" w:lineRule="auto"/>
              <w:rPr>
                <w:sz w:val="20"/>
                <w:szCs w:val="20"/>
              </w:rPr>
            </w:pPr>
            <w:r w:rsidRPr="000A4BF0">
              <w:rPr>
                <w:sz w:val="20"/>
                <w:szCs w:val="20"/>
              </w:rPr>
              <w:t>4.6352</w:t>
            </w:r>
          </w:p>
          <w:p w:rsidR="00CB058E" w:rsidRPr="000A4BF0" w:rsidRDefault="00CB058E" w:rsidP="006940C8">
            <w:pPr>
              <w:spacing w:line="480" w:lineRule="auto"/>
              <w:rPr>
                <w:b/>
                <w:sz w:val="20"/>
                <w:szCs w:val="20"/>
              </w:rPr>
            </w:pPr>
          </w:p>
        </w:tc>
        <w:tc>
          <w:tcPr>
            <w:tcW w:w="1098" w:type="dxa"/>
            <w:tcBorders>
              <w:bottom w:val="single" w:sz="4" w:space="0" w:color="auto"/>
            </w:tcBorders>
          </w:tcPr>
          <w:p w:rsidR="00CB058E" w:rsidRPr="000A4BF0" w:rsidRDefault="00CB058E" w:rsidP="006940C8">
            <w:pPr>
              <w:autoSpaceDE w:val="0"/>
              <w:autoSpaceDN w:val="0"/>
              <w:adjustRightInd w:val="0"/>
              <w:spacing w:line="480" w:lineRule="auto"/>
              <w:rPr>
                <w:sz w:val="20"/>
                <w:szCs w:val="20"/>
              </w:rPr>
            </w:pPr>
            <w:r w:rsidRPr="000A4BF0">
              <w:rPr>
                <w:sz w:val="20"/>
                <w:szCs w:val="20"/>
              </w:rPr>
              <w:t>5.67</w:t>
            </w:r>
            <w:r w:rsidR="00494B35">
              <w:rPr>
                <w:sz w:val="20"/>
                <w:szCs w:val="20"/>
              </w:rPr>
              <w:t>4</w:t>
            </w:r>
          </w:p>
          <w:p w:rsidR="00CB058E" w:rsidRPr="000A4BF0" w:rsidRDefault="00CB058E" w:rsidP="006940C8">
            <w:pPr>
              <w:spacing w:line="480" w:lineRule="auto"/>
              <w:rPr>
                <w:b/>
                <w:sz w:val="20"/>
                <w:szCs w:val="20"/>
              </w:rPr>
            </w:pPr>
          </w:p>
        </w:tc>
        <w:tc>
          <w:tcPr>
            <w:tcW w:w="1070" w:type="dxa"/>
            <w:tcBorders>
              <w:bottom w:val="single" w:sz="4" w:space="0" w:color="auto"/>
            </w:tcBorders>
          </w:tcPr>
          <w:p w:rsidR="00CB058E" w:rsidRPr="000A4BF0" w:rsidRDefault="00CB058E" w:rsidP="00494B35">
            <w:pPr>
              <w:spacing w:line="480" w:lineRule="auto"/>
              <w:rPr>
                <w:sz w:val="20"/>
                <w:szCs w:val="20"/>
              </w:rPr>
            </w:pPr>
            <w:r w:rsidRPr="000A4BF0">
              <w:rPr>
                <w:sz w:val="20"/>
                <w:szCs w:val="20"/>
              </w:rPr>
              <w:t>4.417</w:t>
            </w:r>
          </w:p>
        </w:tc>
        <w:tc>
          <w:tcPr>
            <w:tcW w:w="1106" w:type="dxa"/>
            <w:tcBorders>
              <w:bottom w:val="single" w:sz="4" w:space="0" w:color="auto"/>
            </w:tcBorders>
          </w:tcPr>
          <w:p w:rsidR="00CB058E" w:rsidRPr="000A4BF0" w:rsidRDefault="00CB058E" w:rsidP="006940C8">
            <w:pPr>
              <w:autoSpaceDE w:val="0"/>
              <w:autoSpaceDN w:val="0"/>
              <w:adjustRightInd w:val="0"/>
              <w:spacing w:line="480" w:lineRule="auto"/>
              <w:rPr>
                <w:sz w:val="20"/>
                <w:szCs w:val="20"/>
              </w:rPr>
            </w:pPr>
            <w:r w:rsidRPr="000A4BF0">
              <w:rPr>
                <w:sz w:val="20"/>
                <w:szCs w:val="20"/>
              </w:rPr>
              <w:t>1.23</w:t>
            </w:r>
            <w:r w:rsidR="00494B35">
              <w:rPr>
                <w:sz w:val="20"/>
                <w:szCs w:val="20"/>
              </w:rPr>
              <w:t>3</w:t>
            </w:r>
          </w:p>
          <w:p w:rsidR="00CB058E" w:rsidRPr="000A4BF0" w:rsidRDefault="00CB058E" w:rsidP="006940C8">
            <w:pPr>
              <w:spacing w:line="480" w:lineRule="auto"/>
              <w:rPr>
                <w:b/>
                <w:sz w:val="20"/>
                <w:szCs w:val="20"/>
              </w:rPr>
            </w:pPr>
          </w:p>
        </w:tc>
        <w:tc>
          <w:tcPr>
            <w:tcW w:w="1018" w:type="dxa"/>
            <w:tcBorders>
              <w:bottom w:val="single" w:sz="4" w:space="0" w:color="auto"/>
            </w:tcBorders>
          </w:tcPr>
          <w:p w:rsidR="00CB058E" w:rsidRPr="000A4BF0" w:rsidRDefault="00CB058E" w:rsidP="006940C8">
            <w:pPr>
              <w:autoSpaceDE w:val="0"/>
              <w:autoSpaceDN w:val="0"/>
              <w:adjustRightInd w:val="0"/>
              <w:spacing w:line="480" w:lineRule="auto"/>
              <w:rPr>
                <w:sz w:val="20"/>
                <w:szCs w:val="20"/>
              </w:rPr>
            </w:pPr>
            <w:r w:rsidRPr="000A4BF0">
              <w:rPr>
                <w:sz w:val="20"/>
                <w:szCs w:val="20"/>
              </w:rPr>
              <w:t>0.231</w:t>
            </w:r>
          </w:p>
          <w:p w:rsidR="00CB058E" w:rsidRPr="000A4BF0" w:rsidRDefault="00CB058E" w:rsidP="006940C8">
            <w:pPr>
              <w:spacing w:line="480" w:lineRule="auto"/>
              <w:rPr>
                <w:b/>
                <w:sz w:val="20"/>
                <w:szCs w:val="20"/>
              </w:rPr>
            </w:pPr>
          </w:p>
        </w:tc>
        <w:tc>
          <w:tcPr>
            <w:tcW w:w="1177" w:type="dxa"/>
            <w:tcBorders>
              <w:bottom w:val="single" w:sz="4" w:space="0" w:color="auto"/>
            </w:tcBorders>
          </w:tcPr>
          <w:p w:rsidR="00CB058E" w:rsidRPr="000A4BF0" w:rsidRDefault="00CB058E" w:rsidP="006940C8">
            <w:pPr>
              <w:autoSpaceDE w:val="0"/>
              <w:autoSpaceDN w:val="0"/>
              <w:adjustRightInd w:val="0"/>
              <w:spacing w:line="480" w:lineRule="auto"/>
              <w:rPr>
                <w:sz w:val="20"/>
                <w:szCs w:val="20"/>
              </w:rPr>
            </w:pPr>
            <w:r w:rsidRPr="000A4BF0">
              <w:rPr>
                <w:sz w:val="20"/>
                <w:szCs w:val="20"/>
              </w:rPr>
              <w:t>0.36</w:t>
            </w:r>
            <w:r w:rsidR="00494B35">
              <w:rPr>
                <w:sz w:val="20"/>
                <w:szCs w:val="20"/>
              </w:rPr>
              <w:t>6</w:t>
            </w:r>
          </w:p>
          <w:p w:rsidR="00CB058E" w:rsidRPr="000A4BF0" w:rsidRDefault="00CB058E" w:rsidP="006940C8">
            <w:pPr>
              <w:spacing w:line="480" w:lineRule="auto"/>
              <w:rPr>
                <w:b/>
                <w:sz w:val="20"/>
                <w:szCs w:val="20"/>
              </w:rPr>
            </w:pPr>
          </w:p>
        </w:tc>
      </w:tr>
    </w:tbl>
    <w:p w:rsidR="00CB058E" w:rsidRDefault="00CB058E" w:rsidP="006940C8">
      <w:pPr>
        <w:autoSpaceDE w:val="0"/>
        <w:autoSpaceDN w:val="0"/>
        <w:adjustRightInd w:val="0"/>
        <w:spacing w:line="480" w:lineRule="auto"/>
        <w:jc w:val="both"/>
        <w:rPr>
          <w:b/>
          <w:bCs/>
        </w:rPr>
      </w:pPr>
    </w:p>
    <w:p w:rsidR="006940C8" w:rsidRDefault="00D723B3" w:rsidP="006940C8">
      <w:pPr>
        <w:autoSpaceDE w:val="0"/>
        <w:autoSpaceDN w:val="0"/>
        <w:adjustRightInd w:val="0"/>
        <w:spacing w:line="480" w:lineRule="auto"/>
        <w:jc w:val="both"/>
        <w:rPr>
          <w:b/>
          <w:bCs/>
        </w:rPr>
      </w:pPr>
      <w:r>
        <w:t xml:space="preserve">The result of regression analysis in Table 2 shows that the </w:t>
      </w:r>
      <w:r w:rsidRPr="000A4BF0">
        <w:t xml:space="preserve">debt ratio and tangibility </w:t>
      </w:r>
      <w:r>
        <w:t>were</w:t>
      </w:r>
      <w:r w:rsidRPr="000A4BF0">
        <w:t xml:space="preserve"> found significant</w:t>
      </w:r>
      <w:r>
        <w:t xml:space="preserve"> negative relationship with the dividend payout ratio</w:t>
      </w:r>
      <w:r w:rsidRPr="000A4BF0">
        <w:t>. It means that firms which have more debt in their capital structure are less likely to pay dividends similarly firms which have large spending in fix assets are actually expanding they have growth opportunities that’s why pay less dividend. Current ratio, log of sales, market to book value ratio and profitability was found insignificant. However, signs of coefficient are consistent with what has been found in literature about the relationship of dividend with these variables except that of log of sales.</w:t>
      </w:r>
    </w:p>
    <w:p w:rsidR="006940C8" w:rsidRDefault="006940C8" w:rsidP="006940C8">
      <w:pPr>
        <w:autoSpaceDE w:val="0"/>
        <w:autoSpaceDN w:val="0"/>
        <w:adjustRightInd w:val="0"/>
        <w:spacing w:line="480" w:lineRule="auto"/>
        <w:jc w:val="both"/>
        <w:rPr>
          <w:b/>
          <w:bCs/>
        </w:rPr>
      </w:pPr>
    </w:p>
    <w:p w:rsidR="003058D9" w:rsidRDefault="003058D9" w:rsidP="006940C8">
      <w:pPr>
        <w:autoSpaceDE w:val="0"/>
        <w:autoSpaceDN w:val="0"/>
        <w:adjustRightInd w:val="0"/>
        <w:spacing w:line="480" w:lineRule="auto"/>
        <w:jc w:val="both"/>
        <w:rPr>
          <w:b/>
          <w:bCs/>
        </w:rPr>
      </w:pPr>
    </w:p>
    <w:p w:rsidR="00CE3A5A" w:rsidRPr="000A4BF0" w:rsidRDefault="00CE3A5A" w:rsidP="006940C8">
      <w:pPr>
        <w:autoSpaceDE w:val="0"/>
        <w:autoSpaceDN w:val="0"/>
        <w:adjustRightInd w:val="0"/>
        <w:spacing w:line="480" w:lineRule="auto"/>
        <w:jc w:val="both"/>
        <w:rPr>
          <w:b/>
          <w:bCs/>
        </w:rPr>
      </w:pPr>
      <w:r w:rsidRPr="000A4BF0">
        <w:rPr>
          <w:b/>
          <w:bCs/>
        </w:rPr>
        <w:t>Table</w:t>
      </w:r>
      <w:r w:rsidR="00617600">
        <w:rPr>
          <w:b/>
          <w:bCs/>
        </w:rPr>
        <w:t xml:space="preserve"> </w:t>
      </w:r>
      <w:r w:rsidRPr="000A4BF0">
        <w:rPr>
          <w:b/>
          <w:bCs/>
        </w:rPr>
        <w:t>2</w:t>
      </w:r>
      <w:r w:rsidR="00617600">
        <w:rPr>
          <w:b/>
          <w:bCs/>
        </w:rPr>
        <w:t>:</w:t>
      </w:r>
      <w:r w:rsidR="00345084" w:rsidRPr="000A4BF0">
        <w:rPr>
          <w:b/>
          <w:bCs/>
        </w:rPr>
        <w:t xml:space="preserve"> Regression Results</w:t>
      </w:r>
    </w:p>
    <w:tbl>
      <w:tblPr>
        <w:tblpPr w:leftFromText="180" w:rightFromText="180" w:vertAnchor="text" w:horzAnchor="margin" w:tblpY="169"/>
        <w:tblW w:w="0" w:type="auto"/>
        <w:tblLook w:val="01E0" w:firstRow="1" w:lastRow="1" w:firstColumn="1" w:lastColumn="1" w:noHBand="0" w:noVBand="0"/>
      </w:tblPr>
      <w:tblGrid>
        <w:gridCol w:w="2808"/>
        <w:gridCol w:w="2880"/>
      </w:tblGrid>
      <w:tr w:rsidR="00CE3A5A" w:rsidRPr="000A4BF0" w:rsidTr="00345084">
        <w:tc>
          <w:tcPr>
            <w:tcW w:w="5688" w:type="dxa"/>
            <w:gridSpan w:val="2"/>
            <w:tcBorders>
              <w:top w:val="single" w:sz="4" w:space="0" w:color="auto"/>
            </w:tcBorders>
          </w:tcPr>
          <w:p w:rsidR="00CE3A5A" w:rsidRPr="000A4BF0" w:rsidRDefault="00CE3A5A" w:rsidP="006940C8">
            <w:pPr>
              <w:spacing w:line="480" w:lineRule="auto"/>
              <w:rPr>
                <w:b/>
                <w:sz w:val="20"/>
                <w:szCs w:val="20"/>
              </w:rPr>
            </w:pPr>
            <w:r w:rsidRPr="000A4BF0">
              <w:rPr>
                <w:b/>
                <w:sz w:val="20"/>
                <w:szCs w:val="20"/>
              </w:rPr>
              <w:t>Dependent variable: Dividend Payout Ratio</w:t>
            </w:r>
          </w:p>
        </w:tc>
      </w:tr>
      <w:tr w:rsidR="00CE3A5A" w:rsidRPr="000A4BF0" w:rsidTr="00345084">
        <w:tc>
          <w:tcPr>
            <w:tcW w:w="2808" w:type="dxa"/>
            <w:tcBorders>
              <w:bottom w:val="single" w:sz="4" w:space="0" w:color="auto"/>
            </w:tcBorders>
          </w:tcPr>
          <w:p w:rsidR="00CE3A5A" w:rsidRPr="000A4BF0" w:rsidRDefault="00CE3A5A" w:rsidP="006940C8">
            <w:pPr>
              <w:spacing w:line="480" w:lineRule="auto"/>
              <w:rPr>
                <w:b/>
                <w:sz w:val="20"/>
                <w:szCs w:val="20"/>
              </w:rPr>
            </w:pPr>
            <w:r w:rsidRPr="000A4BF0">
              <w:rPr>
                <w:b/>
                <w:sz w:val="20"/>
                <w:szCs w:val="20"/>
              </w:rPr>
              <w:t>Independent variables</w:t>
            </w:r>
          </w:p>
        </w:tc>
        <w:tc>
          <w:tcPr>
            <w:tcW w:w="2880" w:type="dxa"/>
            <w:tcBorders>
              <w:bottom w:val="single" w:sz="4" w:space="0" w:color="auto"/>
            </w:tcBorders>
          </w:tcPr>
          <w:p w:rsidR="00CE3A5A" w:rsidRPr="000A4BF0" w:rsidRDefault="00CE3A5A" w:rsidP="006940C8">
            <w:pPr>
              <w:spacing w:line="480" w:lineRule="auto"/>
              <w:rPr>
                <w:sz w:val="20"/>
                <w:szCs w:val="20"/>
              </w:rPr>
            </w:pPr>
          </w:p>
        </w:tc>
      </w:tr>
      <w:tr w:rsidR="00CE3A5A" w:rsidRPr="000A4BF0" w:rsidTr="00345084">
        <w:tc>
          <w:tcPr>
            <w:tcW w:w="2808" w:type="dxa"/>
            <w:tcBorders>
              <w:top w:val="single" w:sz="4" w:space="0" w:color="auto"/>
            </w:tcBorders>
          </w:tcPr>
          <w:p w:rsidR="00CE3A5A" w:rsidRPr="000A4BF0" w:rsidRDefault="00CE3A5A" w:rsidP="006940C8">
            <w:pPr>
              <w:spacing w:line="480" w:lineRule="auto"/>
              <w:rPr>
                <w:sz w:val="20"/>
                <w:szCs w:val="20"/>
              </w:rPr>
            </w:pPr>
            <w:r w:rsidRPr="000A4BF0">
              <w:rPr>
                <w:sz w:val="20"/>
                <w:szCs w:val="20"/>
              </w:rPr>
              <w:t>C</w:t>
            </w:r>
          </w:p>
        </w:tc>
        <w:tc>
          <w:tcPr>
            <w:tcW w:w="2880" w:type="dxa"/>
            <w:tcBorders>
              <w:top w:val="single" w:sz="4" w:space="0" w:color="auto"/>
            </w:tcBorders>
          </w:tcPr>
          <w:p w:rsidR="00CE3A5A" w:rsidRPr="000A4BF0" w:rsidRDefault="00CE3A5A" w:rsidP="003058D9">
            <w:pPr>
              <w:spacing w:line="480" w:lineRule="auto"/>
              <w:rPr>
                <w:sz w:val="20"/>
                <w:szCs w:val="20"/>
              </w:rPr>
            </w:pPr>
            <w:r w:rsidRPr="000A4BF0">
              <w:rPr>
                <w:sz w:val="20"/>
                <w:szCs w:val="20"/>
              </w:rPr>
              <w:t>0.41</w:t>
            </w:r>
            <w:r w:rsidR="003058D9">
              <w:rPr>
                <w:sz w:val="20"/>
                <w:szCs w:val="20"/>
              </w:rPr>
              <w:t>4</w:t>
            </w:r>
            <w:r w:rsidRPr="000A4BF0">
              <w:rPr>
                <w:sz w:val="20"/>
                <w:szCs w:val="20"/>
              </w:rPr>
              <w:t xml:space="preserve">* </w:t>
            </w:r>
            <w:r w:rsidR="003058D9">
              <w:rPr>
                <w:sz w:val="20"/>
                <w:szCs w:val="20"/>
              </w:rPr>
              <w:t xml:space="preserve"> </w:t>
            </w:r>
            <w:r w:rsidRPr="000A4BF0">
              <w:rPr>
                <w:sz w:val="20"/>
                <w:szCs w:val="20"/>
              </w:rPr>
              <w:t>(4.097)</w:t>
            </w:r>
          </w:p>
        </w:tc>
      </w:tr>
      <w:tr w:rsidR="00CE3A5A" w:rsidRPr="000A4BF0" w:rsidTr="00345084">
        <w:tc>
          <w:tcPr>
            <w:tcW w:w="2808" w:type="dxa"/>
          </w:tcPr>
          <w:p w:rsidR="00CE3A5A" w:rsidRPr="000A4BF0" w:rsidRDefault="00CE3A5A" w:rsidP="006940C8">
            <w:pPr>
              <w:spacing w:line="480" w:lineRule="auto"/>
              <w:rPr>
                <w:sz w:val="20"/>
                <w:szCs w:val="20"/>
              </w:rPr>
            </w:pPr>
            <w:r w:rsidRPr="000A4BF0">
              <w:rPr>
                <w:sz w:val="20"/>
                <w:szCs w:val="20"/>
              </w:rPr>
              <w:t>CR</w:t>
            </w:r>
          </w:p>
        </w:tc>
        <w:tc>
          <w:tcPr>
            <w:tcW w:w="2880" w:type="dxa"/>
          </w:tcPr>
          <w:p w:rsidR="00CE3A5A" w:rsidRPr="000A4BF0" w:rsidRDefault="00CE3A5A" w:rsidP="003058D9">
            <w:pPr>
              <w:spacing w:line="480" w:lineRule="auto"/>
              <w:rPr>
                <w:sz w:val="20"/>
                <w:szCs w:val="20"/>
              </w:rPr>
            </w:pPr>
            <w:r w:rsidRPr="000A4BF0">
              <w:rPr>
                <w:sz w:val="20"/>
                <w:szCs w:val="20"/>
              </w:rPr>
              <w:t>0.016</w:t>
            </w:r>
            <w:r w:rsidR="00617600">
              <w:rPr>
                <w:sz w:val="20"/>
                <w:szCs w:val="20"/>
              </w:rPr>
              <w:t xml:space="preserve"> </w:t>
            </w:r>
            <w:r w:rsidR="003058D9">
              <w:rPr>
                <w:sz w:val="20"/>
                <w:szCs w:val="20"/>
              </w:rPr>
              <w:t xml:space="preserve"> </w:t>
            </w:r>
            <w:r w:rsidRPr="000A4BF0">
              <w:rPr>
                <w:sz w:val="20"/>
                <w:szCs w:val="20"/>
              </w:rPr>
              <w:t>(0.55</w:t>
            </w:r>
            <w:r w:rsidR="003058D9">
              <w:rPr>
                <w:sz w:val="20"/>
                <w:szCs w:val="20"/>
              </w:rPr>
              <w:t>2</w:t>
            </w:r>
            <w:r w:rsidRPr="000A4BF0">
              <w:rPr>
                <w:sz w:val="20"/>
                <w:szCs w:val="20"/>
              </w:rPr>
              <w:t>)</w:t>
            </w:r>
          </w:p>
        </w:tc>
      </w:tr>
      <w:tr w:rsidR="00CE3A5A" w:rsidRPr="000A4BF0" w:rsidTr="00345084">
        <w:tc>
          <w:tcPr>
            <w:tcW w:w="2808" w:type="dxa"/>
          </w:tcPr>
          <w:p w:rsidR="00CE3A5A" w:rsidRPr="000A4BF0" w:rsidRDefault="00CE3A5A" w:rsidP="006940C8">
            <w:pPr>
              <w:spacing w:line="480" w:lineRule="auto"/>
              <w:rPr>
                <w:sz w:val="20"/>
                <w:szCs w:val="20"/>
              </w:rPr>
            </w:pPr>
            <w:r w:rsidRPr="000A4BF0">
              <w:rPr>
                <w:sz w:val="20"/>
                <w:szCs w:val="20"/>
              </w:rPr>
              <w:t>DR</w:t>
            </w:r>
          </w:p>
        </w:tc>
        <w:tc>
          <w:tcPr>
            <w:tcW w:w="2880" w:type="dxa"/>
          </w:tcPr>
          <w:p w:rsidR="00CE3A5A" w:rsidRPr="000A4BF0" w:rsidRDefault="00CE3A5A" w:rsidP="003058D9">
            <w:pPr>
              <w:spacing w:line="480" w:lineRule="auto"/>
              <w:rPr>
                <w:sz w:val="20"/>
                <w:szCs w:val="20"/>
              </w:rPr>
            </w:pPr>
            <w:r w:rsidRPr="000A4BF0">
              <w:rPr>
                <w:sz w:val="20"/>
                <w:szCs w:val="20"/>
              </w:rPr>
              <w:t>-0.013*</w:t>
            </w:r>
            <w:r w:rsidR="00617600">
              <w:rPr>
                <w:sz w:val="20"/>
                <w:szCs w:val="20"/>
              </w:rPr>
              <w:t xml:space="preserve"> </w:t>
            </w:r>
            <w:r w:rsidR="003058D9">
              <w:rPr>
                <w:sz w:val="20"/>
                <w:szCs w:val="20"/>
              </w:rPr>
              <w:t xml:space="preserve"> </w:t>
            </w:r>
            <w:r w:rsidRPr="000A4BF0">
              <w:rPr>
                <w:sz w:val="20"/>
                <w:szCs w:val="20"/>
              </w:rPr>
              <w:t>(-1.819)</w:t>
            </w:r>
          </w:p>
        </w:tc>
      </w:tr>
      <w:tr w:rsidR="00CE3A5A" w:rsidRPr="000A4BF0" w:rsidTr="00345084">
        <w:tc>
          <w:tcPr>
            <w:tcW w:w="2808" w:type="dxa"/>
          </w:tcPr>
          <w:p w:rsidR="00CE3A5A" w:rsidRPr="000A4BF0" w:rsidRDefault="00CE3A5A" w:rsidP="006940C8">
            <w:pPr>
              <w:spacing w:line="480" w:lineRule="auto"/>
              <w:rPr>
                <w:sz w:val="20"/>
                <w:szCs w:val="20"/>
              </w:rPr>
            </w:pPr>
            <w:r w:rsidRPr="000A4BF0">
              <w:rPr>
                <w:sz w:val="20"/>
                <w:szCs w:val="20"/>
              </w:rPr>
              <w:t>LGS</w:t>
            </w:r>
          </w:p>
        </w:tc>
        <w:tc>
          <w:tcPr>
            <w:tcW w:w="2880" w:type="dxa"/>
          </w:tcPr>
          <w:p w:rsidR="00CE3A5A" w:rsidRPr="000A4BF0" w:rsidRDefault="00CE3A5A" w:rsidP="003058D9">
            <w:pPr>
              <w:spacing w:line="480" w:lineRule="auto"/>
              <w:rPr>
                <w:sz w:val="20"/>
                <w:szCs w:val="20"/>
              </w:rPr>
            </w:pPr>
            <w:r w:rsidRPr="000A4BF0">
              <w:rPr>
                <w:sz w:val="20"/>
                <w:szCs w:val="20"/>
              </w:rPr>
              <w:t>-0.00</w:t>
            </w:r>
            <w:r w:rsidR="003058D9">
              <w:rPr>
                <w:sz w:val="20"/>
                <w:szCs w:val="20"/>
              </w:rPr>
              <w:t>5</w:t>
            </w:r>
            <w:r w:rsidRPr="000A4BF0">
              <w:rPr>
                <w:sz w:val="20"/>
                <w:szCs w:val="20"/>
              </w:rPr>
              <w:t xml:space="preserve"> </w:t>
            </w:r>
            <w:r w:rsidR="003058D9">
              <w:rPr>
                <w:sz w:val="20"/>
                <w:szCs w:val="20"/>
              </w:rPr>
              <w:t xml:space="preserve"> </w:t>
            </w:r>
            <w:r w:rsidRPr="000A4BF0">
              <w:rPr>
                <w:sz w:val="20"/>
                <w:szCs w:val="20"/>
              </w:rPr>
              <w:t>(-1.004 )</w:t>
            </w:r>
          </w:p>
        </w:tc>
      </w:tr>
      <w:tr w:rsidR="00CE3A5A" w:rsidRPr="000A4BF0" w:rsidTr="00345084">
        <w:tc>
          <w:tcPr>
            <w:tcW w:w="2808" w:type="dxa"/>
          </w:tcPr>
          <w:p w:rsidR="00CE3A5A" w:rsidRPr="000A4BF0" w:rsidRDefault="00CE3A5A" w:rsidP="006940C8">
            <w:pPr>
              <w:spacing w:line="480" w:lineRule="auto"/>
              <w:rPr>
                <w:sz w:val="20"/>
                <w:szCs w:val="20"/>
              </w:rPr>
            </w:pPr>
            <w:r w:rsidRPr="000A4BF0">
              <w:rPr>
                <w:sz w:val="20"/>
                <w:szCs w:val="20"/>
              </w:rPr>
              <w:t>MB</w:t>
            </w:r>
          </w:p>
        </w:tc>
        <w:tc>
          <w:tcPr>
            <w:tcW w:w="2880" w:type="dxa"/>
          </w:tcPr>
          <w:p w:rsidR="00CE3A5A" w:rsidRPr="000A4BF0" w:rsidRDefault="00CE3A5A" w:rsidP="003058D9">
            <w:pPr>
              <w:spacing w:line="480" w:lineRule="auto"/>
              <w:rPr>
                <w:sz w:val="20"/>
                <w:szCs w:val="20"/>
              </w:rPr>
            </w:pPr>
            <w:r w:rsidRPr="000A4BF0">
              <w:rPr>
                <w:sz w:val="20"/>
                <w:szCs w:val="20"/>
              </w:rPr>
              <w:t>-0.002</w:t>
            </w:r>
            <w:r w:rsidR="003058D9">
              <w:rPr>
                <w:sz w:val="20"/>
                <w:szCs w:val="20"/>
              </w:rPr>
              <w:t xml:space="preserve"> </w:t>
            </w:r>
            <w:r w:rsidR="00617600">
              <w:rPr>
                <w:sz w:val="20"/>
                <w:szCs w:val="20"/>
              </w:rPr>
              <w:t xml:space="preserve"> </w:t>
            </w:r>
            <w:r w:rsidRPr="000A4BF0">
              <w:rPr>
                <w:sz w:val="20"/>
                <w:szCs w:val="20"/>
              </w:rPr>
              <w:t>(-0.364)</w:t>
            </w:r>
          </w:p>
        </w:tc>
      </w:tr>
      <w:tr w:rsidR="00CE3A5A" w:rsidRPr="000A4BF0" w:rsidTr="00345084">
        <w:tc>
          <w:tcPr>
            <w:tcW w:w="2808" w:type="dxa"/>
          </w:tcPr>
          <w:p w:rsidR="00CE3A5A" w:rsidRPr="000A4BF0" w:rsidRDefault="00CE3A5A" w:rsidP="006940C8">
            <w:pPr>
              <w:spacing w:line="480" w:lineRule="auto"/>
              <w:rPr>
                <w:sz w:val="20"/>
                <w:szCs w:val="20"/>
              </w:rPr>
            </w:pPr>
            <w:r w:rsidRPr="000A4BF0">
              <w:rPr>
                <w:sz w:val="20"/>
                <w:szCs w:val="20"/>
              </w:rPr>
              <w:t>ROA</w:t>
            </w:r>
          </w:p>
        </w:tc>
        <w:tc>
          <w:tcPr>
            <w:tcW w:w="2880" w:type="dxa"/>
          </w:tcPr>
          <w:p w:rsidR="00CE3A5A" w:rsidRPr="000A4BF0" w:rsidRDefault="00CE3A5A" w:rsidP="00B44550">
            <w:pPr>
              <w:spacing w:line="480" w:lineRule="auto"/>
              <w:rPr>
                <w:sz w:val="20"/>
                <w:szCs w:val="20"/>
              </w:rPr>
            </w:pPr>
            <w:r w:rsidRPr="000A4BF0">
              <w:rPr>
                <w:sz w:val="20"/>
                <w:szCs w:val="20"/>
              </w:rPr>
              <w:t>0.00</w:t>
            </w:r>
            <w:r w:rsidR="00B44550">
              <w:rPr>
                <w:sz w:val="20"/>
                <w:szCs w:val="20"/>
              </w:rPr>
              <w:t>6</w:t>
            </w:r>
            <w:r w:rsidR="003058D9">
              <w:rPr>
                <w:sz w:val="20"/>
                <w:szCs w:val="20"/>
              </w:rPr>
              <w:t xml:space="preserve"> </w:t>
            </w:r>
            <w:r w:rsidR="00617600">
              <w:rPr>
                <w:sz w:val="20"/>
                <w:szCs w:val="20"/>
              </w:rPr>
              <w:t xml:space="preserve"> </w:t>
            </w:r>
            <w:r w:rsidRPr="000A4BF0">
              <w:rPr>
                <w:sz w:val="20"/>
                <w:szCs w:val="20"/>
              </w:rPr>
              <w:t>(0.22</w:t>
            </w:r>
            <w:r w:rsidR="003058D9">
              <w:rPr>
                <w:sz w:val="20"/>
                <w:szCs w:val="20"/>
              </w:rPr>
              <w:t>7</w:t>
            </w:r>
            <w:r w:rsidRPr="000A4BF0">
              <w:rPr>
                <w:sz w:val="20"/>
                <w:szCs w:val="20"/>
              </w:rPr>
              <w:t>)</w:t>
            </w:r>
          </w:p>
        </w:tc>
      </w:tr>
      <w:tr w:rsidR="00CE3A5A" w:rsidRPr="000A4BF0" w:rsidTr="00345084">
        <w:tc>
          <w:tcPr>
            <w:tcW w:w="2808" w:type="dxa"/>
          </w:tcPr>
          <w:p w:rsidR="00CE3A5A" w:rsidRPr="000A4BF0" w:rsidRDefault="00506146" w:rsidP="006940C8">
            <w:pPr>
              <w:spacing w:line="480" w:lineRule="auto"/>
              <w:rPr>
                <w:sz w:val="20"/>
                <w:szCs w:val="20"/>
              </w:rPr>
            </w:pPr>
            <w:r w:rsidRPr="000A4BF0">
              <w:rPr>
                <w:sz w:val="20"/>
                <w:szCs w:val="20"/>
              </w:rPr>
              <w:t>Tangibility</w:t>
            </w:r>
          </w:p>
        </w:tc>
        <w:tc>
          <w:tcPr>
            <w:tcW w:w="2880" w:type="dxa"/>
          </w:tcPr>
          <w:p w:rsidR="00CE3A5A" w:rsidRPr="000A4BF0" w:rsidRDefault="00CE3A5A" w:rsidP="00B44550">
            <w:pPr>
              <w:spacing w:line="480" w:lineRule="auto"/>
              <w:rPr>
                <w:sz w:val="20"/>
                <w:szCs w:val="20"/>
              </w:rPr>
            </w:pPr>
            <w:r w:rsidRPr="000A4BF0">
              <w:rPr>
                <w:sz w:val="20"/>
                <w:szCs w:val="20"/>
              </w:rPr>
              <w:t>-0.23</w:t>
            </w:r>
            <w:r w:rsidR="00B44550">
              <w:rPr>
                <w:sz w:val="20"/>
                <w:szCs w:val="20"/>
              </w:rPr>
              <w:t>4</w:t>
            </w:r>
            <w:r w:rsidRPr="000A4BF0">
              <w:rPr>
                <w:sz w:val="20"/>
                <w:szCs w:val="20"/>
              </w:rPr>
              <w:t>*</w:t>
            </w:r>
            <w:r w:rsidR="00617600">
              <w:rPr>
                <w:sz w:val="20"/>
                <w:szCs w:val="20"/>
              </w:rPr>
              <w:t xml:space="preserve"> </w:t>
            </w:r>
            <w:r w:rsidR="003058D9">
              <w:rPr>
                <w:sz w:val="20"/>
                <w:szCs w:val="20"/>
              </w:rPr>
              <w:t xml:space="preserve"> </w:t>
            </w:r>
            <w:r w:rsidRPr="000A4BF0">
              <w:rPr>
                <w:sz w:val="20"/>
                <w:szCs w:val="20"/>
              </w:rPr>
              <w:t>(-1.648)</w:t>
            </w:r>
          </w:p>
        </w:tc>
      </w:tr>
      <w:tr w:rsidR="00CE3A5A" w:rsidRPr="000A4BF0" w:rsidTr="00345084">
        <w:tc>
          <w:tcPr>
            <w:tcW w:w="2808" w:type="dxa"/>
            <w:tcBorders>
              <w:bottom w:val="single" w:sz="4" w:space="0" w:color="auto"/>
            </w:tcBorders>
          </w:tcPr>
          <w:p w:rsidR="00CE3A5A" w:rsidRPr="000A4BF0" w:rsidRDefault="00CE3A5A" w:rsidP="006940C8">
            <w:pPr>
              <w:spacing w:line="480" w:lineRule="auto"/>
              <w:rPr>
                <w:sz w:val="20"/>
                <w:szCs w:val="20"/>
              </w:rPr>
            </w:pPr>
            <w:r w:rsidRPr="000A4BF0">
              <w:rPr>
                <w:sz w:val="20"/>
                <w:szCs w:val="20"/>
              </w:rPr>
              <w:t>R(square)</w:t>
            </w:r>
          </w:p>
        </w:tc>
        <w:tc>
          <w:tcPr>
            <w:tcW w:w="2880" w:type="dxa"/>
            <w:tcBorders>
              <w:bottom w:val="single" w:sz="4" w:space="0" w:color="auto"/>
            </w:tcBorders>
          </w:tcPr>
          <w:p w:rsidR="00CE3A5A" w:rsidRPr="000A4BF0" w:rsidRDefault="00CE3A5A" w:rsidP="003058D9">
            <w:pPr>
              <w:spacing w:line="480" w:lineRule="auto"/>
              <w:rPr>
                <w:sz w:val="20"/>
                <w:szCs w:val="20"/>
              </w:rPr>
            </w:pPr>
            <w:r w:rsidRPr="000A4BF0">
              <w:rPr>
                <w:sz w:val="20"/>
                <w:szCs w:val="20"/>
              </w:rPr>
              <w:t>0.101</w:t>
            </w:r>
          </w:p>
        </w:tc>
      </w:tr>
    </w:tbl>
    <w:p w:rsidR="00DB2B64" w:rsidRPr="000A4BF0" w:rsidRDefault="00DB2B64" w:rsidP="006940C8">
      <w:pPr>
        <w:autoSpaceDE w:val="0"/>
        <w:autoSpaceDN w:val="0"/>
        <w:adjustRightInd w:val="0"/>
        <w:spacing w:line="480" w:lineRule="auto"/>
        <w:jc w:val="both"/>
        <w:rPr>
          <w:b/>
          <w:bCs/>
        </w:rPr>
      </w:pPr>
    </w:p>
    <w:p w:rsidR="00DB2B64" w:rsidRPr="000A4BF0" w:rsidRDefault="00DB2B64" w:rsidP="006940C8">
      <w:pPr>
        <w:autoSpaceDE w:val="0"/>
        <w:autoSpaceDN w:val="0"/>
        <w:adjustRightInd w:val="0"/>
        <w:spacing w:line="480" w:lineRule="auto"/>
        <w:jc w:val="both"/>
        <w:rPr>
          <w:b/>
          <w:bCs/>
        </w:rPr>
      </w:pPr>
    </w:p>
    <w:p w:rsidR="00DB2B64" w:rsidRPr="000A4BF0" w:rsidRDefault="00DB2B64" w:rsidP="006940C8">
      <w:pPr>
        <w:autoSpaceDE w:val="0"/>
        <w:autoSpaceDN w:val="0"/>
        <w:adjustRightInd w:val="0"/>
        <w:spacing w:line="480" w:lineRule="auto"/>
        <w:jc w:val="both"/>
        <w:rPr>
          <w:b/>
          <w:bCs/>
        </w:rPr>
      </w:pPr>
    </w:p>
    <w:p w:rsidR="000C5FDA" w:rsidRPr="000A4BF0" w:rsidRDefault="000C5FDA" w:rsidP="006940C8">
      <w:pPr>
        <w:spacing w:line="480" w:lineRule="auto"/>
      </w:pPr>
    </w:p>
    <w:p w:rsidR="009E2AC7" w:rsidRPr="000A4BF0" w:rsidRDefault="009E2AC7" w:rsidP="006940C8">
      <w:pPr>
        <w:spacing w:line="480" w:lineRule="auto"/>
      </w:pPr>
    </w:p>
    <w:p w:rsidR="007B2859" w:rsidRPr="000A4BF0" w:rsidRDefault="007B2859" w:rsidP="006940C8">
      <w:pPr>
        <w:spacing w:line="480" w:lineRule="auto"/>
        <w:jc w:val="both"/>
      </w:pPr>
    </w:p>
    <w:p w:rsidR="007B2859" w:rsidRPr="000A4BF0" w:rsidRDefault="007B2859" w:rsidP="006940C8">
      <w:pPr>
        <w:spacing w:line="480" w:lineRule="auto"/>
        <w:jc w:val="both"/>
      </w:pPr>
    </w:p>
    <w:p w:rsidR="007B2859" w:rsidRPr="000A4BF0" w:rsidRDefault="007B2859" w:rsidP="006940C8">
      <w:pPr>
        <w:spacing w:line="480" w:lineRule="auto"/>
        <w:jc w:val="both"/>
      </w:pPr>
    </w:p>
    <w:p w:rsidR="007B2859" w:rsidRPr="000A4BF0" w:rsidRDefault="007B2859" w:rsidP="006940C8">
      <w:pPr>
        <w:spacing w:line="480" w:lineRule="auto"/>
        <w:jc w:val="both"/>
      </w:pPr>
    </w:p>
    <w:p w:rsidR="007B2859" w:rsidRPr="000A4BF0" w:rsidRDefault="007B2859" w:rsidP="006940C8">
      <w:pPr>
        <w:spacing w:line="480" w:lineRule="auto"/>
        <w:jc w:val="both"/>
      </w:pPr>
    </w:p>
    <w:p w:rsidR="009E2AC7" w:rsidRPr="000A4BF0" w:rsidRDefault="00B5321A" w:rsidP="006940C8">
      <w:pPr>
        <w:spacing w:line="480" w:lineRule="auto"/>
        <w:jc w:val="both"/>
      </w:pPr>
      <w:r w:rsidRPr="000A4BF0">
        <w:t xml:space="preserve">Positive relationship </w:t>
      </w:r>
      <w:r w:rsidR="00F65690" w:rsidRPr="000A4BF0">
        <w:t>showed by liquidity and profitability which means the more liquid and profitable the firm the higher it would pay dividend.</w:t>
      </w:r>
      <w:r w:rsidRPr="000A4BF0">
        <w:t xml:space="preserve"> </w:t>
      </w:r>
      <w:r w:rsidR="002727F9" w:rsidRPr="000A4BF0">
        <w:t>Negative relationship between market to book value ratio and dividend payout shows that if firm has more investment opportunities it would pay less dividend. However, negative relationship between log of sales and dividend payout is against what has been found in literature.</w:t>
      </w:r>
      <w:r w:rsidR="00F65690" w:rsidRPr="000A4BF0">
        <w:t xml:space="preserve"> </w:t>
      </w:r>
    </w:p>
    <w:p w:rsidR="00077E26" w:rsidRPr="000A4BF0" w:rsidRDefault="003058D9" w:rsidP="006940C8">
      <w:pPr>
        <w:spacing w:line="480" w:lineRule="auto"/>
        <w:jc w:val="both"/>
      </w:pPr>
      <w:r>
        <w:t>The v</w:t>
      </w:r>
      <w:r w:rsidR="00077E26" w:rsidRPr="000A4BF0">
        <w:t>alue of R</w:t>
      </w:r>
      <w:r w:rsidR="00D723B3">
        <w:t xml:space="preserve"> </w:t>
      </w:r>
      <w:r w:rsidR="00077E26" w:rsidRPr="000A4BF0">
        <w:t>(square) shows that model only explains 10% of the variation in dividend payout</w:t>
      </w:r>
      <w:r w:rsidR="0018379B" w:rsidRPr="000A4BF0">
        <w:t xml:space="preserve"> moreover sign</w:t>
      </w:r>
      <w:r w:rsidR="00801031" w:rsidRPr="000A4BF0">
        <w:t>ificance of intercept term further confirms</w:t>
      </w:r>
      <w:r w:rsidR="0018379B" w:rsidRPr="000A4BF0">
        <w:t xml:space="preserve"> that there may be other variables which are responsible for the changes in dividend payment.</w:t>
      </w:r>
    </w:p>
    <w:p w:rsidR="00D723B3" w:rsidRDefault="00D723B3" w:rsidP="006940C8">
      <w:pPr>
        <w:spacing w:line="480" w:lineRule="auto"/>
        <w:rPr>
          <w:b/>
          <w:iCs/>
        </w:rPr>
      </w:pPr>
    </w:p>
    <w:p w:rsidR="00D723B3" w:rsidRDefault="00D723B3" w:rsidP="006940C8">
      <w:pPr>
        <w:spacing w:line="480" w:lineRule="auto"/>
        <w:rPr>
          <w:b/>
          <w:iCs/>
        </w:rPr>
      </w:pPr>
    </w:p>
    <w:p w:rsidR="00D723B3" w:rsidRDefault="00D723B3" w:rsidP="006940C8">
      <w:pPr>
        <w:spacing w:line="480" w:lineRule="auto"/>
        <w:rPr>
          <w:b/>
          <w:iCs/>
        </w:rPr>
      </w:pPr>
    </w:p>
    <w:p w:rsidR="00D723B3" w:rsidRDefault="00D723B3" w:rsidP="006940C8">
      <w:pPr>
        <w:spacing w:line="480" w:lineRule="auto"/>
        <w:rPr>
          <w:b/>
          <w:iCs/>
        </w:rPr>
      </w:pPr>
    </w:p>
    <w:p w:rsidR="003956CA" w:rsidRPr="000A4BF0" w:rsidRDefault="005449B6" w:rsidP="006940C8">
      <w:pPr>
        <w:spacing w:line="480" w:lineRule="auto"/>
        <w:rPr>
          <w:b/>
        </w:rPr>
      </w:pPr>
      <w:r w:rsidRPr="000A4BF0">
        <w:rPr>
          <w:b/>
          <w:iCs/>
        </w:rPr>
        <w:t>Table</w:t>
      </w:r>
      <w:r w:rsidR="00D723B3">
        <w:rPr>
          <w:b/>
          <w:iCs/>
        </w:rPr>
        <w:t xml:space="preserve"> </w:t>
      </w:r>
      <w:r w:rsidRPr="000A4BF0">
        <w:rPr>
          <w:b/>
          <w:iCs/>
        </w:rPr>
        <w:t>3</w:t>
      </w:r>
      <w:r w:rsidR="003956CA">
        <w:rPr>
          <w:b/>
          <w:iCs/>
        </w:rPr>
        <w:t xml:space="preserve">: </w:t>
      </w:r>
      <w:r w:rsidR="003956CA" w:rsidRPr="000A4BF0">
        <w:rPr>
          <w:b/>
        </w:rPr>
        <w:t>LINTNER MODEL</w:t>
      </w:r>
    </w:p>
    <w:tbl>
      <w:tblPr>
        <w:tblW w:w="0" w:type="auto"/>
        <w:tblLook w:val="01E0" w:firstRow="1" w:lastRow="1" w:firstColumn="1" w:lastColumn="1" w:noHBand="0" w:noVBand="0"/>
      </w:tblPr>
      <w:tblGrid>
        <w:gridCol w:w="1648"/>
        <w:gridCol w:w="1822"/>
        <w:gridCol w:w="1823"/>
        <w:gridCol w:w="1516"/>
        <w:gridCol w:w="1831"/>
      </w:tblGrid>
      <w:tr w:rsidR="00090C1F" w:rsidRPr="000A4BF0" w:rsidTr="00345084">
        <w:tc>
          <w:tcPr>
            <w:tcW w:w="1703" w:type="dxa"/>
            <w:tcBorders>
              <w:top w:val="single" w:sz="4" w:space="0" w:color="auto"/>
              <w:bottom w:val="single" w:sz="4" w:space="0" w:color="auto"/>
            </w:tcBorders>
          </w:tcPr>
          <w:p w:rsidR="00090C1F" w:rsidRPr="000A4BF0" w:rsidRDefault="00090C1F" w:rsidP="006940C8">
            <w:pPr>
              <w:autoSpaceDE w:val="0"/>
              <w:autoSpaceDN w:val="0"/>
              <w:adjustRightInd w:val="0"/>
              <w:spacing w:line="480" w:lineRule="auto"/>
              <w:rPr>
                <w:b/>
                <w:iCs/>
                <w:sz w:val="20"/>
                <w:szCs w:val="20"/>
              </w:rPr>
            </w:pPr>
            <w:r w:rsidRPr="000A4BF0">
              <w:rPr>
                <w:b/>
                <w:iCs/>
                <w:sz w:val="20"/>
                <w:szCs w:val="20"/>
              </w:rPr>
              <w:t>year</w:t>
            </w:r>
          </w:p>
        </w:tc>
        <w:tc>
          <w:tcPr>
            <w:tcW w:w="1867" w:type="dxa"/>
            <w:tcBorders>
              <w:top w:val="single" w:sz="4" w:space="0" w:color="auto"/>
              <w:bottom w:val="single" w:sz="4" w:space="0" w:color="auto"/>
            </w:tcBorders>
          </w:tcPr>
          <w:p w:rsidR="00090C1F" w:rsidRPr="000A4BF0" w:rsidRDefault="00090C1F" w:rsidP="006940C8">
            <w:pPr>
              <w:autoSpaceDE w:val="0"/>
              <w:autoSpaceDN w:val="0"/>
              <w:adjustRightInd w:val="0"/>
              <w:spacing w:line="480" w:lineRule="auto"/>
              <w:rPr>
                <w:b/>
                <w:iCs/>
                <w:sz w:val="20"/>
                <w:szCs w:val="20"/>
              </w:rPr>
            </w:pPr>
            <w:r w:rsidRPr="000A4BF0">
              <w:rPr>
                <w:b/>
                <w:iCs/>
                <w:sz w:val="20"/>
                <w:szCs w:val="20"/>
              </w:rPr>
              <w:t>intercept</w:t>
            </w:r>
          </w:p>
        </w:tc>
        <w:tc>
          <w:tcPr>
            <w:tcW w:w="1867" w:type="dxa"/>
            <w:tcBorders>
              <w:top w:val="single" w:sz="4" w:space="0" w:color="auto"/>
              <w:bottom w:val="single" w:sz="4" w:space="0" w:color="auto"/>
            </w:tcBorders>
          </w:tcPr>
          <w:p w:rsidR="00090C1F" w:rsidRPr="000A4BF0" w:rsidRDefault="008217C3" w:rsidP="006940C8">
            <w:pPr>
              <w:autoSpaceDE w:val="0"/>
              <w:autoSpaceDN w:val="0"/>
              <w:adjustRightInd w:val="0"/>
              <w:spacing w:line="480" w:lineRule="auto"/>
              <w:rPr>
                <w:b/>
                <w:iCs/>
                <w:sz w:val="20"/>
                <w:szCs w:val="20"/>
              </w:rPr>
            </w:pPr>
            <w:r w:rsidRPr="000A4BF0">
              <w:rPr>
                <w:b/>
                <w:iCs/>
                <w:sz w:val="20"/>
                <w:szCs w:val="20"/>
              </w:rPr>
              <w:t>Last</w:t>
            </w:r>
            <w:r w:rsidR="00090C1F" w:rsidRPr="000A4BF0">
              <w:rPr>
                <w:b/>
                <w:iCs/>
                <w:sz w:val="20"/>
                <w:szCs w:val="20"/>
              </w:rPr>
              <w:t xml:space="preserve"> year</w:t>
            </w:r>
            <w:r w:rsidRPr="000A4BF0">
              <w:rPr>
                <w:b/>
                <w:iCs/>
                <w:sz w:val="20"/>
                <w:szCs w:val="20"/>
              </w:rPr>
              <w:t>’s</w:t>
            </w:r>
            <w:r w:rsidR="00090C1F" w:rsidRPr="000A4BF0">
              <w:rPr>
                <w:b/>
                <w:iCs/>
                <w:sz w:val="20"/>
                <w:szCs w:val="20"/>
              </w:rPr>
              <w:t xml:space="preserve"> Dividend</w:t>
            </w:r>
          </w:p>
        </w:tc>
        <w:tc>
          <w:tcPr>
            <w:tcW w:w="1548" w:type="dxa"/>
            <w:tcBorders>
              <w:top w:val="single" w:sz="4" w:space="0" w:color="auto"/>
              <w:bottom w:val="single" w:sz="4" w:space="0" w:color="auto"/>
            </w:tcBorders>
          </w:tcPr>
          <w:p w:rsidR="00090C1F" w:rsidRPr="000A4BF0" w:rsidRDefault="00090C1F" w:rsidP="006940C8">
            <w:pPr>
              <w:autoSpaceDE w:val="0"/>
              <w:autoSpaceDN w:val="0"/>
              <w:adjustRightInd w:val="0"/>
              <w:spacing w:line="480" w:lineRule="auto"/>
              <w:rPr>
                <w:b/>
                <w:iCs/>
                <w:sz w:val="20"/>
                <w:szCs w:val="20"/>
              </w:rPr>
            </w:pPr>
            <w:r w:rsidRPr="000A4BF0">
              <w:rPr>
                <w:b/>
                <w:iCs/>
                <w:sz w:val="20"/>
                <w:szCs w:val="20"/>
              </w:rPr>
              <w:t xml:space="preserve">Current Earning per share </w:t>
            </w:r>
          </w:p>
        </w:tc>
        <w:tc>
          <w:tcPr>
            <w:tcW w:w="1871" w:type="dxa"/>
            <w:tcBorders>
              <w:top w:val="single" w:sz="4" w:space="0" w:color="auto"/>
              <w:bottom w:val="single" w:sz="4" w:space="0" w:color="auto"/>
            </w:tcBorders>
          </w:tcPr>
          <w:p w:rsidR="00090C1F" w:rsidRPr="000A4BF0" w:rsidRDefault="00090C1F" w:rsidP="006940C8">
            <w:pPr>
              <w:autoSpaceDE w:val="0"/>
              <w:autoSpaceDN w:val="0"/>
              <w:adjustRightInd w:val="0"/>
              <w:spacing w:line="480" w:lineRule="auto"/>
              <w:rPr>
                <w:b/>
                <w:iCs/>
                <w:sz w:val="20"/>
                <w:szCs w:val="20"/>
              </w:rPr>
            </w:pPr>
            <w:r w:rsidRPr="000A4BF0">
              <w:rPr>
                <w:b/>
                <w:iCs/>
                <w:sz w:val="20"/>
                <w:szCs w:val="20"/>
              </w:rPr>
              <w:t>R(square)</w:t>
            </w:r>
          </w:p>
        </w:tc>
      </w:tr>
      <w:tr w:rsidR="00090C1F" w:rsidRPr="000A4BF0" w:rsidTr="00345084">
        <w:tc>
          <w:tcPr>
            <w:tcW w:w="1703" w:type="dxa"/>
            <w:tcBorders>
              <w:top w:val="single" w:sz="4" w:space="0" w:color="auto"/>
            </w:tcBorders>
          </w:tcPr>
          <w:p w:rsidR="00090C1F" w:rsidRPr="000A4BF0" w:rsidRDefault="00090C1F" w:rsidP="003058D9">
            <w:pPr>
              <w:autoSpaceDE w:val="0"/>
              <w:autoSpaceDN w:val="0"/>
              <w:adjustRightInd w:val="0"/>
              <w:spacing w:line="480" w:lineRule="auto"/>
              <w:rPr>
                <w:b/>
                <w:iCs/>
                <w:sz w:val="20"/>
                <w:szCs w:val="20"/>
              </w:rPr>
            </w:pPr>
            <w:r w:rsidRPr="000A4BF0">
              <w:rPr>
                <w:b/>
                <w:iCs/>
                <w:sz w:val="20"/>
                <w:szCs w:val="20"/>
              </w:rPr>
              <w:t>20</w:t>
            </w:r>
            <w:r w:rsidR="003058D9">
              <w:rPr>
                <w:b/>
                <w:iCs/>
                <w:sz w:val="20"/>
                <w:szCs w:val="20"/>
              </w:rPr>
              <w:t>10</w:t>
            </w:r>
          </w:p>
        </w:tc>
        <w:tc>
          <w:tcPr>
            <w:tcW w:w="1867" w:type="dxa"/>
            <w:tcBorders>
              <w:top w:val="single" w:sz="4" w:space="0" w:color="auto"/>
            </w:tcBorders>
          </w:tcPr>
          <w:p w:rsidR="00090C1F" w:rsidRPr="000A4BF0" w:rsidRDefault="00090C1F" w:rsidP="006940C8">
            <w:pPr>
              <w:autoSpaceDE w:val="0"/>
              <w:autoSpaceDN w:val="0"/>
              <w:adjustRightInd w:val="0"/>
              <w:spacing w:line="480" w:lineRule="auto"/>
              <w:rPr>
                <w:sz w:val="20"/>
                <w:szCs w:val="20"/>
              </w:rPr>
            </w:pPr>
            <w:r w:rsidRPr="000A4BF0">
              <w:rPr>
                <w:sz w:val="20"/>
                <w:szCs w:val="20"/>
              </w:rPr>
              <w:t>0.072</w:t>
            </w:r>
          </w:p>
          <w:p w:rsidR="00090C1F" w:rsidRPr="000A4BF0" w:rsidRDefault="00090C1F" w:rsidP="0048613F">
            <w:pPr>
              <w:autoSpaceDE w:val="0"/>
              <w:autoSpaceDN w:val="0"/>
              <w:adjustRightInd w:val="0"/>
              <w:spacing w:line="480" w:lineRule="auto"/>
              <w:rPr>
                <w:iCs/>
                <w:sz w:val="20"/>
                <w:szCs w:val="20"/>
              </w:rPr>
            </w:pPr>
            <w:r w:rsidRPr="000A4BF0">
              <w:rPr>
                <w:sz w:val="20"/>
                <w:szCs w:val="20"/>
              </w:rPr>
              <w:t>(1.03)</w:t>
            </w:r>
          </w:p>
        </w:tc>
        <w:tc>
          <w:tcPr>
            <w:tcW w:w="1867" w:type="dxa"/>
            <w:tcBorders>
              <w:top w:val="single" w:sz="4" w:space="0" w:color="auto"/>
            </w:tcBorders>
          </w:tcPr>
          <w:p w:rsidR="00090C1F" w:rsidRPr="000A4BF0" w:rsidRDefault="00090C1F" w:rsidP="006940C8">
            <w:pPr>
              <w:autoSpaceDE w:val="0"/>
              <w:autoSpaceDN w:val="0"/>
              <w:adjustRightInd w:val="0"/>
              <w:spacing w:line="480" w:lineRule="auto"/>
              <w:rPr>
                <w:sz w:val="20"/>
                <w:szCs w:val="20"/>
              </w:rPr>
            </w:pPr>
            <w:r w:rsidRPr="000A4BF0">
              <w:rPr>
                <w:sz w:val="20"/>
                <w:szCs w:val="20"/>
              </w:rPr>
              <w:t>0.662*</w:t>
            </w:r>
          </w:p>
          <w:p w:rsidR="00090C1F" w:rsidRPr="000A4BF0" w:rsidRDefault="00090C1F" w:rsidP="0048613F">
            <w:pPr>
              <w:autoSpaceDE w:val="0"/>
              <w:autoSpaceDN w:val="0"/>
              <w:adjustRightInd w:val="0"/>
              <w:spacing w:line="480" w:lineRule="auto"/>
              <w:rPr>
                <w:iCs/>
                <w:sz w:val="20"/>
                <w:szCs w:val="20"/>
              </w:rPr>
            </w:pPr>
            <w:r w:rsidRPr="000A4BF0">
              <w:rPr>
                <w:sz w:val="20"/>
                <w:szCs w:val="20"/>
              </w:rPr>
              <w:t>(5.81)</w:t>
            </w:r>
          </w:p>
        </w:tc>
        <w:tc>
          <w:tcPr>
            <w:tcW w:w="1548" w:type="dxa"/>
            <w:tcBorders>
              <w:top w:val="single" w:sz="4" w:space="0" w:color="auto"/>
            </w:tcBorders>
          </w:tcPr>
          <w:p w:rsidR="00090C1F" w:rsidRPr="000A4BF0" w:rsidRDefault="00090C1F" w:rsidP="006940C8">
            <w:pPr>
              <w:autoSpaceDE w:val="0"/>
              <w:autoSpaceDN w:val="0"/>
              <w:adjustRightInd w:val="0"/>
              <w:spacing w:line="480" w:lineRule="auto"/>
              <w:rPr>
                <w:sz w:val="20"/>
                <w:szCs w:val="20"/>
              </w:rPr>
            </w:pPr>
            <w:r w:rsidRPr="000A4BF0">
              <w:rPr>
                <w:sz w:val="20"/>
                <w:szCs w:val="20"/>
              </w:rPr>
              <w:t>0.001</w:t>
            </w:r>
          </w:p>
          <w:p w:rsidR="00090C1F" w:rsidRPr="000A4BF0" w:rsidRDefault="00090C1F" w:rsidP="0048613F">
            <w:pPr>
              <w:autoSpaceDE w:val="0"/>
              <w:autoSpaceDN w:val="0"/>
              <w:adjustRightInd w:val="0"/>
              <w:spacing w:line="480" w:lineRule="auto"/>
              <w:rPr>
                <w:iCs/>
                <w:sz w:val="20"/>
                <w:szCs w:val="20"/>
              </w:rPr>
            </w:pPr>
            <w:r w:rsidRPr="000A4BF0">
              <w:rPr>
                <w:iCs/>
                <w:sz w:val="20"/>
                <w:szCs w:val="20"/>
              </w:rPr>
              <w:t>(</w:t>
            </w:r>
            <w:r w:rsidRPr="000A4BF0">
              <w:rPr>
                <w:sz w:val="20"/>
                <w:szCs w:val="20"/>
              </w:rPr>
              <w:t>0.35)</w:t>
            </w:r>
          </w:p>
        </w:tc>
        <w:tc>
          <w:tcPr>
            <w:tcW w:w="1871" w:type="dxa"/>
            <w:tcBorders>
              <w:top w:val="single" w:sz="4" w:space="0" w:color="auto"/>
            </w:tcBorders>
          </w:tcPr>
          <w:p w:rsidR="00090C1F" w:rsidRPr="000A4BF0" w:rsidRDefault="00090C1F" w:rsidP="0048613F">
            <w:pPr>
              <w:autoSpaceDE w:val="0"/>
              <w:autoSpaceDN w:val="0"/>
              <w:adjustRightInd w:val="0"/>
              <w:spacing w:line="480" w:lineRule="auto"/>
              <w:rPr>
                <w:iCs/>
                <w:sz w:val="20"/>
                <w:szCs w:val="20"/>
              </w:rPr>
            </w:pPr>
            <w:r w:rsidRPr="000A4BF0">
              <w:rPr>
                <w:sz w:val="20"/>
                <w:szCs w:val="20"/>
              </w:rPr>
              <w:t>0.553</w:t>
            </w:r>
          </w:p>
        </w:tc>
      </w:tr>
      <w:tr w:rsidR="00090C1F" w:rsidRPr="000A4BF0" w:rsidTr="00345084">
        <w:tc>
          <w:tcPr>
            <w:tcW w:w="1703" w:type="dxa"/>
          </w:tcPr>
          <w:p w:rsidR="00090C1F" w:rsidRPr="000A4BF0" w:rsidRDefault="00090C1F" w:rsidP="003058D9">
            <w:pPr>
              <w:autoSpaceDE w:val="0"/>
              <w:autoSpaceDN w:val="0"/>
              <w:adjustRightInd w:val="0"/>
              <w:spacing w:line="480" w:lineRule="auto"/>
              <w:rPr>
                <w:b/>
                <w:iCs/>
                <w:sz w:val="20"/>
                <w:szCs w:val="20"/>
              </w:rPr>
            </w:pPr>
            <w:r w:rsidRPr="000A4BF0">
              <w:rPr>
                <w:b/>
                <w:iCs/>
                <w:sz w:val="20"/>
                <w:szCs w:val="20"/>
              </w:rPr>
              <w:t>20</w:t>
            </w:r>
            <w:r w:rsidR="003058D9">
              <w:rPr>
                <w:b/>
                <w:iCs/>
                <w:sz w:val="20"/>
                <w:szCs w:val="20"/>
              </w:rPr>
              <w:t>11</w:t>
            </w:r>
            <w:bookmarkStart w:id="0" w:name="_GoBack"/>
            <w:bookmarkEnd w:id="0"/>
          </w:p>
        </w:tc>
        <w:tc>
          <w:tcPr>
            <w:tcW w:w="1867" w:type="dxa"/>
          </w:tcPr>
          <w:p w:rsidR="00090C1F" w:rsidRPr="000A4BF0" w:rsidRDefault="00090C1F" w:rsidP="006940C8">
            <w:pPr>
              <w:autoSpaceDE w:val="0"/>
              <w:autoSpaceDN w:val="0"/>
              <w:adjustRightInd w:val="0"/>
              <w:spacing w:line="480" w:lineRule="auto"/>
              <w:rPr>
                <w:sz w:val="20"/>
                <w:szCs w:val="20"/>
              </w:rPr>
            </w:pPr>
            <w:r w:rsidRPr="000A4BF0">
              <w:rPr>
                <w:sz w:val="20"/>
                <w:szCs w:val="20"/>
              </w:rPr>
              <w:t>0.043</w:t>
            </w:r>
          </w:p>
          <w:p w:rsidR="00090C1F" w:rsidRPr="000A4BF0" w:rsidRDefault="00090C1F" w:rsidP="0048613F">
            <w:pPr>
              <w:autoSpaceDE w:val="0"/>
              <w:autoSpaceDN w:val="0"/>
              <w:adjustRightInd w:val="0"/>
              <w:spacing w:line="480" w:lineRule="auto"/>
              <w:rPr>
                <w:iCs/>
                <w:sz w:val="20"/>
                <w:szCs w:val="20"/>
              </w:rPr>
            </w:pPr>
            <w:r w:rsidRPr="000A4BF0">
              <w:rPr>
                <w:iCs/>
                <w:sz w:val="20"/>
                <w:szCs w:val="20"/>
              </w:rPr>
              <w:t>(</w:t>
            </w:r>
            <w:r w:rsidRPr="000A4BF0">
              <w:rPr>
                <w:sz w:val="20"/>
                <w:szCs w:val="20"/>
              </w:rPr>
              <w:t>1.688)</w:t>
            </w:r>
          </w:p>
        </w:tc>
        <w:tc>
          <w:tcPr>
            <w:tcW w:w="1867" w:type="dxa"/>
          </w:tcPr>
          <w:p w:rsidR="00090C1F" w:rsidRPr="000A4BF0" w:rsidRDefault="00090C1F" w:rsidP="006940C8">
            <w:pPr>
              <w:autoSpaceDE w:val="0"/>
              <w:autoSpaceDN w:val="0"/>
              <w:adjustRightInd w:val="0"/>
              <w:spacing w:line="480" w:lineRule="auto"/>
              <w:rPr>
                <w:sz w:val="20"/>
                <w:szCs w:val="20"/>
              </w:rPr>
            </w:pPr>
            <w:r w:rsidRPr="000A4BF0">
              <w:rPr>
                <w:sz w:val="20"/>
                <w:szCs w:val="20"/>
              </w:rPr>
              <w:t>0.554*</w:t>
            </w:r>
          </w:p>
          <w:p w:rsidR="00090C1F" w:rsidRPr="000A4BF0" w:rsidRDefault="00090C1F" w:rsidP="0048613F">
            <w:pPr>
              <w:autoSpaceDE w:val="0"/>
              <w:autoSpaceDN w:val="0"/>
              <w:adjustRightInd w:val="0"/>
              <w:spacing w:line="480" w:lineRule="auto"/>
              <w:rPr>
                <w:iCs/>
                <w:sz w:val="20"/>
                <w:szCs w:val="20"/>
              </w:rPr>
            </w:pPr>
            <w:r w:rsidRPr="000A4BF0">
              <w:rPr>
                <w:sz w:val="20"/>
                <w:szCs w:val="20"/>
              </w:rPr>
              <w:t>(5.03)</w:t>
            </w:r>
          </w:p>
        </w:tc>
        <w:tc>
          <w:tcPr>
            <w:tcW w:w="1548" w:type="dxa"/>
          </w:tcPr>
          <w:p w:rsidR="00090C1F" w:rsidRPr="000A4BF0" w:rsidRDefault="00090C1F" w:rsidP="006940C8">
            <w:pPr>
              <w:autoSpaceDE w:val="0"/>
              <w:autoSpaceDN w:val="0"/>
              <w:adjustRightInd w:val="0"/>
              <w:spacing w:line="480" w:lineRule="auto"/>
              <w:rPr>
                <w:sz w:val="20"/>
                <w:szCs w:val="20"/>
              </w:rPr>
            </w:pPr>
            <w:r w:rsidRPr="000A4BF0">
              <w:rPr>
                <w:sz w:val="20"/>
                <w:szCs w:val="20"/>
              </w:rPr>
              <w:t>0.007*</w:t>
            </w:r>
          </w:p>
          <w:p w:rsidR="00090C1F" w:rsidRPr="000A4BF0" w:rsidRDefault="00090C1F" w:rsidP="0048613F">
            <w:pPr>
              <w:autoSpaceDE w:val="0"/>
              <w:autoSpaceDN w:val="0"/>
              <w:adjustRightInd w:val="0"/>
              <w:spacing w:line="480" w:lineRule="auto"/>
              <w:rPr>
                <w:iCs/>
                <w:sz w:val="20"/>
                <w:szCs w:val="20"/>
              </w:rPr>
            </w:pPr>
            <w:r w:rsidRPr="000A4BF0">
              <w:rPr>
                <w:sz w:val="20"/>
                <w:szCs w:val="20"/>
              </w:rPr>
              <w:t>(2.42)</w:t>
            </w:r>
          </w:p>
        </w:tc>
        <w:tc>
          <w:tcPr>
            <w:tcW w:w="1871" w:type="dxa"/>
          </w:tcPr>
          <w:p w:rsidR="00090C1F" w:rsidRPr="000A4BF0" w:rsidRDefault="00090C1F" w:rsidP="0048613F">
            <w:pPr>
              <w:autoSpaceDE w:val="0"/>
              <w:autoSpaceDN w:val="0"/>
              <w:adjustRightInd w:val="0"/>
              <w:spacing w:line="480" w:lineRule="auto"/>
              <w:rPr>
                <w:iCs/>
                <w:sz w:val="20"/>
                <w:szCs w:val="20"/>
              </w:rPr>
            </w:pPr>
            <w:r w:rsidRPr="000A4BF0">
              <w:rPr>
                <w:sz w:val="20"/>
                <w:szCs w:val="20"/>
              </w:rPr>
              <w:t>0.63</w:t>
            </w:r>
            <w:r w:rsidR="0048613F">
              <w:rPr>
                <w:sz w:val="20"/>
                <w:szCs w:val="20"/>
              </w:rPr>
              <w:t>6</w:t>
            </w:r>
          </w:p>
        </w:tc>
      </w:tr>
      <w:tr w:rsidR="00090C1F" w:rsidRPr="000A4BF0" w:rsidTr="00345084">
        <w:tc>
          <w:tcPr>
            <w:tcW w:w="1703" w:type="dxa"/>
          </w:tcPr>
          <w:p w:rsidR="00090C1F" w:rsidRPr="000A4BF0" w:rsidRDefault="00090C1F" w:rsidP="003058D9">
            <w:pPr>
              <w:autoSpaceDE w:val="0"/>
              <w:autoSpaceDN w:val="0"/>
              <w:adjustRightInd w:val="0"/>
              <w:spacing w:line="480" w:lineRule="auto"/>
              <w:rPr>
                <w:b/>
                <w:iCs/>
                <w:sz w:val="20"/>
                <w:szCs w:val="20"/>
              </w:rPr>
            </w:pPr>
            <w:r w:rsidRPr="000A4BF0">
              <w:rPr>
                <w:b/>
                <w:iCs/>
                <w:sz w:val="20"/>
                <w:szCs w:val="20"/>
              </w:rPr>
              <w:t>20</w:t>
            </w:r>
            <w:r w:rsidR="003058D9">
              <w:rPr>
                <w:b/>
                <w:iCs/>
                <w:sz w:val="20"/>
                <w:szCs w:val="20"/>
              </w:rPr>
              <w:t>12</w:t>
            </w:r>
          </w:p>
        </w:tc>
        <w:tc>
          <w:tcPr>
            <w:tcW w:w="1867" w:type="dxa"/>
          </w:tcPr>
          <w:p w:rsidR="00090C1F" w:rsidRPr="000A4BF0" w:rsidRDefault="00090C1F" w:rsidP="006940C8">
            <w:pPr>
              <w:autoSpaceDE w:val="0"/>
              <w:autoSpaceDN w:val="0"/>
              <w:adjustRightInd w:val="0"/>
              <w:spacing w:line="480" w:lineRule="auto"/>
              <w:rPr>
                <w:sz w:val="20"/>
                <w:szCs w:val="20"/>
              </w:rPr>
            </w:pPr>
            <w:r w:rsidRPr="000A4BF0">
              <w:rPr>
                <w:sz w:val="20"/>
                <w:szCs w:val="20"/>
              </w:rPr>
              <w:t>0.033</w:t>
            </w:r>
          </w:p>
          <w:p w:rsidR="00090C1F" w:rsidRPr="000A4BF0" w:rsidRDefault="00090C1F" w:rsidP="0048613F">
            <w:pPr>
              <w:autoSpaceDE w:val="0"/>
              <w:autoSpaceDN w:val="0"/>
              <w:adjustRightInd w:val="0"/>
              <w:spacing w:line="480" w:lineRule="auto"/>
              <w:rPr>
                <w:iCs/>
                <w:sz w:val="20"/>
                <w:szCs w:val="20"/>
              </w:rPr>
            </w:pPr>
            <w:r w:rsidRPr="000A4BF0">
              <w:rPr>
                <w:sz w:val="20"/>
                <w:szCs w:val="20"/>
              </w:rPr>
              <w:t>(0.49)</w:t>
            </w:r>
          </w:p>
        </w:tc>
        <w:tc>
          <w:tcPr>
            <w:tcW w:w="1867" w:type="dxa"/>
          </w:tcPr>
          <w:p w:rsidR="00090C1F" w:rsidRPr="000A4BF0" w:rsidRDefault="00090C1F" w:rsidP="006940C8">
            <w:pPr>
              <w:autoSpaceDE w:val="0"/>
              <w:autoSpaceDN w:val="0"/>
              <w:adjustRightInd w:val="0"/>
              <w:spacing w:line="480" w:lineRule="auto"/>
              <w:rPr>
                <w:sz w:val="20"/>
                <w:szCs w:val="20"/>
              </w:rPr>
            </w:pPr>
            <w:r w:rsidRPr="000A4BF0">
              <w:rPr>
                <w:sz w:val="20"/>
                <w:szCs w:val="20"/>
              </w:rPr>
              <w:t>0.51</w:t>
            </w:r>
            <w:r w:rsidR="0048613F">
              <w:rPr>
                <w:sz w:val="20"/>
                <w:szCs w:val="20"/>
              </w:rPr>
              <w:t>1</w:t>
            </w:r>
            <w:r w:rsidRPr="000A4BF0">
              <w:rPr>
                <w:sz w:val="20"/>
                <w:szCs w:val="20"/>
              </w:rPr>
              <w:t>*</w:t>
            </w:r>
          </w:p>
          <w:p w:rsidR="00090C1F" w:rsidRPr="000A4BF0" w:rsidRDefault="00090C1F" w:rsidP="0048613F">
            <w:pPr>
              <w:autoSpaceDE w:val="0"/>
              <w:autoSpaceDN w:val="0"/>
              <w:adjustRightInd w:val="0"/>
              <w:spacing w:line="480" w:lineRule="auto"/>
              <w:rPr>
                <w:iCs/>
                <w:sz w:val="20"/>
                <w:szCs w:val="20"/>
              </w:rPr>
            </w:pPr>
            <w:r w:rsidRPr="000A4BF0">
              <w:rPr>
                <w:sz w:val="20"/>
                <w:szCs w:val="20"/>
              </w:rPr>
              <w:t>(3.16)</w:t>
            </w:r>
          </w:p>
        </w:tc>
        <w:tc>
          <w:tcPr>
            <w:tcW w:w="1548" w:type="dxa"/>
          </w:tcPr>
          <w:p w:rsidR="00090C1F" w:rsidRPr="000A4BF0" w:rsidRDefault="00090C1F" w:rsidP="006940C8">
            <w:pPr>
              <w:autoSpaceDE w:val="0"/>
              <w:autoSpaceDN w:val="0"/>
              <w:adjustRightInd w:val="0"/>
              <w:spacing w:line="480" w:lineRule="auto"/>
              <w:rPr>
                <w:sz w:val="20"/>
                <w:szCs w:val="20"/>
              </w:rPr>
            </w:pPr>
            <w:r w:rsidRPr="000A4BF0">
              <w:rPr>
                <w:sz w:val="20"/>
                <w:szCs w:val="20"/>
              </w:rPr>
              <w:t>0.006</w:t>
            </w:r>
          </w:p>
          <w:p w:rsidR="00090C1F" w:rsidRPr="000A4BF0" w:rsidRDefault="00090C1F" w:rsidP="0048613F">
            <w:pPr>
              <w:autoSpaceDE w:val="0"/>
              <w:autoSpaceDN w:val="0"/>
              <w:adjustRightInd w:val="0"/>
              <w:spacing w:line="480" w:lineRule="auto"/>
              <w:rPr>
                <w:iCs/>
                <w:sz w:val="20"/>
                <w:szCs w:val="20"/>
              </w:rPr>
            </w:pPr>
            <w:r w:rsidRPr="000A4BF0">
              <w:rPr>
                <w:sz w:val="20"/>
                <w:szCs w:val="20"/>
              </w:rPr>
              <w:t>(1.58)</w:t>
            </w:r>
          </w:p>
        </w:tc>
        <w:tc>
          <w:tcPr>
            <w:tcW w:w="1871" w:type="dxa"/>
          </w:tcPr>
          <w:p w:rsidR="00090C1F" w:rsidRPr="000A4BF0" w:rsidRDefault="00090C1F" w:rsidP="0048613F">
            <w:pPr>
              <w:autoSpaceDE w:val="0"/>
              <w:autoSpaceDN w:val="0"/>
              <w:adjustRightInd w:val="0"/>
              <w:spacing w:line="480" w:lineRule="auto"/>
              <w:rPr>
                <w:iCs/>
                <w:sz w:val="20"/>
                <w:szCs w:val="20"/>
              </w:rPr>
            </w:pPr>
            <w:r w:rsidRPr="000A4BF0">
              <w:rPr>
                <w:sz w:val="20"/>
                <w:szCs w:val="20"/>
              </w:rPr>
              <w:t>0.365</w:t>
            </w:r>
          </w:p>
        </w:tc>
      </w:tr>
      <w:tr w:rsidR="00090C1F" w:rsidRPr="000A4BF0" w:rsidTr="00345084">
        <w:tc>
          <w:tcPr>
            <w:tcW w:w="1703" w:type="dxa"/>
          </w:tcPr>
          <w:p w:rsidR="00090C1F" w:rsidRPr="000A4BF0" w:rsidRDefault="00090C1F" w:rsidP="003058D9">
            <w:pPr>
              <w:autoSpaceDE w:val="0"/>
              <w:autoSpaceDN w:val="0"/>
              <w:adjustRightInd w:val="0"/>
              <w:spacing w:line="480" w:lineRule="auto"/>
              <w:rPr>
                <w:b/>
                <w:iCs/>
                <w:sz w:val="20"/>
                <w:szCs w:val="20"/>
              </w:rPr>
            </w:pPr>
            <w:r w:rsidRPr="000A4BF0">
              <w:rPr>
                <w:b/>
                <w:iCs/>
                <w:sz w:val="20"/>
                <w:szCs w:val="20"/>
              </w:rPr>
              <w:t>20</w:t>
            </w:r>
            <w:r w:rsidR="003058D9">
              <w:rPr>
                <w:b/>
                <w:iCs/>
                <w:sz w:val="20"/>
                <w:szCs w:val="20"/>
              </w:rPr>
              <w:t>13</w:t>
            </w:r>
          </w:p>
        </w:tc>
        <w:tc>
          <w:tcPr>
            <w:tcW w:w="1867" w:type="dxa"/>
          </w:tcPr>
          <w:p w:rsidR="00090C1F" w:rsidRPr="000A4BF0" w:rsidRDefault="00090C1F" w:rsidP="006940C8">
            <w:pPr>
              <w:autoSpaceDE w:val="0"/>
              <w:autoSpaceDN w:val="0"/>
              <w:adjustRightInd w:val="0"/>
              <w:spacing w:line="480" w:lineRule="auto"/>
              <w:rPr>
                <w:sz w:val="20"/>
                <w:szCs w:val="20"/>
              </w:rPr>
            </w:pPr>
            <w:r w:rsidRPr="000A4BF0">
              <w:rPr>
                <w:sz w:val="20"/>
                <w:szCs w:val="20"/>
              </w:rPr>
              <w:t>0.15</w:t>
            </w:r>
            <w:r w:rsidR="0048613F">
              <w:rPr>
                <w:sz w:val="20"/>
                <w:szCs w:val="20"/>
              </w:rPr>
              <w:t>9</w:t>
            </w:r>
          </w:p>
          <w:p w:rsidR="00090C1F" w:rsidRPr="000A4BF0" w:rsidRDefault="00090C1F" w:rsidP="0048613F">
            <w:pPr>
              <w:autoSpaceDE w:val="0"/>
              <w:autoSpaceDN w:val="0"/>
              <w:adjustRightInd w:val="0"/>
              <w:spacing w:line="480" w:lineRule="auto"/>
              <w:rPr>
                <w:iCs/>
                <w:sz w:val="20"/>
                <w:szCs w:val="20"/>
              </w:rPr>
            </w:pPr>
            <w:r w:rsidRPr="000A4BF0">
              <w:rPr>
                <w:sz w:val="20"/>
                <w:szCs w:val="20"/>
              </w:rPr>
              <w:t>(2.24)</w:t>
            </w:r>
          </w:p>
        </w:tc>
        <w:tc>
          <w:tcPr>
            <w:tcW w:w="1867" w:type="dxa"/>
          </w:tcPr>
          <w:p w:rsidR="00090C1F" w:rsidRPr="000A4BF0" w:rsidRDefault="00090C1F" w:rsidP="006940C8">
            <w:pPr>
              <w:autoSpaceDE w:val="0"/>
              <w:autoSpaceDN w:val="0"/>
              <w:adjustRightInd w:val="0"/>
              <w:spacing w:line="480" w:lineRule="auto"/>
              <w:rPr>
                <w:sz w:val="20"/>
                <w:szCs w:val="20"/>
              </w:rPr>
            </w:pPr>
            <w:r w:rsidRPr="000A4BF0">
              <w:rPr>
                <w:sz w:val="20"/>
                <w:szCs w:val="20"/>
              </w:rPr>
              <w:t>0.73</w:t>
            </w:r>
            <w:r w:rsidR="0048613F">
              <w:rPr>
                <w:sz w:val="20"/>
                <w:szCs w:val="20"/>
              </w:rPr>
              <w:t>2</w:t>
            </w:r>
            <w:r w:rsidRPr="000A4BF0">
              <w:rPr>
                <w:sz w:val="20"/>
                <w:szCs w:val="20"/>
              </w:rPr>
              <w:t>*</w:t>
            </w:r>
          </w:p>
          <w:p w:rsidR="00090C1F" w:rsidRPr="000A4BF0" w:rsidRDefault="00090C1F" w:rsidP="0048613F">
            <w:pPr>
              <w:autoSpaceDE w:val="0"/>
              <w:autoSpaceDN w:val="0"/>
              <w:adjustRightInd w:val="0"/>
              <w:spacing w:line="480" w:lineRule="auto"/>
              <w:rPr>
                <w:iCs/>
                <w:sz w:val="20"/>
                <w:szCs w:val="20"/>
              </w:rPr>
            </w:pPr>
            <w:r w:rsidRPr="000A4BF0">
              <w:rPr>
                <w:sz w:val="20"/>
                <w:szCs w:val="20"/>
              </w:rPr>
              <w:t>(4.13)</w:t>
            </w:r>
          </w:p>
        </w:tc>
        <w:tc>
          <w:tcPr>
            <w:tcW w:w="1548" w:type="dxa"/>
          </w:tcPr>
          <w:p w:rsidR="00090C1F" w:rsidRPr="000A4BF0" w:rsidRDefault="00090C1F" w:rsidP="006940C8">
            <w:pPr>
              <w:autoSpaceDE w:val="0"/>
              <w:autoSpaceDN w:val="0"/>
              <w:adjustRightInd w:val="0"/>
              <w:spacing w:line="480" w:lineRule="auto"/>
              <w:rPr>
                <w:sz w:val="20"/>
                <w:szCs w:val="20"/>
              </w:rPr>
            </w:pPr>
            <w:r w:rsidRPr="000A4BF0">
              <w:rPr>
                <w:sz w:val="20"/>
                <w:szCs w:val="20"/>
              </w:rPr>
              <w:t>-0.00</w:t>
            </w:r>
            <w:r w:rsidR="0048613F">
              <w:rPr>
                <w:sz w:val="20"/>
                <w:szCs w:val="20"/>
              </w:rPr>
              <w:t>1</w:t>
            </w:r>
          </w:p>
          <w:p w:rsidR="00090C1F" w:rsidRPr="000A4BF0" w:rsidRDefault="00090C1F" w:rsidP="0048613F">
            <w:pPr>
              <w:autoSpaceDE w:val="0"/>
              <w:autoSpaceDN w:val="0"/>
              <w:adjustRightInd w:val="0"/>
              <w:spacing w:line="480" w:lineRule="auto"/>
              <w:rPr>
                <w:iCs/>
                <w:sz w:val="20"/>
                <w:szCs w:val="20"/>
              </w:rPr>
            </w:pPr>
            <w:r w:rsidRPr="000A4BF0">
              <w:rPr>
                <w:iCs/>
                <w:sz w:val="20"/>
                <w:szCs w:val="20"/>
              </w:rPr>
              <w:t>(</w:t>
            </w:r>
            <w:r w:rsidRPr="000A4BF0">
              <w:rPr>
                <w:sz w:val="20"/>
                <w:szCs w:val="20"/>
              </w:rPr>
              <w:t>-0.34)</w:t>
            </w:r>
          </w:p>
        </w:tc>
        <w:tc>
          <w:tcPr>
            <w:tcW w:w="1871" w:type="dxa"/>
          </w:tcPr>
          <w:p w:rsidR="00090C1F" w:rsidRPr="000A4BF0" w:rsidRDefault="00090C1F" w:rsidP="0048613F">
            <w:pPr>
              <w:autoSpaceDE w:val="0"/>
              <w:autoSpaceDN w:val="0"/>
              <w:adjustRightInd w:val="0"/>
              <w:spacing w:line="480" w:lineRule="auto"/>
              <w:rPr>
                <w:iCs/>
                <w:sz w:val="20"/>
                <w:szCs w:val="20"/>
              </w:rPr>
            </w:pPr>
            <w:r w:rsidRPr="000A4BF0">
              <w:rPr>
                <w:sz w:val="20"/>
                <w:szCs w:val="20"/>
              </w:rPr>
              <w:t>0.37</w:t>
            </w:r>
            <w:r w:rsidR="0048613F">
              <w:rPr>
                <w:sz w:val="20"/>
                <w:szCs w:val="20"/>
              </w:rPr>
              <w:t>1</w:t>
            </w:r>
          </w:p>
        </w:tc>
      </w:tr>
      <w:tr w:rsidR="00090C1F" w:rsidRPr="000A4BF0" w:rsidTr="00345084">
        <w:tc>
          <w:tcPr>
            <w:tcW w:w="1703" w:type="dxa"/>
            <w:tcBorders>
              <w:bottom w:val="single" w:sz="4" w:space="0" w:color="auto"/>
            </w:tcBorders>
          </w:tcPr>
          <w:p w:rsidR="00090C1F" w:rsidRPr="000A4BF0" w:rsidRDefault="00090C1F" w:rsidP="003058D9">
            <w:pPr>
              <w:autoSpaceDE w:val="0"/>
              <w:autoSpaceDN w:val="0"/>
              <w:adjustRightInd w:val="0"/>
              <w:spacing w:line="480" w:lineRule="auto"/>
              <w:rPr>
                <w:b/>
                <w:iCs/>
                <w:sz w:val="20"/>
                <w:szCs w:val="20"/>
              </w:rPr>
            </w:pPr>
            <w:r w:rsidRPr="000A4BF0">
              <w:rPr>
                <w:b/>
                <w:iCs/>
                <w:sz w:val="20"/>
                <w:szCs w:val="20"/>
              </w:rPr>
              <w:t>20</w:t>
            </w:r>
            <w:r w:rsidR="003058D9">
              <w:rPr>
                <w:b/>
                <w:iCs/>
                <w:sz w:val="20"/>
                <w:szCs w:val="20"/>
              </w:rPr>
              <w:t>14</w:t>
            </w:r>
          </w:p>
        </w:tc>
        <w:tc>
          <w:tcPr>
            <w:tcW w:w="1867" w:type="dxa"/>
            <w:tcBorders>
              <w:bottom w:val="single" w:sz="4" w:space="0" w:color="auto"/>
            </w:tcBorders>
          </w:tcPr>
          <w:p w:rsidR="00090C1F" w:rsidRPr="000A4BF0" w:rsidRDefault="00090C1F" w:rsidP="006940C8">
            <w:pPr>
              <w:autoSpaceDE w:val="0"/>
              <w:autoSpaceDN w:val="0"/>
              <w:adjustRightInd w:val="0"/>
              <w:spacing w:line="480" w:lineRule="auto"/>
              <w:rPr>
                <w:sz w:val="20"/>
                <w:szCs w:val="20"/>
              </w:rPr>
            </w:pPr>
            <w:r w:rsidRPr="000A4BF0">
              <w:rPr>
                <w:sz w:val="20"/>
                <w:szCs w:val="20"/>
              </w:rPr>
              <w:t>0.17</w:t>
            </w:r>
            <w:r w:rsidR="0048613F">
              <w:rPr>
                <w:sz w:val="20"/>
                <w:szCs w:val="20"/>
              </w:rPr>
              <w:t>3</w:t>
            </w:r>
          </w:p>
          <w:p w:rsidR="00090C1F" w:rsidRPr="000A4BF0" w:rsidRDefault="00090C1F" w:rsidP="0048613F">
            <w:pPr>
              <w:autoSpaceDE w:val="0"/>
              <w:autoSpaceDN w:val="0"/>
              <w:adjustRightInd w:val="0"/>
              <w:spacing w:line="480" w:lineRule="auto"/>
              <w:rPr>
                <w:iCs/>
                <w:sz w:val="20"/>
                <w:szCs w:val="20"/>
              </w:rPr>
            </w:pPr>
            <w:r w:rsidRPr="000A4BF0">
              <w:rPr>
                <w:sz w:val="20"/>
                <w:szCs w:val="20"/>
              </w:rPr>
              <w:t>(1.23)</w:t>
            </w:r>
          </w:p>
        </w:tc>
        <w:tc>
          <w:tcPr>
            <w:tcW w:w="1867" w:type="dxa"/>
            <w:tcBorders>
              <w:bottom w:val="single" w:sz="4" w:space="0" w:color="auto"/>
            </w:tcBorders>
          </w:tcPr>
          <w:p w:rsidR="00090C1F" w:rsidRPr="000A4BF0" w:rsidRDefault="00090C1F" w:rsidP="006940C8">
            <w:pPr>
              <w:autoSpaceDE w:val="0"/>
              <w:autoSpaceDN w:val="0"/>
              <w:adjustRightInd w:val="0"/>
              <w:spacing w:line="480" w:lineRule="auto"/>
              <w:rPr>
                <w:sz w:val="20"/>
                <w:szCs w:val="20"/>
              </w:rPr>
            </w:pPr>
            <w:r w:rsidRPr="000A4BF0">
              <w:rPr>
                <w:sz w:val="20"/>
                <w:szCs w:val="20"/>
              </w:rPr>
              <w:t>0.574**</w:t>
            </w:r>
          </w:p>
          <w:p w:rsidR="00090C1F" w:rsidRPr="000A4BF0" w:rsidRDefault="00090C1F" w:rsidP="0048613F">
            <w:pPr>
              <w:autoSpaceDE w:val="0"/>
              <w:autoSpaceDN w:val="0"/>
              <w:adjustRightInd w:val="0"/>
              <w:spacing w:line="480" w:lineRule="auto"/>
              <w:rPr>
                <w:iCs/>
                <w:sz w:val="20"/>
                <w:szCs w:val="20"/>
              </w:rPr>
            </w:pPr>
            <w:r w:rsidRPr="000A4BF0">
              <w:rPr>
                <w:sz w:val="20"/>
                <w:szCs w:val="20"/>
              </w:rPr>
              <w:t>(1.93)</w:t>
            </w:r>
          </w:p>
        </w:tc>
        <w:tc>
          <w:tcPr>
            <w:tcW w:w="1548" w:type="dxa"/>
            <w:tcBorders>
              <w:bottom w:val="single" w:sz="4" w:space="0" w:color="auto"/>
            </w:tcBorders>
          </w:tcPr>
          <w:p w:rsidR="00090C1F" w:rsidRPr="000A4BF0" w:rsidRDefault="00090C1F" w:rsidP="006940C8">
            <w:pPr>
              <w:autoSpaceDE w:val="0"/>
              <w:autoSpaceDN w:val="0"/>
              <w:adjustRightInd w:val="0"/>
              <w:spacing w:line="480" w:lineRule="auto"/>
              <w:rPr>
                <w:sz w:val="20"/>
                <w:szCs w:val="20"/>
              </w:rPr>
            </w:pPr>
            <w:r w:rsidRPr="000A4BF0">
              <w:rPr>
                <w:sz w:val="20"/>
                <w:szCs w:val="20"/>
              </w:rPr>
              <w:t>0.002</w:t>
            </w:r>
          </w:p>
          <w:p w:rsidR="00090C1F" w:rsidRPr="000A4BF0" w:rsidRDefault="00090C1F" w:rsidP="0048613F">
            <w:pPr>
              <w:autoSpaceDE w:val="0"/>
              <w:autoSpaceDN w:val="0"/>
              <w:adjustRightInd w:val="0"/>
              <w:spacing w:line="480" w:lineRule="auto"/>
              <w:rPr>
                <w:iCs/>
                <w:sz w:val="20"/>
                <w:szCs w:val="20"/>
              </w:rPr>
            </w:pPr>
            <w:r w:rsidRPr="000A4BF0">
              <w:rPr>
                <w:sz w:val="20"/>
                <w:szCs w:val="20"/>
              </w:rPr>
              <w:t>(0.24)</w:t>
            </w:r>
          </w:p>
        </w:tc>
        <w:tc>
          <w:tcPr>
            <w:tcW w:w="1871" w:type="dxa"/>
            <w:tcBorders>
              <w:bottom w:val="single" w:sz="4" w:space="0" w:color="auto"/>
            </w:tcBorders>
          </w:tcPr>
          <w:p w:rsidR="00090C1F" w:rsidRPr="000A4BF0" w:rsidRDefault="00090C1F" w:rsidP="0048613F">
            <w:pPr>
              <w:autoSpaceDE w:val="0"/>
              <w:autoSpaceDN w:val="0"/>
              <w:adjustRightInd w:val="0"/>
              <w:spacing w:line="480" w:lineRule="auto"/>
              <w:rPr>
                <w:iCs/>
                <w:sz w:val="20"/>
                <w:szCs w:val="20"/>
              </w:rPr>
            </w:pPr>
            <w:r w:rsidRPr="000A4BF0">
              <w:rPr>
                <w:sz w:val="20"/>
                <w:szCs w:val="20"/>
              </w:rPr>
              <w:t>0.13</w:t>
            </w:r>
            <w:r w:rsidR="0048613F">
              <w:rPr>
                <w:sz w:val="20"/>
                <w:szCs w:val="20"/>
              </w:rPr>
              <w:t>5</w:t>
            </w:r>
          </w:p>
        </w:tc>
      </w:tr>
    </w:tbl>
    <w:p w:rsidR="00090C1F" w:rsidRPr="000A4BF0" w:rsidRDefault="00397FA6" w:rsidP="006940C8">
      <w:pPr>
        <w:spacing w:line="480" w:lineRule="auto"/>
        <w:jc w:val="both"/>
        <w:rPr>
          <w:sz w:val="20"/>
          <w:szCs w:val="20"/>
        </w:rPr>
      </w:pPr>
      <w:r w:rsidRPr="000A4BF0">
        <w:rPr>
          <w:sz w:val="20"/>
          <w:szCs w:val="20"/>
        </w:rPr>
        <w:t>*=5% **=10%</w:t>
      </w:r>
    </w:p>
    <w:p w:rsidR="00A340C8" w:rsidRDefault="00B44550" w:rsidP="006940C8">
      <w:pPr>
        <w:autoSpaceDE w:val="0"/>
        <w:autoSpaceDN w:val="0"/>
        <w:adjustRightInd w:val="0"/>
        <w:spacing w:line="480" w:lineRule="auto"/>
        <w:jc w:val="both"/>
      </w:pPr>
      <w:r>
        <w:t>As</w:t>
      </w:r>
      <w:r w:rsidR="00D04748" w:rsidRPr="000A4BF0">
        <w:t xml:space="preserve"> show</w:t>
      </w:r>
      <w:r>
        <w:t>n</w:t>
      </w:r>
      <w:r w:rsidR="00D723B3">
        <w:t xml:space="preserve"> in </w:t>
      </w:r>
      <w:r>
        <w:t>t</w:t>
      </w:r>
      <w:r w:rsidR="00D723B3">
        <w:t>able 3</w:t>
      </w:r>
      <w:r>
        <w:t xml:space="preserve"> </w:t>
      </w:r>
      <w:r w:rsidR="00D04748" w:rsidRPr="000A4BF0">
        <w:t>that</w:t>
      </w:r>
      <w:r w:rsidR="008217C3" w:rsidRPr="000A4BF0">
        <w:t xml:space="preserve"> last year’s dividends </w:t>
      </w:r>
      <w:r>
        <w:t>show a</w:t>
      </w:r>
      <w:r w:rsidR="008217C3" w:rsidRPr="000A4BF0">
        <w:t xml:space="preserve"> </w:t>
      </w:r>
      <w:r w:rsidR="00AD20C0" w:rsidRPr="000A4BF0">
        <w:t>significant</w:t>
      </w:r>
      <w:r>
        <w:t xml:space="preserve"> relationship</w:t>
      </w:r>
      <w:r w:rsidR="00AD20C0" w:rsidRPr="000A4BF0">
        <w:t xml:space="preserve"> </w:t>
      </w:r>
      <w:r>
        <w:t>but the</w:t>
      </w:r>
      <w:r w:rsidR="00AD20C0" w:rsidRPr="000A4BF0">
        <w:t xml:space="preserve"> current year’s earnings per share are significant only in year 20</w:t>
      </w:r>
      <w:r>
        <w:t>11</w:t>
      </w:r>
      <w:r w:rsidR="00AD20C0" w:rsidRPr="000A4BF0">
        <w:t>.</w:t>
      </w:r>
      <w:r>
        <w:t xml:space="preserve"> </w:t>
      </w:r>
      <w:r w:rsidR="00BF7619" w:rsidRPr="000A4BF0">
        <w:t>This strong relationship of last year’s dividend with current dividend is consistent with Omet (2004) and Dickens, Casey and Newman (2000) who found that firms use their dividend history to set dividend policy</w:t>
      </w:r>
      <w:r w:rsidR="009119D8" w:rsidRPr="000A4BF0">
        <w:t>.</w:t>
      </w:r>
      <w:r w:rsidR="00E51039" w:rsidRPr="000A4BF0">
        <w:t xml:space="preserve"> Insignificance of current earnings/share show that </w:t>
      </w:r>
      <w:r w:rsidR="00B2649B" w:rsidRPr="000A4BF0">
        <w:t>decision</w:t>
      </w:r>
      <w:r w:rsidR="00E51039" w:rsidRPr="000A4BF0">
        <w:t xml:space="preserve"> </w:t>
      </w:r>
      <w:r w:rsidR="00B91AEF" w:rsidRPr="000A4BF0">
        <w:t>of current</w:t>
      </w:r>
      <w:r w:rsidR="00E51039" w:rsidRPr="000A4BF0">
        <w:t xml:space="preserve"> dividend is strongly dependent on last year’s dividend not on current year’s earnings.</w:t>
      </w:r>
      <w:r w:rsidR="00BF7619" w:rsidRPr="000A4BF0">
        <w:t xml:space="preserve"> </w:t>
      </w:r>
      <w:r w:rsidR="002F3BEC" w:rsidRPr="000A4BF0">
        <w:t xml:space="preserve">This is inconsistent with </w:t>
      </w:r>
      <w:r w:rsidR="00B2649B" w:rsidRPr="000A4BF0">
        <w:t>Lintner’s survey</w:t>
      </w:r>
      <w:r w:rsidR="002F3BEC" w:rsidRPr="000A4BF0">
        <w:t xml:space="preserve"> which</w:t>
      </w:r>
      <w:r w:rsidR="006868B7" w:rsidRPr="000A4BF0">
        <w:t xml:space="preserve"> revealed that </w:t>
      </w:r>
      <w:r>
        <w:t xml:space="preserve">the </w:t>
      </w:r>
      <w:r w:rsidR="006868B7" w:rsidRPr="000A4BF0">
        <w:t xml:space="preserve">net </w:t>
      </w:r>
      <w:r w:rsidRPr="000A4BF0">
        <w:t>earnings</w:t>
      </w:r>
      <w:r w:rsidR="006868B7" w:rsidRPr="000A4BF0">
        <w:t xml:space="preserve"> is</w:t>
      </w:r>
      <w:r w:rsidR="002F3BEC" w:rsidRPr="000A4BF0">
        <w:t xml:space="preserve"> the predominant element which determines current changes in dividends</w:t>
      </w:r>
      <w:r w:rsidR="00A33F88" w:rsidRPr="000A4BF0">
        <w:t xml:space="preserve">. </w:t>
      </w:r>
    </w:p>
    <w:p w:rsidR="00B44550" w:rsidRDefault="00B44550" w:rsidP="006940C8">
      <w:pPr>
        <w:autoSpaceDE w:val="0"/>
        <w:autoSpaceDN w:val="0"/>
        <w:adjustRightInd w:val="0"/>
        <w:spacing w:line="480" w:lineRule="auto"/>
        <w:jc w:val="both"/>
      </w:pPr>
    </w:p>
    <w:p w:rsidR="00B44550" w:rsidRDefault="00B44550" w:rsidP="006940C8">
      <w:pPr>
        <w:autoSpaceDE w:val="0"/>
        <w:autoSpaceDN w:val="0"/>
        <w:adjustRightInd w:val="0"/>
        <w:spacing w:line="480" w:lineRule="auto"/>
        <w:jc w:val="both"/>
      </w:pPr>
    </w:p>
    <w:p w:rsidR="00B44550" w:rsidRPr="000A4BF0" w:rsidRDefault="00B44550" w:rsidP="006940C8">
      <w:pPr>
        <w:autoSpaceDE w:val="0"/>
        <w:autoSpaceDN w:val="0"/>
        <w:adjustRightInd w:val="0"/>
        <w:spacing w:line="480" w:lineRule="auto"/>
        <w:jc w:val="both"/>
      </w:pPr>
    </w:p>
    <w:p w:rsidR="00BE15E1" w:rsidRPr="000A4BF0" w:rsidRDefault="000616A7" w:rsidP="000A4BF0">
      <w:pPr>
        <w:autoSpaceDE w:val="0"/>
        <w:autoSpaceDN w:val="0"/>
        <w:adjustRightInd w:val="0"/>
        <w:spacing w:line="480" w:lineRule="auto"/>
        <w:rPr>
          <w:b/>
        </w:rPr>
      </w:pPr>
      <w:r>
        <w:rPr>
          <w:b/>
        </w:rPr>
        <w:t>6</w:t>
      </w:r>
      <w:r w:rsidR="00A672D1" w:rsidRPr="000A4BF0">
        <w:rPr>
          <w:b/>
        </w:rPr>
        <w:t>.</w:t>
      </w:r>
      <w:r w:rsidR="00415191">
        <w:rPr>
          <w:b/>
        </w:rPr>
        <w:t xml:space="preserve"> </w:t>
      </w:r>
      <w:r w:rsidR="004E65D2" w:rsidRPr="000A4BF0">
        <w:rPr>
          <w:b/>
        </w:rPr>
        <w:t>Conclusion</w:t>
      </w:r>
    </w:p>
    <w:p w:rsidR="004E65D2" w:rsidRPr="000A4BF0" w:rsidRDefault="00B35665" w:rsidP="000A4BF0">
      <w:pPr>
        <w:autoSpaceDE w:val="0"/>
        <w:autoSpaceDN w:val="0"/>
        <w:adjustRightInd w:val="0"/>
        <w:spacing w:line="480" w:lineRule="auto"/>
        <w:jc w:val="both"/>
      </w:pPr>
      <w:r>
        <w:t>The p</w:t>
      </w:r>
      <w:r w:rsidR="00866969" w:rsidRPr="000A4BF0">
        <w:t>urpose of the study was to investigate about those factors which influence firm’s dividend policy and whether that dividend pol</w:t>
      </w:r>
      <w:r>
        <w:t>icy is stable over time or not. The findings of this study ar</w:t>
      </w:r>
      <w:r w:rsidR="00531D0D" w:rsidRPr="000A4BF0">
        <w:t xml:space="preserve">e </w:t>
      </w:r>
      <w:r w:rsidR="00F76625" w:rsidRPr="000A4BF0">
        <w:t>consistent</w:t>
      </w:r>
      <w:r w:rsidR="00531D0D" w:rsidRPr="000A4BF0">
        <w:t xml:space="preserve"> with their proposed relationship but only leverage and tangibility were found </w:t>
      </w:r>
      <w:r w:rsidR="00F76625" w:rsidRPr="000A4BF0">
        <w:t>significant. It</w:t>
      </w:r>
      <w:r w:rsidR="00B1783F" w:rsidRPr="000A4BF0">
        <w:t xml:space="preserve"> was also found that these firms do not follow stable dividend policy. In future with addition of more factors which could be microeconomic or </w:t>
      </w:r>
      <w:r w:rsidR="00F76625" w:rsidRPr="000A4BF0">
        <w:t>macroeconomic</w:t>
      </w:r>
      <w:r w:rsidR="00B1783F" w:rsidRPr="000A4BF0">
        <w:t xml:space="preserve"> in nature with a larger true representative sample of listed firms can give better picture of the determinants of dividend policy in Pakistan. </w:t>
      </w:r>
    </w:p>
    <w:p w:rsidR="00B91AEF" w:rsidRPr="000A4BF0" w:rsidRDefault="00B91AEF" w:rsidP="000A4BF0">
      <w:pPr>
        <w:autoSpaceDE w:val="0"/>
        <w:autoSpaceDN w:val="0"/>
        <w:adjustRightInd w:val="0"/>
        <w:spacing w:line="480" w:lineRule="auto"/>
        <w:jc w:val="center"/>
        <w:rPr>
          <w:b/>
        </w:rPr>
      </w:pPr>
    </w:p>
    <w:p w:rsidR="00BE15E1" w:rsidRPr="000A4BF0" w:rsidRDefault="00BE15E1" w:rsidP="00B35665">
      <w:pPr>
        <w:autoSpaceDE w:val="0"/>
        <w:autoSpaceDN w:val="0"/>
        <w:adjustRightInd w:val="0"/>
        <w:spacing w:line="480" w:lineRule="auto"/>
        <w:rPr>
          <w:b/>
        </w:rPr>
      </w:pPr>
      <w:r w:rsidRPr="000A4BF0">
        <w:rPr>
          <w:b/>
        </w:rPr>
        <w:t>References</w:t>
      </w:r>
    </w:p>
    <w:p w:rsidR="00CC64C7" w:rsidRPr="000A4BF0" w:rsidRDefault="00CC64C7" w:rsidP="000A4BF0">
      <w:pPr>
        <w:numPr>
          <w:ilvl w:val="0"/>
          <w:numId w:val="4"/>
        </w:numPr>
        <w:autoSpaceDE w:val="0"/>
        <w:autoSpaceDN w:val="0"/>
        <w:adjustRightInd w:val="0"/>
        <w:spacing w:line="480" w:lineRule="auto"/>
        <w:jc w:val="both"/>
      </w:pPr>
      <w:r w:rsidRPr="000A4BF0">
        <w:t xml:space="preserve">Ahmed </w:t>
      </w:r>
      <w:r w:rsidRPr="000A4BF0">
        <w:rPr>
          <w:bCs/>
        </w:rPr>
        <w:t>Hafeez and Javid Attiya</w:t>
      </w:r>
      <w:r w:rsidRPr="000A4BF0">
        <w:t>, “</w:t>
      </w:r>
      <w:r w:rsidRPr="000A4BF0">
        <w:rPr>
          <w:bCs/>
        </w:rPr>
        <w:t xml:space="preserve">Dynamics and Determinants of Dividend Policy in Pakistan”, </w:t>
      </w:r>
      <w:r w:rsidRPr="009B3060">
        <w:t>International Research Journal of Finance and Economics</w:t>
      </w:r>
      <w:r w:rsidRPr="000A4BF0">
        <w:rPr>
          <w:i/>
        </w:rPr>
        <w:t>,</w:t>
      </w:r>
      <w:r w:rsidR="009B3060">
        <w:t xml:space="preserve"> Issue 25, 2009, </w:t>
      </w:r>
      <w:r w:rsidR="00016FC9">
        <w:t xml:space="preserve">pp. </w:t>
      </w:r>
      <w:r w:rsidRPr="000A4BF0">
        <w:t>1450-2887.</w:t>
      </w:r>
    </w:p>
    <w:p w:rsidR="00C024F7" w:rsidRPr="00CA56D9" w:rsidRDefault="00C024F7" w:rsidP="000A4BF0">
      <w:pPr>
        <w:numPr>
          <w:ilvl w:val="0"/>
          <w:numId w:val="2"/>
        </w:numPr>
        <w:autoSpaceDE w:val="0"/>
        <w:autoSpaceDN w:val="0"/>
        <w:adjustRightInd w:val="0"/>
        <w:spacing w:line="480" w:lineRule="auto"/>
        <w:jc w:val="both"/>
      </w:pPr>
      <w:r w:rsidRPr="00CA56D9">
        <w:t xml:space="preserve">Aivazian, V, Booth, L and Cleary, S., </w:t>
      </w:r>
      <w:r w:rsidR="00CA56D9" w:rsidRPr="00CA56D9">
        <w:t>“</w:t>
      </w:r>
      <w:r w:rsidRPr="00CA56D9">
        <w:t>Do Emerging Market Firms Follow</w:t>
      </w:r>
    </w:p>
    <w:p w:rsidR="00C024F7" w:rsidRDefault="00C024F7" w:rsidP="000A4BF0">
      <w:pPr>
        <w:autoSpaceDE w:val="0"/>
        <w:autoSpaceDN w:val="0"/>
        <w:adjustRightInd w:val="0"/>
        <w:spacing w:line="480" w:lineRule="auto"/>
        <w:ind w:left="720"/>
        <w:jc w:val="both"/>
      </w:pPr>
      <w:r w:rsidRPr="00CA56D9">
        <w:t>Different Dividend Policies from U.S. Firms?</w:t>
      </w:r>
      <w:r w:rsidR="00CA56D9">
        <w:t>”</w:t>
      </w:r>
      <w:r w:rsidRPr="00CA56D9">
        <w:t xml:space="preserve"> </w:t>
      </w:r>
      <w:r w:rsidRPr="00CA56D9">
        <w:rPr>
          <w:iCs/>
        </w:rPr>
        <w:t>The Journal of Financia</w:t>
      </w:r>
      <w:r w:rsidR="00D6220E" w:rsidRPr="00CA56D9">
        <w:rPr>
          <w:iCs/>
        </w:rPr>
        <w:t>l</w:t>
      </w:r>
      <w:r w:rsidRPr="00CA56D9">
        <w:rPr>
          <w:iCs/>
        </w:rPr>
        <w:t xml:space="preserve"> Research</w:t>
      </w:r>
      <w:r w:rsidRPr="00CA56D9">
        <w:t xml:space="preserve">, Vol 26, No. 3, </w:t>
      </w:r>
      <w:r w:rsidR="00CA56D9">
        <w:t xml:space="preserve">2003, </w:t>
      </w:r>
      <w:r w:rsidRPr="00CA56D9">
        <w:t>pp</w:t>
      </w:r>
      <w:r w:rsidR="00016FC9">
        <w:t>.</w:t>
      </w:r>
      <w:r w:rsidRPr="00CA56D9">
        <w:t xml:space="preserve"> 371-387.</w:t>
      </w:r>
    </w:p>
    <w:p w:rsidR="00A47EA1" w:rsidRDefault="00A47EA1" w:rsidP="00A47EA1">
      <w:pPr>
        <w:pStyle w:val="ListParagraph"/>
        <w:numPr>
          <w:ilvl w:val="0"/>
          <w:numId w:val="2"/>
        </w:numPr>
        <w:autoSpaceDE w:val="0"/>
        <w:autoSpaceDN w:val="0"/>
        <w:adjustRightInd w:val="0"/>
        <w:spacing w:line="480" w:lineRule="auto"/>
        <w:jc w:val="both"/>
      </w:pPr>
      <w:r>
        <w:t>Amidu, M. &amp; Abor, J.</w:t>
      </w:r>
      <w:r>
        <w:t>,</w:t>
      </w:r>
      <w:r>
        <w:t xml:space="preserve"> “Determinants of Dividend Payout Ratios in Ghana” The Jou</w:t>
      </w:r>
      <w:r>
        <w:t>rnal of Risk Finance, Vol.7 (2), 2006, pp.</w:t>
      </w:r>
      <w:r>
        <w:t xml:space="preserve"> 136-45.</w:t>
      </w:r>
    </w:p>
    <w:p w:rsidR="009E6D49" w:rsidRPr="009E6D49" w:rsidRDefault="009E6D49" w:rsidP="009E6D49">
      <w:pPr>
        <w:pStyle w:val="ListParagraph"/>
        <w:numPr>
          <w:ilvl w:val="0"/>
          <w:numId w:val="2"/>
        </w:numPr>
        <w:autoSpaceDE w:val="0"/>
        <w:autoSpaceDN w:val="0"/>
        <w:adjustRightInd w:val="0"/>
        <w:spacing w:line="480" w:lineRule="auto"/>
        <w:jc w:val="both"/>
        <w:rPr>
          <w:iCs/>
        </w:rPr>
      </w:pPr>
      <w:r w:rsidRPr="009E6D49">
        <w:rPr>
          <w:iCs/>
        </w:rPr>
        <w:t>Brealey R. &amp; Myers, S.</w:t>
      </w:r>
      <w:r>
        <w:rPr>
          <w:iCs/>
        </w:rPr>
        <w:t>,</w:t>
      </w:r>
      <w:r w:rsidRPr="009E6D49">
        <w:rPr>
          <w:iCs/>
        </w:rPr>
        <w:t xml:space="preserve"> “Principles of Corporate Finance (8th</w:t>
      </w:r>
      <w:r>
        <w:rPr>
          <w:iCs/>
        </w:rPr>
        <w:t xml:space="preserve"> edition): London: McGraw-Hill, 2005.</w:t>
      </w:r>
    </w:p>
    <w:p w:rsidR="00C024F7" w:rsidRPr="00CA56D9" w:rsidRDefault="00C024F7" w:rsidP="000A4BF0">
      <w:pPr>
        <w:numPr>
          <w:ilvl w:val="0"/>
          <w:numId w:val="1"/>
        </w:numPr>
        <w:autoSpaceDE w:val="0"/>
        <w:autoSpaceDN w:val="0"/>
        <w:adjustRightInd w:val="0"/>
        <w:spacing w:line="480" w:lineRule="auto"/>
        <w:jc w:val="both"/>
      </w:pPr>
      <w:r w:rsidRPr="00CA56D9">
        <w:t xml:space="preserve">Black, F. , </w:t>
      </w:r>
      <w:r w:rsidR="00CA56D9">
        <w:t>“</w:t>
      </w:r>
      <w:r w:rsidRPr="00CA56D9">
        <w:t>The Dividend Puzzle</w:t>
      </w:r>
      <w:r w:rsidR="00CA56D9">
        <w:t>”</w:t>
      </w:r>
      <w:r w:rsidRPr="00CA56D9">
        <w:t xml:space="preserve">, </w:t>
      </w:r>
      <w:r w:rsidRPr="00CA56D9">
        <w:rPr>
          <w:iCs/>
        </w:rPr>
        <w:t>The Journal of Portfolio Management,</w:t>
      </w:r>
      <w:r w:rsidR="00CA56D9">
        <w:rPr>
          <w:iCs/>
        </w:rPr>
        <w:t xml:space="preserve"> </w:t>
      </w:r>
      <w:r w:rsidRPr="00CA56D9">
        <w:t>2,</w:t>
      </w:r>
      <w:r w:rsidR="00CA56D9">
        <w:t xml:space="preserve"> 1976</w:t>
      </w:r>
    </w:p>
    <w:p w:rsidR="00C024F7" w:rsidRPr="00CA56D9" w:rsidRDefault="00C024F7" w:rsidP="000A4BF0">
      <w:pPr>
        <w:autoSpaceDE w:val="0"/>
        <w:autoSpaceDN w:val="0"/>
        <w:adjustRightInd w:val="0"/>
        <w:spacing w:line="480" w:lineRule="auto"/>
        <w:ind w:firstLine="720"/>
        <w:jc w:val="both"/>
      </w:pPr>
      <w:r w:rsidRPr="00CA56D9">
        <w:t>pp</w:t>
      </w:r>
      <w:r w:rsidR="00016FC9">
        <w:t>.</w:t>
      </w:r>
      <w:r w:rsidRPr="00CA56D9">
        <w:t xml:space="preserve"> 5-6</w:t>
      </w:r>
      <w:r w:rsidR="00CA56D9">
        <w:t>.</w:t>
      </w:r>
    </w:p>
    <w:p w:rsidR="00CC64C7" w:rsidRPr="00CA56D9" w:rsidRDefault="00CC64C7" w:rsidP="000A4BF0">
      <w:pPr>
        <w:numPr>
          <w:ilvl w:val="0"/>
          <w:numId w:val="3"/>
        </w:numPr>
        <w:autoSpaceDE w:val="0"/>
        <w:autoSpaceDN w:val="0"/>
        <w:adjustRightInd w:val="0"/>
        <w:spacing w:line="480" w:lineRule="auto"/>
        <w:jc w:val="both"/>
      </w:pPr>
      <w:r w:rsidRPr="00CA56D9">
        <w:t>Deshmukh, Sanjay, “Dividend Initiations and Asymmetric</w:t>
      </w:r>
      <w:r w:rsidR="00D6220E" w:rsidRPr="00CA56D9">
        <w:t xml:space="preserve"> </w:t>
      </w:r>
      <w:r w:rsidRPr="00CA56D9">
        <w:t>Information: A Hazard Model”, Financial Review 38,</w:t>
      </w:r>
      <w:r w:rsidR="00016FC9">
        <w:t xml:space="preserve"> 2003, pp.</w:t>
      </w:r>
      <w:r w:rsidRPr="00CA56D9">
        <w:t xml:space="preserve"> 351-368.</w:t>
      </w:r>
    </w:p>
    <w:p w:rsidR="00CC64C7" w:rsidRPr="00CA56D9" w:rsidRDefault="00CC64C7" w:rsidP="000A4BF0">
      <w:pPr>
        <w:numPr>
          <w:ilvl w:val="0"/>
          <w:numId w:val="3"/>
        </w:numPr>
        <w:autoSpaceDE w:val="0"/>
        <w:autoSpaceDN w:val="0"/>
        <w:adjustRightInd w:val="0"/>
        <w:spacing w:line="480" w:lineRule="auto"/>
        <w:jc w:val="both"/>
      </w:pPr>
      <w:r w:rsidRPr="00CA56D9">
        <w:t xml:space="preserve">Dickens, N, Casey, M. K Newman, J. A., </w:t>
      </w:r>
      <w:r w:rsidR="008911EF">
        <w:t>“</w:t>
      </w:r>
      <w:r w:rsidRPr="00CA56D9">
        <w:t>Bank Dividend Policy: Explanatory Factors</w:t>
      </w:r>
      <w:r w:rsidR="008911EF">
        <w:t>”</w:t>
      </w:r>
      <w:r w:rsidRPr="00CA56D9">
        <w:t>,</w:t>
      </w:r>
      <w:r w:rsidR="008911EF">
        <w:t xml:space="preserve"> </w:t>
      </w:r>
      <w:r w:rsidRPr="00CA56D9">
        <w:rPr>
          <w:iCs/>
        </w:rPr>
        <w:t>Quarterly Journal of Business &amp; Economics</w:t>
      </w:r>
      <w:r w:rsidRPr="00CA56D9">
        <w:t>, Vol. 41, Nos. 1 &amp; 2</w:t>
      </w:r>
      <w:r w:rsidR="008911EF">
        <w:t>, 2000</w:t>
      </w:r>
      <w:r w:rsidRPr="00CA56D9">
        <w:t>.</w:t>
      </w:r>
    </w:p>
    <w:p w:rsidR="00CC64C7" w:rsidRPr="00CA56D9" w:rsidRDefault="00CC64C7" w:rsidP="000A4BF0">
      <w:pPr>
        <w:numPr>
          <w:ilvl w:val="0"/>
          <w:numId w:val="2"/>
        </w:numPr>
        <w:autoSpaceDE w:val="0"/>
        <w:autoSpaceDN w:val="0"/>
        <w:adjustRightInd w:val="0"/>
        <w:spacing w:line="480" w:lineRule="auto"/>
        <w:jc w:val="both"/>
      </w:pPr>
      <w:r w:rsidRPr="00CA56D9">
        <w:t>Fama, Eugene F., and Kenneth R. French, “Testing Trade-Off and</w:t>
      </w:r>
    </w:p>
    <w:p w:rsidR="00CC64C7" w:rsidRPr="00CA56D9" w:rsidRDefault="00CC64C7" w:rsidP="000A4BF0">
      <w:pPr>
        <w:autoSpaceDE w:val="0"/>
        <w:autoSpaceDN w:val="0"/>
        <w:adjustRightInd w:val="0"/>
        <w:spacing w:line="480" w:lineRule="auto"/>
        <w:ind w:left="720"/>
        <w:jc w:val="both"/>
      </w:pPr>
      <w:r w:rsidRPr="00CA56D9">
        <w:t xml:space="preserve">Pecking Order Predictions </w:t>
      </w:r>
      <w:r w:rsidR="008911EF" w:rsidRPr="00CA56D9">
        <w:t>about</w:t>
      </w:r>
      <w:r w:rsidRPr="00CA56D9">
        <w:t xml:space="preserve"> Dividends and Debt”, The Review of Financial Studies 15,</w:t>
      </w:r>
      <w:r w:rsidR="008911EF">
        <w:t xml:space="preserve"> 2000, pp.</w:t>
      </w:r>
      <w:r w:rsidRPr="00CA56D9">
        <w:t xml:space="preserve"> 1-33.</w:t>
      </w:r>
    </w:p>
    <w:p w:rsidR="00CC64C7" w:rsidRPr="00CA56D9" w:rsidRDefault="00CC64C7" w:rsidP="000A4BF0">
      <w:pPr>
        <w:numPr>
          <w:ilvl w:val="0"/>
          <w:numId w:val="3"/>
        </w:numPr>
        <w:autoSpaceDE w:val="0"/>
        <w:autoSpaceDN w:val="0"/>
        <w:adjustRightInd w:val="0"/>
        <w:spacing w:line="480" w:lineRule="auto"/>
        <w:jc w:val="both"/>
      </w:pPr>
      <w:r w:rsidRPr="00CA56D9">
        <w:t>Fama, Eugene F., and Kenneth R. French, “Disappearing Dividends:</w:t>
      </w:r>
    </w:p>
    <w:p w:rsidR="00CC64C7" w:rsidRPr="00CA56D9" w:rsidRDefault="00CC64C7" w:rsidP="000A4BF0">
      <w:pPr>
        <w:autoSpaceDE w:val="0"/>
        <w:autoSpaceDN w:val="0"/>
        <w:adjustRightInd w:val="0"/>
        <w:spacing w:line="480" w:lineRule="auto"/>
        <w:ind w:left="720"/>
        <w:jc w:val="both"/>
      </w:pPr>
      <w:r w:rsidRPr="00CA56D9">
        <w:t>Changing Firm Characteristics or Lower Propensity to Pay?”, Journal of  Financial Economics 60,</w:t>
      </w:r>
      <w:r w:rsidR="008911EF">
        <w:t xml:space="preserve"> 2001, pp. </w:t>
      </w:r>
      <w:r w:rsidRPr="00CA56D9">
        <w:t>3-43.</w:t>
      </w:r>
    </w:p>
    <w:p w:rsidR="00C024F7" w:rsidRPr="00CA56D9" w:rsidRDefault="00C024F7" w:rsidP="000A4BF0">
      <w:pPr>
        <w:numPr>
          <w:ilvl w:val="0"/>
          <w:numId w:val="2"/>
        </w:numPr>
        <w:autoSpaceDE w:val="0"/>
        <w:autoSpaceDN w:val="0"/>
        <w:adjustRightInd w:val="0"/>
        <w:spacing w:line="480" w:lineRule="auto"/>
        <w:jc w:val="both"/>
        <w:rPr>
          <w:bCs/>
        </w:rPr>
      </w:pPr>
      <w:r w:rsidRPr="00CA56D9">
        <w:t>Glen, J.D., Y. Karmokolias, R.R. Miller, and S. Shah, “</w:t>
      </w:r>
      <w:r w:rsidRPr="00CA56D9">
        <w:rPr>
          <w:bCs/>
        </w:rPr>
        <w:t>Dividend Policy and Behavior in Emerging Markets</w:t>
      </w:r>
      <w:r w:rsidRPr="00CA56D9">
        <w:t>”, Discussion Paper No. 26, International Finance Corporation, 1995.</w:t>
      </w:r>
    </w:p>
    <w:p w:rsidR="00CC64C7" w:rsidRPr="00CA56D9" w:rsidRDefault="00CC64C7" w:rsidP="000A4BF0">
      <w:pPr>
        <w:numPr>
          <w:ilvl w:val="0"/>
          <w:numId w:val="3"/>
        </w:numPr>
        <w:autoSpaceDE w:val="0"/>
        <w:autoSpaceDN w:val="0"/>
        <w:adjustRightInd w:val="0"/>
        <w:spacing w:line="480" w:lineRule="auto"/>
        <w:jc w:val="both"/>
      </w:pPr>
      <w:r w:rsidRPr="00CA56D9">
        <w:t>Higgins,</w:t>
      </w:r>
      <w:r w:rsidR="008911EF">
        <w:t xml:space="preserve"> </w:t>
      </w:r>
      <w:r w:rsidRPr="00CA56D9">
        <w:t>R.</w:t>
      </w:r>
      <w:r w:rsidR="008911EF">
        <w:t xml:space="preserve"> </w:t>
      </w:r>
      <w:r w:rsidRPr="00CA56D9">
        <w:t>C</w:t>
      </w:r>
      <w:r w:rsidR="008911EF">
        <w:t>.</w:t>
      </w:r>
      <w:r w:rsidRPr="00CA56D9">
        <w:t>, “The corporate dividend –saving decisions</w:t>
      </w:r>
      <w:r w:rsidR="008911EF">
        <w:t>”</w:t>
      </w:r>
      <w:r w:rsidRPr="00CA56D9">
        <w:t xml:space="preserve">, </w:t>
      </w:r>
      <w:r w:rsidRPr="00CA56D9">
        <w:rPr>
          <w:iCs/>
        </w:rPr>
        <w:t>Journal of Financial and Quantitative Analysis</w:t>
      </w:r>
      <w:r w:rsidRPr="00CA56D9">
        <w:t xml:space="preserve">, Vol.7 No.2, </w:t>
      </w:r>
      <w:r w:rsidR="008911EF">
        <w:t xml:space="preserve">1972, </w:t>
      </w:r>
      <w:r w:rsidRPr="00CA56D9">
        <w:t>pp.</w:t>
      </w:r>
      <w:r w:rsidR="008911EF">
        <w:t xml:space="preserve"> </w:t>
      </w:r>
      <w:r w:rsidRPr="00CA56D9">
        <w:t>1527-41.</w:t>
      </w:r>
    </w:p>
    <w:p w:rsidR="00CC64C7" w:rsidRPr="00CA56D9" w:rsidRDefault="00CC64C7" w:rsidP="000A4BF0">
      <w:pPr>
        <w:numPr>
          <w:ilvl w:val="0"/>
          <w:numId w:val="3"/>
        </w:numPr>
        <w:autoSpaceDE w:val="0"/>
        <w:autoSpaceDN w:val="0"/>
        <w:adjustRightInd w:val="0"/>
        <w:spacing w:line="480" w:lineRule="auto"/>
        <w:jc w:val="both"/>
        <w:rPr>
          <w:bCs/>
        </w:rPr>
      </w:pPr>
      <w:r w:rsidRPr="00CA56D9">
        <w:t>Kouki Mondher and Imen Mohamed Gallali, “</w:t>
      </w:r>
      <w:r w:rsidRPr="00CA56D9">
        <w:rPr>
          <w:bCs/>
        </w:rPr>
        <w:t>Corporate Dividend Behaviour: a case Study of Firms listed with Tunisian Stock Market”,</w:t>
      </w:r>
      <w:r w:rsidRPr="00CA56D9">
        <w:t xml:space="preserve"> </w:t>
      </w:r>
      <w:r w:rsidRPr="00CA56D9">
        <w:rPr>
          <w:bCs/>
        </w:rPr>
        <w:t>International Finance Conference</w:t>
      </w:r>
      <w:r w:rsidR="008911EF">
        <w:rPr>
          <w:bCs/>
        </w:rPr>
        <w:t>, 2005.</w:t>
      </w:r>
    </w:p>
    <w:p w:rsidR="00CC64C7" w:rsidRPr="00CA56D9" w:rsidRDefault="00CC64C7" w:rsidP="000A4BF0">
      <w:pPr>
        <w:numPr>
          <w:ilvl w:val="0"/>
          <w:numId w:val="3"/>
        </w:numPr>
        <w:autoSpaceDE w:val="0"/>
        <w:autoSpaceDN w:val="0"/>
        <w:adjustRightInd w:val="0"/>
        <w:spacing w:line="480" w:lineRule="auto"/>
        <w:jc w:val="both"/>
      </w:pPr>
      <w:r w:rsidRPr="00CA56D9">
        <w:t xml:space="preserve">Lintner J, </w:t>
      </w:r>
      <w:r w:rsidR="008911EF" w:rsidRPr="00CA56D9">
        <w:t>“Distribution</w:t>
      </w:r>
      <w:r w:rsidRPr="00CA56D9">
        <w:t xml:space="preserve"> of Incomes of Corporations among Dividend, Retained Earnings, and Taxes”</w:t>
      </w:r>
      <w:r w:rsidR="005E0DC0">
        <w:t>,</w:t>
      </w:r>
      <w:r w:rsidRPr="00CA56D9">
        <w:t xml:space="preserve"> American Economics Review, 46, </w:t>
      </w:r>
      <w:r w:rsidR="005E0DC0">
        <w:t xml:space="preserve">1956, pp. </w:t>
      </w:r>
      <w:r w:rsidRPr="00CA56D9">
        <w:t>97-113.</w:t>
      </w:r>
    </w:p>
    <w:p w:rsidR="00CC64C7" w:rsidRPr="00CA56D9" w:rsidRDefault="00CC64C7" w:rsidP="000A4BF0">
      <w:pPr>
        <w:numPr>
          <w:ilvl w:val="0"/>
          <w:numId w:val="3"/>
        </w:numPr>
        <w:autoSpaceDE w:val="0"/>
        <w:autoSpaceDN w:val="0"/>
        <w:adjustRightInd w:val="0"/>
        <w:spacing w:line="480" w:lineRule="auto"/>
        <w:jc w:val="both"/>
      </w:pPr>
      <w:r w:rsidRPr="00CA56D9">
        <w:t>Myers, Stewart C., and Nicholas S. Majluf , “Corporate Financing and</w:t>
      </w:r>
    </w:p>
    <w:p w:rsidR="00CC64C7" w:rsidRPr="00CA56D9" w:rsidRDefault="00CC64C7" w:rsidP="000A4BF0">
      <w:pPr>
        <w:autoSpaceDE w:val="0"/>
        <w:autoSpaceDN w:val="0"/>
        <w:adjustRightInd w:val="0"/>
        <w:spacing w:line="480" w:lineRule="auto"/>
        <w:ind w:left="720"/>
        <w:jc w:val="both"/>
      </w:pPr>
      <w:r w:rsidRPr="00CA56D9">
        <w:t xml:space="preserve">Investment Decisions When Firms Have Information </w:t>
      </w:r>
      <w:r w:rsidR="005E0DC0">
        <w:t>t</w:t>
      </w:r>
      <w:r w:rsidRPr="00CA56D9">
        <w:t>hat Investors Do Not Have”, Journal of Financial Economics</w:t>
      </w:r>
      <w:r w:rsidR="005E0DC0">
        <w:t>,</w:t>
      </w:r>
      <w:r w:rsidRPr="00CA56D9">
        <w:t xml:space="preserve"> 13, </w:t>
      </w:r>
      <w:r w:rsidR="005E0DC0">
        <w:t xml:space="preserve">1984, pp. </w:t>
      </w:r>
      <w:r w:rsidRPr="00CA56D9">
        <w:t>187-221.</w:t>
      </w:r>
    </w:p>
    <w:p w:rsidR="00CC64C7" w:rsidRPr="00CA56D9" w:rsidRDefault="00CC64C7" w:rsidP="000A4BF0">
      <w:pPr>
        <w:numPr>
          <w:ilvl w:val="0"/>
          <w:numId w:val="3"/>
        </w:numPr>
        <w:autoSpaceDE w:val="0"/>
        <w:autoSpaceDN w:val="0"/>
        <w:adjustRightInd w:val="0"/>
        <w:spacing w:line="480" w:lineRule="auto"/>
        <w:jc w:val="both"/>
      </w:pPr>
      <w:r w:rsidRPr="00CA56D9">
        <w:t xml:space="preserve">Omet, G., </w:t>
      </w:r>
      <w:r w:rsidR="005E0DC0">
        <w:t>“</w:t>
      </w:r>
      <w:r w:rsidRPr="00CA56D9">
        <w:t>Dividend Policy Behaviour in the Jordanian Capital Market</w:t>
      </w:r>
      <w:r w:rsidR="005E0DC0">
        <w:t>”</w:t>
      </w:r>
      <w:r w:rsidRPr="00CA56D9">
        <w:t xml:space="preserve">, </w:t>
      </w:r>
      <w:r w:rsidRPr="00CA56D9">
        <w:rPr>
          <w:iCs/>
        </w:rPr>
        <w:t xml:space="preserve">International Journal of Business, </w:t>
      </w:r>
      <w:r w:rsidRPr="00CA56D9">
        <w:t>9(3)</w:t>
      </w:r>
      <w:r w:rsidR="005E0DC0">
        <w:t>, 2004</w:t>
      </w:r>
      <w:r w:rsidRPr="00CA56D9">
        <w:t>.</w:t>
      </w:r>
    </w:p>
    <w:p w:rsidR="00CC64C7" w:rsidRPr="00CA56D9" w:rsidRDefault="00CC64C7" w:rsidP="000A4BF0">
      <w:pPr>
        <w:numPr>
          <w:ilvl w:val="0"/>
          <w:numId w:val="3"/>
        </w:numPr>
        <w:autoSpaceDE w:val="0"/>
        <w:autoSpaceDN w:val="0"/>
        <w:adjustRightInd w:val="0"/>
        <w:spacing w:line="480" w:lineRule="auto"/>
        <w:jc w:val="both"/>
      </w:pPr>
      <w:r w:rsidRPr="00CA56D9">
        <w:t xml:space="preserve">Omran, M, Pointon, J., </w:t>
      </w:r>
      <w:r w:rsidR="005E0DC0">
        <w:t>“</w:t>
      </w:r>
      <w:r w:rsidRPr="00CA56D9">
        <w:t>Dividend Policy, Trading Characteristics and Share Prices: Empirical Evidence from Egyptian Firms</w:t>
      </w:r>
      <w:r w:rsidR="005E0DC0">
        <w:t>”</w:t>
      </w:r>
      <w:r w:rsidRPr="00CA56D9">
        <w:t xml:space="preserve">, </w:t>
      </w:r>
      <w:r w:rsidRPr="00CA56D9">
        <w:rPr>
          <w:iCs/>
        </w:rPr>
        <w:t>International Journal of</w:t>
      </w:r>
      <w:r w:rsidRPr="00CA56D9">
        <w:t xml:space="preserve"> </w:t>
      </w:r>
      <w:r w:rsidRPr="00CA56D9">
        <w:rPr>
          <w:iCs/>
        </w:rPr>
        <w:t>Theoretical and Applied Finance</w:t>
      </w:r>
      <w:r w:rsidRPr="00CA56D9">
        <w:t>, Vol. 7, No. 2</w:t>
      </w:r>
      <w:r w:rsidR="005E0DC0">
        <w:t>, 2004</w:t>
      </w:r>
      <w:r w:rsidRPr="00CA56D9">
        <w:t>.</w:t>
      </w:r>
    </w:p>
    <w:p w:rsidR="00CC64C7" w:rsidRPr="00CA56D9" w:rsidRDefault="00CC64C7" w:rsidP="000A4BF0">
      <w:pPr>
        <w:numPr>
          <w:ilvl w:val="0"/>
          <w:numId w:val="3"/>
        </w:numPr>
        <w:autoSpaceDE w:val="0"/>
        <w:autoSpaceDN w:val="0"/>
        <w:adjustRightInd w:val="0"/>
        <w:spacing w:line="480" w:lineRule="auto"/>
        <w:jc w:val="both"/>
      </w:pPr>
      <w:r w:rsidRPr="00CA56D9">
        <w:t xml:space="preserve">Ramcharran, H., </w:t>
      </w:r>
      <w:r w:rsidR="00950022">
        <w:t>“</w:t>
      </w:r>
      <w:r w:rsidRPr="00CA56D9">
        <w:t>An Empirical Model of Dividend Policy in Emerging Equity Markets</w:t>
      </w:r>
      <w:r w:rsidR="0093521A">
        <w:t>”</w:t>
      </w:r>
      <w:r w:rsidRPr="00CA56D9">
        <w:t xml:space="preserve">, </w:t>
      </w:r>
      <w:r w:rsidRPr="00CA56D9">
        <w:rPr>
          <w:iCs/>
        </w:rPr>
        <w:t>Emerging Markets Quarterly</w:t>
      </w:r>
      <w:r w:rsidR="00950022">
        <w:rPr>
          <w:iCs/>
        </w:rPr>
        <w:t>”</w:t>
      </w:r>
      <w:r w:rsidRPr="00CA56D9">
        <w:t xml:space="preserve">, 5, </w:t>
      </w:r>
      <w:r w:rsidR="00950022">
        <w:t xml:space="preserve">2001, </w:t>
      </w:r>
      <w:r w:rsidRPr="00CA56D9">
        <w:t>pp</w:t>
      </w:r>
      <w:r w:rsidR="00950022">
        <w:t>.</w:t>
      </w:r>
      <w:r w:rsidRPr="00CA56D9">
        <w:t xml:space="preserve"> 39-49.</w:t>
      </w:r>
    </w:p>
    <w:p w:rsidR="00141010" w:rsidRPr="00CA56D9" w:rsidRDefault="00141010" w:rsidP="0093521A">
      <w:pPr>
        <w:numPr>
          <w:ilvl w:val="0"/>
          <w:numId w:val="3"/>
        </w:numPr>
        <w:autoSpaceDE w:val="0"/>
        <w:autoSpaceDN w:val="0"/>
        <w:adjustRightInd w:val="0"/>
        <w:spacing w:line="480" w:lineRule="auto"/>
      </w:pPr>
      <w:r w:rsidRPr="00CA56D9">
        <w:t>Reddy, Y. S. and Rath, S.</w:t>
      </w:r>
      <w:r w:rsidR="0093521A">
        <w:t>, “</w:t>
      </w:r>
      <w:r w:rsidRPr="00CA56D9">
        <w:t>Disappearing Dividends in Emerging Markets?</w:t>
      </w:r>
    </w:p>
    <w:p w:rsidR="00141010" w:rsidRPr="00CA56D9" w:rsidRDefault="00141010" w:rsidP="0093521A">
      <w:pPr>
        <w:autoSpaceDE w:val="0"/>
        <w:autoSpaceDN w:val="0"/>
        <w:adjustRightInd w:val="0"/>
        <w:spacing w:line="480" w:lineRule="auto"/>
        <w:ind w:left="720"/>
        <w:jc w:val="both"/>
      </w:pPr>
      <w:r w:rsidRPr="00CA56D9">
        <w:t>Evidence from India</w:t>
      </w:r>
      <w:r w:rsidR="0093521A">
        <w:t>”,</w:t>
      </w:r>
      <w:r w:rsidRPr="00CA56D9">
        <w:t xml:space="preserve"> Emerging M</w:t>
      </w:r>
      <w:r w:rsidR="0093521A">
        <w:t>arkets Finance and Trade, 41(6), 2006, pp.</w:t>
      </w:r>
      <w:r w:rsidRPr="00CA56D9">
        <w:t xml:space="preserve"> </w:t>
      </w:r>
      <w:r w:rsidR="0093521A">
        <w:t xml:space="preserve">     </w:t>
      </w:r>
      <w:r w:rsidRPr="00CA56D9">
        <w:t>58-2.</w:t>
      </w:r>
    </w:p>
    <w:p w:rsidR="00215046" w:rsidRPr="00CA56D9" w:rsidRDefault="002975FA" w:rsidP="000A4BF0">
      <w:pPr>
        <w:numPr>
          <w:ilvl w:val="0"/>
          <w:numId w:val="2"/>
        </w:numPr>
        <w:autoSpaceDE w:val="0"/>
        <w:autoSpaceDN w:val="0"/>
        <w:adjustRightInd w:val="0"/>
        <w:spacing w:line="480" w:lineRule="auto"/>
        <w:jc w:val="both"/>
      </w:pPr>
      <w:r w:rsidRPr="00CA56D9">
        <w:t>Rozeff, Michael S., “G</w:t>
      </w:r>
      <w:r w:rsidR="00363487" w:rsidRPr="00CA56D9">
        <w:t xml:space="preserve">rowth, Beta and Agency Costs as </w:t>
      </w:r>
      <w:r w:rsidRPr="00CA56D9">
        <w:t>Determinants of Dividend payout Ratios”, The Journal of Financial</w:t>
      </w:r>
      <w:r w:rsidR="00363487" w:rsidRPr="00CA56D9">
        <w:t xml:space="preserve"> </w:t>
      </w:r>
      <w:r w:rsidRPr="00CA56D9">
        <w:t>Research 5,</w:t>
      </w:r>
      <w:r w:rsidR="0093521A">
        <w:t xml:space="preserve"> 1982, pp.</w:t>
      </w:r>
      <w:r w:rsidRPr="00CA56D9">
        <w:t xml:space="preserve"> 249-259.</w:t>
      </w:r>
    </w:p>
    <w:p w:rsidR="00C80C0F" w:rsidRPr="00CA56D9" w:rsidRDefault="006E2F11" w:rsidP="000A4BF0">
      <w:pPr>
        <w:numPr>
          <w:ilvl w:val="0"/>
          <w:numId w:val="3"/>
        </w:numPr>
        <w:autoSpaceDE w:val="0"/>
        <w:autoSpaceDN w:val="0"/>
        <w:adjustRightInd w:val="0"/>
        <w:spacing w:line="480" w:lineRule="auto"/>
        <w:jc w:val="both"/>
        <w:rPr>
          <w:iCs/>
        </w:rPr>
      </w:pPr>
      <w:r w:rsidRPr="00CA56D9">
        <w:t xml:space="preserve">Scott, D.F., Jr. and J. D. Martin, </w:t>
      </w:r>
      <w:r w:rsidR="008F0CB1">
        <w:t>“</w:t>
      </w:r>
      <w:r w:rsidRPr="00CA56D9">
        <w:t>Industry Influence on Financial Structure</w:t>
      </w:r>
      <w:r w:rsidR="008F0CB1">
        <w:t>”</w:t>
      </w:r>
      <w:r w:rsidRPr="00CA56D9">
        <w:t xml:space="preserve">, </w:t>
      </w:r>
      <w:r w:rsidRPr="00CA56D9">
        <w:rPr>
          <w:iCs/>
        </w:rPr>
        <w:t>Financial</w:t>
      </w:r>
      <w:r w:rsidR="00C41D86" w:rsidRPr="00CA56D9">
        <w:rPr>
          <w:iCs/>
        </w:rPr>
        <w:t xml:space="preserve"> </w:t>
      </w:r>
      <w:r w:rsidRPr="00CA56D9">
        <w:rPr>
          <w:iCs/>
        </w:rPr>
        <w:t>Management</w:t>
      </w:r>
      <w:r w:rsidR="0093521A">
        <w:rPr>
          <w:iCs/>
        </w:rPr>
        <w:t>”</w:t>
      </w:r>
      <w:r w:rsidRPr="00CA56D9">
        <w:t>, 4(1),</w:t>
      </w:r>
      <w:r w:rsidR="0093521A">
        <w:t xml:space="preserve"> 1975, pp.</w:t>
      </w:r>
      <w:r w:rsidRPr="00CA56D9">
        <w:t xml:space="preserve"> 67-73.</w:t>
      </w:r>
    </w:p>
    <w:sectPr w:rsidR="00C80C0F" w:rsidRPr="00CA56D9" w:rsidSect="00CA72B0">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5BA" w:rsidRDefault="000F25BA" w:rsidP="00082490">
      <w:r>
        <w:separator/>
      </w:r>
    </w:p>
  </w:endnote>
  <w:endnote w:type="continuationSeparator" w:id="0">
    <w:p w:rsidR="000F25BA" w:rsidRDefault="000F25BA" w:rsidP="0008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90" w:rsidRDefault="00755709">
    <w:pPr>
      <w:pStyle w:val="Footer"/>
      <w:jc w:val="right"/>
    </w:pPr>
    <w:r>
      <w:fldChar w:fldCharType="begin"/>
    </w:r>
    <w:r>
      <w:instrText xml:space="preserve"> PAGE   \* MERGEFORMAT </w:instrText>
    </w:r>
    <w:r>
      <w:fldChar w:fldCharType="separate"/>
    </w:r>
    <w:r w:rsidR="000F25BA">
      <w:rPr>
        <w:noProof/>
      </w:rPr>
      <w:t>1</w:t>
    </w:r>
    <w:r>
      <w:rPr>
        <w:noProof/>
      </w:rPr>
      <w:fldChar w:fldCharType="end"/>
    </w:r>
  </w:p>
  <w:p w:rsidR="00082490" w:rsidRDefault="00082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5BA" w:rsidRDefault="000F25BA" w:rsidP="00082490">
      <w:r>
        <w:separator/>
      </w:r>
    </w:p>
  </w:footnote>
  <w:footnote w:type="continuationSeparator" w:id="0">
    <w:p w:rsidR="000F25BA" w:rsidRDefault="000F25BA" w:rsidP="00082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041"/>
    <w:multiLevelType w:val="hybridMultilevel"/>
    <w:tmpl w:val="89D8A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AD6993"/>
    <w:multiLevelType w:val="hybridMultilevel"/>
    <w:tmpl w:val="383E1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8816CA"/>
    <w:multiLevelType w:val="hybridMultilevel"/>
    <w:tmpl w:val="735854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9B2636"/>
    <w:multiLevelType w:val="hybridMultilevel"/>
    <w:tmpl w:val="59E40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DA"/>
    <w:rsid w:val="00001ED6"/>
    <w:rsid w:val="00005A74"/>
    <w:rsid w:val="000062B9"/>
    <w:rsid w:val="00011C96"/>
    <w:rsid w:val="00016FC9"/>
    <w:rsid w:val="0001738B"/>
    <w:rsid w:val="00027E7A"/>
    <w:rsid w:val="00030579"/>
    <w:rsid w:val="00034571"/>
    <w:rsid w:val="000416FE"/>
    <w:rsid w:val="00043FCE"/>
    <w:rsid w:val="00050507"/>
    <w:rsid w:val="00052378"/>
    <w:rsid w:val="00052612"/>
    <w:rsid w:val="000616A7"/>
    <w:rsid w:val="00071663"/>
    <w:rsid w:val="00075693"/>
    <w:rsid w:val="00077E26"/>
    <w:rsid w:val="00082490"/>
    <w:rsid w:val="00090C1F"/>
    <w:rsid w:val="00091FD0"/>
    <w:rsid w:val="0009452B"/>
    <w:rsid w:val="000A4BF0"/>
    <w:rsid w:val="000C591C"/>
    <w:rsid w:val="000C5FDA"/>
    <w:rsid w:val="000D2406"/>
    <w:rsid w:val="000E10C0"/>
    <w:rsid w:val="000E17C1"/>
    <w:rsid w:val="000E48EF"/>
    <w:rsid w:val="000E5C8D"/>
    <w:rsid w:val="000E6D77"/>
    <w:rsid w:val="000F25BA"/>
    <w:rsid w:val="0012044F"/>
    <w:rsid w:val="00141010"/>
    <w:rsid w:val="00175633"/>
    <w:rsid w:val="0018379B"/>
    <w:rsid w:val="001845A8"/>
    <w:rsid w:val="001919B9"/>
    <w:rsid w:val="001945CD"/>
    <w:rsid w:val="0019497A"/>
    <w:rsid w:val="001954F7"/>
    <w:rsid w:val="00196F57"/>
    <w:rsid w:val="001A4706"/>
    <w:rsid w:val="001A53A0"/>
    <w:rsid w:val="001B5FE3"/>
    <w:rsid w:val="001D2ECC"/>
    <w:rsid w:val="001D6FE1"/>
    <w:rsid w:val="001E12C8"/>
    <w:rsid w:val="001E3533"/>
    <w:rsid w:val="001E6D75"/>
    <w:rsid w:val="00214355"/>
    <w:rsid w:val="00215046"/>
    <w:rsid w:val="002223F6"/>
    <w:rsid w:val="00230000"/>
    <w:rsid w:val="002364E5"/>
    <w:rsid w:val="00246009"/>
    <w:rsid w:val="0026621D"/>
    <w:rsid w:val="002727F9"/>
    <w:rsid w:val="00296D9C"/>
    <w:rsid w:val="002975FA"/>
    <w:rsid w:val="002A0E08"/>
    <w:rsid w:val="002A4838"/>
    <w:rsid w:val="002D6A8F"/>
    <w:rsid w:val="002E2097"/>
    <w:rsid w:val="002F3BEC"/>
    <w:rsid w:val="002F49F7"/>
    <w:rsid w:val="002F7E13"/>
    <w:rsid w:val="003058D9"/>
    <w:rsid w:val="00330B01"/>
    <w:rsid w:val="00334575"/>
    <w:rsid w:val="0033527B"/>
    <w:rsid w:val="00345084"/>
    <w:rsid w:val="00363487"/>
    <w:rsid w:val="00363580"/>
    <w:rsid w:val="00366217"/>
    <w:rsid w:val="00371F39"/>
    <w:rsid w:val="00372F3D"/>
    <w:rsid w:val="00381DE0"/>
    <w:rsid w:val="00383015"/>
    <w:rsid w:val="00385CEC"/>
    <w:rsid w:val="003956CA"/>
    <w:rsid w:val="00397FA6"/>
    <w:rsid w:val="003A47C4"/>
    <w:rsid w:val="003B0399"/>
    <w:rsid w:val="003B7CC7"/>
    <w:rsid w:val="003C4C77"/>
    <w:rsid w:val="003C7D3A"/>
    <w:rsid w:val="003D2722"/>
    <w:rsid w:val="003D3EAC"/>
    <w:rsid w:val="003E76EF"/>
    <w:rsid w:val="003E7BE5"/>
    <w:rsid w:val="003F74AE"/>
    <w:rsid w:val="00400896"/>
    <w:rsid w:val="004028E1"/>
    <w:rsid w:val="00403EBC"/>
    <w:rsid w:val="0041129A"/>
    <w:rsid w:val="00415191"/>
    <w:rsid w:val="004221F8"/>
    <w:rsid w:val="00424A54"/>
    <w:rsid w:val="00432A5E"/>
    <w:rsid w:val="00442E74"/>
    <w:rsid w:val="00444DE1"/>
    <w:rsid w:val="00445172"/>
    <w:rsid w:val="00447FE5"/>
    <w:rsid w:val="004613E6"/>
    <w:rsid w:val="004761A2"/>
    <w:rsid w:val="004831F8"/>
    <w:rsid w:val="0048613F"/>
    <w:rsid w:val="00487B10"/>
    <w:rsid w:val="00493A01"/>
    <w:rsid w:val="00494B35"/>
    <w:rsid w:val="004A00DF"/>
    <w:rsid w:val="004A1A1A"/>
    <w:rsid w:val="004A4D0E"/>
    <w:rsid w:val="004B496B"/>
    <w:rsid w:val="004C2609"/>
    <w:rsid w:val="004C7878"/>
    <w:rsid w:val="004E1FB8"/>
    <w:rsid w:val="004E3D5E"/>
    <w:rsid w:val="004E65D2"/>
    <w:rsid w:val="004E6D12"/>
    <w:rsid w:val="004E6D23"/>
    <w:rsid w:val="00501D28"/>
    <w:rsid w:val="00503871"/>
    <w:rsid w:val="00506146"/>
    <w:rsid w:val="005257AD"/>
    <w:rsid w:val="00526B3E"/>
    <w:rsid w:val="00531D0D"/>
    <w:rsid w:val="00536AE0"/>
    <w:rsid w:val="005449B6"/>
    <w:rsid w:val="0054695A"/>
    <w:rsid w:val="00547137"/>
    <w:rsid w:val="005524F8"/>
    <w:rsid w:val="00556EAC"/>
    <w:rsid w:val="00560E15"/>
    <w:rsid w:val="005712FE"/>
    <w:rsid w:val="00571D05"/>
    <w:rsid w:val="0057258E"/>
    <w:rsid w:val="0058201B"/>
    <w:rsid w:val="005841F9"/>
    <w:rsid w:val="0059600F"/>
    <w:rsid w:val="00596D24"/>
    <w:rsid w:val="005B4E3A"/>
    <w:rsid w:val="005C3E26"/>
    <w:rsid w:val="005D1281"/>
    <w:rsid w:val="005E0DC0"/>
    <w:rsid w:val="005E1761"/>
    <w:rsid w:val="005E63E4"/>
    <w:rsid w:val="005F2564"/>
    <w:rsid w:val="005F6AC5"/>
    <w:rsid w:val="00604BEE"/>
    <w:rsid w:val="0061091D"/>
    <w:rsid w:val="00617600"/>
    <w:rsid w:val="0062394A"/>
    <w:rsid w:val="00627581"/>
    <w:rsid w:val="00631300"/>
    <w:rsid w:val="00647CEA"/>
    <w:rsid w:val="00654A28"/>
    <w:rsid w:val="006553D8"/>
    <w:rsid w:val="00666CE6"/>
    <w:rsid w:val="006767D9"/>
    <w:rsid w:val="00677E4E"/>
    <w:rsid w:val="00682967"/>
    <w:rsid w:val="00685845"/>
    <w:rsid w:val="006868B7"/>
    <w:rsid w:val="006911DD"/>
    <w:rsid w:val="006940C8"/>
    <w:rsid w:val="006A460F"/>
    <w:rsid w:val="006B0715"/>
    <w:rsid w:val="006C4950"/>
    <w:rsid w:val="006D1515"/>
    <w:rsid w:val="006D3E44"/>
    <w:rsid w:val="006E2F11"/>
    <w:rsid w:val="006F07EB"/>
    <w:rsid w:val="006F1EC6"/>
    <w:rsid w:val="00715BF2"/>
    <w:rsid w:val="0074535A"/>
    <w:rsid w:val="00755709"/>
    <w:rsid w:val="00756972"/>
    <w:rsid w:val="00757C86"/>
    <w:rsid w:val="00762049"/>
    <w:rsid w:val="00764803"/>
    <w:rsid w:val="00786487"/>
    <w:rsid w:val="00795F31"/>
    <w:rsid w:val="007A23DA"/>
    <w:rsid w:val="007B2859"/>
    <w:rsid w:val="007B2E9E"/>
    <w:rsid w:val="007D294D"/>
    <w:rsid w:val="007D37D1"/>
    <w:rsid w:val="007D56D0"/>
    <w:rsid w:val="007F5C6B"/>
    <w:rsid w:val="00800D62"/>
    <w:rsid w:val="00801031"/>
    <w:rsid w:val="008217C3"/>
    <w:rsid w:val="00821969"/>
    <w:rsid w:val="008246D4"/>
    <w:rsid w:val="008275CE"/>
    <w:rsid w:val="00832F1D"/>
    <w:rsid w:val="00834978"/>
    <w:rsid w:val="008351FA"/>
    <w:rsid w:val="0083525D"/>
    <w:rsid w:val="008359C6"/>
    <w:rsid w:val="00843DE2"/>
    <w:rsid w:val="0084503D"/>
    <w:rsid w:val="00847E62"/>
    <w:rsid w:val="00850B53"/>
    <w:rsid w:val="0085314A"/>
    <w:rsid w:val="008652EC"/>
    <w:rsid w:val="00866969"/>
    <w:rsid w:val="0087392C"/>
    <w:rsid w:val="00885BFA"/>
    <w:rsid w:val="008911EF"/>
    <w:rsid w:val="008A3402"/>
    <w:rsid w:val="008C013B"/>
    <w:rsid w:val="008D704E"/>
    <w:rsid w:val="008E321D"/>
    <w:rsid w:val="008F0CB1"/>
    <w:rsid w:val="008F1249"/>
    <w:rsid w:val="008F2196"/>
    <w:rsid w:val="00901EEA"/>
    <w:rsid w:val="0090300D"/>
    <w:rsid w:val="009119D8"/>
    <w:rsid w:val="0091678E"/>
    <w:rsid w:val="0093521A"/>
    <w:rsid w:val="00947F48"/>
    <w:rsid w:val="00950022"/>
    <w:rsid w:val="00952CFC"/>
    <w:rsid w:val="009618BC"/>
    <w:rsid w:val="0097314E"/>
    <w:rsid w:val="009753E7"/>
    <w:rsid w:val="00976F5D"/>
    <w:rsid w:val="0098533E"/>
    <w:rsid w:val="00990C3E"/>
    <w:rsid w:val="00990EE0"/>
    <w:rsid w:val="00991FAF"/>
    <w:rsid w:val="009932D8"/>
    <w:rsid w:val="009A439B"/>
    <w:rsid w:val="009B3060"/>
    <w:rsid w:val="009B3409"/>
    <w:rsid w:val="009B5463"/>
    <w:rsid w:val="009B6813"/>
    <w:rsid w:val="009C05CD"/>
    <w:rsid w:val="009C29FC"/>
    <w:rsid w:val="009C2F0A"/>
    <w:rsid w:val="009D43B7"/>
    <w:rsid w:val="009E03D8"/>
    <w:rsid w:val="009E2AC7"/>
    <w:rsid w:val="009E6D49"/>
    <w:rsid w:val="009F029F"/>
    <w:rsid w:val="009F1CB8"/>
    <w:rsid w:val="00A13C6D"/>
    <w:rsid w:val="00A1483C"/>
    <w:rsid w:val="00A16A86"/>
    <w:rsid w:val="00A2218D"/>
    <w:rsid w:val="00A33F88"/>
    <w:rsid w:val="00A340C8"/>
    <w:rsid w:val="00A46A90"/>
    <w:rsid w:val="00A47EA1"/>
    <w:rsid w:val="00A544F3"/>
    <w:rsid w:val="00A55897"/>
    <w:rsid w:val="00A672D1"/>
    <w:rsid w:val="00A833A3"/>
    <w:rsid w:val="00A93553"/>
    <w:rsid w:val="00AA1410"/>
    <w:rsid w:val="00AB478E"/>
    <w:rsid w:val="00AC0125"/>
    <w:rsid w:val="00AC6A72"/>
    <w:rsid w:val="00AC7053"/>
    <w:rsid w:val="00AD1A0F"/>
    <w:rsid w:val="00AD20C0"/>
    <w:rsid w:val="00AF6633"/>
    <w:rsid w:val="00B02013"/>
    <w:rsid w:val="00B151DE"/>
    <w:rsid w:val="00B1783F"/>
    <w:rsid w:val="00B20318"/>
    <w:rsid w:val="00B25424"/>
    <w:rsid w:val="00B2649B"/>
    <w:rsid w:val="00B305D3"/>
    <w:rsid w:val="00B35665"/>
    <w:rsid w:val="00B372F2"/>
    <w:rsid w:val="00B401F4"/>
    <w:rsid w:val="00B42AB3"/>
    <w:rsid w:val="00B44550"/>
    <w:rsid w:val="00B45467"/>
    <w:rsid w:val="00B5321A"/>
    <w:rsid w:val="00B57DA1"/>
    <w:rsid w:val="00B63512"/>
    <w:rsid w:val="00B733AD"/>
    <w:rsid w:val="00B74364"/>
    <w:rsid w:val="00B74887"/>
    <w:rsid w:val="00B8240D"/>
    <w:rsid w:val="00B91471"/>
    <w:rsid w:val="00B91AEF"/>
    <w:rsid w:val="00B960EC"/>
    <w:rsid w:val="00BA2B8E"/>
    <w:rsid w:val="00BA4ACD"/>
    <w:rsid w:val="00BA5361"/>
    <w:rsid w:val="00BA64AB"/>
    <w:rsid w:val="00BB09A8"/>
    <w:rsid w:val="00BB625F"/>
    <w:rsid w:val="00BB6D1B"/>
    <w:rsid w:val="00BC0C5F"/>
    <w:rsid w:val="00BC47BB"/>
    <w:rsid w:val="00BD3074"/>
    <w:rsid w:val="00BD5F4D"/>
    <w:rsid w:val="00BE15E1"/>
    <w:rsid w:val="00BE5D3E"/>
    <w:rsid w:val="00BF5191"/>
    <w:rsid w:val="00BF7619"/>
    <w:rsid w:val="00C024F7"/>
    <w:rsid w:val="00C36F67"/>
    <w:rsid w:val="00C409B1"/>
    <w:rsid w:val="00C41D86"/>
    <w:rsid w:val="00C4607A"/>
    <w:rsid w:val="00C55D0E"/>
    <w:rsid w:val="00C7583B"/>
    <w:rsid w:val="00C805DA"/>
    <w:rsid w:val="00C80C0F"/>
    <w:rsid w:val="00C810E7"/>
    <w:rsid w:val="00C81A2E"/>
    <w:rsid w:val="00C844ED"/>
    <w:rsid w:val="00C92A25"/>
    <w:rsid w:val="00CA0BFF"/>
    <w:rsid w:val="00CA0E8B"/>
    <w:rsid w:val="00CA56D9"/>
    <w:rsid w:val="00CA72B0"/>
    <w:rsid w:val="00CB058E"/>
    <w:rsid w:val="00CC2605"/>
    <w:rsid w:val="00CC3C34"/>
    <w:rsid w:val="00CC64C7"/>
    <w:rsid w:val="00CC6E9F"/>
    <w:rsid w:val="00CD2772"/>
    <w:rsid w:val="00CD53FC"/>
    <w:rsid w:val="00CD6624"/>
    <w:rsid w:val="00CE3A5A"/>
    <w:rsid w:val="00CF0F40"/>
    <w:rsid w:val="00CF34F0"/>
    <w:rsid w:val="00CF735F"/>
    <w:rsid w:val="00D01291"/>
    <w:rsid w:val="00D01B9D"/>
    <w:rsid w:val="00D04748"/>
    <w:rsid w:val="00D12FB5"/>
    <w:rsid w:val="00D244F5"/>
    <w:rsid w:val="00D25785"/>
    <w:rsid w:val="00D25F45"/>
    <w:rsid w:val="00D271F4"/>
    <w:rsid w:val="00D3209C"/>
    <w:rsid w:val="00D359CB"/>
    <w:rsid w:val="00D41A9D"/>
    <w:rsid w:val="00D56F16"/>
    <w:rsid w:val="00D6220E"/>
    <w:rsid w:val="00D723B3"/>
    <w:rsid w:val="00D81324"/>
    <w:rsid w:val="00D85F96"/>
    <w:rsid w:val="00DA0DEB"/>
    <w:rsid w:val="00DA10B3"/>
    <w:rsid w:val="00DA2893"/>
    <w:rsid w:val="00DA5E47"/>
    <w:rsid w:val="00DB2B64"/>
    <w:rsid w:val="00DB6F89"/>
    <w:rsid w:val="00DC01E3"/>
    <w:rsid w:val="00DC299C"/>
    <w:rsid w:val="00DD5440"/>
    <w:rsid w:val="00DD7B57"/>
    <w:rsid w:val="00DF69E6"/>
    <w:rsid w:val="00E02183"/>
    <w:rsid w:val="00E056E4"/>
    <w:rsid w:val="00E11337"/>
    <w:rsid w:val="00E11C2E"/>
    <w:rsid w:val="00E130F9"/>
    <w:rsid w:val="00E13DAC"/>
    <w:rsid w:val="00E2176E"/>
    <w:rsid w:val="00E23D14"/>
    <w:rsid w:val="00E33690"/>
    <w:rsid w:val="00E42AD8"/>
    <w:rsid w:val="00E46598"/>
    <w:rsid w:val="00E5083C"/>
    <w:rsid w:val="00E51039"/>
    <w:rsid w:val="00E5665B"/>
    <w:rsid w:val="00EA5A6B"/>
    <w:rsid w:val="00EB615D"/>
    <w:rsid w:val="00ED7271"/>
    <w:rsid w:val="00EF56CE"/>
    <w:rsid w:val="00EF590F"/>
    <w:rsid w:val="00EF59CB"/>
    <w:rsid w:val="00F023AE"/>
    <w:rsid w:val="00F03464"/>
    <w:rsid w:val="00F26C4C"/>
    <w:rsid w:val="00F307D0"/>
    <w:rsid w:val="00F342C9"/>
    <w:rsid w:val="00F42C29"/>
    <w:rsid w:val="00F42E8D"/>
    <w:rsid w:val="00F46D0D"/>
    <w:rsid w:val="00F50527"/>
    <w:rsid w:val="00F5083C"/>
    <w:rsid w:val="00F56CBB"/>
    <w:rsid w:val="00F57985"/>
    <w:rsid w:val="00F600CF"/>
    <w:rsid w:val="00F65690"/>
    <w:rsid w:val="00F671BC"/>
    <w:rsid w:val="00F76625"/>
    <w:rsid w:val="00F8397E"/>
    <w:rsid w:val="00F933D4"/>
    <w:rsid w:val="00F96E53"/>
    <w:rsid w:val="00FA6CB2"/>
    <w:rsid w:val="00FE40CD"/>
    <w:rsid w:val="00FF71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93994B-10D3-474E-B1A1-329DE75A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FDA"/>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05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45084"/>
    <w:rPr>
      <w:color w:val="0000FF"/>
      <w:u w:val="single"/>
    </w:rPr>
  </w:style>
  <w:style w:type="paragraph" w:styleId="Header">
    <w:name w:val="header"/>
    <w:basedOn w:val="Normal"/>
    <w:link w:val="HeaderChar"/>
    <w:rsid w:val="00082490"/>
    <w:pPr>
      <w:tabs>
        <w:tab w:val="center" w:pos="4680"/>
        <w:tab w:val="right" w:pos="9360"/>
      </w:tabs>
    </w:pPr>
  </w:style>
  <w:style w:type="character" w:customStyle="1" w:styleId="HeaderChar">
    <w:name w:val="Header Char"/>
    <w:basedOn w:val="DefaultParagraphFont"/>
    <w:link w:val="Header"/>
    <w:rsid w:val="00082490"/>
    <w:rPr>
      <w:sz w:val="24"/>
      <w:szCs w:val="24"/>
    </w:rPr>
  </w:style>
  <w:style w:type="paragraph" w:styleId="Footer">
    <w:name w:val="footer"/>
    <w:basedOn w:val="Normal"/>
    <w:link w:val="FooterChar"/>
    <w:uiPriority w:val="99"/>
    <w:rsid w:val="00082490"/>
    <w:pPr>
      <w:tabs>
        <w:tab w:val="center" w:pos="4680"/>
        <w:tab w:val="right" w:pos="9360"/>
      </w:tabs>
    </w:pPr>
  </w:style>
  <w:style w:type="character" w:customStyle="1" w:styleId="FooterChar">
    <w:name w:val="Footer Char"/>
    <w:basedOn w:val="DefaultParagraphFont"/>
    <w:link w:val="Footer"/>
    <w:uiPriority w:val="99"/>
    <w:rsid w:val="00082490"/>
    <w:rPr>
      <w:sz w:val="24"/>
      <w:szCs w:val="24"/>
    </w:rPr>
  </w:style>
  <w:style w:type="paragraph" w:styleId="BalloonText">
    <w:name w:val="Balloon Text"/>
    <w:basedOn w:val="Normal"/>
    <w:link w:val="BalloonTextChar"/>
    <w:rsid w:val="00B45467"/>
    <w:rPr>
      <w:rFonts w:ascii="Tahoma" w:hAnsi="Tahoma" w:cs="Tahoma"/>
      <w:sz w:val="16"/>
      <w:szCs w:val="16"/>
    </w:rPr>
  </w:style>
  <w:style w:type="character" w:customStyle="1" w:styleId="BalloonTextChar">
    <w:name w:val="Balloon Text Char"/>
    <w:basedOn w:val="DefaultParagraphFont"/>
    <w:link w:val="BalloonText"/>
    <w:rsid w:val="00B45467"/>
    <w:rPr>
      <w:rFonts w:ascii="Tahoma" w:hAnsi="Tahoma" w:cs="Tahoma"/>
      <w:sz w:val="16"/>
      <w:szCs w:val="16"/>
      <w:lang w:val="en-US" w:eastAsia="en-US"/>
    </w:rPr>
  </w:style>
  <w:style w:type="paragraph" w:styleId="ListParagraph">
    <w:name w:val="List Paragraph"/>
    <w:basedOn w:val="Normal"/>
    <w:uiPriority w:val="34"/>
    <w:qFormat/>
    <w:rsid w:val="009E6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15</Pages>
  <Words>3010</Words>
  <Characters>17160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Leverage (Lev): The leverage has been used as proxy of Debt to equity ratio and control variable in this study</vt:lpstr>
    </vt:vector>
  </TitlesOfParts>
  <Company/>
  <LinksUpToDate>false</LinksUpToDate>
  <CharactersWithSpaces>20130</CharactersWithSpaces>
  <SharedDoc>false</SharedDoc>
  <HLinks>
    <vt:vector size="6" baseType="variant">
      <vt:variant>
        <vt:i4>3735632</vt:i4>
      </vt:variant>
      <vt:variant>
        <vt:i4>0</vt:i4>
      </vt:variant>
      <vt:variant>
        <vt:i4>0</vt:i4>
      </vt:variant>
      <vt:variant>
        <vt:i4>5</vt:i4>
      </vt:variant>
      <vt:variant>
        <vt:lpwstr>mailto:raheel@dau.edu.sa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Leverage (Lev): The leverage has been used as proxy of Debt to equity ratio and control variable in this study</dc:title>
  <dc:creator>ani</dc:creator>
  <cp:lastModifiedBy>ADEE</cp:lastModifiedBy>
  <cp:revision>32</cp:revision>
  <cp:lastPrinted>2012-04-01T09:04:00Z</cp:lastPrinted>
  <dcterms:created xsi:type="dcterms:W3CDTF">2018-02-06T11:36:00Z</dcterms:created>
  <dcterms:modified xsi:type="dcterms:W3CDTF">2018-02-18T10:46:00Z</dcterms:modified>
</cp:coreProperties>
</file>