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03D" w:rsidRDefault="0010303D" w:rsidP="0010303D">
      <w:pPr>
        <w:pStyle w:val="1"/>
        <w:spacing w:line="276" w:lineRule="auto"/>
        <w:jc w:val="center"/>
      </w:pPr>
      <w:r>
        <w:t>When the Government Went Experimental</w:t>
      </w:r>
    </w:p>
    <w:p w:rsidR="00EB2B18" w:rsidRDefault="00EB2B18" w:rsidP="005C5C87"/>
    <w:p w:rsidR="0010303D" w:rsidRDefault="0010303D" w:rsidP="00805D0F">
      <w:pPr>
        <w:spacing w:line="276" w:lineRule="auto"/>
        <w:jc w:val="center"/>
        <w:rPr>
          <w:rFonts w:ascii="Times New Roman" w:hAnsi="Times New Roman" w:cs="Times New Roman"/>
        </w:rPr>
      </w:pPr>
      <w:r w:rsidRPr="00E6085E">
        <w:rPr>
          <w:rFonts w:ascii="Times New Roman" w:hAnsi="Times New Roman" w:cs="Times New Roman"/>
        </w:rPr>
        <w:t>Ido Kallir</w:t>
      </w:r>
      <w:r>
        <w:rPr>
          <w:rFonts w:ascii="Times New Roman" w:hAnsi="Times New Roman" w:cs="Times New Roman"/>
        </w:rPr>
        <w:t xml:space="preserve">* and Aharon </w:t>
      </w:r>
      <w:r w:rsidR="00805D0F">
        <w:rPr>
          <w:rFonts w:ascii="Times New Roman" w:hAnsi="Times New Roman" w:cs="Times New Roman"/>
        </w:rPr>
        <w:t>(</w:t>
      </w:r>
      <w:r>
        <w:rPr>
          <w:rFonts w:ascii="Times New Roman" w:hAnsi="Times New Roman" w:cs="Times New Roman"/>
        </w:rPr>
        <w:t>R</w:t>
      </w:r>
      <w:r w:rsidR="00805D0F">
        <w:rPr>
          <w:rFonts w:ascii="Times New Roman" w:hAnsi="Times New Roman" w:cs="Times New Roman"/>
        </w:rPr>
        <w:t xml:space="preserve">oni) </w:t>
      </w:r>
      <w:r>
        <w:rPr>
          <w:rFonts w:ascii="Times New Roman" w:hAnsi="Times New Roman" w:cs="Times New Roman"/>
        </w:rPr>
        <w:t>Ofer*</w:t>
      </w:r>
      <w:r w:rsidR="00805D0F">
        <w:rPr>
          <w:rFonts w:ascii="Times New Roman" w:hAnsi="Times New Roman" w:cs="Times New Roman"/>
        </w:rPr>
        <w:t>*</w:t>
      </w:r>
    </w:p>
    <w:p w:rsidR="00EB2B18" w:rsidRDefault="00EB2B18" w:rsidP="005C5C87"/>
    <w:p w:rsidR="0010303D" w:rsidRDefault="0010303D" w:rsidP="0010303D">
      <w:pPr>
        <w:spacing w:line="276" w:lineRule="auto"/>
        <w:jc w:val="center"/>
        <w:rPr>
          <w:rFonts w:ascii="Times New Roman" w:hAnsi="Times New Roman" w:cs="Times New Roman"/>
        </w:rPr>
      </w:pPr>
    </w:p>
    <w:p w:rsidR="0010303D" w:rsidRPr="00EF09B9" w:rsidRDefault="0010303D" w:rsidP="0010303D">
      <w:pPr>
        <w:pStyle w:val="2"/>
        <w:bidi w:val="0"/>
        <w:spacing w:line="276" w:lineRule="auto"/>
      </w:pPr>
      <w:r w:rsidRPr="00EF09B9">
        <w:t>Abstract</w:t>
      </w:r>
    </w:p>
    <w:p w:rsidR="00EB2B18" w:rsidRDefault="0010303D" w:rsidP="005C5C87">
      <w:pPr>
        <w:spacing w:line="360" w:lineRule="auto"/>
        <w:ind w:firstLine="720"/>
        <w:jc w:val="both"/>
        <w:rPr>
          <w:rFonts w:ascii="Times New Roman" w:hAnsi="Times New Roman" w:cs="Times New Roman"/>
        </w:rPr>
      </w:pPr>
      <w:r>
        <w:rPr>
          <w:rFonts w:ascii="Times New Roman" w:hAnsi="Times New Roman" w:cs="Times New Roman"/>
        </w:rPr>
        <w:t xml:space="preserve">When households make financial decisions, one may </w:t>
      </w:r>
      <w:r w:rsidRPr="00EF09B9">
        <w:rPr>
          <w:rFonts w:ascii="Times New Roman" w:hAnsi="Times New Roman" w:cs="Times New Roman"/>
        </w:rPr>
        <w:t xml:space="preserve">expect </w:t>
      </w:r>
      <w:r>
        <w:rPr>
          <w:rFonts w:ascii="Times New Roman" w:hAnsi="Times New Roman" w:cs="Times New Roman"/>
        </w:rPr>
        <w:t>them t</w:t>
      </w:r>
      <w:r w:rsidRPr="00EF09B9">
        <w:rPr>
          <w:rFonts w:ascii="Times New Roman" w:hAnsi="Times New Roman" w:cs="Times New Roman"/>
        </w:rPr>
        <w:t xml:space="preserve">o be both </w:t>
      </w:r>
      <w:r>
        <w:rPr>
          <w:rFonts w:ascii="Times New Roman" w:hAnsi="Times New Roman" w:cs="Times New Roman"/>
        </w:rPr>
        <w:t>informative and rational – just as any other financial agent</w:t>
      </w:r>
      <w:r w:rsidRPr="00EF09B9">
        <w:rPr>
          <w:rFonts w:ascii="Times New Roman" w:hAnsi="Times New Roman" w:cs="Times New Roman"/>
        </w:rPr>
        <w:t xml:space="preserve">. </w:t>
      </w:r>
      <w:r>
        <w:rPr>
          <w:rFonts w:ascii="Times New Roman" w:hAnsi="Times New Roman" w:cs="Times New Roman"/>
        </w:rPr>
        <w:t xml:space="preserve">In this paper, we </w:t>
      </w:r>
      <w:r w:rsidRPr="00EF09B9">
        <w:rPr>
          <w:rFonts w:ascii="Times New Roman" w:hAnsi="Times New Roman" w:cs="Times New Roman"/>
        </w:rPr>
        <w:t xml:space="preserve">question </w:t>
      </w:r>
      <w:r>
        <w:rPr>
          <w:rFonts w:ascii="Times New Roman" w:hAnsi="Times New Roman" w:cs="Times New Roman"/>
        </w:rPr>
        <w:t xml:space="preserve">whether </w:t>
      </w:r>
      <w:r w:rsidRPr="00EF09B9">
        <w:rPr>
          <w:rFonts w:ascii="Times New Roman" w:hAnsi="Times New Roman" w:cs="Times New Roman"/>
        </w:rPr>
        <w:t>th</w:t>
      </w:r>
      <w:r>
        <w:rPr>
          <w:rFonts w:ascii="Times New Roman" w:hAnsi="Times New Roman" w:cs="Times New Roman"/>
        </w:rPr>
        <w:t xml:space="preserve">is </w:t>
      </w:r>
      <w:r w:rsidRPr="00EF09B9">
        <w:rPr>
          <w:rFonts w:ascii="Times New Roman" w:hAnsi="Times New Roman" w:cs="Times New Roman"/>
        </w:rPr>
        <w:t>hypothes</w:t>
      </w:r>
      <w:r>
        <w:rPr>
          <w:rFonts w:ascii="Times New Roman" w:hAnsi="Times New Roman" w:cs="Times New Roman"/>
        </w:rPr>
        <w:t>i</w:t>
      </w:r>
      <w:r w:rsidRPr="00EF09B9">
        <w:rPr>
          <w:rFonts w:ascii="Times New Roman" w:hAnsi="Times New Roman" w:cs="Times New Roman"/>
        </w:rPr>
        <w:t>s</w:t>
      </w:r>
      <w:r>
        <w:rPr>
          <w:rFonts w:ascii="Times New Roman" w:hAnsi="Times New Roman" w:cs="Times New Roman"/>
        </w:rPr>
        <w:t xml:space="preserve"> is error-free and correct by using </w:t>
      </w:r>
      <w:r w:rsidRPr="00EF09B9">
        <w:rPr>
          <w:rFonts w:ascii="Times New Roman" w:hAnsi="Times New Roman" w:cs="Times New Roman"/>
        </w:rPr>
        <w:t xml:space="preserve">a unique large-scale event study. Our results do not support the axioms of financial theory. </w:t>
      </w:r>
      <w:r>
        <w:rPr>
          <w:rFonts w:ascii="Times New Roman" w:hAnsi="Times New Roman" w:cs="Times New Roman"/>
        </w:rPr>
        <w:t xml:space="preserve">However, our results are harmonious with the </w:t>
      </w:r>
      <w:r w:rsidRPr="00EF09B9">
        <w:rPr>
          <w:rFonts w:ascii="Times New Roman" w:hAnsi="Times New Roman" w:cs="Times New Roman"/>
        </w:rPr>
        <w:t>experimental literature</w:t>
      </w:r>
      <w:r>
        <w:rPr>
          <w:rFonts w:ascii="Times New Roman" w:hAnsi="Times New Roman" w:cs="Times New Roman"/>
        </w:rPr>
        <w:t>,</w:t>
      </w:r>
      <w:r w:rsidRPr="00EF09B9">
        <w:rPr>
          <w:rFonts w:ascii="Times New Roman" w:hAnsi="Times New Roman" w:cs="Times New Roman"/>
        </w:rPr>
        <w:t xml:space="preserve"> </w:t>
      </w:r>
      <w:r>
        <w:rPr>
          <w:rFonts w:ascii="Times New Roman" w:hAnsi="Times New Roman" w:cs="Times New Roman"/>
        </w:rPr>
        <w:t xml:space="preserve">which, to be sure, suggests </w:t>
      </w:r>
      <w:r w:rsidRPr="00EF09B9">
        <w:rPr>
          <w:rFonts w:ascii="Times New Roman" w:hAnsi="Times New Roman" w:cs="Times New Roman"/>
        </w:rPr>
        <w:t xml:space="preserve">that </w:t>
      </w:r>
      <w:r>
        <w:rPr>
          <w:rFonts w:ascii="Times New Roman" w:hAnsi="Times New Roman" w:cs="Times New Roman"/>
        </w:rPr>
        <w:t xml:space="preserve">agents </w:t>
      </w:r>
      <w:r w:rsidRPr="00EF09B9">
        <w:rPr>
          <w:rFonts w:ascii="Times New Roman" w:hAnsi="Times New Roman" w:cs="Times New Roman"/>
        </w:rPr>
        <w:t>use information inefficiently</w:t>
      </w:r>
      <w:r>
        <w:rPr>
          <w:rFonts w:ascii="Times New Roman" w:hAnsi="Times New Roman" w:cs="Times New Roman"/>
        </w:rPr>
        <w:t>;</w:t>
      </w:r>
      <w:r w:rsidRPr="00EF09B9">
        <w:rPr>
          <w:rFonts w:ascii="Times New Roman" w:hAnsi="Times New Roman" w:cs="Times New Roman"/>
        </w:rPr>
        <w:t xml:space="preserve"> </w:t>
      </w:r>
      <w:r>
        <w:rPr>
          <w:rFonts w:ascii="Times New Roman" w:hAnsi="Times New Roman" w:cs="Times New Roman"/>
        </w:rPr>
        <w:t>they</w:t>
      </w:r>
      <w:r w:rsidRPr="00EF09B9">
        <w:rPr>
          <w:rFonts w:ascii="Times New Roman" w:hAnsi="Times New Roman" w:cs="Times New Roman"/>
        </w:rPr>
        <w:t xml:space="preserve"> ignor</w:t>
      </w:r>
      <w:r>
        <w:rPr>
          <w:rFonts w:ascii="Times New Roman" w:hAnsi="Times New Roman" w:cs="Times New Roman"/>
        </w:rPr>
        <w:t>e</w:t>
      </w:r>
      <w:r w:rsidRPr="00EF09B9">
        <w:rPr>
          <w:rFonts w:ascii="Times New Roman" w:hAnsi="Times New Roman" w:cs="Times New Roman"/>
        </w:rPr>
        <w:t xml:space="preserve"> it or </w:t>
      </w:r>
      <w:r>
        <w:rPr>
          <w:rFonts w:ascii="Times New Roman" w:hAnsi="Times New Roman" w:cs="Times New Roman"/>
        </w:rPr>
        <w:t>misuse</w:t>
      </w:r>
      <w:r w:rsidRPr="00EF09B9">
        <w:rPr>
          <w:rFonts w:ascii="Times New Roman" w:hAnsi="Times New Roman" w:cs="Times New Roman"/>
        </w:rPr>
        <w:t xml:space="preserve"> </w:t>
      </w:r>
      <w:r>
        <w:rPr>
          <w:rFonts w:ascii="Times New Roman" w:hAnsi="Times New Roman" w:cs="Times New Roman"/>
        </w:rPr>
        <w:t>to the effect of bringing about suboptimal or even bad financial results</w:t>
      </w:r>
      <w:r w:rsidRPr="00EF09B9">
        <w:rPr>
          <w:rFonts w:ascii="Times New Roman" w:hAnsi="Times New Roman" w:cs="Times New Roman"/>
        </w:rPr>
        <w:t xml:space="preserve">. We use a unique event </w:t>
      </w:r>
      <w:r>
        <w:rPr>
          <w:rFonts w:ascii="Times New Roman" w:hAnsi="Times New Roman" w:cs="Times New Roman"/>
        </w:rPr>
        <w:t>-</w:t>
      </w:r>
      <w:r w:rsidRPr="00EF09B9">
        <w:rPr>
          <w:rFonts w:ascii="Times New Roman" w:hAnsi="Times New Roman" w:cs="Times New Roman"/>
        </w:rPr>
        <w:t xml:space="preserve"> an entirely new valuation mechanism </w:t>
      </w:r>
      <w:r>
        <w:rPr>
          <w:rFonts w:ascii="Times New Roman" w:hAnsi="Times New Roman" w:cs="Times New Roman"/>
        </w:rPr>
        <w:t xml:space="preserve">that </w:t>
      </w:r>
      <w:r w:rsidRPr="00EF09B9">
        <w:rPr>
          <w:rFonts w:ascii="Times New Roman" w:hAnsi="Times New Roman" w:cs="Times New Roman"/>
        </w:rPr>
        <w:t xml:space="preserve">was </w:t>
      </w:r>
      <w:r>
        <w:rPr>
          <w:rFonts w:ascii="Times New Roman" w:hAnsi="Times New Roman" w:cs="Times New Roman"/>
        </w:rPr>
        <w:t>"</w:t>
      </w:r>
      <w:r w:rsidRPr="00EF09B9">
        <w:rPr>
          <w:rFonts w:ascii="Times New Roman" w:hAnsi="Times New Roman" w:cs="Times New Roman"/>
        </w:rPr>
        <w:t>enforced</w:t>
      </w:r>
      <w:r>
        <w:rPr>
          <w:rFonts w:ascii="Times New Roman" w:hAnsi="Times New Roman" w:cs="Times New Roman"/>
        </w:rPr>
        <w:t>"</w:t>
      </w:r>
      <w:r w:rsidRPr="00EF09B9">
        <w:rPr>
          <w:rFonts w:ascii="Times New Roman" w:hAnsi="Times New Roman" w:cs="Times New Roman"/>
        </w:rPr>
        <w:t xml:space="preserve"> on the pension system and </w:t>
      </w:r>
      <w:r>
        <w:rPr>
          <w:rFonts w:ascii="Times New Roman" w:hAnsi="Times New Roman" w:cs="Times New Roman"/>
        </w:rPr>
        <w:t xml:space="preserve">on the </w:t>
      </w:r>
      <w:r w:rsidRPr="00EF09B9">
        <w:rPr>
          <w:rFonts w:ascii="Times New Roman" w:hAnsi="Times New Roman" w:cs="Times New Roman"/>
        </w:rPr>
        <w:t>households</w:t>
      </w:r>
      <w:r>
        <w:rPr>
          <w:rFonts w:ascii="Times New Roman" w:hAnsi="Times New Roman" w:cs="Times New Roman"/>
        </w:rPr>
        <w:t>-</w:t>
      </w:r>
      <w:r w:rsidRPr="00EF09B9">
        <w:rPr>
          <w:rFonts w:ascii="Times New Roman" w:hAnsi="Times New Roman" w:cs="Times New Roman"/>
        </w:rPr>
        <w:t xml:space="preserve"> </w:t>
      </w:r>
      <w:r>
        <w:rPr>
          <w:rFonts w:ascii="Times New Roman" w:hAnsi="Times New Roman" w:cs="Times New Roman"/>
        </w:rPr>
        <w:t xml:space="preserve">in order </w:t>
      </w:r>
      <w:r w:rsidRPr="00EF09B9">
        <w:rPr>
          <w:rFonts w:ascii="Times New Roman" w:hAnsi="Times New Roman" w:cs="Times New Roman"/>
        </w:rPr>
        <w:t>to study the behavior of individual investors. We find that under actual conditions</w:t>
      </w:r>
      <w:r>
        <w:rPr>
          <w:rFonts w:ascii="Times New Roman" w:hAnsi="Times New Roman" w:cs="Times New Roman"/>
        </w:rPr>
        <w:t xml:space="preserve"> –</w:t>
      </w:r>
      <w:r w:rsidRPr="00EF09B9">
        <w:rPr>
          <w:rFonts w:ascii="Times New Roman" w:hAnsi="Times New Roman" w:cs="Times New Roman"/>
        </w:rPr>
        <w:t xml:space="preserve"> more </w:t>
      </w:r>
      <w:r>
        <w:rPr>
          <w:rFonts w:ascii="Times New Roman" w:hAnsi="Times New Roman" w:cs="Times New Roman"/>
        </w:rPr>
        <w:t>similar to "</w:t>
      </w:r>
      <w:r w:rsidRPr="0088646F">
        <w:rPr>
          <w:rFonts w:ascii="Times New Roman" w:hAnsi="Times New Roman" w:cs="Times New Roman"/>
          <w:i/>
          <w:iCs/>
        </w:rPr>
        <w:t>real life</w:t>
      </w:r>
      <w:r>
        <w:rPr>
          <w:rFonts w:ascii="Times New Roman" w:hAnsi="Times New Roman" w:cs="Times New Roman"/>
        </w:rPr>
        <w:t>"</w:t>
      </w:r>
      <w:r w:rsidRPr="00EF09B9">
        <w:rPr>
          <w:rFonts w:ascii="Times New Roman" w:hAnsi="Times New Roman" w:cs="Times New Roman"/>
        </w:rPr>
        <w:t xml:space="preserve"> th</w:t>
      </w:r>
      <w:r>
        <w:rPr>
          <w:rFonts w:ascii="Times New Roman" w:hAnsi="Times New Roman" w:cs="Times New Roman"/>
        </w:rPr>
        <w:t>a</w:t>
      </w:r>
      <w:r w:rsidRPr="00EF09B9">
        <w:rPr>
          <w:rFonts w:ascii="Times New Roman" w:hAnsi="Times New Roman" w:cs="Times New Roman"/>
        </w:rPr>
        <w:t xml:space="preserve">n any </w:t>
      </w:r>
      <w:r>
        <w:rPr>
          <w:rFonts w:ascii="Times New Roman" w:hAnsi="Times New Roman" w:cs="Times New Roman"/>
        </w:rPr>
        <w:t xml:space="preserve">deliberated and designed </w:t>
      </w:r>
      <w:r w:rsidRPr="00EF09B9">
        <w:rPr>
          <w:rFonts w:ascii="Times New Roman" w:hAnsi="Times New Roman" w:cs="Times New Roman"/>
        </w:rPr>
        <w:t xml:space="preserve">experiment can </w:t>
      </w:r>
      <w:r>
        <w:rPr>
          <w:rFonts w:ascii="Times New Roman" w:hAnsi="Times New Roman" w:cs="Times New Roman"/>
        </w:rPr>
        <w:t>give rise to –</w:t>
      </w:r>
      <w:r w:rsidRPr="00EF09B9">
        <w:rPr>
          <w:rFonts w:ascii="Times New Roman" w:hAnsi="Times New Roman" w:cs="Times New Roman"/>
        </w:rPr>
        <w:t xml:space="preserve"> and while information and time are abundant, investors do not behave as if they are informed and rational</w:t>
      </w:r>
      <w:r>
        <w:rPr>
          <w:rFonts w:ascii="Times New Roman" w:hAnsi="Times New Roman" w:cs="Times New Roman"/>
        </w:rPr>
        <w:t xml:space="preserve">. They behave in this uninformed and irrational way, nonetheless the availability of the information and the clear-cut possibility of </w:t>
      </w:r>
      <w:r w:rsidRPr="00EF09B9">
        <w:rPr>
          <w:rFonts w:ascii="Times New Roman" w:hAnsi="Times New Roman" w:cs="Times New Roman"/>
        </w:rPr>
        <w:t xml:space="preserve">utility-maximizing decision-making. Only when agents are provided with direct information and </w:t>
      </w:r>
      <w:r>
        <w:rPr>
          <w:rFonts w:ascii="Times New Roman" w:hAnsi="Times New Roman" w:cs="Times New Roman"/>
        </w:rPr>
        <w:t xml:space="preserve">when </w:t>
      </w:r>
      <w:r w:rsidRPr="00EF09B9">
        <w:rPr>
          <w:rFonts w:ascii="Times New Roman" w:hAnsi="Times New Roman" w:cs="Times New Roman"/>
        </w:rPr>
        <w:t>the detailed consequence is analyzed for them</w:t>
      </w:r>
      <w:r>
        <w:rPr>
          <w:rFonts w:ascii="Times New Roman" w:hAnsi="Times New Roman" w:cs="Times New Roman"/>
        </w:rPr>
        <w:t>,</w:t>
      </w:r>
      <w:r w:rsidRPr="00EF09B9">
        <w:rPr>
          <w:rFonts w:ascii="Times New Roman" w:hAnsi="Times New Roman" w:cs="Times New Roman"/>
        </w:rPr>
        <w:t xml:space="preserve"> </w:t>
      </w:r>
      <w:r>
        <w:rPr>
          <w:rFonts w:ascii="Times New Roman" w:hAnsi="Times New Roman" w:cs="Times New Roman"/>
        </w:rPr>
        <w:t>the</w:t>
      </w:r>
      <w:r w:rsidRPr="00EF09B9">
        <w:rPr>
          <w:rFonts w:ascii="Times New Roman" w:hAnsi="Times New Roman" w:cs="Times New Roman"/>
        </w:rPr>
        <w:t xml:space="preserve"> households make a rational decision. We suggest that the gap between experimental conditions and actual situations </w:t>
      </w:r>
      <w:r>
        <w:rPr>
          <w:rFonts w:ascii="Times New Roman" w:hAnsi="Times New Roman" w:cs="Times New Roman"/>
        </w:rPr>
        <w:t>may</w:t>
      </w:r>
      <w:r w:rsidRPr="00EF09B9">
        <w:rPr>
          <w:rFonts w:ascii="Times New Roman" w:hAnsi="Times New Roman" w:cs="Times New Roman"/>
        </w:rPr>
        <w:t xml:space="preserve"> be the reason for the indecisive results </w:t>
      </w:r>
      <w:r>
        <w:rPr>
          <w:rFonts w:ascii="Times New Roman" w:hAnsi="Times New Roman" w:cs="Times New Roman"/>
        </w:rPr>
        <w:t>appearing at the</w:t>
      </w:r>
      <w:r w:rsidRPr="00EF09B9">
        <w:rPr>
          <w:rFonts w:ascii="Times New Roman" w:hAnsi="Times New Roman" w:cs="Times New Roman"/>
        </w:rPr>
        <w:t xml:space="preserve"> current experimental literature. </w:t>
      </w:r>
    </w:p>
    <w:p w:rsidR="0010303D" w:rsidRDefault="0010303D" w:rsidP="0010303D">
      <w:pPr>
        <w:spacing w:line="276" w:lineRule="auto"/>
        <w:jc w:val="both"/>
        <w:rPr>
          <w:rFonts w:ascii="Times New Roman" w:hAnsi="Times New Roman" w:cs="Times New Roman"/>
        </w:rPr>
      </w:pPr>
    </w:p>
    <w:p w:rsidR="0010303D" w:rsidRPr="00150B18" w:rsidRDefault="0010303D" w:rsidP="0010303D">
      <w:pPr>
        <w:spacing w:line="276" w:lineRule="auto"/>
        <w:jc w:val="both"/>
        <w:rPr>
          <w:rFonts w:ascii="Times New Roman" w:hAnsi="Times New Roman" w:cs="Times New Roman"/>
          <w:b/>
          <w:bCs/>
          <w:i/>
          <w:iCs/>
        </w:rPr>
      </w:pPr>
      <w:r w:rsidRPr="00150B18">
        <w:rPr>
          <w:rFonts w:ascii="Times New Roman" w:hAnsi="Times New Roman" w:cs="Times New Roman"/>
          <w:b/>
          <w:bCs/>
          <w:i/>
          <w:iCs/>
        </w:rPr>
        <w:t>Key Words:</w:t>
      </w:r>
    </w:p>
    <w:p w:rsidR="0010303D" w:rsidRPr="00F269E1" w:rsidRDefault="0010303D" w:rsidP="0010303D">
      <w:pPr>
        <w:ind w:left="720"/>
        <w:rPr>
          <w:rFonts w:ascii="Times New Roman" w:hAnsi="Times New Roman" w:cs="Times New Roman"/>
          <w:color w:val="333333"/>
          <w:sz w:val="22"/>
          <w:szCs w:val="22"/>
        </w:rPr>
      </w:pPr>
      <w:r w:rsidRPr="00F269E1">
        <w:rPr>
          <w:rFonts w:ascii="Times New Roman" w:hAnsi="Times New Roman" w:cs="Times New Roman"/>
          <w:sz w:val="22"/>
          <w:szCs w:val="22"/>
        </w:rPr>
        <w:t xml:space="preserve">Pension Funds, Flow of Funds, Household Decision, </w:t>
      </w:r>
      <w:r w:rsidRPr="00F269E1">
        <w:rPr>
          <w:rFonts w:ascii="Times New Roman" w:hAnsi="Times New Roman" w:cs="Times New Roman"/>
          <w:color w:val="333333"/>
          <w:sz w:val="22"/>
          <w:szCs w:val="22"/>
        </w:rPr>
        <w:t>Personal Finance, Household Behavior ,Family Economics</w:t>
      </w:r>
    </w:p>
    <w:p w:rsidR="0010303D" w:rsidRPr="003921DB" w:rsidRDefault="0010303D" w:rsidP="0010303D">
      <w:pPr>
        <w:ind w:left="720"/>
        <w:rPr>
          <w:rFonts w:cs="Times New Roman"/>
          <w:color w:val="333333"/>
          <w:sz w:val="18"/>
          <w:szCs w:val="18"/>
        </w:rPr>
      </w:pPr>
    </w:p>
    <w:p w:rsidR="0010303D" w:rsidRDefault="0010303D" w:rsidP="0010303D">
      <w:pPr>
        <w:spacing w:line="276" w:lineRule="auto"/>
        <w:jc w:val="both"/>
        <w:rPr>
          <w:rFonts w:ascii="Times New Roman" w:hAnsi="Times New Roman" w:cs="Times New Roman"/>
        </w:rPr>
      </w:pPr>
    </w:p>
    <w:p w:rsidR="0010303D" w:rsidRDefault="0010303D" w:rsidP="0010303D">
      <w:pPr>
        <w:spacing w:line="276" w:lineRule="auto"/>
        <w:jc w:val="both"/>
        <w:rPr>
          <w:rFonts w:ascii="Times New Roman" w:hAnsi="Times New Roman" w:cs="Times New Roman"/>
        </w:rPr>
      </w:pPr>
      <w:r>
        <w:rPr>
          <w:rFonts w:ascii="Times New Roman" w:hAnsi="Times New Roman" w:cs="Times New Roman"/>
        </w:rPr>
        <w:t>JEL: D1, D78, D83, G14, G23, G28</w:t>
      </w:r>
    </w:p>
    <w:p w:rsidR="0010303D" w:rsidRDefault="0010303D" w:rsidP="0010303D">
      <w:pPr>
        <w:spacing w:line="276" w:lineRule="auto"/>
        <w:jc w:val="both"/>
        <w:rPr>
          <w:rFonts w:ascii="Times New Roman" w:hAnsi="Times New Roman" w:cs="Times New Roman"/>
        </w:rPr>
      </w:pPr>
    </w:p>
    <w:p w:rsidR="0010303D" w:rsidRDefault="0010303D" w:rsidP="0010303D">
      <w:pPr>
        <w:pStyle w:val="1"/>
        <w:spacing w:line="276" w:lineRule="auto"/>
        <w:ind w:left="720"/>
        <w:jc w:val="both"/>
      </w:pPr>
    </w:p>
    <w:p w:rsidR="0010303D" w:rsidRDefault="0010303D" w:rsidP="00805D0F">
      <w:pPr>
        <w:spacing w:line="276" w:lineRule="auto"/>
        <w:jc w:val="both"/>
        <w:rPr>
          <w:rFonts w:ascii="Times New Roman" w:hAnsi="Times New Roman" w:cs="Times New Roman"/>
        </w:rPr>
      </w:pPr>
      <w:r>
        <w:rPr>
          <w:rFonts w:ascii="Times New Roman" w:hAnsi="Times New Roman" w:cs="Times New Roman"/>
        </w:rPr>
        <w:t xml:space="preserve">*The Graduate School of Business, </w:t>
      </w:r>
      <w:r w:rsidR="00805D0F">
        <w:rPr>
          <w:rFonts w:ascii="Times New Roman" w:hAnsi="Times New Roman" w:cs="Times New Roman"/>
        </w:rPr>
        <w:t xml:space="preserve">Ono College, </w:t>
      </w:r>
      <w:bookmarkStart w:id="0" w:name="_GoBack"/>
      <w:bookmarkEnd w:id="0"/>
      <w:r>
        <w:rPr>
          <w:rFonts w:ascii="Times New Roman" w:hAnsi="Times New Roman" w:cs="Times New Roman"/>
        </w:rPr>
        <w:t xml:space="preserve">Israel. Corresponding author: </w:t>
      </w:r>
      <w:hyperlink r:id="rId8" w:history="1">
        <w:r w:rsidRPr="00D31110">
          <w:rPr>
            <w:rStyle w:val="Hyperlink"/>
            <w:rFonts w:ascii="Times New Roman" w:hAnsi="Times New Roman"/>
          </w:rPr>
          <w:t>ikallir@gmail.com</w:t>
        </w:r>
      </w:hyperlink>
      <w:r>
        <w:rPr>
          <w:rFonts w:ascii="Times New Roman" w:hAnsi="Times New Roman" w:cs="Times New Roman"/>
        </w:rPr>
        <w:t xml:space="preserve"> </w:t>
      </w:r>
    </w:p>
    <w:p w:rsidR="0010303D" w:rsidRPr="00EF09B9" w:rsidRDefault="0010303D" w:rsidP="0010303D">
      <w:pPr>
        <w:spacing w:line="276" w:lineRule="auto"/>
        <w:jc w:val="both"/>
        <w:rPr>
          <w:rFonts w:ascii="Times New Roman" w:hAnsi="Times New Roman" w:cs="Times New Roman"/>
        </w:rPr>
      </w:pPr>
      <w:r>
        <w:rPr>
          <w:rFonts w:ascii="Times New Roman" w:hAnsi="Times New Roman" w:cs="Times New Roman"/>
        </w:rPr>
        <w:t xml:space="preserve">** The </w:t>
      </w:r>
      <w:smartTag w:uri="urn:schemas-microsoft-com:office:smarttags" w:element="place">
        <w:smartTag w:uri="urn:schemas-microsoft-com:office:smarttags" w:element="PlaceName">
          <w:r>
            <w:rPr>
              <w:rFonts w:ascii="Times New Roman" w:hAnsi="Times New Roman" w:cs="Times New Roman"/>
            </w:rPr>
            <w:t>Graduate</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School</w:t>
          </w:r>
        </w:smartTag>
      </w:smartTag>
      <w:r>
        <w:rPr>
          <w:rFonts w:ascii="Times New Roman" w:hAnsi="Times New Roman" w:cs="Times New Roman"/>
        </w:rPr>
        <w:t xml:space="preserve"> of Business, </w:t>
      </w:r>
      <w:smartTag w:uri="urn:schemas-microsoft-com:office:smarttags" w:element="place">
        <w:smartTag w:uri="urn:schemas-microsoft-com:office:smarttags" w:element="PlaceName">
          <w:r>
            <w:rPr>
              <w:rFonts w:ascii="Times New Roman" w:hAnsi="Times New Roman" w:cs="Times New Roman"/>
            </w:rPr>
            <w:t>Tel</w:t>
          </w:r>
        </w:smartTag>
        <w:r>
          <w:rPr>
            <w:rFonts w:ascii="Times New Roman" w:hAnsi="Times New Roman" w:cs="Times New Roman"/>
          </w:rPr>
          <w:t xml:space="preserve"> </w:t>
        </w:r>
        <w:smartTag w:uri="urn:schemas-microsoft-com:office:smarttags" w:element="PlaceName">
          <w:r>
            <w:rPr>
              <w:rFonts w:ascii="Times New Roman" w:hAnsi="Times New Roman" w:cs="Times New Roman"/>
            </w:rPr>
            <w:t>Aviv</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smartTag>
      <w:r>
        <w:rPr>
          <w:rFonts w:ascii="Times New Roman" w:hAnsi="Times New Roman" w:cs="Times New Roman"/>
        </w:rPr>
        <w:t xml:space="preserve">, Tel </w:t>
      </w:r>
      <w:smartTag w:uri="urn:schemas-microsoft-com:office:smarttags" w:element="place">
        <w:smartTag w:uri="urn:schemas-microsoft-com:office:smarttags" w:element="City">
          <w:r>
            <w:rPr>
              <w:rFonts w:ascii="Times New Roman" w:hAnsi="Times New Roman" w:cs="Times New Roman"/>
            </w:rPr>
            <w:t>Aviv</w:t>
          </w:r>
        </w:smartTag>
        <w:r>
          <w:rPr>
            <w:rFonts w:ascii="Times New Roman" w:hAnsi="Times New Roman" w:cs="Times New Roman"/>
          </w:rPr>
          <w:t xml:space="preserve">, </w:t>
        </w:r>
        <w:smartTag w:uri="urn:schemas-microsoft-com:office:smarttags" w:element="country-region">
          <w:r>
            <w:rPr>
              <w:rFonts w:ascii="Times New Roman" w:hAnsi="Times New Roman" w:cs="Times New Roman"/>
            </w:rPr>
            <w:t>Israel</w:t>
          </w:r>
        </w:smartTag>
      </w:smartTag>
      <w:r>
        <w:rPr>
          <w:rFonts w:ascii="Times New Roman" w:hAnsi="Times New Roman" w:cs="Times New Roman"/>
        </w:rPr>
        <w:t xml:space="preserve"> </w:t>
      </w:r>
    </w:p>
    <w:p w:rsidR="0010303D" w:rsidRDefault="0010303D" w:rsidP="0010303D"/>
    <w:p w:rsidR="00EB2B18" w:rsidRDefault="00EB2B18" w:rsidP="005C5C87">
      <w:pPr>
        <w:keepNext/>
        <w:spacing w:before="240" w:after="60" w:line="360" w:lineRule="auto"/>
        <w:jc w:val="both"/>
        <w:outlineLvl w:val="0"/>
        <w:rPr>
          <w:rFonts w:asciiTheme="majorBidi" w:hAnsiTheme="majorBidi" w:cstheme="majorBidi"/>
        </w:rPr>
      </w:pPr>
    </w:p>
    <w:p w:rsidR="00EB2B18" w:rsidRPr="005C5C87" w:rsidRDefault="007848F8" w:rsidP="005C5C87">
      <w:pPr>
        <w:pStyle w:val="1"/>
        <w:numPr>
          <w:ilvl w:val="0"/>
          <w:numId w:val="27"/>
        </w:numPr>
        <w:spacing w:line="360" w:lineRule="auto"/>
        <w:jc w:val="both"/>
        <w:rPr>
          <w:rFonts w:asciiTheme="majorBidi" w:hAnsiTheme="majorBidi" w:cstheme="majorBidi"/>
        </w:rPr>
      </w:pPr>
      <w:r w:rsidRPr="005C5C87">
        <w:rPr>
          <w:rFonts w:asciiTheme="majorBidi" w:hAnsiTheme="majorBidi" w:cstheme="majorBidi"/>
        </w:rPr>
        <w:t>Introduction</w:t>
      </w:r>
    </w:p>
    <w:p w:rsidR="00EB2B18" w:rsidRPr="005C5C87" w:rsidRDefault="007848F8" w:rsidP="005C5C87">
      <w:pPr>
        <w:spacing w:line="360" w:lineRule="auto"/>
        <w:ind w:firstLine="360"/>
        <w:jc w:val="both"/>
        <w:rPr>
          <w:rFonts w:asciiTheme="majorBidi" w:hAnsiTheme="majorBidi" w:cstheme="majorBidi"/>
        </w:rPr>
      </w:pPr>
      <w:r w:rsidRPr="005C5C87">
        <w:rPr>
          <w:rFonts w:asciiTheme="majorBidi" w:hAnsiTheme="majorBidi" w:cstheme="majorBidi"/>
        </w:rPr>
        <w:t>As any other financial agent, private investors are expected to be both rational and informative when they make financial decisions.  We question whether this fundamental hypothesis is correct. The uniqueness and distinction of this critical study lies in the fact that we test this hypothesis by relying on a unique large-scale event study rather than on experiments. Our results do not support the fundamental axioms of financial theory. Over the past 30 years only few studies provide empirical evidence of the financial behavior of household agents. While financial theory axioms have been questioned repeatedly both in theoretical and experimental findings, the majority of the critical findings and notes are based on experiments. The behavior of individuals has always held a fascination for financial researchers. Rational behavior is a financial theory axiom. Since the surge in behavioral finance literature, it has also been a cause for debate. If decision-makers’ actions do not bear out even the most basic tenets of the classic theory, how much can one count on such the predictions of such a questionable theory?</w:t>
      </w:r>
    </w:p>
    <w:p w:rsidR="00EB2B18" w:rsidRPr="005C5C87" w:rsidRDefault="007848F8" w:rsidP="005C5C87">
      <w:pPr>
        <w:spacing w:line="360" w:lineRule="auto"/>
        <w:ind w:firstLine="360"/>
        <w:jc w:val="both"/>
        <w:rPr>
          <w:rFonts w:asciiTheme="majorBidi" w:hAnsiTheme="majorBidi" w:cstheme="majorBidi"/>
        </w:rPr>
      </w:pPr>
      <w:r w:rsidRPr="005C5C87">
        <w:rPr>
          <w:rFonts w:asciiTheme="majorBidi" w:hAnsiTheme="majorBidi" w:cstheme="majorBidi"/>
        </w:rPr>
        <w:t xml:space="preserve">The measurement of manifold techniques has raised even more debate. Current experimental literature suggests that financial agents use information inefficiently, either by ignoring it or by using it in a financially destructive manner. We use a unique event, an entirely new valuation mechanism that was "enforced" on the pension system and therefore, on the households, in order to study the behavior of individual investors.  We find that under representational and true to life conditions, when information and time are in abundance, investors do not behave as if they are informed and rational – though information is available and the possibility of utility-maximizing decision-making is cut and dry. Only when agents are provided with direct information and when the detailed consequences are analyzed for them, the households beget a rational decision. </w:t>
      </w:r>
    </w:p>
    <w:p w:rsidR="00EB2B18" w:rsidRPr="005C5C87" w:rsidRDefault="007848F8" w:rsidP="005C5C87">
      <w:pPr>
        <w:spacing w:line="360" w:lineRule="auto"/>
        <w:ind w:firstLine="360"/>
        <w:jc w:val="both"/>
        <w:rPr>
          <w:rFonts w:asciiTheme="majorBidi" w:hAnsiTheme="majorBidi" w:cstheme="majorBidi"/>
        </w:rPr>
      </w:pPr>
      <w:r w:rsidRPr="005C5C87">
        <w:rPr>
          <w:rFonts w:asciiTheme="majorBidi" w:hAnsiTheme="majorBidi" w:cstheme="majorBidi"/>
        </w:rPr>
        <w:t xml:space="preserve">Our motivation is derived from the unique setting. Events are rare tools when studying finance. We use a one-time financial adjustment measure executed by the regulator as a large-scale field experiment. It allows us to test some fundamental hypotheses in "real life" conditions. Our objective is to track the activities of pension funds’ investors, while trying to find the conditions under which the household agents make the </w:t>
      </w:r>
      <w:r w:rsidRPr="005C5C87">
        <w:rPr>
          <w:rFonts w:asciiTheme="majorBidi" w:hAnsiTheme="majorBidi" w:cstheme="majorBidi"/>
          <w:i/>
          <w:iCs/>
        </w:rPr>
        <w:t>right</w:t>
      </w:r>
      <w:r w:rsidRPr="005C5C87">
        <w:rPr>
          <w:rFonts w:asciiTheme="majorBidi" w:hAnsiTheme="majorBidi" w:cstheme="majorBidi"/>
        </w:rPr>
        <w:t xml:space="preserve"> (i.e. financially wise) decision. With the appropriate reservations, which stems from the methodology of the unique event, the question can be boldly put as follows: do households make rational and informative financial decisions? </w:t>
      </w:r>
    </w:p>
    <w:p w:rsidR="00EB2B18" w:rsidRPr="005C5C87" w:rsidRDefault="007848F8" w:rsidP="005C5C87">
      <w:pPr>
        <w:pStyle w:val="Default"/>
        <w:spacing w:line="360" w:lineRule="auto"/>
        <w:ind w:firstLine="720"/>
        <w:jc w:val="both"/>
        <w:rPr>
          <w:rFonts w:asciiTheme="majorBidi" w:hAnsiTheme="majorBidi" w:cstheme="majorBidi"/>
        </w:rPr>
      </w:pPr>
      <w:r w:rsidRPr="005C5C87">
        <w:rPr>
          <w:rFonts w:asciiTheme="majorBidi" w:hAnsiTheme="majorBidi" w:cstheme="majorBidi"/>
        </w:rPr>
        <w:t>The rest of the article is organized as follows: In the next section, we discuss how our article is to be seen and judged in the context of related literature. In Section 3, we describe the event’s setting, the data and screening considerations. In section 4, we provide our main empirical analysis. In Section 5 we present our results. We conclude in Section 6</w:t>
      </w:r>
      <w:r w:rsidRPr="005C5C87">
        <w:rPr>
          <w:rFonts w:asciiTheme="majorBidi" w:hAnsiTheme="majorBidi" w:cstheme="majorBidi"/>
          <w:highlight w:val="green"/>
        </w:rPr>
        <w:t>.</w:t>
      </w:r>
    </w:p>
    <w:p w:rsidR="00EB2B18" w:rsidRPr="005C5C87" w:rsidRDefault="00EB2B18" w:rsidP="005C5C87">
      <w:pPr>
        <w:spacing w:line="360" w:lineRule="auto"/>
        <w:ind w:firstLine="360"/>
        <w:jc w:val="both"/>
        <w:rPr>
          <w:rFonts w:asciiTheme="majorBidi" w:hAnsiTheme="majorBidi" w:cstheme="majorBidi"/>
        </w:rPr>
      </w:pPr>
    </w:p>
    <w:p w:rsidR="00EB2B18" w:rsidRPr="005C5C87" w:rsidRDefault="007848F8" w:rsidP="005C5C87">
      <w:pPr>
        <w:pStyle w:val="1"/>
        <w:numPr>
          <w:ilvl w:val="0"/>
          <w:numId w:val="27"/>
        </w:numPr>
        <w:spacing w:line="360" w:lineRule="auto"/>
        <w:rPr>
          <w:rFonts w:asciiTheme="majorBidi" w:hAnsiTheme="majorBidi" w:cstheme="majorBidi"/>
        </w:rPr>
      </w:pPr>
      <w:r w:rsidRPr="005C5C87">
        <w:rPr>
          <w:rFonts w:asciiTheme="majorBidi" w:hAnsiTheme="majorBidi" w:cstheme="majorBidi"/>
        </w:rPr>
        <w:t>Literature Review</w:t>
      </w:r>
    </w:p>
    <w:p w:rsidR="00EB2B18" w:rsidRPr="005C5C87" w:rsidRDefault="007848F8" w:rsidP="005C5C87">
      <w:pPr>
        <w:spacing w:line="360" w:lineRule="auto"/>
        <w:ind w:firstLine="360"/>
        <w:jc w:val="both"/>
        <w:rPr>
          <w:rFonts w:asciiTheme="majorBidi" w:hAnsiTheme="majorBidi" w:cstheme="majorBidi"/>
        </w:rPr>
      </w:pPr>
      <w:r w:rsidRPr="005C5C87">
        <w:rPr>
          <w:rFonts w:asciiTheme="majorBidi" w:hAnsiTheme="majorBidi" w:cstheme="majorBidi"/>
        </w:rPr>
        <w:t xml:space="preserve">At first glance it seems that the mutual fund’s and pension fund’s segments of managed money are similar in many ways. Given these </w:t>
      </w:r>
      <w:r w:rsidRPr="005C5C87">
        <w:rPr>
          <w:rFonts w:asciiTheme="majorBidi" w:hAnsiTheme="majorBidi" w:cstheme="majorBidi"/>
          <w:i/>
          <w:iCs/>
        </w:rPr>
        <w:t>prima facie</w:t>
      </w:r>
      <w:r w:rsidRPr="005C5C87">
        <w:rPr>
          <w:rFonts w:asciiTheme="majorBidi" w:hAnsiTheme="majorBidi" w:cstheme="majorBidi"/>
        </w:rPr>
        <w:t xml:space="preserve"> similarities between the two types of assets and managers, we might expect them to have similar incentive mechanisms and clientele reactions to performance and fund flow. While there is an extensive literature concerning the performance and behavior of the managers of the mutual funds, much less is known regarding the mangers of the pension funds. Edelen (1999), Del Guercio and Tkac (2002), and Grinblatt and Titman (1989), show that the Flow of Funds (FoF) of Mutual Funds is strongly related to unadjusted raw return. The flow is unrelated to tracking error</w:t>
      </w:r>
      <w:r w:rsidRPr="005C5C87">
        <w:rPr>
          <w:rStyle w:val="af3"/>
          <w:rFonts w:asciiTheme="majorBidi" w:hAnsiTheme="majorBidi" w:cstheme="majorBidi"/>
        </w:rPr>
        <w:footnoteReference w:id="1"/>
      </w:r>
      <w:r w:rsidRPr="005C5C87">
        <w:rPr>
          <w:rFonts w:asciiTheme="majorBidi" w:hAnsiTheme="majorBidi" w:cstheme="majorBidi"/>
        </w:rPr>
        <w:t>. Sirri and Tufano (1998) claim that the flow’s performance relations in the mutual fund industry are convex: “</w:t>
      </w:r>
      <w:r w:rsidRPr="005C5C87">
        <w:rPr>
          <w:rFonts w:asciiTheme="majorBidi" w:hAnsiTheme="majorBidi" w:cstheme="majorBidi"/>
          <w:i/>
          <w:iCs/>
        </w:rPr>
        <w:t>Mutual fund consumers chase returns, flocking to funds with the highest recent returns, though failing to flee from poor performers”</w:t>
      </w:r>
      <w:r w:rsidRPr="005C5C87">
        <w:rPr>
          <w:rFonts w:asciiTheme="majorBidi" w:hAnsiTheme="majorBidi" w:cstheme="majorBidi"/>
        </w:rPr>
        <w:t>.</w:t>
      </w:r>
      <w:r w:rsidRPr="005C5C87">
        <w:rPr>
          <w:rFonts w:asciiTheme="majorBidi" w:hAnsiTheme="majorBidi" w:cstheme="majorBidi"/>
          <w:i/>
          <w:iCs/>
        </w:rPr>
        <w:t xml:space="preserve"> M</w:t>
      </w:r>
      <w:r w:rsidRPr="005C5C87">
        <w:rPr>
          <w:rFonts w:asciiTheme="majorBidi" w:hAnsiTheme="majorBidi" w:cstheme="majorBidi"/>
        </w:rPr>
        <w:t>utual fund managers appear to get large rewards for posting high returns, yet little penalty even for extreme underperformance.</w:t>
      </w:r>
    </w:p>
    <w:p w:rsidR="00EB2B18" w:rsidRPr="005C5C87" w:rsidRDefault="007848F8" w:rsidP="005C5C87">
      <w:pPr>
        <w:spacing w:line="360" w:lineRule="auto"/>
        <w:ind w:firstLine="360"/>
        <w:jc w:val="both"/>
        <w:rPr>
          <w:rFonts w:asciiTheme="majorBidi" w:hAnsiTheme="majorBidi" w:cstheme="majorBidi"/>
        </w:rPr>
      </w:pPr>
      <w:r w:rsidRPr="005C5C87">
        <w:rPr>
          <w:rFonts w:asciiTheme="majorBidi" w:hAnsiTheme="majorBidi" w:cstheme="majorBidi"/>
        </w:rPr>
        <w:t>Del Guercio and Tkac (2002) show that there is a strong relationship between FoF and Jensen’s Alpha. This result may be consistent with the empirical findings appearing in previous publications, but it is somewhat surprising: Edelen’s (1999) survey results show that mutual fund investors do not use risk-adjusted performance measures when evaluating funds. Del Guercio and Tkac (2002) provide evidence that the strong statistical relationship between the Jensen’s Alpha and the mutual fund flow is due to the high correlation between Alpha and the widely available Morningstar’s ratings. When they added Morningstar’s ratings as an explanatory variable to the regression, Alpha was no longer significant. The information is reflected not in prices, but rather in the demand for fund units. Del Guercio and Tkac (2008) present empirical data which show that the determinant of the FoF of mutual funds differs essentially from the FoF of pension funds. Pension fund's FoF is positively related to risk-adjusted performance measures such as Alpha and negatively related to tracking error. Pension fund managers are not over-rewarded by investors for raw return. The investors’ perceptions regarding mutual funds differ significantly from that of pension funds – compare Sirri and Tufano’s (1998) well-cited results to those of Del Guercio and Tkac (2008)</w:t>
      </w:r>
      <w:r w:rsidRPr="005C5C87">
        <w:rPr>
          <w:rStyle w:val="af3"/>
          <w:rFonts w:asciiTheme="majorBidi" w:hAnsiTheme="majorBidi" w:cstheme="majorBidi"/>
        </w:rPr>
        <w:footnoteReference w:id="2"/>
      </w:r>
      <w:r w:rsidRPr="005C5C87">
        <w:rPr>
          <w:rFonts w:asciiTheme="majorBidi" w:hAnsiTheme="majorBidi" w:cstheme="majorBidi"/>
        </w:rPr>
        <w:t xml:space="preserve">. As a rule, price is the chosen component for testing efficiency. We suggest that efficiency might also be tested by volume. </w:t>
      </w:r>
      <w:r w:rsidRPr="005C5C87">
        <w:rPr>
          <w:rFonts w:asciiTheme="majorBidi" w:hAnsiTheme="majorBidi" w:cstheme="majorBidi"/>
          <w:lang w:val="fr-FR"/>
        </w:rPr>
        <w:t xml:space="preserve">Berreda et al. </w:t>
      </w:r>
      <w:r w:rsidRPr="005C5C87">
        <w:rPr>
          <w:rFonts w:asciiTheme="majorBidi" w:hAnsiTheme="majorBidi" w:cstheme="majorBidi"/>
        </w:rPr>
        <w:t xml:space="preserve">(2005) simulate an economy where the efficiency is measured by volumes, as distinguished from prices. Investors react to data sets, which are based only on one plausible conclusion; </w:t>
      </w:r>
      <w:r w:rsidRPr="005C5C87">
        <w:rPr>
          <w:rFonts w:asciiTheme="majorBidi" w:hAnsiTheme="majorBidi" w:cstheme="majorBidi"/>
        </w:rPr>
        <w:lastRenderedPageBreak/>
        <w:t xml:space="preserve">rationality is insufficient. The information set, which fits the semi-strong </w:t>
      </w:r>
      <w:r w:rsidRPr="005C5C87">
        <w:rPr>
          <w:rStyle w:val="apple-style-span"/>
          <w:rFonts w:asciiTheme="majorBidi" w:hAnsiTheme="majorBidi" w:cstheme="majorBidi"/>
          <w:color w:val="000000"/>
        </w:rPr>
        <w:t>efficient-market hypothesis</w:t>
      </w:r>
      <w:r w:rsidRPr="005C5C87">
        <w:rPr>
          <w:rStyle w:val="apple-converted-space"/>
          <w:rFonts w:asciiTheme="majorBidi" w:hAnsiTheme="majorBidi" w:cstheme="majorBidi"/>
          <w:color w:val="000000"/>
        </w:rPr>
        <w:t> </w:t>
      </w:r>
      <w:r w:rsidRPr="005C5C87">
        <w:rPr>
          <w:rStyle w:val="apple-style-span"/>
          <w:rFonts w:asciiTheme="majorBidi" w:hAnsiTheme="majorBidi" w:cstheme="majorBidi"/>
          <w:color w:val="000000"/>
        </w:rPr>
        <w:t>(EMH)</w:t>
      </w:r>
      <w:r w:rsidRPr="005C5C87">
        <w:rPr>
          <w:rStyle w:val="apple-style-span"/>
          <w:rFonts w:asciiTheme="majorBidi" w:hAnsiTheme="majorBidi" w:cstheme="majorBidi"/>
          <w:b/>
          <w:bCs/>
          <w:color w:val="000000"/>
          <w:sz w:val="18"/>
          <w:szCs w:val="18"/>
        </w:rPr>
        <w:t xml:space="preserve"> </w:t>
      </w:r>
      <w:r w:rsidRPr="005C5C87">
        <w:rPr>
          <w:rFonts w:asciiTheme="majorBidi" w:hAnsiTheme="majorBidi" w:cstheme="majorBidi"/>
        </w:rPr>
        <w:t>is mandatory in order to make investors consider their next steps.</w:t>
      </w:r>
    </w:p>
    <w:p w:rsidR="00EB2B18" w:rsidRPr="005C5C87" w:rsidRDefault="007848F8" w:rsidP="005C5C87">
      <w:pPr>
        <w:spacing w:line="360" w:lineRule="auto"/>
        <w:ind w:firstLine="360"/>
        <w:jc w:val="both"/>
        <w:rPr>
          <w:rFonts w:asciiTheme="majorBidi" w:hAnsiTheme="majorBidi" w:cstheme="majorBidi"/>
        </w:rPr>
      </w:pPr>
      <w:r w:rsidRPr="005C5C87">
        <w:rPr>
          <w:rFonts w:asciiTheme="majorBidi" w:hAnsiTheme="majorBidi" w:cstheme="majorBidi"/>
        </w:rPr>
        <w:t xml:space="preserve">A considerable body of literature deals with the extent to which agents can derive rents from information (Osband, 1989), or are willing to pay for it (Porter, 1995). According to </w:t>
      </w:r>
      <w:r w:rsidRPr="005C5C87">
        <w:rPr>
          <w:rFonts w:asciiTheme="majorBidi" w:hAnsiTheme="majorBidi" w:cstheme="majorBidi"/>
          <w:lang w:val="fr-FR"/>
        </w:rPr>
        <w:t xml:space="preserve">Camerer et al. </w:t>
      </w:r>
      <w:r w:rsidRPr="005C5C87">
        <w:rPr>
          <w:rFonts w:asciiTheme="majorBidi" w:hAnsiTheme="majorBidi" w:cstheme="majorBidi"/>
        </w:rPr>
        <w:t xml:space="preserve">(1989), and quite ironically, this can be seen as rather   “the curse of knowledge”: the more people know, the lower the quality of their decision. Insensitivity to information regarding distributions of assets in portfolio selection problems is documented in the experiments of Kroll et al. (1988) and of </w:t>
      </w:r>
      <w:smartTag w:uri="urn:schemas-microsoft-com:office:smarttags" w:element="City">
        <w:smartTag w:uri="urn:schemas-microsoft-com:office:smarttags" w:element="place">
          <w:r w:rsidRPr="005C5C87">
            <w:rPr>
              <w:rFonts w:asciiTheme="majorBidi" w:hAnsiTheme="majorBidi" w:cstheme="majorBidi"/>
            </w:rPr>
            <w:t>Anderson</w:t>
          </w:r>
        </w:smartTag>
      </w:smartTag>
      <w:r w:rsidRPr="005C5C87">
        <w:rPr>
          <w:rFonts w:asciiTheme="majorBidi" w:hAnsiTheme="majorBidi" w:cstheme="majorBidi"/>
        </w:rPr>
        <w:t xml:space="preserve"> and Settle (1996). The latter suggests that agents neglect “sophisticated” information and tend to strongly respond to simple information, such as raw return. This result can be termed as </w:t>
      </w:r>
      <w:r w:rsidRPr="005C5C87">
        <w:rPr>
          <w:rFonts w:asciiTheme="majorBidi" w:hAnsiTheme="majorBidi" w:cstheme="majorBidi"/>
          <w:i/>
          <w:iCs/>
        </w:rPr>
        <w:t>irrational financial decision-making</w:t>
      </w:r>
      <w:r w:rsidRPr="005C5C87">
        <w:rPr>
          <w:rFonts w:asciiTheme="majorBidi" w:hAnsiTheme="majorBidi" w:cstheme="majorBidi"/>
        </w:rPr>
        <w:t xml:space="preserve">. By using the terms of the Prospect Theory, Kahneman and Tversky (1980) show in their experiment that investors who are given a simple set of choices – a lottery with up to three outcomes – maximize an S-shaped value function. Shefrin and Statman (1985) conclude from the experimental information that “Under Prospect Theory, investors display a tendency to make certain financial decisions even when standard theory (EU) suggests otherwise”. </w:t>
      </w:r>
    </w:p>
    <w:p w:rsidR="00EB2B18" w:rsidRPr="005C5C87" w:rsidRDefault="00EB2B18" w:rsidP="005C5C87">
      <w:pPr>
        <w:spacing w:line="360" w:lineRule="auto"/>
        <w:ind w:firstLine="360"/>
        <w:jc w:val="both"/>
        <w:rPr>
          <w:rFonts w:asciiTheme="majorBidi" w:hAnsiTheme="majorBidi" w:cstheme="majorBidi"/>
        </w:rPr>
      </w:pPr>
    </w:p>
    <w:p w:rsidR="00EB2B18" w:rsidRPr="005C5C87" w:rsidRDefault="007848F8" w:rsidP="005C5C87">
      <w:pPr>
        <w:pStyle w:val="1"/>
        <w:numPr>
          <w:ilvl w:val="0"/>
          <w:numId w:val="27"/>
        </w:numPr>
        <w:spacing w:line="360" w:lineRule="auto"/>
        <w:ind w:right="720"/>
        <w:jc w:val="both"/>
        <w:rPr>
          <w:rFonts w:asciiTheme="majorBidi" w:hAnsiTheme="majorBidi" w:cstheme="majorBidi"/>
        </w:rPr>
      </w:pPr>
      <w:r w:rsidRPr="005C5C87">
        <w:rPr>
          <w:rFonts w:asciiTheme="majorBidi" w:hAnsiTheme="majorBidi" w:cstheme="majorBidi"/>
        </w:rPr>
        <w:t>The Event</w:t>
      </w:r>
    </w:p>
    <w:p w:rsidR="00EB2B18" w:rsidRPr="005C5C87" w:rsidRDefault="007848F8" w:rsidP="005C5C87">
      <w:pPr>
        <w:spacing w:line="360" w:lineRule="auto"/>
        <w:ind w:firstLine="360"/>
        <w:jc w:val="both"/>
        <w:rPr>
          <w:rFonts w:asciiTheme="majorBidi" w:hAnsiTheme="majorBidi" w:cstheme="majorBidi"/>
        </w:rPr>
      </w:pPr>
      <w:r w:rsidRPr="005C5C87">
        <w:rPr>
          <w:rFonts w:asciiTheme="majorBidi" w:hAnsiTheme="majorBidi" w:cstheme="majorBidi"/>
        </w:rPr>
        <w:t>From January to March 2005, we have witnessed a significant and unexpected slowdown in FoF. It was a compressive phenomenon – from vintage Providence funds to privately owned Providence funds. In April 2005, this trend had reversed completely, and the compensation was far larger than the loss of funds. What was the cause for this dramatic turn-over?</w:t>
      </w:r>
    </w:p>
    <w:p w:rsidR="00EB2B18" w:rsidRPr="005C5C87" w:rsidRDefault="007848F8" w:rsidP="005C5C87">
      <w:pPr>
        <w:spacing w:line="360" w:lineRule="auto"/>
        <w:ind w:firstLine="360"/>
        <w:jc w:val="both"/>
        <w:rPr>
          <w:rFonts w:asciiTheme="majorBidi" w:hAnsiTheme="majorBidi" w:cstheme="majorBidi"/>
        </w:rPr>
      </w:pPr>
      <w:r w:rsidRPr="005C5C87">
        <w:rPr>
          <w:rFonts w:asciiTheme="majorBidi" w:hAnsiTheme="majorBidi" w:cstheme="majorBidi"/>
        </w:rPr>
        <w:t>The outgoing of FoF from vintage funds had started in the late 1990s and rapidly increased through 2003 and 2004. Figures A1 and A2 (see Appendix) show the trend of the FoF from January 2002 until December 2006. It is easy to spot the “glitch” of April 2005 “glitch”: The April 2005 total net negative endowment of 160 million dollars is comprised of 375 million dollars of negative endowment in the banking sector funds and 235 million dollars of positive endowment in the private sector</w:t>
      </w:r>
      <w:r w:rsidRPr="005C5C87">
        <w:rPr>
          <w:rStyle w:val="af3"/>
          <w:rFonts w:asciiTheme="majorBidi" w:hAnsiTheme="majorBidi" w:cstheme="majorBidi"/>
        </w:rPr>
        <w:footnoteReference w:id="3"/>
      </w:r>
      <w:r w:rsidRPr="005C5C87">
        <w:rPr>
          <w:rFonts w:asciiTheme="majorBidi" w:hAnsiTheme="majorBidi" w:cstheme="majorBidi"/>
        </w:rPr>
        <w:t xml:space="preserve"> funds. Figure A3 splits the endowments by clusters, denoting the holding corporations. The strong negative flow is of funds owned by the three large banks, to be sure, institutes which control 55% of the total banking providence fund holdings. The trend itself does not change after April 2005: The banking sector continues to bleed, especially the large banking sector, while the private sector harvests the lion’s share of the flow.</w:t>
      </w:r>
    </w:p>
    <w:p w:rsidR="00EB2B18" w:rsidRPr="005C5C87" w:rsidRDefault="007848F8" w:rsidP="005C5C87">
      <w:pPr>
        <w:spacing w:line="360" w:lineRule="auto"/>
        <w:ind w:firstLine="360"/>
        <w:jc w:val="both"/>
        <w:rPr>
          <w:rFonts w:asciiTheme="majorBidi" w:hAnsiTheme="majorBidi" w:cstheme="majorBidi"/>
        </w:rPr>
      </w:pPr>
      <w:r w:rsidRPr="005C5C87">
        <w:rPr>
          <w:rFonts w:asciiTheme="majorBidi" w:hAnsiTheme="majorBidi" w:cstheme="majorBidi"/>
        </w:rPr>
        <w:t xml:space="preserve">When using the concept of Fair Value (FV), fixed-income assets – such as loans and bonds – are valued by employing a flow of synthetic zero coupon bonds, which are derived from the Nelson-Siegel model. We compute both the Fair Value and the Accrued Value of 39 portfolios, which were held by various providence </w:t>
      </w:r>
      <w:r w:rsidRPr="005C5C87">
        <w:rPr>
          <w:rFonts w:asciiTheme="majorBidi" w:hAnsiTheme="majorBidi" w:cstheme="majorBidi"/>
        </w:rPr>
        <w:lastRenderedPageBreak/>
        <w:t>funds on December 31</w:t>
      </w:r>
      <w:r w:rsidRPr="005C5C87">
        <w:rPr>
          <w:rFonts w:asciiTheme="majorBidi" w:hAnsiTheme="majorBidi" w:cstheme="majorBidi"/>
          <w:vertAlign w:val="superscript"/>
        </w:rPr>
        <w:t>st</w:t>
      </w:r>
      <w:r w:rsidRPr="005C5C87">
        <w:rPr>
          <w:rFonts w:asciiTheme="majorBidi" w:hAnsiTheme="majorBidi" w:cstheme="majorBidi"/>
        </w:rPr>
        <w:t>, 2004. The difference in valuation between the two models is significant and positive. The average difference is equal to 5.6% per NTR portfolio and to 1.2% for the average total portfolio, as the average rate of NTR is amounted to 20% of the portfolio.</w:t>
      </w:r>
    </w:p>
    <w:p w:rsidR="00EB2B18" w:rsidRPr="005C179C" w:rsidRDefault="007848F8" w:rsidP="005C179C">
      <w:pPr>
        <w:spacing w:line="360" w:lineRule="auto"/>
        <w:ind w:firstLine="360"/>
        <w:jc w:val="both"/>
        <w:rPr>
          <w:rFonts w:asciiTheme="majorBidi" w:hAnsiTheme="majorBidi" w:cstheme="majorBidi"/>
        </w:rPr>
      </w:pPr>
      <w:r w:rsidRPr="005C5C87">
        <w:rPr>
          <w:rFonts w:asciiTheme="majorBidi" w:hAnsiTheme="majorBidi" w:cstheme="majorBidi"/>
        </w:rPr>
        <w:t>The delay of a re-investment decision from a point in time up to 90 days prior to April 1</w:t>
      </w:r>
      <w:r w:rsidRPr="005C5C87">
        <w:rPr>
          <w:rFonts w:asciiTheme="majorBidi" w:hAnsiTheme="majorBidi" w:cstheme="majorBidi"/>
          <w:vertAlign w:val="superscript"/>
        </w:rPr>
        <w:t>st</w:t>
      </w:r>
      <w:r w:rsidRPr="005C5C87">
        <w:rPr>
          <w:rFonts w:asciiTheme="majorBidi" w:hAnsiTheme="majorBidi" w:cstheme="majorBidi"/>
        </w:rPr>
        <w:t xml:space="preserve">, 2005, adds on average 1.2% risk-free return. The return is risk-free, because it is contingent upon a pure revaluation of a past performance. We show that, at the very minimum, the information became available to few households </w:t>
      </w:r>
      <w:r w:rsidR="005C5C87" w:rsidRPr="005C5C87">
        <w:rPr>
          <w:rFonts w:asciiTheme="majorBidi" w:hAnsiTheme="majorBidi" w:cstheme="majorBidi"/>
        </w:rPr>
        <w:t>before</w:t>
      </w:r>
      <w:r w:rsidRPr="005C5C87">
        <w:rPr>
          <w:rFonts w:asciiTheme="majorBidi" w:hAnsiTheme="majorBidi" w:cstheme="majorBidi"/>
        </w:rPr>
        <w:t xml:space="preserve"> April 1</w:t>
      </w:r>
      <w:r w:rsidRPr="005C179C">
        <w:rPr>
          <w:rFonts w:asciiTheme="majorBidi" w:hAnsiTheme="majorBidi" w:cstheme="majorBidi"/>
          <w:vertAlign w:val="superscript"/>
        </w:rPr>
        <w:t>st</w:t>
      </w:r>
      <w:r w:rsidRPr="005C179C">
        <w:rPr>
          <w:rFonts w:asciiTheme="majorBidi" w:hAnsiTheme="majorBidi" w:cstheme="majorBidi"/>
        </w:rPr>
        <w:t xml:space="preserve">, 2005. We also show that there is a significant number of households who made a decision to move from a vintage fund to a novel fund, and that they were also willing to delay the actual action in order to gain a risk-free return. The hold-up decisions </w:t>
      </w:r>
      <w:r w:rsidR="005C5C87">
        <w:rPr>
          <w:rFonts w:asciiTheme="majorBidi" w:hAnsiTheme="majorBidi" w:cstheme="majorBidi"/>
        </w:rPr>
        <w:t xml:space="preserve">can be </w:t>
      </w:r>
      <w:r w:rsidRPr="005C179C">
        <w:rPr>
          <w:rFonts w:asciiTheme="majorBidi" w:hAnsiTheme="majorBidi" w:cstheme="majorBidi"/>
        </w:rPr>
        <w:t>explained by a series of variables that illuminate how individual investors make their decisions.</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t>In order to make the case more plausible, let us assume the following simple scheme: A median investor of a typical vintage fund holds 180,000 NIS (about $50,000) worth of investments (Fund A). This fund contains a portfolio which contains 25% of non-tradable assets. Following the expected change, the fund’s total value increases by 1.64%. Now let us assume that this depositor has made a decision (for reasons external to our model) to shift her savings from Fund A to a privately owned novel fund (Fund B). Fund B has only 5% of non–tradable assets, and accordingly, the parallel average change in valuation is only of 0.32%.</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t>Now, let us assume that this investor has made her decision on March 31</w:t>
      </w:r>
      <w:r w:rsidRPr="005C179C">
        <w:rPr>
          <w:rFonts w:asciiTheme="majorBidi" w:hAnsiTheme="majorBidi" w:cstheme="majorBidi"/>
          <w:vertAlign w:val="superscript"/>
        </w:rPr>
        <w:t>st</w:t>
      </w:r>
      <w:r w:rsidRPr="005C179C">
        <w:rPr>
          <w:rFonts w:asciiTheme="majorBidi" w:hAnsiTheme="majorBidi" w:cstheme="majorBidi"/>
        </w:rPr>
        <w:t>, 2005, and that the shift could have been made instantly at the next day. If she was informed that a change in the valuation mechanism is going to occur, and nevertheless, she was willing to wait (e.g. make the shift a day later), she would have immediately won a risk-free and tax-free reward of nearly $680 for delaying her decision by only one day. Under similar conditions, an informed and rational investor would have decided to postpone the shift of funds.</w:t>
      </w:r>
    </w:p>
    <w:p w:rsidR="00EB2B18" w:rsidRPr="005C179C" w:rsidRDefault="007848F8" w:rsidP="005C5C87">
      <w:pPr>
        <w:pStyle w:val="4"/>
        <w:spacing w:line="360" w:lineRule="auto"/>
        <w:rPr>
          <w:rFonts w:asciiTheme="majorBidi" w:hAnsiTheme="majorBidi" w:cstheme="majorBidi"/>
        </w:rPr>
      </w:pPr>
      <w:r w:rsidRPr="005C179C">
        <w:rPr>
          <w:rFonts w:asciiTheme="majorBidi" w:hAnsiTheme="majorBidi" w:cstheme="majorBidi"/>
        </w:rPr>
        <w:t xml:space="preserve"> 3.1 Timeline</w:t>
      </w:r>
    </w:p>
    <w:p w:rsidR="00EB2B18" w:rsidRPr="005C179C" w:rsidRDefault="007848F8" w:rsidP="005C5C87">
      <w:pPr>
        <w:spacing w:line="360" w:lineRule="auto"/>
        <w:jc w:val="both"/>
        <w:rPr>
          <w:rFonts w:asciiTheme="majorBidi" w:hAnsiTheme="majorBidi" w:cstheme="majorBidi"/>
        </w:rPr>
      </w:pPr>
      <w:r w:rsidRPr="005C179C">
        <w:rPr>
          <w:rFonts w:asciiTheme="majorBidi" w:hAnsiTheme="majorBidi" w:cstheme="majorBidi"/>
        </w:rPr>
        <w:t xml:space="preserve">“Current arrangements for pensions in </w:t>
      </w:r>
      <w:smartTag w:uri="urn:schemas-microsoft-com:office:smarttags" w:element="country-region">
        <w:smartTag w:uri="urn:schemas-microsoft-com:office:smarttags" w:element="place">
          <w:r w:rsidRPr="005C179C">
            <w:rPr>
              <w:rFonts w:asciiTheme="majorBidi" w:hAnsiTheme="majorBidi" w:cstheme="majorBidi"/>
            </w:rPr>
            <w:t>Israel</w:t>
          </w:r>
        </w:smartTag>
      </w:smartTag>
      <w:r w:rsidRPr="005C179C">
        <w:rPr>
          <w:rFonts w:asciiTheme="majorBidi" w:hAnsiTheme="majorBidi" w:cstheme="majorBidi"/>
        </w:rPr>
        <w:t xml:space="preserve"> suffer from numerous problems and shortcomings.”</w:t>
      </w:r>
    </w:p>
    <w:p w:rsidR="00EB2B18" w:rsidRPr="005C179C" w:rsidRDefault="007848F8" w:rsidP="005C5C87">
      <w:pPr>
        <w:pStyle w:val="ab"/>
        <w:bidi w:val="0"/>
        <w:spacing w:line="360" w:lineRule="auto"/>
        <w:jc w:val="both"/>
        <w:rPr>
          <w:rFonts w:asciiTheme="majorBidi" w:hAnsiTheme="majorBidi" w:cstheme="majorBidi"/>
        </w:rPr>
      </w:pPr>
      <w:r w:rsidRPr="005C179C">
        <w:rPr>
          <w:rFonts w:asciiTheme="majorBidi" w:hAnsiTheme="majorBidi" w:cstheme="majorBidi"/>
          <w:i/>
          <w:iCs/>
        </w:rPr>
        <w:t xml:space="preserve">― Bank of </w:t>
      </w:r>
      <w:smartTag w:uri="urn:schemas-microsoft-com:office:smarttags" w:element="country-region">
        <w:smartTag w:uri="urn:schemas-microsoft-com:office:smarttags" w:element="place">
          <w:r w:rsidRPr="005C179C">
            <w:rPr>
              <w:rFonts w:asciiTheme="majorBidi" w:hAnsiTheme="majorBidi" w:cstheme="majorBidi"/>
              <w:i/>
              <w:iCs/>
            </w:rPr>
            <w:t>Israel</w:t>
          </w:r>
        </w:smartTag>
      </w:smartTag>
      <w:r w:rsidRPr="005C179C">
        <w:rPr>
          <w:rFonts w:asciiTheme="majorBidi" w:hAnsiTheme="majorBidi" w:cstheme="majorBidi"/>
          <w:i/>
          <w:iCs/>
        </w:rPr>
        <w:t xml:space="preserve"> Report</w:t>
      </w:r>
      <w:r w:rsidRPr="005C179C">
        <w:rPr>
          <w:rFonts w:asciiTheme="majorBidi" w:hAnsiTheme="majorBidi" w:cstheme="majorBidi"/>
        </w:rPr>
        <w:t>,</w:t>
      </w:r>
      <w:r w:rsidRPr="005C179C">
        <w:rPr>
          <w:rFonts w:asciiTheme="majorBidi" w:hAnsiTheme="majorBidi" w:cstheme="majorBidi"/>
          <w:i/>
          <w:iCs/>
        </w:rPr>
        <w:t xml:space="preserve"> 2002</w:t>
      </w:r>
    </w:p>
    <w:p w:rsidR="00EB2B18" w:rsidRPr="005C179C" w:rsidRDefault="007848F8" w:rsidP="005C5C87">
      <w:pPr>
        <w:spacing w:line="360" w:lineRule="auto"/>
        <w:ind w:firstLine="284"/>
        <w:jc w:val="both"/>
        <w:rPr>
          <w:rFonts w:asciiTheme="majorBidi" w:hAnsiTheme="majorBidi" w:cstheme="majorBidi"/>
        </w:rPr>
      </w:pPr>
      <w:r w:rsidRPr="005C179C">
        <w:rPr>
          <w:rFonts w:asciiTheme="majorBidi" w:hAnsiTheme="majorBidi" w:cstheme="majorBidi"/>
        </w:rPr>
        <w:t xml:space="preserve">During 2004, the Savings and Pensions Commissioner at the Treasury had issued an RFB for the implementation of a practical </w:t>
      </w:r>
      <w:r w:rsidRPr="005C179C">
        <w:rPr>
          <w:rFonts w:asciiTheme="majorBidi" w:hAnsiTheme="majorBidi" w:cstheme="majorBidi"/>
          <w:i/>
          <w:iCs/>
        </w:rPr>
        <w:t>Fair Value</w:t>
      </w:r>
      <w:r w:rsidRPr="005C179C">
        <w:rPr>
          <w:rFonts w:asciiTheme="majorBidi" w:hAnsiTheme="majorBidi" w:cstheme="majorBidi"/>
        </w:rPr>
        <w:t xml:space="preserve"> model. This model was to embody the mandatory valuation technique of all Non Tradable Assets (NTR) on the portfolios of the long-term savings funds: pension funds, life insurance policies, and providence funds. In August 2004, an SPC named </w:t>
      </w:r>
      <w:r w:rsidRPr="005C179C">
        <w:rPr>
          <w:rFonts w:asciiTheme="majorBidi" w:hAnsiTheme="majorBidi" w:cstheme="majorBidi"/>
          <w:i/>
          <w:iCs/>
        </w:rPr>
        <w:t>Shearei Ribit</w:t>
      </w:r>
      <w:r w:rsidRPr="005C179C">
        <w:rPr>
          <w:rFonts w:asciiTheme="majorBidi" w:hAnsiTheme="majorBidi" w:cstheme="majorBidi"/>
        </w:rPr>
        <w:t xml:space="preserve"> (</w:t>
      </w:r>
      <w:hyperlink r:id="rId9" w:history="1">
        <w:r w:rsidRPr="005C179C">
          <w:rPr>
            <w:rStyle w:val="Hyperlink"/>
            <w:rFonts w:asciiTheme="majorBidi" w:hAnsiTheme="majorBidi" w:cstheme="majorBidi"/>
          </w:rPr>
          <w:t>www.rbt.co.il</w:t>
        </w:r>
      </w:hyperlink>
      <w:r w:rsidRPr="005C179C">
        <w:rPr>
          <w:rFonts w:asciiTheme="majorBidi" w:hAnsiTheme="majorBidi" w:cstheme="majorBidi"/>
        </w:rPr>
        <w:t xml:space="preserve">, hereinafter: “RBT”), sponsored by Global S&amp;P, won the bid. RBT submitted the Nelson-Siegel (1987) model, mainly due to its robustness in relation with small data sets. RBT had started testing the model in </w:t>
      </w:r>
      <w:r w:rsidRPr="005C179C">
        <w:rPr>
          <w:rFonts w:asciiTheme="majorBidi" w:hAnsiTheme="majorBidi" w:cstheme="majorBidi"/>
        </w:rPr>
        <w:lastRenderedPageBreak/>
        <w:t xml:space="preserve">early October 2004, using sample portfolios. RBT’s analysis for all the </w:t>
      </w:r>
      <w:r w:rsidRPr="005C179C">
        <w:rPr>
          <w:rFonts w:asciiTheme="majorBidi" w:hAnsiTheme="majorBidi" w:cstheme="majorBidi"/>
          <w:i/>
          <w:iCs/>
        </w:rPr>
        <w:t>test portfolios</w:t>
      </w:r>
      <w:r w:rsidRPr="005C179C">
        <w:rPr>
          <w:rFonts w:asciiTheme="majorBidi" w:hAnsiTheme="majorBidi" w:cstheme="majorBidi"/>
        </w:rPr>
        <w:t xml:space="preserve"> produced similar results: Executing the FV model ― if rates do not sharply and unexpectedly rise in a three-month period by more than 200bp ― would significantly increase the value of NTR in all funds, depending on their actual mix and rate of NTR. On November 22</w:t>
      </w:r>
      <w:r w:rsidRPr="005C179C">
        <w:rPr>
          <w:rFonts w:asciiTheme="majorBidi" w:hAnsiTheme="majorBidi" w:cstheme="majorBidi"/>
          <w:vertAlign w:val="superscript"/>
        </w:rPr>
        <w:t>nd</w:t>
      </w:r>
      <w:r w:rsidRPr="005C179C">
        <w:rPr>
          <w:rFonts w:asciiTheme="majorBidi" w:hAnsiTheme="majorBidi" w:cstheme="majorBidi"/>
        </w:rPr>
        <w:t>, 2004, RBT had presented the model and the results to the market’s professionals. The audience was composed of 250 pension and providence funds’ investment managers. The model was scheduled to launch on January 1</w:t>
      </w:r>
      <w:r w:rsidRPr="005C179C">
        <w:rPr>
          <w:rFonts w:asciiTheme="majorBidi" w:hAnsiTheme="majorBidi" w:cstheme="majorBidi"/>
          <w:vertAlign w:val="superscript"/>
        </w:rPr>
        <w:t>st</w:t>
      </w:r>
      <w:r w:rsidRPr="005C179C">
        <w:rPr>
          <w:rFonts w:asciiTheme="majorBidi" w:hAnsiTheme="majorBidi" w:cstheme="majorBidi"/>
        </w:rPr>
        <w:t xml:space="preserve">, 2005; its date of implementation was made public. By </w:t>
      </w:r>
      <w:smartTag w:uri="urn:schemas-microsoft-com:office:smarttags" w:element="date">
        <w:smartTagPr>
          <w:attr w:name="Year" w:val="2004"/>
          <w:attr w:name="Day" w:val="15"/>
          <w:attr w:name="Month" w:val="12"/>
        </w:smartTagPr>
        <w:r w:rsidRPr="005C179C">
          <w:rPr>
            <w:rFonts w:asciiTheme="majorBidi" w:hAnsiTheme="majorBidi" w:cstheme="majorBidi"/>
          </w:rPr>
          <w:t>December 15</w:t>
        </w:r>
        <w:r w:rsidRPr="005C179C">
          <w:rPr>
            <w:rFonts w:asciiTheme="majorBidi" w:hAnsiTheme="majorBidi" w:cstheme="majorBidi"/>
            <w:vertAlign w:val="superscript"/>
          </w:rPr>
          <w:t>th</w:t>
        </w:r>
        <w:r w:rsidRPr="005C179C">
          <w:rPr>
            <w:rFonts w:asciiTheme="majorBidi" w:hAnsiTheme="majorBidi" w:cstheme="majorBidi"/>
          </w:rPr>
          <w:t>, 2004</w:t>
        </w:r>
      </w:smartTag>
      <w:r w:rsidRPr="005C179C">
        <w:rPr>
          <w:rFonts w:asciiTheme="majorBidi" w:hAnsiTheme="majorBidi" w:cstheme="majorBidi"/>
        </w:rPr>
        <w:t xml:space="preserve">, technical difficulties and political pressure caused the Treasury to postpone the model’s launch to </w:t>
      </w:r>
      <w:smartTag w:uri="urn:schemas-microsoft-com:office:smarttags" w:element="date">
        <w:smartTagPr>
          <w:attr w:name="Year" w:val="2005"/>
          <w:attr w:name="Day" w:val="2"/>
          <w:attr w:name="Month" w:val="4"/>
        </w:smartTagPr>
        <w:r w:rsidRPr="005C179C">
          <w:rPr>
            <w:rFonts w:asciiTheme="majorBidi" w:hAnsiTheme="majorBidi" w:cstheme="majorBidi"/>
          </w:rPr>
          <w:t>April 2</w:t>
        </w:r>
        <w:r w:rsidRPr="005C179C">
          <w:rPr>
            <w:rFonts w:asciiTheme="majorBidi" w:hAnsiTheme="majorBidi" w:cstheme="majorBidi"/>
            <w:vertAlign w:val="superscript"/>
          </w:rPr>
          <w:t>nd</w:t>
        </w:r>
        <w:r w:rsidRPr="005C179C">
          <w:rPr>
            <w:rFonts w:asciiTheme="majorBidi" w:hAnsiTheme="majorBidi" w:cstheme="majorBidi"/>
          </w:rPr>
          <w:t>, 2005</w:t>
        </w:r>
      </w:smartTag>
      <w:r w:rsidRPr="005C179C">
        <w:rPr>
          <w:rFonts w:asciiTheme="majorBidi" w:hAnsiTheme="majorBidi" w:cstheme="majorBidi"/>
        </w:rPr>
        <w:t xml:space="preserve"> – i.e. three months later. This delay was also brought to the knowledge of the public by both the popular and professional media.</w:t>
      </w:r>
    </w:p>
    <w:p w:rsidR="00EB2B18" w:rsidRPr="005C179C" w:rsidRDefault="007848F8" w:rsidP="005C5C87">
      <w:pPr>
        <w:spacing w:line="360" w:lineRule="auto"/>
        <w:ind w:firstLine="284"/>
        <w:jc w:val="both"/>
        <w:rPr>
          <w:rFonts w:asciiTheme="majorBidi" w:hAnsiTheme="majorBidi" w:cstheme="majorBidi"/>
        </w:rPr>
      </w:pPr>
      <w:r w:rsidRPr="005C179C">
        <w:rPr>
          <w:rFonts w:asciiTheme="majorBidi" w:hAnsiTheme="majorBidi" w:cstheme="majorBidi"/>
        </w:rPr>
        <w:t xml:space="preserve">During the ensuing four-month period (December 2004 until March 2005), a debate arose between the Treasury and the market players. The debate has zeroed in  on the need for overall fair value modeling, as well as on some of the specific characteristics and anticipated effects – including the effects of revaluation of respective funds. This debate also became public, as both pro and con views were published in the financial media. We define “direct” as </w:t>
      </w:r>
      <w:r w:rsidRPr="005C179C">
        <w:rPr>
          <w:rFonts w:asciiTheme="majorBidi" w:hAnsiTheme="majorBidi" w:cstheme="majorBidi"/>
          <w:i/>
          <w:iCs/>
        </w:rPr>
        <w:t>an information set that fits the semi-strong efficiency hypothesis</w:t>
      </w:r>
      <w:r w:rsidRPr="005C179C">
        <w:rPr>
          <w:rFonts w:asciiTheme="majorBidi" w:hAnsiTheme="majorBidi" w:cstheme="majorBidi"/>
        </w:rPr>
        <w:t xml:space="preserve"> (Jensen, 1978). In order to support the hypothesis of information’s availability, we take two investigative steps:</w:t>
      </w:r>
    </w:p>
    <w:p w:rsidR="00EB2B18" w:rsidRPr="005C179C" w:rsidRDefault="007848F8" w:rsidP="005C5C87">
      <w:pPr>
        <w:spacing w:line="360" w:lineRule="auto"/>
        <w:ind w:left="284"/>
        <w:jc w:val="both"/>
        <w:rPr>
          <w:rFonts w:asciiTheme="majorBidi" w:hAnsiTheme="majorBidi" w:cstheme="majorBidi"/>
        </w:rPr>
      </w:pPr>
      <w:r w:rsidRPr="005C179C">
        <w:rPr>
          <w:rFonts w:asciiTheme="majorBidi" w:hAnsiTheme="majorBidi" w:cstheme="majorBidi"/>
        </w:rPr>
        <w:t>1. A survey of the daily financial media, including the electronic media</w:t>
      </w:r>
      <w:r w:rsidRPr="005C179C">
        <w:rPr>
          <w:rStyle w:val="af3"/>
          <w:rFonts w:asciiTheme="majorBidi" w:hAnsiTheme="majorBidi" w:cstheme="majorBidi"/>
        </w:rPr>
        <w:footnoteReference w:id="4"/>
      </w:r>
      <w:r w:rsidRPr="005C179C">
        <w:rPr>
          <w:rFonts w:asciiTheme="majorBidi" w:hAnsiTheme="majorBidi" w:cstheme="majorBidi"/>
        </w:rPr>
        <w:t>, for the period between November 2004 and March 2005. We find 17 articles and 36 quotes on the expected re-valuation launch. The coverage was</w:t>
      </w:r>
      <w:r w:rsidRPr="005C179C">
        <w:rPr>
          <w:rStyle w:val="af4"/>
          <w:rFonts w:asciiTheme="majorBidi" w:hAnsiTheme="majorBidi" w:cstheme="majorBidi"/>
          <w:sz w:val="24"/>
          <w:szCs w:val="24"/>
        </w:rPr>
        <w:t xml:space="preserve"> comprehensive</w:t>
      </w:r>
      <w:r w:rsidRPr="005C179C">
        <w:rPr>
          <w:rStyle w:val="af4"/>
          <w:rFonts w:asciiTheme="majorBidi" w:hAnsiTheme="majorBidi" w:cstheme="majorBidi"/>
          <w:vanish/>
          <w:sz w:val="24"/>
          <w:szCs w:val="24"/>
        </w:rPr>
        <w:t xml:space="preserve"> comprehensive comprehensive      to      </w:t>
      </w:r>
      <w:r w:rsidRPr="005C179C">
        <w:rPr>
          <w:rFonts w:asciiTheme="majorBidi" w:hAnsiTheme="majorBidi" w:cstheme="majorBidi"/>
        </w:rPr>
        <w:t xml:space="preserve"> enough in order to cover 100% of the media. At least two articles in the form and purpose of “Tips for the Investor” had advised the potential investors to postpone their pension-related decisions until after April 1</w:t>
      </w:r>
      <w:r w:rsidRPr="005C179C">
        <w:rPr>
          <w:rFonts w:asciiTheme="majorBidi" w:hAnsiTheme="majorBidi" w:cstheme="majorBidi"/>
          <w:vertAlign w:val="superscript"/>
        </w:rPr>
        <w:t>st.</w:t>
      </w:r>
    </w:p>
    <w:p w:rsidR="00EB2B18" w:rsidRPr="005C179C" w:rsidRDefault="007848F8" w:rsidP="005C5C87">
      <w:pPr>
        <w:spacing w:line="360" w:lineRule="auto"/>
        <w:ind w:left="284"/>
        <w:jc w:val="both"/>
        <w:rPr>
          <w:rFonts w:asciiTheme="majorBidi" w:hAnsiTheme="majorBidi" w:cstheme="majorBidi"/>
        </w:rPr>
      </w:pPr>
      <w:r w:rsidRPr="005C179C">
        <w:rPr>
          <w:rFonts w:asciiTheme="majorBidi" w:hAnsiTheme="majorBidi" w:cstheme="majorBidi"/>
        </w:rPr>
        <w:t>2. A survey of the instructions and information that was provided to investment consultants in the providence funds that were owned at the time by banks. During the process of switching funds, bankers have the opportunity to intervene at the process in almost 100% of the cases – either passively (if consulted by the households) or actively. Usually the same banker (or at most a branch of the bank) handles all household financial services, from credit cards to investments.</w:t>
      </w:r>
    </w:p>
    <w:p w:rsidR="00EB2B18" w:rsidRPr="005C179C" w:rsidRDefault="007848F8" w:rsidP="005C5C87">
      <w:pPr>
        <w:spacing w:line="360" w:lineRule="auto"/>
        <w:jc w:val="both"/>
        <w:rPr>
          <w:rFonts w:asciiTheme="majorBidi" w:hAnsiTheme="majorBidi" w:cstheme="majorBidi"/>
        </w:rPr>
      </w:pPr>
      <w:r w:rsidRPr="005C179C">
        <w:rPr>
          <w:rFonts w:asciiTheme="majorBidi" w:hAnsiTheme="majorBidi" w:cstheme="majorBidi"/>
        </w:rPr>
        <w:t xml:space="preserve">We find that at six out of the eight banks that are operating in Israel, a series of steps were taken to slow the flow, even temporarily. These courses of action included </w:t>
      </w:r>
      <w:r w:rsidRPr="005C179C">
        <w:rPr>
          <w:rFonts w:asciiTheme="majorBidi" w:hAnsiTheme="majorBidi" w:cstheme="majorBidi"/>
          <w:i/>
          <w:iCs/>
        </w:rPr>
        <w:t>inter-alia,</w:t>
      </w:r>
      <w:r w:rsidRPr="005C179C">
        <w:rPr>
          <w:rFonts w:asciiTheme="majorBidi" w:hAnsiTheme="majorBidi" w:cstheme="majorBidi"/>
        </w:rPr>
        <w:t xml:space="preserve"> handouts and lectures to the consultants who work with households. In three of the six banks, instructions were made to ask investors who issued a withdrawal request in order to set meetings with the bank’s consultants, so that to assure that information was passed on. We note that the decision to delay the fund withdrawal, even for a short period, is a win-win situation from the bank’s point of view. The bank wins the investor’s fee for at least another period, while it </w:t>
      </w:r>
      <w:r w:rsidRPr="005C179C">
        <w:rPr>
          <w:rFonts w:asciiTheme="majorBidi" w:hAnsiTheme="majorBidi" w:cstheme="majorBidi"/>
        </w:rPr>
        <w:lastRenderedPageBreak/>
        <w:t xml:space="preserve">is indifferent to the question how the value of the portfolio is divided between its clientele. Some of the investors would delay the withdrawal for more than a few months. The “losers” are the investors who did not plan to withdraw their funds at all. Given the four-month period of available information and the two sources described, we deduce that the </w:t>
      </w:r>
      <w:r w:rsidRPr="005C179C">
        <w:rPr>
          <w:rFonts w:asciiTheme="majorBidi" w:hAnsiTheme="majorBidi" w:cstheme="majorBidi"/>
          <w:i/>
          <w:iCs/>
        </w:rPr>
        <w:t>individual investor</w:t>
      </w:r>
      <w:r w:rsidRPr="005C179C">
        <w:rPr>
          <w:rFonts w:asciiTheme="majorBidi" w:hAnsiTheme="majorBidi" w:cstheme="majorBidi"/>
        </w:rPr>
        <w:t xml:space="preserve"> had substantial information – either by the media or by a professional network (Watts and Strogatz, 1998)</w:t>
      </w:r>
      <w:r w:rsidRPr="005C179C">
        <w:rPr>
          <w:rStyle w:val="af3"/>
          <w:rFonts w:asciiTheme="majorBidi" w:hAnsiTheme="majorBidi" w:cstheme="majorBidi"/>
        </w:rPr>
        <w:footnoteReference w:id="5"/>
      </w:r>
      <w:r w:rsidRPr="005C179C">
        <w:rPr>
          <w:rFonts w:asciiTheme="majorBidi" w:hAnsiTheme="majorBidi" w:cstheme="majorBidi"/>
        </w:rPr>
        <w:t>– announcing her of a significant expected change in the valuation of her providence fund. The quantity and quality of information satisfies the Semi-Strong EMH.</w:t>
      </w:r>
    </w:p>
    <w:p w:rsidR="00EB2B18" w:rsidRPr="005C179C" w:rsidRDefault="007848F8" w:rsidP="005C5C87">
      <w:pPr>
        <w:pStyle w:val="4"/>
        <w:numPr>
          <w:ilvl w:val="1"/>
          <w:numId w:val="27"/>
        </w:numPr>
        <w:spacing w:line="360" w:lineRule="auto"/>
        <w:rPr>
          <w:rFonts w:asciiTheme="majorBidi" w:hAnsiTheme="majorBidi" w:cstheme="majorBidi"/>
        </w:rPr>
      </w:pPr>
      <w:r w:rsidRPr="005C179C">
        <w:rPr>
          <w:rFonts w:asciiTheme="majorBidi" w:hAnsiTheme="majorBidi" w:cstheme="majorBidi"/>
        </w:rPr>
        <w:t>The Providence Fund Market</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t>Until the middle of the 1990s, the providence fund market was controlled by two segments: (a) the unions – via organized employment constituencies, including municipalities and transportation cooperatives; (b) the banks. The latter had used the low level of competition to create links between retail banking services and financial services, e.g. providence funds. For many people having an account at a certain bank meant "automatically" having one or more providence funds in the same bank.</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t>From 1993 private brokerage houses started providing additional financial services, such as providence funds. In January 2002 the private funds, including those held by insurance companies, held only 4.2 billions of the 167 billions market. The growing awareness to performance and regulation, together with intense media campaigns, brought about a change. By 2005, the private funds had under their management assets on the amount of 19 billions out of the total 226 billions market (see Figure B). The trend, then, was to transfer existing funds from the banks, especially from the three largest ones, to the private sector. The trend was supported by substantial and straightforward financial data that the investors were unperceptive and slow on the uptake at the time: The private funds’ yields were higher than those of the banks. For instance, in the year 2000, sixteen of the top twenty performing funds were private</w:t>
      </w:r>
      <w:r w:rsidRPr="005C179C">
        <w:rPr>
          <w:rStyle w:val="af3"/>
          <w:rFonts w:asciiTheme="majorBidi" w:hAnsiTheme="majorBidi" w:cstheme="majorBidi"/>
        </w:rPr>
        <w:footnoteReference w:id="6"/>
      </w:r>
      <w:r w:rsidRPr="005C179C">
        <w:rPr>
          <w:rFonts w:asciiTheme="majorBidi" w:hAnsiTheme="majorBidi" w:cstheme="majorBidi"/>
        </w:rPr>
        <w:t>.</w:t>
      </w:r>
    </w:p>
    <w:p w:rsidR="00EB2B18" w:rsidRPr="005C179C" w:rsidRDefault="007848F8" w:rsidP="005C5C87">
      <w:pPr>
        <w:pStyle w:val="4"/>
        <w:numPr>
          <w:ilvl w:val="1"/>
          <w:numId w:val="27"/>
        </w:numPr>
        <w:spacing w:line="360" w:lineRule="auto"/>
        <w:rPr>
          <w:rFonts w:asciiTheme="majorBidi" w:hAnsiTheme="majorBidi" w:cstheme="majorBidi"/>
        </w:rPr>
      </w:pPr>
      <w:r w:rsidRPr="005C179C">
        <w:rPr>
          <w:rFonts w:asciiTheme="majorBidi" w:hAnsiTheme="majorBidi" w:cstheme="majorBidi"/>
        </w:rPr>
        <w:t>Implementation: Nelson-Siegel Model</w:t>
      </w:r>
    </w:p>
    <w:p w:rsidR="00EB2B18" w:rsidRPr="005C179C" w:rsidRDefault="007848F8" w:rsidP="005C5C87">
      <w:pPr>
        <w:spacing w:line="360" w:lineRule="auto"/>
        <w:ind w:firstLine="360"/>
        <w:jc w:val="both"/>
        <w:rPr>
          <w:rFonts w:asciiTheme="majorBidi" w:hAnsiTheme="majorBidi" w:cstheme="majorBidi"/>
        </w:rPr>
      </w:pPr>
      <w:r w:rsidRPr="005C179C">
        <w:rPr>
          <w:rFonts w:asciiTheme="majorBidi" w:hAnsiTheme="majorBidi" w:cstheme="majorBidi"/>
        </w:rPr>
        <w:t>The Nelson-Siegel model (1987) is extensively in-use by national banks</w:t>
      </w:r>
      <w:r w:rsidRPr="005C179C">
        <w:rPr>
          <w:rStyle w:val="af3"/>
          <w:rFonts w:asciiTheme="majorBidi" w:hAnsiTheme="majorBidi" w:cstheme="majorBidi"/>
        </w:rPr>
        <w:footnoteReference w:id="7"/>
      </w:r>
      <w:r w:rsidRPr="005C179C">
        <w:rPr>
          <w:rFonts w:asciiTheme="majorBidi" w:hAnsiTheme="majorBidi" w:cstheme="majorBidi"/>
        </w:rPr>
        <w:t xml:space="preserve"> all over the world, with the view of estimating term structure and yields. The model links an exponential approximation of the discount rate function directly to bond prices with a pre-specified functional form. The instantaneous forward rates at maturity which are modeled as the solution for the second-order differential equation with equal roots, is:</w:t>
      </w:r>
    </w:p>
    <w:p w:rsidR="00EB2B18" w:rsidRPr="005C179C" w:rsidRDefault="007848F8" w:rsidP="005C5C87">
      <w:pPr>
        <w:spacing w:line="360" w:lineRule="auto"/>
        <w:ind w:firstLine="360"/>
        <w:jc w:val="both"/>
        <w:rPr>
          <w:rFonts w:asciiTheme="majorBidi" w:hAnsiTheme="majorBidi" w:cstheme="majorBidi"/>
        </w:rPr>
      </w:pPr>
      <w:r w:rsidRPr="005C179C">
        <w:rPr>
          <w:rFonts w:asciiTheme="majorBidi" w:hAnsiTheme="majorBidi" w:cstheme="majorBidi"/>
          <w:vertAlign w:val="subscript"/>
        </w:rPr>
        <w:lastRenderedPageBreak/>
        <w:t xml:space="preserve">        </w:t>
      </w:r>
      <w:r w:rsidRPr="005C179C">
        <w:rPr>
          <w:rFonts w:asciiTheme="majorBidi" w:hAnsiTheme="majorBidi" w:cstheme="majorBidi"/>
        </w:rPr>
        <w:t xml:space="preserve">  </w:t>
      </w:r>
      <w:r w:rsidRPr="005C179C">
        <w:rPr>
          <w:rFonts w:asciiTheme="majorBidi" w:hAnsiTheme="majorBidi" w:cstheme="majorBidi"/>
        </w:rPr>
        <w:fldChar w:fldCharType="begin"/>
      </w:r>
      <w:r w:rsidRPr="005C179C">
        <w:rPr>
          <w:rFonts w:asciiTheme="majorBidi" w:hAnsiTheme="majorBidi" w:cstheme="majorBidi"/>
        </w:rPr>
        <w:instrText xml:space="preserve"> QUOTE </w:instrText>
      </w:r>
      <w:r w:rsidR="000A5045" w:rsidRPr="005C179C">
        <w:rPr>
          <w:rFonts w:asciiTheme="majorBidi" w:hAnsiTheme="majorBidi" w:cstheme="majorBidi"/>
          <w:noProof/>
        </w:rPr>
        <w:drawing>
          <wp:inline distT="0" distB="0" distL="0" distR="0">
            <wp:extent cx="4010025" cy="1714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010025" cy="171450"/>
                    </a:xfrm>
                    <a:prstGeom prst="rect">
                      <a:avLst/>
                    </a:prstGeom>
                    <a:noFill/>
                    <a:ln w="9525">
                      <a:noFill/>
                      <a:miter lim="800000"/>
                      <a:headEnd/>
                      <a:tailEnd/>
                    </a:ln>
                  </pic:spPr>
                </pic:pic>
              </a:graphicData>
            </a:graphic>
          </wp:inline>
        </w:drawing>
      </w:r>
      <w:r w:rsidRPr="005C179C">
        <w:rPr>
          <w:rFonts w:asciiTheme="majorBidi" w:hAnsiTheme="majorBidi" w:cstheme="majorBidi"/>
        </w:rPr>
        <w:instrText xml:space="preserve"> </w:instrText>
      </w:r>
      <w:r w:rsidRPr="005C179C">
        <w:rPr>
          <w:rFonts w:asciiTheme="majorBidi" w:hAnsiTheme="majorBidi" w:cstheme="majorBidi"/>
        </w:rPr>
        <w:fldChar w:fldCharType="end"/>
      </w:r>
      <w:r w:rsidRPr="005C179C">
        <w:rPr>
          <w:rFonts w:asciiTheme="majorBidi" w:hAnsiTheme="majorBidi" w:cstheme="majorBidi"/>
        </w:rPr>
        <w:t xml:space="preserve">     </w:t>
      </w:r>
      <m:oMath>
        <m:r>
          <w:rPr>
            <w:rFonts w:ascii="Cambria Math" w:hAnsi="Cambria Math" w:cstheme="majorBidi"/>
          </w:rPr>
          <m:t>f</m:t>
        </m:r>
        <m:d>
          <m:dPr>
            <m:ctrlPr>
              <w:rPr>
                <w:rFonts w:ascii="Cambria Math" w:hAnsiTheme="majorBidi" w:cstheme="majorBidi"/>
                <w:i/>
              </w:rPr>
            </m:ctrlPr>
          </m:dPr>
          <m:e>
            <m:r>
              <w:rPr>
                <w:rFonts w:ascii="Cambria Math" w:hAnsi="Cambria Math" w:cstheme="majorBidi"/>
              </w:rPr>
              <m:t>n</m:t>
            </m:r>
          </m:e>
        </m:d>
        <m: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β</m:t>
            </m:r>
          </m:e>
          <m:sub>
            <m:r>
              <w:rPr>
                <w:rFonts w:ascii="Cambria Math" w:hAnsiTheme="majorBidi" w:cstheme="majorBidi"/>
              </w:rPr>
              <m:t>0</m:t>
            </m:r>
          </m:sub>
        </m:sSub>
        <m: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β</m:t>
            </m:r>
          </m:e>
          <m:sub>
            <m:r>
              <w:rPr>
                <w:rFonts w:ascii="Cambria Math" w:hAnsiTheme="majorBidi" w:cstheme="majorBidi"/>
              </w:rPr>
              <m:t>1</m:t>
            </m:r>
          </m:sub>
        </m:sSub>
        <m:func>
          <m:funcPr>
            <m:ctrlPr>
              <w:rPr>
                <w:rFonts w:ascii="Cambria Math" w:hAnsiTheme="majorBidi" w:cstheme="majorBidi"/>
              </w:rPr>
            </m:ctrlPr>
          </m:funcPr>
          <m:fName>
            <m:r>
              <m:rPr>
                <m:sty m:val="p"/>
              </m:rPr>
              <w:rPr>
                <w:rFonts w:ascii="Cambria Math" w:hAnsiTheme="majorBidi" w:cstheme="majorBidi"/>
              </w:rPr>
              <m:t>exp</m:t>
            </m:r>
          </m:fName>
          <m:e>
            <m:d>
              <m:dPr>
                <m:ctrlPr>
                  <w:rPr>
                    <w:rFonts w:ascii="Cambria Math" w:hAnsiTheme="majorBidi" w:cstheme="majorBidi"/>
                    <w:i/>
                  </w:rPr>
                </m:ctrlPr>
              </m:dPr>
              <m:e>
                <m:r>
                  <w:rPr>
                    <w:rFonts w:asciiTheme="majorBidi" w:hAnsiTheme="majorBidi" w:cstheme="majorBidi"/>
                  </w:rPr>
                  <m:t>-</m:t>
                </m:r>
                <m:r>
                  <w:rPr>
                    <w:rFonts w:ascii="Cambria Math" w:hAnsi="Cambria Math" w:cstheme="majorBidi"/>
                  </w:rPr>
                  <m:t>αn</m:t>
                </m:r>
              </m:e>
            </m:d>
            <m:ctrlPr>
              <w:rPr>
                <w:rFonts w:ascii="Cambria Math" w:hAnsiTheme="majorBidi" w:cstheme="majorBidi"/>
                <w:i/>
              </w:rPr>
            </m:ctrlPr>
          </m:e>
        </m:func>
        <m:r>
          <w:rPr>
            <w:rFonts w:ascii="Cambria Math" w:hAnsiTheme="majorBidi" w:cstheme="majorBidi"/>
          </w:rPr>
          <m:t>+</m:t>
        </m:r>
        <m:r>
          <w:rPr>
            <w:rFonts w:ascii="Cambria Math" w:hAnsi="Cambria Math" w:cstheme="majorBidi"/>
          </w:rPr>
          <m:t>αn</m:t>
        </m:r>
        <m:sSub>
          <m:sSubPr>
            <m:ctrlPr>
              <w:rPr>
                <w:rFonts w:ascii="Cambria Math" w:hAnsiTheme="majorBidi" w:cstheme="majorBidi"/>
                <w:i/>
              </w:rPr>
            </m:ctrlPr>
          </m:sSubPr>
          <m:e>
            <m:r>
              <w:rPr>
                <w:rFonts w:ascii="Cambria Math" w:hAnsi="Cambria Math" w:cstheme="majorBidi"/>
              </w:rPr>
              <m:t>β</m:t>
            </m:r>
          </m:e>
          <m:sub>
            <m:r>
              <w:rPr>
                <w:rFonts w:ascii="Cambria Math" w:hAnsiTheme="majorBidi" w:cstheme="majorBidi"/>
              </w:rPr>
              <m:t>2</m:t>
            </m:r>
          </m:sub>
        </m:sSub>
        <m:func>
          <m:funcPr>
            <m:ctrlPr>
              <w:rPr>
                <w:rFonts w:ascii="Cambria Math" w:hAnsiTheme="majorBidi" w:cstheme="majorBidi"/>
              </w:rPr>
            </m:ctrlPr>
          </m:funcPr>
          <m:fName>
            <m:r>
              <m:rPr>
                <m:sty m:val="p"/>
              </m:rPr>
              <w:rPr>
                <w:rFonts w:ascii="Cambria Math" w:hAnsiTheme="majorBidi" w:cstheme="majorBidi"/>
              </w:rPr>
              <m:t>exp</m:t>
            </m:r>
          </m:fName>
          <m:e>
            <m:d>
              <m:dPr>
                <m:ctrlPr>
                  <w:rPr>
                    <w:rFonts w:ascii="Cambria Math" w:hAnsiTheme="majorBidi" w:cstheme="majorBidi"/>
                    <w:i/>
                  </w:rPr>
                </m:ctrlPr>
              </m:dPr>
              <m:e>
                <m:r>
                  <w:rPr>
                    <w:rFonts w:asciiTheme="majorBidi" w:hAnsiTheme="majorBidi" w:cstheme="majorBidi"/>
                  </w:rPr>
                  <m:t>-</m:t>
                </m:r>
                <m:r>
                  <w:rPr>
                    <w:rFonts w:ascii="Cambria Math" w:hAnsi="Cambria Math" w:cstheme="majorBidi"/>
                  </w:rPr>
                  <m:t>αn</m:t>
                </m:r>
              </m:e>
            </m:d>
            <m:ctrlPr>
              <w:rPr>
                <w:rFonts w:ascii="Cambria Math" w:hAnsiTheme="majorBidi" w:cstheme="majorBidi"/>
                <w:i/>
              </w:rPr>
            </m:ctrlPr>
          </m:e>
        </m:func>
        <m:r>
          <w:rPr>
            <w:rFonts w:ascii="Cambria Math" w:hAnsiTheme="majorBidi" w:cstheme="majorBidi"/>
          </w:rPr>
          <m:t xml:space="preserve">                                        (3.1)</m:t>
        </m:r>
      </m:oMath>
      <w:r w:rsidRPr="005C179C">
        <w:rPr>
          <w:rFonts w:asciiTheme="majorBidi" w:hAnsiTheme="majorBidi" w:cstheme="majorBidi"/>
        </w:rPr>
        <w:t xml:space="preserve">                                                   </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t xml:space="preserve">Equation 3.1 implies that the discount function </w:t>
      </w:r>
      <w:r w:rsidRPr="005C179C">
        <w:rPr>
          <w:rFonts w:asciiTheme="majorBidi" w:hAnsiTheme="majorBidi" w:cstheme="majorBidi"/>
        </w:rPr>
        <w:fldChar w:fldCharType="begin"/>
      </w:r>
      <w:r w:rsidRPr="005C179C">
        <w:rPr>
          <w:rFonts w:asciiTheme="majorBidi" w:hAnsiTheme="majorBidi" w:cstheme="majorBidi"/>
        </w:rPr>
        <w:instrText xml:space="preserve"> QUOTE </w:instrText>
      </w:r>
      <w:r w:rsidR="000A5045" w:rsidRPr="005C179C">
        <w:rPr>
          <w:rFonts w:asciiTheme="majorBidi" w:hAnsiTheme="majorBidi" w:cstheme="majorBidi"/>
          <w:noProof/>
        </w:rPr>
        <w:drawing>
          <wp:inline distT="0" distB="0" distL="0" distR="0">
            <wp:extent cx="285750" cy="1714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285750" cy="171450"/>
                    </a:xfrm>
                    <a:prstGeom prst="rect">
                      <a:avLst/>
                    </a:prstGeom>
                    <a:noFill/>
                    <a:ln w="9525">
                      <a:noFill/>
                      <a:miter lim="800000"/>
                      <a:headEnd/>
                      <a:tailEnd/>
                    </a:ln>
                  </pic:spPr>
                </pic:pic>
              </a:graphicData>
            </a:graphic>
          </wp:inline>
        </w:drawing>
      </w:r>
      <w:r w:rsidRPr="005C179C">
        <w:rPr>
          <w:rFonts w:asciiTheme="majorBidi" w:hAnsiTheme="majorBidi" w:cstheme="majorBidi"/>
        </w:rPr>
        <w:instrText xml:space="preserve"> </w:instrText>
      </w:r>
      <w:r w:rsidRPr="005C179C">
        <w:rPr>
          <w:rFonts w:asciiTheme="majorBidi" w:hAnsiTheme="majorBidi" w:cstheme="majorBidi"/>
        </w:rPr>
        <w:fldChar w:fldCharType="separate"/>
      </w:r>
      <m:oMath>
        <m:r>
          <m:rPr>
            <m:sty m:val="p"/>
          </m:rPr>
          <w:rPr>
            <w:rFonts w:ascii="Cambria Math" w:hAnsiTheme="majorBidi" w:cstheme="majorBidi"/>
          </w:rPr>
          <m:t xml:space="preserve"> </m:t>
        </m:r>
        <m:r>
          <m:rPr>
            <m:sty m:val="p"/>
          </m:rPr>
          <w:rPr>
            <w:rFonts w:ascii="Cambria Math" w:hAnsi="Cambria Math" w:cstheme="majorBidi"/>
          </w:rPr>
          <m:t>P</m:t>
        </m:r>
        <m:r>
          <m:rPr>
            <m:sty m:val="p"/>
          </m:rPr>
          <w:rPr>
            <w:rFonts w:ascii="Cambria Math" w:hAnsiTheme="majorBidi" w:cstheme="majorBidi"/>
          </w:rPr>
          <m:t>(</m:t>
        </m:r>
        <m:r>
          <m:rPr>
            <m:sty m:val="p"/>
          </m:rPr>
          <w:rPr>
            <w:rFonts w:ascii="Cambria Math" w:hAnsi="Cambria Math" w:cstheme="majorBidi"/>
          </w:rPr>
          <m:t>n</m:t>
        </m:r>
        <m:r>
          <m:rPr>
            <m:sty m:val="p"/>
          </m:rPr>
          <w:rPr>
            <w:rFonts w:ascii="Cambria Math" w:hAnsiTheme="majorBidi" w:cstheme="majorBidi"/>
          </w:rPr>
          <m:t>)</m:t>
        </m:r>
      </m:oMath>
      <w:r w:rsidRPr="005C179C">
        <w:rPr>
          <w:rFonts w:asciiTheme="majorBidi" w:hAnsiTheme="majorBidi" w:cstheme="majorBidi"/>
        </w:rPr>
        <w:fldChar w:fldCharType="end"/>
      </w:r>
      <w:r w:rsidRPr="005C179C">
        <w:rPr>
          <w:rFonts w:asciiTheme="majorBidi" w:hAnsiTheme="majorBidi" w:cstheme="majorBidi"/>
        </w:rPr>
        <w:t xml:space="preserve"> is double-exponential:</w:t>
      </w:r>
    </w:p>
    <w:p w:rsidR="00EB2B18" w:rsidRPr="005C179C" w:rsidRDefault="007848F8" w:rsidP="005C5C87">
      <w:pPr>
        <w:spacing w:line="360" w:lineRule="auto"/>
        <w:ind w:firstLine="720"/>
        <w:jc w:val="both"/>
        <w:rPr>
          <w:rFonts w:asciiTheme="majorBidi" w:hAnsiTheme="majorBidi" w:cstheme="majorBidi"/>
        </w:rPr>
      </w:pPr>
      <m:oMathPara>
        <m:oMath>
          <m:r>
            <w:rPr>
              <w:rFonts w:ascii="Cambria Math" w:hAnsi="Cambria Math" w:cstheme="majorBidi"/>
            </w:rPr>
            <m:t>P</m:t>
          </m:r>
          <m:d>
            <m:dPr>
              <m:ctrlPr>
                <w:rPr>
                  <w:rFonts w:ascii="Cambria Math" w:hAnsiTheme="majorBidi" w:cstheme="majorBidi"/>
                  <w:i/>
                </w:rPr>
              </m:ctrlPr>
            </m:dPr>
            <m:e>
              <m:r>
                <w:rPr>
                  <w:rFonts w:ascii="Cambria Math" w:hAnsi="Cambria Math" w:cstheme="majorBidi"/>
                </w:rPr>
                <m:t>n</m:t>
              </m:r>
            </m:e>
          </m:d>
          <m:r>
            <w:rPr>
              <w:rFonts w:ascii="Cambria Math" w:hAnsiTheme="majorBidi" w:cstheme="majorBidi"/>
            </w:rPr>
            <m:t>=</m:t>
          </m:r>
          <m:func>
            <m:funcPr>
              <m:ctrlPr>
                <w:rPr>
                  <w:rFonts w:ascii="Cambria Math" w:hAnsiTheme="majorBidi" w:cstheme="majorBidi"/>
                </w:rPr>
              </m:ctrlPr>
            </m:funcPr>
            <m:fName>
              <m:r>
                <m:rPr>
                  <m:sty m:val="p"/>
                </m:rPr>
                <w:rPr>
                  <w:rFonts w:ascii="Cambria Math" w:hAnsiTheme="majorBidi" w:cstheme="majorBidi"/>
                </w:rPr>
                <m:t>exp</m:t>
              </m:r>
            </m:fName>
            <m:e>
              <m:d>
                <m:dPr>
                  <m:begChr m:val="["/>
                  <m:ctrlPr>
                    <w:rPr>
                      <w:rFonts w:ascii="Cambria Math" w:hAnsiTheme="majorBidi" w:cstheme="majorBidi"/>
                      <w:i/>
                    </w:rPr>
                  </m:ctrlPr>
                </m:dPr>
                <m:e>
                  <m:r>
                    <w:rPr>
                      <w:rFonts w:asciiTheme="majorBidi" w:hAnsiTheme="majorBidi" w:cstheme="majorBidi"/>
                    </w:rPr>
                    <m:t>-</m:t>
                  </m:r>
                  <m:sSub>
                    <m:sSubPr>
                      <m:ctrlPr>
                        <w:rPr>
                          <w:rFonts w:ascii="Cambria Math" w:hAnsiTheme="majorBidi" w:cstheme="majorBidi"/>
                          <w:i/>
                        </w:rPr>
                      </m:ctrlPr>
                    </m:sSubPr>
                    <m:e>
                      <m:r>
                        <w:rPr>
                          <w:rFonts w:ascii="Cambria Math" w:hAnsi="Cambria Math" w:cstheme="majorBidi"/>
                        </w:rPr>
                        <m:t>β</m:t>
                      </m:r>
                    </m:e>
                    <m:sub>
                      <m:r>
                        <w:rPr>
                          <w:rFonts w:ascii="Cambria Math" w:hAnsiTheme="majorBidi" w:cstheme="majorBidi"/>
                        </w:rPr>
                        <m:t>0</m:t>
                      </m:r>
                    </m:sub>
                  </m:sSub>
                  <m:r>
                    <w:rPr>
                      <w:rFonts w:ascii="Cambria Math" w:hAnsiTheme="majorBidi" w:cstheme="majorBidi"/>
                    </w:rPr>
                    <m:t>+</m:t>
                  </m:r>
                  <m:sSub>
                    <m:sSubPr>
                      <m:ctrlPr>
                        <w:rPr>
                          <w:rFonts w:ascii="Cambria Math" w:hAnsiTheme="majorBidi" w:cstheme="majorBidi"/>
                          <w:i/>
                        </w:rPr>
                      </m:ctrlPr>
                    </m:sSubPr>
                    <m:e>
                      <m:r>
                        <w:rPr>
                          <w:rFonts w:ascii="Cambria Math" w:hAnsiTheme="majorBidi" w:cstheme="majorBidi"/>
                        </w:rPr>
                        <m:t>(</m:t>
                      </m:r>
                      <m:r>
                        <w:rPr>
                          <w:rFonts w:ascii="Cambria Math" w:hAnsi="Cambria Math" w:cstheme="majorBidi"/>
                        </w:rPr>
                        <m:t>β</m:t>
                      </m:r>
                    </m:e>
                    <m:sub>
                      <m:r>
                        <w:rPr>
                          <w:rFonts w:ascii="Cambria Math" w:hAnsiTheme="majorBidi" w:cstheme="majorBidi"/>
                        </w:rPr>
                        <m:t>1</m:t>
                      </m:r>
                    </m:sub>
                  </m:sSub>
                  <m:r>
                    <m:rPr>
                      <m:sty m:val="p"/>
                    </m:rP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β</m:t>
                      </m:r>
                    </m:e>
                    <m:sub>
                      <m:r>
                        <w:rPr>
                          <w:rFonts w:ascii="Cambria Math" w:hAnsiTheme="majorBidi" w:cstheme="majorBidi"/>
                        </w:rPr>
                        <m:t>2</m:t>
                      </m:r>
                    </m:sub>
                  </m:sSub>
                  <m:ctrlPr>
                    <w:rPr>
                      <w:rFonts w:ascii="Cambria Math" w:hAnsiTheme="majorBidi" w:cstheme="majorBidi"/>
                    </w:rPr>
                  </m:ctrlPr>
                </m:e>
              </m:d>
              <m:ctrlPr>
                <w:rPr>
                  <w:rFonts w:ascii="Cambria Math" w:hAnsiTheme="majorBidi" w:cstheme="majorBidi"/>
                  <w:i/>
                </w:rPr>
              </m:ctrlPr>
            </m:e>
          </m:func>
          <m:r>
            <m:rPr>
              <m:sty m:val="p"/>
            </m:rPr>
            <w:rPr>
              <w:rFonts w:ascii="Cambria Math" w:hAnsiTheme="majorBidi" w:cstheme="majorBidi"/>
            </w:rPr>
            <m:t>(1</m:t>
          </m:r>
          <m:r>
            <m:rPr>
              <m:sty m:val="p"/>
            </m:rPr>
            <w:rPr>
              <w:rFonts w:ascii="Cambria Math" w:hAnsiTheme="majorBidi" w:cstheme="majorBidi"/>
            </w:rPr>
            <m:t>-</m:t>
          </m:r>
          <m:f>
            <m:fPr>
              <m:ctrlPr>
                <w:rPr>
                  <w:rFonts w:ascii="Cambria Math" w:hAnsiTheme="majorBidi" w:cstheme="majorBidi"/>
                  <w:i/>
                </w:rPr>
              </m:ctrlPr>
            </m:fPr>
            <m:num>
              <m:func>
                <m:funcPr>
                  <m:ctrlPr>
                    <w:rPr>
                      <w:rFonts w:ascii="Cambria Math" w:hAnsiTheme="majorBidi" w:cstheme="majorBidi"/>
                    </w:rPr>
                  </m:ctrlPr>
                </m:funcPr>
                <m:fName>
                  <m:r>
                    <m:rPr>
                      <m:sty m:val="p"/>
                    </m:rPr>
                    <w:rPr>
                      <w:rFonts w:ascii="Cambria Math" w:hAnsiTheme="majorBidi" w:cstheme="majorBidi"/>
                    </w:rPr>
                    <m:t>exp</m:t>
                  </m:r>
                </m:fName>
                <m:e>
                  <m:d>
                    <m:dPr>
                      <m:ctrlPr>
                        <w:rPr>
                          <w:rFonts w:ascii="Cambria Math" w:hAnsiTheme="majorBidi" w:cstheme="majorBidi"/>
                          <w:i/>
                        </w:rPr>
                      </m:ctrlPr>
                    </m:dPr>
                    <m:e>
                      <m:r>
                        <w:rPr>
                          <w:rFonts w:asciiTheme="majorBidi" w:hAnsiTheme="majorBidi" w:cstheme="majorBidi"/>
                        </w:rPr>
                        <m:t>-</m:t>
                      </m:r>
                      <m:r>
                        <w:rPr>
                          <w:rFonts w:ascii="Cambria Math" w:hAnsi="Cambria Math" w:cstheme="majorBidi"/>
                        </w:rPr>
                        <m:t>αn</m:t>
                      </m:r>
                    </m:e>
                  </m:d>
                  <m:ctrlPr>
                    <w:rPr>
                      <w:rFonts w:ascii="Cambria Math" w:hAnsiTheme="majorBidi" w:cstheme="majorBidi"/>
                      <w:i/>
                    </w:rPr>
                  </m:ctrlPr>
                </m:e>
              </m:func>
            </m:num>
            <m:den>
              <m:r>
                <w:rPr>
                  <w:rFonts w:ascii="Cambria Math" w:hAnsi="Cambria Math" w:cstheme="majorBidi"/>
                </w:rPr>
                <m:t>α</m:t>
              </m:r>
            </m:den>
          </m:f>
          <m:r>
            <w:rPr>
              <w:rFonts w:asciiTheme="majorBidi" w:hAnsiTheme="majorBidi" w:cstheme="majorBidi"/>
            </w:rPr>
            <m:t>-</m:t>
          </m:r>
          <m:r>
            <w:rPr>
              <w:rFonts w:ascii="Cambria Math" w:hAnsi="Cambria Math" w:cstheme="majorBidi"/>
            </w:rPr>
            <m:t>n</m:t>
          </m:r>
          <m:sSub>
            <m:sSubPr>
              <m:ctrlPr>
                <w:rPr>
                  <w:rFonts w:ascii="Cambria Math" w:hAnsiTheme="majorBidi" w:cstheme="majorBidi"/>
                  <w:i/>
                </w:rPr>
              </m:ctrlPr>
            </m:sSubPr>
            <m:e>
              <m:r>
                <w:rPr>
                  <w:rFonts w:ascii="Cambria Math" w:hAnsi="Cambria Math" w:cstheme="majorBidi"/>
                </w:rPr>
                <m:t>β</m:t>
              </m:r>
            </m:e>
            <m:sub>
              <m:r>
                <w:rPr>
                  <w:rFonts w:ascii="Cambria Math" w:hAnsiTheme="majorBidi" w:cstheme="majorBidi"/>
                </w:rPr>
                <m:t>2</m:t>
              </m:r>
            </m:sub>
          </m:sSub>
          <m:func>
            <m:funcPr>
              <m:ctrlPr>
                <w:rPr>
                  <w:rFonts w:ascii="Cambria Math" w:hAnsiTheme="majorBidi" w:cstheme="majorBidi"/>
                </w:rPr>
              </m:ctrlPr>
            </m:funcPr>
            <m:fName>
              <m:r>
                <m:rPr>
                  <m:sty m:val="p"/>
                </m:rPr>
                <w:rPr>
                  <w:rFonts w:ascii="Cambria Math" w:hAnsiTheme="majorBidi" w:cstheme="majorBidi"/>
                </w:rPr>
                <m:t>exp</m:t>
              </m:r>
            </m:fName>
            <m:e>
              <m:d>
                <m:dPr>
                  <m:ctrlPr>
                    <w:rPr>
                      <w:rFonts w:ascii="Cambria Math" w:hAnsiTheme="majorBidi" w:cstheme="majorBidi"/>
                      <w:i/>
                    </w:rPr>
                  </m:ctrlPr>
                </m:dPr>
                <m:e>
                  <m:r>
                    <w:rPr>
                      <w:rFonts w:asciiTheme="majorBidi" w:hAnsiTheme="majorBidi" w:cstheme="majorBidi"/>
                    </w:rPr>
                    <m:t>-</m:t>
                  </m:r>
                  <m:r>
                    <w:rPr>
                      <w:rFonts w:ascii="Cambria Math" w:hAnsi="Cambria Math" w:cstheme="majorBidi"/>
                    </w:rPr>
                    <m:t>αn</m:t>
                  </m:r>
                </m:e>
              </m:d>
              <m:ctrlPr>
                <w:rPr>
                  <w:rFonts w:ascii="Cambria Math" w:hAnsiTheme="majorBidi" w:cstheme="majorBidi"/>
                  <w:i/>
                </w:rPr>
              </m:ctrlPr>
            </m:e>
          </m:func>
          <m:r>
            <w:rPr>
              <w:rFonts w:ascii="Cambria Math" w:hAnsiTheme="majorBidi" w:cstheme="majorBidi"/>
            </w:rPr>
            <m:t xml:space="preserve">        (3.2)</m:t>
          </m:r>
        </m:oMath>
      </m:oMathPara>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t>This specification generates forward rates and yield curves with a desirable range of shapes – including upward sloping, capable also of upturning and hump-shaped. The Nelson-Siegel model was chosen by the tender committee for its robustness in the context of poor statistical environments with relatively small samples, quite in the keeping with the Israeli case. For a specific curve only, four parameters must be determined in order to fit the Nelson-Siegel term structure model. The model defines</w:t>
      </w:r>
      <w:r w:rsidRPr="005C179C">
        <w:rPr>
          <w:sz w:val="28"/>
          <w:szCs w:val="28"/>
        </w:rPr>
        <w:fldChar w:fldCharType="begin"/>
      </w:r>
      <w:r w:rsidRPr="005C179C">
        <w:rPr>
          <w:sz w:val="28"/>
          <w:szCs w:val="28"/>
        </w:rPr>
        <w:fldChar w:fldCharType="separate"/>
      </w:r>
      <w:r w:rsidR="000A5045" w:rsidRPr="005C179C">
        <w:rPr>
          <w:rFonts w:asciiTheme="majorBidi" w:hAnsiTheme="majorBidi" w:cstheme="majorBidi"/>
          <w:noProof/>
          <w:vertAlign w:val="subscript"/>
        </w:rPr>
        <w:drawing>
          <wp:inline distT="0" distB="0" distL="0" distR="0">
            <wp:extent cx="600075"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600075" cy="190500"/>
                    </a:xfrm>
                    <a:prstGeom prst="rect">
                      <a:avLst/>
                    </a:prstGeom>
                    <a:noFill/>
                    <a:ln w="9525">
                      <a:noFill/>
                      <a:miter lim="800000"/>
                      <a:headEnd/>
                      <a:tailEnd/>
                    </a:ln>
                  </pic:spPr>
                </pic:pic>
              </a:graphicData>
            </a:graphic>
          </wp:inline>
        </w:drawing>
      </w:r>
      <w:r w:rsidRPr="005C179C">
        <w:rPr>
          <w:sz w:val="28"/>
          <w:szCs w:val="28"/>
        </w:rPr>
        <w:fldChar w:fldCharType="end"/>
      </w:r>
      <w:r w:rsidRPr="005C179C">
        <w:rPr>
          <w:rFonts w:asciiTheme="majorBidi" w:hAnsiTheme="majorBidi" w:cstheme="majorBidi"/>
          <w:vertAlign w:val="subscript"/>
        </w:rPr>
        <w:t xml:space="preserve"> </w:t>
      </w:r>
      <w:r w:rsidRPr="005C179C">
        <w:rPr>
          <w:rFonts w:asciiTheme="majorBidi" w:hAnsiTheme="majorBidi" w:cstheme="majorBidi"/>
        </w:rPr>
        <w:t>the four factors as follows:</w:t>
      </w:r>
      <w:r w:rsidRPr="005C179C">
        <w:rPr>
          <w:rFonts w:asciiTheme="majorBidi" w:hAnsiTheme="majorBidi" w:cstheme="majorBidi"/>
        </w:rPr>
        <w:fldChar w:fldCharType="begin"/>
      </w:r>
      <w:r w:rsidRPr="005C179C">
        <w:rPr>
          <w:rFonts w:asciiTheme="majorBidi" w:hAnsiTheme="majorBidi" w:cstheme="majorBidi"/>
        </w:rPr>
        <w:instrText xml:space="preserve"> QUOTE </w:instrText>
      </w:r>
      <w:r w:rsidR="000A5045" w:rsidRPr="005C179C">
        <w:rPr>
          <w:rFonts w:asciiTheme="majorBidi" w:hAnsiTheme="majorBidi" w:cstheme="majorBidi"/>
          <w:noProof/>
        </w:rPr>
        <w:drawing>
          <wp:inline distT="0" distB="0" distL="0" distR="0">
            <wp:extent cx="142875" cy="1714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5C179C">
        <w:rPr>
          <w:rFonts w:asciiTheme="majorBidi" w:hAnsiTheme="majorBidi" w:cstheme="majorBidi"/>
        </w:rPr>
        <w:instrText xml:space="preserve"> </w:instrText>
      </w:r>
      <w:r w:rsidRPr="005C179C">
        <w:rPr>
          <w:rFonts w:asciiTheme="majorBidi" w:hAnsiTheme="majorBidi" w:cstheme="majorBidi"/>
        </w:rPr>
        <w:fldChar w:fldCharType="separate"/>
      </w:r>
      <m:oMath>
        <m:r>
          <m:rPr>
            <m:sty m:val="p"/>
          </m:rPr>
          <w:rPr>
            <w:rFonts w:ascii="Cambria Math" w:hAnsiTheme="majorBidi" w:cstheme="majorBidi"/>
            <w:vertAlign w:val="subscript"/>
          </w:rPr>
          <m:t xml:space="preserve"> </m:t>
        </m:r>
        <m:r>
          <m:rPr>
            <m:sty m:val="p"/>
          </m:rPr>
          <w:rPr>
            <w:rFonts w:ascii="Cambria Math" w:hAnsi="Cambria Math" w:cstheme="majorBidi" w:hint="eastAsia"/>
            <w:vertAlign w:val="subscript"/>
          </w:rPr>
          <m:t>α</m:t>
        </m:r>
      </m:oMath>
      <w:r w:rsidRPr="005C179C">
        <w:rPr>
          <w:rFonts w:asciiTheme="majorBidi" w:hAnsiTheme="majorBidi" w:cstheme="majorBidi"/>
          <w:noProof/>
        </w:rPr>
        <w:t xml:space="preserve"> </w:t>
      </w:r>
      <w:r w:rsidRPr="005C179C">
        <w:rPr>
          <w:rFonts w:asciiTheme="majorBidi" w:hAnsiTheme="majorBidi" w:cstheme="majorBidi"/>
        </w:rPr>
        <w:fldChar w:fldCharType="end"/>
      </w:r>
      <w:r w:rsidRPr="005C179C">
        <w:rPr>
          <w:rFonts w:asciiTheme="majorBidi" w:hAnsiTheme="majorBidi" w:cstheme="majorBidi"/>
        </w:rPr>
        <w:t xml:space="preserve"> represents the level at the beginning of the curve, or the short one-day rate</w:t>
      </w:r>
      <w:r w:rsidRPr="005C179C">
        <w:rPr>
          <w:rFonts w:asciiTheme="majorBidi" w:hAnsiTheme="majorBidi" w:cstheme="majorBidi"/>
        </w:rPr>
        <w:fldChar w:fldCharType="begin"/>
      </w:r>
      <w:r w:rsidRPr="005C179C">
        <w:rPr>
          <w:rFonts w:asciiTheme="majorBidi" w:hAnsiTheme="majorBidi" w:cstheme="majorBidi"/>
        </w:rPr>
        <w:instrText xml:space="preserve"> QUOTE </w:instrText>
      </w:r>
      <w:r w:rsidR="000A5045" w:rsidRPr="005C179C">
        <w:rPr>
          <w:rFonts w:asciiTheme="majorBidi" w:hAnsiTheme="majorBidi" w:cstheme="majorBidi"/>
          <w:noProof/>
        </w:rPr>
        <w:drawing>
          <wp:inline distT="0" distB="0" distL="0" distR="0">
            <wp:extent cx="161925" cy="1428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Pr="005C179C">
        <w:rPr>
          <w:rFonts w:asciiTheme="majorBidi" w:hAnsiTheme="majorBidi" w:cstheme="majorBidi"/>
        </w:rPr>
        <w:instrText xml:space="preserve"> </w:instrText>
      </w:r>
      <w:r w:rsidRPr="005C179C">
        <w:rPr>
          <w:rFonts w:asciiTheme="majorBidi" w:hAnsiTheme="majorBidi" w:cstheme="majorBidi"/>
        </w:rPr>
        <w:fldChar w:fldCharType="separate"/>
      </w:r>
      <w:r w:rsidRPr="005C179C">
        <w:rPr>
          <w:rFonts w:asciiTheme="majorBidi" w:hAnsiTheme="majorBidi" w:cstheme="majorBidi"/>
        </w:rPr>
        <w:t xml:space="preserve">;  </w:t>
      </w:r>
      <m:oMath>
        <m:sSub>
          <m:sSubPr>
            <m:ctrlPr>
              <w:rPr>
                <w:rFonts w:ascii="Cambria Math" w:hAnsiTheme="majorBidi" w:cstheme="majorBidi"/>
                <w:i/>
              </w:rPr>
            </m:ctrlPr>
          </m:sSubPr>
          <m:e>
            <m:r>
              <m:rPr>
                <m:sty m:val="p"/>
              </m:rPr>
              <w:rPr>
                <w:rFonts w:ascii="Cambria Math" w:hAnsi="Cambria Math" w:cstheme="majorBidi" w:hint="eastAsia"/>
              </w:rPr>
              <m:t>β</m:t>
            </m:r>
          </m:e>
          <m:sub>
            <m:r>
              <m:rPr>
                <m:sty m:val="p"/>
              </m:rPr>
              <w:rPr>
                <w:rFonts w:ascii="Cambria Math" w:hAnsiTheme="majorBidi" w:cstheme="majorBidi"/>
              </w:rPr>
              <m:t>0</m:t>
            </m:r>
          </m:sub>
        </m:sSub>
      </m:oMath>
      <w:r w:rsidRPr="005C179C">
        <w:rPr>
          <w:rFonts w:asciiTheme="majorBidi" w:hAnsiTheme="majorBidi" w:cstheme="majorBidi"/>
        </w:rPr>
        <w:fldChar w:fldCharType="end"/>
      </w:r>
      <w:r w:rsidRPr="005C179C">
        <w:rPr>
          <w:rFonts w:asciiTheme="majorBidi" w:hAnsiTheme="majorBidi" w:cstheme="majorBidi"/>
        </w:rPr>
        <w:t xml:space="preserve"> represents the slope, or the long-term rate; </w:t>
      </w:r>
      <w:r w:rsidRPr="005C179C">
        <w:rPr>
          <w:rFonts w:asciiTheme="majorBidi" w:hAnsiTheme="majorBidi" w:cstheme="majorBidi"/>
        </w:rPr>
        <w:fldChar w:fldCharType="begin"/>
      </w:r>
      <w:r w:rsidRPr="005C179C">
        <w:rPr>
          <w:rFonts w:asciiTheme="majorBidi" w:hAnsiTheme="majorBidi" w:cstheme="majorBidi"/>
        </w:rPr>
        <w:instrText xml:space="preserve"> QUOTE </w:instrText>
      </w:r>
      <w:r w:rsidR="000A5045" w:rsidRPr="005C179C">
        <w:rPr>
          <w:rFonts w:asciiTheme="majorBidi" w:hAnsiTheme="majorBidi" w:cstheme="majorBidi"/>
          <w:noProof/>
        </w:rPr>
        <w:drawing>
          <wp:inline distT="0" distB="0" distL="0" distR="0">
            <wp:extent cx="116205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162050" cy="152400"/>
                    </a:xfrm>
                    <a:prstGeom prst="rect">
                      <a:avLst/>
                    </a:prstGeom>
                    <a:noFill/>
                    <a:ln w="9525">
                      <a:noFill/>
                      <a:miter lim="800000"/>
                      <a:headEnd/>
                      <a:tailEnd/>
                    </a:ln>
                  </pic:spPr>
                </pic:pic>
              </a:graphicData>
            </a:graphic>
          </wp:inline>
        </w:drawing>
      </w:r>
      <w:r w:rsidRPr="005C179C">
        <w:rPr>
          <w:rFonts w:asciiTheme="majorBidi" w:hAnsiTheme="majorBidi" w:cstheme="majorBidi"/>
        </w:rPr>
        <w:instrText xml:space="preserve"> </w:instrText>
      </w:r>
      <w:r w:rsidRPr="005C179C">
        <w:rPr>
          <w:rFonts w:asciiTheme="majorBidi" w:hAnsiTheme="majorBidi" w:cstheme="majorBidi"/>
        </w:rPr>
        <w:fldChar w:fldCharType="separate"/>
      </w:r>
      <m:oMath>
        <m:r>
          <m:rPr>
            <m:sty m:val="p"/>
          </m:rPr>
          <w:rPr>
            <w:rFonts w:ascii="Cambria Math" w:hAnsiTheme="majorBidi" w:cstheme="majorBidi"/>
          </w:rPr>
          <m:t xml:space="preserve"> </m:t>
        </m:r>
        <m:sSub>
          <m:sSubPr>
            <m:ctrlPr>
              <w:rPr>
                <w:rFonts w:ascii="Cambria Math" w:hAnsiTheme="majorBidi" w:cstheme="majorBidi"/>
                <w:i/>
              </w:rPr>
            </m:ctrlPr>
          </m:sSubPr>
          <m:e>
            <m:r>
              <m:rPr>
                <m:sty m:val="p"/>
              </m:rPr>
              <w:rPr>
                <w:rFonts w:ascii="Cambria Math" w:hAnsi="Cambria Math" w:cstheme="majorBidi" w:hint="eastAsia"/>
              </w:rPr>
              <m:t>β</m:t>
            </m:r>
          </m:e>
          <m:sub>
            <m:r>
              <m:rPr>
                <m:sty m:val="p"/>
              </m:rPr>
              <w:rPr>
                <w:rFonts w:ascii="Cambria Math" w:hAnsiTheme="majorBidi" w:cstheme="majorBidi"/>
              </w:rPr>
              <m:t>1</m:t>
            </m:r>
          </m:sub>
        </m:sSub>
        <m:r>
          <m:rPr>
            <m:sty m:val="p"/>
          </m:rPr>
          <w:rPr>
            <w:rFonts w:ascii="Cambria Math" w:hAnsiTheme="majorBidi" w:cstheme="majorBidi"/>
          </w:rPr>
          <m:t xml:space="preserve">and </m:t>
        </m:r>
        <m:sSub>
          <m:sSubPr>
            <m:ctrlPr>
              <w:rPr>
                <w:rFonts w:ascii="Cambria Math" w:hAnsiTheme="majorBidi" w:cstheme="majorBidi"/>
                <w:i/>
              </w:rPr>
            </m:ctrlPr>
          </m:sSubPr>
          <m:e>
            <m:r>
              <m:rPr>
                <m:sty m:val="p"/>
              </m:rPr>
              <w:rPr>
                <w:rFonts w:ascii="Cambria Math" w:hAnsi="Cambria Math" w:cstheme="majorBidi" w:hint="eastAsia"/>
              </w:rPr>
              <m:t>β</m:t>
            </m:r>
          </m:e>
          <m:sub>
            <m:r>
              <m:rPr>
                <m:sty m:val="p"/>
              </m:rPr>
              <w:rPr>
                <w:rFonts w:ascii="Cambria Math" w:hAnsiTheme="majorBidi" w:cstheme="majorBidi"/>
              </w:rPr>
              <m:t>2</m:t>
            </m:r>
          </m:sub>
        </m:sSub>
      </m:oMath>
      <w:r w:rsidRPr="005C179C">
        <w:rPr>
          <w:rFonts w:asciiTheme="majorBidi" w:hAnsiTheme="majorBidi" w:cstheme="majorBidi"/>
        </w:rPr>
        <w:fldChar w:fldCharType="end"/>
      </w:r>
      <w:r w:rsidRPr="005C179C">
        <w:rPr>
          <w:rFonts w:asciiTheme="majorBidi" w:hAnsiTheme="majorBidi" w:cstheme="majorBidi"/>
        </w:rPr>
        <w:t>determine the magnitude and direction of the hump-curvature.</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t>The local market requires some other adjustments. Over the years, most of the long term debt was issued as sovereign bonds, with a fully-linked CPI (Consumer Price Index). Firms followed, because they also have issued most of their bonds as CPI-linked. Fifty eight percent of the local national debt is CPI-linked; the rest is divided between US$-linked bonds and non-linked bonds. For each of these three categories, we estimate spread curves for the sovereign (RF) bonds and for the corporate bonds. The parameters are estimated by using the OLS procedure. Once the parameters are set, a simulation generator sets the initial parameters and the actual term structure is created. Figure D provides an example of the information supplied to qualified investors (available also as an Excel format). The same technique was used for each category (CPI-linked, US$-linked and unlinked) of government bonds and corporate ratings (AAA up to non-rated bonds), while using the ratings of local affiliations of S&amp;P and Moody’s.</w:t>
      </w:r>
    </w:p>
    <w:p w:rsidR="00EB2B18" w:rsidRPr="005C179C" w:rsidRDefault="007848F8" w:rsidP="005C5C87">
      <w:pPr>
        <w:spacing w:line="360" w:lineRule="auto"/>
        <w:jc w:val="both"/>
        <w:rPr>
          <w:rFonts w:asciiTheme="majorBidi" w:hAnsiTheme="majorBidi" w:cstheme="majorBidi"/>
        </w:rPr>
      </w:pPr>
      <w:r w:rsidRPr="005C179C">
        <w:rPr>
          <w:rFonts w:asciiTheme="majorBidi" w:hAnsiTheme="majorBidi" w:cstheme="majorBidi"/>
        </w:rPr>
        <w:tab/>
        <w:t xml:space="preserve">Fair value, or </w:t>
      </w:r>
      <w:r w:rsidRPr="005C179C">
        <w:rPr>
          <w:rFonts w:asciiTheme="majorBidi" w:hAnsiTheme="majorBidi" w:cstheme="majorBidi"/>
          <w:i/>
          <w:iCs/>
        </w:rPr>
        <w:t>fair price</w:t>
      </w:r>
      <w:r w:rsidRPr="005C179C">
        <w:rPr>
          <w:rFonts w:asciiTheme="majorBidi" w:hAnsiTheme="majorBidi" w:cstheme="majorBidi"/>
        </w:rPr>
        <w:t xml:space="preserve">, is defined by the Financial Accounting Standards Board (FASB) as “a rational and unbiased estimate of the potential market price of a good, service, or asset, taking into account such factors as relative scarcity, perceived utility, potential risk, return properties, replacement costs, or costs of close substitutes and production, distribution costs, including cost of capital.” There are two schools of thought which deal with the relationship between market price and fair value, applying their theories, by and large, to any kind of market, but particularly to tradable assets. The </w:t>
      </w:r>
      <w:r w:rsidRPr="005C179C">
        <w:rPr>
          <w:rFonts w:asciiTheme="majorBidi" w:hAnsiTheme="majorBidi" w:cstheme="majorBidi"/>
          <w:i/>
          <w:iCs/>
        </w:rPr>
        <w:t>efficient market hypothesis</w:t>
      </w:r>
      <w:r w:rsidRPr="005C179C">
        <w:rPr>
          <w:rFonts w:asciiTheme="majorBidi" w:hAnsiTheme="majorBidi" w:cstheme="majorBidi"/>
        </w:rPr>
        <w:t xml:space="preserve"> asserts that in an organized and reasonably transparent market, the market price is generally equal or close to the fair value. The reason for this is that investors react quickly, to the effect of incorporating new information on relative scarcity, utility or potential returns in their bids. </w:t>
      </w:r>
      <w:r w:rsidRPr="005C179C">
        <w:rPr>
          <w:rFonts w:asciiTheme="majorBidi" w:hAnsiTheme="majorBidi" w:cstheme="majorBidi"/>
          <w:i/>
          <w:iCs/>
        </w:rPr>
        <w:t>Behavioral finance</w:t>
      </w:r>
      <w:r w:rsidRPr="005C179C">
        <w:rPr>
          <w:rFonts w:asciiTheme="majorBidi" w:hAnsiTheme="majorBidi" w:cstheme="majorBidi"/>
        </w:rPr>
        <w:t xml:space="preserve"> </w:t>
      </w:r>
      <w:r w:rsidRPr="005C179C">
        <w:rPr>
          <w:rFonts w:asciiTheme="majorBidi" w:hAnsiTheme="majorBidi" w:cstheme="majorBidi"/>
          <w:i/>
          <w:iCs/>
        </w:rPr>
        <w:t xml:space="preserve">hypothesis </w:t>
      </w:r>
      <w:r w:rsidRPr="005C179C">
        <w:rPr>
          <w:rFonts w:asciiTheme="majorBidi" w:hAnsiTheme="majorBidi" w:cstheme="majorBidi"/>
        </w:rPr>
        <w:t xml:space="preserve">asserts that market price often diverges from their fair value, due to various and not uncommon cognitive biases among buyers or sellers. However, even the proponents of the behavioral finance hypothesis generally acknowledge that behavioral anomalies, which may cause such a divergence, are often erratic and unpredictable, chaotic </w:t>
      </w:r>
      <w:r w:rsidRPr="005C179C">
        <w:rPr>
          <w:rFonts w:asciiTheme="majorBidi" w:hAnsiTheme="majorBidi" w:cstheme="majorBidi"/>
        </w:rPr>
        <w:lastRenderedPageBreak/>
        <w:t>or otherwise too perplexing in order to be captured and incorporated into a sustainable profitable trading strategy – especially when accounting for transaction costs.</w:t>
      </w:r>
    </w:p>
    <w:p w:rsidR="00EB2B18" w:rsidRPr="005C179C" w:rsidRDefault="007848F8" w:rsidP="005C5C87">
      <w:pPr>
        <w:spacing w:after="240" w:line="360" w:lineRule="auto"/>
        <w:jc w:val="both"/>
        <w:rPr>
          <w:rFonts w:asciiTheme="majorBidi" w:hAnsiTheme="majorBidi" w:cstheme="majorBidi"/>
          <w:rtl/>
        </w:rPr>
      </w:pPr>
      <w:r w:rsidRPr="005C179C">
        <w:rPr>
          <w:rFonts w:asciiTheme="majorBidi" w:hAnsiTheme="majorBidi" w:cstheme="majorBidi"/>
        </w:rPr>
        <w:tab/>
        <w:t xml:space="preserve">FASB offers guidance to the way in which entities should determine fair value estimates for the purpose of financial reporting. FASB’s draft suggests the following definition of fair value: </w:t>
      </w:r>
      <w:r w:rsidRPr="005C179C">
        <w:rPr>
          <w:rFonts w:asciiTheme="majorBidi" w:hAnsiTheme="majorBidi" w:cstheme="majorBidi"/>
          <w:i/>
          <w:iCs/>
        </w:rPr>
        <w:t>“The price at which an asset or liability could be exchanged in a current transaction between knowledgeable, unrelated, willing parties.”</w:t>
      </w:r>
      <w:r w:rsidRPr="005C179C">
        <w:rPr>
          <w:rFonts w:asciiTheme="majorBidi" w:hAnsiTheme="majorBidi" w:cstheme="majorBidi"/>
        </w:rPr>
        <w:t xml:space="preserve"> The draft notes that in the absence of an actual exchange, the price is but an estimate. FASB’s guidelines emphasize the importance of using market inputs when valuing an asset or a liability. The inputs of specific market, which   are mentioned here, include: quoted prices, interest rates, yield curve and credit data. Fair value is derived by definition from a current transaction that occurs in an active market between knowledgeable and unrelated parties. When fair value is not available, due to the nonexistence of an actual transaction, it is logical to use information from an active market.</w:t>
      </w:r>
    </w:p>
    <w:p w:rsidR="00EB2B18" w:rsidRPr="005C179C" w:rsidRDefault="007848F8" w:rsidP="005C5C87">
      <w:pPr>
        <w:spacing w:line="360" w:lineRule="auto"/>
        <w:jc w:val="both"/>
        <w:rPr>
          <w:rFonts w:asciiTheme="majorBidi" w:hAnsiTheme="majorBidi" w:cstheme="majorBidi"/>
        </w:rPr>
      </w:pPr>
      <w:r w:rsidRPr="005C179C">
        <w:rPr>
          <w:rFonts w:asciiTheme="majorBidi" w:hAnsiTheme="majorBidi" w:cstheme="majorBidi"/>
        </w:rPr>
        <w:tab/>
        <w:t>The expected effect of the Fair Value Model is equal to the difference between the fair value and the accrued value for each non-tradable bond in the portfolio. Equation 3.3 sets the net change in value for any portfolio</w:t>
      </w:r>
      <m:oMath>
        <m:r>
          <w:rPr>
            <w:rFonts w:ascii="Cambria Math" w:hAnsiTheme="majorBidi" w:cstheme="majorBidi"/>
          </w:rPr>
          <m:t xml:space="preserve"> </m:t>
        </m:r>
        <m:r>
          <w:rPr>
            <w:rFonts w:ascii="Cambria Math" w:hAnsi="Cambria Math" w:cstheme="majorBidi"/>
          </w:rPr>
          <m:t>i</m:t>
        </m:r>
      </m:oMath>
      <w:r w:rsidRPr="005C179C">
        <w:rPr>
          <w:rFonts w:asciiTheme="majorBidi" w:hAnsiTheme="majorBidi" w:cstheme="majorBidi"/>
        </w:rPr>
        <w:t>:</w:t>
      </w:r>
    </w:p>
    <w:p w:rsidR="00EB2B18" w:rsidRPr="005C179C" w:rsidRDefault="007848F8" w:rsidP="005C5C87">
      <w:pPr>
        <w:spacing w:line="360" w:lineRule="auto"/>
        <w:jc w:val="both"/>
        <w:rPr>
          <w:rFonts w:asciiTheme="majorBidi" w:hAnsiTheme="majorBidi" w:cstheme="majorBidi"/>
        </w:rPr>
      </w:pPr>
      <w:r w:rsidRPr="005C179C">
        <w:rPr>
          <w:rFonts w:asciiTheme="majorBidi" w:hAnsiTheme="majorBidi" w:cstheme="majorBidi"/>
        </w:rPr>
        <w:t xml:space="preserve">                       </w:t>
      </w:r>
      <w:r w:rsidRPr="005C179C">
        <w:rPr>
          <w:rFonts w:asciiTheme="majorBidi" w:hAnsiTheme="majorBidi" w:cstheme="majorBidi"/>
        </w:rPr>
        <w:fldChar w:fldCharType="begin"/>
      </w:r>
      <w:r w:rsidRPr="005C179C">
        <w:rPr>
          <w:rFonts w:asciiTheme="majorBidi" w:hAnsiTheme="majorBidi" w:cstheme="majorBidi"/>
        </w:rPr>
        <w:instrText xml:space="preserve"> QUOTE </w:instrText>
      </w:r>
      <w:r w:rsidR="000A5045" w:rsidRPr="005C179C">
        <w:rPr>
          <w:rFonts w:asciiTheme="majorBidi" w:hAnsiTheme="majorBidi" w:cstheme="majorBidi"/>
          <w:noProof/>
        </w:rPr>
        <w:drawing>
          <wp:inline distT="0" distB="0" distL="0" distR="0">
            <wp:extent cx="3857625" cy="4667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3857625" cy="466725"/>
                    </a:xfrm>
                    <a:prstGeom prst="rect">
                      <a:avLst/>
                    </a:prstGeom>
                    <a:noFill/>
                    <a:ln w="9525">
                      <a:noFill/>
                      <a:miter lim="800000"/>
                      <a:headEnd/>
                      <a:tailEnd/>
                    </a:ln>
                  </pic:spPr>
                </pic:pic>
              </a:graphicData>
            </a:graphic>
          </wp:inline>
        </w:drawing>
      </w:r>
      <w:r w:rsidRPr="005C179C">
        <w:rPr>
          <w:rFonts w:asciiTheme="majorBidi" w:hAnsiTheme="majorBidi" w:cstheme="majorBidi"/>
        </w:rPr>
        <w:instrText xml:space="preserve"> </w:instrText>
      </w:r>
      <w:r w:rsidRPr="005C179C">
        <w:rPr>
          <w:rFonts w:asciiTheme="majorBidi" w:hAnsiTheme="majorBidi" w:cstheme="majorBidi"/>
        </w:rPr>
        <w:fldChar w:fldCharType="separate"/>
      </w:r>
      <m:oMath>
        <m:r>
          <m:rPr>
            <m:sty m:val="p"/>
          </m:rPr>
          <w:rPr>
            <w:rFonts w:asciiTheme="majorBidi" w:hAnsiTheme="majorBidi" w:cstheme="majorBidi"/>
          </w:rPr>
          <m:t>∆</m:t>
        </m:r>
        <m:sSub>
          <m:sSubPr>
            <m:ctrlPr>
              <w:rPr>
                <w:rFonts w:ascii="Cambria Math" w:hAnsiTheme="majorBidi" w:cstheme="majorBidi"/>
                <w:i/>
              </w:rPr>
            </m:ctrlPr>
          </m:sSubPr>
          <m:e>
            <m:r>
              <m:rPr>
                <m:sty m:val="p"/>
              </m:rPr>
              <w:rPr>
                <w:rFonts w:ascii="Cambria Math" w:hAnsi="Cambria Math" w:cstheme="majorBidi"/>
              </w:rPr>
              <m:t>V</m:t>
            </m:r>
          </m:e>
          <m:sub>
            <m:r>
              <m:rPr>
                <m:sty m:val="p"/>
              </m:rPr>
              <w:rPr>
                <w:rFonts w:ascii="Cambria Math" w:hAnsi="Cambria Math" w:cstheme="majorBidi"/>
              </w:rPr>
              <m:t>i</m:t>
            </m:r>
          </m:sub>
        </m:sSub>
        <m:r>
          <m:rPr>
            <m:sty m:val="p"/>
          </m:rPr>
          <w:rPr>
            <w:rFonts w:ascii="Cambria Math" w:hAnsiTheme="majorBidi" w:cstheme="majorBidi"/>
          </w:rPr>
          <m:t>=</m:t>
        </m:r>
        <m:nary>
          <m:naryPr>
            <m:chr m:val="∑"/>
            <m:limLoc m:val="undOvr"/>
            <m:ctrlPr>
              <w:rPr>
                <w:rFonts w:ascii="Cambria Math" w:hAnsiTheme="majorBidi" w:cstheme="majorBidi"/>
                <w:i/>
              </w:rPr>
            </m:ctrlPr>
          </m:naryPr>
          <m:sub>
            <m:r>
              <m:rPr>
                <m:sty m:val="p"/>
              </m:rPr>
              <w:rPr>
                <w:rFonts w:ascii="Cambria Math" w:hAnsi="Cambria Math" w:cstheme="majorBidi"/>
              </w:rPr>
              <m:t>j</m:t>
            </m:r>
            <m:r>
              <m:rPr>
                <m:sty m:val="p"/>
              </m:rPr>
              <w:rPr>
                <w:rFonts w:ascii="Cambria Math" w:hAnsiTheme="majorBidi" w:cstheme="majorBidi"/>
              </w:rPr>
              <m:t>=1</m:t>
            </m:r>
          </m:sub>
          <m:sup>
            <m:r>
              <m:rPr>
                <m:sty m:val="p"/>
              </m:rPr>
              <w:rPr>
                <w:rFonts w:ascii="Cambria Math" w:hAnsi="Cambria Math" w:cstheme="majorBidi"/>
              </w:rPr>
              <m:t>J</m:t>
            </m:r>
          </m:sup>
          <m:e>
            <m:sSub>
              <m:sSubPr>
                <m:ctrlPr>
                  <w:rPr>
                    <w:rFonts w:ascii="Cambria Math" w:hAnsiTheme="majorBidi" w:cstheme="majorBidi"/>
                    <w:i/>
                  </w:rPr>
                </m:ctrlPr>
              </m:sSubPr>
              <m:e>
                <m:r>
                  <m:rPr>
                    <m:sty m:val="p"/>
                  </m:rPr>
                  <w:rPr>
                    <w:rFonts w:ascii="Cambria Math" w:hAnsi="Cambria Math" w:cstheme="majorBidi"/>
                  </w:rPr>
                  <m:t>FV</m:t>
                </m:r>
              </m:e>
              <m:sub>
                <m:r>
                  <m:rPr>
                    <m:sty m:val="p"/>
                  </m:rPr>
                  <w:rPr>
                    <w:rFonts w:ascii="Cambria Math" w:hAnsi="Cambria Math" w:cstheme="majorBidi"/>
                  </w:rPr>
                  <m:t>j</m:t>
                </m:r>
              </m:sub>
            </m:sSub>
          </m:e>
        </m:nary>
        <m:r>
          <m:rPr>
            <m:sty m:val="p"/>
          </m:rPr>
          <w:rPr>
            <w:rFonts w:asciiTheme="majorBidi" w:hAnsiTheme="majorBidi" w:cstheme="majorBidi"/>
          </w:rPr>
          <m:t>-</m:t>
        </m:r>
        <m:sSub>
          <m:sSubPr>
            <m:ctrlPr>
              <w:rPr>
                <w:rFonts w:ascii="Cambria Math" w:hAnsiTheme="majorBidi" w:cstheme="majorBidi"/>
                <w:i/>
              </w:rPr>
            </m:ctrlPr>
          </m:sSubPr>
          <m:e>
            <m:r>
              <m:rPr>
                <m:sty m:val="p"/>
              </m:rPr>
              <w:rPr>
                <w:rFonts w:ascii="Cambria Math" w:hAnsi="Cambria Math" w:cstheme="majorBidi"/>
              </w:rPr>
              <m:t>AV</m:t>
            </m:r>
          </m:e>
          <m:sub>
            <m:r>
              <m:rPr>
                <m:sty m:val="p"/>
              </m:rPr>
              <w:rPr>
                <w:rFonts w:ascii="Cambria Math" w:hAnsi="Cambria Math" w:cstheme="majorBidi"/>
              </w:rPr>
              <m:t>j</m:t>
            </m:r>
          </m:sub>
        </m:sSub>
        <m:r>
          <m:rPr>
            <m:sty m:val="p"/>
          </m:rPr>
          <w:rPr>
            <w:rFonts w:ascii="Cambria Math" w:hAnsiTheme="majorBidi" w:cstheme="majorBidi"/>
          </w:rPr>
          <m:t xml:space="preserve">                                                                                    (3.3)</m:t>
        </m:r>
      </m:oMath>
      <w:r w:rsidRPr="005C179C">
        <w:rPr>
          <w:rFonts w:asciiTheme="majorBidi" w:hAnsiTheme="majorBidi" w:cstheme="majorBidi"/>
        </w:rPr>
        <w:t xml:space="preserve">         </w:t>
      </w:r>
      <w:r w:rsidRPr="005C179C">
        <w:rPr>
          <w:rFonts w:asciiTheme="majorBidi" w:hAnsiTheme="majorBidi" w:cstheme="majorBidi"/>
        </w:rPr>
        <w:fldChar w:fldCharType="end"/>
      </w:r>
      <w:r w:rsidRPr="005C179C">
        <w:rPr>
          <w:rFonts w:asciiTheme="majorBidi" w:hAnsiTheme="majorBidi" w:cstheme="majorBidi"/>
        </w:rPr>
        <w:t xml:space="preserve">                                                                               </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t>Each and every fund holds its own portfolio, a differing mix of bonds; the actual valuation of the difference is unique to each fund and depends on its specific portfolio’s characteristics. The AV method is straightforward: The value of the bond is its expected payoffs as discounted by the yield calculated at its offering. The value of a regular coupon bond rises slowly as the coupon payment comes near, and then it drops. Note that the price is fixed in relation with changes in the market rate. Assuming that the bond will pay its obligation, the AV is a completely an expected set of payments. Once a bond is added to the portfolio, its value is fixed and riveted. It is clear as a day that any FV model that uses market-to-market methodology of any kind would add volatility into the valuation mechanism, which was overlooked and neglected previously. It can also be concluded that if rates have changed since the bond was purchased, and the FV model re-computes the value of the bond, then a difference in valuation is to be expected.</w:t>
      </w:r>
    </w:p>
    <w:p w:rsidR="00EB2B18" w:rsidRPr="005C179C" w:rsidRDefault="007848F8" w:rsidP="005C5C87">
      <w:pPr>
        <w:spacing w:line="360" w:lineRule="auto"/>
        <w:jc w:val="both"/>
        <w:rPr>
          <w:rFonts w:asciiTheme="majorBidi" w:hAnsiTheme="majorBidi" w:cstheme="majorBidi"/>
        </w:rPr>
      </w:pPr>
      <w:r w:rsidRPr="005C179C">
        <w:rPr>
          <w:rFonts w:asciiTheme="majorBidi" w:hAnsiTheme="majorBidi" w:cstheme="majorBidi"/>
        </w:rPr>
        <w:tab/>
        <w:t>The real rate on April 2005 was the lowest point ever: 3.6%. That was after a series of rate cuts during most of 2003 and 2004; usually it was between 6% and 8%. Between August and October 2003, the rates followed a strictly declining pattern (see Figure C).</w:t>
      </w:r>
    </w:p>
    <w:p w:rsidR="00EB2B18" w:rsidRPr="005C179C" w:rsidRDefault="007848F8" w:rsidP="005C5C87">
      <w:pPr>
        <w:spacing w:line="360" w:lineRule="auto"/>
        <w:ind w:firstLine="360"/>
        <w:jc w:val="both"/>
        <w:rPr>
          <w:rFonts w:asciiTheme="majorBidi" w:hAnsiTheme="majorBidi" w:cstheme="majorBidi"/>
        </w:rPr>
      </w:pPr>
      <w:r w:rsidRPr="005C179C">
        <w:rPr>
          <w:rFonts w:asciiTheme="majorBidi" w:hAnsiTheme="majorBidi" w:cstheme="majorBidi"/>
        </w:rPr>
        <w:t>Historically, most of the debt in Israel is CPI-linked. Though this is gradually changing, by 2005 95% of the corporate debt and 82% of the government debt (excluding one-year notes) were Consumer Price Index linked bonds.</w:t>
      </w:r>
    </w:p>
    <w:p w:rsidR="00EB2B18" w:rsidRPr="005C179C" w:rsidRDefault="007848F8" w:rsidP="005C5C87">
      <w:pPr>
        <w:pStyle w:val="2"/>
        <w:numPr>
          <w:ilvl w:val="0"/>
          <w:numId w:val="27"/>
        </w:numPr>
        <w:bidi w:val="0"/>
        <w:spacing w:line="360" w:lineRule="auto"/>
        <w:jc w:val="both"/>
        <w:rPr>
          <w:rFonts w:asciiTheme="majorBidi" w:hAnsiTheme="majorBidi" w:cstheme="majorBidi"/>
        </w:rPr>
      </w:pPr>
      <w:r w:rsidRPr="005C179C">
        <w:rPr>
          <w:rFonts w:asciiTheme="majorBidi" w:hAnsiTheme="majorBidi" w:cstheme="majorBidi"/>
        </w:rPr>
        <w:lastRenderedPageBreak/>
        <w:t>Analysis</w:t>
      </w:r>
    </w:p>
    <w:p w:rsidR="00EB2B18" w:rsidRPr="005C179C" w:rsidRDefault="007848F8" w:rsidP="005C5C87">
      <w:pPr>
        <w:spacing w:line="360" w:lineRule="auto"/>
        <w:jc w:val="both"/>
        <w:rPr>
          <w:rFonts w:asciiTheme="majorBidi" w:hAnsiTheme="majorBidi" w:cstheme="majorBidi"/>
        </w:rPr>
      </w:pPr>
      <w:r w:rsidRPr="005C179C">
        <w:rPr>
          <w:rFonts w:asciiTheme="majorBidi" w:hAnsiTheme="majorBidi" w:cstheme="majorBidi"/>
        </w:rPr>
        <w:tab/>
        <w:t>We analyze 39 actual portfolios that were held by the providence funds on December 31</w:t>
      </w:r>
      <w:r w:rsidRPr="005C179C">
        <w:rPr>
          <w:rFonts w:asciiTheme="majorBidi" w:hAnsiTheme="majorBidi" w:cstheme="majorBidi"/>
          <w:vertAlign w:val="superscript"/>
        </w:rPr>
        <w:t>st</w:t>
      </w:r>
      <w:r w:rsidRPr="005C179C">
        <w:rPr>
          <w:rFonts w:asciiTheme="majorBidi" w:hAnsiTheme="majorBidi" w:cstheme="majorBidi"/>
        </w:rPr>
        <w:t xml:space="preserve">, 2004. We use the adjusted Nelson-Siegel (21987) valuation model on each portfolio in order to receive a specific valuation. Each portfolio is the one reported by each fund in a specific week between November 2004 and March 2005. The portfolios constitute a sample, taken from all types of managing corporations: banks, insurance companies and private institutions.  Panels B and C of Table 1 (in the Appendix) summarize the Non Tradable Assets in the sample: </w:t>
      </w:r>
    </w:p>
    <w:p w:rsidR="00EB2B18" w:rsidRPr="005C179C" w:rsidRDefault="007848F8" w:rsidP="005C5C87">
      <w:pPr>
        <w:spacing w:line="360" w:lineRule="auto"/>
        <w:jc w:val="both"/>
        <w:rPr>
          <w:rFonts w:asciiTheme="majorBidi" w:hAnsiTheme="majorBidi" w:cstheme="majorBidi"/>
        </w:rPr>
      </w:pPr>
      <w:r w:rsidRPr="005C179C">
        <w:rPr>
          <w:rFonts w:asciiTheme="majorBidi" w:hAnsiTheme="majorBidi" w:cstheme="majorBidi"/>
        </w:rPr>
        <w:t>If the sample of the funds represents the full span</w:t>
      </w:r>
      <w:r w:rsidRPr="005C179C">
        <w:rPr>
          <w:sz w:val="28"/>
          <w:szCs w:val="28"/>
        </w:rPr>
        <w:fldChar w:fldCharType="begin"/>
      </w:r>
      <w:r w:rsidRPr="005C179C">
        <w:rPr>
          <w:sz w:val="28"/>
          <w:szCs w:val="28"/>
        </w:rPr>
        <w:fldChar w:fldCharType="separate"/>
      </w:r>
      <w:r w:rsidR="000A5045" w:rsidRPr="005C179C">
        <w:rPr>
          <w:rFonts w:asciiTheme="majorBidi" w:hAnsiTheme="majorBidi" w:cstheme="majorBidi"/>
          <w:noProof/>
          <w:vertAlign w:val="subscript"/>
        </w:rPr>
        <w:drawing>
          <wp:inline distT="0" distB="0" distL="0" distR="0">
            <wp:extent cx="495300" cy="190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495300" cy="190500"/>
                    </a:xfrm>
                    <a:prstGeom prst="rect">
                      <a:avLst/>
                    </a:prstGeom>
                    <a:noFill/>
                    <a:ln w="9525">
                      <a:noFill/>
                      <a:miter lim="800000"/>
                      <a:headEnd/>
                      <a:tailEnd/>
                    </a:ln>
                  </pic:spPr>
                </pic:pic>
              </a:graphicData>
            </a:graphic>
          </wp:inline>
        </w:drawing>
      </w:r>
      <w:r w:rsidRPr="005C179C">
        <w:rPr>
          <w:sz w:val="28"/>
          <w:szCs w:val="28"/>
        </w:rPr>
        <w:fldChar w:fldCharType="end"/>
      </w:r>
      <w:r w:rsidRPr="005C179C">
        <w:rPr>
          <w:rFonts w:asciiTheme="majorBidi" w:hAnsiTheme="majorBidi" w:cstheme="majorBidi"/>
        </w:rPr>
        <w:t xml:space="preserve"> </w:t>
      </w:r>
      <w:r w:rsidRPr="005C179C">
        <w:rPr>
          <w:rFonts w:asciiTheme="majorBidi" w:hAnsiTheme="majorBidi" w:cstheme="majorBidi"/>
        </w:rPr>
        <w:fldChar w:fldCharType="begin"/>
      </w:r>
      <w:r w:rsidRPr="005C179C">
        <w:rPr>
          <w:rFonts w:asciiTheme="majorBidi" w:hAnsiTheme="majorBidi" w:cstheme="majorBidi"/>
        </w:rPr>
        <w:instrText xml:space="preserve"> QUOTE </w:instrText>
      </w:r>
      <w:r w:rsidR="000A5045" w:rsidRPr="005C179C">
        <w:rPr>
          <w:rFonts w:asciiTheme="majorBidi" w:hAnsiTheme="majorBidi" w:cstheme="majorBidi"/>
          <w:noProof/>
        </w:rPr>
        <w:drawing>
          <wp:inline distT="0" distB="0" distL="0" distR="0">
            <wp:extent cx="466725" cy="14287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466725" cy="142875"/>
                    </a:xfrm>
                    <a:prstGeom prst="rect">
                      <a:avLst/>
                    </a:prstGeom>
                    <a:noFill/>
                    <a:ln w="9525">
                      <a:noFill/>
                      <a:miter lim="800000"/>
                      <a:headEnd/>
                      <a:tailEnd/>
                    </a:ln>
                  </pic:spPr>
                </pic:pic>
              </a:graphicData>
            </a:graphic>
          </wp:inline>
        </w:drawing>
      </w:r>
      <w:r w:rsidRPr="005C179C">
        <w:rPr>
          <w:rFonts w:asciiTheme="majorBidi" w:hAnsiTheme="majorBidi" w:cstheme="majorBidi"/>
        </w:rPr>
        <w:instrText xml:space="preserve"> </w:instrText>
      </w:r>
      <w:r w:rsidRPr="005C179C">
        <w:rPr>
          <w:rFonts w:asciiTheme="majorBidi" w:hAnsiTheme="majorBidi" w:cstheme="majorBidi"/>
        </w:rPr>
        <w:fldChar w:fldCharType="separate"/>
      </w:r>
      <m:oMath>
        <m:r>
          <m:rPr>
            <m:sty m:val="p"/>
          </m:rPr>
          <w:rPr>
            <w:rFonts w:ascii="Cambria Math" w:hAnsiTheme="majorBidi" w:cstheme="majorBidi"/>
          </w:rPr>
          <m:t>(</m:t>
        </m:r>
        <m:r>
          <m:rPr>
            <m:sty m:val="p"/>
          </m:rPr>
          <w:rPr>
            <w:rFonts w:ascii="Cambria Math" w:hAnsi="Cambria Math" w:cstheme="majorBidi"/>
          </w:rPr>
          <m:t>n∈N</m:t>
        </m:r>
        <m:r>
          <m:rPr>
            <m:sty m:val="p"/>
          </m:rPr>
          <w:rPr>
            <w:rFonts w:ascii="Cambria Math" w:hAnsiTheme="majorBidi" w:cstheme="majorBidi"/>
          </w:rPr>
          <m:t>)</m:t>
        </m:r>
      </m:oMath>
      <w:r w:rsidRPr="005C179C">
        <w:rPr>
          <w:rFonts w:asciiTheme="majorBidi" w:hAnsiTheme="majorBidi" w:cstheme="majorBidi"/>
        </w:rPr>
        <w:fldChar w:fldCharType="end"/>
      </w:r>
      <w:r w:rsidRPr="005C179C">
        <w:rPr>
          <w:rFonts w:asciiTheme="majorBidi" w:hAnsiTheme="majorBidi" w:cstheme="majorBidi"/>
        </w:rPr>
        <w:t xml:space="preserve"> and NTR is not an endogenous variable, then:</w:t>
      </w:r>
    </w:p>
    <w:p w:rsidR="00EB2B18" w:rsidRPr="005C179C" w:rsidRDefault="007848F8" w:rsidP="005C5C87">
      <w:pPr>
        <w:spacing w:line="360" w:lineRule="auto"/>
        <w:jc w:val="both"/>
        <w:rPr>
          <w:rFonts w:asciiTheme="majorBidi" w:hAnsiTheme="majorBidi" w:cstheme="majorBidi"/>
          <w:i/>
          <w:iCs/>
        </w:rPr>
      </w:pPr>
      <w:r w:rsidRPr="005C179C">
        <w:rPr>
          <w:rFonts w:asciiTheme="majorBidi" w:hAnsiTheme="majorBidi" w:cstheme="majorBidi"/>
        </w:rPr>
        <w:tab/>
        <w:t>(1)</w:t>
      </w:r>
      <w:r w:rsidRPr="005C179C">
        <w:rPr>
          <w:rFonts w:asciiTheme="majorBidi" w:hAnsiTheme="majorBidi" w:cstheme="majorBidi"/>
          <w:i/>
          <w:iCs/>
        </w:rPr>
        <w:t xml:space="preserve"> The distribution of </w:t>
      </w:r>
      <w:r w:rsidRPr="005C179C">
        <w:rPr>
          <w:rFonts w:asciiTheme="majorBidi" w:hAnsiTheme="majorBidi" w:cstheme="majorBidi"/>
        </w:rPr>
        <w:t>n</w:t>
      </w:r>
      <w:r w:rsidRPr="005C179C">
        <w:rPr>
          <w:rFonts w:asciiTheme="majorBidi" w:hAnsiTheme="majorBidi" w:cstheme="majorBidi"/>
          <w:i/>
          <w:iCs/>
        </w:rPr>
        <w:t xml:space="preserve"> over NTR does not significantly differ from the distribution of N over NTR.</w:t>
      </w:r>
    </w:p>
    <w:p w:rsidR="00EB2B18" w:rsidRPr="005C179C" w:rsidRDefault="007848F8" w:rsidP="005C179C">
      <w:pPr>
        <w:spacing w:line="360" w:lineRule="auto"/>
        <w:ind w:firstLine="720"/>
        <w:jc w:val="both"/>
        <w:rPr>
          <w:rFonts w:asciiTheme="majorBidi" w:hAnsiTheme="majorBidi" w:cstheme="majorBidi"/>
        </w:rPr>
      </w:pPr>
      <w:r w:rsidRPr="005C179C">
        <w:rPr>
          <w:rFonts w:asciiTheme="majorBidi" w:hAnsiTheme="majorBidi" w:cstheme="majorBidi"/>
        </w:rPr>
        <w:t xml:space="preserve">(2) </w:t>
      </w:r>
      <w:r w:rsidRPr="005C179C">
        <w:rPr>
          <w:rFonts w:asciiTheme="majorBidi" w:hAnsiTheme="majorBidi" w:cstheme="majorBidi"/>
          <w:i/>
          <w:iCs/>
        </w:rPr>
        <w:t>There is no correlation between the percentage of NTR</w:t>
      </w:r>
      <w:r w:rsidR="005C179C">
        <w:rPr>
          <w:rFonts w:asciiTheme="majorBidi" w:hAnsiTheme="majorBidi" w:cstheme="majorBidi"/>
          <w:i/>
          <w:iCs/>
        </w:rPr>
        <w:t xml:space="preserve"> </w:t>
      </w:r>
      <w:r w:rsidRPr="005C179C">
        <w:rPr>
          <w:rFonts w:asciiTheme="majorBidi" w:hAnsiTheme="majorBidi" w:cstheme="majorBidi"/>
          <w:i/>
          <w:iCs/>
        </w:rPr>
        <w:t>and the valuation difference (FV-AV).</w:t>
      </w:r>
    </w:p>
    <w:p w:rsidR="00EB2B18" w:rsidRPr="005C179C" w:rsidRDefault="007848F8" w:rsidP="005C5C87">
      <w:pPr>
        <w:spacing w:line="360" w:lineRule="auto"/>
        <w:jc w:val="both"/>
        <w:rPr>
          <w:rFonts w:asciiTheme="majorBidi" w:hAnsiTheme="majorBidi" w:cstheme="majorBidi"/>
        </w:rPr>
      </w:pPr>
      <w:r w:rsidRPr="005C179C">
        <w:rPr>
          <w:rFonts w:asciiTheme="majorBidi" w:hAnsiTheme="majorBidi" w:cstheme="majorBidi"/>
        </w:rPr>
        <w:t xml:space="preserve">Applying distribution tests, we find that (1) cannot be rejected </w:t>
      </w:r>
      <w:r w:rsidRPr="005C179C">
        <w:rPr>
          <w:rFonts w:asciiTheme="majorBidi" w:hAnsiTheme="majorBidi" w:cstheme="majorBidi"/>
        </w:rPr>
        <w:fldChar w:fldCharType="begin"/>
      </w:r>
      <w:r w:rsidRPr="005C179C">
        <w:rPr>
          <w:rFonts w:asciiTheme="majorBidi" w:hAnsiTheme="majorBidi" w:cstheme="majorBidi"/>
        </w:rPr>
        <w:instrText xml:space="preserve"> QUOTE </w:instrText>
      </w:r>
      <w:r w:rsidR="000A5045" w:rsidRPr="005C179C">
        <w:rPr>
          <w:rFonts w:asciiTheme="majorBidi" w:hAnsiTheme="majorBidi" w:cstheme="majorBidi"/>
          <w:noProof/>
        </w:rPr>
        <w:drawing>
          <wp:inline distT="0" distB="0" distL="0" distR="0">
            <wp:extent cx="885825" cy="800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885825" cy="800100"/>
                    </a:xfrm>
                    <a:prstGeom prst="rect">
                      <a:avLst/>
                    </a:prstGeom>
                    <a:noFill/>
                    <a:ln w="9525">
                      <a:noFill/>
                      <a:miter lim="800000"/>
                      <a:headEnd/>
                      <a:tailEnd/>
                    </a:ln>
                  </pic:spPr>
                </pic:pic>
              </a:graphicData>
            </a:graphic>
          </wp:inline>
        </w:drawing>
      </w:r>
      <w:r w:rsidRPr="005C179C">
        <w:rPr>
          <w:rFonts w:asciiTheme="majorBidi" w:hAnsiTheme="majorBidi" w:cstheme="majorBidi"/>
        </w:rPr>
        <w:instrText xml:space="preserve"> </w:instrText>
      </w:r>
      <w:r w:rsidRPr="005C179C">
        <w:rPr>
          <w:rFonts w:asciiTheme="majorBidi" w:hAnsiTheme="majorBidi" w:cstheme="majorBidi"/>
        </w:rPr>
        <w:fldChar w:fldCharType="end"/>
      </w:r>
      <w:r w:rsidRPr="005C179C">
        <w:rPr>
          <w:rFonts w:asciiTheme="majorBidi" w:hAnsiTheme="majorBidi" w:cstheme="majorBidi"/>
        </w:rPr>
        <w:t xml:space="preserve"> over NTR in 2004</w:t>
      </w:r>
      <m:oMath>
        <m:r>
          <w:rPr>
            <w:rFonts w:ascii="Cambria Math" w:hAnsiTheme="majorBidi" w:cstheme="majorBidi"/>
          </w:rPr>
          <m:t>(</m:t>
        </m:r>
        <m:r>
          <w:rPr>
            <w:rFonts w:ascii="Cambria Math" w:hAnsi="Cambria Math" w:cstheme="majorBidi"/>
          </w:rPr>
          <m:t>P</m:t>
        </m:r>
        <m:r>
          <w:rPr>
            <w:rFonts w:ascii="Cambria Math" w:hAnsiTheme="majorBidi" w:cstheme="majorBidi"/>
          </w:rPr>
          <m:t xml:space="preserve"> = 0.015)</m:t>
        </m:r>
      </m:oMath>
      <w:r w:rsidRPr="005C179C">
        <w:rPr>
          <w:rFonts w:asciiTheme="majorBidi" w:hAnsiTheme="majorBidi" w:cstheme="majorBidi"/>
        </w:rPr>
        <w:t xml:space="preserve">. Neither can (2) be rejected. There is no significant correlation </w:t>
      </w:r>
      <w:r w:rsidRPr="005C179C">
        <w:rPr>
          <w:rFonts w:asciiTheme="majorBidi" w:hAnsiTheme="majorBidi" w:cstheme="majorBidi"/>
        </w:rPr>
        <w:fldChar w:fldCharType="begin"/>
      </w:r>
      <w:r w:rsidRPr="005C179C">
        <w:rPr>
          <w:rFonts w:asciiTheme="majorBidi" w:hAnsiTheme="majorBidi" w:cstheme="majorBidi"/>
        </w:rPr>
        <w:instrText xml:space="preserve"> QUOTE </w:instrText>
      </w:r>
      <w:r w:rsidR="000A5045" w:rsidRPr="005C179C">
        <w:rPr>
          <w:rFonts w:asciiTheme="majorBidi" w:hAnsiTheme="majorBidi" w:cstheme="majorBidi"/>
          <w:noProof/>
        </w:rPr>
        <w:drawing>
          <wp:inline distT="0" distB="0" distL="0" distR="0">
            <wp:extent cx="809625" cy="800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809625" cy="800100"/>
                    </a:xfrm>
                    <a:prstGeom prst="rect">
                      <a:avLst/>
                    </a:prstGeom>
                    <a:noFill/>
                    <a:ln w="9525">
                      <a:noFill/>
                      <a:miter lim="800000"/>
                      <a:headEnd/>
                      <a:tailEnd/>
                    </a:ln>
                  </pic:spPr>
                </pic:pic>
              </a:graphicData>
            </a:graphic>
          </wp:inline>
        </w:drawing>
      </w:r>
      <w:r w:rsidRPr="005C179C">
        <w:rPr>
          <w:rFonts w:asciiTheme="majorBidi" w:hAnsiTheme="majorBidi" w:cstheme="majorBidi"/>
        </w:rPr>
        <w:instrText xml:space="preserve"> </w:instrText>
      </w:r>
      <w:r w:rsidRPr="005C179C">
        <w:rPr>
          <w:rFonts w:asciiTheme="majorBidi" w:hAnsiTheme="majorBidi" w:cstheme="majorBidi"/>
        </w:rPr>
        <w:fldChar w:fldCharType="end"/>
      </w:r>
      <w:r w:rsidRPr="005C179C">
        <w:rPr>
          <w:rFonts w:asciiTheme="majorBidi" w:hAnsiTheme="majorBidi" w:cstheme="majorBidi"/>
        </w:rPr>
        <w:t xml:space="preserve"> </w:t>
      </w:r>
      <m:oMath>
        <m:r>
          <w:rPr>
            <w:rFonts w:ascii="Cambria Math" w:hAnsiTheme="majorBidi" w:cstheme="majorBidi"/>
          </w:rPr>
          <m:t>(</m:t>
        </m:r>
        <m:r>
          <w:rPr>
            <w:rFonts w:ascii="Cambria Math" w:hAnsi="Cambria Math" w:cstheme="majorBidi"/>
          </w:rPr>
          <m:t>P</m:t>
        </m:r>
        <m:r>
          <w:rPr>
            <w:rFonts w:ascii="Cambria Math" w:hAnsiTheme="majorBidi" w:cstheme="majorBidi"/>
          </w:rPr>
          <m:t xml:space="preserve"> = 0.74)</m:t>
        </m:r>
      </m:oMath>
      <w:r w:rsidRPr="005C179C">
        <w:rPr>
          <w:rFonts w:asciiTheme="majorBidi" w:hAnsiTheme="majorBidi" w:cstheme="majorBidi"/>
        </w:rPr>
        <w:t xml:space="preserve">between NTR and (FV-AV). The possibility that our sample may be biased in terms of the percentage of NTR assets, which are held by each fund, is irrelevant. There is no correlation between the valuation difference and the NTR percentage. We can assume that the higher the percentage of the NTR is in the portfolio, the higher is the difference in valuation. Table 3 summarizes the effect of the Nelson-Siegel valuation; we display the revaluations of   April 2005 and August 2005 as made over the 39 Non Tradable portfolios. </w:t>
      </w:r>
    </w:p>
    <w:p w:rsidR="00EB2B18" w:rsidRPr="005C179C" w:rsidRDefault="007848F8" w:rsidP="005C5C87">
      <w:pPr>
        <w:spacing w:line="360" w:lineRule="auto"/>
        <w:jc w:val="both"/>
        <w:rPr>
          <w:rFonts w:asciiTheme="majorBidi" w:hAnsiTheme="majorBidi" w:cstheme="majorBidi"/>
        </w:rPr>
      </w:pPr>
      <w:r w:rsidRPr="005C179C">
        <w:rPr>
          <w:rFonts w:asciiTheme="majorBidi" w:hAnsiTheme="majorBidi" w:cstheme="majorBidi"/>
        </w:rPr>
        <w:t xml:space="preserve">Note the differences in the scale of effect between the revaluation of April 2005 and that of August 2005. The average change in August 2005 is only about a fifth (20.6%) of the April effect. We find four plausible reasons for the low and insignificant August effect: The value of NTR that was issued before 2003 is only a third of the total value of 2005 NTR portfolios. A large proportion (26.4% value weighted) of the NTR that was issued before 2003 is the </w:t>
      </w:r>
      <w:r w:rsidRPr="005C179C">
        <w:rPr>
          <w:rFonts w:asciiTheme="majorBidi" w:hAnsiTheme="majorBidi" w:cstheme="majorBidi"/>
          <w:i/>
          <w:iCs/>
        </w:rPr>
        <w:t>Designated Bonds,</w:t>
      </w:r>
      <w:r w:rsidRPr="005C179C">
        <w:rPr>
          <w:rFonts w:asciiTheme="majorBidi" w:hAnsiTheme="majorBidi" w:cstheme="majorBidi"/>
        </w:rPr>
        <w:t xml:space="preserve"> which were issued by the government for the pension funds only at low interest, bringing us what appears at first sight as perplexing, but is quite in tune with reason in </w:t>
      </w:r>
      <w:r w:rsidRPr="005C179C">
        <w:rPr>
          <w:rFonts w:asciiTheme="majorBidi" w:hAnsiTheme="majorBidi" w:cstheme="majorBidi"/>
          <w:i/>
          <w:iCs/>
        </w:rPr>
        <w:t xml:space="preserve">this here </w:t>
      </w:r>
      <w:r w:rsidRPr="005C179C">
        <w:rPr>
          <w:rFonts w:asciiTheme="majorBidi" w:hAnsiTheme="majorBidi" w:cstheme="majorBidi"/>
        </w:rPr>
        <w:t>specific facts, namely, that their accrued value did not differ much from their fair value. Among the corporate bonds, issued prior to 2003, there are significantly fewer (6.7% value weighted) SPC bonds in comparison with the period of 2003-2005 (i.e., 19% value weighted on August 2005.</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t>On August 2005, when the second stage of fair value has started, RBT added a 25bp flat premium on corporate published yields. The premium negatively affects the Fair Value effect. In terms of information, we can say that even though the model’s implementation had two stages, except for a minor acknowledgment after August 1</w:t>
      </w:r>
      <w:r w:rsidRPr="005C179C">
        <w:rPr>
          <w:rFonts w:asciiTheme="majorBidi" w:hAnsiTheme="majorBidi" w:cstheme="majorBidi"/>
          <w:vertAlign w:val="superscript"/>
        </w:rPr>
        <w:t xml:space="preserve">st, </w:t>
      </w:r>
      <w:r w:rsidRPr="005C179C">
        <w:rPr>
          <w:rFonts w:asciiTheme="majorBidi" w:hAnsiTheme="majorBidi" w:cstheme="majorBidi"/>
        </w:rPr>
        <w:t xml:space="preserve">  the mass media turned a blind eye to the second stage of the implantation.  . Therefore, we expect to see a limited or even no effect at all on the FoF immediately after August 2005. Indeed, figures A and B demonstrate that no unique event is marked. It is also verified statistically. The main hypothesis of our work is that informed investors make rational financial decisions. </w:t>
      </w:r>
      <w:r w:rsidRPr="005C179C">
        <w:rPr>
          <w:rFonts w:asciiTheme="majorBidi" w:hAnsiTheme="majorBidi" w:cstheme="majorBidi"/>
        </w:rPr>
        <w:lastRenderedPageBreak/>
        <w:t>Accordingly, if the unique environment of the analyzed event is given, then we consider a set of distinct hypotheses:</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i/>
          <w:iCs/>
        </w:rPr>
        <w:t>Efficiency &amp; Rationality (E&amp;R)</w:t>
      </w:r>
      <w:r w:rsidRPr="005C179C">
        <w:rPr>
          <w:rFonts w:asciiTheme="majorBidi" w:hAnsiTheme="majorBidi" w:cstheme="majorBidi"/>
        </w:rPr>
        <w:t xml:space="preserve"> – Providence fund investors retrieve private information during the implementation of the fair value model, and they act accordingly, an informed and rational action that can provide them with risk-free rent. It is important to note that the E&amp;R hypothesis tests a </w:t>
      </w:r>
      <w:r w:rsidRPr="005C179C">
        <w:rPr>
          <w:rFonts w:asciiTheme="majorBidi" w:hAnsiTheme="majorBidi" w:cstheme="majorBidi"/>
          <w:i/>
          <w:iCs/>
        </w:rPr>
        <w:t>joint hypothesis</w:t>
      </w:r>
      <w:r w:rsidRPr="005C179C">
        <w:rPr>
          <w:rFonts w:asciiTheme="majorBidi" w:hAnsiTheme="majorBidi" w:cstheme="majorBidi"/>
        </w:rPr>
        <w:t>:</w:t>
      </w:r>
    </w:p>
    <w:p w:rsidR="00EB2B18" w:rsidRPr="005C179C" w:rsidRDefault="007848F8" w:rsidP="005C5C87">
      <w:pPr>
        <w:spacing w:line="360" w:lineRule="auto"/>
        <w:ind w:firstLine="720"/>
        <w:jc w:val="both"/>
        <w:rPr>
          <w:rFonts w:asciiTheme="majorBidi" w:hAnsiTheme="majorBidi" w:cstheme="majorBidi"/>
          <w:i/>
          <w:iCs/>
        </w:rPr>
      </w:pPr>
      <w:r w:rsidRPr="005C179C">
        <w:rPr>
          <w:rFonts w:asciiTheme="majorBidi" w:hAnsiTheme="majorBidi" w:cstheme="majorBidi"/>
          <w:b/>
          <w:bCs/>
        </w:rPr>
        <w:t>H1</w:t>
      </w:r>
      <w:r w:rsidRPr="005C179C">
        <w:rPr>
          <w:rFonts w:asciiTheme="majorBidi" w:hAnsiTheme="majorBidi" w:cstheme="majorBidi"/>
        </w:rPr>
        <w:t>:</w:t>
      </w:r>
      <w:r w:rsidRPr="005C179C">
        <w:rPr>
          <w:rFonts w:asciiTheme="majorBidi" w:hAnsiTheme="majorBidi" w:cstheme="majorBidi"/>
          <w:i/>
          <w:iCs/>
        </w:rPr>
        <w:t xml:space="preserve"> Market efficiency is semi-strong. </w:t>
      </w:r>
    </w:p>
    <w:p w:rsidR="00EB2B18" w:rsidRPr="005C179C" w:rsidRDefault="007848F8" w:rsidP="005C5C87">
      <w:pPr>
        <w:spacing w:line="360" w:lineRule="auto"/>
        <w:ind w:left="720"/>
        <w:jc w:val="both"/>
        <w:rPr>
          <w:rFonts w:asciiTheme="majorBidi" w:hAnsiTheme="majorBidi" w:cstheme="majorBidi"/>
          <w:i/>
          <w:iCs/>
        </w:rPr>
      </w:pPr>
      <w:r w:rsidRPr="005C179C">
        <w:rPr>
          <w:rFonts w:asciiTheme="majorBidi" w:hAnsiTheme="majorBidi" w:cstheme="majorBidi"/>
          <w:b/>
          <w:bCs/>
        </w:rPr>
        <w:t>H2</w:t>
      </w:r>
      <w:r w:rsidRPr="005C179C">
        <w:rPr>
          <w:rFonts w:asciiTheme="majorBidi" w:hAnsiTheme="majorBidi" w:cstheme="majorBidi"/>
        </w:rPr>
        <w:t>:</w:t>
      </w:r>
      <w:r w:rsidRPr="005C179C">
        <w:rPr>
          <w:rFonts w:asciiTheme="majorBidi" w:hAnsiTheme="majorBidi" w:cstheme="majorBidi"/>
          <w:i/>
          <w:iCs/>
        </w:rPr>
        <w:t xml:space="preserve"> There is a significant cluster of rational agents (immediately prior to the   event).</w:t>
      </w:r>
    </w:p>
    <w:p w:rsidR="00EB2B18" w:rsidRPr="005C179C" w:rsidRDefault="007848F8" w:rsidP="005C5C87">
      <w:pPr>
        <w:spacing w:line="360" w:lineRule="auto"/>
        <w:ind w:firstLine="720"/>
        <w:jc w:val="both"/>
        <w:rPr>
          <w:rFonts w:asciiTheme="majorBidi" w:hAnsiTheme="majorBidi" w:cstheme="majorBidi"/>
          <w:i/>
          <w:iCs/>
        </w:rPr>
      </w:pPr>
      <w:r w:rsidRPr="005C179C">
        <w:rPr>
          <w:rFonts w:asciiTheme="majorBidi" w:hAnsiTheme="majorBidi" w:cstheme="majorBidi"/>
          <w:b/>
          <w:bCs/>
        </w:rPr>
        <w:t>H3</w:t>
      </w:r>
      <w:r w:rsidRPr="005C179C">
        <w:rPr>
          <w:rFonts w:asciiTheme="majorBidi" w:hAnsiTheme="majorBidi" w:cstheme="majorBidi"/>
        </w:rPr>
        <w:t>:</w:t>
      </w:r>
      <w:r w:rsidRPr="005C179C">
        <w:rPr>
          <w:rFonts w:asciiTheme="majorBidi" w:hAnsiTheme="majorBidi" w:cstheme="majorBidi"/>
          <w:i/>
          <w:iCs/>
        </w:rPr>
        <w:t xml:space="preserve"> The value of the action (delaying an act) is strictly positive.</w:t>
      </w:r>
    </w:p>
    <w:p w:rsidR="00EB2B18" w:rsidRPr="005C179C" w:rsidRDefault="007848F8" w:rsidP="005C5C87">
      <w:pPr>
        <w:spacing w:line="360" w:lineRule="auto"/>
        <w:ind w:firstLine="360"/>
        <w:jc w:val="both"/>
        <w:rPr>
          <w:rFonts w:asciiTheme="majorBidi" w:hAnsiTheme="majorBidi" w:cstheme="majorBidi"/>
        </w:rPr>
      </w:pPr>
      <w:r w:rsidRPr="005C179C">
        <w:rPr>
          <w:rFonts w:asciiTheme="majorBidi" w:hAnsiTheme="majorBidi" w:cstheme="majorBidi"/>
        </w:rPr>
        <w:t xml:space="preserve">H3 is tested independently. As we show, all the sample portfolios have a significant and strictly positive value reaction to FV’s implementation. H1 and H2 are tested simultaneously. Acceptance of the hypothesis is to say that, as a whole, all three conditions are satisfied. If H3 is satisfied and the hypothesis is not accepted, then we cannot differentiate between the two. It may be that H1, H2 or both are not satisfied. In other words, the satisfaction of both H1 </w:t>
      </w:r>
      <w:r w:rsidRPr="005C179C">
        <w:rPr>
          <w:rFonts w:asciiTheme="majorBidi" w:hAnsiTheme="majorBidi" w:cstheme="majorBidi"/>
          <w:i/>
          <w:iCs/>
        </w:rPr>
        <w:t>and</w:t>
      </w:r>
      <w:r w:rsidRPr="005C179C">
        <w:rPr>
          <w:rFonts w:asciiTheme="majorBidi" w:hAnsiTheme="majorBidi" w:cstheme="majorBidi"/>
        </w:rPr>
        <w:t xml:space="preserve"> H2 requires that agents would be rational </w:t>
      </w:r>
      <w:r w:rsidRPr="005C179C">
        <w:rPr>
          <w:rFonts w:asciiTheme="majorBidi" w:hAnsiTheme="majorBidi" w:cstheme="majorBidi"/>
          <w:i/>
          <w:iCs/>
        </w:rPr>
        <w:t>and</w:t>
      </w:r>
      <w:r w:rsidRPr="005C179C">
        <w:rPr>
          <w:rFonts w:asciiTheme="majorBidi" w:hAnsiTheme="majorBidi" w:cstheme="majorBidi"/>
        </w:rPr>
        <w:t xml:space="preserve"> informed – investors can be rational, yet lack information; or they can obtain the information, yet be bereft of the ability to use it.</w:t>
      </w:r>
    </w:p>
    <w:p w:rsidR="00EB2B18" w:rsidRPr="005C179C" w:rsidRDefault="007848F8" w:rsidP="005C5C87">
      <w:pPr>
        <w:spacing w:line="360" w:lineRule="auto"/>
        <w:ind w:firstLine="360"/>
        <w:jc w:val="both"/>
        <w:rPr>
          <w:rFonts w:asciiTheme="majorBidi" w:hAnsiTheme="majorBidi" w:cstheme="majorBidi"/>
        </w:rPr>
      </w:pPr>
      <w:r w:rsidRPr="005C179C">
        <w:rPr>
          <w:rFonts w:asciiTheme="majorBidi" w:hAnsiTheme="majorBidi" w:cstheme="majorBidi"/>
        </w:rPr>
        <w:t>Systematically nonzero abnormal security returns that persist after a particular type of event (usually a corporate event) are inconsistent with market efficiency. Event studies which focus on long-term implications of a particular event can provide key evidence regarding market efficiency (Fama, 1991). Our study is different, because the expected returns serve as endogenous variables in the model. The left-hand variable is investors’ behavior. Our database checks data over 96 monthly data points (January 1999 until December 2006) for 584 providence funds. The data for each fund includes several factors:</w:t>
      </w:r>
      <w:r w:rsidRPr="005C179C">
        <w:rPr>
          <w:rFonts w:asciiTheme="majorBidi" w:hAnsiTheme="majorBidi" w:cstheme="majorBidi"/>
          <w:i/>
          <w:iCs/>
        </w:rPr>
        <w:t xml:space="preserve"> Monthly net deposit (withdrawal); Monthly yield; Dynamic standard deviation; Total assets; Management fee; Percentage of NTR (2004 and 2005); Cluster information </w:t>
      </w:r>
      <w:r w:rsidRPr="005C179C">
        <w:rPr>
          <w:rFonts w:asciiTheme="majorBidi" w:hAnsiTheme="majorBidi" w:cstheme="majorBidi"/>
        </w:rPr>
        <w:t xml:space="preserve">regarding the "splitting" of each fund’s portfolio into government, investment-grade and non-investment grade assets; </w:t>
      </w:r>
      <w:r w:rsidRPr="005C179C">
        <w:rPr>
          <w:rFonts w:asciiTheme="majorBidi" w:hAnsiTheme="majorBidi" w:cstheme="majorBidi"/>
          <w:i/>
          <w:iCs/>
        </w:rPr>
        <w:t xml:space="preserve">Managing institution; </w:t>
      </w:r>
      <w:r w:rsidRPr="005C179C">
        <w:rPr>
          <w:rFonts w:asciiTheme="majorBidi" w:hAnsiTheme="majorBidi" w:cstheme="majorBidi"/>
        </w:rPr>
        <w:t>and</w:t>
      </w:r>
      <w:r w:rsidRPr="005C179C">
        <w:rPr>
          <w:rFonts w:asciiTheme="majorBidi" w:hAnsiTheme="majorBidi" w:cstheme="majorBidi"/>
          <w:i/>
          <w:iCs/>
        </w:rPr>
        <w:t xml:space="preserve"> Size. </w:t>
      </w:r>
      <w:r w:rsidRPr="005C179C">
        <w:rPr>
          <w:rFonts w:asciiTheme="majorBidi" w:hAnsiTheme="majorBidi" w:cstheme="majorBidi"/>
        </w:rPr>
        <w:t>Some of the data is excised. The rationale for each "filter" is as follows:</w:t>
      </w:r>
    </w:p>
    <w:p w:rsidR="00EB2B18" w:rsidRPr="005C179C" w:rsidRDefault="007848F8" w:rsidP="005C5C87">
      <w:pPr>
        <w:spacing w:line="360" w:lineRule="auto"/>
        <w:ind w:left="720"/>
        <w:jc w:val="both"/>
        <w:rPr>
          <w:rFonts w:asciiTheme="majorBidi" w:hAnsiTheme="majorBidi" w:cstheme="majorBidi"/>
        </w:rPr>
      </w:pPr>
      <w:r w:rsidRPr="005C179C">
        <w:rPr>
          <w:rFonts w:asciiTheme="majorBidi" w:hAnsiTheme="majorBidi" w:cstheme="majorBidi"/>
        </w:rPr>
        <w:t>(a) Private funds – Funds that are open only to certain depositors (e.g. funds for IDF civilian employees or for a certain agriculture sector).</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t>(b) Funds with total assets (December 2005 prices) of less than $2M.</w:t>
      </w:r>
    </w:p>
    <w:p w:rsidR="00EB2B18" w:rsidRPr="005C179C" w:rsidRDefault="007848F8" w:rsidP="005C5C87">
      <w:pPr>
        <w:spacing w:line="360" w:lineRule="auto"/>
        <w:ind w:left="720"/>
        <w:jc w:val="both"/>
        <w:rPr>
          <w:rFonts w:asciiTheme="majorBidi" w:hAnsiTheme="majorBidi" w:cstheme="majorBidi"/>
        </w:rPr>
      </w:pPr>
      <w:r w:rsidRPr="005C179C">
        <w:rPr>
          <w:rFonts w:asciiTheme="majorBidi" w:hAnsiTheme="majorBidi" w:cstheme="majorBidi"/>
        </w:rPr>
        <w:t>(c) The total sum managed by the entire industry is (December 2006 prices) $60B. After the filtering of the data, the database contained 540 providence funds with a total managed portfolio of $52B.</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t xml:space="preserve">A second method of handling the data has to do with the annuity effect. Since the tax benefits are annually compounded, investors and firms often prefer to hold actual deposits until the end of the year. The </w:t>
      </w:r>
      <w:r w:rsidRPr="005C179C">
        <w:rPr>
          <w:rFonts w:asciiTheme="majorBidi" w:hAnsiTheme="majorBidi" w:cstheme="majorBidi"/>
        </w:rPr>
        <w:lastRenderedPageBreak/>
        <w:t>December effect was stable, because the data was collected</w:t>
      </w:r>
      <w:r w:rsidRPr="005C179C">
        <w:rPr>
          <w:rStyle w:val="af3"/>
          <w:rFonts w:asciiTheme="majorBidi" w:hAnsiTheme="majorBidi" w:cstheme="majorBidi"/>
        </w:rPr>
        <w:footnoteReference w:id="8"/>
      </w:r>
      <w:r w:rsidRPr="005C179C">
        <w:rPr>
          <w:rFonts w:asciiTheme="majorBidi" w:hAnsiTheme="majorBidi" w:cstheme="majorBidi"/>
        </w:rPr>
        <w:t xml:space="preserve"> (see Figure A2). We corrected it by "rounding" each December point – dividing the December deposits minus the </w:t>
      </w:r>
      <w:r w:rsidRPr="005C179C">
        <w:rPr>
          <w:rFonts w:asciiTheme="majorBidi" w:hAnsiTheme="majorBidi" w:cstheme="majorBidi"/>
          <w:i/>
          <w:iCs/>
        </w:rPr>
        <w:t xml:space="preserve">expected </w:t>
      </w:r>
      <w:r w:rsidRPr="005C179C">
        <w:rPr>
          <w:rFonts w:asciiTheme="majorBidi" w:hAnsiTheme="majorBidi" w:cstheme="majorBidi"/>
        </w:rPr>
        <w:t>December deposits by the other eleven months of each year. We built the Expected Deposit (ED) for each fund, after doing the needed correction  for the December effect: we computed the expected net deposit, based on the average expected deposit for December 2004 and for the first quarter of 2005.</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t>There are several testable implications of the E&amp;R hypothesis:</w:t>
      </w:r>
    </w:p>
    <w:p w:rsidR="00EB2B18" w:rsidRPr="005C179C" w:rsidRDefault="007848F8" w:rsidP="005C5C87">
      <w:pPr>
        <w:spacing w:line="360" w:lineRule="auto"/>
        <w:ind w:left="720"/>
        <w:jc w:val="both"/>
        <w:rPr>
          <w:rFonts w:asciiTheme="majorBidi" w:hAnsiTheme="majorBidi" w:cstheme="majorBidi"/>
        </w:rPr>
      </w:pPr>
      <w:r w:rsidRPr="005C179C">
        <w:rPr>
          <w:rFonts w:asciiTheme="majorBidi" w:hAnsiTheme="majorBidi" w:cstheme="majorBidi"/>
          <w:b/>
          <w:bCs/>
        </w:rPr>
        <w:t>I1</w:t>
      </w:r>
      <w:r w:rsidRPr="005C179C">
        <w:rPr>
          <w:rFonts w:asciiTheme="majorBidi" w:hAnsiTheme="majorBidi" w:cstheme="majorBidi"/>
        </w:rPr>
        <w:t xml:space="preserve"> Net deposit (withdrawal), during the period in which the information was available, is significantly above the expected trend for specific clusters.</w:t>
      </w:r>
    </w:p>
    <w:p w:rsidR="00EB2B18" w:rsidRPr="005C179C" w:rsidRDefault="007848F8" w:rsidP="005C5C87">
      <w:pPr>
        <w:spacing w:line="360" w:lineRule="auto"/>
        <w:ind w:left="720"/>
        <w:jc w:val="both"/>
        <w:rPr>
          <w:rFonts w:asciiTheme="majorBidi" w:hAnsiTheme="majorBidi" w:cstheme="majorBidi"/>
        </w:rPr>
      </w:pPr>
      <w:r w:rsidRPr="005C179C">
        <w:rPr>
          <w:rFonts w:asciiTheme="majorBidi" w:hAnsiTheme="majorBidi" w:cstheme="majorBidi"/>
          <w:b/>
          <w:bCs/>
        </w:rPr>
        <w:t>I2</w:t>
      </w:r>
      <w:r w:rsidRPr="005C179C">
        <w:rPr>
          <w:rFonts w:asciiTheme="majorBidi" w:hAnsiTheme="majorBidi" w:cstheme="majorBidi"/>
        </w:rPr>
        <w:t xml:space="preserve"> Net deposit (withdrawal) is significantly below the expected trend, immediately after the implantation of FV for specific clusters.</w:t>
      </w:r>
    </w:p>
    <w:p w:rsidR="00EB2B18" w:rsidRPr="005C179C" w:rsidRDefault="007848F8" w:rsidP="005C5C87">
      <w:pPr>
        <w:spacing w:line="360" w:lineRule="auto"/>
        <w:ind w:left="720"/>
        <w:jc w:val="both"/>
        <w:rPr>
          <w:rFonts w:asciiTheme="majorBidi" w:hAnsiTheme="majorBidi" w:cstheme="majorBidi"/>
        </w:rPr>
      </w:pPr>
      <w:r w:rsidRPr="005C179C">
        <w:rPr>
          <w:rFonts w:asciiTheme="majorBidi" w:hAnsiTheme="majorBidi" w:cstheme="majorBidi"/>
          <w:b/>
          <w:bCs/>
        </w:rPr>
        <w:t>I3</w:t>
      </w:r>
      <w:r w:rsidRPr="005C179C">
        <w:rPr>
          <w:rFonts w:asciiTheme="majorBidi" w:hAnsiTheme="majorBidi" w:cstheme="majorBidi"/>
        </w:rPr>
        <w:t xml:space="preserve"> Net deposit (withdrawal) from funds with high rates of ILA in their portfolios is significantly lower than the expected trend during the period in which the information was available.</w:t>
      </w:r>
    </w:p>
    <w:p w:rsidR="00EB2B18" w:rsidRPr="005C179C" w:rsidRDefault="007848F8" w:rsidP="005C5C87">
      <w:pPr>
        <w:spacing w:line="360" w:lineRule="auto"/>
        <w:ind w:left="720"/>
        <w:jc w:val="both"/>
        <w:rPr>
          <w:rFonts w:asciiTheme="majorBidi" w:hAnsiTheme="majorBidi" w:cstheme="majorBidi"/>
        </w:rPr>
      </w:pPr>
      <w:r w:rsidRPr="005C179C">
        <w:rPr>
          <w:rFonts w:asciiTheme="majorBidi" w:hAnsiTheme="majorBidi" w:cstheme="majorBidi"/>
          <w:b/>
          <w:bCs/>
        </w:rPr>
        <w:t>I4</w:t>
      </w:r>
      <w:r w:rsidRPr="005C179C">
        <w:rPr>
          <w:rFonts w:asciiTheme="majorBidi" w:hAnsiTheme="majorBidi" w:cstheme="majorBidi"/>
        </w:rPr>
        <w:t xml:space="preserve"> Net deposit (withdrawal) from funds with high rates of NTR in their portfolios is significantly higher than expected, immediately after the implementation of FV.</w:t>
      </w:r>
    </w:p>
    <w:p w:rsidR="00EB2B18" w:rsidRPr="005C179C" w:rsidRDefault="007848F8" w:rsidP="005C5C87">
      <w:pPr>
        <w:spacing w:line="360" w:lineRule="auto"/>
        <w:ind w:left="720"/>
        <w:jc w:val="both"/>
        <w:rPr>
          <w:rFonts w:asciiTheme="majorBidi" w:hAnsiTheme="majorBidi" w:cstheme="majorBidi"/>
        </w:rPr>
      </w:pPr>
      <w:r w:rsidRPr="005C179C">
        <w:rPr>
          <w:rFonts w:asciiTheme="majorBidi" w:hAnsiTheme="majorBidi" w:cstheme="majorBidi"/>
        </w:rPr>
        <w:t>Additional testable and rational implications arise from the work of Del Guercio and Tkac (2008), the most important of which, for our specific interest, is:</w:t>
      </w:r>
    </w:p>
    <w:p w:rsidR="00EB2B18" w:rsidRPr="005C179C" w:rsidRDefault="007848F8" w:rsidP="005C5C87">
      <w:pPr>
        <w:spacing w:line="360" w:lineRule="auto"/>
        <w:ind w:left="720"/>
        <w:jc w:val="both"/>
        <w:rPr>
          <w:rFonts w:asciiTheme="majorBidi" w:hAnsiTheme="majorBidi" w:cstheme="majorBidi"/>
        </w:rPr>
      </w:pPr>
      <w:r w:rsidRPr="005C179C">
        <w:rPr>
          <w:rFonts w:asciiTheme="majorBidi" w:hAnsiTheme="majorBidi" w:cstheme="majorBidi"/>
          <w:b/>
          <w:bCs/>
        </w:rPr>
        <w:t>I5</w:t>
      </w:r>
      <w:r w:rsidRPr="005C179C">
        <w:rPr>
          <w:rFonts w:asciiTheme="majorBidi" w:hAnsiTheme="majorBidi" w:cstheme="majorBidi"/>
        </w:rPr>
        <w:t xml:space="preserve"> Investors in pension funds show significant reaction to risk-adjusted returns rather than to raw returns.</w:t>
      </w:r>
    </w:p>
    <w:p w:rsidR="00EB2B18" w:rsidRPr="005C179C" w:rsidRDefault="00EB2B18" w:rsidP="005C5C87">
      <w:pPr>
        <w:widowControl/>
        <w:snapToGrid/>
        <w:spacing w:after="0" w:line="360" w:lineRule="auto"/>
        <w:rPr>
          <w:rFonts w:asciiTheme="majorBidi" w:hAnsiTheme="majorBidi" w:cstheme="majorBidi"/>
          <w:b/>
          <w:bCs/>
          <w:sz w:val="28"/>
          <w:szCs w:val="28"/>
          <w:lang w:eastAsia="he-IL"/>
        </w:rPr>
      </w:pP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t>We now test the hypothesis that though investors do not directly cognizant of NTR, they are still biased to the level of NTR by other variables, which are more easily observed. We checked it for variables that use to appear in ads and the media.</w:t>
      </w:r>
    </w:p>
    <w:p w:rsidR="00EB2B18" w:rsidRPr="005C179C" w:rsidRDefault="007848F8" w:rsidP="005C5C87">
      <w:pPr>
        <w:spacing w:line="360" w:lineRule="auto"/>
        <w:jc w:val="both"/>
        <w:rPr>
          <w:rFonts w:asciiTheme="majorBidi" w:hAnsiTheme="majorBidi" w:cstheme="majorBidi"/>
        </w:rPr>
      </w:pPr>
      <w:r w:rsidRPr="005C179C">
        <w:rPr>
          <w:rFonts w:asciiTheme="majorBidi" w:hAnsiTheme="majorBidi" w:cstheme="majorBidi"/>
          <w:b/>
          <w:bCs/>
        </w:rPr>
        <w:t>I6</w:t>
      </w:r>
      <w:r w:rsidRPr="005C179C">
        <w:rPr>
          <w:rFonts w:asciiTheme="majorBidi" w:hAnsiTheme="majorBidi" w:cstheme="majorBidi"/>
        </w:rPr>
        <w:t xml:space="preserve">: </w:t>
      </w:r>
      <w:r w:rsidRPr="005C179C">
        <w:rPr>
          <w:rFonts w:asciiTheme="majorBidi" w:hAnsiTheme="majorBidi" w:cstheme="majorBidi"/>
          <w:iCs/>
        </w:rPr>
        <w:t>Clustered bias</w:t>
      </w:r>
      <w:r w:rsidRPr="005C179C">
        <w:rPr>
          <w:rFonts w:asciiTheme="majorBidi" w:hAnsiTheme="majorBidi" w:cstheme="majorBidi"/>
        </w:rPr>
        <w:t xml:space="preserve"> – H1 is valid, yet investors significantly value other variables (such as the cluster of the holding corporation).</w:t>
      </w:r>
    </w:p>
    <w:p w:rsidR="00EB2B18" w:rsidRPr="005C179C" w:rsidRDefault="007848F8" w:rsidP="005C5C87">
      <w:pPr>
        <w:spacing w:line="360" w:lineRule="auto"/>
        <w:jc w:val="both"/>
        <w:rPr>
          <w:rFonts w:asciiTheme="majorBidi" w:hAnsiTheme="majorBidi" w:cstheme="majorBidi"/>
        </w:rPr>
      </w:pPr>
      <w:r w:rsidRPr="005C179C">
        <w:rPr>
          <w:rFonts w:asciiTheme="majorBidi" w:hAnsiTheme="majorBidi" w:cstheme="majorBidi"/>
          <w:b/>
          <w:bCs/>
        </w:rPr>
        <w:t>I7</w:t>
      </w:r>
      <w:r w:rsidRPr="005C179C">
        <w:rPr>
          <w:rFonts w:asciiTheme="majorBidi" w:hAnsiTheme="majorBidi" w:cstheme="majorBidi"/>
        </w:rPr>
        <w:t xml:space="preserve">: </w:t>
      </w:r>
      <w:r w:rsidRPr="005C179C">
        <w:rPr>
          <w:rFonts w:asciiTheme="majorBidi" w:hAnsiTheme="majorBidi" w:cstheme="majorBidi"/>
          <w:iCs/>
        </w:rPr>
        <w:t>Seemingly irrelevant bias</w:t>
      </w:r>
      <w:r w:rsidRPr="005C179C">
        <w:rPr>
          <w:rFonts w:asciiTheme="majorBidi" w:hAnsiTheme="majorBidi" w:cstheme="majorBidi"/>
        </w:rPr>
        <w:t xml:space="preserve"> – H1 is valid, yet investors significantly value size, novelty, etc.</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t xml:space="preserve">The left-hand variable was created by using SUR modeling. The explainable variable is the FoF </w:t>
      </w:r>
      <w:r w:rsidRPr="005C179C">
        <w:rPr>
          <w:rFonts w:asciiTheme="majorBidi" w:hAnsiTheme="majorBidi" w:cstheme="majorBidi"/>
        </w:rPr>
        <w:fldChar w:fldCharType="begin"/>
      </w:r>
      <w:r w:rsidRPr="005C179C">
        <w:rPr>
          <w:rFonts w:asciiTheme="majorBidi" w:hAnsiTheme="majorBidi" w:cstheme="majorBidi"/>
        </w:rPr>
        <w:instrText xml:space="preserve"> QUOTE </w:instrText>
      </w:r>
      <w:r w:rsidR="000A5045" w:rsidRPr="005C179C">
        <w:rPr>
          <w:rFonts w:asciiTheme="majorBidi" w:hAnsiTheme="majorBidi" w:cstheme="majorBidi"/>
          <w:noProof/>
        </w:rPr>
        <w:drawing>
          <wp:inline distT="0" distB="0" distL="0" distR="0">
            <wp:extent cx="514350" cy="14287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514350" cy="142875"/>
                    </a:xfrm>
                    <a:prstGeom prst="rect">
                      <a:avLst/>
                    </a:prstGeom>
                    <a:noFill/>
                    <a:ln w="9525">
                      <a:noFill/>
                      <a:miter lim="800000"/>
                      <a:headEnd/>
                      <a:tailEnd/>
                    </a:ln>
                  </pic:spPr>
                </pic:pic>
              </a:graphicData>
            </a:graphic>
          </wp:inline>
        </w:drawing>
      </w:r>
      <w:r w:rsidRPr="005C179C">
        <w:rPr>
          <w:rFonts w:asciiTheme="majorBidi" w:hAnsiTheme="majorBidi" w:cstheme="majorBidi"/>
        </w:rPr>
        <w:instrText xml:space="preserve"> </w:instrText>
      </w:r>
      <w:r w:rsidRPr="005C179C">
        <w:rPr>
          <w:rFonts w:asciiTheme="majorBidi" w:hAnsiTheme="majorBidi" w:cstheme="majorBidi"/>
        </w:rPr>
        <w:fldChar w:fldCharType="end"/>
      </w:r>
      <w:r w:rsidRPr="005C179C">
        <w:rPr>
          <w:rFonts w:asciiTheme="majorBidi" w:hAnsiTheme="majorBidi" w:cstheme="majorBidi"/>
        </w:rPr>
        <w:t xml:space="preserve"> delayed to April 2005 (</w:t>
      </w:r>
      <m:oMath>
        <m:sSub>
          <m:sSubPr>
            <m:ctrlPr>
              <w:rPr>
                <w:rFonts w:ascii="Cambria Math" w:hAnsiTheme="majorBidi" w:cstheme="majorBidi"/>
                <w:i/>
              </w:rPr>
            </m:ctrlPr>
          </m:sSubPr>
          <m:e>
            <m:r>
              <w:rPr>
                <w:rFonts w:ascii="Cambria Math" w:hAnsi="Cambria Math" w:cstheme="majorBidi"/>
              </w:rPr>
              <m:t>t</m:t>
            </m:r>
          </m:e>
          <m:sub>
            <m:r>
              <w:rPr>
                <w:rFonts w:ascii="Cambria Math" w:hAnsiTheme="majorBidi" w:cstheme="majorBidi"/>
              </w:rPr>
              <m:t>4</m:t>
            </m:r>
          </m:sub>
        </m:sSub>
        <m:r>
          <w:rPr>
            <w:rFonts w:ascii="Cambria Math" w:hAnsiTheme="majorBidi" w:cstheme="majorBidi"/>
          </w:rPr>
          <m:t xml:space="preserve">) </m:t>
        </m:r>
      </m:oMath>
      <w:r w:rsidRPr="005C179C">
        <w:rPr>
          <w:rFonts w:asciiTheme="majorBidi" w:hAnsiTheme="majorBidi" w:cstheme="majorBidi"/>
        </w:rPr>
        <w:t xml:space="preserve">from </w:t>
      </w:r>
      <m:oMath>
        <m:sSub>
          <m:sSubPr>
            <m:ctrlPr>
              <w:rPr>
                <w:rFonts w:ascii="Cambria Math" w:hAnsiTheme="majorBidi" w:cstheme="majorBidi"/>
                <w:i/>
              </w:rPr>
            </m:ctrlPr>
          </m:sSubPr>
          <m:e>
            <m:r>
              <w:rPr>
                <w:rFonts w:ascii="Cambria Math" w:hAnsi="Cambria Math" w:cstheme="majorBidi"/>
              </w:rPr>
              <m:t>t</m:t>
            </m:r>
          </m:e>
          <m:sub>
            <m:r>
              <w:rPr>
                <w:rFonts w:ascii="Cambria Math" w:hAnsiTheme="majorBidi" w:cstheme="majorBidi"/>
              </w:rPr>
              <m:t>1</m:t>
            </m:r>
          </m:sub>
        </m:sSub>
        <m:r>
          <w:rPr>
            <w:rFonts w:asciiTheme="majorBidi" w:hAnsiTheme="majorBidi" w:cstheme="majorBidi"/>
          </w:rPr>
          <m:t>-</m:t>
        </m:r>
        <m:sSub>
          <m:sSubPr>
            <m:ctrlPr>
              <w:rPr>
                <w:rFonts w:ascii="Cambria Math" w:hAnsiTheme="majorBidi" w:cstheme="majorBidi"/>
                <w:i/>
              </w:rPr>
            </m:ctrlPr>
          </m:sSubPr>
          <m:e>
            <m:r>
              <w:rPr>
                <w:rFonts w:ascii="Cambria Math" w:hAnsi="Cambria Math" w:cstheme="majorBidi"/>
              </w:rPr>
              <m:t>t</m:t>
            </m:r>
          </m:e>
          <m:sub>
            <m:r>
              <w:rPr>
                <w:rFonts w:ascii="Cambria Math" w:hAnsiTheme="majorBidi" w:cstheme="majorBidi"/>
              </w:rPr>
              <m:t>3</m:t>
            </m:r>
          </m:sub>
        </m:sSub>
        <m:r>
          <w:rPr>
            <w:rFonts w:ascii="Cambria Math" w:hAnsiTheme="majorBidi" w:cstheme="majorBidi"/>
          </w:rPr>
          <m:t xml:space="preserve"> </m:t>
        </m:r>
      </m:oMath>
      <w:r w:rsidRPr="005C179C">
        <w:rPr>
          <w:rFonts w:asciiTheme="majorBidi" w:hAnsiTheme="majorBidi" w:cstheme="majorBidi"/>
        </w:rPr>
        <w:t>observations. The basic framework for our model takes the form of equation 4.1:</w:t>
      </w:r>
    </w:p>
    <w:p w:rsidR="00EB2B18" w:rsidRPr="005C179C" w:rsidRDefault="005C5C87" w:rsidP="005C5C87">
      <w:pPr>
        <w:spacing w:line="360" w:lineRule="auto"/>
        <w:ind w:firstLine="720"/>
        <w:jc w:val="both"/>
        <w:rPr>
          <w:rFonts w:asciiTheme="majorBidi" w:hAnsiTheme="majorBidi" w:cstheme="majorBidi"/>
        </w:rPr>
      </w:pPr>
      <m:oMathPara>
        <m:oMath>
          <m:sSub>
            <m:sSubPr>
              <m:ctrlPr>
                <w:rPr>
                  <w:rFonts w:ascii="Cambria Math" w:hAnsiTheme="majorBidi" w:cstheme="majorBidi"/>
                  <w:i/>
                </w:rPr>
              </m:ctrlPr>
            </m:sSubPr>
            <m:e>
              <m:r>
                <w:rPr>
                  <w:rFonts w:ascii="Cambria Math" w:hAnsi="Cambria Math" w:cstheme="majorBidi"/>
                </w:rPr>
                <m:t>y</m:t>
              </m:r>
            </m:e>
            <m:sub>
              <m:r>
                <w:rPr>
                  <w:rFonts w:ascii="Cambria Math" w:hAnsi="Cambria Math" w:cstheme="majorBidi"/>
                </w:rPr>
                <m:t>i</m:t>
              </m:r>
              <m:r>
                <w:rPr>
                  <w:rFonts w:ascii="Cambria Math" w:hAnsiTheme="majorBidi" w:cstheme="majorBidi"/>
                </w:rPr>
                <m:t>,</m:t>
              </m:r>
              <m:r>
                <w:rPr>
                  <w:rFonts w:ascii="Cambria Math" w:hAnsi="Cambria Math" w:cstheme="majorBidi"/>
                </w:rPr>
                <m:t>j</m:t>
              </m:r>
            </m:sub>
          </m:sSub>
          <m:r>
            <w:rPr>
              <w:rFonts w:ascii="Cambria Math" w:hAnsiTheme="majorBidi" w:cstheme="majorBidi"/>
            </w:rPr>
            <m:t>=</m:t>
          </m:r>
          <m:sSubSup>
            <m:sSubSupPr>
              <m:ctrlPr>
                <w:rPr>
                  <w:rFonts w:ascii="Cambria Math" w:hAnsiTheme="majorBidi" w:cstheme="majorBidi"/>
                  <w:i/>
                </w:rPr>
              </m:ctrlPr>
            </m:sSubSupPr>
            <m:e>
              <m:r>
                <w:rPr>
                  <w:rFonts w:ascii="Cambria Math" w:hAnsi="Cambria Math" w:cstheme="majorBidi"/>
                </w:rPr>
                <m:t>x</m:t>
              </m:r>
            </m:e>
            <m:sub>
              <m:r>
                <w:rPr>
                  <w:rFonts w:ascii="Cambria Math" w:hAnsi="Cambria Math" w:cstheme="majorBidi"/>
                </w:rPr>
                <m:t>i</m:t>
              </m:r>
              <m:r>
                <w:rPr>
                  <w:rFonts w:ascii="Cambria Math" w:hAnsiTheme="majorBidi" w:cstheme="majorBidi"/>
                </w:rPr>
                <m:t>,</m:t>
              </m:r>
              <m:r>
                <w:rPr>
                  <w:rFonts w:ascii="Cambria Math" w:hAnsi="Cambria Math" w:cstheme="majorBidi"/>
                </w:rPr>
                <m:t>j</m:t>
              </m:r>
            </m:sub>
            <m:sup>
              <m:r>
                <w:rPr>
                  <w:rFonts w:ascii="Cambria Math" w:hAnsiTheme="majorBidi" w:cstheme="majorBidi"/>
                </w:rPr>
                <m:t>`</m:t>
              </m:r>
            </m:sup>
          </m:sSubSup>
          <m:r>
            <w:rPr>
              <w:rFonts w:ascii="Cambria Math" w:hAnsi="Cambria Math" w:cstheme="majorBidi"/>
            </w:rPr>
            <m:t>β</m:t>
          </m:r>
          <m:r>
            <w:rPr>
              <w:rFonts w:ascii="Cambria Math" w:hAnsiTheme="majorBidi" w:cstheme="majorBidi"/>
            </w:rPr>
            <m:t>+</m:t>
          </m:r>
          <m:sSubSup>
            <m:sSubSupPr>
              <m:ctrlPr>
                <w:rPr>
                  <w:rFonts w:ascii="Cambria Math" w:hAnsiTheme="majorBidi" w:cstheme="majorBidi"/>
                  <w:i/>
                </w:rPr>
              </m:ctrlPr>
            </m:sSubSupPr>
            <m:e>
              <m:r>
                <w:rPr>
                  <w:rFonts w:ascii="Cambria Math" w:hAnsi="Cambria Math" w:cstheme="majorBidi"/>
                </w:rPr>
                <m:t>z</m:t>
              </m:r>
            </m:e>
            <m:sub>
              <m:r>
                <w:rPr>
                  <w:rFonts w:ascii="Cambria Math" w:hAnsi="Cambria Math" w:cstheme="majorBidi"/>
                </w:rPr>
                <m:t>i</m:t>
              </m:r>
              <m:r>
                <w:rPr>
                  <w:rFonts w:ascii="Cambria Math" w:hAnsiTheme="majorBidi" w:cstheme="majorBidi"/>
                </w:rPr>
                <m:t>,</m:t>
              </m:r>
            </m:sub>
            <m:sup>
              <m:r>
                <w:rPr>
                  <w:rFonts w:ascii="Cambria Math" w:hAnsiTheme="majorBidi" w:cstheme="majorBidi"/>
                </w:rPr>
                <m:t>`</m:t>
              </m:r>
            </m:sup>
          </m:sSubSup>
          <m:r>
            <w:rPr>
              <w:rFonts w:ascii="Cambria Math" w:hAnsi="Cambria Math" w:cstheme="majorBidi"/>
            </w:rPr>
            <m:t>α</m:t>
          </m:r>
          <m: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ε</m:t>
              </m:r>
            </m:e>
            <m:sub>
              <m:r>
                <w:rPr>
                  <w:rFonts w:ascii="Cambria Math" w:hAnsi="Cambria Math" w:cstheme="majorBidi"/>
                </w:rPr>
                <m:t>i</m:t>
              </m:r>
              <m:r>
                <w:rPr>
                  <w:rFonts w:ascii="Cambria Math" w:hAnsiTheme="majorBidi" w:cstheme="majorBidi"/>
                </w:rPr>
                <m:t>,</m:t>
              </m:r>
              <m:r>
                <w:rPr>
                  <w:rFonts w:ascii="Cambria Math" w:hAnsi="Cambria Math" w:cstheme="majorBidi"/>
                </w:rPr>
                <m:t>j</m:t>
              </m:r>
              <m:r>
                <w:rPr>
                  <w:rFonts w:ascii="Cambria Math" w:hAnsiTheme="majorBidi" w:cstheme="majorBidi"/>
                </w:rPr>
                <m:t xml:space="preserve">           </m:t>
              </m:r>
            </m:sub>
          </m:sSub>
          <m:r>
            <w:rPr>
              <w:rFonts w:ascii="Cambria Math" w:hAnsiTheme="majorBidi" w:cstheme="majorBidi"/>
            </w:rPr>
            <m:t xml:space="preserve">                                                                                               (4.1)</m:t>
          </m:r>
        </m:oMath>
      </m:oMathPara>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lastRenderedPageBreak/>
        <w:t>where there are K regressors in</w:t>
      </w:r>
      <w:r w:rsidRPr="005C179C">
        <w:rPr>
          <w:rFonts w:asciiTheme="majorBidi" w:hAnsiTheme="majorBidi" w:cstheme="majorBidi"/>
          <w:vertAlign w:val="subscript"/>
        </w:rPr>
        <w:t>,</w:t>
      </w:r>
      <m:oMath>
        <m:sSubSup>
          <m:sSubSupPr>
            <m:ctrlPr>
              <w:rPr>
                <w:rFonts w:ascii="Cambria Math" w:hAnsiTheme="majorBidi" w:cstheme="majorBidi"/>
                <w:i/>
              </w:rPr>
            </m:ctrlPr>
          </m:sSubSupPr>
          <m:e>
            <m:r>
              <w:rPr>
                <w:rFonts w:ascii="Cambria Math" w:hAnsi="Cambria Math" w:cstheme="majorBidi"/>
              </w:rPr>
              <m:t>x</m:t>
            </m:r>
          </m:e>
          <m:sub>
            <m:r>
              <w:rPr>
                <w:rFonts w:ascii="Cambria Math" w:hAnsi="Cambria Math" w:cstheme="majorBidi"/>
              </w:rPr>
              <m:t>i</m:t>
            </m:r>
            <m:r>
              <w:rPr>
                <w:rFonts w:ascii="Cambria Math" w:hAnsiTheme="majorBidi" w:cstheme="majorBidi"/>
              </w:rPr>
              <m:t>,</m:t>
            </m:r>
            <m:r>
              <w:rPr>
                <w:rFonts w:ascii="Cambria Math" w:hAnsi="Cambria Math" w:cstheme="majorBidi"/>
              </w:rPr>
              <m:t>j</m:t>
            </m:r>
          </m:sub>
          <m:sup>
            <m:r>
              <w:rPr>
                <w:rFonts w:ascii="Cambria Math" w:hAnsiTheme="majorBidi" w:cstheme="majorBidi"/>
              </w:rPr>
              <m:t>`</m:t>
            </m:r>
          </m:sup>
        </m:sSubSup>
      </m:oMath>
      <w:r w:rsidRPr="005C179C">
        <w:rPr>
          <w:rFonts w:asciiTheme="majorBidi" w:hAnsiTheme="majorBidi" w:cstheme="majorBidi"/>
        </w:rPr>
        <w:t xml:space="preserve"> not including the constant term. The heterogeneity, or the individual effect that we define for each fund, is</w:t>
      </w:r>
      <m:oMath>
        <m:r>
          <w:rPr>
            <w:rFonts w:ascii="Cambria Math" w:hAnsiTheme="majorBidi" w:cstheme="majorBidi"/>
          </w:rPr>
          <m:t xml:space="preserve">  </m:t>
        </m:r>
        <m:sSubSup>
          <m:sSubSupPr>
            <m:ctrlPr>
              <w:rPr>
                <w:rFonts w:ascii="Cambria Math" w:hAnsiTheme="majorBidi" w:cstheme="majorBidi"/>
                <w:i/>
              </w:rPr>
            </m:ctrlPr>
          </m:sSubSupPr>
          <m:e>
            <m:r>
              <w:rPr>
                <w:rFonts w:ascii="Cambria Math" w:hAnsi="Cambria Math" w:cstheme="majorBidi"/>
              </w:rPr>
              <m:t>z</m:t>
            </m:r>
          </m:e>
          <m:sub>
            <m:r>
              <w:rPr>
                <w:rFonts w:ascii="Cambria Math" w:hAnsi="Cambria Math" w:cstheme="majorBidi"/>
              </w:rPr>
              <m:t>i</m:t>
            </m:r>
            <m:r>
              <w:rPr>
                <w:rFonts w:ascii="Cambria Math" w:hAnsiTheme="majorBidi" w:cstheme="majorBidi"/>
              </w:rPr>
              <m:t>,</m:t>
            </m:r>
          </m:sub>
          <m:sup>
            <m:r>
              <w:rPr>
                <w:rFonts w:ascii="Cambria Math" w:hAnsiTheme="majorBidi" w:cstheme="majorBidi"/>
              </w:rPr>
              <m:t>`</m:t>
            </m:r>
          </m:sup>
        </m:sSubSup>
        <m:r>
          <w:rPr>
            <w:rFonts w:ascii="Cambria Math" w:hAnsi="Cambria Math" w:cstheme="majorBidi"/>
          </w:rPr>
          <m:t>α</m:t>
        </m:r>
      </m:oMath>
      <w:r w:rsidRPr="005C179C">
        <w:rPr>
          <w:rFonts w:asciiTheme="majorBidi" w:hAnsiTheme="majorBidi" w:cstheme="majorBidi"/>
        </w:rPr>
        <w:t xml:space="preserve"> contains a constant term and a set of individual variables.</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t xml:space="preserve">In our model, </w:t>
      </w:r>
      <w:r w:rsidRPr="005C179C">
        <w:rPr>
          <w:rFonts w:asciiTheme="majorBidi" w:hAnsiTheme="majorBidi" w:cstheme="majorBidi"/>
          <w:vertAlign w:val="subscript"/>
        </w:rPr>
        <w:fldChar w:fldCharType="begin"/>
      </w:r>
      <w:r w:rsidRPr="005C179C">
        <w:rPr>
          <w:rFonts w:asciiTheme="majorBidi" w:hAnsiTheme="majorBidi" w:cstheme="majorBidi"/>
          <w:vertAlign w:val="subscript"/>
        </w:rPr>
        <w:instrText xml:space="preserve"> QUOTE </w:instrText>
      </w:r>
      <w:r w:rsidR="000A5045" w:rsidRPr="005C179C">
        <w:rPr>
          <w:rFonts w:asciiTheme="majorBidi" w:hAnsiTheme="majorBidi" w:cstheme="majorBidi"/>
          <w:noProof/>
        </w:rPr>
        <w:drawing>
          <wp:inline distT="0" distB="0" distL="0" distR="0">
            <wp:extent cx="485775" cy="1905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85775" cy="190500"/>
                    </a:xfrm>
                    <a:prstGeom prst="rect">
                      <a:avLst/>
                    </a:prstGeom>
                    <a:noFill/>
                    <a:ln w="9525">
                      <a:noFill/>
                      <a:miter lim="800000"/>
                      <a:headEnd/>
                      <a:tailEnd/>
                    </a:ln>
                  </pic:spPr>
                </pic:pic>
              </a:graphicData>
            </a:graphic>
          </wp:inline>
        </w:drawing>
      </w:r>
      <w:r w:rsidRPr="005C179C">
        <w:rPr>
          <w:rFonts w:asciiTheme="majorBidi" w:hAnsiTheme="majorBidi" w:cstheme="majorBidi"/>
          <w:vertAlign w:val="subscript"/>
        </w:rPr>
        <w:instrText xml:space="preserve"> </w:instrText>
      </w:r>
      <w:r w:rsidRPr="005C179C">
        <w:rPr>
          <w:rFonts w:asciiTheme="majorBidi" w:hAnsiTheme="majorBidi" w:cstheme="majorBidi"/>
          <w:vertAlign w:val="subscript"/>
        </w:rPr>
        <w:fldChar w:fldCharType="separate"/>
      </w:r>
      <m:oMath>
        <m:sSubSup>
          <m:sSubSupPr>
            <m:ctrlPr>
              <w:rPr>
                <w:rFonts w:ascii="Cambria Math" w:hAnsiTheme="majorBidi" w:cstheme="majorBidi"/>
                <w:i/>
              </w:rPr>
            </m:ctrlPr>
          </m:sSubSupPr>
          <m:e>
            <m:r>
              <m:rPr>
                <m:sty m:val="p"/>
              </m:rPr>
              <w:rPr>
                <w:rFonts w:ascii="Cambria Math" w:hAnsi="Cambria Math" w:cstheme="majorBidi"/>
              </w:rPr>
              <m:t>z</m:t>
            </m:r>
          </m:e>
          <m:sub>
            <m:r>
              <m:rPr>
                <m:sty m:val="p"/>
              </m:rPr>
              <w:rPr>
                <w:rFonts w:ascii="Cambria Math" w:hAnsi="Cambria Math" w:cstheme="majorBidi"/>
              </w:rPr>
              <m:t>i</m:t>
            </m:r>
            <m:r>
              <m:rPr>
                <m:sty m:val="p"/>
              </m:rPr>
              <w:rPr>
                <w:rFonts w:ascii="Cambria Math" w:hAnsiTheme="majorBidi" w:cstheme="majorBidi"/>
              </w:rPr>
              <m:t>,</m:t>
            </m:r>
          </m:sub>
          <m:sup>
            <m:r>
              <m:rPr>
                <m:sty m:val="p"/>
              </m:rPr>
              <w:rPr>
                <w:rFonts w:ascii="Cambria Math" w:hAnsiTheme="majorBidi" w:cstheme="majorBidi"/>
              </w:rPr>
              <m:t>`</m:t>
            </m:r>
          </m:sup>
        </m:sSubSup>
        <m:r>
          <m:rPr>
            <m:sty m:val="p"/>
          </m:rPr>
          <w:rPr>
            <w:sz w:val="28"/>
            <w:szCs w:val="28"/>
          </w:rPr>
          <w:fldChar w:fldCharType="begin"/>
        </m:r>
        <m:r>
          <m:rPr>
            <m:sty m:val="p"/>
          </m:rPr>
          <w:rPr>
            <w:sz w:val="28"/>
            <w:szCs w:val="28"/>
          </w:rPr>
          <w:fldChar w:fldCharType="end"/>
        </m:r>
      </m:oMath>
      <w:r w:rsidRPr="005C179C">
        <w:rPr>
          <w:rFonts w:asciiTheme="majorBidi" w:hAnsiTheme="majorBidi" w:cstheme="majorBidi"/>
        </w:rPr>
        <w:t xml:space="preserve"> </w:t>
      </w:r>
      <w:r w:rsidRPr="005C179C">
        <w:rPr>
          <w:rFonts w:asciiTheme="majorBidi" w:hAnsiTheme="majorBidi" w:cstheme="majorBidi"/>
          <w:vertAlign w:val="subscript"/>
        </w:rPr>
        <w:fldChar w:fldCharType="end"/>
      </w:r>
      <w:r w:rsidRPr="005C179C">
        <w:rPr>
          <w:rFonts w:asciiTheme="majorBidi" w:hAnsiTheme="majorBidi" w:cstheme="majorBidi"/>
        </w:rPr>
        <w:t xml:space="preserve"> is constant. The variable is pooled from the aggregate FoF. OLS provides consistent and efficient estimates of the common</w:t>
      </w:r>
      <m:oMath>
        <m:r>
          <w:rPr>
            <w:rFonts w:ascii="Cambria Math" w:hAnsiTheme="majorBidi" w:cstheme="majorBidi"/>
          </w:rPr>
          <m:t xml:space="preserve"> </m:t>
        </m:r>
        <m:r>
          <w:rPr>
            <w:rFonts w:ascii="Cambria Math" w:hAnsi="Cambria Math" w:cstheme="majorBidi"/>
          </w:rPr>
          <m:t>α</m:t>
        </m:r>
      </m:oMath>
      <w:r w:rsidRPr="005C179C">
        <w:rPr>
          <w:rFonts w:asciiTheme="majorBidi" w:hAnsiTheme="majorBidi" w:cstheme="majorBidi"/>
        </w:rPr>
        <w:t>. The cross-section observations are auto-correlated, as they all derive their value from time-dependent series.</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t>In order to apply ourselves to auto-correlation, we use the SUR model. The SUR model can accommodate heteroscedasticity, as well as auto-correlation. We use the generalized SUR model of Bartles and Feibig (1992):</w:t>
      </w:r>
    </w:p>
    <w:p w:rsidR="00EB2B18" w:rsidRPr="005C179C" w:rsidRDefault="007848F8" w:rsidP="005C5C87">
      <w:pPr>
        <w:spacing w:line="360" w:lineRule="auto"/>
        <w:ind w:firstLine="720"/>
        <w:jc w:val="both"/>
        <w:rPr>
          <w:rFonts w:asciiTheme="majorBidi" w:hAnsiTheme="majorBidi" w:cstheme="majorBidi"/>
        </w:rPr>
      </w:pPr>
      <m:oMath>
        <m:r>
          <m:rPr>
            <m:sty m:val="p"/>
          </m:rPr>
          <w:rPr>
            <w:rFonts w:ascii="Cambria Math" w:hAnsiTheme="majorBidi" w:cstheme="majorBidi"/>
          </w:rPr>
          <m:t>Ω</m:t>
        </m:r>
        <m:r>
          <w:rPr>
            <w:rFonts w:ascii="Cambria Math" w:hAnsiTheme="majorBidi" w:cstheme="majorBidi"/>
          </w:rPr>
          <m:t>=</m:t>
        </m:r>
        <m:r>
          <w:rPr>
            <w:rFonts w:ascii="Cambria Math" w:hAnsi="Cambria Math" w:cstheme="majorBidi"/>
          </w:rPr>
          <m:t>A</m:t>
        </m:r>
        <m:d>
          <m:dPr>
            <m:begChr m:val="["/>
            <m:endChr m:val="]"/>
            <m:ctrlPr>
              <w:rPr>
                <w:rFonts w:ascii="Cambria Math" w:hAnsiTheme="majorBidi" w:cstheme="majorBidi"/>
                <w:i/>
              </w:rPr>
            </m:ctrlPr>
          </m:dPr>
          <m:e>
            <m:nary>
              <m:naryPr>
                <m:chr m:val="∑"/>
                <m:limLoc m:val="undOvr"/>
                <m:subHide m:val="1"/>
                <m:supHide m:val="1"/>
                <m:ctrlPr>
                  <w:rPr>
                    <w:rFonts w:ascii="Cambria Math" w:hAnsiTheme="majorBidi" w:cstheme="majorBidi"/>
                    <w:i/>
                  </w:rPr>
                </m:ctrlPr>
              </m:naryPr>
              <m:sub/>
              <m:sup/>
              <m:e>
                <m:r>
                  <w:rPr>
                    <w:rFonts w:asciiTheme="majorBidi" w:hAnsi="Cambria Math" w:cstheme="majorBidi"/>
                  </w:rPr>
                  <m:t>⨂</m:t>
                </m:r>
                <m:r>
                  <w:rPr>
                    <w:rFonts w:ascii="Cambria Math" w:hAnsi="Cambria Math" w:cstheme="majorBidi"/>
                  </w:rPr>
                  <m:t>I</m:t>
                </m:r>
              </m:e>
            </m:nary>
          </m:e>
        </m:d>
        <m:sSup>
          <m:sSupPr>
            <m:ctrlPr>
              <w:rPr>
                <w:rFonts w:ascii="Cambria Math" w:hAnsiTheme="majorBidi" w:cstheme="majorBidi"/>
                <w:i/>
              </w:rPr>
            </m:ctrlPr>
          </m:sSupPr>
          <m:e>
            <m:r>
              <w:rPr>
                <w:rFonts w:ascii="Cambria Math" w:hAnsi="Cambria Math" w:cstheme="majorBidi"/>
              </w:rPr>
              <m:t>A</m:t>
            </m:r>
          </m:e>
          <m:sup>
            <m:r>
              <w:rPr>
                <w:rFonts w:ascii="Cambria Math" w:hAnsi="Cambria Math" w:cstheme="majorBidi"/>
              </w:rPr>
              <m:t>i</m:t>
            </m:r>
          </m:sup>
        </m:sSup>
      </m:oMath>
      <w:r w:rsidRPr="005C179C">
        <w:rPr>
          <w:rFonts w:asciiTheme="majorBidi" w:hAnsiTheme="majorBidi" w:cstheme="majorBidi"/>
        </w:rPr>
        <w:t xml:space="preserve">                                                                                                  (4.2)</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t xml:space="preserve"> where </w:t>
      </w:r>
      <m:oMath>
        <m:r>
          <w:rPr>
            <w:rFonts w:ascii="Cambria Math" w:hAnsi="Cambria Math" w:cstheme="majorBidi"/>
          </w:rPr>
          <m:t>A</m:t>
        </m:r>
      </m:oMath>
      <w:r w:rsidRPr="005C179C">
        <w:rPr>
          <w:rFonts w:asciiTheme="majorBidi" w:hAnsiTheme="majorBidi" w:cstheme="majorBidi"/>
          <w:vertAlign w:val="subscript"/>
        </w:rPr>
        <w:t xml:space="preserve"> </w:t>
      </w:r>
      <w:r w:rsidRPr="005C179C">
        <w:rPr>
          <w:rFonts w:asciiTheme="majorBidi" w:hAnsiTheme="majorBidi" w:cstheme="majorBidi"/>
        </w:rPr>
        <w:t xml:space="preserve"> is a block diagonal matrix.</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t xml:space="preserve">For each fund we run a SUR-type single-variable OLS regression. For each fund we forecast the expected rate of </w:t>
      </w:r>
      <w:r w:rsidRPr="005C179C">
        <w:rPr>
          <w:rFonts w:asciiTheme="majorBidi" w:hAnsiTheme="majorBidi" w:cstheme="majorBidi"/>
          <w:i/>
          <w:iCs/>
        </w:rPr>
        <w:t>net</w:t>
      </w:r>
      <w:r w:rsidRPr="005C179C">
        <w:rPr>
          <w:rFonts w:asciiTheme="majorBidi" w:hAnsiTheme="majorBidi" w:cstheme="majorBidi"/>
        </w:rPr>
        <w:t xml:space="preserve"> injections </w:t>
      </w:r>
      <m:oMath>
        <m:r>
          <w:rPr>
            <w:rFonts w:ascii="Cambria Math" w:hAnsiTheme="majorBidi" w:cstheme="majorBidi"/>
            <w:vertAlign w:val="subscript"/>
          </w:rPr>
          <m:t>(</m:t>
        </m:r>
        <m:r>
          <w:rPr>
            <w:rFonts w:ascii="Cambria Math" w:hAnsi="Cambria Math" w:cstheme="majorBidi"/>
            <w:vertAlign w:val="subscript"/>
          </w:rPr>
          <m:t>ne</m:t>
        </m:r>
        <m:r>
          <w:rPr>
            <w:rFonts w:ascii="Cambria Math" w:hAnsiTheme="majorBidi" w:cstheme="majorBidi"/>
            <w:vertAlign w:val="subscript"/>
          </w:rPr>
          <m:t>)</m:t>
        </m:r>
      </m:oMath>
      <w:r w:rsidRPr="005C179C">
        <w:rPr>
          <w:rFonts w:asciiTheme="majorBidi" w:hAnsiTheme="majorBidi" w:cstheme="majorBidi"/>
        </w:rPr>
        <w:t xml:space="preserve"> for each of the four observations </w:t>
      </w:r>
      <m:oMath>
        <m:sSub>
          <m:sSubPr>
            <m:ctrlPr>
              <w:rPr>
                <w:rFonts w:ascii="Cambria Math" w:hAnsiTheme="majorBidi" w:cstheme="majorBidi"/>
                <w:i/>
                <w:vertAlign w:val="subscript"/>
              </w:rPr>
            </m:ctrlPr>
          </m:sSubPr>
          <m:e>
            <m:r>
              <w:rPr>
                <w:rFonts w:ascii="Cambria Math" w:hAnsi="Cambria Math" w:cstheme="majorBidi"/>
                <w:vertAlign w:val="subscript"/>
              </w:rPr>
              <m:t>t</m:t>
            </m:r>
          </m:e>
          <m:sub>
            <m:r>
              <w:rPr>
                <w:rFonts w:ascii="Cambria Math" w:hAnsiTheme="majorBidi" w:cstheme="majorBidi"/>
                <w:vertAlign w:val="subscript"/>
              </w:rPr>
              <m:t>1,</m:t>
            </m:r>
          </m:sub>
        </m:sSub>
        <m:sSub>
          <m:sSubPr>
            <m:ctrlPr>
              <w:rPr>
                <w:rFonts w:ascii="Cambria Math" w:hAnsiTheme="majorBidi" w:cstheme="majorBidi"/>
                <w:i/>
                <w:vertAlign w:val="subscript"/>
              </w:rPr>
            </m:ctrlPr>
          </m:sSubPr>
          <m:e>
            <m:r>
              <w:rPr>
                <w:rFonts w:ascii="Cambria Math" w:hAnsiTheme="majorBidi" w:cstheme="majorBidi"/>
                <w:vertAlign w:val="subscript"/>
              </w:rPr>
              <m:t>,</m:t>
            </m:r>
            <m:r>
              <w:rPr>
                <w:rFonts w:ascii="Cambria Math" w:hAnsi="Cambria Math" w:cstheme="majorBidi"/>
                <w:vertAlign w:val="subscript"/>
              </w:rPr>
              <m:t>t</m:t>
            </m:r>
          </m:e>
          <m:sub>
            <m:r>
              <w:rPr>
                <w:rFonts w:ascii="Cambria Math" w:hAnsiTheme="majorBidi" w:cstheme="majorBidi"/>
                <w:vertAlign w:val="subscript"/>
              </w:rPr>
              <m:t>2,</m:t>
            </m:r>
          </m:sub>
        </m:sSub>
        <m:sSub>
          <m:sSubPr>
            <m:ctrlPr>
              <w:rPr>
                <w:rFonts w:ascii="Cambria Math" w:hAnsiTheme="majorBidi" w:cstheme="majorBidi"/>
                <w:i/>
                <w:vertAlign w:val="subscript"/>
              </w:rPr>
            </m:ctrlPr>
          </m:sSubPr>
          <m:e>
            <m:r>
              <w:rPr>
                <w:rFonts w:ascii="Cambria Math" w:hAnsi="Cambria Math" w:cstheme="majorBidi"/>
                <w:vertAlign w:val="subscript"/>
              </w:rPr>
              <m:t>t</m:t>
            </m:r>
          </m:e>
          <m:sub>
            <m:r>
              <w:rPr>
                <w:rFonts w:ascii="Cambria Math" w:hAnsiTheme="majorBidi" w:cstheme="majorBidi"/>
                <w:vertAlign w:val="subscript"/>
              </w:rPr>
              <m:t>3,</m:t>
            </m:r>
          </m:sub>
        </m:sSub>
        <m:sSub>
          <m:sSubPr>
            <m:ctrlPr>
              <w:rPr>
                <w:rFonts w:ascii="Cambria Math" w:hAnsiTheme="majorBidi" w:cstheme="majorBidi"/>
                <w:i/>
                <w:vertAlign w:val="subscript"/>
              </w:rPr>
            </m:ctrlPr>
          </m:sSubPr>
          <m:e>
            <m:r>
              <w:rPr>
                <w:rFonts w:ascii="Cambria Math" w:hAnsi="Cambria Math" w:cstheme="majorBidi"/>
                <w:vertAlign w:val="subscript"/>
              </w:rPr>
              <m:t>t</m:t>
            </m:r>
          </m:e>
          <m:sub>
            <m:r>
              <w:rPr>
                <w:rFonts w:ascii="Cambria Math" w:hAnsiTheme="majorBidi" w:cstheme="majorBidi"/>
                <w:vertAlign w:val="subscript"/>
              </w:rPr>
              <m:t>4,</m:t>
            </m:r>
          </m:sub>
        </m:sSub>
      </m:oMath>
      <w:r w:rsidRPr="005C179C">
        <w:rPr>
          <w:rFonts w:asciiTheme="majorBidi" w:hAnsiTheme="majorBidi" w:cstheme="majorBidi"/>
        </w:rPr>
        <w:t>,. Each observation was compared to its actual value. For some funds, the rate was positive, while for others it was in the negative. Each observation was normalized by the total assets that were held by the fund on December 2005. The left-hand variable is AFF (Adjusted FoF).</w:t>
      </w:r>
    </w:p>
    <w:p w:rsidR="00EB2B18" w:rsidRPr="005C179C" w:rsidRDefault="0041045C" w:rsidP="005C5C87">
      <w:pPr>
        <w:spacing w:line="360" w:lineRule="auto"/>
        <w:ind w:firstLine="720"/>
        <w:jc w:val="both"/>
        <w:rPr>
          <w:rFonts w:asciiTheme="majorBidi" w:hAnsiTheme="majorBidi" w:cstheme="majorBidi"/>
        </w:rPr>
      </w:pPr>
      <w:r w:rsidRPr="00F8685E">
        <w:rPr>
          <w:rFonts w:asciiTheme="majorBidi" w:hAnsiTheme="majorBidi" w:cstheme="majorBidi"/>
          <w:vertAlign w:val="subscript"/>
        </w:rPr>
        <w:object w:dxaOrig="576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44.25pt" o:ole="">
            <v:imagedata r:id="rId23" o:title=""/>
          </v:shape>
          <o:OLEObject Type="Embed" ProgID="Equation.3" ShapeID="_x0000_i1025" DrawAspect="Content" ObjectID="_1499505629" r:id="rId24"/>
        </w:object>
      </w:r>
      <w:r w:rsidR="007848F8" w:rsidRPr="005C179C">
        <w:rPr>
          <w:rFonts w:asciiTheme="majorBidi" w:hAnsiTheme="majorBidi" w:cstheme="majorBidi"/>
        </w:rPr>
        <w:t xml:space="preserve">                         (4.3) </w:t>
      </w:r>
    </w:p>
    <w:p w:rsidR="00EB2B18" w:rsidRPr="005C179C" w:rsidRDefault="007848F8" w:rsidP="005C5C87">
      <w:pPr>
        <w:spacing w:line="360" w:lineRule="auto"/>
        <w:jc w:val="both"/>
        <w:rPr>
          <w:rFonts w:asciiTheme="majorBidi" w:hAnsiTheme="majorBidi" w:cstheme="majorBidi"/>
        </w:rPr>
      </w:pPr>
      <w:r w:rsidRPr="005C179C">
        <w:rPr>
          <w:rFonts w:asciiTheme="majorBidi" w:hAnsiTheme="majorBidi" w:cstheme="majorBidi"/>
        </w:rPr>
        <w:t xml:space="preserve">Some of the right-hand variables are directly observable: the "age" of the fund, its ownership structure and its past performance. Our key variables were related to the portfolio structure of each fund. The actual portfolio for </w:t>
      </w:r>
      <m:oMath>
        <m:sSub>
          <m:sSubPr>
            <m:ctrlPr>
              <w:rPr>
                <w:rFonts w:ascii="Cambria Math" w:hAnsiTheme="majorBidi" w:cstheme="majorBidi"/>
                <w:i/>
                <w:vertAlign w:val="subscript"/>
              </w:rPr>
            </m:ctrlPr>
          </m:sSubPr>
          <m:e>
            <m:r>
              <w:rPr>
                <w:rFonts w:ascii="Cambria Math" w:hAnsi="Cambria Math" w:cstheme="majorBidi"/>
                <w:vertAlign w:val="subscript"/>
              </w:rPr>
              <m:t>t</m:t>
            </m:r>
          </m:e>
          <m:sub>
            <m:r>
              <w:rPr>
                <w:rFonts w:ascii="Cambria Math" w:hAnsiTheme="majorBidi" w:cstheme="majorBidi"/>
                <w:vertAlign w:val="subscript"/>
              </w:rPr>
              <m:t>4,</m:t>
            </m:r>
          </m:sub>
        </m:sSub>
      </m:oMath>
      <w:r w:rsidRPr="005C179C">
        <w:rPr>
          <w:rFonts w:asciiTheme="majorBidi" w:hAnsiTheme="majorBidi" w:cstheme="majorBidi"/>
        </w:rPr>
        <w:t xml:space="preserve"> are not available. The Performance reports of the funds are provided annually. We calculated variables by assigning a close approximation; the end-of-the-year ratio of non-tradable assets in </w:t>
      </w:r>
      <m:oMath>
        <m:r>
          <w:rPr>
            <w:rFonts w:ascii="Cambria Math" w:hAnsi="Cambria Math" w:cstheme="majorBidi"/>
            <w:vertAlign w:val="subscript"/>
          </w:rPr>
          <m:t>i</m:t>
        </m:r>
        <m:r>
          <w:rPr>
            <w:rFonts w:ascii="Cambria Math" w:hAnsiTheme="majorBidi" w:cstheme="majorBidi"/>
          </w:rPr>
          <m:t xml:space="preserve"> </m:t>
        </m:r>
      </m:oMath>
      <w:r w:rsidRPr="005C179C">
        <w:rPr>
          <w:rFonts w:asciiTheme="majorBidi" w:hAnsiTheme="majorBidi" w:cstheme="majorBidi"/>
        </w:rPr>
        <w:t xml:space="preserve">fund (portfolio) is presented as a percentage of the total portfolio. Non-tradable assets are purchased throughout the year. We use the available </w:t>
      </w:r>
      <w:r w:rsidRPr="005C179C">
        <w:rPr>
          <w:rFonts w:asciiTheme="majorBidi" w:hAnsiTheme="majorBidi" w:cstheme="majorBidi"/>
          <w:i/>
          <w:iCs/>
        </w:rPr>
        <w:t>NTR2004</w:t>
      </w:r>
      <w:r w:rsidRPr="005C179C">
        <w:rPr>
          <w:rFonts w:asciiTheme="majorBidi" w:hAnsiTheme="majorBidi" w:cstheme="majorBidi"/>
        </w:rPr>
        <w:t xml:space="preserve"> for December 2004 as the proxy; then we use our sample of the portfolios to test the proxy.</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t>We examine the sample of 39 portfolios of various providence funds. We compare the actual portfolios at various dates from November 2004 and March 2005 until the end of 2005; the portfolios of all 584 funds were published on June 2006. No NTR assets were sold</w:t>
      </w:r>
      <w:r w:rsidRPr="005C179C">
        <w:rPr>
          <w:rFonts w:asciiTheme="majorBidi" w:hAnsiTheme="majorBidi" w:cstheme="majorBidi"/>
          <w:i/>
          <w:iCs/>
        </w:rPr>
        <w:t xml:space="preserve"> </w:t>
      </w:r>
      <w:r w:rsidRPr="005C179C">
        <w:rPr>
          <w:rFonts w:asciiTheme="majorBidi" w:hAnsiTheme="majorBidi" w:cstheme="majorBidi"/>
        </w:rPr>
        <w:t xml:space="preserve">by any of the 39 funds; the only changes in the portfolios were resulted from the maturing process of the bonds and the purchase of new issues. Comparison of the NTR rate at the end of 2004 to the NTR rate at the end of 2005 showed that the average fund’s NTR holdings grew from 18.18% to 21.20%. The change was driven by the fact that private funds </w:t>
      </w:r>
      <w:r w:rsidRPr="005C179C">
        <w:rPr>
          <w:rFonts w:asciiTheme="majorBidi" w:hAnsiTheme="majorBidi" w:cstheme="majorBidi"/>
        </w:rPr>
        <w:lastRenderedPageBreak/>
        <w:t>received higher "injections" from the public (see Table 1 panel A at the Appendix).</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t>Historic return is a common variable, applied for financial decision measurement. We calculated two types of return: according to Edelen’s (1999) results, a decision to re-allocate personal endowment is based on historic raw return; according to Del Guercio and Tkac’s (2002) proposal, the decision is based on risk-adjusted return. Note that the concrete, tangible, substantial decision in our model is not to reallocate, but rather to delay the reallocation. Short and long term raw return: RQ12005 represents the average returns at the first quarter of 2005; RQ42004 represents the average returns at the fourth quarter of 2004; R2004 represents the average returns in 2004; R20034 represents the average returns in the years 2003-2004 (together). We have processed the risk-adjusted return by computing the moving average standard deviation of each fund, as spanned over 36 months.. Risk-adjusted return variables are represented as RARQ42004 and RAR2004. Considering the public debate of those days- the above-average marketing and the advertising activities of the private sector – we believe the holding structure has a plausible rationale. The other variables are:</w:t>
      </w:r>
    </w:p>
    <w:p w:rsidR="00EB2B18" w:rsidRPr="005C179C" w:rsidRDefault="007848F8" w:rsidP="005C5C87">
      <w:pPr>
        <w:spacing w:line="360" w:lineRule="auto"/>
        <w:ind w:firstLine="720"/>
        <w:jc w:val="both"/>
        <w:rPr>
          <w:rFonts w:asciiTheme="majorBidi" w:hAnsiTheme="majorBidi" w:cstheme="majorBidi"/>
        </w:rPr>
      </w:pPr>
      <m:oMath>
        <m:r>
          <w:rPr>
            <w:rFonts w:ascii="Cambria Math" w:hAnsi="Cambria Math" w:cstheme="majorBidi"/>
          </w:rPr>
          <m:t>DBANK</m:t>
        </m:r>
      </m:oMath>
      <w:r w:rsidRPr="005C179C">
        <w:rPr>
          <w:rFonts w:asciiTheme="majorBidi" w:hAnsiTheme="majorBidi" w:cstheme="majorBidi"/>
        </w:rPr>
        <w:fldChar w:fldCharType="begin"/>
      </w:r>
      <w:r w:rsidRPr="005C179C">
        <w:rPr>
          <w:rFonts w:asciiTheme="majorBidi" w:hAnsiTheme="majorBidi" w:cstheme="majorBidi"/>
        </w:rPr>
        <w:instrText xml:space="preserve"> QUOTE </w:instrText>
      </w:r>
      <w:r w:rsidR="000A5045" w:rsidRPr="005C179C">
        <w:rPr>
          <w:rFonts w:asciiTheme="majorBidi" w:hAnsiTheme="majorBidi" w:cstheme="majorBidi"/>
          <w:noProof/>
        </w:rPr>
        <w:drawing>
          <wp:inline distT="0" distB="0" distL="0" distR="0">
            <wp:extent cx="552450" cy="17145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552450" cy="171450"/>
                    </a:xfrm>
                    <a:prstGeom prst="rect">
                      <a:avLst/>
                    </a:prstGeom>
                    <a:noFill/>
                    <a:ln w="9525">
                      <a:noFill/>
                      <a:miter lim="800000"/>
                      <a:headEnd/>
                      <a:tailEnd/>
                    </a:ln>
                  </pic:spPr>
                </pic:pic>
              </a:graphicData>
            </a:graphic>
          </wp:inline>
        </w:drawing>
      </w:r>
      <w:r w:rsidRPr="005C179C">
        <w:rPr>
          <w:rFonts w:asciiTheme="majorBidi" w:hAnsiTheme="majorBidi" w:cstheme="majorBidi"/>
        </w:rPr>
        <w:instrText xml:space="preserve"> </w:instrText>
      </w:r>
      <w:r w:rsidRPr="005C179C">
        <w:rPr>
          <w:rFonts w:asciiTheme="majorBidi" w:hAnsiTheme="majorBidi" w:cstheme="majorBidi"/>
        </w:rPr>
        <w:fldChar w:fldCharType="end"/>
      </w:r>
      <w:r w:rsidRPr="005C179C">
        <w:rPr>
          <w:rFonts w:asciiTheme="majorBidi" w:hAnsiTheme="majorBidi" w:cstheme="majorBidi"/>
        </w:rPr>
        <w:t xml:space="preserve"> – Dummy variable. Granted to funds held by banks.</w:t>
      </w:r>
    </w:p>
    <w:p w:rsidR="00EB2B18" w:rsidRPr="005C179C" w:rsidRDefault="007848F8" w:rsidP="005C5C87">
      <w:pPr>
        <w:spacing w:line="360" w:lineRule="auto"/>
        <w:ind w:firstLine="720"/>
        <w:jc w:val="both"/>
        <w:rPr>
          <w:rFonts w:asciiTheme="majorBidi" w:hAnsiTheme="majorBidi" w:cstheme="majorBidi"/>
        </w:rPr>
      </w:pPr>
      <m:oMath>
        <m:r>
          <w:rPr>
            <w:rFonts w:ascii="Cambria Math" w:hAnsi="Cambria Math" w:cstheme="majorBidi"/>
          </w:rPr>
          <m:t>DPRV</m:t>
        </m:r>
      </m:oMath>
      <w:r w:rsidRPr="005C179C">
        <w:rPr>
          <w:rFonts w:asciiTheme="majorBidi" w:hAnsiTheme="majorBidi" w:cstheme="majorBidi"/>
        </w:rPr>
        <w:fldChar w:fldCharType="begin"/>
      </w:r>
      <w:r w:rsidRPr="005C179C">
        <w:rPr>
          <w:rFonts w:asciiTheme="majorBidi" w:hAnsiTheme="majorBidi" w:cstheme="majorBidi"/>
        </w:rPr>
        <w:instrText xml:space="preserve"> QUOTE </w:instrText>
      </w:r>
      <w:r w:rsidR="000A5045" w:rsidRPr="005C179C">
        <w:rPr>
          <w:rFonts w:asciiTheme="majorBidi" w:hAnsiTheme="majorBidi" w:cstheme="majorBidi"/>
          <w:noProof/>
        </w:rPr>
        <w:drawing>
          <wp:inline distT="0" distB="0" distL="0" distR="0">
            <wp:extent cx="419100" cy="17145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419100" cy="171450"/>
                    </a:xfrm>
                    <a:prstGeom prst="rect">
                      <a:avLst/>
                    </a:prstGeom>
                    <a:noFill/>
                    <a:ln w="9525">
                      <a:noFill/>
                      <a:miter lim="800000"/>
                      <a:headEnd/>
                      <a:tailEnd/>
                    </a:ln>
                  </pic:spPr>
                </pic:pic>
              </a:graphicData>
            </a:graphic>
          </wp:inline>
        </w:drawing>
      </w:r>
      <w:r w:rsidRPr="005C179C">
        <w:rPr>
          <w:rFonts w:asciiTheme="majorBidi" w:hAnsiTheme="majorBidi" w:cstheme="majorBidi"/>
        </w:rPr>
        <w:instrText xml:space="preserve"> </w:instrText>
      </w:r>
      <w:r w:rsidRPr="005C179C">
        <w:rPr>
          <w:rFonts w:asciiTheme="majorBidi" w:hAnsiTheme="majorBidi" w:cstheme="majorBidi"/>
        </w:rPr>
        <w:fldChar w:fldCharType="end"/>
      </w:r>
      <w:r w:rsidRPr="005C179C">
        <w:rPr>
          <w:rFonts w:asciiTheme="majorBidi" w:hAnsiTheme="majorBidi" w:cstheme="majorBidi"/>
        </w:rPr>
        <w:t xml:space="preserve"> – Dummy variable. Granted to funds held by private investment houses.</w:t>
      </w:r>
    </w:p>
    <w:p w:rsidR="00EB2B18" w:rsidRPr="005C179C" w:rsidRDefault="007848F8" w:rsidP="005C5C87">
      <w:pPr>
        <w:spacing w:line="360" w:lineRule="auto"/>
        <w:ind w:firstLine="720"/>
        <w:jc w:val="both"/>
        <w:rPr>
          <w:rFonts w:asciiTheme="majorBidi" w:hAnsiTheme="majorBidi" w:cstheme="majorBidi"/>
        </w:rPr>
      </w:pPr>
      <m:oMath>
        <m:r>
          <w:rPr>
            <w:rFonts w:ascii="Cambria Math" w:hAnsi="Cambria Math" w:cstheme="majorBidi"/>
          </w:rPr>
          <m:t>DINS</m:t>
        </m:r>
      </m:oMath>
      <w:r w:rsidRPr="005C179C">
        <w:rPr>
          <w:rFonts w:asciiTheme="majorBidi" w:hAnsiTheme="majorBidi" w:cstheme="majorBidi"/>
        </w:rPr>
        <w:fldChar w:fldCharType="begin"/>
      </w:r>
      <w:r w:rsidRPr="005C179C">
        <w:rPr>
          <w:rFonts w:asciiTheme="majorBidi" w:hAnsiTheme="majorBidi" w:cstheme="majorBidi"/>
        </w:rPr>
        <w:instrText xml:space="preserve"> QUOTE </w:instrText>
      </w:r>
      <w:r w:rsidR="000A5045" w:rsidRPr="005C179C">
        <w:rPr>
          <w:rFonts w:asciiTheme="majorBidi" w:hAnsiTheme="majorBidi" w:cstheme="majorBidi"/>
          <w:noProof/>
        </w:rPr>
        <w:drawing>
          <wp:inline distT="0" distB="0" distL="0" distR="0">
            <wp:extent cx="390525" cy="17145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390525" cy="171450"/>
                    </a:xfrm>
                    <a:prstGeom prst="rect">
                      <a:avLst/>
                    </a:prstGeom>
                    <a:noFill/>
                    <a:ln w="9525">
                      <a:noFill/>
                      <a:miter lim="800000"/>
                      <a:headEnd/>
                      <a:tailEnd/>
                    </a:ln>
                  </pic:spPr>
                </pic:pic>
              </a:graphicData>
            </a:graphic>
          </wp:inline>
        </w:drawing>
      </w:r>
      <w:r w:rsidRPr="005C179C">
        <w:rPr>
          <w:rFonts w:asciiTheme="majorBidi" w:hAnsiTheme="majorBidi" w:cstheme="majorBidi"/>
        </w:rPr>
        <w:instrText xml:space="preserve"> </w:instrText>
      </w:r>
      <w:r w:rsidRPr="005C179C">
        <w:rPr>
          <w:rFonts w:asciiTheme="majorBidi" w:hAnsiTheme="majorBidi" w:cstheme="majorBidi"/>
        </w:rPr>
        <w:fldChar w:fldCharType="end"/>
      </w:r>
      <w:r w:rsidRPr="005C179C">
        <w:rPr>
          <w:rFonts w:asciiTheme="majorBidi" w:hAnsiTheme="majorBidi" w:cstheme="majorBidi"/>
        </w:rPr>
        <w:t xml:space="preserve"> – Dummy variable. Granted to funds held by insurance firms.</w:t>
      </w:r>
    </w:p>
    <w:p w:rsidR="00EB2B18" w:rsidRPr="005C179C" w:rsidRDefault="007848F8" w:rsidP="005C5C87">
      <w:pPr>
        <w:spacing w:line="360" w:lineRule="auto"/>
        <w:ind w:left="720"/>
        <w:jc w:val="both"/>
        <w:rPr>
          <w:rFonts w:asciiTheme="majorBidi" w:hAnsiTheme="majorBidi" w:cstheme="majorBidi"/>
        </w:rPr>
      </w:pPr>
      <m:oMath>
        <m:r>
          <w:rPr>
            <w:rFonts w:ascii="Cambria Math" w:hAnsi="Cambria Math" w:cstheme="majorBidi"/>
          </w:rPr>
          <m:t>FUNDAGE</m:t>
        </m:r>
      </m:oMath>
      <w:r w:rsidRPr="005C179C">
        <w:rPr>
          <w:rFonts w:asciiTheme="majorBidi" w:hAnsiTheme="majorBidi" w:cstheme="majorBidi"/>
        </w:rPr>
        <w:t>: (Fund Age) – Discrete variable. Funds that were established before January 1999 receive the value 0. Funds that were established after January 1999 receive positive values of 1 to 80. We believe this variable is important, because it was the common practice of the banks to establish new funds, when they had, at the same time, holdings in existing funds.</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t>MNGF</w:t>
      </w:r>
      <w:r w:rsidRPr="005C179C">
        <w:rPr>
          <w:rFonts w:asciiTheme="majorBidi" w:hAnsiTheme="majorBidi" w:cstheme="majorBidi"/>
        </w:rPr>
        <w:fldChar w:fldCharType="begin"/>
      </w:r>
      <w:r w:rsidRPr="005C179C">
        <w:rPr>
          <w:rFonts w:asciiTheme="majorBidi" w:hAnsiTheme="majorBidi" w:cstheme="majorBidi"/>
        </w:rPr>
        <w:instrText xml:space="preserve"> QUOTE </w:instrText>
      </w:r>
      <w:r w:rsidR="000A5045" w:rsidRPr="005C179C">
        <w:rPr>
          <w:rFonts w:asciiTheme="majorBidi" w:hAnsiTheme="majorBidi" w:cstheme="majorBidi"/>
          <w:noProof/>
        </w:rPr>
        <w:drawing>
          <wp:inline distT="0" distB="0" distL="0" distR="0">
            <wp:extent cx="466725" cy="17145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466725" cy="171450"/>
                    </a:xfrm>
                    <a:prstGeom prst="rect">
                      <a:avLst/>
                    </a:prstGeom>
                    <a:noFill/>
                    <a:ln w="9525">
                      <a:noFill/>
                      <a:miter lim="800000"/>
                      <a:headEnd/>
                      <a:tailEnd/>
                    </a:ln>
                  </pic:spPr>
                </pic:pic>
              </a:graphicData>
            </a:graphic>
          </wp:inline>
        </w:drawing>
      </w:r>
      <w:r w:rsidRPr="005C179C">
        <w:rPr>
          <w:rFonts w:asciiTheme="majorBidi" w:hAnsiTheme="majorBidi" w:cstheme="majorBidi"/>
        </w:rPr>
        <w:instrText xml:space="preserve"> </w:instrText>
      </w:r>
      <w:r w:rsidRPr="005C179C">
        <w:rPr>
          <w:rFonts w:asciiTheme="majorBidi" w:hAnsiTheme="majorBidi" w:cstheme="majorBidi"/>
        </w:rPr>
        <w:fldChar w:fldCharType="end"/>
      </w:r>
      <w:r w:rsidRPr="005C179C">
        <w:rPr>
          <w:rFonts w:asciiTheme="majorBidi" w:hAnsiTheme="majorBidi" w:cstheme="majorBidi"/>
        </w:rPr>
        <w:t xml:space="preserve"> (Management Fee) – Measured annually, in percentages of managed assets.</w:t>
      </w:r>
    </w:p>
    <w:p w:rsidR="00EB2B18" w:rsidRPr="005C179C" w:rsidRDefault="007848F8" w:rsidP="005C5C87">
      <w:pPr>
        <w:spacing w:line="360" w:lineRule="auto"/>
        <w:ind w:firstLine="720"/>
        <w:jc w:val="both"/>
        <w:rPr>
          <w:rFonts w:asciiTheme="majorBidi" w:hAnsiTheme="majorBidi" w:cstheme="majorBidi"/>
        </w:rPr>
      </w:pPr>
      <m:oMath>
        <m:r>
          <w:rPr>
            <w:rFonts w:ascii="Cambria Math" w:hAnsi="Cambria Math" w:cstheme="majorBidi"/>
          </w:rPr>
          <m:t>SIZE</m:t>
        </m:r>
      </m:oMath>
      <w:r w:rsidRPr="005C179C">
        <w:rPr>
          <w:rFonts w:asciiTheme="majorBidi" w:hAnsiTheme="majorBidi" w:cstheme="majorBidi"/>
        </w:rPr>
        <w:fldChar w:fldCharType="begin"/>
      </w:r>
      <w:r w:rsidRPr="005C179C">
        <w:rPr>
          <w:rFonts w:asciiTheme="majorBidi" w:hAnsiTheme="majorBidi" w:cstheme="majorBidi"/>
        </w:rPr>
        <w:instrText xml:space="preserve"> QUOTE </w:instrText>
      </w:r>
      <w:r w:rsidR="000A5045" w:rsidRPr="005C179C">
        <w:rPr>
          <w:rFonts w:asciiTheme="majorBidi" w:hAnsiTheme="majorBidi" w:cstheme="majorBidi"/>
          <w:noProof/>
        </w:rPr>
        <w:drawing>
          <wp:inline distT="0" distB="0" distL="0" distR="0">
            <wp:extent cx="371475" cy="17145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371475" cy="171450"/>
                    </a:xfrm>
                    <a:prstGeom prst="rect">
                      <a:avLst/>
                    </a:prstGeom>
                    <a:noFill/>
                    <a:ln w="9525">
                      <a:noFill/>
                      <a:miter lim="800000"/>
                      <a:headEnd/>
                      <a:tailEnd/>
                    </a:ln>
                  </pic:spPr>
                </pic:pic>
              </a:graphicData>
            </a:graphic>
          </wp:inline>
        </w:drawing>
      </w:r>
      <w:r w:rsidRPr="005C179C">
        <w:rPr>
          <w:rFonts w:asciiTheme="majorBidi" w:hAnsiTheme="majorBidi" w:cstheme="majorBidi"/>
        </w:rPr>
        <w:instrText xml:space="preserve"> </w:instrText>
      </w:r>
      <w:r w:rsidRPr="005C179C">
        <w:rPr>
          <w:rFonts w:asciiTheme="majorBidi" w:hAnsiTheme="majorBidi" w:cstheme="majorBidi"/>
        </w:rPr>
        <w:fldChar w:fldCharType="end"/>
      </w:r>
      <w:r w:rsidRPr="005C179C">
        <w:rPr>
          <w:rFonts w:asciiTheme="majorBidi" w:hAnsiTheme="majorBidi" w:cstheme="majorBidi"/>
        </w:rPr>
        <w:t xml:space="preserve"> – Size of fund, in millions of NIS.</w:t>
      </w:r>
    </w:p>
    <w:p w:rsidR="00EB2B18" w:rsidRPr="005C179C" w:rsidRDefault="007848F8" w:rsidP="005C5C87">
      <w:pPr>
        <w:spacing w:line="360" w:lineRule="auto"/>
        <w:ind w:left="720"/>
        <w:jc w:val="both"/>
        <w:rPr>
          <w:rFonts w:asciiTheme="majorBidi" w:hAnsiTheme="majorBidi" w:cstheme="majorBidi"/>
        </w:rPr>
      </w:pPr>
      <m:oMath>
        <m:r>
          <w:rPr>
            <w:rFonts w:ascii="Cambria Math" w:hAnsi="Cambria Math" w:cstheme="majorBidi"/>
          </w:rPr>
          <m:t>TRL</m:t>
        </m:r>
      </m:oMath>
      <w:r w:rsidRPr="005C179C">
        <w:rPr>
          <w:rFonts w:asciiTheme="majorBidi" w:hAnsiTheme="majorBidi" w:cstheme="majorBidi"/>
        </w:rPr>
        <w:fldChar w:fldCharType="begin"/>
      </w:r>
      <w:r w:rsidRPr="005C179C">
        <w:rPr>
          <w:rFonts w:asciiTheme="majorBidi" w:hAnsiTheme="majorBidi" w:cstheme="majorBidi"/>
        </w:rPr>
        <w:instrText xml:space="preserve"> QUOTE </w:instrText>
      </w:r>
      <w:r w:rsidR="000A5045" w:rsidRPr="005C179C">
        <w:rPr>
          <w:rFonts w:asciiTheme="majorBidi" w:hAnsiTheme="majorBidi" w:cstheme="majorBidi"/>
          <w:noProof/>
        </w:rPr>
        <w:drawing>
          <wp:inline distT="0" distB="0" distL="0" distR="0">
            <wp:extent cx="314325" cy="17145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cstate="print">
                      <a:clrChange>
                        <a:clrFrom>
                          <a:srgbClr val="FFFFFF"/>
                        </a:clrFrom>
                        <a:clrTo>
                          <a:srgbClr val="FFFFFF">
                            <a:alpha val="0"/>
                          </a:srgbClr>
                        </a:clrTo>
                      </a:clrChange>
                    </a:blip>
                    <a:srcRect/>
                    <a:stretch>
                      <a:fillRect/>
                    </a:stretch>
                  </pic:blipFill>
                  <pic:spPr bwMode="auto">
                    <a:xfrm>
                      <a:off x="0" y="0"/>
                      <a:ext cx="314325" cy="171450"/>
                    </a:xfrm>
                    <a:prstGeom prst="rect">
                      <a:avLst/>
                    </a:prstGeom>
                    <a:noFill/>
                    <a:ln w="9525">
                      <a:noFill/>
                      <a:miter lim="800000"/>
                      <a:headEnd/>
                      <a:tailEnd/>
                    </a:ln>
                  </pic:spPr>
                </pic:pic>
              </a:graphicData>
            </a:graphic>
          </wp:inline>
        </w:drawing>
      </w:r>
      <w:r w:rsidRPr="005C179C">
        <w:rPr>
          <w:rFonts w:asciiTheme="majorBidi" w:hAnsiTheme="majorBidi" w:cstheme="majorBidi"/>
        </w:rPr>
        <w:instrText xml:space="preserve"> </w:instrText>
      </w:r>
      <w:r w:rsidRPr="005C179C">
        <w:rPr>
          <w:rFonts w:asciiTheme="majorBidi" w:hAnsiTheme="majorBidi" w:cstheme="majorBidi"/>
        </w:rPr>
        <w:fldChar w:fldCharType="end"/>
      </w:r>
      <w:r w:rsidRPr="005C179C">
        <w:rPr>
          <w:rFonts w:asciiTheme="majorBidi" w:hAnsiTheme="majorBidi" w:cstheme="majorBidi"/>
        </w:rPr>
        <w:t xml:space="preserve"> (Theoretic Risk Level) – Measuring the risk level of each fund’s portfolio, based on its actual holdings, as seen in December 2004 and December 2005. We have used the scorecard method to rate the assigned risk to each portfolio. Each portfolio was assigned to a rate based on a non-linear score of its risky holdings: Governmental bonds received the score of zero; high-graded corporate bonds received the score of one and so forth.</w:t>
      </w:r>
    </w:p>
    <w:p w:rsidR="00EB2B18" w:rsidRPr="005C179C" w:rsidRDefault="007848F8" w:rsidP="005C5C87">
      <w:pPr>
        <w:pStyle w:val="2"/>
        <w:numPr>
          <w:ilvl w:val="0"/>
          <w:numId w:val="27"/>
        </w:numPr>
        <w:bidi w:val="0"/>
        <w:spacing w:line="360" w:lineRule="auto"/>
        <w:rPr>
          <w:rFonts w:asciiTheme="majorBidi" w:hAnsiTheme="majorBidi" w:cstheme="majorBidi"/>
        </w:rPr>
      </w:pPr>
      <w:r w:rsidRPr="005C179C">
        <w:rPr>
          <w:rFonts w:asciiTheme="majorBidi" w:hAnsiTheme="majorBidi" w:cstheme="majorBidi"/>
        </w:rPr>
        <w:t>Results</w:t>
      </w:r>
    </w:p>
    <w:p w:rsidR="00EB2B18" w:rsidRPr="005C179C" w:rsidRDefault="007848F8" w:rsidP="005C5C87">
      <w:pPr>
        <w:spacing w:line="360" w:lineRule="auto"/>
        <w:ind w:firstLine="360"/>
        <w:jc w:val="both"/>
        <w:rPr>
          <w:rFonts w:asciiTheme="majorBidi" w:hAnsiTheme="majorBidi" w:cstheme="majorBidi"/>
        </w:rPr>
      </w:pPr>
      <w:r w:rsidRPr="005C179C">
        <w:rPr>
          <w:rFonts w:asciiTheme="majorBidi" w:hAnsiTheme="majorBidi" w:cstheme="majorBidi"/>
        </w:rPr>
        <w:t xml:space="preserve">The empirical methods we use are straightforward. We use SUR modeling to forecast simultaneously the expected values of the four relevant observations (from January until April 2005). The results have built the AFD vector. The analysis is done by OLS &amp; TSLS methods. We find there is no significant correlation with the potential of altering the OLS basic assumption of independence. It is reasonable to expect that there </w:t>
      </w:r>
      <w:r w:rsidRPr="005C179C">
        <w:rPr>
          <w:rFonts w:asciiTheme="majorBidi" w:hAnsiTheme="majorBidi" w:cstheme="majorBidi"/>
        </w:rPr>
        <w:lastRenderedPageBreak/>
        <w:t>would be an independent behavior (Sirri and Tufano, 1998) of various funds that are owned by one financial institution.</w:t>
      </w:r>
    </w:p>
    <w:p w:rsidR="00EB2B18" w:rsidRPr="005C179C" w:rsidRDefault="007848F8" w:rsidP="005C5C87">
      <w:pPr>
        <w:spacing w:line="360" w:lineRule="auto"/>
        <w:ind w:firstLine="360"/>
        <w:jc w:val="both"/>
        <w:rPr>
          <w:rFonts w:asciiTheme="majorBidi" w:hAnsiTheme="majorBidi" w:cstheme="majorBidi"/>
        </w:rPr>
      </w:pPr>
      <w:r w:rsidRPr="005C179C">
        <w:rPr>
          <w:rFonts w:asciiTheme="majorBidi" w:hAnsiTheme="majorBidi" w:cstheme="majorBidi"/>
        </w:rPr>
        <w:t>Table 4 (see Appendix) presents a summary of statistic data for the full sample of funds. Our chosen right-hand variable (NTR2004) distribution is close to normal; most of the control variables are skewed to the left, and therefore we are in the opinion that this is reasonable. The mean (monthly) fund yield for 2004 was 0.74%, while the minimum and maximum yields were -0.27% and 3.22% respectively. These figures fit Sirri and Tufano’s (1998) and Edelen’s (1999) results: the worst funds are not doing as bad as the best funds are excelling.</w:t>
      </w:r>
    </w:p>
    <w:p w:rsidR="00EB2B18" w:rsidRPr="005C179C" w:rsidRDefault="007848F8" w:rsidP="005C5C87">
      <w:pPr>
        <w:spacing w:line="360" w:lineRule="auto"/>
        <w:ind w:firstLine="360"/>
        <w:jc w:val="both"/>
        <w:rPr>
          <w:rFonts w:asciiTheme="majorBidi" w:hAnsiTheme="majorBidi" w:cstheme="majorBidi"/>
        </w:rPr>
      </w:pPr>
      <w:r w:rsidRPr="005C179C">
        <w:rPr>
          <w:rFonts w:asciiTheme="majorBidi" w:hAnsiTheme="majorBidi" w:cstheme="majorBidi"/>
        </w:rPr>
        <w:t>Table 5 (see Appendix) shows the correlation between key variables. Noteworthy correlations are bolded. The poor correlation between SIZE and NTR2004/2005 is somewhat surprising, since the larger funds are those held by the banks, and since it took place at the time in which the banks had above-average non-tradable assets. Return was correlated with management fees (0.33) and with synthetic risk (0.59). The private funds charged higher management fees (Mean: 1.39, Median: 1.41) than did the banking group (Mean: 0.70, Median 0.73). We test I1 and I2 implications by a variance test. Table 4 summarizes the results of the variance test for each cluster. For the test, we use a smoothed trend line.</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t>Given the slope of the endowment, the distinctiveness of the April 2005 (negative) endowment is clearly significant. The results support I2 directly: I2 cannot be rejected. I1 is less significant concerning all categories, except the small caps of the private sector. The poorer significance of I1 may result from several factors: (a) In the banking sector, some of the FoF was internal (e.g. a flow from one fund to another – both owned by the same bank, yet they have had disparate investment strategies and perhaps different historic returns); (b) The negative flow of April 2005 includes not only funds that at later date had moved to other funds, but also a higher-than-average net negative flow of fund withdrawals.</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t xml:space="preserve">We control for hypothesis I2 over previous Aprils. We reject hypothesis I2 for all the four </w:t>
      </w:r>
      <w:r w:rsidRPr="005C179C">
        <w:rPr>
          <w:rFonts w:asciiTheme="majorBidi" w:hAnsiTheme="majorBidi" w:cstheme="majorBidi"/>
          <w:i/>
          <w:iCs/>
        </w:rPr>
        <w:t>Aprils</w:t>
      </w:r>
      <w:r w:rsidRPr="005C179C">
        <w:rPr>
          <w:rFonts w:asciiTheme="majorBidi" w:hAnsiTheme="majorBidi" w:cstheme="majorBidi"/>
        </w:rPr>
        <w:t xml:space="preserve"> of 2001 -2004 (See Table 6).  Net deposits are not significantly different from the expected trend.</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t xml:space="preserve">Table 7 Panel A illustrates our main result presented by the following equation: </w:t>
      </w:r>
    </w:p>
    <w:p w:rsidR="00EB2B18" w:rsidRPr="005C179C" w:rsidRDefault="007848F8" w:rsidP="005C5C87">
      <w:pPr>
        <w:spacing w:line="360" w:lineRule="auto"/>
        <w:ind w:firstLine="720"/>
        <w:jc w:val="both"/>
        <w:rPr>
          <w:rFonts w:asciiTheme="majorBidi" w:hAnsiTheme="majorBidi" w:cstheme="majorBidi"/>
          <w:sz w:val="22"/>
          <w:szCs w:val="22"/>
        </w:rPr>
      </w:pPr>
      <m:oMath>
        <m:r>
          <w:rPr>
            <w:rFonts w:ascii="Cambria Math" w:hAnsi="Cambria Math" w:cstheme="majorBidi"/>
            <w:sz w:val="22"/>
            <w:szCs w:val="22"/>
          </w:rPr>
          <m:t>AFF</m:t>
        </m:r>
        <m:r>
          <w:rPr>
            <w:rFonts w:ascii="Cambria Math" w:hAnsiTheme="majorBidi" w:cstheme="majorBidi"/>
            <w:sz w:val="22"/>
            <w:szCs w:val="22"/>
          </w:rPr>
          <m:t>=</m:t>
        </m:r>
        <m:r>
          <w:rPr>
            <w:rFonts w:ascii="Cambria Math" w:hAnsi="Cambria Math" w:cstheme="majorBidi"/>
            <w:sz w:val="22"/>
            <w:szCs w:val="22"/>
          </w:rPr>
          <m:t>α</m:t>
        </m:r>
        <m:r>
          <w:rPr>
            <w:rFonts w:ascii="Cambria Math" w:hAnsiTheme="majorBidi" w:cstheme="majorBidi"/>
            <w:sz w:val="22"/>
            <w:szCs w:val="22"/>
          </w:rPr>
          <m:t>+</m:t>
        </m:r>
        <m:sSub>
          <m:sSubPr>
            <m:ctrlPr>
              <w:rPr>
                <w:rFonts w:ascii="Cambria Math" w:hAnsiTheme="majorBidi" w:cstheme="majorBidi"/>
                <w:i/>
                <w:sz w:val="22"/>
                <w:szCs w:val="22"/>
              </w:rPr>
            </m:ctrlPr>
          </m:sSubPr>
          <m:e>
            <m:r>
              <w:rPr>
                <w:rFonts w:ascii="Cambria Math" w:hAnsi="Cambria Math" w:cstheme="majorBidi"/>
                <w:sz w:val="22"/>
                <w:szCs w:val="22"/>
              </w:rPr>
              <m:t>β</m:t>
            </m:r>
          </m:e>
          <m:sub>
            <m:r>
              <w:rPr>
                <w:rFonts w:ascii="Cambria Math" w:hAnsiTheme="majorBidi" w:cstheme="majorBidi"/>
                <w:sz w:val="22"/>
                <w:szCs w:val="22"/>
              </w:rPr>
              <m:t>1</m:t>
            </m:r>
          </m:sub>
        </m:sSub>
        <m:r>
          <w:rPr>
            <w:rFonts w:ascii="Cambria Math" w:hAnsi="Cambria Math" w:cstheme="majorBidi"/>
            <w:sz w:val="22"/>
            <w:szCs w:val="22"/>
          </w:rPr>
          <m:t>NTR</m:t>
        </m:r>
        <m:r>
          <w:rPr>
            <w:rFonts w:ascii="Cambria Math" w:hAnsiTheme="majorBidi" w:cstheme="majorBidi"/>
            <w:sz w:val="22"/>
            <w:szCs w:val="22"/>
          </w:rPr>
          <m:t>2004+</m:t>
        </m:r>
        <m:sSub>
          <m:sSubPr>
            <m:ctrlPr>
              <w:rPr>
                <w:rFonts w:ascii="Cambria Math" w:hAnsiTheme="majorBidi" w:cstheme="majorBidi"/>
                <w:i/>
                <w:sz w:val="22"/>
                <w:szCs w:val="22"/>
              </w:rPr>
            </m:ctrlPr>
          </m:sSubPr>
          <m:e>
            <m:r>
              <w:rPr>
                <w:rFonts w:ascii="Cambria Math" w:hAnsi="Cambria Math" w:cstheme="majorBidi"/>
                <w:sz w:val="22"/>
                <w:szCs w:val="22"/>
              </w:rPr>
              <m:t>β</m:t>
            </m:r>
          </m:e>
          <m:sub>
            <m:r>
              <w:rPr>
                <w:rFonts w:ascii="Cambria Math" w:hAnsiTheme="majorBidi" w:cstheme="majorBidi"/>
                <w:sz w:val="22"/>
                <w:szCs w:val="22"/>
              </w:rPr>
              <m:t>2</m:t>
            </m:r>
          </m:sub>
        </m:sSub>
        <m:r>
          <w:rPr>
            <w:rFonts w:ascii="Cambria Math" w:hAnsi="Cambria Math" w:cstheme="majorBidi"/>
            <w:sz w:val="22"/>
            <w:szCs w:val="22"/>
          </w:rPr>
          <m:t>R</m:t>
        </m:r>
        <m:r>
          <w:rPr>
            <w:rFonts w:ascii="Cambria Math" w:hAnsiTheme="majorBidi" w:cstheme="majorBidi"/>
            <w:sz w:val="22"/>
            <w:szCs w:val="22"/>
          </w:rPr>
          <m:t>2004+</m:t>
        </m:r>
        <m:sSub>
          <m:sSubPr>
            <m:ctrlPr>
              <w:rPr>
                <w:rFonts w:ascii="Cambria Math" w:hAnsiTheme="majorBidi" w:cstheme="majorBidi"/>
                <w:i/>
                <w:sz w:val="22"/>
                <w:szCs w:val="22"/>
              </w:rPr>
            </m:ctrlPr>
          </m:sSubPr>
          <m:e>
            <m:r>
              <w:rPr>
                <w:rFonts w:ascii="Cambria Math" w:hAnsi="Cambria Math" w:cstheme="majorBidi"/>
                <w:sz w:val="22"/>
                <w:szCs w:val="22"/>
              </w:rPr>
              <m:t>β</m:t>
            </m:r>
          </m:e>
          <m:sub>
            <m:r>
              <w:rPr>
                <w:rFonts w:ascii="Cambria Math" w:hAnsiTheme="majorBidi" w:cstheme="majorBidi"/>
                <w:sz w:val="22"/>
                <w:szCs w:val="22"/>
              </w:rPr>
              <m:t>3</m:t>
            </m:r>
          </m:sub>
        </m:sSub>
        <m:r>
          <w:rPr>
            <w:rFonts w:ascii="Cambria Math" w:hAnsi="Cambria Math" w:cstheme="majorBidi"/>
            <w:sz w:val="22"/>
            <w:szCs w:val="22"/>
          </w:rPr>
          <m:t>MNGF</m:t>
        </m:r>
        <m:r>
          <w:rPr>
            <w:rFonts w:ascii="Cambria Math" w:hAnsiTheme="majorBidi" w:cstheme="majorBidi"/>
            <w:sz w:val="22"/>
            <w:szCs w:val="22"/>
          </w:rPr>
          <m:t>+</m:t>
        </m:r>
        <m:sSub>
          <m:sSubPr>
            <m:ctrlPr>
              <w:rPr>
                <w:rFonts w:ascii="Cambria Math" w:hAnsiTheme="majorBidi" w:cstheme="majorBidi"/>
                <w:i/>
                <w:sz w:val="22"/>
                <w:szCs w:val="22"/>
              </w:rPr>
            </m:ctrlPr>
          </m:sSubPr>
          <m:e>
            <m:r>
              <w:rPr>
                <w:rFonts w:ascii="Cambria Math" w:hAnsi="Cambria Math" w:cstheme="majorBidi"/>
                <w:sz w:val="22"/>
                <w:szCs w:val="22"/>
              </w:rPr>
              <m:t>β</m:t>
            </m:r>
          </m:e>
          <m:sub>
            <m:r>
              <w:rPr>
                <w:rFonts w:ascii="Cambria Math" w:hAnsiTheme="majorBidi" w:cstheme="majorBidi"/>
                <w:sz w:val="22"/>
                <w:szCs w:val="22"/>
              </w:rPr>
              <m:t>4</m:t>
            </m:r>
          </m:sub>
        </m:sSub>
        <m:r>
          <w:rPr>
            <w:rFonts w:ascii="Cambria Math" w:hAnsi="Cambria Math" w:cstheme="majorBidi"/>
            <w:sz w:val="22"/>
            <w:szCs w:val="22"/>
          </w:rPr>
          <m:t>SIZE</m:t>
        </m:r>
      </m:oMath>
      <w:r w:rsidRPr="005C179C">
        <w:rPr>
          <w:rFonts w:asciiTheme="majorBidi" w:hAnsiTheme="majorBidi" w:cstheme="majorBidi"/>
          <w:sz w:val="22"/>
          <w:szCs w:val="22"/>
        </w:rPr>
        <w:t>+</w:t>
      </w:r>
      <m:oMath>
        <m:sSub>
          <m:sSubPr>
            <m:ctrlPr>
              <w:rPr>
                <w:rFonts w:ascii="Cambria Math" w:hAnsiTheme="majorBidi" w:cstheme="majorBidi"/>
                <w:i/>
                <w:sz w:val="22"/>
                <w:szCs w:val="22"/>
              </w:rPr>
            </m:ctrlPr>
          </m:sSubPr>
          <m:e>
            <m:r>
              <w:rPr>
                <w:rFonts w:ascii="Cambria Math" w:hAnsi="Cambria Math" w:cstheme="majorBidi"/>
                <w:sz w:val="22"/>
                <w:szCs w:val="22"/>
              </w:rPr>
              <m:t>β</m:t>
            </m:r>
          </m:e>
          <m:sub>
            <m:r>
              <w:rPr>
                <w:rFonts w:ascii="Cambria Math" w:hAnsiTheme="majorBidi" w:cstheme="majorBidi"/>
                <w:sz w:val="22"/>
                <w:szCs w:val="22"/>
              </w:rPr>
              <m:t>5</m:t>
            </m:r>
          </m:sub>
        </m:sSub>
        <m:r>
          <w:rPr>
            <w:rFonts w:ascii="Cambria Math" w:hAnsi="Cambria Math" w:cstheme="majorBidi"/>
            <w:sz w:val="22"/>
            <w:szCs w:val="22"/>
          </w:rPr>
          <m:t>TRL</m:t>
        </m:r>
        <m:r>
          <w:rPr>
            <w:rFonts w:ascii="Cambria Math" w:hAnsiTheme="majorBidi" w:cstheme="majorBidi"/>
            <w:sz w:val="22"/>
            <w:szCs w:val="22"/>
          </w:rPr>
          <m:t>+</m:t>
        </m:r>
        <m:sSub>
          <m:sSubPr>
            <m:ctrlPr>
              <w:rPr>
                <w:rFonts w:ascii="Cambria Math" w:hAnsiTheme="majorBidi" w:cstheme="majorBidi"/>
                <w:i/>
                <w:sz w:val="22"/>
                <w:szCs w:val="22"/>
              </w:rPr>
            </m:ctrlPr>
          </m:sSubPr>
          <m:e>
            <m:r>
              <w:rPr>
                <w:rFonts w:ascii="Cambria Math" w:hAnsi="Cambria Math" w:cstheme="majorBidi"/>
                <w:sz w:val="22"/>
                <w:szCs w:val="22"/>
              </w:rPr>
              <m:t>β</m:t>
            </m:r>
          </m:e>
          <m:sub>
            <m:r>
              <w:rPr>
                <w:rFonts w:ascii="Cambria Math" w:hAnsiTheme="majorBidi" w:cstheme="majorBidi"/>
                <w:sz w:val="22"/>
                <w:szCs w:val="22"/>
              </w:rPr>
              <m:t>6</m:t>
            </m:r>
          </m:sub>
        </m:sSub>
        <m:sSub>
          <m:sSubPr>
            <m:ctrlPr>
              <w:rPr>
                <w:rFonts w:ascii="Cambria Math" w:hAnsiTheme="majorBidi" w:cstheme="majorBidi"/>
                <w:i/>
                <w:sz w:val="22"/>
                <w:szCs w:val="22"/>
              </w:rPr>
            </m:ctrlPr>
          </m:sSubPr>
          <m:e>
            <m:r>
              <w:rPr>
                <w:rFonts w:ascii="Cambria Math" w:hAnsi="Cambria Math" w:cstheme="majorBidi"/>
                <w:sz w:val="22"/>
                <w:szCs w:val="22"/>
              </w:rPr>
              <m:t>D</m:t>
            </m:r>
          </m:e>
          <m:sub>
            <m:r>
              <w:rPr>
                <w:rFonts w:ascii="Cambria Math" w:hAnsi="Cambria Math" w:cstheme="majorBidi"/>
                <w:sz w:val="22"/>
                <w:szCs w:val="22"/>
              </w:rPr>
              <m:t>i</m:t>
            </m:r>
          </m:sub>
        </m:sSub>
        <m:r>
          <w:rPr>
            <w:rFonts w:ascii="Cambria Math" w:hAnsiTheme="majorBidi" w:cstheme="majorBidi"/>
            <w:sz w:val="22"/>
            <w:szCs w:val="22"/>
          </w:rPr>
          <m:t>+</m:t>
        </m:r>
        <m:r>
          <w:rPr>
            <w:rFonts w:ascii="Cambria Math" w:hAnsi="Cambria Math" w:cstheme="majorBidi"/>
            <w:sz w:val="22"/>
            <w:szCs w:val="22"/>
          </w:rPr>
          <m:t>ε</m:t>
        </m:r>
      </m:oMath>
      <w:r w:rsidRPr="005C179C">
        <w:rPr>
          <w:rFonts w:asciiTheme="majorBidi" w:hAnsiTheme="majorBidi" w:cstheme="majorBidi"/>
          <w:sz w:val="22"/>
          <w:szCs w:val="22"/>
        </w:rPr>
        <w:t xml:space="preserve">   (5.1)</w:t>
      </w:r>
    </w:p>
    <w:p w:rsidR="00EB2B18" w:rsidRPr="005C179C" w:rsidRDefault="00EB2B18" w:rsidP="005C5C87">
      <w:pPr>
        <w:spacing w:line="360" w:lineRule="auto"/>
        <w:ind w:firstLine="720"/>
        <w:jc w:val="both"/>
        <w:rPr>
          <w:rFonts w:asciiTheme="majorBidi" w:hAnsiTheme="majorBidi" w:cstheme="majorBidi"/>
        </w:rPr>
      </w:pP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t xml:space="preserve"> Additional equations, estimated with various sets of regressors and variable manipulations, are shown in panels B and C of table 7. In all equations, the left-hand variable is </w:t>
      </w:r>
      <w:r w:rsidRPr="005C179C">
        <w:rPr>
          <w:rFonts w:asciiTheme="majorBidi" w:hAnsiTheme="majorBidi" w:cstheme="majorBidi"/>
          <w:bCs/>
          <w:i/>
          <w:iCs/>
        </w:rPr>
        <w:t>AFF</w:t>
      </w:r>
      <w:r w:rsidRPr="005C179C">
        <w:rPr>
          <w:rFonts w:asciiTheme="majorBidi" w:hAnsiTheme="majorBidi" w:cstheme="majorBidi"/>
          <w:b/>
        </w:rPr>
        <w:t xml:space="preserve">, </w:t>
      </w:r>
      <w:r w:rsidRPr="005C179C">
        <w:rPr>
          <w:rFonts w:asciiTheme="majorBidi" w:hAnsiTheme="majorBidi" w:cstheme="majorBidi"/>
          <w:bCs/>
        </w:rPr>
        <w:t>and we are interested in</w:t>
      </w:r>
      <w:r w:rsidRPr="005C179C">
        <w:rPr>
          <w:rFonts w:asciiTheme="majorBidi" w:hAnsiTheme="majorBidi" w:cstheme="majorBidi"/>
        </w:rPr>
        <w:t xml:space="preserve"> NTR2004.</w:t>
      </w:r>
      <w:r w:rsidRPr="005C179C">
        <w:rPr>
          <w:rFonts w:asciiTheme="majorBidi" w:hAnsiTheme="majorBidi" w:cstheme="majorBidi"/>
          <w:vertAlign w:val="subscript"/>
        </w:rPr>
        <w:t xml:space="preserve"> </w:t>
      </w:r>
      <m:oMath>
        <m:sSup>
          <m:sSupPr>
            <m:ctrlPr>
              <w:rPr>
                <w:rFonts w:ascii="Cambria Math" w:hAnsiTheme="majorBidi" w:cstheme="majorBidi"/>
                <w:i/>
                <w:vertAlign w:val="subscript"/>
              </w:rPr>
            </m:ctrlPr>
          </m:sSupPr>
          <m:e>
            <m:r>
              <w:rPr>
                <w:rFonts w:ascii="Cambria Math" w:hAnsi="Cambria Math" w:cstheme="majorBidi"/>
                <w:vertAlign w:val="subscript"/>
              </w:rPr>
              <m:t>R</m:t>
            </m:r>
          </m:e>
          <m:sup>
            <m:r>
              <w:rPr>
                <w:rFonts w:ascii="Cambria Math" w:hAnsiTheme="majorBidi" w:cstheme="majorBidi"/>
                <w:vertAlign w:val="subscript"/>
              </w:rPr>
              <m:t>2</m:t>
            </m:r>
          </m:sup>
        </m:sSup>
      </m:oMath>
      <w:r w:rsidRPr="005C179C">
        <w:rPr>
          <w:rFonts w:asciiTheme="majorBidi" w:hAnsiTheme="majorBidi" w:cstheme="majorBidi"/>
          <w:vertAlign w:val="subscript"/>
        </w:rPr>
        <w:t xml:space="preserve"> </w:t>
      </w:r>
      <w:r w:rsidRPr="005C179C">
        <w:rPr>
          <w:rFonts w:asciiTheme="majorBidi" w:hAnsiTheme="majorBidi" w:cstheme="majorBidi"/>
        </w:rPr>
        <w:t xml:space="preserve">in all equations is in the range between 0.15 and 0.18. NTR2004 is robust to a series of manipulations. Our main hypothesis I3+I4 are jointly estimated; I3+I4 cannot be rejected. The rate of non-tradable assets in a given portfolio </w:t>
      </w:r>
      <m:oMath>
        <m:r>
          <w:rPr>
            <w:rFonts w:ascii="Cambria Math" w:hAnsi="Cambria Math" w:cstheme="majorBidi"/>
          </w:rPr>
          <m:t>i</m:t>
        </m:r>
      </m:oMath>
      <w:r w:rsidRPr="005C179C">
        <w:rPr>
          <w:rFonts w:asciiTheme="majorBidi" w:hAnsiTheme="majorBidi" w:cstheme="majorBidi"/>
        </w:rPr>
        <w:t xml:space="preserve"> is a significant factor for the allocation decisions of the investors. In all regressions, the raw return (</w:t>
      </w:r>
      <w:r w:rsidRPr="005C179C">
        <w:rPr>
          <w:rFonts w:asciiTheme="majorBidi" w:hAnsiTheme="majorBidi" w:cstheme="majorBidi"/>
        </w:rPr>
        <w:fldChar w:fldCharType="begin"/>
      </w:r>
      <w:r w:rsidRPr="005C179C">
        <w:rPr>
          <w:rFonts w:asciiTheme="majorBidi" w:hAnsiTheme="majorBidi" w:cstheme="majorBidi"/>
        </w:rPr>
        <w:instrText xml:space="preserve"> QUOTE </w:instrText>
      </w:r>
      <w:r w:rsidR="000A5045" w:rsidRPr="005C179C">
        <w:rPr>
          <w:rFonts w:asciiTheme="majorBidi" w:hAnsiTheme="majorBidi" w:cstheme="majorBidi"/>
          <w:noProof/>
        </w:rPr>
        <w:drawing>
          <wp:inline distT="0" distB="0" distL="0" distR="0">
            <wp:extent cx="457200" cy="17145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cstate="print">
                      <a:clrChange>
                        <a:clrFrom>
                          <a:srgbClr val="FFFFFF"/>
                        </a:clrFrom>
                        <a:clrTo>
                          <a:srgbClr val="FFFFFF">
                            <a:alpha val="0"/>
                          </a:srgbClr>
                        </a:clrTo>
                      </a:clrChange>
                    </a:blip>
                    <a:srcRect/>
                    <a:stretch>
                      <a:fillRect/>
                    </a:stretch>
                  </pic:blipFill>
                  <pic:spPr bwMode="auto">
                    <a:xfrm>
                      <a:off x="0" y="0"/>
                      <a:ext cx="457200" cy="171450"/>
                    </a:xfrm>
                    <a:prstGeom prst="rect">
                      <a:avLst/>
                    </a:prstGeom>
                    <a:noFill/>
                    <a:ln w="9525">
                      <a:noFill/>
                      <a:miter lim="800000"/>
                      <a:headEnd/>
                      <a:tailEnd/>
                    </a:ln>
                  </pic:spPr>
                </pic:pic>
              </a:graphicData>
            </a:graphic>
          </wp:inline>
        </w:drawing>
      </w:r>
      <w:r w:rsidRPr="005C179C">
        <w:rPr>
          <w:rFonts w:asciiTheme="majorBidi" w:hAnsiTheme="majorBidi" w:cstheme="majorBidi"/>
        </w:rPr>
        <w:instrText xml:space="preserve"> </w:instrText>
      </w:r>
      <w:r w:rsidRPr="005C179C">
        <w:rPr>
          <w:rFonts w:asciiTheme="majorBidi" w:hAnsiTheme="majorBidi" w:cstheme="majorBidi"/>
        </w:rPr>
        <w:fldChar w:fldCharType="separate"/>
      </w:r>
      <m:oMath>
        <m:r>
          <m:rPr>
            <m:sty m:val="p"/>
          </m:rPr>
          <w:rPr>
            <w:rFonts w:ascii="Cambria Math" w:hAnsi="Cambria Math" w:cstheme="majorBidi"/>
          </w:rPr>
          <m:t>R</m:t>
        </m:r>
        <m:r>
          <m:rPr>
            <m:sty m:val="p"/>
          </m:rPr>
          <w:rPr>
            <w:rFonts w:ascii="Cambria Math" w:hAnsiTheme="majorBidi" w:cstheme="majorBidi"/>
          </w:rPr>
          <m:t>2004</m:t>
        </m:r>
      </m:oMath>
      <w:r w:rsidRPr="005C179C">
        <w:rPr>
          <w:rFonts w:asciiTheme="majorBidi" w:hAnsiTheme="majorBidi" w:cstheme="majorBidi"/>
        </w:rPr>
        <w:fldChar w:fldCharType="end"/>
      </w:r>
      <w:r w:rsidRPr="005C179C">
        <w:rPr>
          <w:rFonts w:asciiTheme="majorBidi" w:hAnsiTheme="majorBidi" w:cstheme="majorBidi"/>
        </w:rPr>
        <w:t xml:space="preserve"> and </w:t>
      </w:r>
      <w:r w:rsidRPr="005C179C">
        <w:rPr>
          <w:rFonts w:asciiTheme="majorBidi" w:hAnsiTheme="majorBidi" w:cstheme="majorBidi"/>
        </w:rPr>
        <w:fldChar w:fldCharType="begin"/>
      </w:r>
      <w:r w:rsidRPr="005C179C">
        <w:rPr>
          <w:rFonts w:asciiTheme="majorBidi" w:hAnsiTheme="majorBidi" w:cstheme="majorBidi"/>
        </w:rPr>
        <w:instrText xml:space="preserve"> QUOTE </w:instrText>
      </w:r>
      <w:r w:rsidR="000A5045" w:rsidRPr="005C179C">
        <w:rPr>
          <w:rFonts w:asciiTheme="majorBidi" w:hAnsiTheme="majorBidi" w:cstheme="majorBidi"/>
          <w:noProof/>
        </w:rPr>
        <w:drawing>
          <wp:inline distT="0" distB="0" distL="0" distR="0">
            <wp:extent cx="533400" cy="171450"/>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2" cstate="print">
                      <a:clrChange>
                        <a:clrFrom>
                          <a:srgbClr val="FFFFFF"/>
                        </a:clrFrom>
                        <a:clrTo>
                          <a:srgbClr val="FFFFFF">
                            <a:alpha val="0"/>
                          </a:srgbClr>
                        </a:clrTo>
                      </a:clrChange>
                    </a:blip>
                    <a:srcRect/>
                    <a:stretch>
                      <a:fillRect/>
                    </a:stretch>
                  </pic:blipFill>
                  <pic:spPr bwMode="auto">
                    <a:xfrm>
                      <a:off x="0" y="0"/>
                      <a:ext cx="533400" cy="171450"/>
                    </a:xfrm>
                    <a:prstGeom prst="rect">
                      <a:avLst/>
                    </a:prstGeom>
                    <a:noFill/>
                    <a:ln w="9525">
                      <a:noFill/>
                      <a:miter lim="800000"/>
                      <a:headEnd/>
                      <a:tailEnd/>
                    </a:ln>
                  </pic:spPr>
                </pic:pic>
              </a:graphicData>
            </a:graphic>
          </wp:inline>
        </w:drawing>
      </w:r>
      <w:r w:rsidRPr="005C179C">
        <w:rPr>
          <w:rFonts w:asciiTheme="majorBidi" w:hAnsiTheme="majorBidi" w:cstheme="majorBidi"/>
        </w:rPr>
        <w:instrText xml:space="preserve"> </w:instrText>
      </w:r>
      <w:r w:rsidRPr="005C179C">
        <w:rPr>
          <w:rFonts w:asciiTheme="majorBidi" w:hAnsiTheme="majorBidi" w:cstheme="majorBidi"/>
        </w:rPr>
        <w:fldChar w:fldCharType="separate"/>
      </w:r>
      <m:oMath>
        <m:r>
          <m:rPr>
            <m:sty m:val="p"/>
          </m:rPr>
          <w:rPr>
            <w:rFonts w:ascii="Cambria Math" w:hAnsi="Cambria Math" w:cstheme="majorBidi"/>
            <w:noProof/>
          </w:rPr>
          <m:t>R</m:t>
        </m:r>
        <m:r>
          <m:rPr>
            <m:sty m:val="p"/>
          </m:rPr>
          <w:rPr>
            <w:rFonts w:ascii="Cambria Math" w:hAnsiTheme="majorBidi" w:cstheme="majorBidi"/>
            <w:noProof/>
          </w:rPr>
          <m:t>20034</m:t>
        </m:r>
      </m:oMath>
      <w:r w:rsidRPr="005C179C">
        <w:rPr>
          <w:rFonts w:asciiTheme="majorBidi" w:hAnsiTheme="majorBidi" w:cstheme="majorBidi"/>
        </w:rPr>
        <w:fldChar w:fldCharType="end"/>
      </w:r>
      <w:r w:rsidRPr="005C179C">
        <w:rPr>
          <w:rFonts w:asciiTheme="majorBidi" w:hAnsiTheme="majorBidi" w:cstheme="majorBidi"/>
        </w:rPr>
        <w:t xml:space="preserve">) is significant, while risk-adjusted </w:t>
      </w:r>
      <m:oMath>
        <m:r>
          <w:rPr>
            <w:rFonts w:ascii="Cambria Math" w:hAnsiTheme="majorBidi" w:cstheme="majorBidi"/>
          </w:rPr>
          <m:t>(</m:t>
        </m:r>
        <m:r>
          <w:rPr>
            <w:rFonts w:ascii="Cambria Math" w:hAnsi="Cambria Math" w:cstheme="majorBidi"/>
          </w:rPr>
          <m:t>RAR</m:t>
        </m:r>
        <m:r>
          <w:rPr>
            <w:rFonts w:ascii="Cambria Math" w:hAnsiTheme="majorBidi" w:cstheme="majorBidi"/>
          </w:rPr>
          <m:t>2004)</m:t>
        </m:r>
      </m:oMath>
      <w:r w:rsidRPr="005C179C">
        <w:rPr>
          <w:rFonts w:asciiTheme="majorBidi" w:hAnsiTheme="majorBidi" w:cstheme="majorBidi"/>
        </w:rPr>
        <w:t xml:space="preserve"> return is </w:t>
      </w:r>
      <w:r w:rsidRPr="005C179C">
        <w:rPr>
          <w:rFonts w:asciiTheme="majorBidi" w:hAnsiTheme="majorBidi" w:cstheme="majorBidi"/>
        </w:rPr>
        <w:lastRenderedPageBreak/>
        <w:t>not. These results are robust over various time frames, which are reflected in the variables (one quarter to eight quarters’ frame). I5 was rejected in all equations.</w:t>
      </w:r>
    </w:p>
    <w:p w:rsidR="00EB2B18" w:rsidRPr="005C179C" w:rsidRDefault="007848F8" w:rsidP="005C5C87">
      <w:pPr>
        <w:pStyle w:val="4"/>
        <w:spacing w:line="360" w:lineRule="auto"/>
        <w:ind w:left="720" w:firstLine="720"/>
        <w:rPr>
          <w:rFonts w:asciiTheme="majorBidi" w:hAnsiTheme="majorBidi" w:cstheme="majorBidi"/>
        </w:rPr>
      </w:pPr>
      <w:r w:rsidRPr="005C179C">
        <w:rPr>
          <w:rFonts w:asciiTheme="majorBidi" w:hAnsiTheme="majorBidi" w:cstheme="majorBidi"/>
        </w:rPr>
        <w:t xml:space="preserve">5.1 Robustness Tests </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t xml:space="preserve">Many of the new funds underwent a significant portfolio change during 2005. Having a growing positive net FoF and 75% of the new bond offerings from Illiquid, many of the funds, which had low rates of NTR in their portfolios at December 2004, had higher-than-average NTR rates one year later. The bank-owned funds are exceptions: by way of a response to the private funds, many of the banks have launched new funds that had had higher rates of risky assets; these new funds procure higher returns. We use the set of bank-owned funds merely for the sake of testing the robustness over time. Table 7 panel B shows the results for the sample of bank-owned funds only.  Table 7 Panel C is a variation of equation 5.4: </w:t>
      </w:r>
    </w:p>
    <w:p w:rsidR="00EB2B18" w:rsidRPr="005C179C" w:rsidRDefault="007848F8" w:rsidP="005C5C87">
      <w:pPr>
        <w:spacing w:line="360" w:lineRule="auto"/>
        <w:rPr>
          <w:rFonts w:asciiTheme="majorBidi" w:hAnsiTheme="majorBidi" w:cstheme="majorBidi"/>
        </w:rPr>
      </w:pPr>
      <w:r w:rsidRPr="005C179C">
        <w:rPr>
          <w:rFonts w:asciiTheme="majorBidi" w:hAnsiTheme="majorBidi" w:cstheme="majorBidi"/>
        </w:rPr>
        <w:fldChar w:fldCharType="begin"/>
      </w:r>
      <w:r w:rsidRPr="005C179C">
        <w:rPr>
          <w:rFonts w:asciiTheme="majorBidi" w:hAnsiTheme="majorBidi" w:cstheme="majorBidi"/>
        </w:rPr>
        <w:instrText xml:space="preserve"> QUOTE </w:instrText>
      </w:r>
      <w:r w:rsidR="000A5045" w:rsidRPr="005C179C">
        <w:rPr>
          <w:rFonts w:asciiTheme="majorBidi" w:hAnsiTheme="majorBidi" w:cstheme="majorBidi"/>
          <w:noProof/>
        </w:rPr>
        <w:drawing>
          <wp:inline distT="0" distB="0" distL="0" distR="0">
            <wp:extent cx="3524250" cy="171450"/>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3" cstate="print">
                      <a:clrChange>
                        <a:clrFrom>
                          <a:srgbClr val="FFFFFF"/>
                        </a:clrFrom>
                        <a:clrTo>
                          <a:srgbClr val="FFFFFF">
                            <a:alpha val="0"/>
                          </a:srgbClr>
                        </a:clrTo>
                      </a:clrChange>
                    </a:blip>
                    <a:srcRect/>
                    <a:stretch>
                      <a:fillRect/>
                    </a:stretch>
                  </pic:blipFill>
                  <pic:spPr bwMode="auto">
                    <a:xfrm>
                      <a:off x="0" y="0"/>
                      <a:ext cx="3524250" cy="171450"/>
                    </a:xfrm>
                    <a:prstGeom prst="rect">
                      <a:avLst/>
                    </a:prstGeom>
                    <a:noFill/>
                    <a:ln w="9525">
                      <a:noFill/>
                      <a:miter lim="800000"/>
                      <a:headEnd/>
                      <a:tailEnd/>
                    </a:ln>
                  </pic:spPr>
                </pic:pic>
              </a:graphicData>
            </a:graphic>
          </wp:inline>
        </w:drawing>
      </w:r>
      <w:r w:rsidRPr="005C179C">
        <w:rPr>
          <w:rFonts w:asciiTheme="majorBidi" w:hAnsiTheme="majorBidi" w:cstheme="majorBidi"/>
        </w:rPr>
        <w:instrText xml:space="preserve"> </w:instrText>
      </w:r>
      <w:r w:rsidRPr="005C179C">
        <w:rPr>
          <w:rFonts w:asciiTheme="majorBidi" w:hAnsiTheme="majorBidi" w:cstheme="majorBidi"/>
        </w:rPr>
        <w:fldChar w:fldCharType="separate"/>
      </w:r>
      <m:oMath>
        <m:r>
          <m:rPr>
            <m:sty m:val="p"/>
          </m:rPr>
          <w:rPr>
            <w:rFonts w:ascii="Cambria Math" w:hAnsiTheme="majorBidi" w:cstheme="majorBidi"/>
          </w:rPr>
          <m:t xml:space="preserve"> </m:t>
        </m:r>
        <m:r>
          <m:rPr>
            <m:sty m:val="p"/>
          </m:rPr>
          <w:rPr>
            <w:rFonts w:ascii="Cambria Math" w:hAnsi="Cambria Math" w:cstheme="majorBidi"/>
          </w:rPr>
          <m:t>AFF</m:t>
        </m:r>
        <m:r>
          <m:rPr>
            <m:sty m:val="p"/>
          </m:rPr>
          <w:rPr>
            <w:rFonts w:ascii="Cambria Math" w:hAnsiTheme="majorBidi" w:cstheme="majorBidi"/>
          </w:rPr>
          <m:t>=</m:t>
        </m:r>
        <m:r>
          <m:rPr>
            <m:sty m:val="p"/>
          </m:rPr>
          <w:rPr>
            <w:rFonts w:ascii="Cambria Math" w:hAnsi="Cambria Math" w:cstheme="majorBidi" w:hint="eastAsia"/>
          </w:rPr>
          <m:t>α</m:t>
        </m:r>
        <m:r>
          <m:rPr>
            <m:sty m:val="p"/>
          </m:rPr>
          <w:rPr>
            <w:rFonts w:ascii="Cambria Math" w:hAnsiTheme="majorBidi" w:cstheme="majorBidi"/>
          </w:rPr>
          <m:t>+</m:t>
        </m:r>
        <m:sSub>
          <m:sSubPr>
            <m:ctrlPr>
              <w:rPr>
                <w:rFonts w:ascii="Cambria Math" w:hAnsiTheme="majorBidi" w:cstheme="majorBidi"/>
                <w:i/>
              </w:rPr>
            </m:ctrlPr>
          </m:sSubPr>
          <m:e>
            <m:r>
              <m:rPr>
                <m:sty m:val="p"/>
              </m:rPr>
              <w:rPr>
                <w:rFonts w:ascii="Cambria Math" w:hAnsi="Cambria Math" w:cstheme="majorBidi" w:hint="eastAsia"/>
              </w:rPr>
              <m:t>β</m:t>
            </m:r>
          </m:e>
          <m:sub>
            <m:r>
              <m:rPr>
                <m:sty m:val="p"/>
              </m:rPr>
              <w:rPr>
                <w:rFonts w:ascii="Cambria Math" w:hAnsiTheme="majorBidi" w:cstheme="majorBidi"/>
              </w:rPr>
              <m:t>1</m:t>
            </m:r>
          </m:sub>
        </m:sSub>
        <m:r>
          <m:rPr>
            <m:sty m:val="p"/>
          </m:rPr>
          <w:rPr>
            <w:rFonts w:ascii="Cambria Math" w:hAnsi="Cambria Math" w:cstheme="majorBidi"/>
          </w:rPr>
          <m:t>NTR</m:t>
        </m:r>
        <m:r>
          <m:rPr>
            <m:sty m:val="p"/>
          </m:rPr>
          <w:rPr>
            <w:rFonts w:ascii="Cambria Math" w:hAnsiTheme="majorBidi" w:cstheme="majorBidi"/>
          </w:rPr>
          <m:t>2005+</m:t>
        </m:r>
        <m:sSub>
          <m:sSubPr>
            <m:ctrlPr>
              <w:rPr>
                <w:rFonts w:ascii="Cambria Math" w:hAnsiTheme="majorBidi" w:cstheme="majorBidi"/>
                <w:i/>
              </w:rPr>
            </m:ctrlPr>
          </m:sSubPr>
          <m:e>
            <m:r>
              <m:rPr>
                <m:sty m:val="p"/>
              </m:rPr>
              <w:rPr>
                <w:rFonts w:ascii="Cambria Math" w:hAnsi="Cambria Math" w:cstheme="majorBidi" w:hint="eastAsia"/>
              </w:rPr>
              <m:t>β</m:t>
            </m:r>
          </m:e>
          <m:sub>
            <m:r>
              <m:rPr>
                <m:sty m:val="p"/>
              </m:rPr>
              <w:rPr>
                <w:rFonts w:ascii="Cambria Math" w:hAnsiTheme="majorBidi" w:cstheme="majorBidi"/>
              </w:rPr>
              <m:t>2</m:t>
            </m:r>
          </m:sub>
        </m:sSub>
        <m:r>
          <m:rPr>
            <m:sty m:val="p"/>
          </m:rPr>
          <w:rPr>
            <w:rFonts w:ascii="Cambria Math" w:hAnsi="Cambria Math" w:cstheme="majorBidi"/>
          </w:rPr>
          <m:t>R</m:t>
        </m:r>
        <m:r>
          <m:rPr>
            <m:sty m:val="p"/>
          </m:rPr>
          <w:rPr>
            <w:rFonts w:ascii="Cambria Math" w:hAnsiTheme="majorBidi" w:cstheme="majorBidi"/>
          </w:rPr>
          <m:t>2004+</m:t>
        </m:r>
        <m:sSub>
          <m:sSubPr>
            <m:ctrlPr>
              <w:rPr>
                <w:rFonts w:ascii="Cambria Math" w:hAnsiTheme="majorBidi" w:cstheme="majorBidi"/>
                <w:i/>
              </w:rPr>
            </m:ctrlPr>
          </m:sSubPr>
          <m:e>
            <m:r>
              <m:rPr>
                <m:sty m:val="p"/>
              </m:rPr>
              <w:rPr>
                <w:rFonts w:ascii="Cambria Math" w:hAnsi="Cambria Math" w:cstheme="majorBidi" w:hint="eastAsia"/>
              </w:rPr>
              <m:t>β</m:t>
            </m:r>
          </m:e>
          <m:sub>
            <m:r>
              <m:rPr>
                <m:sty m:val="p"/>
              </m:rPr>
              <w:rPr>
                <w:rFonts w:ascii="Cambria Math" w:hAnsiTheme="majorBidi" w:cstheme="majorBidi"/>
              </w:rPr>
              <m:t>3</m:t>
            </m:r>
          </m:sub>
        </m:sSub>
        <m:r>
          <m:rPr>
            <m:sty m:val="p"/>
          </m:rPr>
          <w:rPr>
            <w:rFonts w:ascii="Cambria Math" w:hAnsi="Cambria Math" w:cstheme="majorBidi"/>
          </w:rPr>
          <m:t>MNGF</m:t>
        </m:r>
        <m:r>
          <m:rPr>
            <m:sty m:val="p"/>
          </m:rPr>
          <w:rPr>
            <w:rFonts w:ascii="Cambria Math" w:hAnsiTheme="majorBidi" w:cstheme="majorBidi"/>
          </w:rPr>
          <m:t>+</m:t>
        </m:r>
        <m:sSub>
          <m:sSubPr>
            <m:ctrlPr>
              <w:rPr>
                <w:rFonts w:ascii="Cambria Math" w:hAnsiTheme="majorBidi" w:cstheme="majorBidi"/>
                <w:i/>
              </w:rPr>
            </m:ctrlPr>
          </m:sSubPr>
          <m:e>
            <m:r>
              <m:rPr>
                <m:sty m:val="p"/>
              </m:rPr>
              <w:rPr>
                <w:rFonts w:ascii="Cambria Math" w:hAnsi="Cambria Math" w:cstheme="majorBidi" w:hint="eastAsia"/>
              </w:rPr>
              <m:t>β</m:t>
            </m:r>
          </m:e>
          <m:sub>
            <m:r>
              <m:rPr>
                <m:sty m:val="p"/>
              </m:rPr>
              <w:rPr>
                <w:rFonts w:ascii="Cambria Math" w:hAnsiTheme="majorBidi" w:cstheme="majorBidi"/>
              </w:rPr>
              <m:t>4</m:t>
            </m:r>
          </m:sub>
        </m:sSub>
        <m:r>
          <m:rPr>
            <m:sty m:val="p"/>
          </m:rPr>
          <w:rPr>
            <w:rFonts w:ascii="Cambria Math" w:hAnsi="Cambria Math" w:cstheme="majorBidi"/>
          </w:rPr>
          <m:t>SIZE</m:t>
        </m:r>
      </m:oMath>
      <w:r w:rsidRPr="005C179C">
        <w:rPr>
          <w:rFonts w:asciiTheme="majorBidi" w:hAnsiTheme="majorBidi" w:cstheme="majorBidi"/>
        </w:rPr>
        <w:t>+</w:t>
      </w:r>
      <m:oMath>
        <m:sSub>
          <m:sSubPr>
            <m:ctrlPr>
              <w:rPr>
                <w:rFonts w:ascii="Cambria Math" w:hAnsiTheme="majorBidi" w:cstheme="majorBidi"/>
                <w:i/>
              </w:rPr>
            </m:ctrlPr>
          </m:sSubPr>
          <m:e>
            <m:r>
              <m:rPr>
                <m:sty m:val="p"/>
              </m:rPr>
              <w:rPr>
                <w:rFonts w:ascii="Cambria Math" w:hAnsi="Cambria Math" w:cstheme="majorBidi" w:hint="eastAsia"/>
              </w:rPr>
              <m:t>β</m:t>
            </m:r>
          </m:e>
          <m:sub>
            <m:r>
              <m:rPr>
                <m:sty m:val="p"/>
              </m:rPr>
              <w:rPr>
                <w:rFonts w:ascii="Cambria Math" w:hAnsiTheme="majorBidi" w:cstheme="majorBidi"/>
              </w:rPr>
              <m:t>5</m:t>
            </m:r>
          </m:sub>
        </m:sSub>
        <m:r>
          <m:rPr>
            <m:sty m:val="p"/>
          </m:rPr>
          <w:rPr>
            <w:rFonts w:ascii="Cambria Math" w:hAnsi="Cambria Math" w:cstheme="majorBidi"/>
          </w:rPr>
          <m:t>TRL</m:t>
        </m:r>
        <m:r>
          <m:rPr>
            <m:sty m:val="p"/>
          </m:rPr>
          <w:rPr>
            <w:rFonts w:ascii="Cambria Math" w:hAnsiTheme="majorBidi" w:cstheme="majorBidi"/>
          </w:rPr>
          <m:t>+</m:t>
        </m:r>
        <m:sSub>
          <m:sSubPr>
            <m:ctrlPr>
              <w:rPr>
                <w:rFonts w:ascii="Cambria Math" w:hAnsiTheme="majorBidi" w:cstheme="majorBidi"/>
                <w:i/>
              </w:rPr>
            </m:ctrlPr>
          </m:sSubPr>
          <m:e>
            <m:r>
              <m:rPr>
                <m:sty m:val="p"/>
              </m:rPr>
              <w:rPr>
                <w:rFonts w:ascii="Cambria Math" w:hAnsi="Cambria Math" w:cstheme="majorBidi" w:hint="eastAsia"/>
              </w:rPr>
              <m:t>β</m:t>
            </m:r>
          </m:e>
          <m:sub>
            <m:r>
              <m:rPr>
                <m:sty m:val="p"/>
              </m:rPr>
              <w:rPr>
                <w:rFonts w:ascii="Cambria Math" w:hAnsiTheme="majorBidi" w:cstheme="majorBidi"/>
              </w:rPr>
              <m:t>6</m:t>
            </m:r>
          </m:sub>
        </m:sSub>
        <m:sSub>
          <m:sSubPr>
            <m:ctrlPr>
              <w:rPr>
                <w:rFonts w:ascii="Cambria Math" w:hAnsiTheme="majorBidi" w:cstheme="majorBidi"/>
                <w:i/>
              </w:rPr>
            </m:ctrlPr>
          </m:sSubPr>
          <m:e>
            <m:r>
              <m:rPr>
                <m:sty m:val="p"/>
              </m:rPr>
              <w:rPr>
                <w:rFonts w:ascii="Cambria Math" w:hAnsi="Cambria Math" w:cstheme="majorBidi"/>
              </w:rPr>
              <m:t>D</m:t>
            </m:r>
          </m:e>
          <m:sub>
            <m:r>
              <m:rPr>
                <m:sty m:val="p"/>
              </m:rPr>
              <w:rPr>
                <w:rFonts w:ascii="Cambria Math" w:hAnsi="Cambria Math" w:cstheme="majorBidi"/>
              </w:rPr>
              <m:t>i</m:t>
            </m:r>
          </m:sub>
        </m:sSub>
        <m:r>
          <m:rPr>
            <m:sty m:val="p"/>
          </m:rPr>
          <w:rPr>
            <w:rFonts w:ascii="Cambria Math" w:hAnsiTheme="majorBidi" w:cstheme="majorBidi"/>
          </w:rPr>
          <m:t>+</m:t>
        </m:r>
        <m:r>
          <m:rPr>
            <m:sty m:val="p"/>
          </m:rPr>
          <w:rPr>
            <w:rFonts w:ascii="Cambria Math" w:hAnsi="Cambria Math" w:cstheme="majorBidi" w:hint="eastAsia"/>
          </w:rPr>
          <m:t>ε</m:t>
        </m:r>
      </m:oMath>
      <w:r w:rsidRPr="005C179C">
        <w:rPr>
          <w:rFonts w:asciiTheme="majorBidi" w:hAnsiTheme="majorBidi" w:cstheme="majorBidi"/>
        </w:rPr>
        <w:t xml:space="preserve">   (5.2)</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fldChar w:fldCharType="end"/>
      </w:r>
      <w:r w:rsidRPr="005C179C">
        <w:rPr>
          <w:rFonts w:asciiTheme="majorBidi" w:hAnsiTheme="majorBidi" w:cstheme="majorBidi"/>
        </w:rPr>
        <w:t xml:space="preserve">When we use </w:t>
      </w:r>
      <w:r w:rsidRPr="005C179C">
        <w:rPr>
          <w:rFonts w:asciiTheme="majorBidi" w:hAnsiTheme="majorBidi" w:cstheme="majorBidi"/>
          <w:i/>
          <w:iCs/>
        </w:rPr>
        <w:t>NTR2005</w:t>
      </w:r>
      <w:r w:rsidRPr="005C179C">
        <w:rPr>
          <w:rFonts w:asciiTheme="majorBidi" w:hAnsiTheme="majorBidi" w:cstheme="majorBidi"/>
        </w:rPr>
        <w:t>, the results are significantly weaker: NTR2005 is the percentage of the Non-Tradable Assets on December 31</w:t>
      </w:r>
      <w:r w:rsidRPr="005C179C">
        <w:rPr>
          <w:rFonts w:asciiTheme="majorBidi" w:hAnsiTheme="majorBidi" w:cstheme="majorBidi"/>
          <w:vertAlign w:val="superscript"/>
        </w:rPr>
        <w:t>st</w:t>
      </w:r>
      <w:r w:rsidRPr="005C179C">
        <w:rPr>
          <w:rFonts w:asciiTheme="majorBidi" w:hAnsiTheme="majorBidi" w:cstheme="majorBidi"/>
        </w:rPr>
        <w:t>, 2005. During 2005, many of the novel funds increased their NTR assets. Therefore, NTR should be deprived of its’ explanatory power.</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t>Next we verify that our set of regressors is uncorrelated with the disturbance term. If this assumption is violated, then OLS/WLS are biased and inconsistent</w:t>
      </w:r>
      <w:r w:rsidRPr="005C179C">
        <w:rPr>
          <w:rFonts w:asciiTheme="majorBidi" w:hAnsiTheme="majorBidi" w:cstheme="majorBidi"/>
          <w:rtl/>
        </w:rPr>
        <w:t>.</w:t>
      </w:r>
      <w:r w:rsidRPr="005C179C">
        <w:rPr>
          <w:rFonts w:asciiTheme="majorBidi" w:hAnsiTheme="majorBidi" w:cstheme="majorBidi"/>
        </w:rPr>
        <w:t xml:space="preserve"> There are a number of situations where some of the right-hand variables are correlated with disturbances. One of these is endogenously determined variables on the right-hand side of the equation</w:t>
      </w:r>
      <w:r w:rsidRPr="005C179C">
        <w:rPr>
          <w:rFonts w:asciiTheme="majorBidi" w:hAnsiTheme="majorBidi" w:cstheme="majorBidi"/>
          <w:rtl/>
        </w:rPr>
        <w:t>.</w:t>
      </w:r>
      <w:r w:rsidRPr="005C179C">
        <w:rPr>
          <w:rFonts w:asciiTheme="majorBidi" w:hAnsiTheme="majorBidi" w:cstheme="majorBidi"/>
        </w:rPr>
        <w:t xml:space="preserve"> For the sake of simplicity, we refer to variables that are correlated with the residuals as </w:t>
      </w:r>
      <w:r w:rsidRPr="005C179C">
        <w:rPr>
          <w:rFonts w:asciiTheme="majorBidi" w:hAnsiTheme="majorBidi" w:cstheme="majorBidi"/>
          <w:i/>
          <w:iCs/>
        </w:rPr>
        <w:t>endogenous</w:t>
      </w:r>
      <w:r w:rsidRPr="005C179C">
        <w:rPr>
          <w:rFonts w:asciiTheme="majorBidi" w:hAnsiTheme="majorBidi" w:cstheme="majorBidi"/>
        </w:rPr>
        <w:t xml:space="preserve"> and to variables that are not correlated with the residuals as </w:t>
      </w:r>
      <w:r w:rsidRPr="005C179C">
        <w:rPr>
          <w:rFonts w:asciiTheme="majorBidi" w:hAnsiTheme="majorBidi" w:cstheme="majorBidi"/>
          <w:i/>
          <w:iCs/>
        </w:rPr>
        <w:t>exogenous</w:t>
      </w:r>
      <w:r w:rsidRPr="005C179C">
        <w:rPr>
          <w:rFonts w:asciiTheme="majorBidi" w:hAnsiTheme="majorBidi" w:cstheme="majorBidi"/>
        </w:rPr>
        <w:t xml:space="preserve"> or predetermined</w:t>
      </w:r>
      <w:r w:rsidRPr="005C179C">
        <w:rPr>
          <w:rFonts w:asciiTheme="majorBidi" w:hAnsiTheme="majorBidi" w:cstheme="majorBidi"/>
          <w:rtl/>
        </w:rPr>
        <w:t>.</w:t>
      </w:r>
      <w:r w:rsidRPr="005C179C">
        <w:rPr>
          <w:rFonts w:asciiTheme="majorBidi" w:hAnsiTheme="majorBidi" w:cstheme="majorBidi"/>
        </w:rPr>
        <w:t xml:space="preserve"> We apply the standard approach when right-hand variables might be correlated with the residuals; it is executed by estimating the equation using instrumental variables. Table 8 panels A and B (see Appendix) are two-stage regressions. We use the exogenous variables – such as the ownership dummies, the fund age, the management fee and the exogenously defined risk. NTR2004 was significant at 5% of the cases. Some of the control variables were correlated at various levels with the residuals. The main results remained robust.</w:t>
      </w:r>
    </w:p>
    <w:p w:rsidR="00EB2B18" w:rsidRPr="005C179C" w:rsidRDefault="007848F8" w:rsidP="005C5C87">
      <w:pPr>
        <w:pStyle w:val="4"/>
        <w:spacing w:line="360" w:lineRule="auto"/>
        <w:rPr>
          <w:rFonts w:asciiTheme="majorBidi" w:hAnsiTheme="majorBidi" w:cstheme="majorBidi"/>
        </w:rPr>
      </w:pPr>
      <w:r w:rsidRPr="005C179C">
        <w:rPr>
          <w:rFonts w:asciiTheme="majorBidi" w:hAnsiTheme="majorBidi" w:cstheme="majorBidi"/>
        </w:rPr>
        <w:t xml:space="preserve"> </w:t>
      </w:r>
      <w:r w:rsidRPr="005C179C">
        <w:rPr>
          <w:rFonts w:asciiTheme="majorBidi" w:hAnsiTheme="majorBidi" w:cstheme="majorBidi"/>
        </w:rPr>
        <w:tab/>
        <w:t>6. The Size of the “Rational investors” Cluster</w:t>
      </w:r>
    </w:p>
    <w:p w:rsidR="00EB2B18" w:rsidRPr="005C179C" w:rsidRDefault="007848F8" w:rsidP="005C5C87">
      <w:pPr>
        <w:spacing w:line="360" w:lineRule="auto"/>
        <w:ind w:firstLine="720"/>
        <w:jc w:val="both"/>
        <w:rPr>
          <w:rFonts w:asciiTheme="majorBidi" w:hAnsiTheme="majorBidi" w:cstheme="majorBidi"/>
          <w:i/>
          <w:iCs/>
        </w:rPr>
      </w:pPr>
      <w:r w:rsidRPr="005C179C">
        <w:rPr>
          <w:rFonts w:asciiTheme="majorBidi" w:hAnsiTheme="majorBidi" w:cstheme="majorBidi"/>
        </w:rPr>
        <w:t xml:space="preserve">Identifying “rationality” of a population is difficult. Behavioral Finance literature tracks behavioral aspects that are in flagrant contradiction with the financial theory. By reviewing works whose explicit or implicit purpose is to document the processes of decision-making which are rather below the par of “rationality” (such as asset allocation and risky assets preferences) we aim to quantify as the magnitude of decision making that is “significantly diverging from rationality” </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lastRenderedPageBreak/>
        <w:t>Using Allais payoffs, Prelec (1990) documents a dramatic Fanning effect of 55% of the subjects. Chew and Waller (1986) did within-subjects analysis of choice preferences; 82% of their subjects took inconsistent risk decisions. In their documentation</w:t>
      </w:r>
      <w:r w:rsidRPr="005C179C">
        <w:rPr>
          <w:rStyle w:val="af3"/>
          <w:rFonts w:asciiTheme="majorBidi" w:hAnsiTheme="majorBidi" w:cstheme="majorBidi"/>
        </w:rPr>
        <w:footnoteReference w:id="9"/>
      </w:r>
      <w:r w:rsidRPr="005C179C">
        <w:rPr>
          <w:rFonts w:asciiTheme="majorBidi" w:hAnsiTheme="majorBidi" w:cstheme="majorBidi"/>
        </w:rPr>
        <w:t xml:space="preserve"> of</w:t>
      </w:r>
      <w:r w:rsidRPr="005C179C">
        <w:rPr>
          <w:rFonts w:asciiTheme="majorBidi" w:hAnsiTheme="majorBidi" w:cstheme="majorBidi"/>
          <w:i/>
          <w:iCs/>
        </w:rPr>
        <w:t xml:space="preserve"> Anchoring</w:t>
      </w:r>
      <w:r w:rsidRPr="005C179C">
        <w:rPr>
          <w:rFonts w:asciiTheme="majorBidi" w:hAnsiTheme="majorBidi" w:cstheme="majorBidi"/>
        </w:rPr>
        <w:t xml:space="preserve">, Alpert and Raiffa (1982) show that correct adjustments were made only in 30-50% of the cases. Kroll, Levy and Rapoport's (1988a, 1988b) experimental study presents portfolio problems: regarding the theoretical prediction, more than 62% of their subjects had invested too deeply and heavily in high-return assets. More than 25% of the portfolio choices were stochastically dominated by those portfolios in which more funds are invested in low-yield assets. Subjects were paid according to their actual performance </w:t>
      </w:r>
      <w:r w:rsidRPr="005C179C">
        <w:rPr>
          <w:rFonts w:asciiTheme="majorBidi" w:hAnsiTheme="majorBidi" w:cstheme="majorBidi"/>
          <w:i/>
          <w:iCs/>
        </w:rPr>
        <w:t>ex-post</w:t>
      </w:r>
      <w:r w:rsidRPr="005C179C">
        <w:rPr>
          <w:rFonts w:asciiTheme="majorBidi" w:hAnsiTheme="majorBidi" w:cstheme="majorBidi"/>
        </w:rPr>
        <w:t xml:space="preserve">. Later, some of the subjects </w:t>
      </w:r>
      <w:r w:rsidRPr="005C179C">
        <w:rPr>
          <w:rFonts w:asciiTheme="majorBidi" w:hAnsiTheme="majorBidi" w:cstheme="majorBidi"/>
          <w:bCs/>
          <w:szCs w:val="22"/>
          <w:lang w:eastAsia="he-IL"/>
        </w:rPr>
        <w:t xml:space="preserve">were paid ten-times as much </w:t>
      </w:r>
      <w:r w:rsidRPr="005C179C">
        <w:rPr>
          <w:rFonts w:asciiTheme="majorBidi" w:hAnsiTheme="majorBidi" w:cstheme="majorBidi"/>
        </w:rPr>
        <w:t>in order to see how their behavior would change. Highly paid subjects invested 35% more in the low-return-low-risk assets. The subgroup of highly paid subjects’ portfolios was significantly closer to the optimal mixture. These studies are mentioned, due to the fact that, in all these above-mentioned experiments, subjects had substantial time (up to weeks) for making decisions.</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t>In each of these experiments, and by their very nature, there is a complementary group of subjects who make the “right” rational decisions. We set the lower bound, which is documented in the experimental literature, as the upper bound. Should a 50% violation rate of the rationality axiom be considered large or small? Supposing that  50% of the people in the sample are not making rational decisions, is it legitimate to see it as  ample data  to conclude  that the population is irrational? If we allow a random error in expression of preferences, then a possible benchmark for violation rates should be the fraction of people who switch their choices when making the same choice twice (it is called “reliability” in psychometrics</w:t>
      </w:r>
      <w:r w:rsidRPr="005C179C">
        <w:rPr>
          <w:rStyle w:val="af3"/>
          <w:rFonts w:asciiTheme="majorBidi" w:hAnsiTheme="majorBidi" w:cstheme="majorBidi"/>
        </w:rPr>
        <w:footnoteReference w:id="10"/>
      </w:r>
      <w:r w:rsidRPr="005C179C">
        <w:rPr>
          <w:rFonts w:asciiTheme="majorBidi" w:hAnsiTheme="majorBidi" w:cstheme="majorBidi"/>
        </w:rPr>
        <w:t>). Several studies suggest that the appropriate percentage is about 25% to 35% for choice sets, which resemble to these choice sets (Starmer and Sugden, 1987; Camerer, 1989). This benchmark is in line with the works of Alpert and Raiffa (1982) and Kroll, Levy and Rapoport's (1988a, 1988b).</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i/>
          <w:iCs/>
        </w:rPr>
        <w:t>Reliability</w:t>
      </w:r>
      <w:r w:rsidRPr="005C179C">
        <w:rPr>
          <w:rFonts w:asciiTheme="majorBidi" w:hAnsiTheme="majorBidi" w:cstheme="majorBidi"/>
        </w:rPr>
        <w:t xml:space="preserve"> cannot be tested in a case study. Therefore, in our experiments, we use the bounds set in order to document deviations from rational expectations. The upper bound of expected rational decision-making is subject to random errors is 70-75%. In other words, we can expect that trading “noise” would prevent some 30% of the investors from making rational decisions, even in the best (field) conditions. The lower bound is set at 40-45%; it means that if the complementary cluster of decision-makers is larger than 60%, then, although the event may have a significant effect regarding rationality, one cannot determine that the population is rational. Instead, it only means that a significant cluster of rational investors exists; this caveat is all-important, as even under plausible terms of time, availability of information and financial effect, the overall population of private investors does not make rational decisions.</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lastRenderedPageBreak/>
        <w:t>What is the magnitude of the rational decision-making cluster? We can control the level of information by analyzing the performance of the largest 50 funds, which are managed by the eight banks. The funds are separated into three clusters:</w:t>
      </w:r>
    </w:p>
    <w:p w:rsidR="00EB2B18" w:rsidRPr="005C179C" w:rsidRDefault="007848F8" w:rsidP="005C5C87">
      <w:pPr>
        <w:spacing w:line="360" w:lineRule="auto"/>
        <w:ind w:left="720"/>
        <w:jc w:val="both"/>
        <w:rPr>
          <w:rFonts w:asciiTheme="majorBidi" w:hAnsiTheme="majorBidi" w:cstheme="majorBidi"/>
        </w:rPr>
      </w:pPr>
      <w:r w:rsidRPr="005C179C">
        <w:rPr>
          <w:rFonts w:asciiTheme="majorBidi" w:hAnsiTheme="majorBidi" w:cstheme="majorBidi"/>
          <w:b/>
          <w:bCs/>
        </w:rPr>
        <w:t xml:space="preserve">Highly Informative </w:t>
      </w:r>
      <w:r w:rsidRPr="005C179C">
        <w:rPr>
          <w:rFonts w:asciiTheme="majorBidi" w:hAnsiTheme="majorBidi" w:cstheme="majorBidi"/>
        </w:rPr>
        <w:t>- Funds managed by banks that directly provide information to their investors.</w:t>
      </w:r>
    </w:p>
    <w:p w:rsidR="00EB2B18" w:rsidRPr="005C179C" w:rsidRDefault="007848F8" w:rsidP="005C5C87">
      <w:pPr>
        <w:spacing w:line="360" w:lineRule="auto"/>
        <w:ind w:left="720"/>
        <w:jc w:val="both"/>
        <w:rPr>
          <w:rFonts w:asciiTheme="majorBidi" w:hAnsiTheme="majorBidi" w:cstheme="majorBidi"/>
        </w:rPr>
      </w:pPr>
      <w:r w:rsidRPr="005C179C">
        <w:rPr>
          <w:rFonts w:asciiTheme="majorBidi" w:hAnsiTheme="majorBidi" w:cstheme="majorBidi"/>
          <w:b/>
          <w:bCs/>
        </w:rPr>
        <w:t>Medium Informative</w:t>
      </w:r>
      <w:r w:rsidRPr="005C179C">
        <w:rPr>
          <w:rFonts w:asciiTheme="majorBidi" w:hAnsiTheme="majorBidi" w:cstheme="majorBidi"/>
        </w:rPr>
        <w:t xml:space="preserve"> - Funds managed by banks that inform only the bankers and consultants (indirect information).</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b/>
          <w:bCs/>
        </w:rPr>
        <w:t xml:space="preserve">Low Informative </w:t>
      </w:r>
      <w:r w:rsidRPr="005C179C">
        <w:rPr>
          <w:rFonts w:asciiTheme="majorBidi" w:hAnsiTheme="majorBidi" w:cstheme="majorBidi"/>
        </w:rPr>
        <w:t>- Funds managed by banks that do not provide any information.</w:t>
      </w:r>
    </w:p>
    <w:p w:rsidR="00EB2B18" w:rsidRPr="005C179C" w:rsidRDefault="007848F8" w:rsidP="005C5C87">
      <w:pPr>
        <w:spacing w:line="360" w:lineRule="auto"/>
        <w:ind w:left="360"/>
        <w:jc w:val="both"/>
        <w:rPr>
          <w:rFonts w:asciiTheme="majorBidi" w:hAnsiTheme="majorBidi" w:cstheme="majorBidi"/>
        </w:rPr>
      </w:pPr>
      <w:r w:rsidRPr="005C179C">
        <w:rPr>
          <w:rFonts w:asciiTheme="majorBidi" w:hAnsiTheme="majorBidi" w:cstheme="majorBidi"/>
        </w:rPr>
        <w:t>For each fund we calculate the expected infusion of April 2005, using the forecasts of the SUR regression. We plot two scenarios:</w:t>
      </w:r>
    </w:p>
    <w:p w:rsidR="00EB2B18" w:rsidRPr="005C179C" w:rsidRDefault="007848F8" w:rsidP="005C5C87">
      <w:pPr>
        <w:numPr>
          <w:ilvl w:val="0"/>
          <w:numId w:val="18"/>
        </w:numPr>
        <w:spacing w:line="360" w:lineRule="auto"/>
        <w:ind w:right="720"/>
        <w:jc w:val="both"/>
        <w:rPr>
          <w:rFonts w:asciiTheme="majorBidi" w:hAnsiTheme="majorBidi" w:cstheme="majorBidi"/>
        </w:rPr>
      </w:pPr>
      <w:r w:rsidRPr="005C179C">
        <w:rPr>
          <w:rFonts w:asciiTheme="majorBidi" w:hAnsiTheme="majorBidi" w:cstheme="majorBidi"/>
          <w:b/>
          <w:bCs/>
          <w:i/>
          <w:iCs/>
        </w:rPr>
        <w:t>January Scenario</w:t>
      </w:r>
      <w:r w:rsidRPr="005C179C">
        <w:rPr>
          <w:rFonts w:asciiTheme="majorBidi" w:hAnsiTheme="majorBidi" w:cstheme="majorBidi"/>
        </w:rPr>
        <w:t xml:space="preserve"> – Investors are informed by January 1</w:t>
      </w:r>
      <w:r w:rsidRPr="005C179C">
        <w:rPr>
          <w:rFonts w:asciiTheme="majorBidi" w:hAnsiTheme="majorBidi" w:cstheme="majorBidi"/>
          <w:vertAlign w:val="superscript"/>
        </w:rPr>
        <w:t>st</w:t>
      </w:r>
      <w:r w:rsidRPr="005C179C">
        <w:rPr>
          <w:rFonts w:asciiTheme="majorBidi" w:hAnsiTheme="majorBidi" w:cstheme="majorBidi"/>
        </w:rPr>
        <w:t>. Presupposing rationality, the expected significant withdrawal benchmark is 25%.</w:t>
      </w:r>
    </w:p>
    <w:p w:rsidR="00EB2B18" w:rsidRPr="005C179C" w:rsidRDefault="007848F8" w:rsidP="005C5C87">
      <w:pPr>
        <w:numPr>
          <w:ilvl w:val="0"/>
          <w:numId w:val="18"/>
        </w:numPr>
        <w:spacing w:line="360" w:lineRule="auto"/>
        <w:ind w:right="720"/>
        <w:jc w:val="both"/>
        <w:rPr>
          <w:rFonts w:asciiTheme="majorBidi" w:hAnsiTheme="majorBidi" w:cstheme="majorBidi"/>
        </w:rPr>
      </w:pPr>
      <w:r w:rsidRPr="005C179C">
        <w:rPr>
          <w:rFonts w:asciiTheme="majorBidi" w:hAnsiTheme="majorBidi" w:cstheme="majorBidi"/>
          <w:b/>
          <w:bCs/>
          <w:i/>
          <w:iCs/>
        </w:rPr>
        <w:t>February Scenario</w:t>
      </w:r>
      <w:r w:rsidRPr="005C179C">
        <w:rPr>
          <w:rFonts w:asciiTheme="majorBidi" w:hAnsiTheme="majorBidi" w:cstheme="majorBidi"/>
        </w:rPr>
        <w:t xml:space="preserve"> – Investors are informed only by February 1</w:t>
      </w:r>
      <w:r w:rsidRPr="005C179C">
        <w:rPr>
          <w:rFonts w:asciiTheme="majorBidi" w:hAnsiTheme="majorBidi" w:cstheme="majorBidi"/>
          <w:vertAlign w:val="superscript"/>
        </w:rPr>
        <w:t>st</w:t>
      </w:r>
      <w:r w:rsidRPr="005C179C">
        <w:rPr>
          <w:rFonts w:asciiTheme="majorBidi" w:hAnsiTheme="majorBidi" w:cstheme="majorBidi"/>
        </w:rPr>
        <w:t>. Expected significant withdrawal benchmark is 33%.</w:t>
      </w:r>
    </w:p>
    <w:p w:rsidR="00EB2B18" w:rsidRPr="005C179C" w:rsidRDefault="007848F8" w:rsidP="005C5C87">
      <w:pPr>
        <w:spacing w:line="360" w:lineRule="auto"/>
        <w:ind w:firstLine="360"/>
        <w:jc w:val="both"/>
        <w:rPr>
          <w:rFonts w:asciiTheme="majorBidi" w:hAnsiTheme="majorBidi" w:cstheme="majorBidi"/>
        </w:rPr>
      </w:pPr>
      <w:r w:rsidRPr="005C179C">
        <w:rPr>
          <w:rFonts w:asciiTheme="majorBidi" w:hAnsiTheme="majorBidi" w:cstheme="majorBidi"/>
        </w:rPr>
        <w:t>In Table 9, the panels A and B show the results of the January and February scenarios respectively. The aggregate result for the bank funds is 26.9% of withdrawals, and it is insignificantly different from the benchmark of 25%. As for Cluster 1, we find that the April 2005 withdrawals were aggregated to 45%, i.e. significantly (at 95%) higher than the benchmark for Cluster 1 funds. As for Clusters 2 and 3, the results differ but insignificantly from the benchmark.</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t>If we assume the second scenario has happened, then the information became available only on February 1</w:t>
      </w:r>
      <w:r w:rsidRPr="005C179C">
        <w:rPr>
          <w:rFonts w:asciiTheme="majorBidi" w:hAnsiTheme="majorBidi" w:cstheme="majorBidi"/>
          <w:vertAlign w:val="superscript"/>
        </w:rPr>
        <w:t>st</w:t>
      </w:r>
      <w:r w:rsidRPr="005C179C">
        <w:rPr>
          <w:rFonts w:asciiTheme="majorBidi" w:hAnsiTheme="majorBidi" w:cstheme="majorBidi"/>
        </w:rPr>
        <w:t>. In that case the ratio is 29.1%. Only if we assume that the information became available to investors on March 1</w:t>
      </w:r>
      <w:r w:rsidRPr="005C179C">
        <w:rPr>
          <w:rFonts w:asciiTheme="majorBidi" w:hAnsiTheme="majorBidi" w:cstheme="majorBidi"/>
          <w:vertAlign w:val="superscript"/>
        </w:rPr>
        <w:t>st</w:t>
      </w:r>
      <w:r w:rsidRPr="005C179C">
        <w:rPr>
          <w:rFonts w:asciiTheme="majorBidi" w:hAnsiTheme="majorBidi" w:cstheme="majorBidi"/>
        </w:rPr>
        <w:t>, then the ratio projects rationality (i.e. 51% of the flow is unexpected additional April flow). There is no evidence which supports the blockage of information until March 1</w:t>
      </w:r>
      <w:r w:rsidRPr="005C179C">
        <w:rPr>
          <w:rFonts w:asciiTheme="majorBidi" w:hAnsiTheme="majorBidi" w:cstheme="majorBidi"/>
          <w:vertAlign w:val="superscript"/>
        </w:rPr>
        <w:t>st</w:t>
      </w:r>
      <w:r w:rsidRPr="005C179C">
        <w:rPr>
          <w:rFonts w:asciiTheme="majorBidi" w:hAnsiTheme="majorBidi" w:cstheme="majorBidi"/>
        </w:rPr>
        <w:t>.</w:t>
      </w:r>
    </w:p>
    <w:p w:rsidR="00EB2B18" w:rsidRPr="005C179C" w:rsidRDefault="007848F8" w:rsidP="005C5C87">
      <w:pPr>
        <w:spacing w:line="360" w:lineRule="auto"/>
        <w:ind w:firstLine="720"/>
        <w:jc w:val="both"/>
        <w:rPr>
          <w:rFonts w:asciiTheme="majorBidi" w:hAnsiTheme="majorBidi" w:cstheme="majorBidi"/>
        </w:rPr>
      </w:pPr>
      <w:r w:rsidRPr="005C179C">
        <w:rPr>
          <w:rFonts w:asciiTheme="majorBidi" w:hAnsiTheme="majorBidi" w:cstheme="majorBidi"/>
        </w:rPr>
        <w:t xml:space="preserve">One must admit that these figures are unfamiliar to the discourse of behavioral finance. In a market with sufficient liquidity, rationality does not require that a majority of investors would be rational and informative. If an arbitrage appears, the market can clear it immediately, while the surplus wealth can be won by as little as one agent. Agents can either win their own share or lose it forever. The structure of the Providence Funds market denies the ability of the agents to purchase rights to buy or borrow other agents’ funds. In other words, the arbitrage cannot be cleared. </w:t>
      </w:r>
    </w:p>
    <w:p w:rsidR="0010303D" w:rsidRDefault="0010303D">
      <w:pPr>
        <w:widowControl/>
        <w:snapToGrid/>
        <w:spacing w:after="0"/>
        <w:rPr>
          <w:rFonts w:asciiTheme="majorBidi" w:hAnsiTheme="majorBidi" w:cstheme="majorBidi"/>
          <w:b/>
          <w:bCs/>
          <w:kern w:val="32"/>
          <w:sz w:val="28"/>
          <w:szCs w:val="28"/>
        </w:rPr>
      </w:pPr>
      <w:r>
        <w:rPr>
          <w:rFonts w:asciiTheme="majorBidi" w:hAnsiTheme="majorBidi" w:cstheme="majorBidi"/>
        </w:rPr>
        <w:br w:type="page"/>
      </w:r>
    </w:p>
    <w:p w:rsidR="00EB2B18" w:rsidRPr="005C179C" w:rsidRDefault="007848F8" w:rsidP="005C179C">
      <w:pPr>
        <w:pStyle w:val="1"/>
        <w:numPr>
          <w:ilvl w:val="0"/>
          <w:numId w:val="31"/>
        </w:numPr>
        <w:spacing w:line="360" w:lineRule="auto"/>
        <w:rPr>
          <w:rFonts w:asciiTheme="majorBidi" w:hAnsiTheme="majorBidi" w:cstheme="majorBidi"/>
        </w:rPr>
      </w:pPr>
      <w:r w:rsidRPr="005C179C">
        <w:rPr>
          <w:rFonts w:asciiTheme="majorBidi" w:hAnsiTheme="majorBidi" w:cstheme="majorBidi"/>
        </w:rPr>
        <w:lastRenderedPageBreak/>
        <w:t xml:space="preserve">Discussion </w:t>
      </w:r>
    </w:p>
    <w:p w:rsidR="00EB2B18" w:rsidRPr="005C179C" w:rsidRDefault="007848F8" w:rsidP="005C179C">
      <w:pPr>
        <w:spacing w:line="360" w:lineRule="auto"/>
        <w:ind w:firstLine="360"/>
        <w:jc w:val="both"/>
        <w:rPr>
          <w:rFonts w:asciiTheme="majorBidi" w:hAnsiTheme="majorBidi" w:cstheme="majorBidi"/>
        </w:rPr>
      </w:pPr>
      <w:r w:rsidRPr="005C179C">
        <w:rPr>
          <w:rFonts w:asciiTheme="majorBidi" w:hAnsiTheme="majorBidi" w:cstheme="majorBidi"/>
        </w:rPr>
        <w:t>Given the need to make an actual financial decision  under actual conditions (though they are very favorable in terms of time frame, ability to consolidate, verification of information, and so forth), there is a cluster of investors who make financial decisions as if they are the ideal informed and rational decision-makers. Yet they do not form the majority of investors: Providence fund investors, as a rule, are not rational decision-makers.</w:t>
      </w:r>
    </w:p>
    <w:p w:rsidR="00EB2B18" w:rsidRPr="005C179C" w:rsidRDefault="007848F8" w:rsidP="005C179C">
      <w:pPr>
        <w:spacing w:line="360" w:lineRule="auto"/>
        <w:ind w:firstLine="360"/>
        <w:jc w:val="both"/>
        <w:rPr>
          <w:rFonts w:asciiTheme="majorBidi" w:hAnsiTheme="majorBidi" w:cstheme="majorBidi"/>
        </w:rPr>
      </w:pPr>
      <w:r w:rsidRPr="005C179C">
        <w:rPr>
          <w:rFonts w:asciiTheme="majorBidi" w:hAnsiTheme="majorBidi" w:cstheme="majorBidi"/>
        </w:rPr>
        <w:t>Our results are unique, since they are derived from an exceptional data set that could not have been created without the decision of the regulator to create the “experiment”. It is also remarkably distinctive in its challenging experimental results. The literature of experimental economics has thoroughly documented the two parameters whose value we sought to determine: (a) How well are agents informed? (b) How rational are their actions?</w:t>
      </w:r>
    </w:p>
    <w:p w:rsidR="00EB2B18" w:rsidRPr="005C179C" w:rsidRDefault="007848F8" w:rsidP="005C179C">
      <w:pPr>
        <w:spacing w:line="360" w:lineRule="auto"/>
        <w:ind w:firstLine="360"/>
        <w:jc w:val="both"/>
        <w:rPr>
          <w:rFonts w:asciiTheme="majorBidi" w:hAnsiTheme="majorBidi" w:cstheme="majorBidi"/>
        </w:rPr>
      </w:pPr>
      <w:r w:rsidRPr="005C179C">
        <w:rPr>
          <w:rFonts w:asciiTheme="majorBidi" w:hAnsiTheme="majorBidi" w:cstheme="majorBidi"/>
        </w:rPr>
        <w:t>This study leads directly to the following set of questions: (a) If agents’ behavior differs from expectations and predictions from the rational assumption, even under the best conditions, what is the real value of the predictions of financial theory in other "noisier" events? (b) Given the same results and conditions, how can we validate which behavioral theory, if any, supports irrational behavior in experiments?</w:t>
      </w:r>
    </w:p>
    <w:p w:rsidR="00EB2B18" w:rsidRPr="005C179C" w:rsidRDefault="007848F8" w:rsidP="005C179C">
      <w:pPr>
        <w:spacing w:line="360" w:lineRule="auto"/>
        <w:ind w:firstLine="360"/>
        <w:jc w:val="both"/>
        <w:rPr>
          <w:rFonts w:asciiTheme="majorBidi" w:hAnsiTheme="majorBidi" w:cstheme="majorBidi"/>
        </w:rPr>
      </w:pPr>
      <w:r w:rsidRPr="005C179C">
        <w:rPr>
          <w:rFonts w:asciiTheme="majorBidi" w:hAnsiTheme="majorBidi" w:cstheme="majorBidi"/>
        </w:rPr>
        <w:t>Based on ideas from recent literature of psychology about the cognitive process of decision-making (Reyna, 2004), we suggest that if the alternative at least seems non-negative, then the fact that no visible damage may occur (such as negative yield) causes the investors to refer their attention to the salient elements in the formal description of the decision – i.e. to the seemingly significant ones. At the same time agents neglect other features of the situation, despite their normative relevance.</w:t>
      </w:r>
    </w:p>
    <w:p w:rsidR="00EB2B18" w:rsidRDefault="00EB2B18" w:rsidP="005C179C">
      <w:pPr>
        <w:pStyle w:val="2"/>
        <w:bidi w:val="0"/>
        <w:spacing w:line="360" w:lineRule="auto"/>
        <w:jc w:val="both"/>
        <w:rPr>
          <w:rFonts w:asciiTheme="majorBidi" w:hAnsiTheme="majorBidi" w:cstheme="majorBidi"/>
          <w:b w:val="0"/>
          <w:bCs w:val="0"/>
          <w:i w:val="0"/>
          <w:iCs w:val="0"/>
          <w:sz w:val="24"/>
          <w:szCs w:val="24"/>
        </w:rPr>
      </w:pPr>
    </w:p>
    <w:p w:rsidR="00EB2B18" w:rsidRDefault="0088646F" w:rsidP="005C179C">
      <w:pPr>
        <w:pStyle w:val="2"/>
        <w:bidi w:val="0"/>
        <w:spacing w:line="360" w:lineRule="auto"/>
        <w:jc w:val="both"/>
        <w:rPr>
          <w:rFonts w:asciiTheme="majorBidi" w:hAnsiTheme="majorBidi" w:cstheme="majorBidi"/>
          <w:sz w:val="24"/>
          <w:szCs w:val="24"/>
          <w:u w:val="single"/>
        </w:rPr>
      </w:pPr>
      <w:r w:rsidRPr="00CD464C">
        <w:rPr>
          <w:rFonts w:asciiTheme="majorBidi" w:hAnsiTheme="majorBidi" w:cstheme="majorBidi"/>
          <w:i w:val="0"/>
          <w:iCs w:val="0"/>
          <w:sz w:val="24"/>
          <w:szCs w:val="24"/>
        </w:rPr>
        <w:t>References</w:t>
      </w:r>
    </w:p>
    <w:p w:rsidR="00EB2B18" w:rsidRDefault="00EB2B18" w:rsidP="005C179C">
      <w:pPr>
        <w:spacing w:line="360" w:lineRule="auto"/>
        <w:jc w:val="both"/>
        <w:rPr>
          <w:rFonts w:asciiTheme="majorBidi" w:hAnsiTheme="majorBidi" w:cstheme="majorBidi"/>
          <w:sz w:val="22"/>
          <w:szCs w:val="22"/>
          <w:u w:val="single"/>
        </w:rPr>
      </w:pPr>
    </w:p>
    <w:p w:rsidR="00EB2B18" w:rsidRDefault="0088646F" w:rsidP="005C179C">
      <w:pPr>
        <w:pStyle w:val="af2"/>
        <w:spacing w:line="360" w:lineRule="auto"/>
        <w:jc w:val="both"/>
        <w:rPr>
          <w:rFonts w:asciiTheme="majorBidi" w:hAnsiTheme="majorBidi" w:cstheme="majorBidi"/>
          <w:sz w:val="22"/>
          <w:szCs w:val="22"/>
        </w:rPr>
      </w:pPr>
      <w:r w:rsidRPr="00CD464C">
        <w:rPr>
          <w:rFonts w:asciiTheme="majorBidi" w:hAnsiTheme="majorBidi" w:cstheme="majorBidi"/>
          <w:sz w:val="22"/>
          <w:szCs w:val="22"/>
        </w:rPr>
        <w:t xml:space="preserve">Alpert, M., and Raiffa H. (1982). A Progress Report on the Training of Probability Assessors. In: Kahneman, D., Slovic, P., and Tversky, A. (eds.). Judgment Under Uncertainty: Heuristics and Biases (pp. 294-305). </w:t>
      </w:r>
      <w:smartTag w:uri="urn:schemas-microsoft-com:office:smarttags" w:element="place">
        <w:smartTag w:uri="urn:schemas-microsoft-com:office:smarttags" w:element="City">
          <w:r w:rsidRPr="00CD464C">
            <w:rPr>
              <w:rFonts w:asciiTheme="majorBidi" w:hAnsiTheme="majorBidi" w:cstheme="majorBidi"/>
              <w:sz w:val="22"/>
              <w:szCs w:val="22"/>
            </w:rPr>
            <w:t>Cambridge</w:t>
          </w:r>
        </w:smartTag>
        <w:r w:rsidRPr="00CD464C">
          <w:rPr>
            <w:rFonts w:asciiTheme="majorBidi" w:hAnsiTheme="majorBidi" w:cstheme="majorBidi"/>
            <w:sz w:val="22"/>
            <w:szCs w:val="22"/>
          </w:rPr>
          <w:t xml:space="preserve">, </w:t>
        </w:r>
        <w:smartTag w:uri="urn:schemas-microsoft-com:office:smarttags" w:element="country-region">
          <w:r w:rsidRPr="00CD464C">
            <w:rPr>
              <w:rFonts w:asciiTheme="majorBidi" w:hAnsiTheme="majorBidi" w:cstheme="majorBidi"/>
              <w:sz w:val="22"/>
              <w:szCs w:val="22"/>
            </w:rPr>
            <w:t>UK</w:t>
          </w:r>
        </w:smartTag>
      </w:smartTag>
      <w:r w:rsidRPr="00CD464C">
        <w:rPr>
          <w:rFonts w:asciiTheme="majorBidi" w:hAnsiTheme="majorBidi" w:cstheme="majorBidi"/>
          <w:sz w:val="22"/>
          <w:szCs w:val="22"/>
        </w:rPr>
        <w:t xml:space="preserve">: </w:t>
      </w:r>
      <w:smartTag w:uri="urn:schemas-microsoft-com:office:smarttags" w:element="place">
        <w:smartTag w:uri="urn:schemas-microsoft-com:office:smarttags" w:element="PlaceName">
          <w:r w:rsidRPr="00CD464C">
            <w:rPr>
              <w:rFonts w:asciiTheme="majorBidi" w:hAnsiTheme="majorBidi" w:cstheme="majorBidi"/>
              <w:sz w:val="22"/>
              <w:szCs w:val="22"/>
            </w:rPr>
            <w:t>Cambridge</w:t>
          </w:r>
        </w:smartTag>
        <w:r w:rsidRPr="00CD464C">
          <w:rPr>
            <w:rFonts w:asciiTheme="majorBidi" w:hAnsiTheme="majorBidi" w:cstheme="majorBidi"/>
            <w:sz w:val="22"/>
            <w:szCs w:val="22"/>
          </w:rPr>
          <w:t xml:space="preserve"> </w:t>
        </w:r>
        <w:smartTag w:uri="urn:schemas-microsoft-com:office:smarttags" w:element="PlaceType">
          <w:r w:rsidRPr="00CD464C">
            <w:rPr>
              <w:rFonts w:asciiTheme="majorBidi" w:hAnsiTheme="majorBidi" w:cstheme="majorBidi"/>
              <w:sz w:val="22"/>
              <w:szCs w:val="22"/>
            </w:rPr>
            <w:t>University</w:t>
          </w:r>
        </w:smartTag>
      </w:smartTag>
      <w:r w:rsidRPr="00CD464C">
        <w:rPr>
          <w:rFonts w:asciiTheme="majorBidi" w:hAnsiTheme="majorBidi" w:cstheme="majorBidi"/>
          <w:sz w:val="22"/>
          <w:szCs w:val="22"/>
        </w:rPr>
        <w:t xml:space="preserve"> Press.</w:t>
      </w:r>
    </w:p>
    <w:p w:rsidR="00EB2B18" w:rsidRDefault="0088646F" w:rsidP="005C179C">
      <w:pPr>
        <w:pStyle w:val="af2"/>
        <w:spacing w:line="360" w:lineRule="auto"/>
        <w:jc w:val="both"/>
        <w:rPr>
          <w:rFonts w:asciiTheme="majorBidi" w:hAnsiTheme="majorBidi" w:cstheme="majorBidi"/>
          <w:sz w:val="22"/>
          <w:szCs w:val="22"/>
        </w:rPr>
      </w:pPr>
      <w:r w:rsidRPr="00CD464C">
        <w:rPr>
          <w:rFonts w:asciiTheme="majorBidi" w:hAnsiTheme="majorBidi" w:cstheme="majorBidi"/>
          <w:sz w:val="22"/>
          <w:szCs w:val="22"/>
        </w:rPr>
        <w:t xml:space="preserve">Anderson, B. F., and Settle, J. W. (1996). The Influence of Portfolio Characteristics and Investment Period on Investment Choice. </w:t>
      </w:r>
      <w:r w:rsidRPr="00CD464C">
        <w:rPr>
          <w:rFonts w:asciiTheme="majorBidi" w:hAnsiTheme="majorBidi" w:cstheme="majorBidi"/>
          <w:i/>
          <w:iCs/>
          <w:sz w:val="22"/>
          <w:szCs w:val="22"/>
        </w:rPr>
        <w:t>Journal of Economic Psychology</w:t>
      </w:r>
      <w:r w:rsidRPr="00CD464C">
        <w:rPr>
          <w:rFonts w:asciiTheme="majorBidi" w:hAnsiTheme="majorBidi" w:cstheme="majorBidi"/>
          <w:sz w:val="22"/>
          <w:szCs w:val="22"/>
        </w:rPr>
        <w:t xml:space="preserve"> 17, 343-358.</w:t>
      </w:r>
    </w:p>
    <w:p w:rsidR="00EB2B18" w:rsidRDefault="0088646F" w:rsidP="005C179C">
      <w:pPr>
        <w:pStyle w:val="af2"/>
        <w:spacing w:line="360" w:lineRule="auto"/>
        <w:jc w:val="both"/>
        <w:rPr>
          <w:rFonts w:asciiTheme="majorBidi" w:hAnsiTheme="majorBidi" w:cstheme="majorBidi"/>
          <w:sz w:val="22"/>
          <w:szCs w:val="22"/>
        </w:rPr>
      </w:pPr>
      <w:r w:rsidRPr="00CD464C">
        <w:rPr>
          <w:rFonts w:asciiTheme="majorBidi" w:hAnsiTheme="majorBidi" w:cstheme="majorBidi"/>
          <w:sz w:val="22"/>
          <w:szCs w:val="22"/>
        </w:rPr>
        <w:t xml:space="preserve">Banerjee, A. V. (1992). A Simple Model of Herd Behavior. </w:t>
      </w:r>
      <w:r w:rsidRPr="00CD464C">
        <w:rPr>
          <w:rFonts w:asciiTheme="majorBidi" w:hAnsiTheme="majorBidi" w:cstheme="majorBidi"/>
          <w:i/>
          <w:iCs/>
          <w:sz w:val="22"/>
          <w:szCs w:val="22"/>
        </w:rPr>
        <w:t>Quarterly Journal of Economics</w:t>
      </w:r>
      <w:r w:rsidRPr="00CD464C">
        <w:rPr>
          <w:rFonts w:asciiTheme="majorBidi" w:hAnsiTheme="majorBidi" w:cstheme="majorBidi"/>
          <w:sz w:val="22"/>
          <w:szCs w:val="22"/>
        </w:rPr>
        <w:t xml:space="preserve"> 107, 797-817.  </w:t>
      </w:r>
    </w:p>
    <w:p w:rsidR="00EB2B18" w:rsidRDefault="0088646F" w:rsidP="005C179C">
      <w:pPr>
        <w:pStyle w:val="af2"/>
        <w:spacing w:line="360" w:lineRule="auto"/>
        <w:jc w:val="both"/>
        <w:rPr>
          <w:rFonts w:asciiTheme="majorBidi" w:hAnsiTheme="majorBidi" w:cstheme="majorBidi"/>
          <w:sz w:val="22"/>
          <w:szCs w:val="36"/>
        </w:rPr>
      </w:pPr>
      <w:r w:rsidRPr="00CD464C">
        <w:rPr>
          <w:rFonts w:asciiTheme="majorBidi" w:hAnsiTheme="majorBidi" w:cstheme="majorBidi"/>
          <w:color w:val="003366"/>
          <w:sz w:val="22"/>
          <w:szCs w:val="22"/>
        </w:rPr>
        <w:t>Barberis</w:t>
      </w:r>
      <w:r w:rsidR="005C2FC8" w:rsidRPr="00CD464C">
        <w:rPr>
          <w:rFonts w:asciiTheme="majorBidi" w:hAnsiTheme="majorBidi" w:cstheme="majorBidi"/>
          <w:color w:val="003366"/>
          <w:sz w:val="22"/>
          <w:szCs w:val="22"/>
        </w:rPr>
        <w:t>,</w:t>
      </w:r>
      <w:r w:rsidRPr="00CD464C">
        <w:rPr>
          <w:rFonts w:asciiTheme="majorBidi" w:hAnsiTheme="majorBidi" w:cstheme="majorBidi"/>
          <w:b/>
          <w:color w:val="003366"/>
          <w:sz w:val="16"/>
          <w:szCs w:val="22"/>
          <w:lang w:eastAsia="he-IL"/>
        </w:rPr>
        <w:t xml:space="preserve"> </w:t>
      </w:r>
      <w:r w:rsidRPr="00CD464C">
        <w:rPr>
          <w:rFonts w:asciiTheme="majorBidi" w:hAnsiTheme="majorBidi" w:cstheme="majorBidi"/>
          <w:bCs/>
          <w:color w:val="003366"/>
          <w:sz w:val="16"/>
          <w:szCs w:val="22"/>
          <w:lang w:eastAsia="he-IL"/>
        </w:rPr>
        <w:t>N</w:t>
      </w:r>
      <w:r w:rsidR="005C2FC8" w:rsidRPr="00CD464C">
        <w:rPr>
          <w:rFonts w:asciiTheme="majorBidi" w:hAnsiTheme="majorBidi" w:cstheme="majorBidi"/>
          <w:color w:val="003366"/>
          <w:sz w:val="22"/>
          <w:szCs w:val="22"/>
        </w:rPr>
        <w:t>,</w:t>
      </w:r>
      <w:r w:rsidRPr="00CD464C">
        <w:rPr>
          <w:rFonts w:asciiTheme="majorBidi" w:hAnsiTheme="majorBidi" w:cstheme="majorBidi"/>
          <w:color w:val="003366"/>
          <w:sz w:val="22"/>
          <w:szCs w:val="22"/>
        </w:rPr>
        <w:t>.</w:t>
      </w:r>
      <w:r w:rsidRPr="00CD464C">
        <w:rPr>
          <w:rFonts w:asciiTheme="majorBidi" w:hAnsiTheme="majorBidi" w:cstheme="majorBidi"/>
          <w:b/>
          <w:color w:val="003366"/>
          <w:sz w:val="16"/>
          <w:szCs w:val="22"/>
          <w:lang w:eastAsia="he-IL"/>
        </w:rPr>
        <w:t xml:space="preserve"> </w:t>
      </w:r>
      <w:r w:rsidRPr="00CD464C">
        <w:rPr>
          <w:rFonts w:asciiTheme="majorBidi" w:hAnsiTheme="majorBidi" w:cstheme="majorBidi"/>
          <w:color w:val="003366"/>
          <w:sz w:val="22"/>
          <w:szCs w:val="22"/>
        </w:rPr>
        <w:t>and Thaler</w:t>
      </w:r>
      <w:r w:rsidRPr="00CD464C">
        <w:rPr>
          <w:rFonts w:asciiTheme="majorBidi" w:hAnsiTheme="majorBidi" w:cstheme="majorBidi"/>
          <w:bCs/>
          <w:color w:val="003366"/>
          <w:sz w:val="16"/>
          <w:szCs w:val="22"/>
          <w:lang w:eastAsia="he-IL"/>
        </w:rPr>
        <w:t xml:space="preserve">, </w:t>
      </w:r>
      <w:r w:rsidRPr="00CD464C">
        <w:rPr>
          <w:rFonts w:asciiTheme="majorBidi" w:hAnsiTheme="majorBidi" w:cstheme="majorBidi"/>
          <w:bCs/>
          <w:color w:val="003366"/>
          <w:sz w:val="22"/>
          <w:szCs w:val="22"/>
          <w:lang w:eastAsia="he-IL"/>
        </w:rPr>
        <w:t>R</w:t>
      </w:r>
      <w:r w:rsidRPr="00CD464C">
        <w:rPr>
          <w:rFonts w:asciiTheme="majorBidi" w:hAnsiTheme="majorBidi" w:cstheme="majorBidi"/>
          <w:bCs/>
          <w:color w:val="003366"/>
          <w:sz w:val="22"/>
          <w:szCs w:val="22"/>
        </w:rPr>
        <w:t>.</w:t>
      </w:r>
      <w:r w:rsidRPr="00CD464C">
        <w:rPr>
          <w:rFonts w:asciiTheme="majorBidi" w:hAnsiTheme="majorBidi" w:cstheme="majorBidi"/>
          <w:bCs/>
          <w:color w:val="003366"/>
          <w:sz w:val="22"/>
          <w:szCs w:val="22"/>
          <w:lang w:eastAsia="he-IL"/>
        </w:rPr>
        <w:t xml:space="preserve"> H.</w:t>
      </w:r>
      <w:r w:rsidR="005C2FC8" w:rsidRPr="00CD464C">
        <w:rPr>
          <w:rFonts w:asciiTheme="majorBidi" w:hAnsiTheme="majorBidi" w:cstheme="majorBidi"/>
          <w:bCs/>
          <w:color w:val="003366"/>
          <w:sz w:val="22"/>
          <w:szCs w:val="22"/>
          <w:lang w:eastAsia="he-IL"/>
        </w:rPr>
        <w:t xml:space="preserve"> (2002).</w:t>
      </w:r>
      <w:r w:rsidRPr="00CD464C">
        <w:rPr>
          <w:rFonts w:asciiTheme="majorBidi" w:hAnsiTheme="majorBidi" w:cstheme="majorBidi"/>
          <w:bCs/>
          <w:color w:val="003366"/>
          <w:sz w:val="22"/>
          <w:szCs w:val="22"/>
          <w:lang w:eastAsia="he-IL"/>
        </w:rPr>
        <w:t xml:space="preserve"> A Survey of Behavioral Finance</w:t>
      </w:r>
      <w:r w:rsidRPr="00CD464C">
        <w:rPr>
          <w:rFonts w:asciiTheme="majorBidi" w:hAnsiTheme="majorBidi" w:cstheme="majorBidi"/>
          <w:b/>
          <w:color w:val="003366"/>
          <w:sz w:val="22"/>
          <w:szCs w:val="22"/>
          <w:lang w:eastAsia="he-IL"/>
        </w:rPr>
        <w:t>.</w:t>
      </w:r>
      <w:r w:rsidR="005C2FC8" w:rsidRPr="00CD464C">
        <w:rPr>
          <w:rFonts w:asciiTheme="majorBidi" w:hAnsiTheme="majorBidi" w:cstheme="majorBidi"/>
          <w:color w:val="003366"/>
          <w:sz w:val="22"/>
          <w:szCs w:val="22"/>
        </w:rPr>
        <w:t xml:space="preserve"> </w:t>
      </w:r>
      <w:r w:rsidRPr="00CD464C">
        <w:rPr>
          <w:rFonts w:asciiTheme="majorBidi" w:hAnsiTheme="majorBidi" w:cstheme="majorBidi"/>
          <w:color w:val="003366"/>
          <w:sz w:val="22"/>
          <w:szCs w:val="22"/>
        </w:rPr>
        <w:t>SSRN working paper.</w:t>
      </w:r>
    </w:p>
    <w:p w:rsidR="00EB2B18" w:rsidRDefault="0088646F" w:rsidP="005C179C">
      <w:pPr>
        <w:pStyle w:val="af2"/>
        <w:spacing w:line="360" w:lineRule="auto"/>
        <w:jc w:val="both"/>
        <w:rPr>
          <w:rFonts w:asciiTheme="majorBidi" w:hAnsiTheme="majorBidi" w:cstheme="majorBidi"/>
          <w:sz w:val="22"/>
          <w:szCs w:val="22"/>
        </w:rPr>
      </w:pPr>
      <w:r w:rsidRPr="00CD464C">
        <w:rPr>
          <w:rFonts w:asciiTheme="majorBidi" w:hAnsiTheme="majorBidi" w:cstheme="majorBidi"/>
          <w:sz w:val="22"/>
          <w:szCs w:val="22"/>
        </w:rPr>
        <w:t xml:space="preserve">Bartels, R., and Feibig, D. (1992). A Simple Characterization of Seemingly Unrelated Regressions Models in Which </w:t>
      </w:r>
      <w:r w:rsidRPr="00CD464C">
        <w:rPr>
          <w:rFonts w:asciiTheme="majorBidi" w:hAnsiTheme="majorBidi" w:cstheme="majorBidi"/>
          <w:sz w:val="22"/>
          <w:szCs w:val="22"/>
        </w:rPr>
        <w:lastRenderedPageBreak/>
        <w:t xml:space="preserve">OLS is BLUE. </w:t>
      </w:r>
      <w:r w:rsidRPr="00CD464C">
        <w:rPr>
          <w:rFonts w:asciiTheme="majorBidi" w:hAnsiTheme="majorBidi" w:cstheme="majorBidi"/>
          <w:i/>
          <w:iCs/>
          <w:sz w:val="22"/>
          <w:szCs w:val="22"/>
        </w:rPr>
        <w:t>American Statistician</w:t>
      </w:r>
      <w:r w:rsidRPr="00CD464C">
        <w:rPr>
          <w:rFonts w:asciiTheme="majorBidi" w:hAnsiTheme="majorBidi" w:cstheme="majorBidi"/>
          <w:sz w:val="22"/>
          <w:szCs w:val="22"/>
        </w:rPr>
        <w:t xml:space="preserve"> 45, 450-478.</w:t>
      </w:r>
    </w:p>
    <w:p w:rsidR="00EB2B18" w:rsidRDefault="0088646F" w:rsidP="005C179C">
      <w:pPr>
        <w:pStyle w:val="af2"/>
        <w:spacing w:line="360" w:lineRule="auto"/>
        <w:jc w:val="both"/>
        <w:rPr>
          <w:rFonts w:asciiTheme="majorBidi" w:hAnsiTheme="majorBidi" w:cstheme="majorBidi"/>
          <w:sz w:val="22"/>
          <w:szCs w:val="22"/>
        </w:rPr>
      </w:pPr>
      <w:r w:rsidRPr="00CD464C">
        <w:rPr>
          <w:rFonts w:asciiTheme="majorBidi" w:hAnsiTheme="majorBidi" w:cstheme="majorBidi"/>
          <w:sz w:val="22"/>
          <w:szCs w:val="22"/>
        </w:rPr>
        <w:t xml:space="preserve">Berreda, T., Hugonnier, J., and Rindisbacher, M. (2005). Trading Volume in Dynamically Efficient Markets. </w:t>
      </w:r>
      <w:r w:rsidRPr="00CD464C">
        <w:rPr>
          <w:rFonts w:asciiTheme="majorBidi" w:hAnsiTheme="majorBidi" w:cstheme="majorBidi"/>
          <w:i/>
          <w:iCs/>
          <w:sz w:val="22"/>
          <w:szCs w:val="22"/>
        </w:rPr>
        <w:t>FAME</w:t>
      </w:r>
      <w:r w:rsidRPr="00CD464C">
        <w:rPr>
          <w:rFonts w:asciiTheme="majorBidi" w:hAnsiTheme="majorBidi" w:cstheme="majorBidi"/>
          <w:sz w:val="22"/>
          <w:szCs w:val="22"/>
        </w:rPr>
        <w:t xml:space="preserve"> research paper, no. 139.</w:t>
      </w:r>
    </w:p>
    <w:p w:rsidR="00EB2B18" w:rsidRDefault="0088646F" w:rsidP="005C179C">
      <w:pPr>
        <w:pStyle w:val="af2"/>
        <w:spacing w:line="360" w:lineRule="auto"/>
        <w:jc w:val="both"/>
        <w:rPr>
          <w:rFonts w:asciiTheme="majorBidi" w:hAnsiTheme="majorBidi" w:cstheme="majorBidi"/>
          <w:sz w:val="22"/>
          <w:szCs w:val="22"/>
        </w:rPr>
      </w:pPr>
      <w:r w:rsidRPr="00CD464C">
        <w:rPr>
          <w:rFonts w:asciiTheme="majorBidi" w:hAnsiTheme="majorBidi" w:cstheme="majorBidi"/>
          <w:sz w:val="22"/>
          <w:szCs w:val="22"/>
        </w:rPr>
        <w:t xml:space="preserve">Camerer, C .F. (1989). An Experimental Test of Several Generalized Utility Theories. </w:t>
      </w:r>
      <w:r w:rsidRPr="00CD464C">
        <w:rPr>
          <w:rFonts w:asciiTheme="majorBidi" w:hAnsiTheme="majorBidi" w:cstheme="majorBidi"/>
          <w:i/>
          <w:iCs/>
          <w:sz w:val="22"/>
          <w:szCs w:val="22"/>
        </w:rPr>
        <w:t>Journal of Risk and Uncertainty</w:t>
      </w:r>
      <w:r w:rsidRPr="00CD464C">
        <w:rPr>
          <w:rFonts w:asciiTheme="majorBidi" w:hAnsiTheme="majorBidi" w:cstheme="majorBidi"/>
          <w:sz w:val="22"/>
          <w:szCs w:val="22"/>
        </w:rPr>
        <w:t xml:space="preserve"> 2, 61-104.</w:t>
      </w:r>
    </w:p>
    <w:p w:rsidR="00EB2B18" w:rsidRDefault="0088646F" w:rsidP="005C179C">
      <w:pPr>
        <w:pStyle w:val="af2"/>
        <w:spacing w:line="360" w:lineRule="auto"/>
        <w:jc w:val="both"/>
        <w:rPr>
          <w:rFonts w:asciiTheme="majorBidi" w:hAnsiTheme="majorBidi" w:cstheme="majorBidi"/>
          <w:sz w:val="22"/>
          <w:szCs w:val="22"/>
        </w:rPr>
      </w:pPr>
      <w:r w:rsidRPr="00CD464C">
        <w:rPr>
          <w:rFonts w:asciiTheme="majorBidi" w:hAnsiTheme="majorBidi" w:cstheme="majorBidi"/>
          <w:sz w:val="22"/>
          <w:szCs w:val="22"/>
        </w:rPr>
        <w:t xml:space="preserve">Camerer, C. F., Lowenstein, G., and Weber, M. (1989). The Curse of Knowledge in Economic Settings: An Experimental Analysis. </w:t>
      </w:r>
      <w:r w:rsidRPr="00CD464C">
        <w:rPr>
          <w:rFonts w:asciiTheme="majorBidi" w:hAnsiTheme="majorBidi" w:cstheme="majorBidi"/>
          <w:i/>
          <w:iCs/>
          <w:sz w:val="22"/>
          <w:szCs w:val="22"/>
        </w:rPr>
        <w:t>Journal of Political Economy</w:t>
      </w:r>
      <w:r w:rsidRPr="00CD464C">
        <w:rPr>
          <w:rFonts w:asciiTheme="majorBidi" w:hAnsiTheme="majorBidi" w:cstheme="majorBidi"/>
          <w:sz w:val="22"/>
          <w:szCs w:val="22"/>
        </w:rPr>
        <w:t>, 97, 1,232–1,254.</w:t>
      </w:r>
    </w:p>
    <w:p w:rsidR="00EB2B18" w:rsidRDefault="0088646F" w:rsidP="005C179C">
      <w:pPr>
        <w:pStyle w:val="af2"/>
        <w:spacing w:line="360" w:lineRule="auto"/>
        <w:jc w:val="both"/>
        <w:rPr>
          <w:rFonts w:asciiTheme="majorBidi" w:hAnsiTheme="majorBidi" w:cstheme="majorBidi"/>
          <w:sz w:val="22"/>
          <w:szCs w:val="22"/>
        </w:rPr>
      </w:pPr>
      <w:r w:rsidRPr="00CD464C">
        <w:rPr>
          <w:rFonts w:asciiTheme="majorBidi" w:hAnsiTheme="majorBidi" w:cstheme="majorBidi"/>
          <w:sz w:val="22"/>
          <w:szCs w:val="22"/>
        </w:rPr>
        <w:t xml:space="preserve">Chew, S. H., and Waller, W. S. (1986). Empirical Tests of Weighted Utility Theory. </w:t>
      </w:r>
      <w:r w:rsidRPr="00CD464C">
        <w:rPr>
          <w:rFonts w:asciiTheme="majorBidi" w:hAnsiTheme="majorBidi" w:cstheme="majorBidi"/>
          <w:i/>
          <w:iCs/>
          <w:sz w:val="22"/>
          <w:szCs w:val="22"/>
        </w:rPr>
        <w:t>Journal of Mathematical Psychology</w:t>
      </w:r>
      <w:r w:rsidRPr="00CD464C">
        <w:rPr>
          <w:rFonts w:asciiTheme="majorBidi" w:hAnsiTheme="majorBidi" w:cstheme="majorBidi"/>
          <w:sz w:val="22"/>
          <w:szCs w:val="22"/>
        </w:rPr>
        <w:t xml:space="preserve"> 30, 55-72.</w:t>
      </w:r>
    </w:p>
    <w:p w:rsidR="00EB2B18" w:rsidRDefault="0088646F" w:rsidP="005C179C">
      <w:pPr>
        <w:pStyle w:val="af2"/>
        <w:spacing w:line="360" w:lineRule="auto"/>
        <w:jc w:val="both"/>
        <w:rPr>
          <w:rFonts w:asciiTheme="majorBidi" w:hAnsiTheme="majorBidi" w:cstheme="majorBidi"/>
          <w:sz w:val="22"/>
          <w:szCs w:val="22"/>
        </w:rPr>
      </w:pPr>
      <w:r w:rsidRPr="00CD464C">
        <w:rPr>
          <w:rFonts w:asciiTheme="majorBidi" w:hAnsiTheme="majorBidi" w:cstheme="majorBidi"/>
          <w:sz w:val="22"/>
          <w:szCs w:val="22"/>
        </w:rPr>
        <w:t xml:space="preserve">Del Guercio, D., and Tkac, P. A. (2002). The Determinants of the Flow of Funds of Managed Portfolios: Mutual Funds vs. Pension Funds. </w:t>
      </w:r>
      <w:r w:rsidRPr="00CD464C">
        <w:rPr>
          <w:rFonts w:asciiTheme="majorBidi" w:hAnsiTheme="majorBidi" w:cstheme="majorBidi"/>
          <w:i/>
          <w:iCs/>
          <w:sz w:val="22"/>
          <w:szCs w:val="22"/>
        </w:rPr>
        <w:t>Journal of Financial and Quantitative Analysis</w:t>
      </w:r>
      <w:r w:rsidRPr="00CD464C">
        <w:rPr>
          <w:rFonts w:asciiTheme="majorBidi" w:hAnsiTheme="majorBidi" w:cstheme="majorBidi"/>
          <w:sz w:val="22"/>
          <w:szCs w:val="22"/>
        </w:rPr>
        <w:t xml:space="preserve"> 37, 523-557.</w:t>
      </w:r>
    </w:p>
    <w:p w:rsidR="00EB2B18" w:rsidRDefault="0088646F" w:rsidP="005C179C">
      <w:pPr>
        <w:spacing w:line="360" w:lineRule="auto"/>
        <w:jc w:val="both"/>
        <w:rPr>
          <w:rFonts w:asciiTheme="majorBidi" w:hAnsiTheme="majorBidi" w:cstheme="majorBidi"/>
          <w:sz w:val="22"/>
          <w:szCs w:val="22"/>
        </w:rPr>
      </w:pPr>
      <w:r w:rsidRPr="00CD464C">
        <w:rPr>
          <w:rFonts w:asciiTheme="majorBidi" w:hAnsiTheme="majorBidi" w:cstheme="majorBidi"/>
          <w:sz w:val="22"/>
          <w:szCs w:val="22"/>
        </w:rPr>
        <w:t>Del Guercio D. and  Tkac P.A. (2008) “Star Power: The Effect of Morningstar Ratings</w:t>
      </w:r>
      <w:r w:rsidR="005C2FC8" w:rsidRPr="00CD464C">
        <w:rPr>
          <w:rFonts w:asciiTheme="majorBidi" w:hAnsiTheme="majorBidi" w:cstheme="majorBidi"/>
          <w:sz w:val="22"/>
          <w:szCs w:val="22"/>
        </w:rPr>
        <w:t xml:space="preserve"> </w:t>
      </w:r>
      <w:r w:rsidRPr="00CD464C">
        <w:rPr>
          <w:rFonts w:asciiTheme="majorBidi" w:hAnsiTheme="majorBidi" w:cstheme="majorBidi"/>
          <w:sz w:val="22"/>
          <w:szCs w:val="22"/>
        </w:rPr>
        <w:t xml:space="preserve">on Mutual Fund Flow," </w:t>
      </w:r>
      <w:r w:rsidRPr="00CD464C">
        <w:rPr>
          <w:rFonts w:asciiTheme="majorBidi" w:hAnsiTheme="majorBidi" w:cstheme="majorBidi"/>
          <w:i/>
          <w:iCs/>
          <w:sz w:val="22"/>
          <w:szCs w:val="22"/>
        </w:rPr>
        <w:t>Journal of Financial and Quantitative Analysis</w:t>
      </w:r>
      <w:r w:rsidRPr="00CD464C">
        <w:rPr>
          <w:rFonts w:asciiTheme="majorBidi" w:hAnsiTheme="majorBidi" w:cstheme="majorBidi"/>
          <w:sz w:val="22"/>
          <w:szCs w:val="22"/>
        </w:rPr>
        <w:t>, 43, </w:t>
      </w:r>
    </w:p>
    <w:p w:rsidR="00EB2B18" w:rsidRDefault="0088646F" w:rsidP="005C179C">
      <w:pPr>
        <w:pStyle w:val="af2"/>
        <w:spacing w:line="360" w:lineRule="auto"/>
        <w:jc w:val="both"/>
        <w:rPr>
          <w:rFonts w:asciiTheme="majorBidi" w:hAnsiTheme="majorBidi" w:cstheme="majorBidi"/>
          <w:sz w:val="22"/>
          <w:szCs w:val="22"/>
        </w:rPr>
      </w:pPr>
      <w:r w:rsidRPr="00CD464C">
        <w:rPr>
          <w:rFonts w:asciiTheme="majorBidi" w:hAnsiTheme="majorBidi" w:cstheme="majorBidi"/>
          <w:sz w:val="22"/>
          <w:szCs w:val="22"/>
        </w:rPr>
        <w:t xml:space="preserve">Edelen, R. (1999). Investor Flows and the Assessed Performance of Open-End Mutual Funds. </w:t>
      </w:r>
      <w:r w:rsidRPr="00CD464C">
        <w:rPr>
          <w:rFonts w:asciiTheme="majorBidi" w:hAnsiTheme="majorBidi" w:cstheme="majorBidi"/>
          <w:i/>
          <w:iCs/>
          <w:sz w:val="22"/>
          <w:szCs w:val="22"/>
        </w:rPr>
        <w:t>Journal of Financial Economics</w:t>
      </w:r>
      <w:r w:rsidRPr="00CD464C">
        <w:rPr>
          <w:rFonts w:asciiTheme="majorBidi" w:hAnsiTheme="majorBidi" w:cstheme="majorBidi"/>
          <w:sz w:val="22"/>
          <w:szCs w:val="22"/>
        </w:rPr>
        <w:t xml:space="preserve"> 53, 439-466.</w:t>
      </w:r>
    </w:p>
    <w:p w:rsidR="00EB2B18" w:rsidRDefault="0088646F" w:rsidP="005C179C">
      <w:pPr>
        <w:pStyle w:val="af2"/>
        <w:spacing w:line="360" w:lineRule="auto"/>
        <w:jc w:val="both"/>
        <w:rPr>
          <w:rFonts w:asciiTheme="majorBidi" w:hAnsiTheme="majorBidi" w:cstheme="majorBidi"/>
          <w:sz w:val="22"/>
          <w:szCs w:val="22"/>
        </w:rPr>
      </w:pPr>
      <w:r w:rsidRPr="00CD464C">
        <w:rPr>
          <w:rFonts w:asciiTheme="majorBidi" w:hAnsiTheme="majorBidi" w:cstheme="majorBidi"/>
          <w:sz w:val="22"/>
          <w:szCs w:val="22"/>
        </w:rPr>
        <w:t xml:space="preserve">Fama, E. (1991). Efficient Capital Markets. </w:t>
      </w:r>
      <w:r w:rsidRPr="00CD464C">
        <w:rPr>
          <w:rFonts w:asciiTheme="majorBidi" w:hAnsiTheme="majorBidi" w:cstheme="majorBidi"/>
          <w:i/>
          <w:iCs/>
          <w:sz w:val="22"/>
          <w:szCs w:val="22"/>
        </w:rPr>
        <w:t>Journal of Finance</w:t>
      </w:r>
      <w:r w:rsidRPr="00CD464C">
        <w:rPr>
          <w:rFonts w:asciiTheme="majorBidi" w:hAnsiTheme="majorBidi" w:cstheme="majorBidi"/>
          <w:sz w:val="22"/>
          <w:szCs w:val="22"/>
        </w:rPr>
        <w:t xml:space="preserve"> 5, 1,575–1,617.</w:t>
      </w:r>
    </w:p>
    <w:p w:rsidR="00EB2B18" w:rsidRDefault="0088646F" w:rsidP="005C179C">
      <w:pPr>
        <w:pStyle w:val="af2"/>
        <w:spacing w:line="360" w:lineRule="auto"/>
        <w:jc w:val="both"/>
        <w:rPr>
          <w:rFonts w:asciiTheme="majorBidi" w:hAnsiTheme="majorBidi" w:cstheme="majorBidi"/>
          <w:sz w:val="22"/>
          <w:szCs w:val="22"/>
        </w:rPr>
      </w:pPr>
      <w:r w:rsidRPr="00CD464C">
        <w:rPr>
          <w:rFonts w:asciiTheme="majorBidi" w:hAnsiTheme="majorBidi" w:cstheme="majorBidi"/>
          <w:sz w:val="22"/>
          <w:szCs w:val="22"/>
        </w:rPr>
        <w:t xml:space="preserve">Grinblatt, M., and Titman, S. (1989). Mutual Fund Performance: An Analysis of Quarterly Holdings. </w:t>
      </w:r>
      <w:r w:rsidRPr="00CD464C">
        <w:rPr>
          <w:rFonts w:asciiTheme="majorBidi" w:hAnsiTheme="majorBidi" w:cstheme="majorBidi"/>
          <w:i/>
          <w:iCs/>
          <w:sz w:val="22"/>
          <w:szCs w:val="22"/>
        </w:rPr>
        <w:t>Journal of Business</w:t>
      </w:r>
      <w:r w:rsidRPr="00CD464C">
        <w:rPr>
          <w:rFonts w:asciiTheme="majorBidi" w:hAnsiTheme="majorBidi" w:cstheme="majorBidi"/>
          <w:sz w:val="22"/>
          <w:szCs w:val="22"/>
        </w:rPr>
        <w:t xml:space="preserve"> 62, 393-416.</w:t>
      </w:r>
    </w:p>
    <w:p w:rsidR="00EB2B18" w:rsidRDefault="0088646F" w:rsidP="005C179C">
      <w:pPr>
        <w:pStyle w:val="af2"/>
        <w:spacing w:line="360" w:lineRule="auto"/>
        <w:jc w:val="both"/>
        <w:rPr>
          <w:rFonts w:asciiTheme="majorBidi" w:hAnsiTheme="majorBidi" w:cstheme="majorBidi"/>
          <w:sz w:val="22"/>
          <w:szCs w:val="22"/>
        </w:rPr>
      </w:pPr>
      <w:r w:rsidRPr="00CD464C">
        <w:rPr>
          <w:rFonts w:asciiTheme="majorBidi" w:hAnsiTheme="majorBidi" w:cstheme="majorBidi"/>
          <w:sz w:val="22"/>
          <w:szCs w:val="22"/>
        </w:rPr>
        <w:t xml:space="preserve">Jensen, M. C. (1967). The Performance of Mutual Funds in the Period 1945-1964. </w:t>
      </w:r>
      <w:r w:rsidRPr="00CD464C">
        <w:rPr>
          <w:rFonts w:asciiTheme="majorBidi" w:hAnsiTheme="majorBidi" w:cstheme="majorBidi"/>
          <w:i/>
          <w:iCs/>
          <w:sz w:val="22"/>
          <w:szCs w:val="22"/>
        </w:rPr>
        <w:t>Journal of Finance</w:t>
      </w:r>
      <w:r w:rsidRPr="00CD464C">
        <w:rPr>
          <w:rFonts w:asciiTheme="majorBidi" w:hAnsiTheme="majorBidi" w:cstheme="majorBidi"/>
          <w:sz w:val="22"/>
          <w:szCs w:val="22"/>
        </w:rPr>
        <w:t xml:space="preserve"> 23, 389-416.</w:t>
      </w:r>
    </w:p>
    <w:p w:rsidR="00EB2B18" w:rsidRDefault="0088646F" w:rsidP="005C179C">
      <w:pPr>
        <w:pStyle w:val="af2"/>
        <w:spacing w:line="360" w:lineRule="auto"/>
        <w:jc w:val="both"/>
        <w:rPr>
          <w:rFonts w:asciiTheme="majorBidi" w:hAnsiTheme="majorBidi" w:cstheme="majorBidi"/>
          <w:sz w:val="22"/>
          <w:szCs w:val="22"/>
        </w:rPr>
      </w:pPr>
      <w:r w:rsidRPr="00CD464C">
        <w:rPr>
          <w:rFonts w:asciiTheme="majorBidi" w:hAnsiTheme="majorBidi" w:cstheme="majorBidi"/>
          <w:sz w:val="22"/>
          <w:szCs w:val="22"/>
        </w:rPr>
        <w:t xml:space="preserve">Jensen, M. C. (1978). Some Anomalous Evidence Regarding Market Efficiency. </w:t>
      </w:r>
      <w:r w:rsidRPr="00CD464C">
        <w:rPr>
          <w:rFonts w:asciiTheme="majorBidi" w:hAnsiTheme="majorBidi" w:cstheme="majorBidi"/>
          <w:i/>
          <w:iCs/>
          <w:sz w:val="22"/>
          <w:szCs w:val="22"/>
        </w:rPr>
        <w:t>Journal of Financial Economics</w:t>
      </w:r>
      <w:r w:rsidRPr="00CD464C">
        <w:rPr>
          <w:rFonts w:asciiTheme="majorBidi" w:hAnsiTheme="majorBidi" w:cstheme="majorBidi"/>
          <w:sz w:val="22"/>
          <w:szCs w:val="22"/>
        </w:rPr>
        <w:t xml:space="preserve"> 6, 95-101.</w:t>
      </w:r>
    </w:p>
    <w:p w:rsidR="00EB2B18" w:rsidRDefault="0088646F" w:rsidP="005C179C">
      <w:pPr>
        <w:pStyle w:val="af2"/>
        <w:spacing w:line="360" w:lineRule="auto"/>
        <w:jc w:val="both"/>
        <w:rPr>
          <w:rFonts w:asciiTheme="majorBidi" w:hAnsiTheme="majorBidi" w:cstheme="majorBidi"/>
          <w:sz w:val="22"/>
          <w:szCs w:val="22"/>
        </w:rPr>
      </w:pPr>
      <w:r w:rsidRPr="00CD464C">
        <w:rPr>
          <w:rFonts w:asciiTheme="majorBidi" w:hAnsiTheme="majorBidi" w:cstheme="majorBidi"/>
          <w:sz w:val="22"/>
          <w:szCs w:val="22"/>
        </w:rPr>
        <w:t xml:space="preserve">Kahneman, D., and Tversky, A. (1980). Prospect Theory: An Analysis Of Decision Under Risk. </w:t>
      </w:r>
      <w:r w:rsidRPr="00CD464C">
        <w:rPr>
          <w:rFonts w:asciiTheme="majorBidi" w:hAnsiTheme="majorBidi" w:cstheme="majorBidi"/>
          <w:i/>
          <w:iCs/>
          <w:sz w:val="22"/>
          <w:szCs w:val="22"/>
        </w:rPr>
        <w:t>Econometrica</w:t>
      </w:r>
      <w:r w:rsidRPr="00CD464C">
        <w:rPr>
          <w:rFonts w:asciiTheme="majorBidi" w:hAnsiTheme="majorBidi" w:cstheme="majorBidi"/>
          <w:sz w:val="22"/>
          <w:szCs w:val="22"/>
        </w:rPr>
        <w:t xml:space="preserve"> 47, 263-291.  </w:t>
      </w:r>
    </w:p>
    <w:p w:rsidR="00EB2B18" w:rsidRDefault="0088646F" w:rsidP="005C179C">
      <w:pPr>
        <w:pStyle w:val="af2"/>
        <w:spacing w:line="360" w:lineRule="auto"/>
        <w:jc w:val="both"/>
        <w:rPr>
          <w:rFonts w:asciiTheme="majorBidi" w:hAnsiTheme="majorBidi" w:cstheme="majorBidi"/>
          <w:sz w:val="22"/>
          <w:szCs w:val="22"/>
        </w:rPr>
      </w:pPr>
      <w:r w:rsidRPr="00CD464C">
        <w:rPr>
          <w:rFonts w:asciiTheme="majorBidi" w:hAnsiTheme="majorBidi" w:cstheme="majorBidi"/>
          <w:sz w:val="22"/>
          <w:szCs w:val="22"/>
        </w:rPr>
        <w:t xml:space="preserve">Kroll, Y., Levy, H., and Rapoport, A. (1988a). Experimental Tests of the Separation Theorem and the CAPM. </w:t>
      </w:r>
      <w:r w:rsidRPr="00CD464C">
        <w:rPr>
          <w:rFonts w:asciiTheme="majorBidi" w:hAnsiTheme="majorBidi" w:cstheme="majorBidi"/>
          <w:i/>
          <w:iCs/>
          <w:sz w:val="22"/>
          <w:szCs w:val="22"/>
        </w:rPr>
        <w:t>American Economic Review</w:t>
      </w:r>
      <w:r w:rsidRPr="00CD464C">
        <w:rPr>
          <w:rFonts w:asciiTheme="majorBidi" w:hAnsiTheme="majorBidi" w:cstheme="majorBidi"/>
          <w:sz w:val="22"/>
          <w:szCs w:val="22"/>
        </w:rPr>
        <w:t xml:space="preserve"> 78, 500–519.</w:t>
      </w:r>
    </w:p>
    <w:p w:rsidR="00EB2B18" w:rsidRDefault="0088646F" w:rsidP="005C179C">
      <w:pPr>
        <w:pStyle w:val="af2"/>
        <w:spacing w:line="360" w:lineRule="auto"/>
        <w:jc w:val="both"/>
        <w:rPr>
          <w:rFonts w:asciiTheme="majorBidi" w:hAnsiTheme="majorBidi" w:cstheme="majorBidi"/>
          <w:sz w:val="22"/>
          <w:szCs w:val="22"/>
        </w:rPr>
      </w:pPr>
      <w:r w:rsidRPr="00CD464C">
        <w:rPr>
          <w:rFonts w:asciiTheme="majorBidi" w:hAnsiTheme="majorBidi" w:cstheme="majorBidi"/>
          <w:sz w:val="22"/>
          <w:szCs w:val="22"/>
        </w:rPr>
        <w:t xml:space="preserve">Kroll, Y., Levy, H., and Rapoport, A. (1988b). Experimental Tests of the Mean Variance Model for Portfolio Selection. </w:t>
      </w:r>
      <w:r w:rsidRPr="00CD464C">
        <w:rPr>
          <w:rFonts w:asciiTheme="majorBidi" w:hAnsiTheme="majorBidi" w:cstheme="majorBidi"/>
          <w:i/>
          <w:iCs/>
          <w:sz w:val="22"/>
          <w:szCs w:val="22"/>
        </w:rPr>
        <w:t>Human Decision Process</w:t>
      </w:r>
      <w:r w:rsidRPr="00CD464C">
        <w:rPr>
          <w:rFonts w:asciiTheme="majorBidi" w:hAnsiTheme="majorBidi" w:cstheme="majorBidi"/>
          <w:sz w:val="22"/>
          <w:szCs w:val="22"/>
        </w:rPr>
        <w:t xml:space="preserve"> 42, 388-410.</w:t>
      </w:r>
    </w:p>
    <w:p w:rsidR="00EB2B18" w:rsidRDefault="0088646F" w:rsidP="005C179C">
      <w:pPr>
        <w:pStyle w:val="af2"/>
        <w:spacing w:line="360" w:lineRule="auto"/>
        <w:jc w:val="both"/>
        <w:rPr>
          <w:rFonts w:asciiTheme="majorBidi" w:hAnsiTheme="majorBidi" w:cstheme="majorBidi"/>
          <w:sz w:val="22"/>
          <w:szCs w:val="22"/>
        </w:rPr>
      </w:pPr>
      <w:r w:rsidRPr="00CD464C">
        <w:rPr>
          <w:rFonts w:asciiTheme="majorBidi" w:hAnsiTheme="majorBidi" w:cstheme="majorBidi"/>
          <w:sz w:val="22"/>
          <w:szCs w:val="22"/>
        </w:rPr>
        <w:t xml:space="preserve">Osband, K. (1989). Optimal Forecasting Incentives. </w:t>
      </w:r>
      <w:r w:rsidRPr="00CD464C">
        <w:rPr>
          <w:rFonts w:asciiTheme="majorBidi" w:hAnsiTheme="majorBidi" w:cstheme="majorBidi"/>
          <w:i/>
          <w:iCs/>
          <w:sz w:val="22"/>
          <w:szCs w:val="22"/>
        </w:rPr>
        <w:t>Journal of Political Economy</w:t>
      </w:r>
      <w:r w:rsidRPr="00CD464C">
        <w:rPr>
          <w:rFonts w:asciiTheme="majorBidi" w:hAnsiTheme="majorBidi" w:cstheme="majorBidi"/>
          <w:sz w:val="22"/>
          <w:szCs w:val="22"/>
        </w:rPr>
        <w:t xml:space="preserve"> 97(5), 1,091–1,112.</w:t>
      </w:r>
    </w:p>
    <w:p w:rsidR="00EB2B18" w:rsidRDefault="0088646F" w:rsidP="005C179C">
      <w:pPr>
        <w:pStyle w:val="af2"/>
        <w:spacing w:line="360" w:lineRule="auto"/>
        <w:jc w:val="both"/>
        <w:rPr>
          <w:rFonts w:asciiTheme="majorBidi" w:hAnsiTheme="majorBidi" w:cstheme="majorBidi"/>
          <w:sz w:val="22"/>
          <w:szCs w:val="22"/>
        </w:rPr>
      </w:pPr>
      <w:r w:rsidRPr="00CD464C">
        <w:rPr>
          <w:rFonts w:asciiTheme="majorBidi" w:hAnsiTheme="majorBidi" w:cstheme="majorBidi"/>
          <w:sz w:val="22"/>
          <w:szCs w:val="22"/>
        </w:rPr>
        <w:t xml:space="preserve">Porter, R. H. (1995). The Role of Information in U.S. Offshore Oil and Gas Lease Auctions. </w:t>
      </w:r>
      <w:r w:rsidRPr="00CD464C">
        <w:rPr>
          <w:rFonts w:asciiTheme="majorBidi" w:hAnsiTheme="majorBidi" w:cstheme="majorBidi"/>
          <w:i/>
          <w:iCs/>
          <w:sz w:val="22"/>
          <w:szCs w:val="22"/>
        </w:rPr>
        <w:t>Econometrica</w:t>
      </w:r>
      <w:r w:rsidRPr="00CD464C">
        <w:rPr>
          <w:rFonts w:asciiTheme="majorBidi" w:hAnsiTheme="majorBidi" w:cstheme="majorBidi"/>
          <w:sz w:val="22"/>
          <w:szCs w:val="22"/>
        </w:rPr>
        <w:t xml:space="preserve"> 63(1), 1-27.</w:t>
      </w:r>
    </w:p>
    <w:p w:rsidR="00EB2B18" w:rsidRDefault="0088646F" w:rsidP="005C179C">
      <w:pPr>
        <w:pStyle w:val="af2"/>
        <w:spacing w:line="360" w:lineRule="auto"/>
        <w:jc w:val="both"/>
        <w:rPr>
          <w:rFonts w:asciiTheme="majorBidi" w:hAnsiTheme="majorBidi" w:cstheme="majorBidi"/>
          <w:sz w:val="22"/>
          <w:szCs w:val="22"/>
        </w:rPr>
      </w:pPr>
      <w:r w:rsidRPr="00CD464C">
        <w:rPr>
          <w:rFonts w:asciiTheme="majorBidi" w:hAnsiTheme="majorBidi" w:cstheme="majorBidi"/>
          <w:sz w:val="22"/>
          <w:szCs w:val="22"/>
        </w:rPr>
        <w:t xml:space="preserve">Prelec, D. (1990). A ‘Pseudo-Endowment’ Effect and its Implications for Some Recent Non-expected Utility Models. </w:t>
      </w:r>
      <w:r w:rsidRPr="00CD464C">
        <w:rPr>
          <w:rFonts w:asciiTheme="majorBidi" w:hAnsiTheme="majorBidi" w:cstheme="majorBidi"/>
          <w:i/>
          <w:iCs/>
          <w:sz w:val="22"/>
          <w:szCs w:val="22"/>
        </w:rPr>
        <w:t>Journal of Risk and Uncertainty</w:t>
      </w:r>
      <w:r w:rsidRPr="00CD464C">
        <w:rPr>
          <w:rFonts w:asciiTheme="majorBidi" w:hAnsiTheme="majorBidi" w:cstheme="majorBidi"/>
          <w:sz w:val="22"/>
          <w:szCs w:val="22"/>
        </w:rPr>
        <w:t xml:space="preserve"> 3, 247-259.</w:t>
      </w:r>
    </w:p>
    <w:p w:rsidR="00EB2B18" w:rsidRDefault="0088646F" w:rsidP="005C179C">
      <w:pPr>
        <w:pStyle w:val="af2"/>
        <w:spacing w:line="360" w:lineRule="auto"/>
        <w:jc w:val="both"/>
        <w:rPr>
          <w:rFonts w:asciiTheme="majorBidi" w:hAnsiTheme="majorBidi" w:cstheme="majorBidi"/>
          <w:sz w:val="22"/>
          <w:szCs w:val="22"/>
        </w:rPr>
      </w:pPr>
      <w:r w:rsidRPr="00CD464C">
        <w:rPr>
          <w:rFonts w:asciiTheme="majorBidi" w:hAnsiTheme="majorBidi" w:cstheme="majorBidi"/>
          <w:sz w:val="22"/>
          <w:szCs w:val="22"/>
        </w:rPr>
        <w:lastRenderedPageBreak/>
        <w:t xml:space="preserve">Reyna, V. R. (2004). How People Make Decisions That Involve Risk: A Dual-Processes Approach. </w:t>
      </w:r>
      <w:r w:rsidRPr="00CD464C">
        <w:rPr>
          <w:rFonts w:asciiTheme="majorBidi" w:hAnsiTheme="majorBidi" w:cstheme="majorBidi"/>
          <w:i/>
          <w:iCs/>
          <w:sz w:val="22"/>
          <w:szCs w:val="22"/>
        </w:rPr>
        <w:t>Current Directions in Psychological Science</w:t>
      </w:r>
      <w:r w:rsidRPr="00CD464C">
        <w:rPr>
          <w:rFonts w:asciiTheme="majorBidi" w:hAnsiTheme="majorBidi" w:cstheme="majorBidi"/>
          <w:sz w:val="22"/>
          <w:szCs w:val="22"/>
        </w:rPr>
        <w:t xml:space="preserve"> 13, 60-66.</w:t>
      </w:r>
    </w:p>
    <w:p w:rsidR="00EB2B18" w:rsidRDefault="005C2FC8" w:rsidP="005C179C">
      <w:pPr>
        <w:widowControl/>
        <w:snapToGrid/>
        <w:spacing w:after="0" w:line="360" w:lineRule="auto"/>
        <w:rPr>
          <w:rFonts w:asciiTheme="majorBidi" w:hAnsiTheme="majorBidi" w:cstheme="majorBidi"/>
          <w:sz w:val="22"/>
          <w:szCs w:val="22"/>
        </w:rPr>
      </w:pPr>
      <w:r w:rsidRPr="00CD464C">
        <w:rPr>
          <w:rFonts w:asciiTheme="majorBidi" w:hAnsiTheme="majorBidi" w:cstheme="majorBidi"/>
          <w:sz w:val="22"/>
          <w:szCs w:val="22"/>
        </w:rPr>
        <w:t>Shefrin, H., and  Statman, M, (1985). The Disposition to Sell Winners Too Early and</w:t>
      </w:r>
    </w:p>
    <w:p w:rsidR="00EB2B18" w:rsidRDefault="005C2FC8" w:rsidP="005C179C">
      <w:pPr>
        <w:widowControl/>
        <w:snapToGrid/>
        <w:spacing w:after="0" w:line="360" w:lineRule="auto"/>
        <w:rPr>
          <w:rFonts w:asciiTheme="majorBidi" w:hAnsiTheme="majorBidi" w:cstheme="majorBidi"/>
          <w:sz w:val="22"/>
          <w:szCs w:val="22"/>
        </w:rPr>
      </w:pPr>
      <w:r w:rsidRPr="00CD464C">
        <w:rPr>
          <w:rFonts w:asciiTheme="majorBidi" w:hAnsiTheme="majorBidi" w:cstheme="majorBidi"/>
          <w:sz w:val="22"/>
          <w:szCs w:val="22"/>
        </w:rPr>
        <w:t xml:space="preserve">Ride Losers Too Long: Theory and Evidence. </w:t>
      </w:r>
      <w:r w:rsidRPr="00CD464C">
        <w:rPr>
          <w:rFonts w:asciiTheme="majorBidi" w:hAnsiTheme="majorBidi" w:cstheme="majorBidi"/>
          <w:i/>
          <w:iCs/>
          <w:sz w:val="22"/>
          <w:szCs w:val="22"/>
        </w:rPr>
        <w:t xml:space="preserve">Journal of Finance </w:t>
      </w:r>
      <w:r w:rsidRPr="00CD464C">
        <w:rPr>
          <w:rFonts w:asciiTheme="majorBidi" w:hAnsiTheme="majorBidi" w:cstheme="majorBidi"/>
          <w:sz w:val="22"/>
          <w:szCs w:val="22"/>
        </w:rPr>
        <w:t>40, 777-790</w:t>
      </w:r>
    </w:p>
    <w:p w:rsidR="00EB2B18" w:rsidRDefault="00EB2B18" w:rsidP="005C179C">
      <w:pPr>
        <w:pStyle w:val="af2"/>
        <w:spacing w:line="360" w:lineRule="auto"/>
        <w:jc w:val="both"/>
        <w:rPr>
          <w:rFonts w:asciiTheme="majorBidi" w:hAnsiTheme="majorBidi" w:cstheme="majorBidi"/>
          <w:sz w:val="22"/>
          <w:szCs w:val="22"/>
        </w:rPr>
      </w:pPr>
    </w:p>
    <w:p w:rsidR="00EB2B18" w:rsidRDefault="0088646F" w:rsidP="005C179C">
      <w:pPr>
        <w:pStyle w:val="af2"/>
        <w:spacing w:line="360" w:lineRule="auto"/>
        <w:jc w:val="both"/>
        <w:rPr>
          <w:rFonts w:asciiTheme="majorBidi" w:hAnsiTheme="majorBidi" w:cstheme="majorBidi"/>
          <w:sz w:val="22"/>
          <w:szCs w:val="22"/>
        </w:rPr>
      </w:pPr>
      <w:r w:rsidRPr="00CD464C">
        <w:rPr>
          <w:rFonts w:asciiTheme="majorBidi" w:hAnsiTheme="majorBidi" w:cstheme="majorBidi"/>
          <w:sz w:val="22"/>
          <w:szCs w:val="22"/>
        </w:rPr>
        <w:t xml:space="preserve">Sirri, E., and Tufano, P. (1998). Costly Search and Mutual Funds Flow. </w:t>
      </w:r>
      <w:r w:rsidRPr="00CD464C">
        <w:rPr>
          <w:rFonts w:asciiTheme="majorBidi" w:hAnsiTheme="majorBidi" w:cstheme="majorBidi"/>
          <w:i/>
          <w:iCs/>
          <w:sz w:val="22"/>
          <w:szCs w:val="22"/>
        </w:rPr>
        <w:t>Journal of Finance</w:t>
      </w:r>
      <w:r w:rsidRPr="00CD464C">
        <w:rPr>
          <w:rFonts w:asciiTheme="majorBidi" w:hAnsiTheme="majorBidi" w:cstheme="majorBidi"/>
          <w:sz w:val="22"/>
          <w:szCs w:val="22"/>
        </w:rPr>
        <w:t xml:space="preserve"> 53, 1,589–1,622.</w:t>
      </w:r>
    </w:p>
    <w:p w:rsidR="00EB2B18" w:rsidRDefault="0088646F" w:rsidP="005C179C">
      <w:pPr>
        <w:pStyle w:val="af2"/>
        <w:spacing w:line="360" w:lineRule="auto"/>
        <w:ind w:left="0" w:firstLine="0"/>
        <w:jc w:val="both"/>
        <w:rPr>
          <w:rFonts w:asciiTheme="majorBidi" w:hAnsiTheme="majorBidi" w:cstheme="majorBidi"/>
          <w:sz w:val="22"/>
          <w:szCs w:val="22"/>
        </w:rPr>
      </w:pPr>
      <w:r w:rsidRPr="00CD464C">
        <w:rPr>
          <w:rFonts w:asciiTheme="majorBidi" w:hAnsiTheme="majorBidi" w:cstheme="majorBidi"/>
          <w:sz w:val="22"/>
          <w:szCs w:val="22"/>
        </w:rPr>
        <w:t xml:space="preserve">Slovic, P., Lichtenstein, S., and Edwards, W. (1965). Boredom-Induced Changes in Preferences Among Bets. </w:t>
      </w:r>
      <w:r w:rsidRPr="00CD464C">
        <w:rPr>
          <w:rFonts w:asciiTheme="majorBidi" w:hAnsiTheme="majorBidi" w:cstheme="majorBidi"/>
          <w:i/>
          <w:iCs/>
          <w:sz w:val="22"/>
          <w:szCs w:val="22"/>
        </w:rPr>
        <w:t>American Journal of Psychology</w:t>
      </w:r>
      <w:r w:rsidRPr="00CD464C">
        <w:rPr>
          <w:rFonts w:asciiTheme="majorBidi" w:hAnsiTheme="majorBidi" w:cstheme="majorBidi"/>
          <w:sz w:val="22"/>
          <w:szCs w:val="22"/>
        </w:rPr>
        <w:t xml:space="preserve"> 78, 208-217.</w:t>
      </w:r>
    </w:p>
    <w:p w:rsidR="00EB2B18" w:rsidRDefault="0088646F" w:rsidP="005C179C">
      <w:pPr>
        <w:pStyle w:val="af2"/>
        <w:spacing w:line="360" w:lineRule="auto"/>
        <w:jc w:val="both"/>
        <w:rPr>
          <w:rFonts w:asciiTheme="majorBidi" w:hAnsiTheme="majorBidi" w:cstheme="majorBidi"/>
          <w:sz w:val="22"/>
          <w:szCs w:val="22"/>
        </w:rPr>
      </w:pPr>
      <w:r w:rsidRPr="00CD464C">
        <w:rPr>
          <w:rFonts w:asciiTheme="majorBidi" w:hAnsiTheme="majorBidi" w:cstheme="majorBidi"/>
          <w:sz w:val="22"/>
          <w:szCs w:val="22"/>
        </w:rPr>
        <w:t xml:space="preserve">Starmer, C., and Sugden, R. (1987). Probability and Juxtaposition Effects: An Experimental Investigation. </w:t>
      </w:r>
      <w:r w:rsidRPr="00CD464C">
        <w:rPr>
          <w:rFonts w:asciiTheme="majorBidi" w:hAnsiTheme="majorBidi" w:cstheme="majorBidi"/>
          <w:i/>
          <w:iCs/>
          <w:sz w:val="22"/>
          <w:szCs w:val="22"/>
        </w:rPr>
        <w:t>Journal of Risk and Uncertainty</w:t>
      </w:r>
      <w:r w:rsidRPr="00CD464C">
        <w:rPr>
          <w:rFonts w:asciiTheme="majorBidi" w:hAnsiTheme="majorBidi" w:cstheme="majorBidi"/>
          <w:sz w:val="22"/>
          <w:szCs w:val="22"/>
        </w:rPr>
        <w:t xml:space="preserve"> 2, 159-178.</w:t>
      </w:r>
    </w:p>
    <w:p w:rsidR="00EB2B18" w:rsidRDefault="0088646F" w:rsidP="005C179C">
      <w:pPr>
        <w:pStyle w:val="af2"/>
        <w:spacing w:line="360" w:lineRule="auto"/>
        <w:jc w:val="both"/>
        <w:rPr>
          <w:rFonts w:asciiTheme="majorBidi" w:hAnsiTheme="majorBidi" w:cstheme="majorBidi"/>
          <w:sz w:val="22"/>
          <w:szCs w:val="22"/>
        </w:rPr>
      </w:pPr>
      <w:r w:rsidRPr="00CD464C">
        <w:rPr>
          <w:rStyle w:val="citation"/>
          <w:rFonts w:asciiTheme="majorBidi" w:hAnsiTheme="majorBidi" w:cstheme="majorBidi"/>
          <w:sz w:val="22"/>
          <w:szCs w:val="22"/>
        </w:rPr>
        <w:t>Watts, D.</w:t>
      </w:r>
      <w:r w:rsidR="005C2FC8" w:rsidRPr="00CD464C">
        <w:rPr>
          <w:rStyle w:val="citation"/>
          <w:rFonts w:asciiTheme="majorBidi" w:hAnsiTheme="majorBidi" w:cstheme="majorBidi"/>
          <w:sz w:val="22"/>
          <w:szCs w:val="22"/>
        </w:rPr>
        <w:t xml:space="preserve"> </w:t>
      </w:r>
      <w:r w:rsidRPr="00CD464C">
        <w:rPr>
          <w:rStyle w:val="citation"/>
          <w:rFonts w:asciiTheme="majorBidi" w:hAnsiTheme="majorBidi" w:cstheme="majorBidi"/>
          <w:sz w:val="22"/>
          <w:szCs w:val="22"/>
        </w:rPr>
        <w:t>J.</w:t>
      </w:r>
      <w:r w:rsidR="005C2FC8" w:rsidRPr="00CD464C">
        <w:rPr>
          <w:rStyle w:val="citation"/>
          <w:rFonts w:asciiTheme="majorBidi" w:hAnsiTheme="majorBidi" w:cstheme="majorBidi"/>
          <w:sz w:val="22"/>
          <w:szCs w:val="22"/>
        </w:rPr>
        <w:t>, and</w:t>
      </w:r>
      <w:r w:rsidRPr="00CD464C">
        <w:rPr>
          <w:rStyle w:val="citation"/>
          <w:rFonts w:asciiTheme="majorBidi" w:hAnsiTheme="majorBidi" w:cstheme="majorBidi"/>
          <w:sz w:val="22"/>
          <w:szCs w:val="22"/>
        </w:rPr>
        <w:t xml:space="preserve"> Strogatz, S.</w:t>
      </w:r>
      <w:r w:rsidR="005C2FC8" w:rsidRPr="00CD464C">
        <w:rPr>
          <w:rStyle w:val="citation"/>
          <w:rFonts w:asciiTheme="majorBidi" w:hAnsiTheme="majorBidi" w:cstheme="majorBidi"/>
          <w:sz w:val="22"/>
          <w:szCs w:val="22"/>
        </w:rPr>
        <w:t xml:space="preserve"> </w:t>
      </w:r>
      <w:r w:rsidRPr="00CD464C">
        <w:rPr>
          <w:rStyle w:val="citation"/>
          <w:rFonts w:asciiTheme="majorBidi" w:hAnsiTheme="majorBidi" w:cstheme="majorBidi"/>
          <w:sz w:val="22"/>
          <w:szCs w:val="22"/>
        </w:rPr>
        <w:t xml:space="preserve">H. (1998). </w:t>
      </w:r>
      <w:hyperlink r:id="rId34" w:history="1">
        <w:r w:rsidRPr="00CD464C">
          <w:rPr>
            <w:rStyle w:val="Hyperlink"/>
            <w:rFonts w:asciiTheme="majorBidi" w:hAnsiTheme="majorBidi" w:cstheme="majorBidi"/>
            <w:color w:val="auto"/>
            <w:sz w:val="22"/>
            <w:szCs w:val="22"/>
          </w:rPr>
          <w:t xml:space="preserve">Collective </w:t>
        </w:r>
        <w:r w:rsidR="005C2FC8" w:rsidRPr="00CD464C">
          <w:rPr>
            <w:rStyle w:val="Hyperlink"/>
            <w:rFonts w:asciiTheme="majorBidi" w:hAnsiTheme="majorBidi" w:cstheme="majorBidi"/>
            <w:color w:val="auto"/>
            <w:sz w:val="22"/>
            <w:szCs w:val="22"/>
          </w:rPr>
          <w:t>D</w:t>
        </w:r>
        <w:r w:rsidRPr="00CD464C">
          <w:rPr>
            <w:rStyle w:val="Hyperlink"/>
            <w:rFonts w:asciiTheme="majorBidi" w:hAnsiTheme="majorBidi" w:cstheme="majorBidi"/>
            <w:color w:val="auto"/>
            <w:sz w:val="22"/>
            <w:szCs w:val="22"/>
          </w:rPr>
          <w:t>ynamics of '</w:t>
        </w:r>
        <w:r w:rsidR="005C2FC8" w:rsidRPr="00CD464C">
          <w:rPr>
            <w:rStyle w:val="Hyperlink"/>
            <w:rFonts w:asciiTheme="majorBidi" w:hAnsiTheme="majorBidi" w:cstheme="majorBidi"/>
            <w:color w:val="auto"/>
            <w:sz w:val="22"/>
            <w:szCs w:val="22"/>
          </w:rPr>
          <w:t>S</w:t>
        </w:r>
        <w:r w:rsidRPr="00CD464C">
          <w:rPr>
            <w:rStyle w:val="Hyperlink"/>
            <w:rFonts w:asciiTheme="majorBidi" w:hAnsiTheme="majorBidi" w:cstheme="majorBidi"/>
            <w:color w:val="auto"/>
            <w:sz w:val="22"/>
            <w:szCs w:val="22"/>
          </w:rPr>
          <w:t xml:space="preserve">mall-world' </w:t>
        </w:r>
        <w:r w:rsidR="005C2FC8" w:rsidRPr="00CD464C">
          <w:rPr>
            <w:rStyle w:val="Hyperlink"/>
            <w:rFonts w:asciiTheme="majorBidi" w:hAnsiTheme="majorBidi" w:cstheme="majorBidi"/>
            <w:color w:val="auto"/>
            <w:sz w:val="22"/>
            <w:szCs w:val="22"/>
          </w:rPr>
          <w:t>N</w:t>
        </w:r>
        <w:r w:rsidRPr="00CD464C">
          <w:rPr>
            <w:rStyle w:val="Hyperlink"/>
            <w:rFonts w:asciiTheme="majorBidi" w:hAnsiTheme="majorBidi" w:cstheme="majorBidi"/>
            <w:color w:val="auto"/>
            <w:sz w:val="22"/>
            <w:szCs w:val="22"/>
          </w:rPr>
          <w:t>etworks</w:t>
        </w:r>
        <w:r w:rsidRPr="00CD464C">
          <w:rPr>
            <w:rStyle w:val="Hyperlink"/>
            <w:rFonts w:asciiTheme="majorBidi" w:hAnsiTheme="majorBidi" w:cstheme="majorBidi"/>
            <w:sz w:val="22"/>
            <w:szCs w:val="22"/>
          </w:rPr>
          <w:t>.</w:t>
        </w:r>
      </w:hyperlink>
      <w:r w:rsidRPr="00CD464C">
        <w:rPr>
          <w:rStyle w:val="citation"/>
          <w:rFonts w:asciiTheme="majorBidi" w:hAnsiTheme="majorBidi" w:cstheme="majorBidi"/>
          <w:sz w:val="22"/>
          <w:szCs w:val="22"/>
        </w:rPr>
        <w:t xml:space="preserve"> </w:t>
      </w:r>
      <w:r w:rsidRPr="00CD464C">
        <w:rPr>
          <w:rStyle w:val="citation"/>
          <w:rFonts w:asciiTheme="majorBidi" w:hAnsiTheme="majorBidi" w:cstheme="majorBidi"/>
          <w:i/>
          <w:iCs/>
          <w:sz w:val="22"/>
          <w:szCs w:val="22"/>
        </w:rPr>
        <w:t>Nature</w:t>
      </w:r>
      <w:r w:rsidRPr="00CD464C">
        <w:rPr>
          <w:rStyle w:val="citation"/>
          <w:rFonts w:asciiTheme="majorBidi" w:hAnsiTheme="majorBidi" w:cstheme="majorBidi"/>
          <w:sz w:val="22"/>
          <w:szCs w:val="22"/>
        </w:rPr>
        <w:t xml:space="preserve"> </w:t>
      </w:r>
      <w:r w:rsidRPr="00CD464C">
        <w:rPr>
          <w:rStyle w:val="citation"/>
          <w:rFonts w:asciiTheme="majorBidi" w:hAnsiTheme="majorBidi" w:cstheme="majorBidi"/>
          <w:b/>
          <w:bCs/>
          <w:sz w:val="22"/>
          <w:szCs w:val="22"/>
        </w:rPr>
        <w:t>393</w:t>
      </w:r>
      <w:r w:rsidRPr="00CD464C">
        <w:rPr>
          <w:rStyle w:val="citation"/>
          <w:rFonts w:asciiTheme="majorBidi" w:hAnsiTheme="majorBidi" w:cstheme="majorBidi"/>
          <w:sz w:val="22"/>
          <w:szCs w:val="22"/>
        </w:rPr>
        <w:t xml:space="preserve"> (6684)</w:t>
      </w:r>
      <w:r w:rsidR="005C2FC8" w:rsidRPr="00CD464C">
        <w:rPr>
          <w:rStyle w:val="citation"/>
          <w:rFonts w:asciiTheme="majorBidi" w:hAnsiTheme="majorBidi" w:cstheme="majorBidi"/>
          <w:sz w:val="22"/>
          <w:szCs w:val="22"/>
        </w:rPr>
        <w:t xml:space="preserve">, </w:t>
      </w:r>
      <w:r w:rsidRPr="00CD464C">
        <w:rPr>
          <w:rStyle w:val="citation"/>
          <w:rFonts w:asciiTheme="majorBidi" w:hAnsiTheme="majorBidi" w:cstheme="majorBidi"/>
          <w:sz w:val="22"/>
          <w:szCs w:val="22"/>
        </w:rPr>
        <w:t>409–</w:t>
      </w:r>
      <w:r w:rsidR="005C2FC8" w:rsidRPr="00CD464C">
        <w:rPr>
          <w:rStyle w:val="citation"/>
          <w:rFonts w:asciiTheme="majorBidi" w:hAnsiTheme="majorBidi" w:cstheme="majorBidi"/>
          <w:sz w:val="22"/>
          <w:szCs w:val="22"/>
        </w:rPr>
        <w:t>4</w:t>
      </w:r>
      <w:r w:rsidRPr="00CD464C">
        <w:rPr>
          <w:rStyle w:val="citation"/>
          <w:rFonts w:asciiTheme="majorBidi" w:hAnsiTheme="majorBidi" w:cstheme="majorBidi"/>
          <w:sz w:val="22"/>
          <w:szCs w:val="22"/>
        </w:rPr>
        <w:t>10</w:t>
      </w:r>
      <w:r w:rsidR="005C2FC8" w:rsidRPr="00CD464C">
        <w:rPr>
          <w:rStyle w:val="citation"/>
          <w:rFonts w:asciiTheme="majorBidi" w:hAnsiTheme="majorBidi" w:cstheme="majorBidi"/>
          <w:sz w:val="22"/>
          <w:szCs w:val="22"/>
        </w:rPr>
        <w:t>.</w:t>
      </w:r>
    </w:p>
    <w:p w:rsidR="0088646F" w:rsidRPr="00CD464C" w:rsidRDefault="0088646F" w:rsidP="0010303D">
      <w:pPr>
        <w:pStyle w:val="2"/>
        <w:bidi w:val="0"/>
        <w:spacing w:line="360" w:lineRule="auto"/>
        <w:jc w:val="both"/>
        <w:rPr>
          <w:rFonts w:asciiTheme="majorBidi" w:hAnsiTheme="majorBidi" w:cstheme="majorBidi"/>
          <w:snapToGrid w:val="0"/>
          <w:sz w:val="24"/>
          <w:szCs w:val="24"/>
          <w:rtl/>
        </w:rPr>
        <w:sectPr w:rsidR="0088646F" w:rsidRPr="00CD464C" w:rsidSect="002C2896">
          <w:type w:val="continuous"/>
          <w:pgSz w:w="11906" w:h="16838"/>
          <w:pgMar w:top="1152" w:right="720" w:bottom="1152" w:left="720" w:header="706" w:footer="706" w:gutter="0"/>
          <w:cols w:space="720"/>
          <w:bidi/>
          <w:rtlGutter/>
          <w:docGrid w:linePitch="360"/>
        </w:sectPr>
      </w:pPr>
      <w:r w:rsidRPr="00CD464C">
        <w:rPr>
          <w:rFonts w:asciiTheme="majorBidi" w:hAnsiTheme="majorBidi" w:cstheme="majorBidi"/>
          <w:b w:val="0"/>
          <w:bCs w:val="0"/>
          <w:i w:val="0"/>
          <w:iCs w:val="0"/>
          <w:snapToGrid w:val="0"/>
          <w:sz w:val="24"/>
          <w:szCs w:val="24"/>
          <w:rtl/>
        </w:rPr>
        <w:br w:type="page"/>
      </w:r>
    </w:p>
    <w:p w:rsidR="00EB2B18" w:rsidRDefault="0088646F" w:rsidP="005C179C">
      <w:pPr>
        <w:spacing w:line="360" w:lineRule="auto"/>
        <w:rPr>
          <w:rFonts w:asciiTheme="majorBidi" w:hAnsiTheme="majorBidi" w:cstheme="majorBidi"/>
          <w:sz w:val="22"/>
          <w:szCs w:val="22"/>
          <w:lang w:eastAsia="he-IL"/>
        </w:rPr>
      </w:pPr>
      <w:r w:rsidRPr="00CD464C">
        <w:rPr>
          <w:rStyle w:val="30"/>
          <w:rFonts w:asciiTheme="majorBidi" w:hAnsiTheme="majorBidi" w:cstheme="majorBidi"/>
          <w:sz w:val="24"/>
          <w:szCs w:val="24"/>
        </w:rPr>
        <w:lastRenderedPageBreak/>
        <w:t>Figure A1</w:t>
      </w:r>
      <w:r w:rsidR="00FC5563" w:rsidRPr="00CD464C">
        <w:rPr>
          <w:rStyle w:val="30"/>
          <w:rFonts w:asciiTheme="majorBidi" w:hAnsiTheme="majorBidi" w:cstheme="majorBidi"/>
          <w:sz w:val="24"/>
          <w:szCs w:val="24"/>
        </w:rPr>
        <w:t xml:space="preserve"> FoF over the sample period</w:t>
      </w:r>
      <w:r w:rsidR="00FC5563" w:rsidRPr="00CD464C">
        <w:rPr>
          <w:rFonts w:asciiTheme="majorBidi" w:hAnsiTheme="majorBidi" w:cstheme="majorBidi"/>
          <w:noProof/>
          <w:sz w:val="22"/>
          <w:szCs w:val="22"/>
        </w:rPr>
        <w:drawing>
          <wp:inline distT="0" distB="0" distL="0" distR="0">
            <wp:extent cx="8582025" cy="4029075"/>
            <wp:effectExtent l="0" t="0" r="0" b="0"/>
            <wp:docPr id="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srcRect/>
                    <a:stretch>
                      <a:fillRect/>
                    </a:stretch>
                  </pic:blipFill>
                  <pic:spPr bwMode="auto">
                    <a:xfrm>
                      <a:off x="0" y="0"/>
                      <a:ext cx="8597687" cy="4036428"/>
                    </a:xfrm>
                    <a:prstGeom prst="rect">
                      <a:avLst/>
                    </a:prstGeom>
                    <a:noFill/>
                    <a:ln w="9525">
                      <a:noFill/>
                      <a:miter lim="800000"/>
                      <a:headEnd/>
                      <a:tailEnd/>
                    </a:ln>
                  </pic:spPr>
                </pic:pic>
              </a:graphicData>
            </a:graphic>
          </wp:inline>
        </w:drawing>
      </w:r>
    </w:p>
    <w:p w:rsidR="00EB2B18" w:rsidRDefault="0088646F" w:rsidP="005C179C">
      <w:pPr>
        <w:pStyle w:val="3"/>
        <w:bidi w:val="0"/>
        <w:spacing w:line="360" w:lineRule="auto"/>
        <w:jc w:val="both"/>
        <w:rPr>
          <w:rFonts w:asciiTheme="majorBidi" w:hAnsiTheme="majorBidi" w:cstheme="majorBidi"/>
          <w:b w:val="0"/>
          <w:bCs w:val="0"/>
          <w:sz w:val="20"/>
          <w:szCs w:val="20"/>
        </w:rPr>
      </w:pPr>
      <w:r w:rsidRPr="00CD464C">
        <w:rPr>
          <w:rFonts w:asciiTheme="majorBidi" w:hAnsiTheme="majorBidi" w:cstheme="majorBidi"/>
          <w:b w:val="0"/>
          <w:bCs w:val="0"/>
          <w:sz w:val="20"/>
          <w:szCs w:val="20"/>
        </w:rPr>
        <w:t>Figure A1 shows the FoF in the period between January 2002 and December 2006 for the two major categories. The lower (thinner) line shows the FoF of all the Bank-owned Providence Funds, while the upper (thicker) line shows the FoF of all the Private-owned Funds. The Banks’ line shows five peaks which represent the five end-of-the-year deposits, and one clear minimum which was on April 2005.</w:t>
      </w:r>
    </w:p>
    <w:p w:rsidR="00EB2B18" w:rsidRDefault="0088646F" w:rsidP="005C179C">
      <w:pPr>
        <w:pStyle w:val="3"/>
        <w:bidi w:val="0"/>
        <w:spacing w:line="360" w:lineRule="auto"/>
        <w:jc w:val="both"/>
        <w:rPr>
          <w:rFonts w:asciiTheme="majorBidi" w:hAnsiTheme="majorBidi" w:cstheme="majorBidi"/>
          <w:sz w:val="24"/>
          <w:szCs w:val="24"/>
        </w:rPr>
      </w:pPr>
      <w:r w:rsidRPr="00CD464C">
        <w:rPr>
          <w:rFonts w:asciiTheme="majorBidi" w:hAnsiTheme="majorBidi" w:cstheme="majorBidi"/>
          <w:sz w:val="24"/>
          <w:szCs w:val="24"/>
        </w:rPr>
        <w:t xml:space="preserve">Figure A2: </w:t>
      </w:r>
      <w:r w:rsidR="00FC5563" w:rsidRPr="00CD464C">
        <w:rPr>
          <w:rFonts w:asciiTheme="majorBidi" w:hAnsiTheme="majorBidi" w:cstheme="majorBidi"/>
          <w:sz w:val="24"/>
          <w:szCs w:val="24"/>
        </w:rPr>
        <w:t xml:space="preserve">FoF over the sample period - </w:t>
      </w:r>
      <w:r w:rsidRPr="00CD464C">
        <w:rPr>
          <w:rFonts w:asciiTheme="majorBidi" w:hAnsiTheme="majorBidi" w:cstheme="majorBidi"/>
          <w:sz w:val="24"/>
          <w:szCs w:val="24"/>
        </w:rPr>
        <w:t>After correcting the “December effect</w:t>
      </w:r>
      <w:r w:rsidRPr="00CD464C">
        <w:rPr>
          <w:rFonts w:asciiTheme="majorBidi" w:hAnsiTheme="majorBidi" w:cstheme="majorBidi"/>
          <w:b w:val="0"/>
          <w:bCs w:val="0"/>
          <w:sz w:val="24"/>
          <w:szCs w:val="24"/>
        </w:rPr>
        <w:t>”</w:t>
      </w:r>
    </w:p>
    <w:p w:rsidR="00EB2B18" w:rsidRDefault="00FC5563" w:rsidP="005C179C">
      <w:pPr>
        <w:spacing w:line="360" w:lineRule="auto"/>
        <w:jc w:val="both"/>
        <w:rPr>
          <w:rFonts w:asciiTheme="majorBidi" w:hAnsiTheme="majorBidi" w:cstheme="majorBidi"/>
          <w:sz w:val="20"/>
          <w:szCs w:val="20"/>
        </w:rPr>
      </w:pPr>
      <w:r w:rsidRPr="00CD464C">
        <w:rPr>
          <w:rFonts w:asciiTheme="majorBidi" w:hAnsiTheme="majorBidi" w:cstheme="majorBidi"/>
          <w:noProof/>
          <w:sz w:val="20"/>
          <w:szCs w:val="20"/>
        </w:rPr>
        <w:drawing>
          <wp:inline distT="0" distB="0" distL="0" distR="0">
            <wp:extent cx="8982075" cy="3686175"/>
            <wp:effectExtent l="0" t="0" r="0" b="0"/>
            <wp:docPr id="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cstate="print"/>
                    <a:srcRect/>
                    <a:stretch>
                      <a:fillRect/>
                    </a:stretch>
                  </pic:blipFill>
                  <pic:spPr bwMode="auto">
                    <a:xfrm>
                      <a:off x="0" y="0"/>
                      <a:ext cx="8993525" cy="3690874"/>
                    </a:xfrm>
                    <a:prstGeom prst="rect">
                      <a:avLst/>
                    </a:prstGeom>
                    <a:noFill/>
                    <a:ln w="9525">
                      <a:noFill/>
                      <a:miter lim="800000"/>
                      <a:headEnd/>
                      <a:tailEnd/>
                    </a:ln>
                  </pic:spPr>
                </pic:pic>
              </a:graphicData>
            </a:graphic>
          </wp:inline>
        </w:drawing>
      </w:r>
    </w:p>
    <w:p w:rsidR="00EB2B18" w:rsidRDefault="0088646F" w:rsidP="005C179C">
      <w:pPr>
        <w:spacing w:line="360" w:lineRule="auto"/>
        <w:jc w:val="both"/>
        <w:rPr>
          <w:rFonts w:asciiTheme="majorBidi" w:hAnsiTheme="majorBidi" w:cstheme="majorBidi"/>
          <w:bCs/>
          <w:sz w:val="20"/>
          <w:szCs w:val="20"/>
        </w:rPr>
      </w:pPr>
      <w:r w:rsidRPr="00CD464C">
        <w:rPr>
          <w:rFonts w:asciiTheme="majorBidi" w:hAnsiTheme="majorBidi" w:cstheme="majorBidi"/>
          <w:bCs/>
          <w:sz w:val="20"/>
          <w:szCs w:val="20"/>
          <w:lang w:eastAsia="he-IL"/>
        </w:rPr>
        <w:lastRenderedPageBreak/>
        <w:t xml:space="preserve">Figure A2 shows the </w:t>
      </w:r>
      <w:r w:rsidRPr="00CD464C">
        <w:rPr>
          <w:rFonts w:asciiTheme="majorBidi" w:hAnsiTheme="majorBidi" w:cstheme="majorBidi"/>
          <w:bCs/>
          <w:sz w:val="20"/>
          <w:szCs w:val="20"/>
        </w:rPr>
        <w:t>FoF</w:t>
      </w:r>
      <w:r w:rsidRPr="00CD464C">
        <w:rPr>
          <w:rFonts w:asciiTheme="majorBidi" w:hAnsiTheme="majorBidi" w:cstheme="majorBidi"/>
          <w:bCs/>
          <w:sz w:val="20"/>
          <w:szCs w:val="20"/>
          <w:lang w:eastAsia="he-IL"/>
        </w:rPr>
        <w:t xml:space="preserve"> in the period between January 2002 and December 2006 for the two major categories. Here we correct the December effect (derived by the end of the year deposits). The lower line shows the FoF of all the Bank-owned Providence Funds, while the upper (thicker) line shows the FoF of all the Private-owned Funds. The Banks</w:t>
      </w:r>
      <w:r w:rsidRPr="00CD464C">
        <w:rPr>
          <w:rFonts w:asciiTheme="majorBidi" w:hAnsiTheme="majorBidi" w:cstheme="majorBidi"/>
          <w:bCs/>
          <w:sz w:val="20"/>
          <w:szCs w:val="20"/>
        </w:rPr>
        <w:t>’</w:t>
      </w:r>
      <w:r w:rsidRPr="00CD464C">
        <w:rPr>
          <w:rFonts w:asciiTheme="majorBidi" w:hAnsiTheme="majorBidi" w:cstheme="majorBidi"/>
          <w:bCs/>
          <w:sz w:val="20"/>
          <w:szCs w:val="20"/>
          <w:lang w:eastAsia="he-IL"/>
        </w:rPr>
        <w:t xml:space="preserve"> line is generally negative. The highest positive period is just before the April 2005 event</w:t>
      </w:r>
      <w:r w:rsidRPr="00CD464C">
        <w:rPr>
          <w:rFonts w:asciiTheme="majorBidi" w:hAnsiTheme="majorBidi" w:cstheme="majorBidi"/>
          <w:bCs/>
          <w:sz w:val="20"/>
          <w:szCs w:val="20"/>
        </w:rPr>
        <w:t>.</w:t>
      </w:r>
    </w:p>
    <w:p w:rsidR="00EB2B18" w:rsidRDefault="0088646F" w:rsidP="005C179C">
      <w:pPr>
        <w:widowControl/>
        <w:snapToGrid/>
        <w:spacing w:after="0" w:line="360" w:lineRule="auto"/>
        <w:rPr>
          <w:rFonts w:asciiTheme="majorBidi" w:hAnsiTheme="majorBidi" w:cstheme="majorBidi"/>
          <w:b/>
          <w:bCs/>
          <w:lang w:eastAsia="he-IL"/>
        </w:rPr>
      </w:pPr>
      <w:r w:rsidRPr="00CD464C">
        <w:rPr>
          <w:rFonts w:asciiTheme="majorBidi" w:hAnsiTheme="majorBidi" w:cstheme="majorBidi"/>
          <w:sz w:val="22"/>
          <w:szCs w:val="22"/>
        </w:rPr>
        <w:br w:type="page"/>
      </w:r>
    </w:p>
    <w:p w:rsidR="00EB2B18" w:rsidRDefault="0088646F" w:rsidP="005C179C">
      <w:pPr>
        <w:pStyle w:val="3"/>
        <w:bidi w:val="0"/>
        <w:spacing w:line="360" w:lineRule="auto"/>
        <w:rPr>
          <w:rFonts w:asciiTheme="majorBidi" w:hAnsiTheme="majorBidi" w:cstheme="majorBidi"/>
          <w:sz w:val="24"/>
          <w:szCs w:val="24"/>
        </w:rPr>
      </w:pPr>
      <w:r w:rsidRPr="00CD464C">
        <w:rPr>
          <w:rFonts w:asciiTheme="majorBidi" w:hAnsiTheme="majorBidi" w:cstheme="majorBidi"/>
          <w:sz w:val="24"/>
          <w:szCs w:val="24"/>
        </w:rPr>
        <w:lastRenderedPageBreak/>
        <w:t>Figure A3: Flow divided by five major Fund management categories</w:t>
      </w:r>
    </w:p>
    <w:p w:rsidR="00EB2B18" w:rsidRDefault="00FC5563" w:rsidP="005C179C">
      <w:pPr>
        <w:spacing w:line="360" w:lineRule="auto"/>
        <w:rPr>
          <w:rFonts w:asciiTheme="majorBidi" w:hAnsiTheme="majorBidi" w:cstheme="majorBidi"/>
          <w:sz w:val="22"/>
          <w:szCs w:val="22"/>
          <w:lang w:eastAsia="he-IL"/>
        </w:rPr>
      </w:pPr>
      <w:r w:rsidRPr="00CD464C">
        <w:rPr>
          <w:rFonts w:asciiTheme="majorBidi" w:hAnsiTheme="majorBidi" w:cstheme="majorBidi"/>
          <w:noProof/>
          <w:sz w:val="22"/>
          <w:szCs w:val="22"/>
        </w:rPr>
        <w:drawing>
          <wp:inline distT="0" distB="0" distL="0" distR="0">
            <wp:extent cx="9096375" cy="3886200"/>
            <wp:effectExtent l="0" t="0" r="0" b="0"/>
            <wp:docPr id="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cstate="print"/>
                    <a:srcRect/>
                    <a:stretch>
                      <a:fillRect/>
                    </a:stretch>
                  </pic:blipFill>
                  <pic:spPr bwMode="auto">
                    <a:xfrm>
                      <a:off x="0" y="0"/>
                      <a:ext cx="9096375" cy="3886200"/>
                    </a:xfrm>
                    <a:prstGeom prst="rect">
                      <a:avLst/>
                    </a:prstGeom>
                    <a:noFill/>
                    <a:ln w="9525">
                      <a:noFill/>
                      <a:miter lim="800000"/>
                      <a:headEnd/>
                      <a:tailEnd/>
                    </a:ln>
                  </pic:spPr>
                </pic:pic>
              </a:graphicData>
            </a:graphic>
          </wp:inline>
        </w:drawing>
      </w:r>
    </w:p>
    <w:p w:rsidR="00EB2B18" w:rsidRDefault="0088646F" w:rsidP="005C179C">
      <w:pPr>
        <w:pStyle w:val="3"/>
        <w:bidi w:val="0"/>
        <w:snapToGrid w:val="0"/>
        <w:spacing w:line="360" w:lineRule="auto"/>
        <w:jc w:val="both"/>
        <w:rPr>
          <w:rFonts w:asciiTheme="majorBidi" w:hAnsiTheme="majorBidi" w:cstheme="majorBidi"/>
          <w:b w:val="0"/>
          <w:bCs w:val="0"/>
          <w:sz w:val="18"/>
          <w:szCs w:val="18"/>
          <w:lang w:eastAsia="en-US"/>
        </w:rPr>
      </w:pPr>
      <w:r w:rsidRPr="00CD464C">
        <w:rPr>
          <w:rFonts w:asciiTheme="majorBidi" w:hAnsiTheme="majorBidi" w:cstheme="majorBidi"/>
          <w:b w:val="0"/>
          <w:bCs w:val="0"/>
          <w:sz w:val="18"/>
          <w:szCs w:val="18"/>
        </w:rPr>
        <w:t xml:space="preserve">Figure A3 shows the FoF in the period between January 2002 and December 2006 for the five categories of Institutional management, after making the adjustment for the December effect.  The lower line (negative flow) shows the FoF of the funds owned by large banks, the second from below shows the FoF of the funds owned by small banks. The rest of the lines show the flow at the three categories of private funds: insurance companies, small and large brokerage houses. The “bleeding” of the banks continues over the whole period, but it is prominent in the period between 2005 and 2006. Figures A1-A3 provide “eyeball statistics” which supports the hypothesis that some unique event was </w:t>
      </w:r>
      <w:r w:rsidR="004923B3" w:rsidRPr="00CD464C">
        <w:rPr>
          <w:rFonts w:asciiTheme="majorBidi" w:hAnsiTheme="majorBidi" w:cstheme="majorBidi"/>
          <w:b w:val="0"/>
          <w:bCs w:val="0"/>
          <w:i/>
          <w:iCs/>
          <w:sz w:val="18"/>
          <w:szCs w:val="18"/>
        </w:rPr>
        <w:t>en movement</w:t>
      </w:r>
      <w:r w:rsidR="00C82F27" w:rsidRPr="00CD464C">
        <w:rPr>
          <w:rFonts w:asciiTheme="majorBidi" w:hAnsiTheme="majorBidi" w:cstheme="majorBidi"/>
          <w:b w:val="0"/>
          <w:bCs w:val="0"/>
          <w:sz w:val="18"/>
          <w:szCs w:val="18"/>
        </w:rPr>
        <w:t xml:space="preserve"> </w:t>
      </w:r>
      <w:r w:rsidRPr="00CD464C">
        <w:rPr>
          <w:rFonts w:asciiTheme="majorBidi" w:hAnsiTheme="majorBidi" w:cstheme="majorBidi"/>
          <w:b w:val="0"/>
          <w:bCs w:val="0"/>
          <w:sz w:val="18"/>
          <w:szCs w:val="18"/>
        </w:rPr>
        <w:t xml:space="preserve"> in April 2005. We relate this unique event to the implementation of a new valuation model of Non Tradable assets held by Providence Funds. Until April 2005 the value of such assets was fixed at their accrued (historic) value. The new method forced valuation at the </w:t>
      </w:r>
      <w:r w:rsidRPr="00CD464C">
        <w:rPr>
          <w:rFonts w:asciiTheme="majorBidi" w:hAnsiTheme="majorBidi" w:cstheme="majorBidi"/>
          <w:b w:val="0"/>
          <w:bCs w:val="0"/>
          <w:i/>
          <w:iCs/>
          <w:sz w:val="18"/>
          <w:szCs w:val="18"/>
        </w:rPr>
        <w:t>Fair Value.</w:t>
      </w:r>
    </w:p>
    <w:p w:rsidR="00EB2B18" w:rsidRDefault="00EB2B18" w:rsidP="005C179C">
      <w:pPr>
        <w:pStyle w:val="4"/>
        <w:spacing w:line="360" w:lineRule="auto"/>
        <w:jc w:val="both"/>
        <w:rPr>
          <w:rFonts w:asciiTheme="majorBidi" w:hAnsiTheme="majorBidi" w:cstheme="majorBidi"/>
          <w:color w:val="auto"/>
          <w:sz w:val="22"/>
          <w:szCs w:val="22"/>
        </w:rPr>
      </w:pPr>
    </w:p>
    <w:p w:rsidR="00EB2B18" w:rsidRDefault="0088646F" w:rsidP="005C179C">
      <w:pPr>
        <w:pStyle w:val="3"/>
        <w:bidi w:val="0"/>
        <w:spacing w:line="360" w:lineRule="auto"/>
        <w:rPr>
          <w:rFonts w:asciiTheme="majorBidi" w:hAnsiTheme="majorBidi" w:cstheme="majorBidi"/>
          <w:sz w:val="24"/>
          <w:szCs w:val="24"/>
        </w:rPr>
      </w:pPr>
      <w:r w:rsidRPr="00CD464C">
        <w:rPr>
          <w:rFonts w:asciiTheme="majorBidi" w:hAnsiTheme="majorBidi" w:cstheme="majorBidi"/>
          <w:sz w:val="24"/>
          <w:szCs w:val="24"/>
          <w:lang w:bidi="ar-SA"/>
        </w:rPr>
        <w:lastRenderedPageBreak/>
        <w:t xml:space="preserve">Figure B: Assets </w:t>
      </w:r>
      <w:r w:rsidR="00DD41FE" w:rsidRPr="00CD464C">
        <w:rPr>
          <w:rFonts w:asciiTheme="majorBidi" w:hAnsiTheme="majorBidi" w:cstheme="majorBidi"/>
          <w:sz w:val="24"/>
          <w:szCs w:val="24"/>
          <w:lang w:bidi="ar-SA"/>
        </w:rPr>
        <w:t>under</w:t>
      </w:r>
      <w:r w:rsidRPr="00CD464C">
        <w:rPr>
          <w:rFonts w:asciiTheme="majorBidi" w:hAnsiTheme="majorBidi" w:cstheme="majorBidi"/>
          <w:sz w:val="24"/>
          <w:szCs w:val="24"/>
          <w:lang w:bidi="ar-SA"/>
        </w:rPr>
        <w:t xml:space="preserve"> Management </w:t>
      </w:r>
    </w:p>
    <w:p w:rsidR="00EB2B18" w:rsidRDefault="00CB6D95" w:rsidP="005C179C">
      <w:pPr>
        <w:pStyle w:val="4"/>
        <w:spacing w:line="360" w:lineRule="auto"/>
        <w:jc w:val="both"/>
        <w:rPr>
          <w:rFonts w:asciiTheme="majorBidi" w:hAnsiTheme="majorBidi" w:cstheme="majorBidi"/>
          <w:b w:val="0"/>
          <w:bCs w:val="0"/>
          <w:sz w:val="18"/>
          <w:szCs w:val="18"/>
        </w:rPr>
      </w:pPr>
      <w:r w:rsidRPr="00CD464C">
        <w:rPr>
          <w:rFonts w:asciiTheme="majorBidi" w:hAnsiTheme="majorBidi" w:cstheme="majorBidi"/>
          <w:noProof/>
          <w:sz w:val="22"/>
          <w:szCs w:val="22"/>
          <w:lang w:bidi="he-IL"/>
        </w:rPr>
        <w:drawing>
          <wp:inline distT="0" distB="0" distL="0" distR="0">
            <wp:extent cx="4838700" cy="2752725"/>
            <wp:effectExtent l="19050" t="0" r="0" b="0"/>
            <wp:docPr id="9"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8" cstate="print"/>
                    <a:srcRect/>
                    <a:stretch>
                      <a:fillRect/>
                    </a:stretch>
                  </pic:blipFill>
                  <pic:spPr bwMode="auto">
                    <a:xfrm>
                      <a:off x="0" y="0"/>
                      <a:ext cx="4838700" cy="2752725"/>
                    </a:xfrm>
                    <a:prstGeom prst="rect">
                      <a:avLst/>
                    </a:prstGeom>
                    <a:noFill/>
                    <a:ln w="9525">
                      <a:noFill/>
                      <a:miter lim="800000"/>
                      <a:headEnd/>
                      <a:tailEnd/>
                    </a:ln>
                  </pic:spPr>
                </pic:pic>
              </a:graphicData>
            </a:graphic>
          </wp:inline>
        </w:drawing>
      </w:r>
    </w:p>
    <w:p w:rsidR="00EB2B18" w:rsidRDefault="0088646F" w:rsidP="005C179C">
      <w:pPr>
        <w:pStyle w:val="4"/>
        <w:spacing w:line="360" w:lineRule="auto"/>
        <w:jc w:val="both"/>
        <w:rPr>
          <w:rFonts w:asciiTheme="majorBidi" w:hAnsiTheme="majorBidi" w:cstheme="majorBidi"/>
          <w:b w:val="0"/>
          <w:bCs w:val="0"/>
          <w:color w:val="auto"/>
          <w:sz w:val="20"/>
          <w:szCs w:val="20"/>
        </w:rPr>
      </w:pPr>
      <w:r w:rsidRPr="00CD464C">
        <w:rPr>
          <w:rFonts w:asciiTheme="majorBidi" w:hAnsiTheme="majorBidi" w:cstheme="majorBidi"/>
          <w:b w:val="0"/>
          <w:bCs w:val="0"/>
          <w:sz w:val="20"/>
          <w:szCs w:val="20"/>
        </w:rPr>
        <w:t>Figure B shows the classification of assets management to private institutions and banks. In three years</w:t>
      </w:r>
      <w:r w:rsidR="00C82F27" w:rsidRPr="00CD464C">
        <w:rPr>
          <w:rFonts w:asciiTheme="majorBidi" w:hAnsiTheme="majorBidi" w:cstheme="majorBidi"/>
          <w:b w:val="0"/>
          <w:bCs w:val="0"/>
          <w:sz w:val="20"/>
          <w:szCs w:val="20"/>
        </w:rPr>
        <w:t>,</w:t>
      </w:r>
      <w:r w:rsidRPr="00CD464C">
        <w:rPr>
          <w:rFonts w:asciiTheme="majorBidi" w:hAnsiTheme="majorBidi" w:cstheme="majorBidi"/>
          <w:b w:val="0"/>
          <w:bCs w:val="0"/>
          <w:sz w:val="20"/>
          <w:szCs w:val="20"/>
        </w:rPr>
        <w:t xml:space="preserve"> the market value grew by 35%. Assets which are managed by the private sector grew at the same period by 360%.</w:t>
      </w:r>
    </w:p>
    <w:p w:rsidR="00EB2B18" w:rsidRDefault="00EB2B18" w:rsidP="005C179C">
      <w:pPr>
        <w:pStyle w:val="4"/>
        <w:spacing w:line="360" w:lineRule="auto"/>
        <w:jc w:val="both"/>
        <w:rPr>
          <w:rFonts w:asciiTheme="majorBidi" w:hAnsiTheme="majorBidi" w:cstheme="majorBidi"/>
          <w:b w:val="0"/>
          <w:bCs w:val="0"/>
          <w:color w:val="auto"/>
          <w:sz w:val="18"/>
          <w:szCs w:val="18"/>
        </w:rPr>
      </w:pPr>
    </w:p>
    <w:p w:rsidR="00EB2B18" w:rsidRDefault="0088646F" w:rsidP="005C179C">
      <w:pPr>
        <w:widowControl/>
        <w:snapToGrid/>
        <w:spacing w:after="0" w:line="360" w:lineRule="auto"/>
        <w:rPr>
          <w:rFonts w:asciiTheme="majorBidi" w:hAnsiTheme="majorBidi" w:cstheme="majorBidi"/>
          <w:b/>
          <w:bCs/>
        </w:rPr>
      </w:pPr>
      <w:r w:rsidRPr="002C2896">
        <w:rPr>
          <w:rFonts w:asciiTheme="majorBidi" w:hAnsiTheme="majorBidi" w:cstheme="majorBidi"/>
          <w:b/>
          <w:bCs/>
        </w:rPr>
        <w:t>Figure C: Inflation and Real Rate</w:t>
      </w:r>
    </w:p>
    <w:p w:rsidR="00EB2B18" w:rsidRDefault="005A7350" w:rsidP="005C179C">
      <w:pPr>
        <w:spacing w:line="360" w:lineRule="auto"/>
        <w:jc w:val="both"/>
        <w:rPr>
          <w:rFonts w:asciiTheme="majorBidi" w:hAnsiTheme="majorBidi" w:cstheme="majorBidi"/>
          <w:sz w:val="18"/>
          <w:szCs w:val="18"/>
        </w:rPr>
      </w:pPr>
      <w:r w:rsidRPr="00CD464C">
        <w:rPr>
          <w:rFonts w:asciiTheme="majorBidi" w:hAnsiTheme="majorBidi" w:cstheme="majorBidi"/>
          <w:noProof/>
          <w:sz w:val="22"/>
          <w:szCs w:val="22"/>
        </w:rPr>
        <w:drawing>
          <wp:inline distT="0" distB="0" distL="0" distR="0">
            <wp:extent cx="7048500" cy="3267075"/>
            <wp:effectExtent l="0" t="0" r="0" b="0"/>
            <wp:docPr id="1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cstate="print"/>
                    <a:srcRect/>
                    <a:stretch>
                      <a:fillRect/>
                    </a:stretch>
                  </pic:blipFill>
                  <pic:spPr bwMode="auto">
                    <a:xfrm>
                      <a:off x="0" y="0"/>
                      <a:ext cx="7048500" cy="3267075"/>
                    </a:xfrm>
                    <a:prstGeom prst="rect">
                      <a:avLst/>
                    </a:prstGeom>
                    <a:noFill/>
                    <a:ln w="9525">
                      <a:noFill/>
                      <a:miter lim="800000"/>
                      <a:headEnd/>
                      <a:tailEnd/>
                    </a:ln>
                  </pic:spPr>
                </pic:pic>
              </a:graphicData>
            </a:graphic>
          </wp:inline>
        </w:drawing>
      </w:r>
    </w:p>
    <w:p w:rsidR="00EB2B18" w:rsidRDefault="0088646F" w:rsidP="005C179C">
      <w:pPr>
        <w:spacing w:line="360" w:lineRule="auto"/>
        <w:jc w:val="both"/>
        <w:rPr>
          <w:rFonts w:asciiTheme="majorBidi" w:hAnsiTheme="majorBidi" w:cstheme="majorBidi"/>
          <w:sz w:val="20"/>
          <w:szCs w:val="20"/>
        </w:rPr>
      </w:pPr>
      <w:r w:rsidRPr="00CD464C">
        <w:rPr>
          <w:rFonts w:asciiTheme="majorBidi" w:hAnsiTheme="majorBidi" w:cstheme="majorBidi"/>
          <w:sz w:val="20"/>
          <w:szCs w:val="20"/>
        </w:rPr>
        <w:t>Figure C shows the patterns of the inflation and the “Real Rate” over a year, from 1997 to 2006, at CPI-linked government bonds. The decrease in the real rate from 3% in the late 1990s to 0% in 2004 reveals the “Cookie Jar” embedded in the AV method. If we compare it to the FV method, we see that the AV method undervalued these assets by up to 20%.</w:t>
      </w:r>
    </w:p>
    <w:p w:rsidR="00EB2B18" w:rsidRDefault="00EB2B18" w:rsidP="005C179C">
      <w:pPr>
        <w:widowControl/>
        <w:snapToGrid/>
        <w:spacing w:after="0" w:line="360" w:lineRule="auto"/>
        <w:rPr>
          <w:rFonts w:asciiTheme="majorBidi" w:hAnsiTheme="majorBidi" w:cstheme="majorBidi"/>
          <w:b/>
          <w:bCs/>
          <w:lang w:eastAsia="he-IL"/>
        </w:rPr>
      </w:pPr>
    </w:p>
    <w:p w:rsidR="00EB2B18" w:rsidRDefault="0088646F" w:rsidP="005C179C">
      <w:pPr>
        <w:pStyle w:val="3"/>
        <w:bidi w:val="0"/>
        <w:spacing w:line="360" w:lineRule="auto"/>
        <w:rPr>
          <w:rFonts w:asciiTheme="majorBidi" w:hAnsiTheme="majorBidi" w:cstheme="majorBidi"/>
          <w:sz w:val="24"/>
          <w:szCs w:val="24"/>
        </w:rPr>
      </w:pPr>
      <w:r w:rsidRPr="00CD464C">
        <w:rPr>
          <w:rFonts w:asciiTheme="majorBidi" w:hAnsiTheme="majorBidi" w:cstheme="majorBidi"/>
          <w:sz w:val="24"/>
          <w:szCs w:val="24"/>
        </w:rPr>
        <w:lastRenderedPageBreak/>
        <w:t>Figure D</w:t>
      </w:r>
    </w:p>
    <w:p w:rsidR="00EB2B18" w:rsidRDefault="005C5C87" w:rsidP="005C179C">
      <w:pPr>
        <w:pStyle w:val="3"/>
        <w:bidi w:val="0"/>
        <w:spacing w:line="360" w:lineRule="auto"/>
        <w:jc w:val="both"/>
        <w:rPr>
          <w:rFonts w:asciiTheme="majorBidi" w:hAnsiTheme="majorBidi" w:cstheme="majorBidi"/>
          <w:b w:val="0"/>
          <w:bCs w:val="0"/>
          <w:sz w:val="20"/>
          <w:szCs w:val="20"/>
        </w:rPr>
      </w:pPr>
      <w:r>
        <w:rPr>
          <w:rFonts w:asciiTheme="majorBidi" w:hAnsiTheme="majorBidi" w:cstheme="majorBidi"/>
          <w:noProof/>
          <w:sz w:val="24"/>
          <w:szCs w:val="24"/>
          <w:lang w:eastAsia="en-US"/>
        </w:rPr>
        <w:pict>
          <v:rect id="_x0000_s1037" style="position:absolute;left:0;text-align:left;margin-left:444.15pt;margin-top:220.95pt;width:47.55pt;height:23.1pt;z-index:251663872" strokecolor="white [3212]"/>
        </w:pict>
      </w:r>
      <w:r>
        <w:rPr>
          <w:rFonts w:asciiTheme="majorBidi" w:hAnsiTheme="majorBidi" w:cstheme="majorBidi"/>
          <w:noProof/>
          <w:sz w:val="24"/>
          <w:szCs w:val="24"/>
          <w:lang w:eastAsia="en-US"/>
        </w:rPr>
        <w:pict>
          <v:rect id="_x0000_s1038" style="position:absolute;left:0;text-align:left;margin-left:248.3pt;margin-top:232.95pt;width:47.55pt;height:12pt;z-index:251664896" strokecolor="white [3212]"/>
        </w:pict>
      </w:r>
      <w:r>
        <w:rPr>
          <w:rFonts w:asciiTheme="majorBidi" w:hAnsiTheme="majorBidi" w:cstheme="majorBidi"/>
          <w:noProof/>
          <w:sz w:val="24"/>
          <w:szCs w:val="24"/>
          <w:lang w:eastAsia="en-US"/>
        </w:rPr>
        <w:pict>
          <v:rect id="_x0000_s1035" style="position:absolute;left:0;text-align:left;margin-left:256.45pt;margin-top:220.95pt;width:47.55pt;height:23.1pt;z-index:251661824" strokecolor="white [3212]"/>
        </w:pict>
      </w:r>
      <w:r>
        <w:rPr>
          <w:rFonts w:asciiTheme="majorBidi" w:hAnsiTheme="majorBidi" w:cstheme="majorBidi"/>
          <w:noProof/>
          <w:sz w:val="24"/>
          <w:szCs w:val="24"/>
          <w:lang w:eastAsia="en-US"/>
        </w:rPr>
        <w:pict>
          <v:rect id="_x0000_s1036" style="position:absolute;left:0;text-align:left;margin-left:149.35pt;margin-top:235.9pt;width:47.55pt;height:12pt;z-index:251662848" strokecolor="white [3212]"/>
        </w:pict>
      </w:r>
      <w:r>
        <w:rPr>
          <w:rFonts w:asciiTheme="majorBidi" w:hAnsiTheme="majorBidi" w:cstheme="majorBidi"/>
          <w:noProof/>
          <w:sz w:val="24"/>
          <w:szCs w:val="24"/>
          <w:lang w:eastAsia="en-US"/>
        </w:rPr>
        <w:pict>
          <v:rect id="_x0000_s1034" style="position:absolute;left:0;text-align:left;margin-left:349.7pt;margin-top:220.95pt;width:47.55pt;height:23.1pt;z-index:251660800" strokecolor="white [3212]"/>
        </w:pict>
      </w:r>
      <w:r>
        <w:rPr>
          <w:rFonts w:asciiTheme="majorBidi" w:hAnsiTheme="majorBidi" w:cstheme="majorBidi"/>
          <w:noProof/>
          <w:sz w:val="24"/>
          <w:szCs w:val="24"/>
          <w:lang w:eastAsia="en-US"/>
        </w:rPr>
        <w:pict>
          <v:rect id="_x0000_s1033" style="position:absolute;left:0;text-align:left;margin-left:159.1pt;margin-top:220.95pt;width:47.55pt;height:23.1pt;z-index:251659776" strokecolor="white [3212]"/>
        </w:pict>
      </w:r>
      <w:r>
        <w:rPr>
          <w:rFonts w:asciiTheme="majorBidi" w:hAnsiTheme="majorBidi" w:cstheme="majorBidi"/>
          <w:noProof/>
          <w:sz w:val="24"/>
          <w:szCs w:val="24"/>
          <w:lang w:eastAsia="en-US"/>
        </w:rPr>
        <w:pict>
          <v:rect id="_x0000_s1032" style="position:absolute;left:0;text-align:left;margin-left:56.5pt;margin-top:220.95pt;width:47.55pt;height:23.1pt;z-index:251658752" strokecolor="white [3212]"/>
        </w:pict>
      </w:r>
      <w:r>
        <w:rPr>
          <w:rFonts w:asciiTheme="majorBidi" w:hAnsiTheme="majorBidi" w:cstheme="majorBidi"/>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13.55pt;margin-top:7.7pt;width:230.85pt;height:19.35pt;z-index:251657728" fillcolor="#daeef3 [664]" stroked="f">
            <v:fill opacity="62259f"/>
            <v:textbox style="mso-next-textbox:#_x0000_s1026">
              <w:txbxContent>
                <w:p w:rsidR="005C5C87" w:rsidRPr="00DD41FE" w:rsidRDefault="005C5C87" w:rsidP="00296153">
                  <w:pPr>
                    <w:rPr>
                      <w:color w:val="548DD4" w:themeColor="text2" w:themeTint="99"/>
                      <w:sz w:val="22"/>
                      <w:szCs w:val="22"/>
                    </w:rPr>
                  </w:pPr>
                  <w:r w:rsidRPr="00DD41FE">
                    <w:rPr>
                      <w:color w:val="548DD4" w:themeColor="text2" w:themeTint="99"/>
                      <w:sz w:val="22"/>
                      <w:szCs w:val="22"/>
                    </w:rPr>
                    <w:t xml:space="preserve">RBT: CPI-linked matrix sample </w:t>
                  </w:r>
                </w:p>
              </w:txbxContent>
            </v:textbox>
          </v:shape>
        </w:pict>
      </w:r>
      <w:r w:rsidR="005A7350" w:rsidRPr="00CD464C">
        <w:rPr>
          <w:rFonts w:asciiTheme="majorBidi" w:hAnsiTheme="majorBidi" w:cstheme="majorBidi"/>
          <w:noProof/>
          <w:sz w:val="24"/>
          <w:szCs w:val="22"/>
          <w:lang w:eastAsia="en-US"/>
        </w:rPr>
        <w:drawing>
          <wp:inline distT="0" distB="0" distL="0" distR="0">
            <wp:extent cx="6372225" cy="3143250"/>
            <wp:effectExtent l="19050" t="0" r="9525" b="0"/>
            <wp:docPr id="13"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0" cstate="print"/>
                    <a:srcRect/>
                    <a:stretch>
                      <a:fillRect/>
                    </a:stretch>
                  </pic:blipFill>
                  <pic:spPr bwMode="auto">
                    <a:xfrm>
                      <a:off x="0" y="0"/>
                      <a:ext cx="6372225" cy="3143250"/>
                    </a:xfrm>
                    <a:prstGeom prst="rect">
                      <a:avLst/>
                    </a:prstGeom>
                    <a:noFill/>
                    <a:ln w="9525">
                      <a:noFill/>
                      <a:miter lim="800000"/>
                      <a:headEnd/>
                      <a:tailEnd/>
                    </a:ln>
                  </pic:spPr>
                </pic:pic>
              </a:graphicData>
            </a:graphic>
          </wp:inline>
        </w:drawing>
      </w:r>
    </w:p>
    <w:p w:rsidR="00EB2B18" w:rsidRDefault="0088646F" w:rsidP="005C179C">
      <w:pPr>
        <w:pStyle w:val="3"/>
        <w:bidi w:val="0"/>
        <w:spacing w:line="360" w:lineRule="auto"/>
        <w:jc w:val="both"/>
        <w:rPr>
          <w:rFonts w:asciiTheme="majorBidi" w:hAnsiTheme="majorBidi" w:cstheme="majorBidi"/>
          <w:b w:val="0"/>
          <w:bCs w:val="0"/>
          <w:sz w:val="20"/>
          <w:szCs w:val="20"/>
        </w:rPr>
      </w:pPr>
      <w:r w:rsidRPr="00CD464C">
        <w:rPr>
          <w:rFonts w:asciiTheme="majorBidi" w:hAnsiTheme="majorBidi" w:cstheme="majorBidi"/>
          <w:b w:val="0"/>
          <w:bCs w:val="0"/>
          <w:sz w:val="20"/>
          <w:szCs w:val="20"/>
        </w:rPr>
        <w:t xml:space="preserve">Figure D provides a “screenshot” which was taken from the </w:t>
      </w:r>
      <w:r w:rsidRPr="00CD464C">
        <w:rPr>
          <w:rFonts w:asciiTheme="majorBidi" w:hAnsiTheme="majorBidi" w:cstheme="majorBidi"/>
          <w:b w:val="0"/>
          <w:bCs w:val="0"/>
          <w:iCs/>
          <w:sz w:val="20"/>
          <w:szCs w:val="20"/>
        </w:rPr>
        <w:t>RBT</w:t>
      </w:r>
      <w:r w:rsidRPr="00CD464C">
        <w:rPr>
          <w:rFonts w:asciiTheme="majorBidi" w:hAnsiTheme="majorBidi" w:cstheme="majorBidi"/>
          <w:b w:val="0"/>
          <w:bCs w:val="0"/>
          <w:sz w:val="20"/>
          <w:szCs w:val="20"/>
        </w:rPr>
        <w:t xml:space="preserve"> system. The yield curves are provided also as XML tables that enable exact computation. The data is computed on a weekly basis.  The lower line shows the yield curve for the risk-free bonds, the second line from below is the AAA yield, and so forth. The BBB+ is the level that is computed.</w:t>
      </w:r>
    </w:p>
    <w:p w:rsidR="00EB2B18" w:rsidRDefault="0088646F" w:rsidP="005C179C">
      <w:pPr>
        <w:widowControl/>
        <w:snapToGrid/>
        <w:spacing w:after="0" w:line="360" w:lineRule="auto"/>
        <w:rPr>
          <w:rFonts w:asciiTheme="majorBidi" w:hAnsiTheme="majorBidi" w:cstheme="majorBidi"/>
          <w:b/>
          <w:bCs/>
          <w:sz w:val="22"/>
          <w:szCs w:val="22"/>
        </w:rPr>
      </w:pPr>
      <w:r w:rsidRPr="00CD464C">
        <w:rPr>
          <w:rFonts w:asciiTheme="majorBidi" w:hAnsiTheme="majorBidi" w:cstheme="majorBidi"/>
          <w:b/>
          <w:bCs/>
          <w:sz w:val="22"/>
          <w:szCs w:val="22"/>
        </w:rPr>
        <w:br w:type="page"/>
      </w:r>
    </w:p>
    <w:p w:rsidR="00EB2B18" w:rsidRDefault="0088646F" w:rsidP="005C179C">
      <w:pPr>
        <w:pStyle w:val="3"/>
        <w:bidi w:val="0"/>
        <w:spacing w:line="360" w:lineRule="auto"/>
        <w:rPr>
          <w:rFonts w:asciiTheme="majorBidi" w:hAnsiTheme="majorBidi" w:cstheme="majorBidi"/>
          <w:b w:val="0"/>
          <w:sz w:val="24"/>
          <w:szCs w:val="24"/>
        </w:rPr>
      </w:pPr>
      <w:r w:rsidRPr="00CD464C">
        <w:rPr>
          <w:rFonts w:asciiTheme="majorBidi" w:hAnsiTheme="majorBidi" w:cstheme="majorBidi"/>
          <w:bCs w:val="0"/>
          <w:sz w:val="24"/>
          <w:szCs w:val="24"/>
        </w:rPr>
        <w:lastRenderedPageBreak/>
        <w:t>Table 1 panel A</w:t>
      </w:r>
    </w:p>
    <w:p w:rsidR="00EB2B18" w:rsidRDefault="00EB2B18" w:rsidP="005C179C">
      <w:pPr>
        <w:pStyle w:val="3"/>
        <w:bidi w:val="0"/>
        <w:spacing w:line="360" w:lineRule="auto"/>
        <w:rPr>
          <w:rFonts w:asciiTheme="majorBidi" w:hAnsiTheme="majorBidi" w:cstheme="majorBidi"/>
          <w:b w:val="0"/>
          <w:bCs w:val="0"/>
          <w:sz w:val="24"/>
          <w:szCs w:val="24"/>
        </w:rPr>
      </w:pPr>
    </w:p>
    <w:tbl>
      <w:tblPr>
        <w:tblW w:w="82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657"/>
        <w:gridCol w:w="2383"/>
        <w:gridCol w:w="3240"/>
      </w:tblGrid>
      <w:tr w:rsidR="0088646F" w:rsidRPr="00CD464C">
        <w:trPr>
          <w:trHeight w:val="255"/>
          <w:tblHeader/>
        </w:trPr>
        <w:tc>
          <w:tcPr>
            <w:tcW w:w="2657" w:type="dxa"/>
            <w:tcBorders>
              <w:top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 xml:space="preserve">Values </w:t>
            </w:r>
            <w:r w:rsidR="002C2896">
              <w:rPr>
                <w:rFonts w:asciiTheme="majorBidi" w:hAnsiTheme="majorBidi" w:cstheme="majorBidi"/>
                <w:sz w:val="18"/>
                <w:szCs w:val="18"/>
              </w:rPr>
              <w:t>(</w:t>
            </w:r>
            <w:r w:rsidRPr="00CD464C">
              <w:rPr>
                <w:rFonts w:asciiTheme="majorBidi" w:hAnsiTheme="majorBidi" w:cstheme="majorBidi"/>
                <w:sz w:val="18"/>
                <w:szCs w:val="18"/>
              </w:rPr>
              <w:t>%</w:t>
            </w:r>
            <w:r w:rsidR="002C2896">
              <w:rPr>
                <w:rFonts w:asciiTheme="majorBidi" w:hAnsiTheme="majorBidi" w:cstheme="majorBidi"/>
                <w:sz w:val="18"/>
                <w:szCs w:val="18"/>
              </w:rPr>
              <w:t>)</w:t>
            </w:r>
          </w:p>
        </w:tc>
        <w:tc>
          <w:tcPr>
            <w:tcW w:w="2383" w:type="dxa"/>
            <w:tcBorders>
              <w:top w:val="single" w:sz="4" w:space="0" w:color="auto"/>
            </w:tcBorders>
            <w:noWrap/>
            <w:vAlign w:val="bottom"/>
          </w:tcPr>
          <w:p w:rsidR="00EB2B18" w:rsidRDefault="0088646F"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NTR2004</w:t>
            </w:r>
          </w:p>
        </w:tc>
        <w:tc>
          <w:tcPr>
            <w:tcW w:w="3240" w:type="dxa"/>
            <w:tcBorders>
              <w:top w:val="single" w:sz="4" w:space="0" w:color="auto"/>
            </w:tcBorders>
            <w:noWrap/>
            <w:vAlign w:val="bottom"/>
          </w:tcPr>
          <w:p w:rsidR="00EB2B18" w:rsidRDefault="0088646F"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NTR2005</w:t>
            </w:r>
          </w:p>
        </w:tc>
      </w:tr>
      <w:tr w:rsidR="0088646F" w:rsidRPr="00CD464C">
        <w:trPr>
          <w:trHeight w:val="255"/>
        </w:trPr>
        <w:tc>
          <w:tcPr>
            <w:tcW w:w="2657"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Mean</w:t>
            </w:r>
          </w:p>
        </w:tc>
        <w:tc>
          <w:tcPr>
            <w:tcW w:w="2383"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18.18</w:t>
            </w:r>
          </w:p>
        </w:tc>
        <w:tc>
          <w:tcPr>
            <w:tcW w:w="3240"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21.20</w:t>
            </w:r>
          </w:p>
        </w:tc>
      </w:tr>
      <w:tr w:rsidR="0088646F" w:rsidRPr="00CD464C">
        <w:trPr>
          <w:trHeight w:val="255"/>
        </w:trPr>
        <w:tc>
          <w:tcPr>
            <w:tcW w:w="2657"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Median</w:t>
            </w:r>
          </w:p>
        </w:tc>
        <w:tc>
          <w:tcPr>
            <w:tcW w:w="2383"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20.50</w:t>
            </w:r>
          </w:p>
        </w:tc>
        <w:tc>
          <w:tcPr>
            <w:tcW w:w="3240"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23.00</w:t>
            </w:r>
          </w:p>
        </w:tc>
      </w:tr>
      <w:tr w:rsidR="0088646F" w:rsidRPr="00CD464C">
        <w:trPr>
          <w:trHeight w:val="255"/>
        </w:trPr>
        <w:tc>
          <w:tcPr>
            <w:tcW w:w="2657"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Maximum</w:t>
            </w:r>
          </w:p>
        </w:tc>
        <w:tc>
          <w:tcPr>
            <w:tcW w:w="2383"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47.00</w:t>
            </w:r>
          </w:p>
        </w:tc>
        <w:tc>
          <w:tcPr>
            <w:tcW w:w="3240"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61.00</w:t>
            </w:r>
          </w:p>
        </w:tc>
      </w:tr>
      <w:tr w:rsidR="0088646F" w:rsidRPr="00CD464C">
        <w:trPr>
          <w:trHeight w:val="255"/>
        </w:trPr>
        <w:tc>
          <w:tcPr>
            <w:tcW w:w="2657"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Minimum</w:t>
            </w:r>
          </w:p>
        </w:tc>
        <w:tc>
          <w:tcPr>
            <w:tcW w:w="2383"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0.00</w:t>
            </w:r>
          </w:p>
        </w:tc>
        <w:tc>
          <w:tcPr>
            <w:tcW w:w="3240"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0.00</w:t>
            </w:r>
          </w:p>
        </w:tc>
      </w:tr>
      <w:tr w:rsidR="0088646F" w:rsidRPr="00CD464C">
        <w:trPr>
          <w:trHeight w:val="255"/>
        </w:trPr>
        <w:tc>
          <w:tcPr>
            <w:tcW w:w="2657"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Std. dev.</w:t>
            </w:r>
          </w:p>
        </w:tc>
        <w:tc>
          <w:tcPr>
            <w:tcW w:w="2383"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11.73</w:t>
            </w:r>
          </w:p>
        </w:tc>
        <w:tc>
          <w:tcPr>
            <w:tcW w:w="3240"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11.01</w:t>
            </w:r>
          </w:p>
        </w:tc>
      </w:tr>
      <w:tr w:rsidR="0088646F" w:rsidRPr="00CD464C">
        <w:trPr>
          <w:trHeight w:val="255"/>
        </w:trPr>
        <w:tc>
          <w:tcPr>
            <w:tcW w:w="2657"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Skewness</w:t>
            </w:r>
          </w:p>
        </w:tc>
        <w:tc>
          <w:tcPr>
            <w:tcW w:w="2383"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-0.13</w:t>
            </w:r>
          </w:p>
        </w:tc>
        <w:tc>
          <w:tcPr>
            <w:tcW w:w="3240"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-0.11</w:t>
            </w:r>
          </w:p>
        </w:tc>
      </w:tr>
      <w:tr w:rsidR="0088646F" w:rsidRPr="00CD464C">
        <w:trPr>
          <w:trHeight w:val="255"/>
        </w:trPr>
        <w:tc>
          <w:tcPr>
            <w:tcW w:w="2657" w:type="dxa"/>
            <w:tcBorders>
              <w:bottom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Kurtosis</w:t>
            </w:r>
          </w:p>
        </w:tc>
        <w:tc>
          <w:tcPr>
            <w:tcW w:w="2383" w:type="dxa"/>
            <w:tcBorders>
              <w:bottom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2.03</w:t>
            </w:r>
          </w:p>
        </w:tc>
        <w:tc>
          <w:tcPr>
            <w:tcW w:w="3240" w:type="dxa"/>
            <w:tcBorders>
              <w:bottom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3.51</w:t>
            </w:r>
          </w:p>
        </w:tc>
      </w:tr>
    </w:tbl>
    <w:p w:rsidR="00EB2B18" w:rsidRDefault="0088646F" w:rsidP="005C179C">
      <w:pPr>
        <w:pStyle w:val="3"/>
        <w:bidi w:val="0"/>
        <w:spacing w:line="360" w:lineRule="auto"/>
        <w:jc w:val="both"/>
        <w:rPr>
          <w:rFonts w:asciiTheme="majorBidi" w:hAnsiTheme="majorBidi" w:cstheme="majorBidi"/>
          <w:b w:val="0"/>
          <w:bCs w:val="0"/>
          <w:sz w:val="20"/>
          <w:szCs w:val="20"/>
        </w:rPr>
      </w:pPr>
      <w:r w:rsidRPr="00CD464C">
        <w:rPr>
          <w:rFonts w:asciiTheme="majorBidi" w:hAnsiTheme="majorBidi" w:cstheme="majorBidi"/>
          <w:b w:val="0"/>
          <w:bCs w:val="0"/>
          <w:sz w:val="20"/>
          <w:szCs w:val="20"/>
        </w:rPr>
        <w:t>NTR is the parameter we focus on as the left hand variable. Table 1 shows the difference between the levels of non-tradable assets in the years 2004 and 2005 (end of the year figures). Both average and mean increase by 16% and 12%</w:t>
      </w:r>
      <w:r w:rsidR="005A7350" w:rsidRPr="00CD464C">
        <w:rPr>
          <w:rFonts w:asciiTheme="majorBidi" w:hAnsiTheme="majorBidi" w:cstheme="majorBidi"/>
          <w:b w:val="0"/>
          <w:bCs w:val="0"/>
          <w:sz w:val="20"/>
          <w:szCs w:val="20"/>
        </w:rPr>
        <w:t xml:space="preserve"> respectively</w:t>
      </w:r>
      <w:r w:rsidRPr="00CD464C">
        <w:rPr>
          <w:rFonts w:asciiTheme="majorBidi" w:hAnsiTheme="majorBidi" w:cstheme="majorBidi"/>
          <w:b w:val="0"/>
          <w:bCs w:val="0"/>
          <w:sz w:val="20"/>
          <w:szCs w:val="20"/>
        </w:rPr>
        <w:t>. The maximum percentage of NTR out of the overall managed assets of a specific fund grew to 61%. The kurtosis grew significantly; it suggests that although the average fund increased NTR, a significant number of funds decided to decrease NTR – thus creating distinctive different portfolios.</w:t>
      </w:r>
    </w:p>
    <w:p w:rsidR="00EB2B18" w:rsidRDefault="00EB2B18" w:rsidP="005C179C">
      <w:pPr>
        <w:spacing w:line="360" w:lineRule="auto"/>
        <w:rPr>
          <w:rFonts w:asciiTheme="majorBidi" w:hAnsiTheme="majorBidi" w:cstheme="majorBidi"/>
          <w:sz w:val="22"/>
          <w:szCs w:val="22"/>
        </w:rPr>
      </w:pPr>
    </w:p>
    <w:p w:rsidR="00EB2B18" w:rsidRDefault="00EB2B18" w:rsidP="005C179C">
      <w:pPr>
        <w:widowControl/>
        <w:snapToGrid/>
        <w:spacing w:after="0" w:line="360" w:lineRule="auto"/>
        <w:rPr>
          <w:rFonts w:asciiTheme="majorBidi" w:hAnsiTheme="majorBidi" w:cstheme="majorBidi"/>
          <w:sz w:val="22"/>
          <w:szCs w:val="22"/>
        </w:rPr>
      </w:pPr>
    </w:p>
    <w:p w:rsidR="00EB2B18" w:rsidRDefault="0088646F" w:rsidP="005C179C">
      <w:pPr>
        <w:pStyle w:val="3"/>
        <w:widowControl w:val="0"/>
        <w:bidi w:val="0"/>
        <w:snapToGrid w:val="0"/>
        <w:spacing w:after="120" w:line="360" w:lineRule="auto"/>
        <w:rPr>
          <w:rFonts w:asciiTheme="majorBidi" w:hAnsiTheme="majorBidi" w:cstheme="majorBidi"/>
          <w:b w:val="0"/>
          <w:sz w:val="22"/>
          <w:szCs w:val="24"/>
          <w:lang w:eastAsia="en-US"/>
        </w:rPr>
      </w:pPr>
      <w:r w:rsidRPr="00CD464C">
        <w:rPr>
          <w:rFonts w:asciiTheme="majorBidi" w:hAnsiTheme="majorBidi" w:cstheme="majorBidi"/>
          <w:bCs w:val="0"/>
          <w:sz w:val="24"/>
          <w:szCs w:val="24"/>
        </w:rPr>
        <w:t>Table 1 Panel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260"/>
        <w:gridCol w:w="1213"/>
        <w:gridCol w:w="1668"/>
        <w:gridCol w:w="1573"/>
      </w:tblGrid>
      <w:tr w:rsidR="0088646F" w:rsidRPr="00CD464C">
        <w:tc>
          <w:tcPr>
            <w:tcW w:w="2808" w:type="dxa"/>
          </w:tcPr>
          <w:p w:rsidR="00EB2B18" w:rsidRDefault="0088646F" w:rsidP="005C179C">
            <w:pPr>
              <w:spacing w:line="360" w:lineRule="auto"/>
              <w:jc w:val="both"/>
              <w:rPr>
                <w:rFonts w:asciiTheme="majorBidi" w:hAnsiTheme="majorBidi" w:cstheme="majorBidi"/>
                <w:b/>
                <w:bCs/>
                <w:sz w:val="22"/>
                <w:szCs w:val="22"/>
              </w:rPr>
            </w:pPr>
            <w:r w:rsidRPr="00CD464C">
              <w:rPr>
                <w:rFonts w:asciiTheme="majorBidi" w:hAnsiTheme="majorBidi" w:cstheme="majorBidi"/>
                <w:b/>
                <w:bCs/>
                <w:sz w:val="20"/>
                <w:szCs w:val="20"/>
              </w:rPr>
              <w:t>Non-tradable assets as a % of portfolio</w:t>
            </w:r>
            <w:r w:rsidRPr="00CD464C">
              <w:rPr>
                <w:rStyle w:val="af3"/>
                <w:rFonts w:asciiTheme="majorBidi" w:hAnsiTheme="majorBidi" w:cstheme="majorBidi"/>
                <w:b/>
                <w:bCs/>
                <w:sz w:val="20"/>
                <w:szCs w:val="20"/>
              </w:rPr>
              <w:footnoteReference w:id="11"/>
            </w:r>
          </w:p>
        </w:tc>
        <w:tc>
          <w:tcPr>
            <w:tcW w:w="1260" w:type="dxa"/>
          </w:tcPr>
          <w:p w:rsidR="00EB2B18" w:rsidRDefault="0088646F" w:rsidP="005C179C">
            <w:pPr>
              <w:spacing w:line="360" w:lineRule="auto"/>
              <w:jc w:val="both"/>
              <w:rPr>
                <w:rFonts w:asciiTheme="majorBidi" w:hAnsiTheme="majorBidi" w:cstheme="majorBidi"/>
                <w:b/>
                <w:bCs/>
                <w:sz w:val="22"/>
                <w:szCs w:val="22"/>
                <w:lang w:val="fr-FR"/>
              </w:rPr>
            </w:pPr>
            <w:r w:rsidRPr="00CD464C">
              <w:rPr>
                <w:rFonts w:asciiTheme="majorBidi" w:hAnsiTheme="majorBidi" w:cstheme="majorBidi"/>
                <w:b/>
                <w:bCs/>
                <w:sz w:val="22"/>
                <w:szCs w:val="22"/>
              </w:rPr>
              <w:t>Average</w:t>
            </w:r>
          </w:p>
        </w:tc>
        <w:tc>
          <w:tcPr>
            <w:tcW w:w="1213" w:type="dxa"/>
          </w:tcPr>
          <w:p w:rsidR="00EB2B18" w:rsidRDefault="0088646F" w:rsidP="005C179C">
            <w:pPr>
              <w:spacing w:line="360" w:lineRule="auto"/>
              <w:jc w:val="both"/>
              <w:rPr>
                <w:rFonts w:asciiTheme="majorBidi" w:hAnsiTheme="majorBidi" w:cstheme="majorBidi"/>
                <w:b/>
                <w:bCs/>
                <w:sz w:val="22"/>
                <w:szCs w:val="22"/>
                <w:lang w:val="fr-FR"/>
              </w:rPr>
            </w:pPr>
            <w:r w:rsidRPr="00CD464C">
              <w:rPr>
                <w:rFonts w:asciiTheme="majorBidi" w:hAnsiTheme="majorBidi" w:cstheme="majorBidi"/>
                <w:b/>
                <w:bCs/>
                <w:sz w:val="22"/>
                <w:szCs w:val="22"/>
                <w:lang w:val="fr-FR"/>
              </w:rPr>
              <w:t>MAX</w:t>
            </w:r>
          </w:p>
        </w:tc>
        <w:tc>
          <w:tcPr>
            <w:tcW w:w="1668" w:type="dxa"/>
          </w:tcPr>
          <w:p w:rsidR="00EB2B18" w:rsidRDefault="0088646F" w:rsidP="005C179C">
            <w:pPr>
              <w:spacing w:line="360" w:lineRule="auto"/>
              <w:jc w:val="both"/>
              <w:rPr>
                <w:rFonts w:asciiTheme="majorBidi" w:hAnsiTheme="majorBidi" w:cstheme="majorBidi"/>
                <w:b/>
                <w:bCs/>
                <w:sz w:val="22"/>
                <w:szCs w:val="22"/>
                <w:lang w:val="fr-FR"/>
              </w:rPr>
            </w:pPr>
            <w:r w:rsidRPr="00CD464C">
              <w:rPr>
                <w:rFonts w:asciiTheme="majorBidi" w:hAnsiTheme="majorBidi" w:cstheme="majorBidi"/>
                <w:b/>
                <w:bCs/>
                <w:sz w:val="22"/>
                <w:szCs w:val="22"/>
                <w:lang w:val="fr-FR"/>
              </w:rPr>
              <w:t>Min</w:t>
            </w:r>
          </w:p>
        </w:tc>
        <w:tc>
          <w:tcPr>
            <w:tcW w:w="1573" w:type="dxa"/>
          </w:tcPr>
          <w:p w:rsidR="00EB2B18" w:rsidRDefault="0088646F" w:rsidP="005C179C">
            <w:pPr>
              <w:spacing w:line="360" w:lineRule="auto"/>
              <w:jc w:val="both"/>
              <w:rPr>
                <w:rFonts w:asciiTheme="majorBidi" w:hAnsiTheme="majorBidi" w:cstheme="majorBidi"/>
                <w:b/>
                <w:bCs/>
                <w:sz w:val="22"/>
                <w:szCs w:val="22"/>
                <w:lang w:val="fr-FR"/>
              </w:rPr>
            </w:pPr>
            <w:r w:rsidRPr="00CD464C">
              <w:rPr>
                <w:rFonts w:asciiTheme="majorBidi" w:hAnsiTheme="majorBidi" w:cstheme="majorBidi"/>
                <w:b/>
                <w:bCs/>
                <w:sz w:val="22"/>
                <w:szCs w:val="22"/>
                <w:lang w:val="fr-FR"/>
              </w:rPr>
              <w:t>Variance</w:t>
            </w:r>
          </w:p>
        </w:tc>
      </w:tr>
      <w:tr w:rsidR="0088646F" w:rsidRPr="00CD464C">
        <w:tc>
          <w:tcPr>
            <w:tcW w:w="2808" w:type="dxa"/>
          </w:tcPr>
          <w:p w:rsidR="00EB2B18" w:rsidRDefault="0088646F" w:rsidP="005C179C">
            <w:pPr>
              <w:spacing w:line="360" w:lineRule="auto"/>
              <w:jc w:val="both"/>
              <w:rPr>
                <w:rFonts w:asciiTheme="majorBidi" w:hAnsiTheme="majorBidi" w:cstheme="majorBidi"/>
                <w:sz w:val="22"/>
                <w:szCs w:val="22"/>
                <w:lang w:val="fr-FR"/>
              </w:rPr>
            </w:pPr>
            <w:r w:rsidRPr="00CD464C">
              <w:rPr>
                <w:rFonts w:asciiTheme="majorBidi" w:hAnsiTheme="majorBidi" w:cstheme="majorBidi"/>
                <w:sz w:val="22"/>
                <w:szCs w:val="22"/>
                <w:lang w:val="fr-FR"/>
              </w:rPr>
              <w:t>Sample (n = 39)</w:t>
            </w:r>
          </w:p>
        </w:tc>
        <w:tc>
          <w:tcPr>
            <w:tcW w:w="1260" w:type="dxa"/>
          </w:tcPr>
          <w:p w:rsidR="00EB2B18" w:rsidRDefault="0088646F" w:rsidP="005C179C">
            <w:pPr>
              <w:spacing w:line="360" w:lineRule="auto"/>
              <w:jc w:val="both"/>
              <w:rPr>
                <w:rFonts w:asciiTheme="majorBidi" w:hAnsiTheme="majorBidi" w:cstheme="majorBidi"/>
                <w:sz w:val="22"/>
                <w:szCs w:val="22"/>
                <w:lang w:val="fr-FR"/>
              </w:rPr>
            </w:pPr>
            <w:r w:rsidRPr="00CD464C">
              <w:rPr>
                <w:rFonts w:asciiTheme="majorBidi" w:hAnsiTheme="majorBidi" w:cstheme="majorBidi"/>
                <w:sz w:val="22"/>
                <w:szCs w:val="22"/>
                <w:lang w:val="fr-FR"/>
              </w:rPr>
              <w:t>22.3</w:t>
            </w:r>
          </w:p>
        </w:tc>
        <w:tc>
          <w:tcPr>
            <w:tcW w:w="1213" w:type="dxa"/>
          </w:tcPr>
          <w:p w:rsidR="00EB2B18" w:rsidRDefault="0088646F" w:rsidP="005C179C">
            <w:pPr>
              <w:spacing w:line="360" w:lineRule="auto"/>
              <w:jc w:val="both"/>
              <w:rPr>
                <w:rFonts w:asciiTheme="majorBidi" w:hAnsiTheme="majorBidi" w:cstheme="majorBidi"/>
                <w:sz w:val="22"/>
                <w:szCs w:val="22"/>
                <w:lang w:val="fr-FR"/>
              </w:rPr>
            </w:pPr>
            <w:r w:rsidRPr="00CD464C">
              <w:rPr>
                <w:rFonts w:asciiTheme="majorBidi" w:hAnsiTheme="majorBidi" w:cstheme="majorBidi"/>
                <w:sz w:val="22"/>
                <w:szCs w:val="22"/>
                <w:lang w:val="fr-FR"/>
              </w:rPr>
              <w:t>39.3</w:t>
            </w:r>
          </w:p>
        </w:tc>
        <w:tc>
          <w:tcPr>
            <w:tcW w:w="1668" w:type="dxa"/>
          </w:tcPr>
          <w:p w:rsidR="00EB2B18" w:rsidRDefault="0088646F" w:rsidP="005C179C">
            <w:pPr>
              <w:spacing w:line="360" w:lineRule="auto"/>
              <w:jc w:val="both"/>
              <w:rPr>
                <w:rFonts w:asciiTheme="majorBidi" w:hAnsiTheme="majorBidi" w:cstheme="majorBidi"/>
                <w:sz w:val="22"/>
                <w:szCs w:val="22"/>
                <w:lang w:val="fr-FR"/>
              </w:rPr>
            </w:pPr>
            <w:r w:rsidRPr="00CD464C">
              <w:rPr>
                <w:rFonts w:asciiTheme="majorBidi" w:hAnsiTheme="majorBidi" w:cstheme="majorBidi"/>
                <w:sz w:val="22"/>
                <w:szCs w:val="22"/>
                <w:lang w:val="fr-FR"/>
              </w:rPr>
              <w:t>8.2</w:t>
            </w:r>
          </w:p>
        </w:tc>
        <w:tc>
          <w:tcPr>
            <w:tcW w:w="1573" w:type="dxa"/>
          </w:tcPr>
          <w:p w:rsidR="00EB2B18" w:rsidRDefault="0088646F" w:rsidP="005C179C">
            <w:pPr>
              <w:spacing w:line="360" w:lineRule="auto"/>
              <w:jc w:val="both"/>
              <w:rPr>
                <w:rFonts w:asciiTheme="majorBidi" w:hAnsiTheme="majorBidi" w:cstheme="majorBidi"/>
                <w:sz w:val="22"/>
                <w:szCs w:val="22"/>
                <w:lang w:val="fr-FR"/>
              </w:rPr>
            </w:pPr>
            <w:r w:rsidRPr="00CD464C">
              <w:rPr>
                <w:rFonts w:asciiTheme="majorBidi" w:hAnsiTheme="majorBidi" w:cstheme="majorBidi"/>
                <w:sz w:val="22"/>
                <w:szCs w:val="22"/>
                <w:lang w:val="fr-FR"/>
              </w:rPr>
              <w:t>14.2</w:t>
            </w:r>
          </w:p>
        </w:tc>
      </w:tr>
      <w:tr w:rsidR="0088646F" w:rsidRPr="00CD464C">
        <w:tc>
          <w:tcPr>
            <w:tcW w:w="2808" w:type="dxa"/>
          </w:tcPr>
          <w:p w:rsidR="00EB2B18" w:rsidRDefault="0088646F" w:rsidP="005C179C">
            <w:pPr>
              <w:spacing w:line="360" w:lineRule="auto"/>
              <w:jc w:val="both"/>
              <w:rPr>
                <w:rFonts w:asciiTheme="majorBidi" w:hAnsiTheme="majorBidi" w:cstheme="majorBidi"/>
                <w:sz w:val="22"/>
                <w:szCs w:val="22"/>
                <w:lang w:val="fr-FR"/>
              </w:rPr>
            </w:pPr>
            <w:r w:rsidRPr="00CD464C">
              <w:rPr>
                <w:rFonts w:asciiTheme="majorBidi" w:hAnsiTheme="majorBidi" w:cstheme="majorBidi"/>
                <w:sz w:val="22"/>
                <w:szCs w:val="22"/>
                <w:lang w:val="fr-FR"/>
              </w:rPr>
              <w:t>Population (N = 584)</w:t>
            </w:r>
          </w:p>
        </w:tc>
        <w:tc>
          <w:tcPr>
            <w:tcW w:w="1260" w:type="dxa"/>
          </w:tcPr>
          <w:p w:rsidR="00EB2B18" w:rsidRDefault="0088646F" w:rsidP="005C179C">
            <w:pPr>
              <w:spacing w:line="360" w:lineRule="auto"/>
              <w:jc w:val="both"/>
              <w:rPr>
                <w:rFonts w:asciiTheme="majorBidi" w:hAnsiTheme="majorBidi" w:cstheme="majorBidi"/>
                <w:sz w:val="22"/>
                <w:szCs w:val="22"/>
                <w:lang w:val="fr-FR"/>
              </w:rPr>
            </w:pPr>
            <w:r w:rsidRPr="00CD464C">
              <w:rPr>
                <w:rFonts w:asciiTheme="majorBidi" w:hAnsiTheme="majorBidi" w:cstheme="majorBidi"/>
                <w:sz w:val="22"/>
                <w:szCs w:val="22"/>
                <w:lang w:val="fr-FR"/>
              </w:rPr>
              <w:t>18.2</w:t>
            </w:r>
          </w:p>
        </w:tc>
        <w:tc>
          <w:tcPr>
            <w:tcW w:w="1213" w:type="dxa"/>
          </w:tcPr>
          <w:p w:rsidR="00EB2B18" w:rsidRDefault="0088646F" w:rsidP="005C179C">
            <w:pPr>
              <w:spacing w:line="360" w:lineRule="auto"/>
              <w:jc w:val="both"/>
              <w:rPr>
                <w:rFonts w:asciiTheme="majorBidi" w:hAnsiTheme="majorBidi" w:cstheme="majorBidi"/>
                <w:sz w:val="22"/>
                <w:szCs w:val="22"/>
                <w:lang w:val="fr-FR"/>
              </w:rPr>
            </w:pPr>
            <w:r w:rsidRPr="00CD464C">
              <w:rPr>
                <w:rFonts w:asciiTheme="majorBidi" w:hAnsiTheme="majorBidi" w:cstheme="majorBidi"/>
                <w:sz w:val="22"/>
                <w:szCs w:val="22"/>
                <w:lang w:val="fr-FR"/>
              </w:rPr>
              <w:t>47.5</w:t>
            </w:r>
          </w:p>
        </w:tc>
        <w:tc>
          <w:tcPr>
            <w:tcW w:w="1668" w:type="dxa"/>
          </w:tcPr>
          <w:p w:rsidR="00EB2B18" w:rsidRDefault="0088646F" w:rsidP="005C179C">
            <w:pPr>
              <w:spacing w:line="360" w:lineRule="auto"/>
              <w:jc w:val="both"/>
              <w:rPr>
                <w:rFonts w:asciiTheme="majorBidi" w:hAnsiTheme="majorBidi" w:cstheme="majorBidi"/>
                <w:sz w:val="22"/>
                <w:szCs w:val="22"/>
                <w:lang w:val="fr-FR"/>
              </w:rPr>
            </w:pPr>
            <w:r w:rsidRPr="00CD464C">
              <w:rPr>
                <w:rFonts w:asciiTheme="majorBidi" w:hAnsiTheme="majorBidi" w:cstheme="majorBidi"/>
                <w:sz w:val="22"/>
                <w:szCs w:val="22"/>
                <w:lang w:val="fr-FR"/>
              </w:rPr>
              <w:t>0.0</w:t>
            </w:r>
          </w:p>
        </w:tc>
        <w:tc>
          <w:tcPr>
            <w:tcW w:w="1573" w:type="dxa"/>
          </w:tcPr>
          <w:p w:rsidR="00EB2B18" w:rsidRDefault="0088646F" w:rsidP="005C179C">
            <w:pPr>
              <w:spacing w:line="360" w:lineRule="auto"/>
              <w:jc w:val="both"/>
              <w:rPr>
                <w:rFonts w:asciiTheme="majorBidi" w:hAnsiTheme="majorBidi" w:cstheme="majorBidi"/>
                <w:sz w:val="22"/>
                <w:szCs w:val="22"/>
                <w:lang w:val="fr-FR"/>
              </w:rPr>
            </w:pPr>
            <w:r w:rsidRPr="00CD464C">
              <w:rPr>
                <w:rFonts w:asciiTheme="majorBidi" w:hAnsiTheme="majorBidi" w:cstheme="majorBidi"/>
                <w:sz w:val="22"/>
                <w:szCs w:val="22"/>
                <w:lang w:val="fr-FR"/>
              </w:rPr>
              <w:t>11.4</w:t>
            </w:r>
          </w:p>
        </w:tc>
      </w:tr>
    </w:tbl>
    <w:p w:rsidR="00EB2B18" w:rsidRDefault="00EB2B18" w:rsidP="005C179C">
      <w:pPr>
        <w:spacing w:line="360" w:lineRule="auto"/>
        <w:jc w:val="both"/>
        <w:rPr>
          <w:rFonts w:asciiTheme="majorBidi" w:hAnsiTheme="majorBidi" w:cstheme="majorBidi"/>
          <w:sz w:val="22"/>
          <w:szCs w:val="22"/>
        </w:rPr>
      </w:pPr>
    </w:p>
    <w:p w:rsidR="00EB2B18" w:rsidRDefault="0088646F" w:rsidP="005C179C">
      <w:pPr>
        <w:pStyle w:val="3"/>
        <w:bidi w:val="0"/>
        <w:spacing w:line="360" w:lineRule="auto"/>
        <w:rPr>
          <w:rFonts w:asciiTheme="majorBidi" w:hAnsiTheme="majorBidi" w:cstheme="majorBidi"/>
          <w:sz w:val="24"/>
          <w:szCs w:val="24"/>
        </w:rPr>
      </w:pPr>
      <w:r w:rsidRPr="00CD464C">
        <w:rPr>
          <w:rFonts w:asciiTheme="majorBidi" w:hAnsiTheme="majorBidi" w:cstheme="majorBidi"/>
          <w:sz w:val="24"/>
          <w:szCs w:val="24"/>
        </w:rPr>
        <w:t>Table 1 Panel C</w:t>
      </w:r>
    </w:p>
    <w:p w:rsidR="00EB2B18" w:rsidRDefault="00EB2B18" w:rsidP="005C179C">
      <w:pPr>
        <w:spacing w:line="360" w:lineRule="auto"/>
        <w:rPr>
          <w:rFonts w:asciiTheme="majorBidi" w:hAnsiTheme="majorBidi" w:cstheme="majorBidi"/>
          <w:sz w:val="22"/>
          <w:szCs w:val="22"/>
          <w:lang w:eastAsia="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260"/>
        <w:gridCol w:w="1213"/>
        <w:gridCol w:w="1668"/>
        <w:gridCol w:w="1573"/>
      </w:tblGrid>
      <w:tr w:rsidR="0088646F" w:rsidRPr="00CD464C">
        <w:trPr>
          <w:cantSplit/>
        </w:trPr>
        <w:tc>
          <w:tcPr>
            <w:tcW w:w="2808" w:type="dxa"/>
          </w:tcPr>
          <w:p w:rsidR="00EB2B18" w:rsidRDefault="0088646F" w:rsidP="005C179C">
            <w:pPr>
              <w:spacing w:line="360" w:lineRule="auto"/>
              <w:jc w:val="both"/>
              <w:rPr>
                <w:rFonts w:asciiTheme="majorBidi" w:hAnsiTheme="majorBidi" w:cstheme="majorBidi"/>
                <w:b/>
                <w:bCs/>
                <w:sz w:val="22"/>
                <w:szCs w:val="22"/>
              </w:rPr>
            </w:pPr>
            <w:r w:rsidRPr="00CD464C">
              <w:rPr>
                <w:rFonts w:asciiTheme="majorBidi" w:hAnsiTheme="majorBidi" w:cstheme="majorBidi"/>
                <w:b/>
                <w:bCs/>
                <w:sz w:val="20"/>
                <w:szCs w:val="20"/>
              </w:rPr>
              <w:t>Issue time of NTR assets as a % of NTR portfolio</w:t>
            </w:r>
            <w:r w:rsidRPr="00CD464C">
              <w:rPr>
                <w:rStyle w:val="af3"/>
                <w:rFonts w:asciiTheme="majorBidi" w:hAnsiTheme="majorBidi" w:cstheme="majorBidi"/>
                <w:b/>
                <w:bCs/>
                <w:sz w:val="20"/>
                <w:szCs w:val="20"/>
              </w:rPr>
              <w:footnoteReference w:id="12"/>
            </w:r>
          </w:p>
        </w:tc>
        <w:tc>
          <w:tcPr>
            <w:tcW w:w="1260" w:type="dxa"/>
          </w:tcPr>
          <w:p w:rsidR="00EB2B18" w:rsidRDefault="0088646F" w:rsidP="005C179C">
            <w:pPr>
              <w:spacing w:line="360" w:lineRule="auto"/>
              <w:jc w:val="both"/>
              <w:rPr>
                <w:rFonts w:asciiTheme="majorBidi" w:hAnsiTheme="majorBidi" w:cstheme="majorBidi"/>
                <w:b/>
                <w:bCs/>
                <w:sz w:val="22"/>
                <w:szCs w:val="22"/>
                <w:lang w:val="fr-FR"/>
              </w:rPr>
            </w:pPr>
            <w:r w:rsidRPr="00CD464C">
              <w:rPr>
                <w:rFonts w:asciiTheme="majorBidi" w:hAnsiTheme="majorBidi" w:cstheme="majorBidi"/>
                <w:b/>
                <w:bCs/>
                <w:sz w:val="20"/>
                <w:szCs w:val="20"/>
              </w:rPr>
              <w:t>Average</w:t>
            </w:r>
          </w:p>
        </w:tc>
        <w:tc>
          <w:tcPr>
            <w:tcW w:w="1213" w:type="dxa"/>
          </w:tcPr>
          <w:p w:rsidR="00EB2B18" w:rsidRDefault="0088646F" w:rsidP="005C179C">
            <w:pPr>
              <w:spacing w:line="360" w:lineRule="auto"/>
              <w:jc w:val="both"/>
              <w:rPr>
                <w:rFonts w:asciiTheme="majorBidi" w:hAnsiTheme="majorBidi" w:cstheme="majorBidi"/>
                <w:b/>
                <w:bCs/>
                <w:sz w:val="22"/>
                <w:szCs w:val="22"/>
                <w:lang w:val="fr-FR"/>
              </w:rPr>
            </w:pPr>
            <w:r w:rsidRPr="00CD464C">
              <w:rPr>
                <w:rFonts w:asciiTheme="majorBidi" w:hAnsiTheme="majorBidi" w:cstheme="majorBidi"/>
                <w:b/>
                <w:bCs/>
                <w:sz w:val="22"/>
                <w:szCs w:val="22"/>
                <w:lang w:val="fr-FR"/>
              </w:rPr>
              <w:t>MAX</w:t>
            </w:r>
          </w:p>
        </w:tc>
        <w:tc>
          <w:tcPr>
            <w:tcW w:w="1668" w:type="dxa"/>
          </w:tcPr>
          <w:p w:rsidR="00EB2B18" w:rsidRDefault="0088646F" w:rsidP="005C179C">
            <w:pPr>
              <w:spacing w:line="360" w:lineRule="auto"/>
              <w:jc w:val="both"/>
              <w:rPr>
                <w:rFonts w:asciiTheme="majorBidi" w:hAnsiTheme="majorBidi" w:cstheme="majorBidi"/>
                <w:b/>
                <w:bCs/>
                <w:sz w:val="22"/>
                <w:szCs w:val="22"/>
                <w:lang w:val="fr-FR"/>
              </w:rPr>
            </w:pPr>
            <w:r w:rsidRPr="00CD464C">
              <w:rPr>
                <w:rFonts w:asciiTheme="majorBidi" w:hAnsiTheme="majorBidi" w:cstheme="majorBidi"/>
                <w:b/>
                <w:bCs/>
                <w:sz w:val="22"/>
                <w:szCs w:val="22"/>
                <w:lang w:val="fr-FR"/>
              </w:rPr>
              <w:t>Min</w:t>
            </w:r>
          </w:p>
        </w:tc>
        <w:tc>
          <w:tcPr>
            <w:tcW w:w="1573" w:type="dxa"/>
          </w:tcPr>
          <w:p w:rsidR="00EB2B18" w:rsidRDefault="0088646F" w:rsidP="005C179C">
            <w:pPr>
              <w:spacing w:line="360" w:lineRule="auto"/>
              <w:jc w:val="both"/>
              <w:rPr>
                <w:rFonts w:asciiTheme="majorBidi" w:hAnsiTheme="majorBidi" w:cstheme="majorBidi"/>
                <w:b/>
                <w:bCs/>
                <w:sz w:val="22"/>
                <w:szCs w:val="22"/>
              </w:rPr>
            </w:pPr>
            <w:r w:rsidRPr="00CD464C">
              <w:rPr>
                <w:rFonts w:asciiTheme="majorBidi" w:hAnsiTheme="majorBidi" w:cstheme="majorBidi"/>
                <w:b/>
                <w:bCs/>
                <w:sz w:val="22"/>
                <w:szCs w:val="22"/>
              </w:rPr>
              <w:t>Variance</w:t>
            </w:r>
          </w:p>
        </w:tc>
      </w:tr>
      <w:tr w:rsidR="0088646F" w:rsidRPr="00CD464C">
        <w:tc>
          <w:tcPr>
            <w:tcW w:w="2808" w:type="dxa"/>
          </w:tcPr>
          <w:p w:rsidR="00EB2B18" w:rsidRDefault="0088646F" w:rsidP="005C179C">
            <w:pPr>
              <w:spacing w:line="360" w:lineRule="auto"/>
              <w:jc w:val="both"/>
              <w:rPr>
                <w:rFonts w:asciiTheme="majorBidi" w:hAnsiTheme="majorBidi" w:cstheme="majorBidi"/>
                <w:sz w:val="22"/>
                <w:szCs w:val="22"/>
              </w:rPr>
            </w:pPr>
            <w:r w:rsidRPr="00CD464C">
              <w:rPr>
                <w:rFonts w:asciiTheme="majorBidi" w:hAnsiTheme="majorBidi" w:cstheme="majorBidi"/>
                <w:sz w:val="22"/>
                <w:szCs w:val="22"/>
              </w:rPr>
              <w:t>Before 2003</w:t>
            </w:r>
          </w:p>
        </w:tc>
        <w:tc>
          <w:tcPr>
            <w:tcW w:w="1260" w:type="dxa"/>
          </w:tcPr>
          <w:p w:rsidR="00EB2B18" w:rsidRDefault="0088646F" w:rsidP="005C179C">
            <w:pPr>
              <w:spacing w:line="360" w:lineRule="auto"/>
              <w:jc w:val="both"/>
              <w:rPr>
                <w:rFonts w:asciiTheme="majorBidi" w:hAnsiTheme="majorBidi" w:cstheme="majorBidi"/>
                <w:sz w:val="22"/>
                <w:szCs w:val="22"/>
              </w:rPr>
            </w:pPr>
            <w:r w:rsidRPr="00CD464C">
              <w:rPr>
                <w:rFonts w:asciiTheme="majorBidi" w:hAnsiTheme="majorBidi" w:cstheme="majorBidi"/>
                <w:sz w:val="22"/>
                <w:szCs w:val="22"/>
              </w:rPr>
              <w:t>31.5</w:t>
            </w:r>
          </w:p>
        </w:tc>
        <w:tc>
          <w:tcPr>
            <w:tcW w:w="1213" w:type="dxa"/>
          </w:tcPr>
          <w:p w:rsidR="00EB2B18" w:rsidRDefault="0088646F" w:rsidP="005C179C">
            <w:pPr>
              <w:spacing w:line="360" w:lineRule="auto"/>
              <w:jc w:val="both"/>
              <w:rPr>
                <w:rFonts w:asciiTheme="majorBidi" w:hAnsiTheme="majorBidi" w:cstheme="majorBidi"/>
                <w:sz w:val="22"/>
                <w:szCs w:val="22"/>
              </w:rPr>
            </w:pPr>
            <w:r w:rsidRPr="00CD464C">
              <w:rPr>
                <w:rFonts w:asciiTheme="majorBidi" w:hAnsiTheme="majorBidi" w:cstheme="majorBidi"/>
                <w:sz w:val="22"/>
                <w:szCs w:val="22"/>
              </w:rPr>
              <w:t>43</w:t>
            </w:r>
          </w:p>
        </w:tc>
        <w:tc>
          <w:tcPr>
            <w:tcW w:w="1668" w:type="dxa"/>
          </w:tcPr>
          <w:p w:rsidR="00EB2B18" w:rsidRDefault="0088646F" w:rsidP="005C179C">
            <w:pPr>
              <w:spacing w:line="360" w:lineRule="auto"/>
              <w:jc w:val="both"/>
              <w:rPr>
                <w:rFonts w:asciiTheme="majorBidi" w:hAnsiTheme="majorBidi" w:cstheme="majorBidi"/>
                <w:sz w:val="22"/>
                <w:szCs w:val="22"/>
              </w:rPr>
            </w:pPr>
            <w:r w:rsidRPr="00CD464C">
              <w:rPr>
                <w:rFonts w:asciiTheme="majorBidi" w:hAnsiTheme="majorBidi" w:cstheme="majorBidi"/>
                <w:sz w:val="22"/>
                <w:szCs w:val="22"/>
              </w:rPr>
              <w:t>0</w:t>
            </w:r>
          </w:p>
        </w:tc>
        <w:tc>
          <w:tcPr>
            <w:tcW w:w="1573" w:type="dxa"/>
          </w:tcPr>
          <w:p w:rsidR="00EB2B18" w:rsidRDefault="0088646F" w:rsidP="005C179C">
            <w:pPr>
              <w:spacing w:line="360" w:lineRule="auto"/>
              <w:jc w:val="both"/>
              <w:rPr>
                <w:rFonts w:asciiTheme="majorBidi" w:hAnsiTheme="majorBidi" w:cstheme="majorBidi"/>
                <w:sz w:val="22"/>
                <w:szCs w:val="22"/>
              </w:rPr>
            </w:pPr>
            <w:r w:rsidRPr="00CD464C">
              <w:rPr>
                <w:rFonts w:asciiTheme="majorBidi" w:hAnsiTheme="majorBidi" w:cstheme="majorBidi"/>
                <w:sz w:val="22"/>
                <w:szCs w:val="22"/>
              </w:rPr>
              <w:t>21</w:t>
            </w:r>
          </w:p>
        </w:tc>
      </w:tr>
      <w:tr w:rsidR="0088646F" w:rsidRPr="00CD464C">
        <w:tc>
          <w:tcPr>
            <w:tcW w:w="2808" w:type="dxa"/>
          </w:tcPr>
          <w:p w:rsidR="00EB2B18" w:rsidRDefault="0088646F" w:rsidP="005C179C">
            <w:pPr>
              <w:spacing w:line="360" w:lineRule="auto"/>
              <w:jc w:val="both"/>
              <w:rPr>
                <w:rFonts w:asciiTheme="majorBidi" w:hAnsiTheme="majorBidi" w:cstheme="majorBidi"/>
                <w:sz w:val="22"/>
                <w:szCs w:val="22"/>
              </w:rPr>
            </w:pPr>
            <w:r w:rsidRPr="00CD464C">
              <w:rPr>
                <w:rFonts w:asciiTheme="majorBidi" w:hAnsiTheme="majorBidi" w:cstheme="majorBidi"/>
                <w:sz w:val="22"/>
                <w:szCs w:val="22"/>
              </w:rPr>
              <w:t>After 2003</w:t>
            </w:r>
          </w:p>
        </w:tc>
        <w:tc>
          <w:tcPr>
            <w:tcW w:w="1260" w:type="dxa"/>
          </w:tcPr>
          <w:p w:rsidR="00EB2B18" w:rsidRDefault="0088646F" w:rsidP="005C179C">
            <w:pPr>
              <w:spacing w:line="360" w:lineRule="auto"/>
              <w:jc w:val="both"/>
              <w:rPr>
                <w:rFonts w:asciiTheme="majorBidi" w:hAnsiTheme="majorBidi" w:cstheme="majorBidi"/>
                <w:sz w:val="22"/>
                <w:szCs w:val="22"/>
              </w:rPr>
            </w:pPr>
            <w:r w:rsidRPr="00CD464C">
              <w:rPr>
                <w:rFonts w:asciiTheme="majorBidi" w:hAnsiTheme="majorBidi" w:cstheme="majorBidi"/>
                <w:sz w:val="22"/>
                <w:szCs w:val="22"/>
              </w:rPr>
              <w:t>68.5</w:t>
            </w:r>
          </w:p>
        </w:tc>
        <w:tc>
          <w:tcPr>
            <w:tcW w:w="1213" w:type="dxa"/>
          </w:tcPr>
          <w:p w:rsidR="00EB2B18" w:rsidRDefault="0088646F" w:rsidP="005C179C">
            <w:pPr>
              <w:spacing w:line="360" w:lineRule="auto"/>
              <w:jc w:val="both"/>
              <w:rPr>
                <w:rFonts w:asciiTheme="majorBidi" w:hAnsiTheme="majorBidi" w:cstheme="majorBidi"/>
                <w:sz w:val="22"/>
                <w:szCs w:val="22"/>
              </w:rPr>
            </w:pPr>
            <w:r w:rsidRPr="00CD464C">
              <w:rPr>
                <w:rFonts w:asciiTheme="majorBidi" w:hAnsiTheme="majorBidi" w:cstheme="majorBidi"/>
                <w:sz w:val="22"/>
                <w:szCs w:val="22"/>
              </w:rPr>
              <w:t>57</w:t>
            </w:r>
          </w:p>
        </w:tc>
        <w:tc>
          <w:tcPr>
            <w:tcW w:w="1668" w:type="dxa"/>
          </w:tcPr>
          <w:p w:rsidR="00EB2B18" w:rsidRDefault="0088646F" w:rsidP="005C179C">
            <w:pPr>
              <w:spacing w:line="360" w:lineRule="auto"/>
              <w:jc w:val="both"/>
              <w:rPr>
                <w:rFonts w:asciiTheme="majorBidi" w:hAnsiTheme="majorBidi" w:cstheme="majorBidi"/>
                <w:sz w:val="22"/>
                <w:szCs w:val="22"/>
              </w:rPr>
            </w:pPr>
            <w:r w:rsidRPr="00CD464C">
              <w:rPr>
                <w:rFonts w:asciiTheme="majorBidi" w:hAnsiTheme="majorBidi" w:cstheme="majorBidi"/>
                <w:sz w:val="22"/>
                <w:szCs w:val="22"/>
              </w:rPr>
              <w:t>100</w:t>
            </w:r>
          </w:p>
        </w:tc>
        <w:tc>
          <w:tcPr>
            <w:tcW w:w="1573" w:type="dxa"/>
          </w:tcPr>
          <w:p w:rsidR="00EB2B18" w:rsidRDefault="0088646F" w:rsidP="005C179C">
            <w:pPr>
              <w:spacing w:line="360" w:lineRule="auto"/>
              <w:jc w:val="both"/>
              <w:rPr>
                <w:rFonts w:asciiTheme="majorBidi" w:hAnsiTheme="majorBidi" w:cstheme="majorBidi"/>
                <w:sz w:val="22"/>
                <w:szCs w:val="22"/>
              </w:rPr>
            </w:pPr>
            <w:r w:rsidRPr="00CD464C">
              <w:rPr>
                <w:rFonts w:asciiTheme="majorBidi" w:hAnsiTheme="majorBidi" w:cstheme="majorBidi"/>
                <w:sz w:val="22"/>
                <w:szCs w:val="22"/>
              </w:rPr>
              <w:t>13.4</w:t>
            </w:r>
          </w:p>
        </w:tc>
      </w:tr>
    </w:tbl>
    <w:p w:rsidR="00EB2B18" w:rsidRDefault="0088646F" w:rsidP="005C179C">
      <w:pPr>
        <w:spacing w:line="360" w:lineRule="auto"/>
        <w:jc w:val="both"/>
        <w:rPr>
          <w:rFonts w:asciiTheme="majorBidi" w:hAnsiTheme="majorBidi" w:cstheme="majorBidi"/>
          <w:sz w:val="20"/>
          <w:szCs w:val="20"/>
        </w:rPr>
      </w:pPr>
      <w:r w:rsidRPr="00CD464C">
        <w:rPr>
          <w:rFonts w:asciiTheme="majorBidi" w:hAnsiTheme="majorBidi" w:cstheme="majorBidi"/>
          <w:sz w:val="20"/>
          <w:szCs w:val="20"/>
        </w:rPr>
        <w:t>In Table 1 panel C</w:t>
      </w:r>
      <w:r w:rsidR="00005AE7" w:rsidRPr="00CD464C">
        <w:rPr>
          <w:rFonts w:asciiTheme="majorBidi" w:hAnsiTheme="majorBidi" w:cstheme="majorBidi"/>
          <w:sz w:val="20"/>
          <w:szCs w:val="20"/>
        </w:rPr>
        <w:t>,</w:t>
      </w:r>
      <w:r w:rsidRPr="00CD464C">
        <w:rPr>
          <w:rFonts w:asciiTheme="majorBidi" w:hAnsiTheme="majorBidi" w:cstheme="majorBidi"/>
          <w:sz w:val="20"/>
          <w:szCs w:val="20"/>
        </w:rPr>
        <w:t xml:space="preserve"> we divided each portfolio in the sample into two categories: NTR assets issued prior to and after </w:t>
      </w:r>
      <w:r w:rsidRPr="00CD464C">
        <w:rPr>
          <w:rFonts w:asciiTheme="majorBidi" w:hAnsiTheme="majorBidi" w:cstheme="majorBidi"/>
          <w:sz w:val="20"/>
          <w:szCs w:val="20"/>
        </w:rPr>
        <w:lastRenderedPageBreak/>
        <w:t>1.1.2003.</w:t>
      </w:r>
    </w:p>
    <w:p w:rsidR="00EB2B18" w:rsidRDefault="0088646F" w:rsidP="005C179C">
      <w:pPr>
        <w:spacing w:line="360" w:lineRule="auto"/>
        <w:jc w:val="both"/>
        <w:rPr>
          <w:rFonts w:asciiTheme="majorBidi" w:hAnsiTheme="majorBidi" w:cstheme="majorBidi"/>
          <w:sz w:val="20"/>
          <w:szCs w:val="20"/>
        </w:rPr>
      </w:pPr>
      <w:r w:rsidRPr="00CD464C">
        <w:rPr>
          <w:rFonts w:asciiTheme="majorBidi" w:hAnsiTheme="majorBidi" w:cstheme="majorBidi"/>
          <w:sz w:val="20"/>
          <w:szCs w:val="20"/>
        </w:rPr>
        <w:t>For each portfolio we calculate the value of non-tradable assets twice:</w:t>
      </w:r>
    </w:p>
    <w:p w:rsidR="00EB2B18" w:rsidRDefault="0088646F" w:rsidP="005C179C">
      <w:pPr>
        <w:spacing w:line="360" w:lineRule="auto"/>
        <w:ind w:firstLine="720"/>
        <w:jc w:val="both"/>
        <w:rPr>
          <w:rFonts w:asciiTheme="majorBidi" w:hAnsiTheme="majorBidi" w:cstheme="majorBidi"/>
          <w:sz w:val="20"/>
          <w:szCs w:val="20"/>
        </w:rPr>
      </w:pPr>
      <w:r w:rsidRPr="00CD464C">
        <w:rPr>
          <w:rFonts w:asciiTheme="majorBidi" w:hAnsiTheme="majorBidi" w:cstheme="majorBidi"/>
          <w:b/>
          <w:bCs/>
          <w:sz w:val="20"/>
          <w:szCs w:val="20"/>
        </w:rPr>
        <w:t xml:space="preserve">AV method </w:t>
      </w:r>
      <w:r w:rsidR="004923B3" w:rsidRPr="00CD464C">
        <w:rPr>
          <w:rFonts w:asciiTheme="majorBidi" w:hAnsiTheme="majorBidi" w:cstheme="majorBidi"/>
          <w:b/>
          <w:bCs/>
          <w:sz w:val="20"/>
          <w:szCs w:val="20"/>
        </w:rPr>
        <w:t xml:space="preserve">– </w:t>
      </w:r>
      <w:r w:rsidR="004923B3" w:rsidRPr="00CD464C">
        <w:rPr>
          <w:rFonts w:asciiTheme="majorBidi" w:hAnsiTheme="majorBidi" w:cstheme="majorBidi"/>
          <w:sz w:val="20"/>
          <w:szCs w:val="20"/>
        </w:rPr>
        <w:t xml:space="preserve">Duplicating the method the funds </w:t>
      </w:r>
      <w:r w:rsidR="00341A1B" w:rsidRPr="00CD464C">
        <w:rPr>
          <w:rFonts w:asciiTheme="majorBidi" w:hAnsiTheme="majorBidi" w:cstheme="majorBidi"/>
          <w:sz w:val="20"/>
          <w:szCs w:val="20"/>
        </w:rPr>
        <w:t>were</w:t>
      </w:r>
      <w:r w:rsidR="00341A1B" w:rsidRPr="00CD464C">
        <w:rPr>
          <w:rFonts w:asciiTheme="majorBidi" w:hAnsiTheme="majorBidi" w:cstheme="majorBidi"/>
          <w:b/>
          <w:bCs/>
          <w:sz w:val="20"/>
          <w:szCs w:val="20"/>
        </w:rPr>
        <w:t xml:space="preserve"> </w:t>
      </w:r>
      <w:r w:rsidR="00341A1B" w:rsidRPr="00CD464C">
        <w:rPr>
          <w:rFonts w:asciiTheme="majorBidi" w:hAnsiTheme="majorBidi" w:cstheme="majorBidi"/>
          <w:sz w:val="20"/>
          <w:szCs w:val="20"/>
        </w:rPr>
        <w:t>(</w:t>
      </w:r>
      <w:r w:rsidRPr="00CD464C">
        <w:rPr>
          <w:rFonts w:asciiTheme="majorBidi" w:hAnsiTheme="majorBidi" w:cstheme="majorBidi"/>
          <w:sz w:val="20"/>
          <w:szCs w:val="20"/>
        </w:rPr>
        <w:t>Treasury’s instructions valid until March 31, 2005.</w:t>
      </w:r>
      <w:r w:rsidR="00341A1B" w:rsidRPr="00CD464C">
        <w:rPr>
          <w:rFonts w:asciiTheme="majorBidi" w:hAnsiTheme="majorBidi" w:cstheme="majorBidi"/>
          <w:sz w:val="20"/>
          <w:szCs w:val="20"/>
        </w:rPr>
        <w:t>)</w:t>
      </w:r>
    </w:p>
    <w:p w:rsidR="00EB2B18" w:rsidRDefault="0088646F" w:rsidP="005C179C">
      <w:pPr>
        <w:spacing w:line="360" w:lineRule="auto"/>
        <w:ind w:firstLine="720"/>
        <w:jc w:val="both"/>
        <w:rPr>
          <w:rFonts w:asciiTheme="majorBidi" w:hAnsiTheme="majorBidi" w:cstheme="majorBidi"/>
          <w:sz w:val="20"/>
          <w:szCs w:val="20"/>
        </w:rPr>
      </w:pPr>
      <w:r w:rsidRPr="00CD464C">
        <w:rPr>
          <w:rFonts w:asciiTheme="majorBidi" w:hAnsiTheme="majorBidi" w:cstheme="majorBidi"/>
          <w:b/>
          <w:bCs/>
          <w:sz w:val="20"/>
          <w:szCs w:val="20"/>
        </w:rPr>
        <w:t>FV method</w:t>
      </w:r>
      <w:r w:rsidRPr="00CD464C">
        <w:rPr>
          <w:rFonts w:asciiTheme="majorBidi" w:hAnsiTheme="majorBidi" w:cstheme="majorBidi"/>
          <w:sz w:val="20"/>
          <w:szCs w:val="20"/>
        </w:rPr>
        <w:t xml:space="preserve"> – Applying the RBT version of the Nelson-Siegel model, including the same adjustments made by RBT </w:t>
      </w:r>
      <w:r w:rsidR="00341A1B" w:rsidRPr="00CD464C">
        <w:rPr>
          <w:rFonts w:asciiTheme="majorBidi" w:hAnsiTheme="majorBidi" w:cstheme="majorBidi"/>
          <w:sz w:val="20"/>
          <w:szCs w:val="20"/>
        </w:rPr>
        <w:t>(</w:t>
      </w:r>
      <w:r w:rsidRPr="00CD464C">
        <w:rPr>
          <w:rFonts w:asciiTheme="majorBidi" w:hAnsiTheme="majorBidi" w:cstheme="majorBidi"/>
          <w:sz w:val="20"/>
          <w:szCs w:val="20"/>
        </w:rPr>
        <w:t>Treasury’s instructions valid after April 1</w:t>
      </w:r>
      <w:r w:rsidRPr="00CD464C">
        <w:rPr>
          <w:rFonts w:asciiTheme="majorBidi" w:hAnsiTheme="majorBidi" w:cstheme="majorBidi"/>
          <w:sz w:val="20"/>
          <w:szCs w:val="20"/>
          <w:vertAlign w:val="superscript"/>
        </w:rPr>
        <w:t>st</w:t>
      </w:r>
      <w:r w:rsidRPr="00CD464C">
        <w:rPr>
          <w:rFonts w:asciiTheme="majorBidi" w:hAnsiTheme="majorBidi" w:cstheme="majorBidi"/>
          <w:sz w:val="20"/>
          <w:szCs w:val="20"/>
        </w:rPr>
        <w:t>, 2005</w:t>
      </w:r>
      <w:r w:rsidR="00341A1B" w:rsidRPr="00CD464C">
        <w:rPr>
          <w:rFonts w:asciiTheme="majorBidi" w:hAnsiTheme="majorBidi" w:cstheme="majorBidi"/>
          <w:sz w:val="20"/>
          <w:szCs w:val="20"/>
        </w:rPr>
        <w:t>)</w:t>
      </w:r>
      <w:r w:rsidRPr="00CD464C">
        <w:rPr>
          <w:rFonts w:asciiTheme="majorBidi" w:hAnsiTheme="majorBidi" w:cstheme="majorBidi"/>
          <w:sz w:val="20"/>
          <w:szCs w:val="20"/>
        </w:rPr>
        <w:t xml:space="preserve"> </w:t>
      </w:r>
      <w:r w:rsidR="00341A1B" w:rsidRPr="00CD464C">
        <w:rPr>
          <w:rFonts w:asciiTheme="majorBidi" w:hAnsiTheme="majorBidi" w:cstheme="majorBidi"/>
          <w:sz w:val="20"/>
          <w:szCs w:val="20"/>
        </w:rPr>
        <w:t>.</w:t>
      </w:r>
    </w:p>
    <w:p w:rsidR="00EB2B18" w:rsidRDefault="0088646F" w:rsidP="005C179C">
      <w:pPr>
        <w:spacing w:line="360" w:lineRule="auto"/>
        <w:rPr>
          <w:rFonts w:asciiTheme="majorBidi" w:hAnsiTheme="majorBidi" w:cstheme="majorBidi"/>
          <w:sz w:val="20"/>
          <w:szCs w:val="20"/>
          <w:lang w:eastAsia="he-IL"/>
        </w:rPr>
      </w:pPr>
      <w:r w:rsidRPr="00CD464C">
        <w:rPr>
          <w:rFonts w:asciiTheme="majorBidi" w:hAnsiTheme="majorBidi" w:cstheme="majorBidi"/>
          <w:sz w:val="20"/>
          <w:szCs w:val="20"/>
        </w:rPr>
        <w:t xml:space="preserve">In Table 1 Panel A and B we analyze 39 actual portfolios </w:t>
      </w:r>
      <w:r w:rsidR="00936429" w:rsidRPr="00CD464C">
        <w:rPr>
          <w:rFonts w:asciiTheme="majorBidi" w:hAnsiTheme="majorBidi" w:cstheme="majorBidi"/>
          <w:sz w:val="20"/>
          <w:szCs w:val="20"/>
        </w:rPr>
        <w:t xml:space="preserve">that were </w:t>
      </w:r>
      <w:r w:rsidRPr="00CD464C">
        <w:rPr>
          <w:rFonts w:asciiTheme="majorBidi" w:hAnsiTheme="majorBidi" w:cstheme="majorBidi"/>
          <w:sz w:val="20"/>
          <w:szCs w:val="20"/>
        </w:rPr>
        <w:t>held by the providence funds on December 31</w:t>
      </w:r>
      <w:r w:rsidRPr="00CD464C">
        <w:rPr>
          <w:rFonts w:asciiTheme="majorBidi" w:hAnsiTheme="majorBidi" w:cstheme="majorBidi"/>
          <w:sz w:val="20"/>
          <w:szCs w:val="20"/>
          <w:vertAlign w:val="superscript"/>
        </w:rPr>
        <w:t>st</w:t>
      </w:r>
      <w:r w:rsidRPr="00CD464C">
        <w:rPr>
          <w:rFonts w:asciiTheme="majorBidi" w:hAnsiTheme="majorBidi" w:cstheme="majorBidi"/>
          <w:sz w:val="20"/>
          <w:szCs w:val="20"/>
        </w:rPr>
        <w:t>, 2004. The Nelson-Siegel adjusted valuation model was used; it was run on each portfolio for a specific valuation. Each portfolio is the one reported by each fund in a specific week between November 2004 and March 2005. The portfolios are a sample taken from all types of managing corporations: banks, insurance companies and private institutions.</w:t>
      </w:r>
    </w:p>
    <w:p w:rsidR="00EB2B18" w:rsidRDefault="00EB2B18" w:rsidP="005C179C">
      <w:pPr>
        <w:pStyle w:val="3"/>
        <w:bidi w:val="0"/>
        <w:spacing w:line="360" w:lineRule="auto"/>
        <w:rPr>
          <w:rFonts w:asciiTheme="majorBidi" w:hAnsiTheme="majorBidi" w:cstheme="majorBidi"/>
          <w:sz w:val="18"/>
          <w:szCs w:val="18"/>
        </w:rPr>
      </w:pPr>
    </w:p>
    <w:p w:rsidR="00EB2B18" w:rsidRDefault="0088646F" w:rsidP="005C179C">
      <w:pPr>
        <w:pStyle w:val="3"/>
        <w:bidi w:val="0"/>
        <w:spacing w:line="360" w:lineRule="auto"/>
        <w:rPr>
          <w:rFonts w:asciiTheme="majorBidi" w:hAnsiTheme="majorBidi" w:cstheme="majorBidi"/>
          <w:sz w:val="24"/>
          <w:szCs w:val="24"/>
        </w:rPr>
      </w:pPr>
      <w:r w:rsidRPr="00CD464C">
        <w:rPr>
          <w:rFonts w:asciiTheme="majorBidi" w:hAnsiTheme="majorBidi" w:cstheme="majorBidi"/>
          <w:sz w:val="18"/>
          <w:szCs w:val="18"/>
        </w:rPr>
        <w:t xml:space="preserve"> </w:t>
      </w:r>
      <w:r w:rsidRPr="00CD464C">
        <w:rPr>
          <w:rFonts w:asciiTheme="majorBidi" w:hAnsiTheme="majorBidi" w:cstheme="majorBidi"/>
          <w:sz w:val="24"/>
          <w:szCs w:val="24"/>
        </w:rPr>
        <w:t>Table 3: Fair Value effect</w:t>
      </w:r>
    </w:p>
    <w:p w:rsidR="00EB2B18" w:rsidRDefault="00EB2B18" w:rsidP="005C179C">
      <w:pPr>
        <w:spacing w:line="360" w:lineRule="auto"/>
        <w:rPr>
          <w:rFonts w:asciiTheme="majorBidi" w:hAnsiTheme="majorBidi" w:cstheme="majorBidi"/>
          <w:sz w:val="22"/>
          <w:szCs w:val="22"/>
          <w:lang w:eastAsia="he-I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1654"/>
        <w:gridCol w:w="1847"/>
        <w:gridCol w:w="1464"/>
      </w:tblGrid>
      <w:tr w:rsidR="0088646F" w:rsidRPr="00CD464C">
        <w:tc>
          <w:tcPr>
            <w:tcW w:w="2165" w:type="dxa"/>
          </w:tcPr>
          <w:p w:rsidR="00EB2B18" w:rsidRDefault="0088646F" w:rsidP="005C179C">
            <w:pPr>
              <w:spacing w:line="360" w:lineRule="auto"/>
              <w:jc w:val="both"/>
              <w:rPr>
                <w:rFonts w:asciiTheme="majorBidi" w:hAnsiTheme="majorBidi" w:cstheme="majorBidi"/>
                <w:b/>
                <w:bCs/>
                <w:sz w:val="22"/>
                <w:szCs w:val="22"/>
              </w:rPr>
            </w:pPr>
            <w:r w:rsidRPr="00CD464C">
              <w:rPr>
                <w:rFonts w:asciiTheme="majorBidi" w:hAnsiTheme="majorBidi" w:cstheme="majorBidi"/>
                <w:b/>
                <w:bCs/>
                <w:sz w:val="22"/>
                <w:szCs w:val="22"/>
              </w:rPr>
              <w:t>n = 39</w:t>
            </w:r>
          </w:p>
        </w:tc>
        <w:tc>
          <w:tcPr>
            <w:tcW w:w="1654" w:type="dxa"/>
          </w:tcPr>
          <w:p w:rsidR="00EB2B18" w:rsidRDefault="0088646F" w:rsidP="005C179C">
            <w:pPr>
              <w:spacing w:line="360" w:lineRule="auto"/>
              <w:jc w:val="both"/>
              <w:rPr>
                <w:rFonts w:asciiTheme="majorBidi" w:hAnsiTheme="majorBidi" w:cstheme="majorBidi"/>
                <w:b/>
                <w:bCs/>
                <w:sz w:val="22"/>
                <w:szCs w:val="22"/>
              </w:rPr>
            </w:pPr>
            <w:r w:rsidRPr="00CD464C">
              <w:rPr>
                <w:rFonts w:asciiTheme="majorBidi" w:hAnsiTheme="majorBidi" w:cstheme="majorBidi"/>
                <w:b/>
                <w:bCs/>
                <w:sz w:val="22"/>
                <w:szCs w:val="22"/>
              </w:rPr>
              <w:t>Average change</w:t>
            </w:r>
          </w:p>
        </w:tc>
        <w:tc>
          <w:tcPr>
            <w:tcW w:w="1847" w:type="dxa"/>
          </w:tcPr>
          <w:p w:rsidR="00EB2B18" w:rsidRDefault="0088646F" w:rsidP="005C179C">
            <w:pPr>
              <w:spacing w:line="360" w:lineRule="auto"/>
              <w:jc w:val="both"/>
              <w:rPr>
                <w:rFonts w:asciiTheme="majorBidi" w:hAnsiTheme="majorBidi" w:cstheme="majorBidi"/>
                <w:b/>
                <w:bCs/>
                <w:sz w:val="22"/>
                <w:szCs w:val="22"/>
              </w:rPr>
            </w:pPr>
            <w:r w:rsidRPr="00CD464C">
              <w:rPr>
                <w:rFonts w:asciiTheme="majorBidi" w:hAnsiTheme="majorBidi" w:cstheme="majorBidi"/>
                <w:b/>
                <w:bCs/>
                <w:sz w:val="22"/>
                <w:szCs w:val="22"/>
              </w:rPr>
              <w:t>Minimum change</w:t>
            </w:r>
          </w:p>
        </w:tc>
        <w:tc>
          <w:tcPr>
            <w:tcW w:w="1464" w:type="dxa"/>
          </w:tcPr>
          <w:p w:rsidR="00EB2B18" w:rsidRDefault="0088646F" w:rsidP="005C179C">
            <w:pPr>
              <w:spacing w:line="360" w:lineRule="auto"/>
              <w:jc w:val="both"/>
              <w:rPr>
                <w:rFonts w:asciiTheme="majorBidi" w:hAnsiTheme="majorBidi" w:cstheme="majorBidi"/>
                <w:b/>
                <w:bCs/>
                <w:sz w:val="22"/>
                <w:szCs w:val="22"/>
              </w:rPr>
            </w:pPr>
            <w:r w:rsidRPr="00CD464C">
              <w:rPr>
                <w:rFonts w:asciiTheme="majorBidi" w:hAnsiTheme="majorBidi" w:cstheme="majorBidi"/>
                <w:b/>
                <w:bCs/>
                <w:sz w:val="22"/>
                <w:szCs w:val="22"/>
              </w:rPr>
              <w:t>Maximum change</w:t>
            </w:r>
          </w:p>
        </w:tc>
      </w:tr>
      <w:tr w:rsidR="0088646F" w:rsidRPr="00CD464C">
        <w:tc>
          <w:tcPr>
            <w:tcW w:w="2165"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Change in value (per NTR portfolio) % FV -April 2005</w:t>
            </w:r>
          </w:p>
        </w:tc>
        <w:tc>
          <w:tcPr>
            <w:tcW w:w="1654" w:type="dxa"/>
          </w:tcPr>
          <w:p w:rsidR="00EB2B18" w:rsidRDefault="0088646F" w:rsidP="005C179C">
            <w:pPr>
              <w:spacing w:line="360" w:lineRule="auto"/>
              <w:jc w:val="both"/>
              <w:rPr>
                <w:rFonts w:asciiTheme="majorBidi" w:hAnsiTheme="majorBidi" w:cstheme="majorBidi"/>
                <w:sz w:val="22"/>
                <w:szCs w:val="22"/>
              </w:rPr>
            </w:pPr>
            <w:r w:rsidRPr="00CD464C">
              <w:rPr>
                <w:rFonts w:asciiTheme="majorBidi" w:hAnsiTheme="majorBidi" w:cstheme="majorBidi"/>
                <w:sz w:val="22"/>
                <w:szCs w:val="22"/>
              </w:rPr>
              <w:t>6.55</w:t>
            </w:r>
          </w:p>
        </w:tc>
        <w:tc>
          <w:tcPr>
            <w:tcW w:w="1847" w:type="dxa"/>
          </w:tcPr>
          <w:p w:rsidR="00EB2B18" w:rsidRDefault="0088646F" w:rsidP="005C179C">
            <w:pPr>
              <w:spacing w:line="360" w:lineRule="auto"/>
              <w:jc w:val="both"/>
              <w:rPr>
                <w:rFonts w:asciiTheme="majorBidi" w:hAnsiTheme="majorBidi" w:cstheme="majorBidi"/>
                <w:sz w:val="22"/>
                <w:szCs w:val="22"/>
              </w:rPr>
            </w:pPr>
            <w:r w:rsidRPr="00CD464C">
              <w:rPr>
                <w:rFonts w:asciiTheme="majorBidi" w:hAnsiTheme="majorBidi" w:cstheme="majorBidi"/>
                <w:sz w:val="22"/>
                <w:szCs w:val="22"/>
              </w:rPr>
              <w:t>4.25</w:t>
            </w:r>
          </w:p>
        </w:tc>
        <w:tc>
          <w:tcPr>
            <w:tcW w:w="1464" w:type="dxa"/>
          </w:tcPr>
          <w:p w:rsidR="00EB2B18" w:rsidRDefault="0088646F" w:rsidP="005C179C">
            <w:pPr>
              <w:spacing w:line="360" w:lineRule="auto"/>
              <w:jc w:val="both"/>
              <w:rPr>
                <w:rFonts w:asciiTheme="majorBidi" w:hAnsiTheme="majorBidi" w:cstheme="majorBidi"/>
                <w:sz w:val="22"/>
                <w:szCs w:val="22"/>
              </w:rPr>
            </w:pPr>
            <w:r w:rsidRPr="00CD464C">
              <w:rPr>
                <w:rFonts w:asciiTheme="majorBidi" w:hAnsiTheme="majorBidi" w:cstheme="majorBidi"/>
                <w:sz w:val="22"/>
                <w:szCs w:val="22"/>
              </w:rPr>
              <w:t>8.12</w:t>
            </w:r>
          </w:p>
        </w:tc>
      </w:tr>
      <w:tr w:rsidR="0088646F" w:rsidRPr="00CD464C">
        <w:tc>
          <w:tcPr>
            <w:tcW w:w="2165"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Change in value (per NTR portfolio) % FV - August 2005</w:t>
            </w:r>
          </w:p>
        </w:tc>
        <w:tc>
          <w:tcPr>
            <w:tcW w:w="1654" w:type="dxa"/>
          </w:tcPr>
          <w:p w:rsidR="00EB2B18" w:rsidRDefault="0088646F" w:rsidP="005C179C">
            <w:pPr>
              <w:spacing w:line="360" w:lineRule="auto"/>
              <w:jc w:val="both"/>
              <w:rPr>
                <w:rFonts w:asciiTheme="majorBidi" w:hAnsiTheme="majorBidi" w:cstheme="majorBidi"/>
                <w:sz w:val="22"/>
                <w:szCs w:val="22"/>
              </w:rPr>
            </w:pPr>
            <w:r w:rsidRPr="00CD464C">
              <w:rPr>
                <w:rFonts w:asciiTheme="majorBidi" w:hAnsiTheme="majorBidi" w:cstheme="majorBidi"/>
                <w:sz w:val="22"/>
                <w:szCs w:val="22"/>
              </w:rPr>
              <w:t>1.35</w:t>
            </w:r>
          </w:p>
        </w:tc>
        <w:tc>
          <w:tcPr>
            <w:tcW w:w="1847" w:type="dxa"/>
          </w:tcPr>
          <w:p w:rsidR="00EB2B18" w:rsidRDefault="0088646F" w:rsidP="005C179C">
            <w:pPr>
              <w:spacing w:line="360" w:lineRule="auto"/>
              <w:jc w:val="both"/>
              <w:rPr>
                <w:rFonts w:asciiTheme="majorBidi" w:hAnsiTheme="majorBidi" w:cstheme="majorBidi"/>
                <w:sz w:val="22"/>
                <w:szCs w:val="22"/>
              </w:rPr>
            </w:pPr>
            <w:r w:rsidRPr="00CD464C">
              <w:rPr>
                <w:rFonts w:asciiTheme="majorBidi" w:hAnsiTheme="majorBidi" w:cstheme="majorBidi"/>
                <w:sz w:val="22"/>
                <w:szCs w:val="22"/>
              </w:rPr>
              <w:t>0.0</w:t>
            </w:r>
          </w:p>
        </w:tc>
        <w:tc>
          <w:tcPr>
            <w:tcW w:w="1464" w:type="dxa"/>
          </w:tcPr>
          <w:p w:rsidR="00EB2B18" w:rsidRDefault="0088646F" w:rsidP="005C179C">
            <w:pPr>
              <w:spacing w:line="360" w:lineRule="auto"/>
              <w:jc w:val="both"/>
              <w:rPr>
                <w:rFonts w:asciiTheme="majorBidi" w:hAnsiTheme="majorBidi" w:cstheme="majorBidi"/>
                <w:sz w:val="22"/>
                <w:szCs w:val="22"/>
              </w:rPr>
            </w:pPr>
            <w:r w:rsidRPr="00CD464C">
              <w:rPr>
                <w:rFonts w:asciiTheme="majorBidi" w:hAnsiTheme="majorBidi" w:cstheme="majorBidi"/>
                <w:sz w:val="22"/>
                <w:szCs w:val="22"/>
              </w:rPr>
              <w:t>1.93</w:t>
            </w:r>
          </w:p>
        </w:tc>
      </w:tr>
    </w:tbl>
    <w:p w:rsidR="00EB2B18" w:rsidRDefault="00EB2B18" w:rsidP="005C179C">
      <w:pPr>
        <w:spacing w:line="360" w:lineRule="auto"/>
        <w:jc w:val="both"/>
        <w:rPr>
          <w:rFonts w:asciiTheme="majorBidi" w:hAnsiTheme="majorBidi" w:cstheme="majorBidi"/>
          <w:sz w:val="22"/>
          <w:szCs w:val="22"/>
        </w:rPr>
      </w:pPr>
    </w:p>
    <w:p w:rsidR="00EB2B18" w:rsidRDefault="00DD41FE" w:rsidP="005C179C">
      <w:pPr>
        <w:spacing w:line="360" w:lineRule="auto"/>
        <w:jc w:val="both"/>
        <w:rPr>
          <w:rFonts w:asciiTheme="majorBidi" w:hAnsiTheme="majorBidi" w:cstheme="majorBidi"/>
          <w:sz w:val="20"/>
          <w:szCs w:val="20"/>
        </w:rPr>
      </w:pPr>
      <w:r w:rsidRPr="00CD464C">
        <w:rPr>
          <w:rFonts w:asciiTheme="majorBidi" w:hAnsiTheme="majorBidi" w:cstheme="majorBidi"/>
          <w:sz w:val="20"/>
          <w:szCs w:val="20"/>
        </w:rPr>
        <w:t xml:space="preserve">Table 3 summarizes the effect of the Nelson-Siegel valuation; given are the </w:t>
      </w:r>
      <w:r w:rsidR="005A4643" w:rsidRPr="00CD464C">
        <w:rPr>
          <w:rFonts w:asciiTheme="majorBidi" w:hAnsiTheme="majorBidi" w:cstheme="majorBidi"/>
          <w:sz w:val="20"/>
          <w:szCs w:val="20"/>
        </w:rPr>
        <w:t xml:space="preserve">re-valuations of </w:t>
      </w:r>
      <w:r w:rsidRPr="00CD464C">
        <w:rPr>
          <w:rFonts w:asciiTheme="majorBidi" w:hAnsiTheme="majorBidi" w:cstheme="majorBidi"/>
          <w:sz w:val="20"/>
          <w:szCs w:val="20"/>
        </w:rPr>
        <w:t xml:space="preserve">April 2005 and August 2005 over the 39 Non Tradable portfolios. Applying distribution tests, we find that (1) cannot be rejected </w:t>
      </w:r>
      <m:oMath>
        <m:r>
          <w:rPr>
            <w:rFonts w:ascii="Cambria Math" w:hAnsiTheme="majorBidi" w:cstheme="majorBidi"/>
            <w:sz w:val="20"/>
            <w:szCs w:val="20"/>
          </w:rPr>
          <m:t>(</m:t>
        </m:r>
        <m:r>
          <w:rPr>
            <w:rFonts w:ascii="Cambria Math" w:hAnsi="Cambria Math" w:cstheme="majorBidi"/>
            <w:sz w:val="20"/>
            <w:szCs w:val="20"/>
          </w:rPr>
          <m:t>P</m:t>
        </m:r>
        <m:r>
          <w:rPr>
            <w:rFonts w:ascii="Cambria Math" w:hAnsiTheme="majorBidi" w:cstheme="majorBidi"/>
            <w:sz w:val="20"/>
            <w:szCs w:val="20"/>
          </w:rPr>
          <m:t xml:space="preserve"> = 0.015)</m:t>
        </m:r>
      </m:oMath>
      <w:r w:rsidRPr="00CD464C">
        <w:rPr>
          <w:rFonts w:asciiTheme="majorBidi" w:hAnsiTheme="majorBidi" w:cstheme="majorBidi"/>
          <w:sz w:val="20"/>
          <w:szCs w:val="20"/>
        </w:rPr>
        <w:t xml:space="preserve"> over NTR in 2004. Neither can (2) be rejected. There is no significant correlation </w:t>
      </w:r>
      <m:oMath>
        <m:r>
          <w:rPr>
            <w:rFonts w:ascii="Cambria Math" w:hAnsiTheme="majorBidi" w:cstheme="majorBidi"/>
            <w:sz w:val="20"/>
            <w:szCs w:val="20"/>
          </w:rPr>
          <m:t>(</m:t>
        </m:r>
        <m:r>
          <w:rPr>
            <w:rFonts w:ascii="Cambria Math" w:hAnsi="Cambria Math" w:cstheme="majorBidi"/>
            <w:sz w:val="20"/>
            <w:szCs w:val="20"/>
          </w:rPr>
          <m:t>P</m:t>
        </m:r>
        <m:r>
          <w:rPr>
            <w:rFonts w:ascii="Cambria Math" w:hAnsiTheme="majorBidi" w:cstheme="majorBidi"/>
            <w:sz w:val="20"/>
            <w:szCs w:val="20"/>
          </w:rPr>
          <m:t xml:space="preserve"> = 0.74)</m:t>
        </m:r>
      </m:oMath>
      <w:r w:rsidRPr="00CD464C">
        <w:rPr>
          <w:rFonts w:asciiTheme="majorBidi" w:hAnsiTheme="majorBidi" w:cstheme="majorBidi"/>
          <w:sz w:val="20"/>
          <w:szCs w:val="20"/>
        </w:rPr>
        <w:t xml:space="preserve"> between NTR and (FV-AV). The possibility that our sample may be biased in terms of the percentage of NTR assets </w:t>
      </w:r>
      <w:r w:rsidR="005A4643" w:rsidRPr="00CD464C">
        <w:rPr>
          <w:rFonts w:asciiTheme="majorBidi" w:hAnsiTheme="majorBidi" w:cstheme="majorBidi"/>
          <w:sz w:val="20"/>
          <w:szCs w:val="20"/>
        </w:rPr>
        <w:t xml:space="preserve">that are </w:t>
      </w:r>
      <w:r w:rsidRPr="00CD464C">
        <w:rPr>
          <w:rFonts w:asciiTheme="majorBidi" w:hAnsiTheme="majorBidi" w:cstheme="majorBidi"/>
          <w:sz w:val="20"/>
          <w:szCs w:val="20"/>
        </w:rPr>
        <w:t xml:space="preserve">held by each fund is </w:t>
      </w:r>
      <w:r w:rsidR="005A4643" w:rsidRPr="00CD464C">
        <w:rPr>
          <w:rFonts w:asciiTheme="majorBidi" w:hAnsiTheme="majorBidi" w:cstheme="majorBidi"/>
          <w:sz w:val="20"/>
          <w:szCs w:val="20"/>
        </w:rPr>
        <w:t>beside the point and irrelevant</w:t>
      </w:r>
      <w:r w:rsidRPr="00CD464C">
        <w:rPr>
          <w:rFonts w:asciiTheme="majorBidi" w:hAnsiTheme="majorBidi" w:cstheme="majorBidi"/>
          <w:sz w:val="20"/>
          <w:szCs w:val="20"/>
        </w:rPr>
        <w:t xml:space="preserve">. There is no correlation between the valuation difference and the NTR percentage. We can assume that the higher the percentage of NTR is in the portfolio, the higher is the difference in valuation. </w:t>
      </w:r>
    </w:p>
    <w:p w:rsidR="00EB2B18" w:rsidRDefault="00EB2B18" w:rsidP="005C179C">
      <w:pPr>
        <w:widowControl/>
        <w:snapToGrid/>
        <w:spacing w:after="0" w:line="360" w:lineRule="auto"/>
        <w:rPr>
          <w:rFonts w:asciiTheme="majorBidi" w:hAnsiTheme="majorBidi" w:cstheme="majorBidi"/>
          <w:b/>
          <w:bCs/>
          <w:lang w:eastAsia="he-IL"/>
        </w:rPr>
      </w:pPr>
    </w:p>
    <w:p w:rsidR="00EB2B18" w:rsidRDefault="0088646F" w:rsidP="005C179C">
      <w:pPr>
        <w:pStyle w:val="3"/>
        <w:bidi w:val="0"/>
        <w:spacing w:line="360" w:lineRule="auto"/>
        <w:rPr>
          <w:rFonts w:asciiTheme="majorBidi" w:hAnsiTheme="majorBidi" w:cstheme="majorBidi"/>
          <w:sz w:val="24"/>
          <w:szCs w:val="24"/>
        </w:rPr>
      </w:pPr>
      <w:r w:rsidRPr="00CD464C">
        <w:rPr>
          <w:rFonts w:asciiTheme="majorBidi" w:hAnsiTheme="majorBidi" w:cstheme="majorBidi"/>
          <w:sz w:val="24"/>
          <w:szCs w:val="24"/>
        </w:rPr>
        <w:t>Table 4: Descriptive Statistics</w:t>
      </w:r>
    </w:p>
    <w:p w:rsidR="00EB2B18" w:rsidRDefault="00EB2B18" w:rsidP="005C179C">
      <w:pPr>
        <w:spacing w:line="360" w:lineRule="auto"/>
        <w:rPr>
          <w:rFonts w:asciiTheme="majorBidi" w:hAnsiTheme="majorBidi" w:cstheme="majorBidi"/>
          <w:sz w:val="22"/>
          <w:szCs w:val="22"/>
          <w:lang w:eastAsia="he-IL"/>
        </w:rPr>
      </w:pPr>
    </w:p>
    <w:tbl>
      <w:tblPr>
        <w:tblW w:w="10548" w:type="dxa"/>
        <w:tblLayout w:type="fixed"/>
        <w:tblLook w:val="0000" w:firstRow="0" w:lastRow="0" w:firstColumn="0" w:lastColumn="0" w:noHBand="0" w:noVBand="0"/>
      </w:tblPr>
      <w:tblGrid>
        <w:gridCol w:w="1111"/>
        <w:gridCol w:w="1080"/>
        <w:gridCol w:w="934"/>
        <w:gridCol w:w="1138"/>
        <w:gridCol w:w="1212"/>
        <w:gridCol w:w="828"/>
        <w:gridCol w:w="1365"/>
        <w:gridCol w:w="1440"/>
        <w:gridCol w:w="1440"/>
      </w:tblGrid>
      <w:tr w:rsidR="00E71D92" w:rsidRPr="00CD464C" w:rsidTr="00E71D92">
        <w:trPr>
          <w:trHeight w:val="255"/>
          <w:tblHeader/>
        </w:trPr>
        <w:tc>
          <w:tcPr>
            <w:tcW w:w="1111" w:type="dxa"/>
            <w:tcBorders>
              <w:top w:val="single" w:sz="4" w:space="0" w:color="auto"/>
              <w:left w:val="single" w:sz="4" w:space="0" w:color="auto"/>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 </w:t>
            </w:r>
          </w:p>
        </w:tc>
        <w:tc>
          <w:tcPr>
            <w:tcW w:w="1080" w:type="dxa"/>
            <w:tcBorders>
              <w:top w:val="single" w:sz="4" w:space="0" w:color="auto"/>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NTR2004</w:t>
            </w:r>
            <w:r w:rsidR="00E71D92" w:rsidRPr="00CD464C">
              <w:rPr>
                <w:rFonts w:asciiTheme="majorBidi" w:hAnsiTheme="majorBidi" w:cstheme="majorBidi"/>
                <w:b/>
                <w:bCs/>
                <w:sz w:val="18"/>
                <w:szCs w:val="18"/>
              </w:rPr>
              <w:t xml:space="preserve"> (%)</w:t>
            </w:r>
          </w:p>
        </w:tc>
        <w:tc>
          <w:tcPr>
            <w:tcW w:w="934" w:type="dxa"/>
            <w:tcBorders>
              <w:top w:val="single" w:sz="4" w:space="0" w:color="auto"/>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TRL</w:t>
            </w:r>
          </w:p>
        </w:tc>
        <w:tc>
          <w:tcPr>
            <w:tcW w:w="1138" w:type="dxa"/>
            <w:tcBorders>
              <w:top w:val="single" w:sz="4" w:space="0" w:color="auto"/>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SIZE</w:t>
            </w:r>
            <w:r w:rsidR="00E71D92" w:rsidRPr="00CD464C">
              <w:rPr>
                <w:rFonts w:asciiTheme="majorBidi" w:hAnsiTheme="majorBidi" w:cstheme="majorBidi"/>
                <w:b/>
                <w:bCs/>
                <w:sz w:val="18"/>
                <w:szCs w:val="18"/>
              </w:rPr>
              <w:t xml:space="preserve"> </w:t>
            </w:r>
          </w:p>
          <w:p w:rsidR="00EB2B18" w:rsidRDefault="00E71D92"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(K NIS)</w:t>
            </w:r>
          </w:p>
        </w:tc>
        <w:tc>
          <w:tcPr>
            <w:tcW w:w="1212" w:type="dxa"/>
            <w:tcBorders>
              <w:top w:val="single" w:sz="4" w:space="0" w:color="auto"/>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FUNDAGE</w:t>
            </w:r>
            <w:r w:rsidR="00E71D92" w:rsidRPr="00CD464C">
              <w:rPr>
                <w:rFonts w:asciiTheme="majorBidi" w:hAnsiTheme="majorBidi" w:cstheme="majorBidi"/>
                <w:b/>
                <w:bCs/>
                <w:sz w:val="18"/>
                <w:szCs w:val="18"/>
              </w:rPr>
              <w:t xml:space="preserve"> (Months)</w:t>
            </w:r>
          </w:p>
        </w:tc>
        <w:tc>
          <w:tcPr>
            <w:tcW w:w="828" w:type="dxa"/>
            <w:tcBorders>
              <w:top w:val="single" w:sz="4" w:space="0" w:color="auto"/>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MNGF</w:t>
            </w:r>
          </w:p>
          <w:p w:rsidR="00EB2B18" w:rsidRDefault="00E71D92"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w:t>
            </w:r>
          </w:p>
        </w:tc>
        <w:tc>
          <w:tcPr>
            <w:tcW w:w="1365" w:type="dxa"/>
            <w:tcBorders>
              <w:top w:val="single" w:sz="4" w:space="0" w:color="auto"/>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R2004</w:t>
            </w:r>
          </w:p>
          <w:p w:rsidR="00EB2B18" w:rsidRDefault="00E71D92"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(Monthly, %)</w:t>
            </w:r>
          </w:p>
        </w:tc>
        <w:tc>
          <w:tcPr>
            <w:tcW w:w="1440" w:type="dxa"/>
            <w:tcBorders>
              <w:top w:val="single" w:sz="4" w:space="0" w:color="auto"/>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R20034</w:t>
            </w:r>
          </w:p>
          <w:p w:rsidR="00EB2B18" w:rsidRDefault="00E71D92"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(Monthly, %)</w:t>
            </w:r>
          </w:p>
        </w:tc>
        <w:tc>
          <w:tcPr>
            <w:tcW w:w="1440" w:type="dxa"/>
            <w:tcBorders>
              <w:top w:val="single" w:sz="4" w:space="0" w:color="auto"/>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RAR2004</w:t>
            </w:r>
          </w:p>
          <w:p w:rsidR="00EB2B18" w:rsidRDefault="00E71D92"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(Monthly, %)</w:t>
            </w:r>
          </w:p>
        </w:tc>
      </w:tr>
      <w:tr w:rsidR="00E71D92" w:rsidRPr="00CD464C" w:rsidTr="00E71D92">
        <w:trPr>
          <w:trHeight w:val="255"/>
        </w:trPr>
        <w:tc>
          <w:tcPr>
            <w:tcW w:w="1111" w:type="dxa"/>
            <w:tcBorders>
              <w:top w:val="nil"/>
              <w:left w:val="single" w:sz="4" w:space="0" w:color="auto"/>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Mean</w:t>
            </w:r>
          </w:p>
        </w:tc>
        <w:tc>
          <w:tcPr>
            <w:tcW w:w="1080"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18.21</w:t>
            </w:r>
          </w:p>
        </w:tc>
        <w:tc>
          <w:tcPr>
            <w:tcW w:w="934"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5.13</w:t>
            </w:r>
          </w:p>
        </w:tc>
        <w:tc>
          <w:tcPr>
            <w:tcW w:w="1138"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670.19</w:t>
            </w:r>
          </w:p>
        </w:tc>
        <w:tc>
          <w:tcPr>
            <w:tcW w:w="1212"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12.22</w:t>
            </w:r>
          </w:p>
        </w:tc>
        <w:tc>
          <w:tcPr>
            <w:tcW w:w="828"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0.85</w:t>
            </w:r>
          </w:p>
        </w:tc>
        <w:tc>
          <w:tcPr>
            <w:tcW w:w="1365"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0.74</w:t>
            </w:r>
          </w:p>
        </w:tc>
        <w:tc>
          <w:tcPr>
            <w:tcW w:w="1440"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1.00</w:t>
            </w:r>
          </w:p>
        </w:tc>
        <w:tc>
          <w:tcPr>
            <w:tcW w:w="1440"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0.83</w:t>
            </w:r>
          </w:p>
        </w:tc>
      </w:tr>
      <w:tr w:rsidR="00E71D92" w:rsidRPr="00CD464C" w:rsidTr="00E71D92">
        <w:trPr>
          <w:trHeight w:val="255"/>
        </w:trPr>
        <w:tc>
          <w:tcPr>
            <w:tcW w:w="1111" w:type="dxa"/>
            <w:tcBorders>
              <w:top w:val="nil"/>
              <w:left w:val="single" w:sz="4" w:space="0" w:color="auto"/>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Median</w:t>
            </w:r>
          </w:p>
        </w:tc>
        <w:tc>
          <w:tcPr>
            <w:tcW w:w="1080"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20.75</w:t>
            </w:r>
          </w:p>
        </w:tc>
        <w:tc>
          <w:tcPr>
            <w:tcW w:w="934"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3.28</w:t>
            </w:r>
          </w:p>
        </w:tc>
        <w:tc>
          <w:tcPr>
            <w:tcW w:w="1138"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144.67</w:t>
            </w:r>
          </w:p>
        </w:tc>
        <w:tc>
          <w:tcPr>
            <w:tcW w:w="1212"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w:t>
            </w:r>
          </w:p>
        </w:tc>
        <w:tc>
          <w:tcPr>
            <w:tcW w:w="828"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0.80</w:t>
            </w:r>
          </w:p>
        </w:tc>
        <w:tc>
          <w:tcPr>
            <w:tcW w:w="1365"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0.71</w:t>
            </w:r>
          </w:p>
        </w:tc>
        <w:tc>
          <w:tcPr>
            <w:tcW w:w="1440"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0.96</w:t>
            </w:r>
          </w:p>
        </w:tc>
        <w:tc>
          <w:tcPr>
            <w:tcW w:w="1440"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0.73</w:t>
            </w:r>
          </w:p>
        </w:tc>
      </w:tr>
      <w:tr w:rsidR="00E71D92" w:rsidRPr="00CD464C" w:rsidTr="00E71D92">
        <w:trPr>
          <w:trHeight w:val="255"/>
        </w:trPr>
        <w:tc>
          <w:tcPr>
            <w:tcW w:w="1111" w:type="dxa"/>
            <w:tcBorders>
              <w:top w:val="nil"/>
              <w:left w:val="single" w:sz="4" w:space="0" w:color="auto"/>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Maximum</w:t>
            </w:r>
          </w:p>
        </w:tc>
        <w:tc>
          <w:tcPr>
            <w:tcW w:w="1080"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47.00</w:t>
            </w:r>
          </w:p>
        </w:tc>
        <w:tc>
          <w:tcPr>
            <w:tcW w:w="934"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81.07</w:t>
            </w:r>
          </w:p>
        </w:tc>
        <w:tc>
          <w:tcPr>
            <w:tcW w:w="1138"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20,621.56</w:t>
            </w:r>
          </w:p>
        </w:tc>
        <w:tc>
          <w:tcPr>
            <w:tcW w:w="1212"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62.00</w:t>
            </w:r>
          </w:p>
        </w:tc>
        <w:tc>
          <w:tcPr>
            <w:tcW w:w="828"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2.20</w:t>
            </w:r>
          </w:p>
        </w:tc>
        <w:tc>
          <w:tcPr>
            <w:tcW w:w="1365"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2.36</w:t>
            </w:r>
          </w:p>
        </w:tc>
        <w:tc>
          <w:tcPr>
            <w:tcW w:w="1440"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3.22</w:t>
            </w:r>
          </w:p>
        </w:tc>
        <w:tc>
          <w:tcPr>
            <w:tcW w:w="1440"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6.61</w:t>
            </w:r>
          </w:p>
        </w:tc>
      </w:tr>
      <w:tr w:rsidR="00E71D92" w:rsidRPr="00CD464C" w:rsidTr="00E71D92">
        <w:trPr>
          <w:trHeight w:val="255"/>
        </w:trPr>
        <w:tc>
          <w:tcPr>
            <w:tcW w:w="1111" w:type="dxa"/>
            <w:tcBorders>
              <w:top w:val="nil"/>
              <w:left w:val="single" w:sz="4" w:space="0" w:color="auto"/>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lastRenderedPageBreak/>
              <w:t>Minimum</w:t>
            </w:r>
          </w:p>
        </w:tc>
        <w:tc>
          <w:tcPr>
            <w:tcW w:w="1080"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w:t>
            </w:r>
          </w:p>
        </w:tc>
        <w:tc>
          <w:tcPr>
            <w:tcW w:w="934"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0.1</w:t>
            </w:r>
          </w:p>
        </w:tc>
        <w:tc>
          <w:tcPr>
            <w:tcW w:w="1138"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0.54</w:t>
            </w:r>
          </w:p>
        </w:tc>
        <w:tc>
          <w:tcPr>
            <w:tcW w:w="1212"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w:t>
            </w:r>
          </w:p>
        </w:tc>
        <w:tc>
          <w:tcPr>
            <w:tcW w:w="828"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0.25</w:t>
            </w:r>
          </w:p>
        </w:tc>
        <w:tc>
          <w:tcPr>
            <w:tcW w:w="1365"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(0.27)</w:t>
            </w:r>
          </w:p>
        </w:tc>
        <w:tc>
          <w:tcPr>
            <w:tcW w:w="1440"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(0.27)</w:t>
            </w:r>
          </w:p>
        </w:tc>
        <w:tc>
          <w:tcPr>
            <w:tcW w:w="1440"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(0.28)</w:t>
            </w:r>
          </w:p>
        </w:tc>
      </w:tr>
      <w:tr w:rsidR="00E71D92" w:rsidRPr="00CD464C" w:rsidTr="00E71D92">
        <w:trPr>
          <w:trHeight w:val="255"/>
        </w:trPr>
        <w:tc>
          <w:tcPr>
            <w:tcW w:w="1111" w:type="dxa"/>
            <w:tcBorders>
              <w:top w:val="nil"/>
              <w:left w:val="single" w:sz="4" w:space="0" w:color="auto"/>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Std. dev.</w:t>
            </w:r>
          </w:p>
        </w:tc>
        <w:tc>
          <w:tcPr>
            <w:tcW w:w="1080"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11.48</w:t>
            </w:r>
          </w:p>
        </w:tc>
        <w:tc>
          <w:tcPr>
            <w:tcW w:w="934"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9.69</w:t>
            </w:r>
          </w:p>
        </w:tc>
        <w:tc>
          <w:tcPr>
            <w:tcW w:w="1138"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1,862.12</w:t>
            </w:r>
          </w:p>
        </w:tc>
        <w:tc>
          <w:tcPr>
            <w:tcW w:w="1212"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20.42</w:t>
            </w:r>
          </w:p>
        </w:tc>
        <w:tc>
          <w:tcPr>
            <w:tcW w:w="828"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0.50</w:t>
            </w:r>
          </w:p>
        </w:tc>
        <w:tc>
          <w:tcPr>
            <w:tcW w:w="1365"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0.27</w:t>
            </w:r>
          </w:p>
        </w:tc>
        <w:tc>
          <w:tcPr>
            <w:tcW w:w="1440"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0.40</w:t>
            </w:r>
          </w:p>
        </w:tc>
        <w:tc>
          <w:tcPr>
            <w:tcW w:w="1440"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0.71</w:t>
            </w:r>
          </w:p>
        </w:tc>
      </w:tr>
      <w:tr w:rsidR="00E71D92" w:rsidRPr="00CD464C" w:rsidTr="00E71D92">
        <w:trPr>
          <w:trHeight w:val="510"/>
        </w:trPr>
        <w:tc>
          <w:tcPr>
            <w:tcW w:w="1111" w:type="dxa"/>
            <w:tcBorders>
              <w:top w:val="nil"/>
              <w:left w:val="single" w:sz="4" w:space="0" w:color="auto"/>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Skewness</w:t>
            </w:r>
          </w:p>
        </w:tc>
        <w:tc>
          <w:tcPr>
            <w:tcW w:w="1080"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(0.15)</w:t>
            </w:r>
          </w:p>
        </w:tc>
        <w:tc>
          <w:tcPr>
            <w:tcW w:w="934"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4.94</w:t>
            </w:r>
          </w:p>
        </w:tc>
        <w:tc>
          <w:tcPr>
            <w:tcW w:w="1138"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6.72</w:t>
            </w:r>
          </w:p>
        </w:tc>
        <w:tc>
          <w:tcPr>
            <w:tcW w:w="1212"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1.31</w:t>
            </w:r>
          </w:p>
        </w:tc>
        <w:tc>
          <w:tcPr>
            <w:tcW w:w="828"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0.29</w:t>
            </w:r>
          </w:p>
        </w:tc>
        <w:tc>
          <w:tcPr>
            <w:tcW w:w="1365"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1.34</w:t>
            </w:r>
          </w:p>
        </w:tc>
        <w:tc>
          <w:tcPr>
            <w:tcW w:w="1440"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1.12</w:t>
            </w:r>
          </w:p>
        </w:tc>
        <w:tc>
          <w:tcPr>
            <w:tcW w:w="1440"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6.32</w:t>
            </w:r>
          </w:p>
        </w:tc>
      </w:tr>
      <w:tr w:rsidR="00E71D92" w:rsidRPr="00CD464C" w:rsidTr="00E71D92">
        <w:trPr>
          <w:trHeight w:val="255"/>
        </w:trPr>
        <w:tc>
          <w:tcPr>
            <w:tcW w:w="1111" w:type="dxa"/>
            <w:tcBorders>
              <w:top w:val="nil"/>
              <w:left w:val="single" w:sz="4" w:space="0" w:color="auto"/>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Kurtosis</w:t>
            </w:r>
          </w:p>
        </w:tc>
        <w:tc>
          <w:tcPr>
            <w:tcW w:w="1080"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2.06</w:t>
            </w:r>
          </w:p>
        </w:tc>
        <w:tc>
          <w:tcPr>
            <w:tcW w:w="934"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30.57</w:t>
            </w:r>
          </w:p>
        </w:tc>
        <w:tc>
          <w:tcPr>
            <w:tcW w:w="1138"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59.19</w:t>
            </w:r>
          </w:p>
        </w:tc>
        <w:tc>
          <w:tcPr>
            <w:tcW w:w="1212"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3.09</w:t>
            </w:r>
          </w:p>
        </w:tc>
        <w:tc>
          <w:tcPr>
            <w:tcW w:w="828"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2.32</w:t>
            </w:r>
          </w:p>
        </w:tc>
        <w:tc>
          <w:tcPr>
            <w:tcW w:w="1365"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9.46</w:t>
            </w:r>
          </w:p>
        </w:tc>
        <w:tc>
          <w:tcPr>
            <w:tcW w:w="1440"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8.25</w:t>
            </w:r>
          </w:p>
        </w:tc>
        <w:tc>
          <w:tcPr>
            <w:tcW w:w="1440" w:type="dxa"/>
            <w:tcBorders>
              <w:top w:val="nil"/>
              <w:left w:val="nil"/>
              <w:bottom w:val="single" w:sz="4" w:space="0" w:color="auto"/>
              <w:right w:val="single" w:sz="4" w:space="0" w:color="auto"/>
            </w:tcBorders>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47.94</w:t>
            </w:r>
          </w:p>
        </w:tc>
      </w:tr>
    </w:tbl>
    <w:p w:rsidR="00EB2B18" w:rsidRDefault="0088646F" w:rsidP="005C179C">
      <w:pPr>
        <w:pStyle w:val="3"/>
        <w:bidi w:val="0"/>
        <w:spacing w:line="360" w:lineRule="auto"/>
        <w:jc w:val="both"/>
        <w:rPr>
          <w:rFonts w:asciiTheme="majorBidi" w:hAnsiTheme="majorBidi" w:cstheme="majorBidi"/>
          <w:b w:val="0"/>
          <w:bCs w:val="0"/>
          <w:sz w:val="20"/>
          <w:szCs w:val="20"/>
        </w:rPr>
      </w:pPr>
      <w:r w:rsidRPr="00CD464C">
        <w:rPr>
          <w:rFonts w:asciiTheme="majorBidi" w:hAnsiTheme="majorBidi" w:cstheme="majorBidi"/>
          <w:b w:val="0"/>
          <w:bCs w:val="0"/>
          <w:color w:val="000000"/>
          <w:sz w:val="20"/>
          <w:szCs w:val="20"/>
        </w:rPr>
        <w:t xml:space="preserve">Table 4 describes the statistics for the main regressors we use. Some of the regressors are replaced </w:t>
      </w:r>
      <w:r w:rsidR="00E71D92" w:rsidRPr="00CD464C">
        <w:rPr>
          <w:rFonts w:asciiTheme="majorBidi" w:hAnsiTheme="majorBidi" w:cstheme="majorBidi"/>
          <w:b w:val="0"/>
          <w:bCs w:val="0"/>
          <w:color w:val="000000"/>
          <w:sz w:val="20"/>
          <w:szCs w:val="20"/>
        </w:rPr>
        <w:t xml:space="preserve">in some of the </w:t>
      </w:r>
      <w:r w:rsidRPr="00CD464C">
        <w:rPr>
          <w:rFonts w:asciiTheme="majorBidi" w:hAnsiTheme="majorBidi" w:cstheme="majorBidi"/>
          <w:b w:val="0"/>
          <w:bCs w:val="0"/>
          <w:color w:val="000000"/>
          <w:sz w:val="20"/>
          <w:szCs w:val="20"/>
        </w:rPr>
        <w:t>various regressions. The differences between any pairs of variables which are used (</w:t>
      </w:r>
      <w:r w:rsidR="00E71D92" w:rsidRPr="00CD464C">
        <w:rPr>
          <w:rFonts w:asciiTheme="majorBidi" w:hAnsiTheme="majorBidi" w:cstheme="majorBidi"/>
          <w:b w:val="0"/>
          <w:bCs w:val="0"/>
          <w:color w:val="000000"/>
          <w:sz w:val="20"/>
          <w:szCs w:val="20"/>
        </w:rPr>
        <w:t xml:space="preserve">for </w:t>
      </w:r>
      <w:r w:rsidR="005E54B8" w:rsidRPr="00CD464C">
        <w:rPr>
          <w:rFonts w:asciiTheme="majorBidi" w:hAnsiTheme="majorBidi" w:cstheme="majorBidi"/>
          <w:b w:val="0"/>
          <w:bCs w:val="0"/>
          <w:color w:val="000000"/>
          <w:sz w:val="20"/>
          <w:szCs w:val="20"/>
        </w:rPr>
        <w:t>example,</w:t>
      </w:r>
      <w:r w:rsidR="00E71D92" w:rsidRPr="00CD464C">
        <w:rPr>
          <w:rFonts w:asciiTheme="majorBidi" w:hAnsiTheme="majorBidi" w:cstheme="majorBidi"/>
          <w:b w:val="0"/>
          <w:bCs w:val="0"/>
          <w:color w:val="000000"/>
          <w:sz w:val="20"/>
          <w:szCs w:val="20"/>
        </w:rPr>
        <w:t xml:space="preserve"> </w:t>
      </w:r>
      <w:r w:rsidRPr="00CD464C">
        <w:rPr>
          <w:rFonts w:asciiTheme="majorBidi" w:hAnsiTheme="majorBidi" w:cstheme="majorBidi"/>
          <w:b w:val="0"/>
          <w:bCs w:val="0"/>
          <w:color w:val="000000"/>
          <w:sz w:val="20"/>
          <w:szCs w:val="20"/>
        </w:rPr>
        <w:t xml:space="preserve">the two-years past return </w:t>
      </w:r>
      <w:r w:rsidR="00E71D92" w:rsidRPr="00CD464C">
        <w:rPr>
          <w:rFonts w:asciiTheme="majorBidi" w:hAnsiTheme="majorBidi" w:cstheme="majorBidi"/>
          <w:b w:val="0"/>
          <w:bCs w:val="0"/>
          <w:color w:val="000000"/>
          <w:sz w:val="20"/>
          <w:szCs w:val="20"/>
        </w:rPr>
        <w:t xml:space="preserve">(R20034) </w:t>
      </w:r>
      <w:r w:rsidRPr="00CD464C">
        <w:rPr>
          <w:rFonts w:asciiTheme="majorBidi" w:hAnsiTheme="majorBidi" w:cstheme="majorBidi"/>
          <w:b w:val="0"/>
          <w:bCs w:val="0"/>
          <w:color w:val="000000"/>
          <w:sz w:val="20"/>
          <w:szCs w:val="20"/>
        </w:rPr>
        <w:t>and the three years</w:t>
      </w:r>
      <w:r w:rsidR="00436822" w:rsidRPr="00CD464C">
        <w:rPr>
          <w:rFonts w:asciiTheme="majorBidi" w:hAnsiTheme="majorBidi" w:cstheme="majorBidi"/>
          <w:b w:val="0"/>
          <w:bCs w:val="0"/>
          <w:color w:val="000000"/>
          <w:sz w:val="20"/>
          <w:szCs w:val="20"/>
        </w:rPr>
        <w:t xml:space="preserve"> of</w:t>
      </w:r>
      <w:r w:rsidRPr="00CD464C">
        <w:rPr>
          <w:rFonts w:asciiTheme="majorBidi" w:hAnsiTheme="majorBidi" w:cstheme="majorBidi"/>
          <w:b w:val="0"/>
          <w:bCs w:val="0"/>
          <w:color w:val="000000"/>
          <w:sz w:val="20"/>
          <w:szCs w:val="20"/>
        </w:rPr>
        <w:t xml:space="preserve"> past return</w:t>
      </w:r>
      <w:r w:rsidR="005E54B8" w:rsidRPr="00CD464C">
        <w:rPr>
          <w:rFonts w:asciiTheme="majorBidi" w:hAnsiTheme="majorBidi" w:cstheme="majorBidi"/>
          <w:b w:val="0"/>
          <w:bCs w:val="0"/>
          <w:color w:val="000000"/>
          <w:sz w:val="20"/>
          <w:szCs w:val="20"/>
        </w:rPr>
        <w:t xml:space="preserve"> </w:t>
      </w:r>
      <w:r w:rsidR="00E71D92" w:rsidRPr="00CD464C">
        <w:rPr>
          <w:rFonts w:asciiTheme="majorBidi" w:hAnsiTheme="majorBidi" w:cstheme="majorBidi"/>
          <w:b w:val="0"/>
          <w:bCs w:val="0"/>
          <w:color w:val="000000"/>
          <w:sz w:val="20"/>
          <w:szCs w:val="20"/>
        </w:rPr>
        <w:t>(R20024)</w:t>
      </w:r>
      <w:r w:rsidRPr="00CD464C">
        <w:rPr>
          <w:rFonts w:asciiTheme="majorBidi" w:hAnsiTheme="majorBidi" w:cstheme="majorBidi"/>
          <w:b w:val="0"/>
          <w:bCs w:val="0"/>
          <w:color w:val="000000"/>
          <w:sz w:val="20"/>
          <w:szCs w:val="20"/>
        </w:rPr>
        <w:t>) are sufficiently small.</w:t>
      </w:r>
    </w:p>
    <w:p w:rsidR="00EB2B18" w:rsidRDefault="00EB2B18" w:rsidP="005C179C">
      <w:pPr>
        <w:pStyle w:val="3"/>
        <w:snapToGrid w:val="0"/>
        <w:spacing w:line="360" w:lineRule="auto"/>
        <w:jc w:val="both"/>
        <w:rPr>
          <w:rFonts w:asciiTheme="majorBidi" w:hAnsiTheme="majorBidi" w:cstheme="majorBidi"/>
          <w:b w:val="0"/>
          <w:bCs w:val="0"/>
          <w:sz w:val="20"/>
          <w:szCs w:val="20"/>
        </w:rPr>
      </w:pPr>
    </w:p>
    <w:p w:rsidR="00EB2B18" w:rsidRDefault="0088646F" w:rsidP="005C179C">
      <w:pPr>
        <w:widowControl/>
        <w:snapToGrid/>
        <w:spacing w:after="0" w:line="360" w:lineRule="auto"/>
        <w:rPr>
          <w:rFonts w:asciiTheme="majorBidi" w:hAnsiTheme="majorBidi" w:cstheme="majorBidi"/>
          <w:b/>
          <w:bCs/>
          <w:lang w:eastAsia="he-IL"/>
        </w:rPr>
      </w:pPr>
      <w:r w:rsidRPr="00CD464C">
        <w:rPr>
          <w:rFonts w:asciiTheme="majorBidi" w:hAnsiTheme="majorBidi" w:cstheme="majorBidi"/>
          <w:sz w:val="22"/>
          <w:szCs w:val="22"/>
        </w:rPr>
        <w:br w:type="page"/>
      </w:r>
    </w:p>
    <w:p w:rsidR="00EB2B18" w:rsidRDefault="0088646F" w:rsidP="005C179C">
      <w:pPr>
        <w:pStyle w:val="3"/>
        <w:bidi w:val="0"/>
        <w:spacing w:line="360" w:lineRule="auto"/>
        <w:rPr>
          <w:rFonts w:asciiTheme="majorBidi" w:hAnsiTheme="majorBidi" w:cstheme="majorBidi"/>
          <w:sz w:val="24"/>
          <w:szCs w:val="24"/>
        </w:rPr>
      </w:pPr>
      <w:r w:rsidRPr="00CD464C">
        <w:rPr>
          <w:rFonts w:asciiTheme="majorBidi" w:hAnsiTheme="majorBidi" w:cstheme="majorBidi"/>
          <w:sz w:val="24"/>
          <w:szCs w:val="24"/>
        </w:rPr>
        <w:lastRenderedPageBreak/>
        <w:t>Table 5: Correlation Table</w:t>
      </w:r>
    </w:p>
    <w:p w:rsidR="00EB2B18" w:rsidRDefault="00EB2B18" w:rsidP="005C179C">
      <w:pPr>
        <w:spacing w:line="360" w:lineRule="auto"/>
        <w:rPr>
          <w:rFonts w:asciiTheme="majorBidi" w:hAnsiTheme="majorBidi" w:cstheme="majorBidi"/>
          <w:sz w:val="22"/>
          <w:szCs w:val="22"/>
          <w:lang w:eastAsia="he-IL"/>
        </w:rPr>
      </w:pPr>
    </w:p>
    <w:tbl>
      <w:tblPr>
        <w:tblW w:w="9133" w:type="dxa"/>
        <w:tblInd w:w="-252" w:type="dxa"/>
        <w:tblLook w:val="0000" w:firstRow="0" w:lastRow="0" w:firstColumn="0" w:lastColumn="0" w:noHBand="0" w:noVBand="0"/>
      </w:tblPr>
      <w:tblGrid>
        <w:gridCol w:w="1194"/>
        <w:gridCol w:w="1759"/>
        <w:gridCol w:w="1205"/>
        <w:gridCol w:w="1000"/>
        <w:gridCol w:w="960"/>
        <w:gridCol w:w="1095"/>
        <w:gridCol w:w="960"/>
        <w:gridCol w:w="960"/>
      </w:tblGrid>
      <w:tr w:rsidR="0088646F" w:rsidRPr="00CD464C">
        <w:trPr>
          <w:trHeight w:val="255"/>
        </w:trPr>
        <w:tc>
          <w:tcPr>
            <w:tcW w:w="1194" w:type="dxa"/>
            <w:tcBorders>
              <w:top w:val="single" w:sz="8" w:space="0" w:color="auto"/>
              <w:left w:val="single" w:sz="8" w:space="0" w:color="auto"/>
              <w:bottom w:val="single" w:sz="4" w:space="0" w:color="auto"/>
              <w:right w:val="single" w:sz="4" w:space="0" w:color="auto"/>
            </w:tcBorders>
            <w:noWrap/>
            <w:vAlign w:val="bottom"/>
          </w:tcPr>
          <w:p w:rsidR="00EB2B18" w:rsidRDefault="00EB2B18" w:rsidP="005C179C">
            <w:pPr>
              <w:spacing w:line="360" w:lineRule="auto"/>
              <w:jc w:val="both"/>
              <w:rPr>
                <w:rFonts w:asciiTheme="majorBidi" w:hAnsiTheme="majorBidi" w:cstheme="majorBidi"/>
                <w:b/>
                <w:bCs/>
                <w:sz w:val="18"/>
                <w:szCs w:val="18"/>
              </w:rPr>
            </w:pPr>
          </w:p>
        </w:tc>
        <w:tc>
          <w:tcPr>
            <w:tcW w:w="1759" w:type="dxa"/>
            <w:tcBorders>
              <w:top w:val="single" w:sz="8" w:space="0" w:color="auto"/>
              <w:left w:val="nil"/>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NTR2004</w:t>
            </w:r>
          </w:p>
        </w:tc>
        <w:tc>
          <w:tcPr>
            <w:tcW w:w="1205" w:type="dxa"/>
            <w:tcBorders>
              <w:top w:val="single" w:sz="8" w:space="0" w:color="auto"/>
              <w:left w:val="nil"/>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FUNDAGE</w:t>
            </w:r>
          </w:p>
        </w:tc>
        <w:tc>
          <w:tcPr>
            <w:tcW w:w="1000" w:type="dxa"/>
            <w:tcBorders>
              <w:top w:val="single" w:sz="8" w:space="0" w:color="auto"/>
              <w:left w:val="nil"/>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MNGF</w:t>
            </w:r>
          </w:p>
        </w:tc>
        <w:tc>
          <w:tcPr>
            <w:tcW w:w="960" w:type="dxa"/>
            <w:tcBorders>
              <w:top w:val="single" w:sz="8" w:space="0" w:color="auto"/>
              <w:left w:val="nil"/>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R20034</w:t>
            </w:r>
          </w:p>
        </w:tc>
        <w:tc>
          <w:tcPr>
            <w:tcW w:w="1095" w:type="dxa"/>
            <w:tcBorders>
              <w:top w:val="single" w:sz="8" w:space="0" w:color="auto"/>
              <w:left w:val="nil"/>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RAR2004</w:t>
            </w:r>
          </w:p>
        </w:tc>
        <w:tc>
          <w:tcPr>
            <w:tcW w:w="960" w:type="dxa"/>
            <w:tcBorders>
              <w:top w:val="single" w:sz="8" w:space="0" w:color="auto"/>
              <w:left w:val="nil"/>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SIZE</w:t>
            </w:r>
          </w:p>
        </w:tc>
        <w:tc>
          <w:tcPr>
            <w:tcW w:w="960" w:type="dxa"/>
            <w:tcBorders>
              <w:top w:val="single" w:sz="8" w:space="0" w:color="auto"/>
              <w:left w:val="nil"/>
              <w:bottom w:val="single" w:sz="4" w:space="0" w:color="auto"/>
              <w:right w:val="single" w:sz="8" w:space="0" w:color="auto"/>
            </w:tcBorders>
            <w:noWrap/>
            <w:vAlign w:val="bottom"/>
          </w:tcPr>
          <w:p w:rsidR="00EB2B18" w:rsidRDefault="0088646F"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TRL</w:t>
            </w:r>
          </w:p>
        </w:tc>
      </w:tr>
      <w:tr w:rsidR="0088646F" w:rsidRPr="00CD464C">
        <w:trPr>
          <w:trHeight w:val="255"/>
        </w:trPr>
        <w:tc>
          <w:tcPr>
            <w:tcW w:w="1194" w:type="dxa"/>
            <w:tcBorders>
              <w:top w:val="nil"/>
              <w:left w:val="single" w:sz="8" w:space="0" w:color="auto"/>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NTR2005</w:t>
            </w:r>
          </w:p>
        </w:tc>
        <w:tc>
          <w:tcPr>
            <w:tcW w:w="1759" w:type="dxa"/>
            <w:tcBorders>
              <w:top w:val="nil"/>
              <w:left w:val="nil"/>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 xml:space="preserve">   0.849</w:t>
            </w:r>
          </w:p>
        </w:tc>
        <w:tc>
          <w:tcPr>
            <w:tcW w:w="1205" w:type="dxa"/>
            <w:tcBorders>
              <w:top w:val="nil"/>
              <w:left w:val="nil"/>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-0.506</w:t>
            </w:r>
          </w:p>
        </w:tc>
        <w:tc>
          <w:tcPr>
            <w:tcW w:w="1000" w:type="dxa"/>
            <w:tcBorders>
              <w:top w:val="nil"/>
              <w:left w:val="nil"/>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-0.344</w:t>
            </w:r>
          </w:p>
        </w:tc>
        <w:tc>
          <w:tcPr>
            <w:tcW w:w="960" w:type="dxa"/>
            <w:tcBorders>
              <w:top w:val="nil"/>
              <w:left w:val="nil"/>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-0.160</w:t>
            </w:r>
          </w:p>
        </w:tc>
        <w:tc>
          <w:tcPr>
            <w:tcW w:w="1095" w:type="dxa"/>
            <w:tcBorders>
              <w:top w:val="nil"/>
              <w:left w:val="nil"/>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-0.123</w:t>
            </w:r>
          </w:p>
        </w:tc>
        <w:tc>
          <w:tcPr>
            <w:tcW w:w="960" w:type="dxa"/>
            <w:tcBorders>
              <w:top w:val="nil"/>
              <w:left w:val="nil"/>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0.179</w:t>
            </w:r>
          </w:p>
        </w:tc>
        <w:tc>
          <w:tcPr>
            <w:tcW w:w="960" w:type="dxa"/>
            <w:tcBorders>
              <w:top w:val="nil"/>
              <w:left w:val="nil"/>
              <w:bottom w:val="single" w:sz="4" w:space="0" w:color="auto"/>
              <w:right w:val="single" w:sz="8"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-0.252</w:t>
            </w:r>
          </w:p>
        </w:tc>
      </w:tr>
      <w:tr w:rsidR="0088646F" w:rsidRPr="00CD464C">
        <w:trPr>
          <w:trHeight w:val="255"/>
        </w:trPr>
        <w:tc>
          <w:tcPr>
            <w:tcW w:w="1194" w:type="dxa"/>
            <w:tcBorders>
              <w:top w:val="nil"/>
              <w:left w:val="single" w:sz="8" w:space="0" w:color="auto"/>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NTR2004</w:t>
            </w:r>
          </w:p>
        </w:tc>
        <w:tc>
          <w:tcPr>
            <w:tcW w:w="1759" w:type="dxa"/>
            <w:tcBorders>
              <w:top w:val="nil"/>
              <w:left w:val="nil"/>
              <w:bottom w:val="single" w:sz="4" w:space="0" w:color="auto"/>
              <w:right w:val="single" w:sz="4" w:space="0" w:color="auto"/>
            </w:tcBorders>
            <w:noWrap/>
            <w:vAlign w:val="bottom"/>
          </w:tcPr>
          <w:p w:rsidR="00EB2B18" w:rsidRDefault="00EB2B18" w:rsidP="005C179C">
            <w:pPr>
              <w:spacing w:line="360" w:lineRule="auto"/>
              <w:jc w:val="both"/>
              <w:rPr>
                <w:rFonts w:asciiTheme="majorBidi" w:hAnsiTheme="majorBidi" w:cstheme="majorBidi"/>
                <w:sz w:val="18"/>
                <w:szCs w:val="18"/>
              </w:rPr>
            </w:pPr>
          </w:p>
        </w:tc>
        <w:tc>
          <w:tcPr>
            <w:tcW w:w="1205" w:type="dxa"/>
            <w:tcBorders>
              <w:top w:val="nil"/>
              <w:left w:val="nil"/>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-0.292</w:t>
            </w:r>
          </w:p>
        </w:tc>
        <w:tc>
          <w:tcPr>
            <w:tcW w:w="1000" w:type="dxa"/>
            <w:tcBorders>
              <w:top w:val="nil"/>
              <w:left w:val="nil"/>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-0.094</w:t>
            </w:r>
          </w:p>
        </w:tc>
        <w:tc>
          <w:tcPr>
            <w:tcW w:w="960" w:type="dxa"/>
            <w:tcBorders>
              <w:top w:val="nil"/>
              <w:left w:val="nil"/>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-0.161</w:t>
            </w:r>
          </w:p>
        </w:tc>
        <w:tc>
          <w:tcPr>
            <w:tcW w:w="1095" w:type="dxa"/>
            <w:tcBorders>
              <w:top w:val="nil"/>
              <w:left w:val="nil"/>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-0.117</w:t>
            </w:r>
          </w:p>
        </w:tc>
        <w:tc>
          <w:tcPr>
            <w:tcW w:w="960" w:type="dxa"/>
            <w:tcBorders>
              <w:top w:val="nil"/>
              <w:left w:val="nil"/>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0.144</w:t>
            </w:r>
          </w:p>
        </w:tc>
        <w:tc>
          <w:tcPr>
            <w:tcW w:w="960" w:type="dxa"/>
            <w:tcBorders>
              <w:top w:val="nil"/>
              <w:left w:val="nil"/>
              <w:bottom w:val="single" w:sz="4" w:space="0" w:color="auto"/>
              <w:right w:val="single" w:sz="8"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-0.303</w:t>
            </w:r>
          </w:p>
        </w:tc>
      </w:tr>
      <w:tr w:rsidR="0088646F" w:rsidRPr="00CD464C">
        <w:trPr>
          <w:trHeight w:val="255"/>
        </w:trPr>
        <w:tc>
          <w:tcPr>
            <w:tcW w:w="1194" w:type="dxa"/>
            <w:tcBorders>
              <w:top w:val="nil"/>
              <w:left w:val="single" w:sz="8" w:space="0" w:color="auto"/>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FUNDAGE</w:t>
            </w:r>
          </w:p>
        </w:tc>
        <w:tc>
          <w:tcPr>
            <w:tcW w:w="1759" w:type="dxa"/>
            <w:tcBorders>
              <w:top w:val="nil"/>
              <w:left w:val="nil"/>
              <w:bottom w:val="single" w:sz="4" w:space="0" w:color="auto"/>
              <w:right w:val="single" w:sz="4" w:space="0" w:color="auto"/>
            </w:tcBorders>
            <w:noWrap/>
            <w:vAlign w:val="bottom"/>
          </w:tcPr>
          <w:p w:rsidR="00EB2B18" w:rsidRDefault="00EB2B18" w:rsidP="005C179C">
            <w:pPr>
              <w:spacing w:line="360" w:lineRule="auto"/>
              <w:jc w:val="both"/>
              <w:rPr>
                <w:rFonts w:asciiTheme="majorBidi" w:hAnsiTheme="majorBidi" w:cstheme="majorBidi"/>
                <w:sz w:val="18"/>
                <w:szCs w:val="18"/>
              </w:rPr>
            </w:pPr>
          </w:p>
        </w:tc>
        <w:tc>
          <w:tcPr>
            <w:tcW w:w="1205" w:type="dxa"/>
            <w:tcBorders>
              <w:top w:val="nil"/>
              <w:left w:val="nil"/>
              <w:bottom w:val="single" w:sz="4" w:space="0" w:color="auto"/>
              <w:right w:val="single" w:sz="4" w:space="0" w:color="auto"/>
            </w:tcBorders>
            <w:noWrap/>
            <w:vAlign w:val="bottom"/>
          </w:tcPr>
          <w:p w:rsidR="00EB2B18" w:rsidRDefault="00EB2B18" w:rsidP="005C179C">
            <w:pPr>
              <w:spacing w:line="360" w:lineRule="auto"/>
              <w:jc w:val="both"/>
              <w:rPr>
                <w:rFonts w:asciiTheme="majorBidi" w:hAnsiTheme="majorBidi" w:cstheme="majorBidi"/>
                <w:sz w:val="18"/>
                <w:szCs w:val="18"/>
              </w:rPr>
            </w:pPr>
          </w:p>
        </w:tc>
        <w:tc>
          <w:tcPr>
            <w:tcW w:w="1000" w:type="dxa"/>
            <w:tcBorders>
              <w:top w:val="nil"/>
              <w:left w:val="nil"/>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0.293</w:t>
            </w:r>
          </w:p>
        </w:tc>
        <w:tc>
          <w:tcPr>
            <w:tcW w:w="960" w:type="dxa"/>
            <w:tcBorders>
              <w:top w:val="nil"/>
              <w:left w:val="nil"/>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-0.023</w:t>
            </w:r>
          </w:p>
        </w:tc>
        <w:tc>
          <w:tcPr>
            <w:tcW w:w="1095" w:type="dxa"/>
            <w:tcBorders>
              <w:top w:val="nil"/>
              <w:left w:val="nil"/>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0.076</w:t>
            </w:r>
          </w:p>
        </w:tc>
        <w:tc>
          <w:tcPr>
            <w:tcW w:w="960" w:type="dxa"/>
            <w:tcBorders>
              <w:top w:val="nil"/>
              <w:left w:val="nil"/>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-0.185</w:t>
            </w:r>
          </w:p>
        </w:tc>
        <w:tc>
          <w:tcPr>
            <w:tcW w:w="960" w:type="dxa"/>
            <w:tcBorders>
              <w:top w:val="nil"/>
              <w:left w:val="nil"/>
              <w:bottom w:val="single" w:sz="4" w:space="0" w:color="auto"/>
              <w:right w:val="single" w:sz="8"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0.131</w:t>
            </w:r>
          </w:p>
        </w:tc>
      </w:tr>
      <w:tr w:rsidR="0088646F" w:rsidRPr="00CD464C">
        <w:trPr>
          <w:trHeight w:val="255"/>
        </w:trPr>
        <w:tc>
          <w:tcPr>
            <w:tcW w:w="1194" w:type="dxa"/>
            <w:tcBorders>
              <w:top w:val="nil"/>
              <w:left w:val="single" w:sz="8" w:space="0" w:color="auto"/>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MNGF</w:t>
            </w:r>
          </w:p>
        </w:tc>
        <w:tc>
          <w:tcPr>
            <w:tcW w:w="1759" w:type="dxa"/>
            <w:tcBorders>
              <w:top w:val="nil"/>
              <w:left w:val="nil"/>
              <w:bottom w:val="single" w:sz="4" w:space="0" w:color="auto"/>
              <w:right w:val="single" w:sz="4" w:space="0" w:color="auto"/>
            </w:tcBorders>
            <w:noWrap/>
            <w:vAlign w:val="bottom"/>
          </w:tcPr>
          <w:p w:rsidR="00EB2B18" w:rsidRDefault="00EB2B18" w:rsidP="005C179C">
            <w:pPr>
              <w:spacing w:line="360" w:lineRule="auto"/>
              <w:jc w:val="both"/>
              <w:rPr>
                <w:rFonts w:asciiTheme="majorBidi" w:hAnsiTheme="majorBidi" w:cstheme="majorBidi"/>
                <w:sz w:val="18"/>
                <w:szCs w:val="18"/>
              </w:rPr>
            </w:pPr>
          </w:p>
        </w:tc>
        <w:tc>
          <w:tcPr>
            <w:tcW w:w="1205" w:type="dxa"/>
            <w:tcBorders>
              <w:top w:val="nil"/>
              <w:left w:val="nil"/>
              <w:bottom w:val="single" w:sz="4" w:space="0" w:color="auto"/>
              <w:right w:val="single" w:sz="4" w:space="0" w:color="auto"/>
            </w:tcBorders>
            <w:noWrap/>
            <w:vAlign w:val="bottom"/>
          </w:tcPr>
          <w:p w:rsidR="00EB2B18" w:rsidRDefault="00EB2B18" w:rsidP="005C179C">
            <w:pPr>
              <w:spacing w:line="360" w:lineRule="auto"/>
              <w:jc w:val="both"/>
              <w:rPr>
                <w:rFonts w:asciiTheme="majorBidi" w:hAnsiTheme="majorBidi" w:cstheme="majorBidi"/>
                <w:sz w:val="18"/>
                <w:szCs w:val="18"/>
              </w:rPr>
            </w:pPr>
          </w:p>
        </w:tc>
        <w:tc>
          <w:tcPr>
            <w:tcW w:w="1000" w:type="dxa"/>
            <w:tcBorders>
              <w:top w:val="nil"/>
              <w:left w:val="nil"/>
              <w:bottom w:val="single" w:sz="4" w:space="0" w:color="auto"/>
              <w:right w:val="single" w:sz="4" w:space="0" w:color="auto"/>
            </w:tcBorders>
            <w:noWrap/>
            <w:vAlign w:val="bottom"/>
          </w:tcPr>
          <w:p w:rsidR="00EB2B18" w:rsidRDefault="00EB2B18" w:rsidP="005C179C">
            <w:pPr>
              <w:spacing w:line="360" w:lineRule="auto"/>
              <w:jc w:val="both"/>
              <w:rPr>
                <w:rFonts w:asciiTheme="majorBidi" w:hAnsiTheme="majorBidi" w:cstheme="majorBidi"/>
                <w:sz w:val="18"/>
                <w:szCs w:val="18"/>
              </w:rPr>
            </w:pPr>
          </w:p>
        </w:tc>
        <w:tc>
          <w:tcPr>
            <w:tcW w:w="960" w:type="dxa"/>
            <w:tcBorders>
              <w:top w:val="nil"/>
              <w:left w:val="nil"/>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0.329</w:t>
            </w:r>
          </w:p>
        </w:tc>
        <w:tc>
          <w:tcPr>
            <w:tcW w:w="1095" w:type="dxa"/>
            <w:tcBorders>
              <w:top w:val="nil"/>
              <w:left w:val="nil"/>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-0.079</w:t>
            </w:r>
          </w:p>
        </w:tc>
        <w:tc>
          <w:tcPr>
            <w:tcW w:w="960" w:type="dxa"/>
            <w:tcBorders>
              <w:top w:val="nil"/>
              <w:left w:val="nil"/>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-0.146</w:t>
            </w:r>
          </w:p>
        </w:tc>
        <w:tc>
          <w:tcPr>
            <w:tcW w:w="960" w:type="dxa"/>
            <w:tcBorders>
              <w:top w:val="nil"/>
              <w:left w:val="nil"/>
              <w:bottom w:val="single" w:sz="4" w:space="0" w:color="auto"/>
              <w:right w:val="single" w:sz="8"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0.212</w:t>
            </w:r>
          </w:p>
        </w:tc>
      </w:tr>
      <w:tr w:rsidR="0088646F" w:rsidRPr="00CD464C">
        <w:trPr>
          <w:trHeight w:val="255"/>
        </w:trPr>
        <w:tc>
          <w:tcPr>
            <w:tcW w:w="1194" w:type="dxa"/>
            <w:tcBorders>
              <w:top w:val="nil"/>
              <w:left w:val="single" w:sz="8" w:space="0" w:color="auto"/>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R20034</w:t>
            </w:r>
          </w:p>
        </w:tc>
        <w:tc>
          <w:tcPr>
            <w:tcW w:w="1759" w:type="dxa"/>
            <w:tcBorders>
              <w:top w:val="nil"/>
              <w:left w:val="nil"/>
              <w:bottom w:val="single" w:sz="4" w:space="0" w:color="auto"/>
              <w:right w:val="single" w:sz="4" w:space="0" w:color="auto"/>
            </w:tcBorders>
            <w:noWrap/>
            <w:vAlign w:val="bottom"/>
          </w:tcPr>
          <w:p w:rsidR="00EB2B18" w:rsidRDefault="00EB2B18" w:rsidP="005C179C">
            <w:pPr>
              <w:spacing w:line="360" w:lineRule="auto"/>
              <w:jc w:val="both"/>
              <w:rPr>
                <w:rFonts w:asciiTheme="majorBidi" w:hAnsiTheme="majorBidi" w:cstheme="majorBidi"/>
                <w:sz w:val="18"/>
                <w:szCs w:val="18"/>
              </w:rPr>
            </w:pPr>
          </w:p>
        </w:tc>
        <w:tc>
          <w:tcPr>
            <w:tcW w:w="1205" w:type="dxa"/>
            <w:tcBorders>
              <w:top w:val="nil"/>
              <w:left w:val="nil"/>
              <w:bottom w:val="single" w:sz="4" w:space="0" w:color="auto"/>
              <w:right w:val="single" w:sz="4" w:space="0" w:color="auto"/>
            </w:tcBorders>
            <w:noWrap/>
            <w:vAlign w:val="bottom"/>
          </w:tcPr>
          <w:p w:rsidR="00EB2B18" w:rsidRDefault="00EB2B18" w:rsidP="005C179C">
            <w:pPr>
              <w:spacing w:line="360" w:lineRule="auto"/>
              <w:jc w:val="both"/>
              <w:rPr>
                <w:rFonts w:asciiTheme="majorBidi" w:hAnsiTheme="majorBidi" w:cstheme="majorBidi"/>
                <w:sz w:val="18"/>
                <w:szCs w:val="18"/>
              </w:rPr>
            </w:pPr>
          </w:p>
        </w:tc>
        <w:tc>
          <w:tcPr>
            <w:tcW w:w="1000" w:type="dxa"/>
            <w:tcBorders>
              <w:top w:val="nil"/>
              <w:left w:val="nil"/>
              <w:bottom w:val="single" w:sz="4" w:space="0" w:color="auto"/>
              <w:right w:val="single" w:sz="4" w:space="0" w:color="auto"/>
            </w:tcBorders>
            <w:noWrap/>
            <w:vAlign w:val="bottom"/>
          </w:tcPr>
          <w:p w:rsidR="00EB2B18" w:rsidRDefault="00EB2B18" w:rsidP="005C179C">
            <w:pPr>
              <w:spacing w:line="360" w:lineRule="auto"/>
              <w:jc w:val="both"/>
              <w:rPr>
                <w:rFonts w:asciiTheme="majorBidi" w:hAnsiTheme="majorBidi" w:cstheme="majorBidi"/>
                <w:sz w:val="18"/>
                <w:szCs w:val="18"/>
              </w:rPr>
            </w:pPr>
          </w:p>
        </w:tc>
        <w:tc>
          <w:tcPr>
            <w:tcW w:w="960" w:type="dxa"/>
            <w:tcBorders>
              <w:top w:val="nil"/>
              <w:left w:val="nil"/>
              <w:bottom w:val="single" w:sz="4" w:space="0" w:color="auto"/>
              <w:right w:val="single" w:sz="4" w:space="0" w:color="auto"/>
            </w:tcBorders>
            <w:noWrap/>
            <w:vAlign w:val="bottom"/>
          </w:tcPr>
          <w:p w:rsidR="00EB2B18" w:rsidRDefault="00EB2B18" w:rsidP="005C179C">
            <w:pPr>
              <w:spacing w:line="360" w:lineRule="auto"/>
              <w:jc w:val="both"/>
              <w:rPr>
                <w:rFonts w:asciiTheme="majorBidi" w:hAnsiTheme="majorBidi" w:cstheme="majorBidi"/>
                <w:sz w:val="18"/>
                <w:szCs w:val="18"/>
              </w:rPr>
            </w:pPr>
          </w:p>
        </w:tc>
        <w:tc>
          <w:tcPr>
            <w:tcW w:w="1095" w:type="dxa"/>
            <w:tcBorders>
              <w:top w:val="nil"/>
              <w:left w:val="nil"/>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-0.104</w:t>
            </w:r>
          </w:p>
        </w:tc>
        <w:tc>
          <w:tcPr>
            <w:tcW w:w="960" w:type="dxa"/>
            <w:tcBorders>
              <w:top w:val="nil"/>
              <w:left w:val="nil"/>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0.021</w:t>
            </w:r>
          </w:p>
        </w:tc>
        <w:tc>
          <w:tcPr>
            <w:tcW w:w="960" w:type="dxa"/>
            <w:tcBorders>
              <w:top w:val="nil"/>
              <w:left w:val="nil"/>
              <w:bottom w:val="single" w:sz="4" w:space="0" w:color="auto"/>
              <w:right w:val="single" w:sz="8"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0.592</w:t>
            </w:r>
          </w:p>
        </w:tc>
      </w:tr>
      <w:tr w:rsidR="0088646F" w:rsidRPr="00CD464C">
        <w:trPr>
          <w:trHeight w:val="255"/>
        </w:trPr>
        <w:tc>
          <w:tcPr>
            <w:tcW w:w="1194" w:type="dxa"/>
            <w:tcBorders>
              <w:top w:val="nil"/>
              <w:left w:val="single" w:sz="8" w:space="0" w:color="auto"/>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RAR2004</w:t>
            </w:r>
          </w:p>
        </w:tc>
        <w:tc>
          <w:tcPr>
            <w:tcW w:w="1759" w:type="dxa"/>
            <w:tcBorders>
              <w:top w:val="nil"/>
              <w:left w:val="nil"/>
              <w:bottom w:val="single" w:sz="4" w:space="0" w:color="auto"/>
              <w:right w:val="single" w:sz="4" w:space="0" w:color="auto"/>
            </w:tcBorders>
            <w:noWrap/>
            <w:vAlign w:val="bottom"/>
          </w:tcPr>
          <w:p w:rsidR="00EB2B18" w:rsidRDefault="00EB2B18" w:rsidP="005C179C">
            <w:pPr>
              <w:spacing w:line="360" w:lineRule="auto"/>
              <w:jc w:val="both"/>
              <w:rPr>
                <w:rFonts w:asciiTheme="majorBidi" w:hAnsiTheme="majorBidi" w:cstheme="majorBidi"/>
                <w:sz w:val="18"/>
                <w:szCs w:val="18"/>
              </w:rPr>
            </w:pPr>
          </w:p>
        </w:tc>
        <w:tc>
          <w:tcPr>
            <w:tcW w:w="1205" w:type="dxa"/>
            <w:tcBorders>
              <w:top w:val="nil"/>
              <w:left w:val="nil"/>
              <w:bottom w:val="single" w:sz="4" w:space="0" w:color="auto"/>
              <w:right w:val="single" w:sz="4" w:space="0" w:color="auto"/>
            </w:tcBorders>
            <w:noWrap/>
            <w:vAlign w:val="bottom"/>
          </w:tcPr>
          <w:p w:rsidR="00EB2B18" w:rsidRDefault="00EB2B18" w:rsidP="005C179C">
            <w:pPr>
              <w:spacing w:line="360" w:lineRule="auto"/>
              <w:jc w:val="both"/>
              <w:rPr>
                <w:rFonts w:asciiTheme="majorBidi" w:hAnsiTheme="majorBidi" w:cstheme="majorBidi"/>
                <w:sz w:val="18"/>
                <w:szCs w:val="18"/>
              </w:rPr>
            </w:pPr>
          </w:p>
        </w:tc>
        <w:tc>
          <w:tcPr>
            <w:tcW w:w="1000" w:type="dxa"/>
            <w:tcBorders>
              <w:top w:val="nil"/>
              <w:left w:val="nil"/>
              <w:bottom w:val="single" w:sz="4" w:space="0" w:color="auto"/>
              <w:right w:val="single" w:sz="4" w:space="0" w:color="auto"/>
            </w:tcBorders>
            <w:noWrap/>
            <w:vAlign w:val="bottom"/>
          </w:tcPr>
          <w:p w:rsidR="00EB2B18" w:rsidRDefault="00EB2B18" w:rsidP="005C179C">
            <w:pPr>
              <w:spacing w:line="360" w:lineRule="auto"/>
              <w:jc w:val="both"/>
              <w:rPr>
                <w:rFonts w:asciiTheme="majorBidi" w:hAnsiTheme="majorBidi" w:cstheme="majorBidi"/>
                <w:sz w:val="18"/>
                <w:szCs w:val="18"/>
              </w:rPr>
            </w:pPr>
          </w:p>
        </w:tc>
        <w:tc>
          <w:tcPr>
            <w:tcW w:w="960" w:type="dxa"/>
            <w:tcBorders>
              <w:top w:val="nil"/>
              <w:left w:val="nil"/>
              <w:bottom w:val="single" w:sz="4" w:space="0" w:color="auto"/>
              <w:right w:val="single" w:sz="4" w:space="0" w:color="auto"/>
            </w:tcBorders>
            <w:noWrap/>
            <w:vAlign w:val="bottom"/>
          </w:tcPr>
          <w:p w:rsidR="00EB2B18" w:rsidRDefault="00EB2B18" w:rsidP="005C179C">
            <w:pPr>
              <w:spacing w:line="360" w:lineRule="auto"/>
              <w:jc w:val="both"/>
              <w:rPr>
                <w:rFonts w:asciiTheme="majorBidi" w:hAnsiTheme="majorBidi" w:cstheme="majorBidi"/>
                <w:sz w:val="18"/>
                <w:szCs w:val="18"/>
              </w:rPr>
            </w:pPr>
          </w:p>
        </w:tc>
        <w:tc>
          <w:tcPr>
            <w:tcW w:w="1095" w:type="dxa"/>
            <w:tcBorders>
              <w:top w:val="nil"/>
              <w:left w:val="nil"/>
              <w:bottom w:val="single" w:sz="4" w:space="0" w:color="auto"/>
              <w:right w:val="single" w:sz="4" w:space="0" w:color="auto"/>
            </w:tcBorders>
            <w:noWrap/>
            <w:vAlign w:val="bottom"/>
          </w:tcPr>
          <w:p w:rsidR="00EB2B18" w:rsidRDefault="00EB2B18" w:rsidP="005C179C">
            <w:pPr>
              <w:spacing w:line="360" w:lineRule="auto"/>
              <w:jc w:val="both"/>
              <w:rPr>
                <w:rFonts w:asciiTheme="majorBidi" w:hAnsiTheme="majorBidi" w:cstheme="majorBidi"/>
                <w:sz w:val="18"/>
                <w:szCs w:val="18"/>
              </w:rPr>
            </w:pPr>
          </w:p>
        </w:tc>
        <w:tc>
          <w:tcPr>
            <w:tcW w:w="960" w:type="dxa"/>
            <w:tcBorders>
              <w:top w:val="nil"/>
              <w:left w:val="nil"/>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-0.037</w:t>
            </w:r>
          </w:p>
        </w:tc>
        <w:tc>
          <w:tcPr>
            <w:tcW w:w="960" w:type="dxa"/>
            <w:tcBorders>
              <w:top w:val="nil"/>
              <w:left w:val="nil"/>
              <w:bottom w:val="single" w:sz="4" w:space="0" w:color="auto"/>
              <w:right w:val="single" w:sz="8"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-0.101</w:t>
            </w:r>
          </w:p>
        </w:tc>
      </w:tr>
      <w:tr w:rsidR="0088646F" w:rsidRPr="00CD464C">
        <w:trPr>
          <w:trHeight w:val="255"/>
        </w:trPr>
        <w:tc>
          <w:tcPr>
            <w:tcW w:w="1194" w:type="dxa"/>
            <w:tcBorders>
              <w:top w:val="nil"/>
              <w:left w:val="single" w:sz="8" w:space="0" w:color="auto"/>
              <w:bottom w:val="single" w:sz="4" w:space="0" w:color="auto"/>
              <w:right w:val="single" w:sz="4"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SIZE</w:t>
            </w:r>
          </w:p>
        </w:tc>
        <w:tc>
          <w:tcPr>
            <w:tcW w:w="1759" w:type="dxa"/>
            <w:tcBorders>
              <w:top w:val="nil"/>
              <w:left w:val="nil"/>
              <w:bottom w:val="single" w:sz="4" w:space="0" w:color="auto"/>
              <w:right w:val="single" w:sz="4" w:space="0" w:color="auto"/>
            </w:tcBorders>
            <w:noWrap/>
            <w:vAlign w:val="bottom"/>
          </w:tcPr>
          <w:p w:rsidR="00EB2B18" w:rsidRDefault="00EB2B18" w:rsidP="005C179C">
            <w:pPr>
              <w:spacing w:line="360" w:lineRule="auto"/>
              <w:jc w:val="both"/>
              <w:rPr>
                <w:rFonts w:asciiTheme="majorBidi" w:hAnsiTheme="majorBidi" w:cstheme="majorBidi"/>
                <w:sz w:val="18"/>
                <w:szCs w:val="18"/>
              </w:rPr>
            </w:pPr>
          </w:p>
        </w:tc>
        <w:tc>
          <w:tcPr>
            <w:tcW w:w="1205" w:type="dxa"/>
            <w:tcBorders>
              <w:top w:val="nil"/>
              <w:left w:val="nil"/>
              <w:bottom w:val="single" w:sz="4" w:space="0" w:color="auto"/>
              <w:right w:val="single" w:sz="4" w:space="0" w:color="auto"/>
            </w:tcBorders>
            <w:noWrap/>
            <w:vAlign w:val="bottom"/>
          </w:tcPr>
          <w:p w:rsidR="00EB2B18" w:rsidRDefault="00EB2B18" w:rsidP="005C179C">
            <w:pPr>
              <w:spacing w:line="360" w:lineRule="auto"/>
              <w:jc w:val="both"/>
              <w:rPr>
                <w:rFonts w:asciiTheme="majorBidi" w:hAnsiTheme="majorBidi" w:cstheme="majorBidi"/>
                <w:sz w:val="18"/>
                <w:szCs w:val="18"/>
              </w:rPr>
            </w:pPr>
          </w:p>
        </w:tc>
        <w:tc>
          <w:tcPr>
            <w:tcW w:w="1000" w:type="dxa"/>
            <w:tcBorders>
              <w:top w:val="nil"/>
              <w:left w:val="nil"/>
              <w:bottom w:val="single" w:sz="4" w:space="0" w:color="auto"/>
              <w:right w:val="single" w:sz="4" w:space="0" w:color="auto"/>
            </w:tcBorders>
            <w:noWrap/>
            <w:vAlign w:val="bottom"/>
          </w:tcPr>
          <w:p w:rsidR="00EB2B18" w:rsidRDefault="00EB2B18" w:rsidP="005C179C">
            <w:pPr>
              <w:spacing w:line="360" w:lineRule="auto"/>
              <w:jc w:val="both"/>
              <w:rPr>
                <w:rFonts w:asciiTheme="majorBidi" w:hAnsiTheme="majorBidi" w:cstheme="majorBidi"/>
                <w:sz w:val="18"/>
                <w:szCs w:val="18"/>
              </w:rPr>
            </w:pPr>
          </w:p>
        </w:tc>
        <w:tc>
          <w:tcPr>
            <w:tcW w:w="960" w:type="dxa"/>
            <w:tcBorders>
              <w:top w:val="nil"/>
              <w:left w:val="nil"/>
              <w:bottom w:val="single" w:sz="4" w:space="0" w:color="auto"/>
              <w:right w:val="single" w:sz="4" w:space="0" w:color="auto"/>
            </w:tcBorders>
            <w:noWrap/>
            <w:vAlign w:val="bottom"/>
          </w:tcPr>
          <w:p w:rsidR="00EB2B18" w:rsidRDefault="00EB2B18" w:rsidP="005C179C">
            <w:pPr>
              <w:spacing w:line="360" w:lineRule="auto"/>
              <w:jc w:val="both"/>
              <w:rPr>
                <w:rFonts w:asciiTheme="majorBidi" w:hAnsiTheme="majorBidi" w:cstheme="majorBidi"/>
                <w:sz w:val="18"/>
                <w:szCs w:val="18"/>
              </w:rPr>
            </w:pPr>
          </w:p>
        </w:tc>
        <w:tc>
          <w:tcPr>
            <w:tcW w:w="1095" w:type="dxa"/>
            <w:tcBorders>
              <w:top w:val="nil"/>
              <w:left w:val="nil"/>
              <w:bottom w:val="single" w:sz="4" w:space="0" w:color="auto"/>
              <w:right w:val="single" w:sz="4" w:space="0" w:color="auto"/>
            </w:tcBorders>
            <w:noWrap/>
            <w:vAlign w:val="bottom"/>
          </w:tcPr>
          <w:p w:rsidR="00EB2B18" w:rsidRDefault="00EB2B18" w:rsidP="005C179C">
            <w:pPr>
              <w:spacing w:line="360" w:lineRule="auto"/>
              <w:jc w:val="both"/>
              <w:rPr>
                <w:rFonts w:asciiTheme="majorBidi" w:hAnsiTheme="majorBidi" w:cstheme="majorBidi"/>
                <w:sz w:val="18"/>
                <w:szCs w:val="18"/>
              </w:rPr>
            </w:pPr>
          </w:p>
        </w:tc>
        <w:tc>
          <w:tcPr>
            <w:tcW w:w="960" w:type="dxa"/>
            <w:tcBorders>
              <w:top w:val="nil"/>
              <w:left w:val="nil"/>
              <w:bottom w:val="single" w:sz="4" w:space="0" w:color="auto"/>
              <w:right w:val="single" w:sz="4" w:space="0" w:color="auto"/>
            </w:tcBorders>
            <w:noWrap/>
            <w:vAlign w:val="bottom"/>
          </w:tcPr>
          <w:p w:rsidR="00EB2B18" w:rsidRDefault="00EB2B18" w:rsidP="005C179C">
            <w:pPr>
              <w:spacing w:line="360" w:lineRule="auto"/>
              <w:jc w:val="both"/>
              <w:rPr>
                <w:rFonts w:asciiTheme="majorBidi" w:hAnsiTheme="majorBidi" w:cstheme="majorBidi"/>
                <w:sz w:val="18"/>
                <w:szCs w:val="18"/>
              </w:rPr>
            </w:pPr>
          </w:p>
        </w:tc>
        <w:tc>
          <w:tcPr>
            <w:tcW w:w="960" w:type="dxa"/>
            <w:tcBorders>
              <w:top w:val="nil"/>
              <w:left w:val="nil"/>
              <w:bottom w:val="single" w:sz="4" w:space="0" w:color="auto"/>
              <w:right w:val="single" w:sz="8" w:space="0" w:color="auto"/>
            </w:tcBorders>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-0.022</w:t>
            </w:r>
          </w:p>
        </w:tc>
      </w:tr>
    </w:tbl>
    <w:p w:rsidR="00EB2B18" w:rsidRDefault="00EB2B18" w:rsidP="005C179C">
      <w:pPr>
        <w:widowControl/>
        <w:snapToGrid/>
        <w:spacing w:after="0" w:line="360" w:lineRule="auto"/>
        <w:rPr>
          <w:rFonts w:asciiTheme="majorBidi" w:hAnsiTheme="majorBidi" w:cstheme="majorBidi"/>
          <w:sz w:val="20"/>
          <w:szCs w:val="20"/>
        </w:rPr>
      </w:pPr>
    </w:p>
    <w:p w:rsidR="00EB2B18" w:rsidRDefault="0088646F" w:rsidP="005C179C">
      <w:pPr>
        <w:widowControl/>
        <w:snapToGrid/>
        <w:spacing w:after="0" w:line="360" w:lineRule="auto"/>
        <w:rPr>
          <w:rFonts w:asciiTheme="majorBidi" w:hAnsiTheme="majorBidi" w:cstheme="majorBidi"/>
          <w:sz w:val="20"/>
          <w:szCs w:val="20"/>
        </w:rPr>
      </w:pPr>
      <w:r w:rsidRPr="003770E1">
        <w:rPr>
          <w:rFonts w:asciiTheme="majorBidi" w:hAnsiTheme="majorBidi" w:cstheme="majorBidi"/>
          <w:sz w:val="20"/>
          <w:szCs w:val="20"/>
        </w:rPr>
        <w:t xml:space="preserve">Table 5 shows the correlation between the regressors that are described in Table </w:t>
      </w:r>
      <w:r w:rsidR="003770E1" w:rsidRPr="003770E1">
        <w:rPr>
          <w:rFonts w:asciiTheme="majorBidi" w:hAnsiTheme="majorBidi" w:cstheme="majorBidi"/>
          <w:sz w:val="20"/>
          <w:szCs w:val="20"/>
        </w:rPr>
        <w:t>3</w:t>
      </w:r>
      <w:r w:rsidRPr="003770E1">
        <w:rPr>
          <w:rFonts w:asciiTheme="majorBidi" w:hAnsiTheme="majorBidi" w:cstheme="majorBidi"/>
          <w:sz w:val="20"/>
          <w:szCs w:val="20"/>
        </w:rPr>
        <w:t xml:space="preserve">. Note that the correlation between the fund age (FUNDAGE) and the non-tradable assets rate (NTR) </w:t>
      </w:r>
      <w:r w:rsidR="005E54B8" w:rsidRPr="003770E1">
        <w:rPr>
          <w:rFonts w:asciiTheme="majorBidi" w:hAnsiTheme="majorBidi" w:cstheme="majorBidi"/>
          <w:sz w:val="20"/>
          <w:szCs w:val="20"/>
        </w:rPr>
        <w:t>are</w:t>
      </w:r>
      <w:r w:rsidRPr="003770E1">
        <w:rPr>
          <w:rFonts w:asciiTheme="majorBidi" w:hAnsiTheme="majorBidi" w:cstheme="majorBidi"/>
          <w:sz w:val="20"/>
          <w:szCs w:val="20"/>
        </w:rPr>
        <w:t xml:space="preserve"> strictly negative</w:t>
      </w:r>
      <w:r w:rsidRPr="00CD464C">
        <w:rPr>
          <w:rFonts w:asciiTheme="majorBidi" w:hAnsiTheme="majorBidi" w:cstheme="majorBidi"/>
          <w:sz w:val="20"/>
          <w:szCs w:val="20"/>
        </w:rPr>
        <w:t>. Also note the significant positive correlation between the past performance (R20034) and the</w:t>
      </w:r>
      <w:r w:rsidR="003770E1">
        <w:rPr>
          <w:rFonts w:asciiTheme="majorBidi" w:hAnsiTheme="majorBidi" w:cstheme="majorBidi"/>
          <w:sz w:val="20"/>
          <w:szCs w:val="20"/>
        </w:rPr>
        <w:t xml:space="preserve"> </w:t>
      </w:r>
      <w:r w:rsidR="003770E1" w:rsidRPr="003770E1">
        <w:rPr>
          <w:rFonts w:asciiTheme="majorBidi" w:hAnsiTheme="majorBidi" w:cstheme="majorBidi"/>
          <w:i/>
          <w:iCs/>
          <w:sz w:val="20"/>
          <w:szCs w:val="20"/>
        </w:rPr>
        <w:t>Th</w:t>
      </w:r>
      <w:r w:rsidRPr="003770E1">
        <w:rPr>
          <w:rFonts w:asciiTheme="majorBidi" w:hAnsiTheme="majorBidi" w:cstheme="majorBidi"/>
          <w:i/>
          <w:iCs/>
          <w:sz w:val="20"/>
          <w:szCs w:val="20"/>
        </w:rPr>
        <w:t>eoretic risk level</w:t>
      </w:r>
      <w:r w:rsidRPr="00CD464C">
        <w:rPr>
          <w:rFonts w:asciiTheme="majorBidi" w:hAnsiTheme="majorBidi" w:cstheme="majorBidi"/>
          <w:sz w:val="20"/>
          <w:szCs w:val="20"/>
        </w:rPr>
        <w:t xml:space="preserve"> (TRL).</w:t>
      </w:r>
    </w:p>
    <w:p w:rsidR="00EB2B18" w:rsidRDefault="00EB2B18" w:rsidP="005C179C">
      <w:pPr>
        <w:widowControl/>
        <w:snapToGrid/>
        <w:spacing w:after="0" w:line="360" w:lineRule="auto"/>
        <w:rPr>
          <w:rFonts w:asciiTheme="majorBidi" w:hAnsiTheme="majorBidi" w:cstheme="majorBidi"/>
          <w:sz w:val="20"/>
          <w:szCs w:val="20"/>
        </w:rPr>
      </w:pPr>
    </w:p>
    <w:p w:rsidR="00EB2B18" w:rsidRDefault="0088646F" w:rsidP="005C179C">
      <w:pPr>
        <w:widowControl/>
        <w:snapToGrid/>
        <w:spacing w:after="0" w:line="360" w:lineRule="auto"/>
        <w:rPr>
          <w:rFonts w:asciiTheme="majorBidi" w:hAnsiTheme="majorBidi" w:cstheme="majorBidi"/>
          <w:b/>
          <w:bCs/>
          <w:sz w:val="22"/>
          <w:szCs w:val="22"/>
        </w:rPr>
      </w:pPr>
      <w:r w:rsidRPr="00CD464C">
        <w:rPr>
          <w:rFonts w:asciiTheme="majorBidi" w:hAnsiTheme="majorBidi" w:cstheme="majorBidi"/>
          <w:b/>
          <w:bCs/>
          <w:szCs w:val="22"/>
          <w:lang w:eastAsia="he-IL"/>
        </w:rPr>
        <w:t xml:space="preserve">Table </w:t>
      </w:r>
      <w:r w:rsidRPr="00CD464C">
        <w:rPr>
          <w:rFonts w:asciiTheme="majorBidi" w:hAnsiTheme="majorBidi" w:cstheme="majorBidi"/>
          <w:b/>
          <w:bCs/>
          <w:sz w:val="22"/>
          <w:szCs w:val="22"/>
        </w:rPr>
        <w:t>6</w:t>
      </w:r>
    </w:p>
    <w:p w:rsidR="00EB2B18" w:rsidRDefault="00EB2B18" w:rsidP="005C179C">
      <w:pPr>
        <w:widowControl/>
        <w:snapToGrid/>
        <w:spacing w:after="0" w:line="360" w:lineRule="auto"/>
        <w:rPr>
          <w:rFonts w:asciiTheme="majorBidi" w:hAnsiTheme="majorBidi" w:cstheme="maj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943"/>
        <w:gridCol w:w="1080"/>
        <w:gridCol w:w="1080"/>
        <w:gridCol w:w="1080"/>
      </w:tblGrid>
      <w:tr w:rsidR="0088646F" w:rsidRPr="00CD464C">
        <w:trPr>
          <w:gridAfter w:val="2"/>
          <w:wAfter w:w="2160" w:type="dxa"/>
          <w:tblHeader/>
        </w:trPr>
        <w:tc>
          <w:tcPr>
            <w:tcW w:w="1865" w:type="dxa"/>
          </w:tcPr>
          <w:p w:rsidR="00EB2B18" w:rsidRDefault="0088646F" w:rsidP="005C179C">
            <w:pPr>
              <w:spacing w:line="360" w:lineRule="auto"/>
              <w:jc w:val="both"/>
              <w:rPr>
                <w:rFonts w:asciiTheme="majorBidi" w:hAnsiTheme="majorBidi" w:cstheme="majorBidi"/>
                <w:b/>
                <w:bCs/>
                <w:sz w:val="22"/>
                <w:szCs w:val="22"/>
              </w:rPr>
            </w:pPr>
            <w:r w:rsidRPr="00CD464C">
              <w:rPr>
                <w:rFonts w:asciiTheme="majorBidi" w:hAnsiTheme="majorBidi" w:cstheme="majorBidi"/>
                <w:b/>
                <w:bCs/>
                <w:sz w:val="22"/>
                <w:szCs w:val="22"/>
              </w:rPr>
              <w:t>z-test</w:t>
            </w:r>
          </w:p>
        </w:tc>
        <w:tc>
          <w:tcPr>
            <w:tcW w:w="943" w:type="dxa"/>
          </w:tcPr>
          <w:p w:rsidR="00EB2B18" w:rsidRDefault="0088646F" w:rsidP="005C179C">
            <w:pPr>
              <w:spacing w:line="360" w:lineRule="auto"/>
              <w:jc w:val="both"/>
              <w:rPr>
                <w:rFonts w:asciiTheme="majorBidi" w:hAnsiTheme="majorBidi" w:cstheme="majorBidi"/>
                <w:b/>
                <w:bCs/>
                <w:sz w:val="22"/>
                <w:szCs w:val="22"/>
              </w:rPr>
            </w:pPr>
            <w:r w:rsidRPr="00CD464C">
              <w:rPr>
                <w:rFonts w:asciiTheme="majorBidi" w:hAnsiTheme="majorBidi" w:cstheme="majorBidi"/>
                <w:b/>
                <w:bCs/>
                <w:sz w:val="22"/>
                <w:szCs w:val="22"/>
              </w:rPr>
              <w:t>I1</w:t>
            </w:r>
          </w:p>
        </w:tc>
        <w:tc>
          <w:tcPr>
            <w:tcW w:w="1080" w:type="dxa"/>
          </w:tcPr>
          <w:p w:rsidR="00EB2B18" w:rsidRDefault="0088646F" w:rsidP="005C179C">
            <w:pPr>
              <w:spacing w:line="360" w:lineRule="auto"/>
              <w:jc w:val="both"/>
              <w:rPr>
                <w:rFonts w:asciiTheme="majorBidi" w:hAnsiTheme="majorBidi" w:cstheme="majorBidi"/>
                <w:b/>
                <w:bCs/>
                <w:sz w:val="22"/>
                <w:szCs w:val="22"/>
              </w:rPr>
            </w:pPr>
            <w:r w:rsidRPr="00CD464C">
              <w:rPr>
                <w:rFonts w:asciiTheme="majorBidi" w:hAnsiTheme="majorBidi" w:cstheme="majorBidi"/>
                <w:b/>
                <w:bCs/>
                <w:sz w:val="22"/>
                <w:szCs w:val="22"/>
              </w:rPr>
              <w:t>I2</w:t>
            </w:r>
          </w:p>
        </w:tc>
      </w:tr>
      <w:tr w:rsidR="0088646F" w:rsidRPr="00CD464C">
        <w:trPr>
          <w:gridAfter w:val="2"/>
          <w:wAfter w:w="2160" w:type="dxa"/>
        </w:trPr>
        <w:tc>
          <w:tcPr>
            <w:tcW w:w="1865" w:type="dxa"/>
          </w:tcPr>
          <w:p w:rsidR="00EB2B18" w:rsidRDefault="0088646F" w:rsidP="005C179C">
            <w:pPr>
              <w:spacing w:line="360" w:lineRule="auto"/>
              <w:jc w:val="both"/>
              <w:rPr>
                <w:rFonts w:asciiTheme="majorBidi" w:hAnsiTheme="majorBidi" w:cstheme="majorBidi"/>
                <w:sz w:val="22"/>
                <w:szCs w:val="22"/>
              </w:rPr>
            </w:pPr>
            <w:r w:rsidRPr="00CD464C">
              <w:rPr>
                <w:rFonts w:asciiTheme="majorBidi" w:hAnsiTheme="majorBidi" w:cstheme="majorBidi"/>
                <w:sz w:val="22"/>
                <w:szCs w:val="22"/>
              </w:rPr>
              <w:t>Banks (all)</w:t>
            </w:r>
          </w:p>
        </w:tc>
        <w:tc>
          <w:tcPr>
            <w:tcW w:w="943" w:type="dxa"/>
            <w:shd w:val="clear" w:color="auto" w:fill="E6E6E6"/>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1.85*</w:t>
            </w:r>
          </w:p>
        </w:tc>
        <w:tc>
          <w:tcPr>
            <w:tcW w:w="1080"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24.07***</w:t>
            </w:r>
          </w:p>
        </w:tc>
      </w:tr>
      <w:tr w:rsidR="0088646F" w:rsidRPr="00CD464C">
        <w:trPr>
          <w:gridAfter w:val="2"/>
          <w:wAfter w:w="2160" w:type="dxa"/>
        </w:trPr>
        <w:tc>
          <w:tcPr>
            <w:tcW w:w="1865" w:type="dxa"/>
          </w:tcPr>
          <w:p w:rsidR="00EB2B18" w:rsidRDefault="0088646F" w:rsidP="005C179C">
            <w:pPr>
              <w:spacing w:line="360" w:lineRule="auto"/>
              <w:jc w:val="both"/>
              <w:rPr>
                <w:rFonts w:asciiTheme="majorBidi" w:hAnsiTheme="majorBidi" w:cstheme="majorBidi"/>
                <w:sz w:val="22"/>
                <w:szCs w:val="22"/>
              </w:rPr>
            </w:pPr>
            <w:r w:rsidRPr="00CD464C">
              <w:rPr>
                <w:rFonts w:asciiTheme="majorBidi" w:hAnsiTheme="majorBidi" w:cstheme="majorBidi"/>
                <w:sz w:val="22"/>
                <w:szCs w:val="22"/>
              </w:rPr>
              <w:t>Private (all)</w:t>
            </w:r>
          </w:p>
        </w:tc>
        <w:tc>
          <w:tcPr>
            <w:tcW w:w="943" w:type="dxa"/>
            <w:shd w:val="clear" w:color="auto" w:fill="E6E6E6"/>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2.40**</w:t>
            </w:r>
          </w:p>
        </w:tc>
        <w:tc>
          <w:tcPr>
            <w:tcW w:w="1080"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19.71***</w:t>
            </w:r>
          </w:p>
        </w:tc>
      </w:tr>
      <w:tr w:rsidR="0088646F" w:rsidRPr="00CD464C">
        <w:trPr>
          <w:gridAfter w:val="2"/>
          <w:wAfter w:w="2160" w:type="dxa"/>
        </w:trPr>
        <w:tc>
          <w:tcPr>
            <w:tcW w:w="1865" w:type="dxa"/>
          </w:tcPr>
          <w:p w:rsidR="00EB2B18" w:rsidRDefault="0088646F" w:rsidP="005C179C">
            <w:pPr>
              <w:spacing w:line="360" w:lineRule="auto"/>
              <w:jc w:val="both"/>
              <w:rPr>
                <w:rFonts w:asciiTheme="majorBidi" w:hAnsiTheme="majorBidi" w:cstheme="majorBidi"/>
                <w:sz w:val="22"/>
                <w:szCs w:val="22"/>
              </w:rPr>
            </w:pPr>
            <w:r w:rsidRPr="00CD464C">
              <w:rPr>
                <w:rFonts w:asciiTheme="majorBidi" w:hAnsiTheme="majorBidi" w:cstheme="majorBidi"/>
                <w:sz w:val="22"/>
                <w:szCs w:val="22"/>
              </w:rPr>
              <w:t xml:space="preserve">Banks (large) </w:t>
            </w:r>
          </w:p>
        </w:tc>
        <w:tc>
          <w:tcPr>
            <w:tcW w:w="943" w:type="dxa"/>
            <w:shd w:val="clear" w:color="auto" w:fill="E6E6E6"/>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2.55**</w:t>
            </w:r>
          </w:p>
        </w:tc>
        <w:tc>
          <w:tcPr>
            <w:tcW w:w="1080"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23.10***</w:t>
            </w:r>
          </w:p>
        </w:tc>
      </w:tr>
      <w:tr w:rsidR="0088646F" w:rsidRPr="00CD464C">
        <w:trPr>
          <w:gridAfter w:val="2"/>
          <w:wAfter w:w="2160" w:type="dxa"/>
        </w:trPr>
        <w:tc>
          <w:tcPr>
            <w:tcW w:w="1865" w:type="dxa"/>
          </w:tcPr>
          <w:p w:rsidR="00EB2B18" w:rsidRDefault="0088646F" w:rsidP="005C179C">
            <w:pPr>
              <w:spacing w:line="360" w:lineRule="auto"/>
              <w:jc w:val="both"/>
              <w:rPr>
                <w:rFonts w:asciiTheme="majorBidi" w:hAnsiTheme="majorBidi" w:cstheme="majorBidi"/>
                <w:sz w:val="22"/>
                <w:szCs w:val="22"/>
              </w:rPr>
            </w:pPr>
            <w:r w:rsidRPr="00CD464C">
              <w:rPr>
                <w:rFonts w:asciiTheme="majorBidi" w:hAnsiTheme="majorBidi" w:cstheme="majorBidi"/>
                <w:sz w:val="22"/>
                <w:szCs w:val="22"/>
              </w:rPr>
              <w:t>Banks (other)</w:t>
            </w:r>
          </w:p>
        </w:tc>
        <w:tc>
          <w:tcPr>
            <w:tcW w:w="943" w:type="dxa"/>
            <w:shd w:val="clear" w:color="auto" w:fill="E6E6E6"/>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1.60</w:t>
            </w:r>
          </w:p>
        </w:tc>
        <w:tc>
          <w:tcPr>
            <w:tcW w:w="1080"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17.53***</w:t>
            </w:r>
          </w:p>
        </w:tc>
      </w:tr>
      <w:tr w:rsidR="0088646F" w:rsidRPr="00CD464C">
        <w:trPr>
          <w:gridAfter w:val="2"/>
          <w:wAfter w:w="2160" w:type="dxa"/>
        </w:trPr>
        <w:tc>
          <w:tcPr>
            <w:tcW w:w="1865" w:type="dxa"/>
          </w:tcPr>
          <w:p w:rsidR="00EB2B18" w:rsidRDefault="0088646F" w:rsidP="005C179C">
            <w:pPr>
              <w:spacing w:line="360" w:lineRule="auto"/>
              <w:jc w:val="both"/>
              <w:rPr>
                <w:rFonts w:asciiTheme="majorBidi" w:hAnsiTheme="majorBidi" w:cstheme="majorBidi"/>
                <w:sz w:val="22"/>
                <w:szCs w:val="22"/>
              </w:rPr>
            </w:pPr>
            <w:r w:rsidRPr="00CD464C">
              <w:rPr>
                <w:rFonts w:asciiTheme="majorBidi" w:hAnsiTheme="majorBidi" w:cstheme="majorBidi"/>
                <w:sz w:val="22"/>
                <w:szCs w:val="22"/>
              </w:rPr>
              <w:t>Private (large)</w:t>
            </w:r>
          </w:p>
        </w:tc>
        <w:tc>
          <w:tcPr>
            <w:tcW w:w="943" w:type="dxa"/>
            <w:shd w:val="clear" w:color="auto" w:fill="E6E6E6"/>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2.32**</w:t>
            </w:r>
          </w:p>
        </w:tc>
        <w:tc>
          <w:tcPr>
            <w:tcW w:w="1080"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15.34***</w:t>
            </w:r>
          </w:p>
        </w:tc>
      </w:tr>
      <w:tr w:rsidR="0088646F" w:rsidRPr="00CD464C">
        <w:trPr>
          <w:gridAfter w:val="2"/>
          <w:wAfter w:w="2160" w:type="dxa"/>
        </w:trPr>
        <w:tc>
          <w:tcPr>
            <w:tcW w:w="1865" w:type="dxa"/>
          </w:tcPr>
          <w:p w:rsidR="00EB2B18" w:rsidRDefault="0088646F" w:rsidP="005C179C">
            <w:pPr>
              <w:spacing w:line="360" w:lineRule="auto"/>
              <w:jc w:val="both"/>
              <w:rPr>
                <w:rFonts w:asciiTheme="majorBidi" w:hAnsiTheme="majorBidi" w:cstheme="majorBidi"/>
                <w:sz w:val="22"/>
                <w:szCs w:val="22"/>
              </w:rPr>
            </w:pPr>
            <w:r w:rsidRPr="00CD464C">
              <w:rPr>
                <w:rFonts w:asciiTheme="majorBidi" w:hAnsiTheme="majorBidi" w:cstheme="majorBidi"/>
                <w:sz w:val="22"/>
                <w:szCs w:val="22"/>
              </w:rPr>
              <w:t>Private (other)</w:t>
            </w:r>
          </w:p>
        </w:tc>
        <w:tc>
          <w:tcPr>
            <w:tcW w:w="943" w:type="dxa"/>
            <w:shd w:val="clear" w:color="auto" w:fill="E6E6E6"/>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3.12**</w:t>
            </w:r>
          </w:p>
        </w:tc>
        <w:tc>
          <w:tcPr>
            <w:tcW w:w="1080"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26.45***</w:t>
            </w:r>
          </w:p>
        </w:tc>
      </w:tr>
      <w:tr w:rsidR="0088646F" w:rsidRPr="00CD464C">
        <w:trPr>
          <w:gridAfter w:val="2"/>
          <w:wAfter w:w="2160" w:type="dxa"/>
        </w:trPr>
        <w:tc>
          <w:tcPr>
            <w:tcW w:w="1865" w:type="dxa"/>
          </w:tcPr>
          <w:p w:rsidR="00EB2B18" w:rsidRDefault="0088646F" w:rsidP="005C179C">
            <w:pPr>
              <w:spacing w:line="360" w:lineRule="auto"/>
              <w:jc w:val="both"/>
              <w:rPr>
                <w:rFonts w:asciiTheme="majorBidi" w:hAnsiTheme="majorBidi" w:cstheme="majorBidi"/>
                <w:sz w:val="22"/>
                <w:szCs w:val="22"/>
              </w:rPr>
            </w:pPr>
            <w:r w:rsidRPr="00CD464C">
              <w:rPr>
                <w:rFonts w:asciiTheme="majorBidi" w:hAnsiTheme="majorBidi" w:cstheme="majorBidi"/>
                <w:sz w:val="22"/>
                <w:szCs w:val="22"/>
              </w:rPr>
              <w:t>Insurance</w:t>
            </w:r>
          </w:p>
        </w:tc>
        <w:tc>
          <w:tcPr>
            <w:tcW w:w="943" w:type="dxa"/>
            <w:shd w:val="clear" w:color="auto" w:fill="E6E6E6"/>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2.01*</w:t>
            </w:r>
          </w:p>
        </w:tc>
        <w:tc>
          <w:tcPr>
            <w:tcW w:w="1080"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7.55***</w:t>
            </w:r>
          </w:p>
        </w:tc>
      </w:tr>
      <w:tr w:rsidR="0088646F" w:rsidRPr="00CD464C">
        <w:tc>
          <w:tcPr>
            <w:tcW w:w="1865" w:type="dxa"/>
          </w:tcPr>
          <w:p w:rsidR="00EB2B18" w:rsidRDefault="0088646F" w:rsidP="005C179C">
            <w:pPr>
              <w:spacing w:line="360" w:lineRule="auto"/>
              <w:jc w:val="both"/>
              <w:rPr>
                <w:rFonts w:asciiTheme="majorBidi" w:hAnsiTheme="majorBidi" w:cstheme="majorBidi"/>
                <w:b/>
                <w:bCs/>
                <w:sz w:val="22"/>
                <w:szCs w:val="22"/>
              </w:rPr>
            </w:pPr>
            <w:r w:rsidRPr="00CD464C">
              <w:rPr>
                <w:rFonts w:asciiTheme="majorBidi" w:hAnsiTheme="majorBidi" w:cstheme="majorBidi"/>
                <w:b/>
                <w:bCs/>
                <w:sz w:val="22"/>
                <w:szCs w:val="22"/>
              </w:rPr>
              <w:t>z-test for I2</w:t>
            </w:r>
          </w:p>
        </w:tc>
        <w:tc>
          <w:tcPr>
            <w:tcW w:w="943" w:type="dxa"/>
          </w:tcPr>
          <w:p w:rsidR="00EB2B18" w:rsidRDefault="0088646F" w:rsidP="005C179C">
            <w:pPr>
              <w:spacing w:line="360" w:lineRule="auto"/>
              <w:jc w:val="both"/>
              <w:rPr>
                <w:rFonts w:asciiTheme="majorBidi" w:hAnsiTheme="majorBidi" w:cstheme="majorBidi"/>
                <w:b/>
                <w:bCs/>
                <w:sz w:val="22"/>
                <w:szCs w:val="22"/>
              </w:rPr>
            </w:pPr>
            <w:r w:rsidRPr="00CD464C">
              <w:rPr>
                <w:rFonts w:asciiTheme="majorBidi" w:hAnsiTheme="majorBidi" w:cstheme="majorBidi"/>
                <w:b/>
                <w:bCs/>
                <w:sz w:val="22"/>
                <w:szCs w:val="22"/>
              </w:rPr>
              <w:t>April 2001</w:t>
            </w:r>
          </w:p>
        </w:tc>
        <w:tc>
          <w:tcPr>
            <w:tcW w:w="1080" w:type="dxa"/>
          </w:tcPr>
          <w:p w:rsidR="00EB2B18" w:rsidRDefault="0088646F" w:rsidP="005C179C">
            <w:pPr>
              <w:spacing w:line="360" w:lineRule="auto"/>
              <w:jc w:val="both"/>
              <w:rPr>
                <w:rFonts w:asciiTheme="majorBidi" w:hAnsiTheme="majorBidi" w:cstheme="majorBidi"/>
                <w:b/>
                <w:bCs/>
                <w:sz w:val="22"/>
                <w:szCs w:val="22"/>
              </w:rPr>
            </w:pPr>
            <w:r w:rsidRPr="00CD464C">
              <w:rPr>
                <w:rFonts w:asciiTheme="majorBidi" w:hAnsiTheme="majorBidi" w:cstheme="majorBidi"/>
                <w:b/>
                <w:bCs/>
                <w:sz w:val="22"/>
                <w:szCs w:val="22"/>
              </w:rPr>
              <w:t>April 2002</w:t>
            </w:r>
          </w:p>
        </w:tc>
        <w:tc>
          <w:tcPr>
            <w:tcW w:w="1080" w:type="dxa"/>
          </w:tcPr>
          <w:p w:rsidR="00EB2B18" w:rsidRDefault="0088646F" w:rsidP="005C179C">
            <w:pPr>
              <w:spacing w:line="360" w:lineRule="auto"/>
              <w:jc w:val="both"/>
              <w:rPr>
                <w:rFonts w:asciiTheme="majorBidi" w:hAnsiTheme="majorBidi" w:cstheme="majorBidi"/>
                <w:b/>
                <w:bCs/>
                <w:sz w:val="22"/>
                <w:szCs w:val="22"/>
              </w:rPr>
            </w:pPr>
            <w:r w:rsidRPr="00CD464C">
              <w:rPr>
                <w:rFonts w:asciiTheme="majorBidi" w:hAnsiTheme="majorBidi" w:cstheme="majorBidi"/>
                <w:b/>
                <w:bCs/>
                <w:sz w:val="22"/>
                <w:szCs w:val="22"/>
              </w:rPr>
              <w:t>April 2004</w:t>
            </w:r>
          </w:p>
        </w:tc>
        <w:tc>
          <w:tcPr>
            <w:tcW w:w="1080" w:type="dxa"/>
          </w:tcPr>
          <w:p w:rsidR="00EB2B18" w:rsidRDefault="0088646F" w:rsidP="005C179C">
            <w:pPr>
              <w:spacing w:line="360" w:lineRule="auto"/>
              <w:jc w:val="both"/>
              <w:rPr>
                <w:rFonts w:asciiTheme="majorBidi" w:hAnsiTheme="majorBidi" w:cstheme="majorBidi"/>
                <w:b/>
                <w:bCs/>
                <w:sz w:val="22"/>
                <w:szCs w:val="22"/>
              </w:rPr>
            </w:pPr>
            <w:r w:rsidRPr="00CD464C">
              <w:rPr>
                <w:rFonts w:asciiTheme="majorBidi" w:hAnsiTheme="majorBidi" w:cstheme="majorBidi"/>
                <w:b/>
                <w:bCs/>
                <w:sz w:val="22"/>
                <w:szCs w:val="22"/>
              </w:rPr>
              <w:t>April 2004</w:t>
            </w:r>
          </w:p>
        </w:tc>
      </w:tr>
      <w:tr w:rsidR="0088646F" w:rsidRPr="00CD464C">
        <w:tc>
          <w:tcPr>
            <w:tcW w:w="1865" w:type="dxa"/>
          </w:tcPr>
          <w:p w:rsidR="00EB2B18" w:rsidRDefault="0088646F" w:rsidP="005C179C">
            <w:pPr>
              <w:spacing w:line="360" w:lineRule="auto"/>
              <w:jc w:val="both"/>
              <w:rPr>
                <w:rFonts w:asciiTheme="majorBidi" w:hAnsiTheme="majorBidi" w:cstheme="majorBidi"/>
                <w:sz w:val="22"/>
                <w:szCs w:val="22"/>
              </w:rPr>
            </w:pPr>
            <w:r w:rsidRPr="00CD464C">
              <w:rPr>
                <w:rFonts w:asciiTheme="majorBidi" w:hAnsiTheme="majorBidi" w:cstheme="majorBidi"/>
                <w:sz w:val="22"/>
                <w:szCs w:val="22"/>
              </w:rPr>
              <w:t>Banks (all)</w:t>
            </w:r>
          </w:p>
        </w:tc>
        <w:tc>
          <w:tcPr>
            <w:tcW w:w="943" w:type="dxa"/>
            <w:shd w:val="clear" w:color="auto" w:fill="E6E6E6"/>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0.86</w:t>
            </w:r>
          </w:p>
        </w:tc>
        <w:tc>
          <w:tcPr>
            <w:tcW w:w="1080"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0.72</w:t>
            </w:r>
          </w:p>
        </w:tc>
        <w:tc>
          <w:tcPr>
            <w:tcW w:w="1080"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0.56</w:t>
            </w:r>
          </w:p>
        </w:tc>
        <w:tc>
          <w:tcPr>
            <w:tcW w:w="1080"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1.02</w:t>
            </w:r>
          </w:p>
        </w:tc>
      </w:tr>
      <w:tr w:rsidR="0088646F" w:rsidRPr="00CD464C">
        <w:tc>
          <w:tcPr>
            <w:tcW w:w="1865" w:type="dxa"/>
          </w:tcPr>
          <w:p w:rsidR="00EB2B18" w:rsidRDefault="0088646F" w:rsidP="005C179C">
            <w:pPr>
              <w:spacing w:line="360" w:lineRule="auto"/>
              <w:jc w:val="both"/>
              <w:rPr>
                <w:rFonts w:asciiTheme="majorBidi" w:hAnsiTheme="majorBidi" w:cstheme="majorBidi"/>
                <w:sz w:val="22"/>
                <w:szCs w:val="22"/>
              </w:rPr>
            </w:pPr>
            <w:r w:rsidRPr="00CD464C">
              <w:rPr>
                <w:rFonts w:asciiTheme="majorBidi" w:hAnsiTheme="majorBidi" w:cstheme="majorBidi"/>
                <w:sz w:val="22"/>
                <w:szCs w:val="22"/>
              </w:rPr>
              <w:t>Private (all)</w:t>
            </w:r>
          </w:p>
        </w:tc>
        <w:tc>
          <w:tcPr>
            <w:tcW w:w="943" w:type="dxa"/>
            <w:shd w:val="clear" w:color="auto" w:fill="E6E6E6"/>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1.09</w:t>
            </w:r>
          </w:p>
        </w:tc>
        <w:tc>
          <w:tcPr>
            <w:tcW w:w="1080"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0.88</w:t>
            </w:r>
          </w:p>
        </w:tc>
        <w:tc>
          <w:tcPr>
            <w:tcW w:w="1080"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-0.32</w:t>
            </w:r>
          </w:p>
        </w:tc>
        <w:tc>
          <w:tcPr>
            <w:tcW w:w="1080"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0.45</w:t>
            </w:r>
          </w:p>
        </w:tc>
      </w:tr>
    </w:tbl>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 rejected at 0.99 ** rejected at 0.95 * rejected at 0.90</w:t>
      </w:r>
    </w:p>
    <w:p w:rsidR="00EB2B18" w:rsidRDefault="0088646F" w:rsidP="005C179C">
      <w:pPr>
        <w:spacing w:line="360" w:lineRule="auto"/>
        <w:jc w:val="both"/>
        <w:rPr>
          <w:rFonts w:asciiTheme="majorBidi" w:hAnsiTheme="majorBidi" w:cstheme="majorBidi"/>
          <w:sz w:val="20"/>
          <w:szCs w:val="20"/>
        </w:rPr>
      </w:pPr>
      <w:r w:rsidRPr="00CD464C">
        <w:rPr>
          <w:rFonts w:asciiTheme="majorBidi" w:hAnsiTheme="majorBidi" w:cstheme="majorBidi"/>
          <w:sz w:val="20"/>
          <w:szCs w:val="20"/>
        </w:rPr>
        <w:t>Table 6 elucidates the "eyeball statistics" which was showed in figures A and B.  Given the slope of the endowment, the distinctiveness of the April 2005 (negative) endowment is clearly significant. The results support I2 directly: I2 cannot be rejected. I1 is less significant over all categories, except the small cap</w:t>
      </w:r>
      <w:r w:rsidR="00CE7F3E" w:rsidRPr="00CD464C">
        <w:rPr>
          <w:rFonts w:asciiTheme="majorBidi" w:hAnsiTheme="majorBidi" w:cstheme="majorBidi"/>
          <w:sz w:val="20"/>
          <w:szCs w:val="20"/>
        </w:rPr>
        <w:t xml:space="preserve">s of the (true?) </w:t>
      </w:r>
      <w:r w:rsidRPr="00CD464C">
        <w:rPr>
          <w:rFonts w:asciiTheme="majorBidi" w:hAnsiTheme="majorBidi" w:cstheme="majorBidi"/>
          <w:sz w:val="20"/>
          <w:szCs w:val="20"/>
        </w:rPr>
        <w:t>private sector.</w:t>
      </w:r>
    </w:p>
    <w:p w:rsidR="00EB2B18" w:rsidRDefault="00EB2B18" w:rsidP="005C179C">
      <w:pPr>
        <w:spacing w:line="360" w:lineRule="auto"/>
        <w:jc w:val="both"/>
        <w:rPr>
          <w:rFonts w:asciiTheme="majorBidi" w:hAnsiTheme="majorBidi" w:cstheme="majorBidi"/>
          <w:sz w:val="20"/>
          <w:szCs w:val="20"/>
        </w:rPr>
      </w:pPr>
    </w:p>
    <w:p w:rsidR="00EB2B18" w:rsidRDefault="00EB2B18" w:rsidP="005C179C">
      <w:pPr>
        <w:spacing w:line="360" w:lineRule="auto"/>
        <w:jc w:val="both"/>
        <w:rPr>
          <w:rFonts w:asciiTheme="majorBidi" w:hAnsiTheme="majorBidi" w:cstheme="majorBidi"/>
          <w:sz w:val="20"/>
          <w:szCs w:val="20"/>
        </w:rPr>
      </w:pPr>
    </w:p>
    <w:p w:rsidR="00EB2B18" w:rsidRDefault="00EB2B18" w:rsidP="005C179C">
      <w:pPr>
        <w:spacing w:line="360" w:lineRule="auto"/>
        <w:jc w:val="both"/>
        <w:rPr>
          <w:rFonts w:asciiTheme="majorBidi" w:hAnsiTheme="majorBidi" w:cstheme="majorBidi"/>
          <w:sz w:val="20"/>
          <w:szCs w:val="20"/>
        </w:rPr>
      </w:pPr>
    </w:p>
    <w:p w:rsidR="00EB2B18" w:rsidRDefault="00EB2B18" w:rsidP="005C179C">
      <w:pPr>
        <w:spacing w:line="360" w:lineRule="auto"/>
        <w:jc w:val="both"/>
        <w:rPr>
          <w:rFonts w:asciiTheme="majorBidi" w:hAnsiTheme="majorBidi" w:cstheme="majorBidi"/>
          <w:sz w:val="20"/>
          <w:szCs w:val="20"/>
        </w:rPr>
      </w:pPr>
    </w:p>
    <w:p w:rsidR="00EB2B18" w:rsidRDefault="00EB2B18" w:rsidP="005C179C">
      <w:pPr>
        <w:spacing w:line="360" w:lineRule="auto"/>
        <w:jc w:val="both"/>
        <w:rPr>
          <w:rFonts w:asciiTheme="majorBidi" w:hAnsiTheme="majorBidi" w:cstheme="majorBidi"/>
          <w:sz w:val="20"/>
          <w:szCs w:val="20"/>
        </w:rPr>
      </w:pPr>
    </w:p>
    <w:p w:rsidR="00EB2B18" w:rsidRDefault="00EB2B18" w:rsidP="005C179C">
      <w:pPr>
        <w:spacing w:line="360" w:lineRule="auto"/>
        <w:jc w:val="both"/>
        <w:rPr>
          <w:rFonts w:asciiTheme="majorBidi" w:hAnsiTheme="majorBidi" w:cstheme="majorBidi"/>
          <w:sz w:val="20"/>
          <w:szCs w:val="20"/>
        </w:rPr>
      </w:pPr>
    </w:p>
    <w:p w:rsidR="00EB2B18" w:rsidRDefault="00EB2B18" w:rsidP="005C179C">
      <w:pPr>
        <w:spacing w:line="360" w:lineRule="auto"/>
        <w:jc w:val="both"/>
        <w:rPr>
          <w:rFonts w:asciiTheme="majorBidi" w:hAnsiTheme="majorBidi" w:cstheme="majorBidi"/>
          <w:sz w:val="20"/>
          <w:szCs w:val="20"/>
        </w:rPr>
      </w:pPr>
    </w:p>
    <w:p w:rsidR="00EB2B18" w:rsidRDefault="00EB2B18" w:rsidP="005C179C">
      <w:pPr>
        <w:spacing w:line="360" w:lineRule="auto"/>
        <w:jc w:val="both"/>
        <w:rPr>
          <w:rFonts w:asciiTheme="majorBidi" w:hAnsiTheme="majorBidi" w:cstheme="majorBidi"/>
          <w:sz w:val="20"/>
          <w:szCs w:val="20"/>
        </w:rPr>
      </w:pPr>
    </w:p>
    <w:p w:rsidR="00EB2B18" w:rsidRDefault="00EB2B18" w:rsidP="005C179C">
      <w:pPr>
        <w:pStyle w:val="3"/>
        <w:bidi w:val="0"/>
        <w:spacing w:line="360" w:lineRule="auto"/>
        <w:rPr>
          <w:rFonts w:asciiTheme="majorBidi" w:hAnsiTheme="majorBidi" w:cstheme="majorBidi"/>
          <w:b w:val="0"/>
          <w:bCs w:val="0"/>
          <w:sz w:val="24"/>
          <w:szCs w:val="24"/>
        </w:rPr>
      </w:pPr>
    </w:p>
    <w:p w:rsidR="00EB2B18" w:rsidRDefault="00EB2B18" w:rsidP="005C179C">
      <w:pPr>
        <w:spacing w:line="360" w:lineRule="auto"/>
        <w:rPr>
          <w:lang w:eastAsia="he-IL"/>
        </w:rPr>
      </w:pPr>
    </w:p>
    <w:p w:rsidR="00EB2B18" w:rsidRDefault="0088646F" w:rsidP="005C179C">
      <w:pPr>
        <w:pStyle w:val="3"/>
        <w:bidi w:val="0"/>
        <w:spacing w:line="360" w:lineRule="auto"/>
        <w:rPr>
          <w:rFonts w:asciiTheme="majorBidi" w:hAnsiTheme="majorBidi" w:cstheme="majorBidi"/>
          <w:sz w:val="24"/>
          <w:szCs w:val="24"/>
        </w:rPr>
      </w:pPr>
      <w:r w:rsidRPr="003770E1">
        <w:rPr>
          <w:rFonts w:asciiTheme="majorBidi" w:hAnsiTheme="majorBidi" w:cstheme="majorBidi"/>
          <w:sz w:val="24"/>
          <w:szCs w:val="24"/>
        </w:rPr>
        <w:t>Table 7 Panel A</w:t>
      </w:r>
    </w:p>
    <w:tbl>
      <w:tblPr>
        <w:tblW w:w="72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8"/>
        <w:gridCol w:w="1498"/>
        <w:gridCol w:w="1044"/>
        <w:gridCol w:w="1044"/>
        <w:gridCol w:w="787"/>
        <w:gridCol w:w="1044"/>
      </w:tblGrid>
      <w:tr w:rsidR="00743CEB" w:rsidRPr="00CD464C">
        <w:trPr>
          <w:gridAfter w:val="4"/>
          <w:wAfter w:w="3919" w:type="dxa"/>
          <w:trHeight w:val="255"/>
        </w:trPr>
        <w:tc>
          <w:tcPr>
            <w:tcW w:w="3296" w:type="dxa"/>
            <w:gridSpan w:val="2"/>
            <w:noWrap/>
            <w:vAlign w:val="bottom"/>
          </w:tcPr>
          <w:p w:rsidR="00EB2B18" w:rsidRDefault="00743CEB"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Dependent Variable: AFF</w:t>
            </w:r>
          </w:p>
        </w:tc>
      </w:tr>
      <w:tr w:rsidR="00743CEB" w:rsidRPr="00CD464C">
        <w:trPr>
          <w:gridAfter w:val="4"/>
          <w:wAfter w:w="3919" w:type="dxa"/>
          <w:trHeight w:val="255"/>
        </w:trPr>
        <w:tc>
          <w:tcPr>
            <w:tcW w:w="3296" w:type="dxa"/>
            <w:gridSpan w:val="2"/>
            <w:noWrap/>
            <w:vAlign w:val="bottom"/>
          </w:tcPr>
          <w:p w:rsidR="00EB2B18" w:rsidRDefault="00743CEB"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Sample (adjusted): 2-820</w:t>
            </w:r>
          </w:p>
        </w:tc>
      </w:tr>
      <w:tr w:rsidR="0088646F" w:rsidRPr="00CD464C">
        <w:trPr>
          <w:gridAfter w:val="1"/>
          <w:wAfter w:w="1044" w:type="dxa"/>
          <w:trHeight w:val="255"/>
        </w:trPr>
        <w:tc>
          <w:tcPr>
            <w:tcW w:w="1798" w:type="dxa"/>
            <w:noWrap/>
            <w:vAlign w:val="bottom"/>
          </w:tcPr>
          <w:p w:rsidR="00EB2B18" w:rsidRDefault="0088646F"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Variable</w:t>
            </w:r>
          </w:p>
        </w:tc>
        <w:tc>
          <w:tcPr>
            <w:tcW w:w="1498" w:type="dxa"/>
            <w:noWrap/>
            <w:vAlign w:val="bottom"/>
          </w:tcPr>
          <w:p w:rsidR="00EB2B18" w:rsidRDefault="0088646F"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Coefficient</w:t>
            </w:r>
          </w:p>
        </w:tc>
        <w:tc>
          <w:tcPr>
            <w:tcW w:w="1044" w:type="dxa"/>
            <w:noWrap/>
            <w:vAlign w:val="bottom"/>
          </w:tcPr>
          <w:p w:rsidR="00EB2B18" w:rsidRDefault="0088646F"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Std. Error</w:t>
            </w:r>
          </w:p>
        </w:tc>
        <w:tc>
          <w:tcPr>
            <w:tcW w:w="1831" w:type="dxa"/>
            <w:gridSpan w:val="2"/>
            <w:noWrap/>
            <w:vAlign w:val="bottom"/>
          </w:tcPr>
          <w:p w:rsidR="00EB2B18" w:rsidRDefault="0088646F"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Prob.</w:t>
            </w:r>
          </w:p>
        </w:tc>
      </w:tr>
      <w:tr w:rsidR="0088646F" w:rsidRPr="00CD464C">
        <w:trPr>
          <w:gridAfter w:val="1"/>
          <w:wAfter w:w="1044" w:type="dxa"/>
          <w:trHeight w:val="255"/>
        </w:trPr>
        <w:tc>
          <w:tcPr>
            <w:tcW w:w="179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C</w:t>
            </w:r>
          </w:p>
        </w:tc>
        <w:tc>
          <w:tcPr>
            <w:tcW w:w="149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134.358</w:t>
            </w:r>
          </w:p>
        </w:tc>
        <w:tc>
          <w:tcPr>
            <w:tcW w:w="1044"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72.009</w:t>
            </w:r>
          </w:p>
        </w:tc>
        <w:tc>
          <w:tcPr>
            <w:tcW w:w="1831" w:type="dxa"/>
            <w:gridSpan w:val="2"/>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0.063</w:t>
            </w:r>
          </w:p>
        </w:tc>
      </w:tr>
      <w:tr w:rsidR="0088646F" w:rsidRPr="00CD464C">
        <w:trPr>
          <w:gridAfter w:val="1"/>
          <w:wAfter w:w="1044" w:type="dxa"/>
          <w:trHeight w:val="255"/>
        </w:trPr>
        <w:tc>
          <w:tcPr>
            <w:tcW w:w="179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NTR2004</w:t>
            </w:r>
          </w:p>
        </w:tc>
        <w:tc>
          <w:tcPr>
            <w:tcW w:w="149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-16.109</w:t>
            </w:r>
          </w:p>
        </w:tc>
        <w:tc>
          <w:tcPr>
            <w:tcW w:w="1044"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2.604</w:t>
            </w:r>
          </w:p>
        </w:tc>
        <w:tc>
          <w:tcPr>
            <w:tcW w:w="1831" w:type="dxa"/>
            <w:gridSpan w:val="2"/>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0.002***</w:t>
            </w:r>
          </w:p>
        </w:tc>
      </w:tr>
      <w:tr w:rsidR="0088646F" w:rsidRPr="00CD464C">
        <w:trPr>
          <w:gridAfter w:val="1"/>
          <w:wAfter w:w="1044" w:type="dxa"/>
          <w:trHeight w:val="255"/>
        </w:trPr>
        <w:tc>
          <w:tcPr>
            <w:tcW w:w="179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R2004</w:t>
            </w:r>
          </w:p>
        </w:tc>
        <w:tc>
          <w:tcPr>
            <w:tcW w:w="149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147.663</w:t>
            </w:r>
          </w:p>
        </w:tc>
        <w:tc>
          <w:tcPr>
            <w:tcW w:w="1044"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73.104</w:t>
            </w:r>
          </w:p>
        </w:tc>
        <w:tc>
          <w:tcPr>
            <w:tcW w:w="1831" w:type="dxa"/>
            <w:gridSpan w:val="2"/>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0.044**</w:t>
            </w:r>
          </w:p>
        </w:tc>
      </w:tr>
      <w:tr w:rsidR="0088646F" w:rsidRPr="00CD464C">
        <w:trPr>
          <w:gridAfter w:val="1"/>
          <w:wAfter w:w="1044" w:type="dxa"/>
          <w:trHeight w:val="255"/>
        </w:trPr>
        <w:tc>
          <w:tcPr>
            <w:tcW w:w="179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DBANK</w:t>
            </w:r>
          </w:p>
        </w:tc>
        <w:tc>
          <w:tcPr>
            <w:tcW w:w="149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-29.963</w:t>
            </w:r>
          </w:p>
        </w:tc>
        <w:tc>
          <w:tcPr>
            <w:tcW w:w="1044"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44.991</w:t>
            </w:r>
          </w:p>
        </w:tc>
        <w:tc>
          <w:tcPr>
            <w:tcW w:w="1831" w:type="dxa"/>
            <w:gridSpan w:val="2"/>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0.506</w:t>
            </w:r>
          </w:p>
        </w:tc>
      </w:tr>
      <w:tr w:rsidR="0088646F" w:rsidRPr="00CD464C">
        <w:trPr>
          <w:gridAfter w:val="1"/>
          <w:wAfter w:w="1044" w:type="dxa"/>
          <w:trHeight w:val="255"/>
        </w:trPr>
        <w:tc>
          <w:tcPr>
            <w:tcW w:w="179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DINS</w:t>
            </w:r>
          </w:p>
        </w:tc>
        <w:tc>
          <w:tcPr>
            <w:tcW w:w="149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152.527</w:t>
            </w:r>
          </w:p>
        </w:tc>
        <w:tc>
          <w:tcPr>
            <w:tcW w:w="1044"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64.355</w:t>
            </w:r>
          </w:p>
        </w:tc>
        <w:tc>
          <w:tcPr>
            <w:tcW w:w="1831" w:type="dxa"/>
            <w:gridSpan w:val="2"/>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0.018**</w:t>
            </w:r>
          </w:p>
        </w:tc>
      </w:tr>
      <w:tr w:rsidR="0088646F" w:rsidRPr="00CD464C">
        <w:trPr>
          <w:gridAfter w:val="1"/>
          <w:wAfter w:w="1044" w:type="dxa"/>
          <w:trHeight w:val="255"/>
        </w:trPr>
        <w:tc>
          <w:tcPr>
            <w:tcW w:w="179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DPRV</w:t>
            </w:r>
          </w:p>
        </w:tc>
        <w:tc>
          <w:tcPr>
            <w:tcW w:w="149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154.351</w:t>
            </w:r>
          </w:p>
        </w:tc>
        <w:tc>
          <w:tcPr>
            <w:tcW w:w="1044"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64.507</w:t>
            </w:r>
          </w:p>
        </w:tc>
        <w:tc>
          <w:tcPr>
            <w:tcW w:w="1831" w:type="dxa"/>
            <w:gridSpan w:val="2"/>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0.017**</w:t>
            </w:r>
          </w:p>
        </w:tc>
      </w:tr>
      <w:tr w:rsidR="0088646F" w:rsidRPr="00CD464C">
        <w:trPr>
          <w:gridAfter w:val="1"/>
          <w:wAfter w:w="1044" w:type="dxa"/>
          <w:trHeight w:val="255"/>
        </w:trPr>
        <w:tc>
          <w:tcPr>
            <w:tcW w:w="179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MNGF</w:t>
            </w:r>
          </w:p>
        </w:tc>
        <w:tc>
          <w:tcPr>
            <w:tcW w:w="149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-53.276</w:t>
            </w:r>
          </w:p>
        </w:tc>
        <w:tc>
          <w:tcPr>
            <w:tcW w:w="1044"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43.848</w:t>
            </w:r>
          </w:p>
        </w:tc>
        <w:tc>
          <w:tcPr>
            <w:tcW w:w="1831" w:type="dxa"/>
            <w:gridSpan w:val="2"/>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0.225</w:t>
            </w:r>
          </w:p>
        </w:tc>
      </w:tr>
      <w:tr w:rsidR="0088646F" w:rsidRPr="00CD464C">
        <w:trPr>
          <w:gridAfter w:val="1"/>
          <w:wAfter w:w="1044" w:type="dxa"/>
          <w:trHeight w:val="255"/>
        </w:trPr>
        <w:tc>
          <w:tcPr>
            <w:tcW w:w="179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SIZE</w:t>
            </w:r>
          </w:p>
        </w:tc>
        <w:tc>
          <w:tcPr>
            <w:tcW w:w="149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-0.002</w:t>
            </w:r>
          </w:p>
        </w:tc>
        <w:tc>
          <w:tcPr>
            <w:tcW w:w="1044"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0.009</w:t>
            </w:r>
          </w:p>
        </w:tc>
        <w:tc>
          <w:tcPr>
            <w:tcW w:w="1831" w:type="dxa"/>
            <w:gridSpan w:val="2"/>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0.823</w:t>
            </w:r>
          </w:p>
        </w:tc>
      </w:tr>
      <w:tr w:rsidR="0088646F" w:rsidRPr="00CD464C">
        <w:trPr>
          <w:gridAfter w:val="1"/>
          <w:wAfter w:w="1044" w:type="dxa"/>
          <w:trHeight w:val="255"/>
        </w:trPr>
        <w:tc>
          <w:tcPr>
            <w:tcW w:w="179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TRL</w:t>
            </w:r>
          </w:p>
        </w:tc>
        <w:tc>
          <w:tcPr>
            <w:tcW w:w="149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-1.731</w:t>
            </w:r>
          </w:p>
        </w:tc>
        <w:tc>
          <w:tcPr>
            <w:tcW w:w="1044"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2.053</w:t>
            </w:r>
          </w:p>
        </w:tc>
        <w:tc>
          <w:tcPr>
            <w:tcW w:w="1831" w:type="dxa"/>
            <w:gridSpan w:val="2"/>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0.400</w:t>
            </w:r>
          </w:p>
        </w:tc>
      </w:tr>
      <w:tr w:rsidR="0088646F" w:rsidRPr="00CD464C">
        <w:trPr>
          <w:trHeight w:val="255"/>
        </w:trPr>
        <w:tc>
          <w:tcPr>
            <w:tcW w:w="1798" w:type="dxa"/>
            <w:noWrap/>
            <w:vAlign w:val="bottom"/>
          </w:tcPr>
          <w:p w:rsidR="00EB2B18" w:rsidRDefault="0088646F" w:rsidP="005C179C">
            <w:pPr>
              <w:spacing w:line="360" w:lineRule="auto"/>
              <w:jc w:val="both"/>
              <w:rPr>
                <w:rFonts w:asciiTheme="majorBidi" w:hAnsiTheme="majorBidi" w:cstheme="majorBidi"/>
                <w:sz w:val="16"/>
                <w:szCs w:val="16"/>
              </w:rPr>
            </w:pPr>
            <w:r w:rsidRPr="00CD464C">
              <w:rPr>
                <w:rFonts w:asciiTheme="majorBidi" w:hAnsiTheme="majorBidi" w:cstheme="majorBidi"/>
                <w:sz w:val="16"/>
                <w:szCs w:val="16"/>
              </w:rPr>
              <w:t>R-squared</w:t>
            </w:r>
          </w:p>
        </w:tc>
        <w:tc>
          <w:tcPr>
            <w:tcW w:w="149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 xml:space="preserve">     0.171</w:t>
            </w:r>
          </w:p>
        </w:tc>
        <w:tc>
          <w:tcPr>
            <w:tcW w:w="2088" w:type="dxa"/>
            <w:gridSpan w:val="2"/>
            <w:noWrap/>
            <w:vAlign w:val="bottom"/>
          </w:tcPr>
          <w:p w:rsidR="00EB2B18" w:rsidRDefault="0088646F" w:rsidP="005C179C">
            <w:pPr>
              <w:spacing w:line="360" w:lineRule="auto"/>
              <w:jc w:val="both"/>
              <w:rPr>
                <w:rFonts w:asciiTheme="majorBidi" w:hAnsiTheme="majorBidi" w:cstheme="majorBidi"/>
                <w:sz w:val="16"/>
                <w:szCs w:val="16"/>
              </w:rPr>
            </w:pPr>
            <w:r w:rsidRPr="00CD464C">
              <w:rPr>
                <w:rFonts w:asciiTheme="majorBidi" w:hAnsiTheme="majorBidi" w:cstheme="majorBidi"/>
                <w:sz w:val="16"/>
                <w:szCs w:val="16"/>
              </w:rPr>
              <w:t xml:space="preserve"> Mean dependent var.</w:t>
            </w:r>
          </w:p>
        </w:tc>
        <w:tc>
          <w:tcPr>
            <w:tcW w:w="1831" w:type="dxa"/>
            <w:gridSpan w:val="2"/>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113.72</w:t>
            </w:r>
          </w:p>
        </w:tc>
      </w:tr>
      <w:tr w:rsidR="0088646F" w:rsidRPr="00CD464C">
        <w:trPr>
          <w:trHeight w:val="255"/>
        </w:trPr>
        <w:tc>
          <w:tcPr>
            <w:tcW w:w="1798" w:type="dxa"/>
            <w:noWrap/>
            <w:vAlign w:val="bottom"/>
          </w:tcPr>
          <w:p w:rsidR="00EB2B18" w:rsidRDefault="0088646F" w:rsidP="005C179C">
            <w:pPr>
              <w:spacing w:line="360" w:lineRule="auto"/>
              <w:jc w:val="both"/>
              <w:rPr>
                <w:rFonts w:asciiTheme="majorBidi" w:hAnsiTheme="majorBidi" w:cstheme="majorBidi"/>
                <w:sz w:val="16"/>
                <w:szCs w:val="16"/>
              </w:rPr>
            </w:pPr>
            <w:r w:rsidRPr="00CD464C">
              <w:rPr>
                <w:rFonts w:asciiTheme="majorBidi" w:hAnsiTheme="majorBidi" w:cstheme="majorBidi"/>
                <w:sz w:val="16"/>
                <w:szCs w:val="16"/>
              </w:rPr>
              <w:t>Adjusted R-squared</w:t>
            </w:r>
          </w:p>
        </w:tc>
        <w:tc>
          <w:tcPr>
            <w:tcW w:w="149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 xml:space="preserve">     0.143</w:t>
            </w:r>
          </w:p>
        </w:tc>
        <w:tc>
          <w:tcPr>
            <w:tcW w:w="2088" w:type="dxa"/>
            <w:gridSpan w:val="2"/>
            <w:noWrap/>
            <w:vAlign w:val="bottom"/>
          </w:tcPr>
          <w:p w:rsidR="00EB2B18" w:rsidRDefault="0088646F" w:rsidP="005C179C">
            <w:pPr>
              <w:spacing w:line="360" w:lineRule="auto"/>
              <w:jc w:val="both"/>
              <w:rPr>
                <w:rFonts w:asciiTheme="majorBidi" w:hAnsiTheme="majorBidi" w:cstheme="majorBidi"/>
                <w:sz w:val="16"/>
                <w:szCs w:val="16"/>
              </w:rPr>
            </w:pPr>
            <w:r w:rsidRPr="00CD464C">
              <w:rPr>
                <w:rFonts w:asciiTheme="majorBidi" w:hAnsiTheme="majorBidi" w:cstheme="majorBidi"/>
                <w:sz w:val="16"/>
                <w:szCs w:val="16"/>
              </w:rPr>
              <w:t xml:space="preserve"> S.D. dependent var.</w:t>
            </w:r>
          </w:p>
        </w:tc>
        <w:tc>
          <w:tcPr>
            <w:tcW w:w="1831" w:type="dxa"/>
            <w:gridSpan w:val="2"/>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285.73</w:t>
            </w:r>
          </w:p>
        </w:tc>
      </w:tr>
    </w:tbl>
    <w:p w:rsidR="00EB2B18" w:rsidRDefault="005E54B8"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 rejected at 0.99 ** rejected at 0.95 * rejected at 0.90</w:t>
      </w:r>
    </w:p>
    <w:p w:rsidR="00EB2B18" w:rsidRDefault="0088646F" w:rsidP="005C179C">
      <w:pPr>
        <w:spacing w:line="360" w:lineRule="auto"/>
        <w:ind w:firstLine="720"/>
        <w:jc w:val="both"/>
        <w:rPr>
          <w:rFonts w:asciiTheme="majorBidi" w:hAnsiTheme="majorBidi" w:cstheme="majorBidi"/>
          <w:sz w:val="20"/>
          <w:szCs w:val="20"/>
        </w:rPr>
      </w:pPr>
      <w:r w:rsidRPr="00CD464C">
        <w:rPr>
          <w:rFonts w:asciiTheme="majorBidi" w:hAnsiTheme="majorBidi" w:cstheme="majorBidi"/>
          <w:sz w:val="20"/>
          <w:szCs w:val="20"/>
        </w:rPr>
        <w:t xml:space="preserve">Table 7 Panel A shows the results of regression over equation </w:t>
      </w:r>
      <w:r w:rsidR="00152CC3" w:rsidRPr="00CD464C">
        <w:rPr>
          <w:rFonts w:asciiTheme="majorBidi" w:hAnsiTheme="majorBidi" w:cstheme="majorBidi"/>
          <w:sz w:val="20"/>
          <w:szCs w:val="20"/>
        </w:rPr>
        <w:t xml:space="preserve">5.1 </w:t>
      </w:r>
      <w:r w:rsidR="007848F8" w:rsidRPr="00CD464C">
        <w:rPr>
          <w:rFonts w:asciiTheme="majorBidi" w:hAnsiTheme="majorBidi" w:cstheme="majorBidi"/>
          <w:sz w:val="20"/>
          <w:szCs w:val="20"/>
        </w:rPr>
        <w:fldChar w:fldCharType="begin"/>
      </w:r>
      <w:r w:rsidRPr="00CD464C">
        <w:rPr>
          <w:rFonts w:asciiTheme="majorBidi" w:hAnsiTheme="majorBidi" w:cstheme="majorBidi"/>
          <w:sz w:val="20"/>
          <w:szCs w:val="20"/>
        </w:rPr>
        <w:instrText xml:space="preserve"> QUOTE </w:instrText>
      </w:r>
      <w:r w:rsidR="00650398" w:rsidRPr="00CD464C">
        <w:rPr>
          <w:rFonts w:asciiTheme="majorBidi" w:hAnsiTheme="majorBidi" w:cstheme="majorBidi"/>
          <w:noProof/>
          <w:sz w:val="20"/>
          <w:szCs w:val="20"/>
        </w:rPr>
        <w:drawing>
          <wp:inline distT="0" distB="0" distL="0" distR="0">
            <wp:extent cx="3524250" cy="171450"/>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1" cstate="print">
                      <a:clrChange>
                        <a:clrFrom>
                          <a:srgbClr val="FFFFFF"/>
                        </a:clrFrom>
                        <a:clrTo>
                          <a:srgbClr val="FFFFFF">
                            <a:alpha val="0"/>
                          </a:srgbClr>
                        </a:clrTo>
                      </a:clrChange>
                    </a:blip>
                    <a:srcRect/>
                    <a:stretch>
                      <a:fillRect/>
                    </a:stretch>
                  </pic:blipFill>
                  <pic:spPr bwMode="auto">
                    <a:xfrm>
                      <a:off x="0" y="0"/>
                      <a:ext cx="3524250" cy="171450"/>
                    </a:xfrm>
                    <a:prstGeom prst="rect">
                      <a:avLst/>
                    </a:prstGeom>
                    <a:noFill/>
                    <a:ln w="9525">
                      <a:noFill/>
                      <a:miter lim="800000"/>
                      <a:headEnd/>
                      <a:tailEnd/>
                    </a:ln>
                  </pic:spPr>
                </pic:pic>
              </a:graphicData>
            </a:graphic>
          </wp:inline>
        </w:drawing>
      </w:r>
      <w:r w:rsidRPr="00CD464C">
        <w:rPr>
          <w:rFonts w:asciiTheme="majorBidi" w:hAnsiTheme="majorBidi" w:cstheme="majorBidi"/>
          <w:sz w:val="20"/>
          <w:szCs w:val="20"/>
        </w:rPr>
        <w:instrText xml:space="preserve"> </w:instrText>
      </w:r>
      <w:r w:rsidR="007848F8" w:rsidRPr="00CD464C">
        <w:rPr>
          <w:rFonts w:asciiTheme="majorBidi" w:hAnsiTheme="majorBidi" w:cstheme="majorBidi"/>
          <w:sz w:val="20"/>
          <w:szCs w:val="20"/>
        </w:rPr>
        <w:fldChar w:fldCharType="end"/>
      </w:r>
      <w:r w:rsidR="007848F8" w:rsidRPr="00CD464C">
        <w:rPr>
          <w:rFonts w:asciiTheme="majorBidi" w:hAnsiTheme="majorBidi" w:cstheme="majorBidi"/>
          <w:sz w:val="20"/>
          <w:szCs w:val="20"/>
        </w:rPr>
        <w:fldChar w:fldCharType="begin"/>
      </w:r>
      <w:r w:rsidRPr="00CD464C">
        <w:rPr>
          <w:rFonts w:asciiTheme="majorBidi" w:hAnsiTheme="majorBidi" w:cstheme="majorBidi"/>
          <w:sz w:val="20"/>
          <w:szCs w:val="20"/>
        </w:rPr>
        <w:instrText xml:space="preserve"> QUOTE </w:instrText>
      </w:r>
      <w:r w:rsidR="00650398" w:rsidRPr="00CD464C">
        <w:rPr>
          <w:rFonts w:asciiTheme="majorBidi" w:hAnsiTheme="majorBidi" w:cstheme="majorBidi"/>
          <w:noProof/>
          <w:sz w:val="20"/>
          <w:szCs w:val="20"/>
        </w:rPr>
        <w:drawing>
          <wp:inline distT="0" distB="0" distL="0" distR="0">
            <wp:extent cx="1123950" cy="142875"/>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2" cstate="print">
                      <a:clrChange>
                        <a:clrFrom>
                          <a:srgbClr val="FFFFFF"/>
                        </a:clrFrom>
                        <a:clrTo>
                          <a:srgbClr val="FFFFFF">
                            <a:alpha val="0"/>
                          </a:srgbClr>
                        </a:clrTo>
                      </a:clrChange>
                    </a:blip>
                    <a:srcRect/>
                    <a:stretch>
                      <a:fillRect/>
                    </a:stretch>
                  </pic:blipFill>
                  <pic:spPr bwMode="auto">
                    <a:xfrm>
                      <a:off x="0" y="0"/>
                      <a:ext cx="1123950" cy="142875"/>
                    </a:xfrm>
                    <a:prstGeom prst="rect">
                      <a:avLst/>
                    </a:prstGeom>
                    <a:noFill/>
                    <a:ln w="9525">
                      <a:noFill/>
                      <a:miter lim="800000"/>
                      <a:headEnd/>
                      <a:tailEnd/>
                    </a:ln>
                  </pic:spPr>
                </pic:pic>
              </a:graphicData>
            </a:graphic>
          </wp:inline>
        </w:drawing>
      </w:r>
      <w:r w:rsidRPr="00CD464C">
        <w:rPr>
          <w:rFonts w:asciiTheme="majorBidi" w:hAnsiTheme="majorBidi" w:cstheme="majorBidi"/>
          <w:sz w:val="20"/>
          <w:szCs w:val="20"/>
        </w:rPr>
        <w:instrText xml:space="preserve"> </w:instrText>
      </w:r>
      <w:r w:rsidR="007848F8" w:rsidRPr="00CD464C">
        <w:rPr>
          <w:rFonts w:asciiTheme="majorBidi" w:hAnsiTheme="majorBidi" w:cstheme="majorBidi"/>
          <w:sz w:val="20"/>
          <w:szCs w:val="20"/>
        </w:rPr>
        <w:fldChar w:fldCharType="end"/>
      </w:r>
      <w:r w:rsidRPr="00CD464C">
        <w:rPr>
          <w:rFonts w:asciiTheme="majorBidi" w:hAnsiTheme="majorBidi" w:cstheme="majorBidi"/>
          <w:sz w:val="20"/>
          <w:szCs w:val="20"/>
        </w:rPr>
        <w:t xml:space="preserve">   </w:t>
      </w:r>
      <m:oMath>
        <m:r>
          <w:rPr>
            <w:rFonts w:ascii="Cambria Math" w:hAnsi="Cambria Math" w:cstheme="majorBidi"/>
            <w:sz w:val="20"/>
            <w:szCs w:val="20"/>
          </w:rPr>
          <m:t>AFF</m:t>
        </m:r>
        <m:r>
          <w:rPr>
            <w:rFonts w:ascii="Cambria Math" w:hAnsiTheme="majorBidi" w:cstheme="majorBidi"/>
            <w:sz w:val="20"/>
            <w:szCs w:val="20"/>
          </w:rPr>
          <m:t>=</m:t>
        </m:r>
        <m:r>
          <w:rPr>
            <w:rFonts w:ascii="Cambria Math" w:hAnsi="Cambria Math" w:cstheme="majorBidi"/>
            <w:sz w:val="20"/>
            <w:szCs w:val="20"/>
          </w:rPr>
          <m:t>α</m:t>
        </m:r>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β</m:t>
            </m:r>
          </m:e>
          <m:sub>
            <m:r>
              <w:rPr>
                <w:rFonts w:ascii="Cambria Math" w:hAnsiTheme="majorBidi" w:cstheme="majorBidi"/>
                <w:sz w:val="20"/>
                <w:szCs w:val="20"/>
              </w:rPr>
              <m:t>1</m:t>
            </m:r>
          </m:sub>
        </m:sSub>
        <m:r>
          <w:rPr>
            <w:rFonts w:ascii="Cambria Math" w:hAnsi="Cambria Math" w:cstheme="majorBidi"/>
            <w:sz w:val="20"/>
            <w:szCs w:val="20"/>
          </w:rPr>
          <m:t>NTR</m:t>
        </m:r>
        <m:r>
          <w:rPr>
            <w:rFonts w:ascii="Cambria Math" w:hAnsiTheme="majorBidi" w:cstheme="majorBidi"/>
            <w:sz w:val="20"/>
            <w:szCs w:val="20"/>
          </w:rPr>
          <m:t>2004+</m:t>
        </m:r>
        <m:sSub>
          <m:sSubPr>
            <m:ctrlPr>
              <w:rPr>
                <w:rFonts w:ascii="Cambria Math" w:hAnsiTheme="majorBidi" w:cstheme="majorBidi"/>
                <w:i/>
                <w:sz w:val="20"/>
                <w:szCs w:val="20"/>
              </w:rPr>
            </m:ctrlPr>
          </m:sSubPr>
          <m:e>
            <m:r>
              <w:rPr>
                <w:rFonts w:ascii="Cambria Math" w:hAnsi="Cambria Math" w:cstheme="majorBidi"/>
                <w:sz w:val="20"/>
                <w:szCs w:val="20"/>
              </w:rPr>
              <m:t>β</m:t>
            </m:r>
          </m:e>
          <m:sub>
            <m:r>
              <w:rPr>
                <w:rFonts w:ascii="Cambria Math" w:hAnsiTheme="majorBidi" w:cstheme="majorBidi"/>
                <w:sz w:val="20"/>
                <w:szCs w:val="20"/>
              </w:rPr>
              <m:t>2</m:t>
            </m:r>
          </m:sub>
        </m:sSub>
        <m:r>
          <w:rPr>
            <w:rFonts w:ascii="Cambria Math" w:hAnsi="Cambria Math" w:cstheme="majorBidi"/>
            <w:sz w:val="20"/>
            <w:szCs w:val="20"/>
          </w:rPr>
          <m:t>R</m:t>
        </m:r>
        <m:r>
          <w:rPr>
            <w:rFonts w:ascii="Cambria Math" w:hAnsiTheme="majorBidi" w:cstheme="majorBidi"/>
            <w:sz w:val="20"/>
            <w:szCs w:val="20"/>
          </w:rPr>
          <m:t>2004+</m:t>
        </m:r>
        <m:sSub>
          <m:sSubPr>
            <m:ctrlPr>
              <w:rPr>
                <w:rFonts w:ascii="Cambria Math" w:hAnsiTheme="majorBidi" w:cstheme="majorBidi"/>
                <w:i/>
                <w:sz w:val="20"/>
                <w:szCs w:val="20"/>
              </w:rPr>
            </m:ctrlPr>
          </m:sSubPr>
          <m:e>
            <m:r>
              <w:rPr>
                <w:rFonts w:ascii="Cambria Math" w:hAnsi="Cambria Math" w:cstheme="majorBidi"/>
                <w:sz w:val="20"/>
                <w:szCs w:val="20"/>
              </w:rPr>
              <m:t>β</m:t>
            </m:r>
          </m:e>
          <m:sub>
            <m:r>
              <w:rPr>
                <w:rFonts w:ascii="Cambria Math" w:hAnsiTheme="majorBidi" w:cstheme="majorBidi"/>
                <w:sz w:val="20"/>
                <w:szCs w:val="20"/>
              </w:rPr>
              <m:t>3</m:t>
            </m:r>
          </m:sub>
        </m:sSub>
        <m:r>
          <w:rPr>
            <w:rFonts w:ascii="Cambria Math" w:hAnsi="Cambria Math" w:cstheme="majorBidi"/>
            <w:sz w:val="20"/>
            <w:szCs w:val="20"/>
          </w:rPr>
          <m:t>MNGF</m:t>
        </m:r>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β</m:t>
            </m:r>
          </m:e>
          <m:sub>
            <m:r>
              <w:rPr>
                <w:rFonts w:ascii="Cambria Math" w:hAnsiTheme="majorBidi" w:cstheme="majorBidi"/>
                <w:sz w:val="20"/>
                <w:szCs w:val="20"/>
              </w:rPr>
              <m:t>4</m:t>
            </m:r>
          </m:sub>
        </m:sSub>
        <m:r>
          <w:rPr>
            <w:rFonts w:ascii="Cambria Math" w:hAnsi="Cambria Math" w:cstheme="majorBidi"/>
            <w:sz w:val="20"/>
            <w:szCs w:val="20"/>
          </w:rPr>
          <m:t>SIZE</m:t>
        </m:r>
      </m:oMath>
      <w:r w:rsidR="00152CC3" w:rsidRPr="00CD464C">
        <w:rPr>
          <w:rFonts w:asciiTheme="majorBidi" w:hAnsiTheme="majorBidi" w:cstheme="majorBidi"/>
          <w:sz w:val="20"/>
          <w:szCs w:val="20"/>
        </w:rPr>
        <w:t>+</w:t>
      </w:r>
      <m:oMath>
        <m:sSub>
          <m:sSubPr>
            <m:ctrlPr>
              <w:rPr>
                <w:rFonts w:ascii="Cambria Math" w:hAnsiTheme="majorBidi" w:cstheme="majorBidi"/>
                <w:i/>
                <w:sz w:val="20"/>
                <w:szCs w:val="20"/>
              </w:rPr>
            </m:ctrlPr>
          </m:sSubPr>
          <m:e>
            <m:r>
              <w:rPr>
                <w:rFonts w:ascii="Cambria Math" w:hAnsi="Cambria Math" w:cstheme="majorBidi"/>
                <w:sz w:val="20"/>
                <w:szCs w:val="20"/>
              </w:rPr>
              <m:t>β</m:t>
            </m:r>
          </m:e>
          <m:sub>
            <m:r>
              <w:rPr>
                <w:rFonts w:ascii="Cambria Math" w:hAnsiTheme="majorBidi" w:cstheme="majorBidi"/>
                <w:sz w:val="20"/>
                <w:szCs w:val="20"/>
              </w:rPr>
              <m:t>5</m:t>
            </m:r>
          </m:sub>
        </m:sSub>
        <m:r>
          <w:rPr>
            <w:rFonts w:ascii="Cambria Math" w:hAnsi="Cambria Math" w:cstheme="majorBidi"/>
            <w:sz w:val="20"/>
            <w:szCs w:val="20"/>
          </w:rPr>
          <m:t>TRL</m:t>
        </m:r>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β</m:t>
            </m:r>
          </m:e>
          <m:sub>
            <m:r>
              <w:rPr>
                <w:rFonts w:ascii="Cambria Math" w:hAnsiTheme="majorBidi" w:cstheme="majorBidi"/>
                <w:sz w:val="20"/>
                <w:szCs w:val="20"/>
              </w:rPr>
              <m:t>6</m:t>
            </m:r>
          </m:sub>
        </m:sSub>
        <m:sSub>
          <m:sSubPr>
            <m:ctrlPr>
              <w:rPr>
                <w:rFonts w:ascii="Cambria Math" w:hAnsiTheme="majorBidi" w:cstheme="majorBidi"/>
                <w:i/>
                <w:sz w:val="20"/>
                <w:szCs w:val="20"/>
              </w:rPr>
            </m:ctrlPr>
          </m:sSubPr>
          <m:e>
            <m:r>
              <w:rPr>
                <w:rFonts w:ascii="Cambria Math" w:hAnsi="Cambria Math" w:cstheme="majorBidi"/>
                <w:sz w:val="20"/>
                <w:szCs w:val="20"/>
              </w:rPr>
              <m:t>D</m:t>
            </m:r>
          </m:e>
          <m:sub>
            <m:r>
              <w:rPr>
                <w:rFonts w:ascii="Cambria Math" w:hAnsi="Cambria Math" w:cstheme="majorBidi"/>
                <w:sz w:val="20"/>
                <w:szCs w:val="20"/>
              </w:rPr>
              <m:t>i</m:t>
            </m:r>
          </m:sub>
        </m:sSub>
        <m:r>
          <w:rPr>
            <w:rFonts w:ascii="Cambria Math" w:hAnsiTheme="majorBidi" w:cstheme="majorBidi"/>
            <w:sz w:val="20"/>
            <w:szCs w:val="20"/>
          </w:rPr>
          <m:t>+</m:t>
        </m:r>
        <m:r>
          <w:rPr>
            <w:rFonts w:ascii="Cambria Math" w:hAnsi="Cambria Math" w:cstheme="majorBidi"/>
            <w:sz w:val="20"/>
            <w:szCs w:val="20"/>
          </w:rPr>
          <m:t>ε</m:t>
        </m:r>
      </m:oMath>
      <w:r w:rsidR="00152CC3" w:rsidRPr="00CD464C">
        <w:rPr>
          <w:rFonts w:asciiTheme="majorBidi" w:hAnsiTheme="majorBidi" w:cstheme="majorBidi"/>
          <w:sz w:val="20"/>
          <w:szCs w:val="20"/>
        </w:rPr>
        <w:t xml:space="preserve">   (</w:t>
      </w:r>
    </w:p>
    <w:p w:rsidR="00EB2B18" w:rsidRDefault="00EB2B18" w:rsidP="005C179C">
      <w:pPr>
        <w:spacing w:line="360" w:lineRule="auto"/>
        <w:jc w:val="both"/>
        <w:rPr>
          <w:rFonts w:asciiTheme="majorBidi" w:hAnsiTheme="majorBidi" w:cstheme="majorBidi"/>
          <w:sz w:val="20"/>
          <w:szCs w:val="20"/>
        </w:rPr>
      </w:pPr>
    </w:p>
    <w:p w:rsidR="00EB2B18" w:rsidRDefault="0088646F" w:rsidP="005C179C">
      <w:pPr>
        <w:spacing w:line="360" w:lineRule="auto"/>
        <w:jc w:val="both"/>
        <w:rPr>
          <w:rFonts w:asciiTheme="majorBidi" w:hAnsiTheme="majorBidi" w:cstheme="majorBidi"/>
          <w:sz w:val="20"/>
          <w:szCs w:val="20"/>
        </w:rPr>
      </w:pPr>
      <w:r w:rsidRPr="00CD464C">
        <w:rPr>
          <w:rFonts w:asciiTheme="majorBidi" w:hAnsiTheme="majorBidi" w:cstheme="majorBidi"/>
          <w:sz w:val="20"/>
          <w:szCs w:val="20"/>
        </w:rPr>
        <w:t>We show that some of the control variables are insignificant. We find that size (SIZE</w:t>
      </w:r>
      <w:r w:rsidRPr="00CD464C">
        <w:rPr>
          <w:rFonts w:asciiTheme="majorBidi" w:hAnsiTheme="majorBidi" w:cstheme="majorBidi"/>
          <w:i/>
          <w:iCs/>
          <w:sz w:val="20"/>
          <w:szCs w:val="20"/>
        </w:rPr>
        <w:t>)</w:t>
      </w:r>
      <w:r w:rsidRPr="00CD464C">
        <w:rPr>
          <w:rFonts w:asciiTheme="majorBidi" w:hAnsiTheme="majorBidi" w:cstheme="majorBidi"/>
          <w:sz w:val="20"/>
          <w:szCs w:val="20"/>
        </w:rPr>
        <w:t xml:space="preserve"> and management fees (</w:t>
      </w:r>
      <w:r w:rsidRPr="00CD464C">
        <w:rPr>
          <w:rFonts w:asciiTheme="majorBidi" w:hAnsiTheme="majorBidi" w:cstheme="majorBidi"/>
          <w:i/>
          <w:iCs/>
          <w:sz w:val="20"/>
          <w:szCs w:val="20"/>
        </w:rPr>
        <w:t>MNGF</w:t>
      </w:r>
      <w:r w:rsidRPr="00CD464C">
        <w:rPr>
          <w:rFonts w:asciiTheme="majorBidi" w:hAnsiTheme="majorBidi" w:cstheme="majorBidi"/>
          <w:sz w:val="20"/>
          <w:szCs w:val="20"/>
        </w:rPr>
        <w:t xml:space="preserve">) are insignificant under various </w:t>
      </w:r>
      <w:r w:rsidR="00B50D67" w:rsidRPr="00CD464C">
        <w:rPr>
          <w:rFonts w:asciiTheme="majorBidi" w:hAnsiTheme="majorBidi" w:cstheme="majorBidi"/>
          <w:sz w:val="20"/>
          <w:szCs w:val="20"/>
        </w:rPr>
        <w:t xml:space="preserve">checks of </w:t>
      </w:r>
      <w:r w:rsidRPr="00CD464C">
        <w:rPr>
          <w:rFonts w:asciiTheme="majorBidi" w:hAnsiTheme="majorBidi" w:cstheme="majorBidi"/>
          <w:sz w:val="20"/>
          <w:szCs w:val="20"/>
        </w:rPr>
        <w:t>robustness. Raw return i</w:t>
      </w:r>
      <w:r w:rsidRPr="00CD464C">
        <w:rPr>
          <w:rFonts w:asciiTheme="majorBidi" w:hAnsiTheme="majorBidi" w:cstheme="majorBidi"/>
          <w:b/>
          <w:sz w:val="20"/>
          <w:szCs w:val="20"/>
          <w:lang w:eastAsia="he-IL"/>
        </w:rPr>
        <w:t xml:space="preserve">s </w:t>
      </w:r>
      <w:r w:rsidR="00152CC3" w:rsidRPr="00CD464C">
        <w:rPr>
          <w:rFonts w:asciiTheme="majorBidi" w:hAnsiTheme="majorBidi" w:cstheme="majorBidi"/>
          <w:bCs/>
          <w:sz w:val="20"/>
          <w:szCs w:val="20"/>
          <w:lang w:eastAsia="he-IL"/>
        </w:rPr>
        <w:t xml:space="preserve">a </w:t>
      </w:r>
      <w:r w:rsidRPr="00CD464C">
        <w:rPr>
          <w:rFonts w:asciiTheme="majorBidi" w:hAnsiTheme="majorBidi" w:cstheme="majorBidi"/>
          <w:bCs/>
          <w:sz w:val="20"/>
          <w:szCs w:val="20"/>
          <w:lang w:eastAsia="he-IL"/>
        </w:rPr>
        <w:t>significant</w:t>
      </w:r>
      <w:r w:rsidRPr="00CD464C">
        <w:rPr>
          <w:rFonts w:asciiTheme="majorBidi" w:hAnsiTheme="majorBidi" w:cstheme="majorBidi"/>
          <w:bCs/>
          <w:sz w:val="20"/>
          <w:szCs w:val="20"/>
        </w:rPr>
        <w:t xml:space="preserve"> </w:t>
      </w:r>
      <w:r w:rsidR="00152CC3" w:rsidRPr="00CD464C">
        <w:rPr>
          <w:rFonts w:asciiTheme="majorBidi" w:hAnsiTheme="majorBidi" w:cstheme="majorBidi"/>
          <w:bCs/>
          <w:sz w:val="20"/>
          <w:szCs w:val="20"/>
        </w:rPr>
        <w:t>factor</w:t>
      </w:r>
      <w:r w:rsidR="00152CC3" w:rsidRPr="00CD464C">
        <w:rPr>
          <w:rFonts w:asciiTheme="majorBidi" w:hAnsiTheme="majorBidi" w:cstheme="majorBidi"/>
          <w:sz w:val="20"/>
          <w:szCs w:val="20"/>
        </w:rPr>
        <w:t xml:space="preserve"> </w:t>
      </w:r>
      <w:r w:rsidRPr="00CD464C">
        <w:rPr>
          <w:rFonts w:asciiTheme="majorBidi" w:hAnsiTheme="majorBidi" w:cstheme="majorBidi"/>
          <w:sz w:val="20"/>
          <w:szCs w:val="20"/>
        </w:rPr>
        <w:t>under various scenarios.</w:t>
      </w:r>
      <w:r w:rsidRPr="00CD464C">
        <w:rPr>
          <w:rFonts w:asciiTheme="majorBidi" w:hAnsiTheme="majorBidi" w:cstheme="majorBidi"/>
          <w:b/>
          <w:sz w:val="20"/>
          <w:szCs w:val="20"/>
          <w:lang w:eastAsia="he-IL"/>
        </w:rPr>
        <w:t xml:space="preserve"> </w:t>
      </w:r>
      <w:r w:rsidR="005C2FC8" w:rsidRPr="00CD464C">
        <w:rPr>
          <w:rFonts w:asciiTheme="majorBidi" w:hAnsiTheme="majorBidi" w:cstheme="majorBidi"/>
          <w:sz w:val="20"/>
          <w:szCs w:val="20"/>
        </w:rPr>
        <w:t>T</w:t>
      </w:r>
      <w:r w:rsidRPr="00CD464C">
        <w:rPr>
          <w:rFonts w:asciiTheme="majorBidi" w:hAnsiTheme="majorBidi" w:cstheme="majorBidi"/>
          <w:sz w:val="20"/>
          <w:szCs w:val="20"/>
        </w:rPr>
        <w:t xml:space="preserve">he Dummy variables </w:t>
      </w:r>
      <w:r w:rsidRPr="00CD464C">
        <w:rPr>
          <w:rFonts w:asciiTheme="majorBidi" w:hAnsiTheme="majorBidi" w:cstheme="majorBidi"/>
          <w:bCs/>
          <w:sz w:val="20"/>
          <w:szCs w:val="20"/>
          <w:lang w:eastAsia="he-IL"/>
        </w:rPr>
        <w:t>DINS and DPRV</w:t>
      </w:r>
      <w:r w:rsidR="00B50D67" w:rsidRPr="00CD464C">
        <w:rPr>
          <w:rFonts w:asciiTheme="majorBidi" w:hAnsiTheme="majorBidi" w:cstheme="majorBidi"/>
          <w:bCs/>
          <w:sz w:val="20"/>
          <w:szCs w:val="20"/>
          <w:lang w:eastAsia="he-IL"/>
        </w:rPr>
        <w:t>,</w:t>
      </w:r>
      <w:r w:rsidRPr="00CD464C">
        <w:rPr>
          <w:rFonts w:asciiTheme="majorBidi" w:hAnsiTheme="majorBidi" w:cstheme="majorBidi"/>
          <w:bCs/>
          <w:sz w:val="20"/>
          <w:szCs w:val="20"/>
          <w:lang w:eastAsia="he-IL"/>
        </w:rPr>
        <w:t xml:space="preserve"> which control the ownership structure</w:t>
      </w:r>
      <w:r w:rsidR="00B50D67" w:rsidRPr="00CD464C">
        <w:rPr>
          <w:rFonts w:asciiTheme="majorBidi" w:hAnsiTheme="majorBidi" w:cstheme="majorBidi"/>
          <w:bCs/>
          <w:sz w:val="20"/>
          <w:szCs w:val="20"/>
          <w:lang w:eastAsia="he-IL"/>
        </w:rPr>
        <w:t>,</w:t>
      </w:r>
      <w:r w:rsidRPr="00CD464C">
        <w:rPr>
          <w:rFonts w:asciiTheme="majorBidi" w:hAnsiTheme="majorBidi" w:cstheme="majorBidi"/>
          <w:bCs/>
          <w:sz w:val="20"/>
          <w:szCs w:val="20"/>
          <w:lang w:eastAsia="he-IL"/>
        </w:rPr>
        <w:t xml:space="preserve"> </w:t>
      </w:r>
      <w:r w:rsidRPr="00CD464C">
        <w:rPr>
          <w:rFonts w:asciiTheme="majorBidi" w:hAnsiTheme="majorBidi" w:cstheme="majorBidi"/>
          <w:bCs/>
          <w:sz w:val="20"/>
          <w:szCs w:val="20"/>
        </w:rPr>
        <w:t>are also</w:t>
      </w:r>
      <w:r w:rsidRPr="00CD464C">
        <w:rPr>
          <w:rFonts w:asciiTheme="majorBidi" w:hAnsiTheme="majorBidi" w:cstheme="majorBidi"/>
          <w:bCs/>
          <w:sz w:val="20"/>
          <w:szCs w:val="20"/>
          <w:lang w:eastAsia="he-IL"/>
        </w:rPr>
        <w:t xml:space="preserve"> significant; it suggests that investors</w:t>
      </w:r>
      <w:r w:rsidR="00B50D67" w:rsidRPr="00CD464C">
        <w:rPr>
          <w:rFonts w:asciiTheme="majorBidi" w:hAnsiTheme="majorBidi" w:cstheme="majorBidi"/>
          <w:bCs/>
          <w:sz w:val="20"/>
          <w:szCs w:val="20"/>
          <w:lang w:eastAsia="he-IL"/>
        </w:rPr>
        <w:t>,</w:t>
      </w:r>
      <w:r w:rsidRPr="00CD464C">
        <w:rPr>
          <w:rFonts w:asciiTheme="majorBidi" w:hAnsiTheme="majorBidi" w:cstheme="majorBidi"/>
          <w:bCs/>
          <w:sz w:val="20"/>
          <w:szCs w:val="20"/>
          <w:lang w:eastAsia="he-IL"/>
        </w:rPr>
        <w:t xml:space="preserve"> who reallocate their investments</w:t>
      </w:r>
      <w:r w:rsidR="00B50D67" w:rsidRPr="00CD464C">
        <w:rPr>
          <w:rFonts w:asciiTheme="majorBidi" w:hAnsiTheme="majorBidi" w:cstheme="majorBidi"/>
          <w:bCs/>
          <w:sz w:val="20"/>
          <w:szCs w:val="20"/>
          <w:lang w:eastAsia="he-IL"/>
        </w:rPr>
        <w:t>,</w:t>
      </w:r>
      <w:r w:rsidRPr="00CD464C">
        <w:rPr>
          <w:rFonts w:asciiTheme="majorBidi" w:hAnsiTheme="majorBidi" w:cstheme="majorBidi"/>
          <w:bCs/>
          <w:sz w:val="20"/>
          <w:szCs w:val="20"/>
          <w:lang w:eastAsia="he-IL"/>
        </w:rPr>
        <w:t xml:space="preserve"> base their decision on the fund</w:t>
      </w:r>
      <w:r w:rsidRPr="00CD464C">
        <w:rPr>
          <w:rFonts w:asciiTheme="majorBidi" w:hAnsiTheme="majorBidi" w:cstheme="majorBidi"/>
          <w:bCs/>
          <w:sz w:val="20"/>
          <w:szCs w:val="20"/>
        </w:rPr>
        <w:t>’</w:t>
      </w:r>
      <w:r w:rsidRPr="00CD464C">
        <w:rPr>
          <w:rFonts w:asciiTheme="majorBidi" w:hAnsiTheme="majorBidi" w:cstheme="majorBidi"/>
          <w:bCs/>
          <w:sz w:val="20"/>
          <w:szCs w:val="20"/>
          <w:lang w:eastAsia="he-IL"/>
        </w:rPr>
        <w:t>s owner, regardless of its performance. This type of information is biased, since not all private funds exceed the synthetic</w:t>
      </w:r>
      <w:r w:rsidRPr="00CD464C">
        <w:rPr>
          <w:rFonts w:asciiTheme="majorBidi" w:hAnsiTheme="majorBidi" w:cstheme="majorBidi"/>
          <w:b/>
          <w:sz w:val="20"/>
          <w:szCs w:val="20"/>
          <w:lang w:eastAsia="he-IL"/>
        </w:rPr>
        <w:t xml:space="preserve"> </w:t>
      </w:r>
      <w:r w:rsidRPr="00CD464C">
        <w:rPr>
          <w:rFonts w:asciiTheme="majorBidi" w:hAnsiTheme="majorBidi" w:cstheme="majorBidi"/>
          <w:sz w:val="20"/>
          <w:szCs w:val="20"/>
        </w:rPr>
        <w:t>benchmark</w:t>
      </w:r>
      <w:r w:rsidRPr="00CD464C">
        <w:rPr>
          <w:rFonts w:asciiTheme="majorBidi" w:hAnsiTheme="majorBidi" w:cstheme="majorBidi"/>
          <w:b/>
          <w:sz w:val="20"/>
          <w:szCs w:val="20"/>
          <w:lang w:eastAsia="he-IL"/>
        </w:rPr>
        <w:t>.</w:t>
      </w:r>
    </w:p>
    <w:p w:rsidR="00EB2B18" w:rsidRDefault="0088646F" w:rsidP="005C179C">
      <w:pPr>
        <w:pStyle w:val="3"/>
        <w:bidi w:val="0"/>
        <w:spacing w:line="360" w:lineRule="auto"/>
        <w:rPr>
          <w:rFonts w:asciiTheme="majorBidi" w:hAnsiTheme="majorBidi" w:cstheme="majorBidi"/>
          <w:sz w:val="24"/>
          <w:szCs w:val="24"/>
        </w:rPr>
      </w:pPr>
      <w:r w:rsidRPr="003770E1">
        <w:rPr>
          <w:rFonts w:asciiTheme="majorBidi" w:hAnsiTheme="majorBidi" w:cstheme="majorBidi"/>
          <w:sz w:val="24"/>
          <w:szCs w:val="24"/>
        </w:rPr>
        <w:lastRenderedPageBreak/>
        <w:t>Table 7 Panel B</w:t>
      </w:r>
    </w:p>
    <w:p w:rsidR="00EB2B18" w:rsidRDefault="00EB2B18" w:rsidP="005C179C">
      <w:pPr>
        <w:spacing w:line="360" w:lineRule="auto"/>
        <w:rPr>
          <w:rFonts w:asciiTheme="majorBidi" w:hAnsiTheme="majorBidi" w:cstheme="majorBidi"/>
          <w:sz w:val="22"/>
          <w:szCs w:val="22"/>
          <w:lang w:eastAsia="he-IL"/>
        </w:rPr>
      </w:pPr>
    </w:p>
    <w:tbl>
      <w:tblPr>
        <w:tblW w:w="63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8"/>
        <w:gridCol w:w="1266"/>
        <w:gridCol w:w="1054"/>
        <w:gridCol w:w="1033"/>
        <w:gridCol w:w="87"/>
        <w:gridCol w:w="1033"/>
      </w:tblGrid>
      <w:tr w:rsidR="00743CEB" w:rsidRPr="00CD464C">
        <w:trPr>
          <w:gridAfter w:val="4"/>
          <w:wAfter w:w="3207" w:type="dxa"/>
          <w:trHeight w:val="255"/>
        </w:trPr>
        <w:tc>
          <w:tcPr>
            <w:tcW w:w="3154" w:type="dxa"/>
            <w:gridSpan w:val="2"/>
            <w:noWrap/>
            <w:vAlign w:val="bottom"/>
          </w:tcPr>
          <w:p w:rsidR="00EB2B18" w:rsidRDefault="00743CEB"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Dependent Variable: AFF</w:t>
            </w:r>
          </w:p>
        </w:tc>
      </w:tr>
      <w:tr w:rsidR="00743CEB" w:rsidRPr="00CD464C">
        <w:trPr>
          <w:gridAfter w:val="4"/>
          <w:wAfter w:w="3207" w:type="dxa"/>
          <w:trHeight w:val="255"/>
        </w:trPr>
        <w:tc>
          <w:tcPr>
            <w:tcW w:w="3154" w:type="dxa"/>
            <w:gridSpan w:val="2"/>
            <w:noWrap/>
            <w:vAlign w:val="bottom"/>
          </w:tcPr>
          <w:p w:rsidR="00EB2B18" w:rsidRDefault="00743CEB"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Method: Least Squares</w:t>
            </w:r>
          </w:p>
        </w:tc>
      </w:tr>
      <w:tr w:rsidR="0088646F" w:rsidRPr="00CD464C">
        <w:trPr>
          <w:gridAfter w:val="1"/>
          <w:wAfter w:w="1033" w:type="dxa"/>
          <w:trHeight w:val="255"/>
        </w:trPr>
        <w:tc>
          <w:tcPr>
            <w:tcW w:w="4208" w:type="dxa"/>
            <w:gridSpan w:val="3"/>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Sample (adjusted): 2 -773 IF DBANK = 1</w:t>
            </w:r>
          </w:p>
        </w:tc>
        <w:tc>
          <w:tcPr>
            <w:tcW w:w="1120" w:type="dxa"/>
            <w:gridSpan w:val="2"/>
            <w:noWrap/>
            <w:vAlign w:val="bottom"/>
          </w:tcPr>
          <w:p w:rsidR="00EB2B18" w:rsidRDefault="00EB2B18" w:rsidP="005C179C">
            <w:pPr>
              <w:spacing w:line="360" w:lineRule="auto"/>
              <w:jc w:val="both"/>
              <w:rPr>
                <w:rFonts w:asciiTheme="majorBidi" w:hAnsiTheme="majorBidi" w:cstheme="majorBidi"/>
                <w:sz w:val="18"/>
                <w:szCs w:val="18"/>
              </w:rPr>
            </w:pPr>
          </w:p>
        </w:tc>
      </w:tr>
      <w:tr w:rsidR="0088646F" w:rsidRPr="00CD464C">
        <w:trPr>
          <w:gridAfter w:val="1"/>
          <w:wAfter w:w="1033" w:type="dxa"/>
          <w:trHeight w:val="255"/>
        </w:trPr>
        <w:tc>
          <w:tcPr>
            <w:tcW w:w="188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Variable</w:t>
            </w:r>
          </w:p>
        </w:tc>
        <w:tc>
          <w:tcPr>
            <w:tcW w:w="1266"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Coefficient</w:t>
            </w:r>
          </w:p>
        </w:tc>
        <w:tc>
          <w:tcPr>
            <w:tcW w:w="1054"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Std. Error</w:t>
            </w:r>
          </w:p>
        </w:tc>
        <w:tc>
          <w:tcPr>
            <w:tcW w:w="1120" w:type="dxa"/>
            <w:gridSpan w:val="2"/>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Prob.</w:t>
            </w:r>
          </w:p>
        </w:tc>
      </w:tr>
      <w:tr w:rsidR="0088646F" w:rsidRPr="00CD464C">
        <w:trPr>
          <w:gridAfter w:val="1"/>
          <w:wAfter w:w="1033" w:type="dxa"/>
          <w:trHeight w:val="255"/>
        </w:trPr>
        <w:tc>
          <w:tcPr>
            <w:tcW w:w="188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C</w:t>
            </w:r>
          </w:p>
        </w:tc>
        <w:tc>
          <w:tcPr>
            <w:tcW w:w="1266"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32.507</w:t>
            </w:r>
          </w:p>
        </w:tc>
        <w:tc>
          <w:tcPr>
            <w:tcW w:w="1054"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33.316</w:t>
            </w:r>
          </w:p>
        </w:tc>
        <w:tc>
          <w:tcPr>
            <w:tcW w:w="1120" w:type="dxa"/>
            <w:gridSpan w:val="2"/>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0.331</w:t>
            </w:r>
          </w:p>
        </w:tc>
      </w:tr>
      <w:tr w:rsidR="0088646F" w:rsidRPr="00CD464C">
        <w:trPr>
          <w:gridAfter w:val="1"/>
          <w:wAfter w:w="1033" w:type="dxa"/>
          <w:trHeight w:val="255"/>
        </w:trPr>
        <w:tc>
          <w:tcPr>
            <w:tcW w:w="188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NTR2004</w:t>
            </w:r>
          </w:p>
        </w:tc>
        <w:tc>
          <w:tcPr>
            <w:tcW w:w="1266"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-15.44</w:t>
            </w:r>
          </w:p>
        </w:tc>
        <w:tc>
          <w:tcPr>
            <w:tcW w:w="1054"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0.669</w:t>
            </w:r>
          </w:p>
        </w:tc>
        <w:tc>
          <w:tcPr>
            <w:tcW w:w="1120" w:type="dxa"/>
            <w:gridSpan w:val="2"/>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0.013**</w:t>
            </w:r>
          </w:p>
        </w:tc>
      </w:tr>
      <w:tr w:rsidR="0088646F" w:rsidRPr="00CD464C">
        <w:trPr>
          <w:gridAfter w:val="1"/>
          <w:wAfter w:w="1033" w:type="dxa"/>
          <w:trHeight w:val="255"/>
        </w:trPr>
        <w:tc>
          <w:tcPr>
            <w:tcW w:w="188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FUNDAGE</w:t>
            </w:r>
          </w:p>
        </w:tc>
        <w:tc>
          <w:tcPr>
            <w:tcW w:w="1266"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1.058</w:t>
            </w:r>
          </w:p>
        </w:tc>
        <w:tc>
          <w:tcPr>
            <w:tcW w:w="1054"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0.487</w:t>
            </w:r>
          </w:p>
        </w:tc>
        <w:tc>
          <w:tcPr>
            <w:tcW w:w="1120" w:type="dxa"/>
            <w:gridSpan w:val="2"/>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0.032**</w:t>
            </w:r>
          </w:p>
        </w:tc>
      </w:tr>
      <w:tr w:rsidR="0088646F" w:rsidRPr="00CD464C">
        <w:trPr>
          <w:gridAfter w:val="1"/>
          <w:wAfter w:w="1033" w:type="dxa"/>
          <w:trHeight w:val="255"/>
        </w:trPr>
        <w:tc>
          <w:tcPr>
            <w:tcW w:w="188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R20034</w:t>
            </w:r>
          </w:p>
        </w:tc>
        <w:tc>
          <w:tcPr>
            <w:tcW w:w="1266"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10.179</w:t>
            </w:r>
          </w:p>
        </w:tc>
        <w:tc>
          <w:tcPr>
            <w:tcW w:w="1054"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30.634</w:t>
            </w:r>
          </w:p>
        </w:tc>
        <w:tc>
          <w:tcPr>
            <w:tcW w:w="1120" w:type="dxa"/>
            <w:gridSpan w:val="2"/>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0.740</w:t>
            </w:r>
          </w:p>
        </w:tc>
      </w:tr>
      <w:tr w:rsidR="0088646F" w:rsidRPr="00CD464C">
        <w:trPr>
          <w:gridAfter w:val="1"/>
          <w:wAfter w:w="1033" w:type="dxa"/>
          <w:trHeight w:val="255"/>
        </w:trPr>
        <w:tc>
          <w:tcPr>
            <w:tcW w:w="188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RAR2004</w:t>
            </w:r>
          </w:p>
        </w:tc>
        <w:tc>
          <w:tcPr>
            <w:tcW w:w="1266"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18.758</w:t>
            </w:r>
          </w:p>
        </w:tc>
        <w:tc>
          <w:tcPr>
            <w:tcW w:w="1054"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6.062</w:t>
            </w:r>
          </w:p>
        </w:tc>
        <w:tc>
          <w:tcPr>
            <w:tcW w:w="1120" w:type="dxa"/>
            <w:gridSpan w:val="2"/>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0.002***</w:t>
            </w:r>
          </w:p>
        </w:tc>
      </w:tr>
      <w:tr w:rsidR="0088646F" w:rsidRPr="00CD464C">
        <w:trPr>
          <w:gridAfter w:val="1"/>
          <w:wAfter w:w="1033" w:type="dxa"/>
          <w:trHeight w:val="255"/>
        </w:trPr>
        <w:tc>
          <w:tcPr>
            <w:tcW w:w="188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SIZE</w:t>
            </w:r>
          </w:p>
        </w:tc>
        <w:tc>
          <w:tcPr>
            <w:tcW w:w="1266"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-0.002</w:t>
            </w:r>
          </w:p>
        </w:tc>
        <w:tc>
          <w:tcPr>
            <w:tcW w:w="1054"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0.001</w:t>
            </w:r>
          </w:p>
        </w:tc>
        <w:tc>
          <w:tcPr>
            <w:tcW w:w="1120" w:type="dxa"/>
            <w:gridSpan w:val="2"/>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0.019**</w:t>
            </w:r>
          </w:p>
        </w:tc>
      </w:tr>
      <w:tr w:rsidR="0088646F" w:rsidRPr="00CD464C">
        <w:trPr>
          <w:gridAfter w:val="1"/>
          <w:wAfter w:w="1033" w:type="dxa"/>
          <w:trHeight w:val="255"/>
        </w:trPr>
        <w:tc>
          <w:tcPr>
            <w:tcW w:w="188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TRL</w:t>
            </w:r>
          </w:p>
        </w:tc>
        <w:tc>
          <w:tcPr>
            <w:tcW w:w="1266"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2.566</w:t>
            </w:r>
          </w:p>
        </w:tc>
        <w:tc>
          <w:tcPr>
            <w:tcW w:w="1054"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2.319</w:t>
            </w:r>
          </w:p>
        </w:tc>
        <w:tc>
          <w:tcPr>
            <w:tcW w:w="1120" w:type="dxa"/>
            <w:gridSpan w:val="2"/>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0.271</w:t>
            </w:r>
          </w:p>
        </w:tc>
      </w:tr>
      <w:tr w:rsidR="0088646F" w:rsidRPr="00CD464C">
        <w:trPr>
          <w:trHeight w:val="255"/>
        </w:trPr>
        <w:tc>
          <w:tcPr>
            <w:tcW w:w="188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R-squared</w:t>
            </w:r>
          </w:p>
        </w:tc>
        <w:tc>
          <w:tcPr>
            <w:tcW w:w="1266"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0.262</w:t>
            </w:r>
          </w:p>
        </w:tc>
        <w:tc>
          <w:tcPr>
            <w:tcW w:w="2087" w:type="dxa"/>
            <w:gridSpan w:val="2"/>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 xml:space="preserve">  Mean dependent var</w:t>
            </w:r>
          </w:p>
        </w:tc>
        <w:tc>
          <w:tcPr>
            <w:tcW w:w="1120" w:type="dxa"/>
            <w:gridSpan w:val="2"/>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56.13</w:t>
            </w:r>
          </w:p>
        </w:tc>
      </w:tr>
      <w:tr w:rsidR="0088646F" w:rsidRPr="00CD464C">
        <w:trPr>
          <w:trHeight w:val="255"/>
        </w:trPr>
        <w:tc>
          <w:tcPr>
            <w:tcW w:w="188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Adjusted R-squared</w:t>
            </w:r>
          </w:p>
        </w:tc>
        <w:tc>
          <w:tcPr>
            <w:tcW w:w="1266"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0.227</w:t>
            </w:r>
          </w:p>
        </w:tc>
        <w:tc>
          <w:tcPr>
            <w:tcW w:w="2087" w:type="dxa"/>
            <w:gridSpan w:val="2"/>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 xml:space="preserve">  S.D. dependent var</w:t>
            </w:r>
          </w:p>
        </w:tc>
        <w:tc>
          <w:tcPr>
            <w:tcW w:w="1120" w:type="dxa"/>
            <w:gridSpan w:val="2"/>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108.06</w:t>
            </w:r>
          </w:p>
        </w:tc>
      </w:tr>
    </w:tbl>
    <w:p w:rsidR="00EB2B18" w:rsidRDefault="005E54B8"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 rejected at 0.99 ** rejected at 0.95 * rejected at 0.90</w:t>
      </w:r>
    </w:p>
    <w:p w:rsidR="00EB2B18" w:rsidRDefault="00EB2B18" w:rsidP="005C179C">
      <w:pPr>
        <w:spacing w:line="360" w:lineRule="auto"/>
        <w:jc w:val="both"/>
        <w:rPr>
          <w:rFonts w:asciiTheme="majorBidi" w:hAnsiTheme="majorBidi" w:cstheme="majorBidi"/>
          <w:sz w:val="18"/>
          <w:szCs w:val="18"/>
        </w:rPr>
      </w:pPr>
    </w:p>
    <w:p w:rsidR="00EB2B18" w:rsidRDefault="0088646F" w:rsidP="005C179C">
      <w:pPr>
        <w:spacing w:line="360" w:lineRule="auto"/>
        <w:rPr>
          <w:rFonts w:asciiTheme="majorBidi" w:hAnsiTheme="majorBidi" w:cstheme="majorBidi"/>
          <w:sz w:val="20"/>
          <w:szCs w:val="20"/>
        </w:rPr>
      </w:pPr>
      <w:r w:rsidRPr="00CD464C">
        <w:rPr>
          <w:rFonts w:asciiTheme="majorBidi" w:hAnsiTheme="majorBidi" w:cstheme="majorBidi"/>
          <w:sz w:val="20"/>
          <w:szCs w:val="20"/>
        </w:rPr>
        <w:t xml:space="preserve">Table 7 panel B shows the results for the FoF of the sector of funds owned by the banks. The regression is  : </w:t>
      </w:r>
      <w:r w:rsidR="007848F8" w:rsidRPr="00CD464C">
        <w:rPr>
          <w:rFonts w:asciiTheme="majorBidi" w:hAnsiTheme="majorBidi" w:cstheme="majorBidi"/>
          <w:sz w:val="20"/>
          <w:szCs w:val="20"/>
        </w:rPr>
        <w:fldChar w:fldCharType="begin"/>
      </w:r>
      <w:r w:rsidRPr="00CD464C">
        <w:rPr>
          <w:rFonts w:asciiTheme="majorBidi" w:hAnsiTheme="majorBidi" w:cstheme="majorBidi"/>
          <w:sz w:val="20"/>
          <w:szCs w:val="20"/>
        </w:rPr>
        <w:instrText xml:space="preserve"> QUOTE </w:instrText>
      </w:r>
      <w:r w:rsidR="00650398" w:rsidRPr="00CD464C">
        <w:rPr>
          <w:rFonts w:asciiTheme="majorBidi" w:hAnsiTheme="majorBidi" w:cstheme="majorBidi"/>
          <w:noProof/>
          <w:sz w:val="20"/>
          <w:szCs w:val="20"/>
        </w:rPr>
        <w:drawing>
          <wp:inline distT="0" distB="0" distL="0" distR="0">
            <wp:extent cx="3524250" cy="17145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1" cstate="print">
                      <a:clrChange>
                        <a:clrFrom>
                          <a:srgbClr val="FFFFFF"/>
                        </a:clrFrom>
                        <a:clrTo>
                          <a:srgbClr val="FFFFFF">
                            <a:alpha val="0"/>
                          </a:srgbClr>
                        </a:clrTo>
                      </a:clrChange>
                    </a:blip>
                    <a:srcRect/>
                    <a:stretch>
                      <a:fillRect/>
                    </a:stretch>
                  </pic:blipFill>
                  <pic:spPr bwMode="auto">
                    <a:xfrm>
                      <a:off x="0" y="0"/>
                      <a:ext cx="3524250" cy="171450"/>
                    </a:xfrm>
                    <a:prstGeom prst="rect">
                      <a:avLst/>
                    </a:prstGeom>
                    <a:noFill/>
                    <a:ln w="9525">
                      <a:noFill/>
                      <a:miter lim="800000"/>
                      <a:headEnd/>
                      <a:tailEnd/>
                    </a:ln>
                  </pic:spPr>
                </pic:pic>
              </a:graphicData>
            </a:graphic>
          </wp:inline>
        </w:drawing>
      </w:r>
      <w:r w:rsidRPr="00CD464C">
        <w:rPr>
          <w:rFonts w:asciiTheme="majorBidi" w:hAnsiTheme="majorBidi" w:cstheme="majorBidi"/>
          <w:sz w:val="20"/>
          <w:szCs w:val="20"/>
        </w:rPr>
        <w:instrText xml:space="preserve"> </w:instrText>
      </w:r>
      <w:r w:rsidR="007848F8" w:rsidRPr="00CD464C">
        <w:rPr>
          <w:rFonts w:asciiTheme="majorBidi" w:hAnsiTheme="majorBidi" w:cstheme="majorBidi"/>
          <w:sz w:val="20"/>
          <w:szCs w:val="20"/>
        </w:rPr>
        <w:fldChar w:fldCharType="separate"/>
      </w:r>
      <w:r w:rsidR="00650398" w:rsidRPr="00CD464C">
        <w:rPr>
          <w:rFonts w:asciiTheme="majorBidi" w:hAnsiTheme="majorBidi" w:cstheme="majorBidi"/>
          <w:noProof/>
          <w:sz w:val="20"/>
          <w:szCs w:val="20"/>
        </w:rPr>
        <w:drawing>
          <wp:inline distT="0" distB="0" distL="0" distR="0">
            <wp:extent cx="3524250" cy="171450"/>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1" cstate="print">
                      <a:clrChange>
                        <a:clrFrom>
                          <a:srgbClr val="FFFFFF"/>
                        </a:clrFrom>
                        <a:clrTo>
                          <a:srgbClr val="FFFFFF">
                            <a:alpha val="0"/>
                          </a:srgbClr>
                        </a:clrTo>
                      </a:clrChange>
                    </a:blip>
                    <a:srcRect/>
                    <a:stretch>
                      <a:fillRect/>
                    </a:stretch>
                  </pic:blipFill>
                  <pic:spPr bwMode="auto">
                    <a:xfrm>
                      <a:off x="0" y="0"/>
                      <a:ext cx="3524250" cy="171450"/>
                    </a:xfrm>
                    <a:prstGeom prst="rect">
                      <a:avLst/>
                    </a:prstGeom>
                    <a:noFill/>
                    <a:ln w="9525">
                      <a:noFill/>
                      <a:miter lim="800000"/>
                      <a:headEnd/>
                      <a:tailEnd/>
                    </a:ln>
                  </pic:spPr>
                </pic:pic>
              </a:graphicData>
            </a:graphic>
          </wp:inline>
        </w:drawing>
      </w:r>
      <w:r w:rsidR="007848F8" w:rsidRPr="00CD464C">
        <w:rPr>
          <w:rFonts w:asciiTheme="majorBidi" w:hAnsiTheme="majorBidi" w:cstheme="majorBidi"/>
          <w:sz w:val="20"/>
          <w:szCs w:val="20"/>
        </w:rPr>
        <w:fldChar w:fldCharType="end"/>
      </w:r>
      <w:r w:rsidRPr="00CD464C">
        <w:rPr>
          <w:rFonts w:asciiTheme="majorBidi" w:hAnsiTheme="majorBidi" w:cstheme="majorBidi"/>
          <w:sz w:val="20"/>
          <w:szCs w:val="20"/>
        </w:rPr>
        <w:t>+</w:t>
      </w:r>
      <w:r w:rsidR="007848F8" w:rsidRPr="00CD464C">
        <w:rPr>
          <w:rFonts w:asciiTheme="majorBidi" w:hAnsiTheme="majorBidi" w:cstheme="majorBidi"/>
          <w:sz w:val="20"/>
          <w:szCs w:val="20"/>
        </w:rPr>
        <w:fldChar w:fldCharType="begin"/>
      </w:r>
      <w:r w:rsidRPr="00CD464C">
        <w:rPr>
          <w:rFonts w:asciiTheme="majorBidi" w:hAnsiTheme="majorBidi" w:cstheme="majorBidi"/>
          <w:sz w:val="20"/>
          <w:szCs w:val="20"/>
        </w:rPr>
        <w:instrText xml:space="preserve"> QUOTE </w:instrText>
      </w:r>
      <w:r w:rsidR="00650398" w:rsidRPr="00CD464C">
        <w:rPr>
          <w:rFonts w:asciiTheme="majorBidi" w:hAnsiTheme="majorBidi" w:cstheme="majorBidi"/>
          <w:noProof/>
          <w:sz w:val="20"/>
          <w:szCs w:val="20"/>
        </w:rPr>
        <w:drawing>
          <wp:inline distT="0" distB="0" distL="0" distR="0">
            <wp:extent cx="685800" cy="142875"/>
            <wp:effectExtent l="1905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3" cstate="print">
                      <a:clrChange>
                        <a:clrFrom>
                          <a:srgbClr val="FFFFFF"/>
                        </a:clrFrom>
                        <a:clrTo>
                          <a:srgbClr val="FFFFFF">
                            <a:alpha val="0"/>
                          </a:srgbClr>
                        </a:clrTo>
                      </a:clrChange>
                    </a:blip>
                    <a:srcRect/>
                    <a:stretch>
                      <a:fillRect/>
                    </a:stretch>
                  </pic:blipFill>
                  <pic:spPr bwMode="auto">
                    <a:xfrm>
                      <a:off x="0" y="0"/>
                      <a:ext cx="685800" cy="142875"/>
                    </a:xfrm>
                    <a:prstGeom prst="rect">
                      <a:avLst/>
                    </a:prstGeom>
                    <a:noFill/>
                    <a:ln w="9525">
                      <a:noFill/>
                      <a:miter lim="800000"/>
                      <a:headEnd/>
                      <a:tailEnd/>
                    </a:ln>
                  </pic:spPr>
                </pic:pic>
              </a:graphicData>
            </a:graphic>
          </wp:inline>
        </w:drawing>
      </w:r>
      <w:r w:rsidRPr="00CD464C">
        <w:rPr>
          <w:rFonts w:asciiTheme="majorBidi" w:hAnsiTheme="majorBidi" w:cstheme="majorBidi"/>
          <w:sz w:val="20"/>
          <w:szCs w:val="20"/>
        </w:rPr>
        <w:instrText xml:space="preserve"> </w:instrText>
      </w:r>
      <w:r w:rsidR="007848F8" w:rsidRPr="00CD464C">
        <w:rPr>
          <w:rFonts w:asciiTheme="majorBidi" w:hAnsiTheme="majorBidi" w:cstheme="majorBidi"/>
          <w:sz w:val="20"/>
          <w:szCs w:val="20"/>
        </w:rPr>
        <w:fldChar w:fldCharType="separate"/>
      </w:r>
      <w:r w:rsidR="00650398" w:rsidRPr="00CD464C">
        <w:rPr>
          <w:rFonts w:asciiTheme="majorBidi" w:hAnsiTheme="majorBidi" w:cstheme="majorBidi"/>
          <w:noProof/>
          <w:sz w:val="20"/>
          <w:szCs w:val="20"/>
        </w:rPr>
        <w:drawing>
          <wp:inline distT="0" distB="0" distL="0" distR="0">
            <wp:extent cx="685800" cy="142875"/>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3" cstate="print">
                      <a:clrChange>
                        <a:clrFrom>
                          <a:srgbClr val="FFFFFF"/>
                        </a:clrFrom>
                        <a:clrTo>
                          <a:srgbClr val="FFFFFF">
                            <a:alpha val="0"/>
                          </a:srgbClr>
                        </a:clrTo>
                      </a:clrChange>
                    </a:blip>
                    <a:srcRect/>
                    <a:stretch>
                      <a:fillRect/>
                    </a:stretch>
                  </pic:blipFill>
                  <pic:spPr bwMode="auto">
                    <a:xfrm>
                      <a:off x="0" y="0"/>
                      <a:ext cx="685800" cy="142875"/>
                    </a:xfrm>
                    <a:prstGeom prst="rect">
                      <a:avLst/>
                    </a:prstGeom>
                    <a:noFill/>
                    <a:ln w="9525">
                      <a:noFill/>
                      <a:miter lim="800000"/>
                      <a:headEnd/>
                      <a:tailEnd/>
                    </a:ln>
                  </pic:spPr>
                </pic:pic>
              </a:graphicData>
            </a:graphic>
          </wp:inline>
        </w:drawing>
      </w:r>
      <w:r w:rsidR="007848F8" w:rsidRPr="00CD464C">
        <w:rPr>
          <w:rFonts w:asciiTheme="majorBidi" w:hAnsiTheme="majorBidi" w:cstheme="majorBidi"/>
          <w:sz w:val="20"/>
          <w:szCs w:val="20"/>
        </w:rPr>
        <w:fldChar w:fldCharType="end"/>
      </w:r>
      <w:r w:rsidRPr="00CD464C">
        <w:rPr>
          <w:rFonts w:asciiTheme="majorBidi" w:hAnsiTheme="majorBidi" w:cstheme="majorBidi"/>
          <w:sz w:val="20"/>
          <w:szCs w:val="20"/>
        </w:rPr>
        <w:t xml:space="preserve">  . We show that some of the control variables are significant within the subsample.   </w:t>
      </w:r>
      <w:r w:rsidR="005C2FC8" w:rsidRPr="00CD464C">
        <w:rPr>
          <w:rFonts w:asciiTheme="majorBidi" w:hAnsiTheme="majorBidi" w:cstheme="majorBidi"/>
          <w:sz w:val="20"/>
          <w:szCs w:val="20"/>
        </w:rPr>
        <w:t>S</w:t>
      </w:r>
      <w:r w:rsidRPr="00CD464C">
        <w:rPr>
          <w:rFonts w:asciiTheme="majorBidi" w:hAnsiTheme="majorBidi" w:cstheme="majorBidi"/>
          <w:sz w:val="20"/>
          <w:szCs w:val="20"/>
        </w:rPr>
        <w:t>ize (SIZE</w:t>
      </w:r>
      <w:r w:rsidRPr="00CD464C">
        <w:rPr>
          <w:rFonts w:asciiTheme="majorBidi" w:hAnsiTheme="majorBidi" w:cstheme="majorBidi"/>
          <w:i/>
          <w:iCs/>
          <w:sz w:val="20"/>
          <w:szCs w:val="20"/>
        </w:rPr>
        <w:t>)</w:t>
      </w:r>
      <w:r w:rsidRPr="00CD464C">
        <w:rPr>
          <w:rFonts w:asciiTheme="majorBidi" w:hAnsiTheme="majorBidi" w:cstheme="majorBidi"/>
          <w:sz w:val="20"/>
          <w:szCs w:val="20"/>
        </w:rPr>
        <w:t xml:space="preserve"> and the fund’s vintage (FUNDAGE) are significant</w:t>
      </w:r>
      <w:r w:rsidR="00672017" w:rsidRPr="00CD464C">
        <w:rPr>
          <w:rFonts w:asciiTheme="majorBidi" w:hAnsiTheme="majorBidi" w:cstheme="majorBidi"/>
          <w:sz w:val="20"/>
          <w:szCs w:val="20"/>
        </w:rPr>
        <w:t>.</w:t>
      </w:r>
      <w:r w:rsidRPr="00CD464C">
        <w:rPr>
          <w:rFonts w:asciiTheme="majorBidi" w:hAnsiTheme="majorBidi" w:cstheme="majorBidi"/>
          <w:sz w:val="20"/>
          <w:szCs w:val="20"/>
        </w:rPr>
        <w:t xml:space="preserve"> Risk adjusted return is significant only for this subsample. A plausible explanation is that many of the banks </w:t>
      </w:r>
      <w:r w:rsidR="00B50D67" w:rsidRPr="00CD464C">
        <w:rPr>
          <w:rFonts w:asciiTheme="majorBidi" w:hAnsiTheme="majorBidi" w:cstheme="majorBidi"/>
          <w:sz w:val="20"/>
          <w:szCs w:val="20"/>
        </w:rPr>
        <w:t xml:space="preserve">have </w:t>
      </w:r>
      <w:r w:rsidRPr="00CD464C">
        <w:rPr>
          <w:rFonts w:asciiTheme="majorBidi" w:hAnsiTheme="majorBidi" w:cstheme="majorBidi"/>
          <w:sz w:val="20"/>
          <w:szCs w:val="20"/>
        </w:rPr>
        <w:t xml:space="preserve">established new funds with higher rates of risky assets – as a response to the private funds which showed higher returns. We use the set of bank-owned funds only to test the robustness over time. </w:t>
      </w:r>
    </w:p>
    <w:p w:rsidR="00EB2B18" w:rsidRDefault="0088646F" w:rsidP="005C179C">
      <w:pPr>
        <w:pStyle w:val="3"/>
        <w:bidi w:val="0"/>
        <w:spacing w:line="360" w:lineRule="auto"/>
        <w:rPr>
          <w:rFonts w:asciiTheme="majorBidi" w:hAnsiTheme="majorBidi" w:cstheme="majorBidi"/>
          <w:sz w:val="24"/>
          <w:szCs w:val="24"/>
        </w:rPr>
      </w:pPr>
      <w:r w:rsidRPr="00CD464C">
        <w:rPr>
          <w:rFonts w:asciiTheme="majorBidi" w:hAnsiTheme="majorBidi" w:cstheme="majorBidi"/>
          <w:sz w:val="24"/>
          <w:szCs w:val="24"/>
        </w:rPr>
        <w:t>Table 7 Panel C</w:t>
      </w:r>
    </w:p>
    <w:tbl>
      <w:tblPr>
        <w:tblW w:w="72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8"/>
        <w:gridCol w:w="1498"/>
        <w:gridCol w:w="1044"/>
        <w:gridCol w:w="1044"/>
        <w:gridCol w:w="1831"/>
      </w:tblGrid>
      <w:tr w:rsidR="00743CEB" w:rsidRPr="00CD464C">
        <w:trPr>
          <w:gridAfter w:val="3"/>
          <w:wAfter w:w="3919" w:type="dxa"/>
          <w:trHeight w:val="255"/>
        </w:trPr>
        <w:tc>
          <w:tcPr>
            <w:tcW w:w="3296" w:type="dxa"/>
            <w:gridSpan w:val="2"/>
            <w:noWrap/>
            <w:vAlign w:val="bottom"/>
          </w:tcPr>
          <w:p w:rsidR="00EB2B18" w:rsidRDefault="00743CEB"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Dependent Variable: AFF</w:t>
            </w:r>
          </w:p>
        </w:tc>
      </w:tr>
      <w:tr w:rsidR="00743CEB" w:rsidRPr="00CD464C">
        <w:trPr>
          <w:gridAfter w:val="3"/>
          <w:wAfter w:w="3919" w:type="dxa"/>
          <w:trHeight w:val="255"/>
        </w:trPr>
        <w:tc>
          <w:tcPr>
            <w:tcW w:w="3296" w:type="dxa"/>
            <w:gridSpan w:val="2"/>
            <w:noWrap/>
            <w:vAlign w:val="bottom"/>
          </w:tcPr>
          <w:p w:rsidR="00EB2B18" w:rsidRDefault="00743CEB"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Sample (adjusted): 2-820</w:t>
            </w:r>
          </w:p>
        </w:tc>
      </w:tr>
      <w:tr w:rsidR="0088646F" w:rsidRPr="00CD464C">
        <w:trPr>
          <w:trHeight w:val="255"/>
        </w:trPr>
        <w:tc>
          <w:tcPr>
            <w:tcW w:w="1798" w:type="dxa"/>
            <w:noWrap/>
            <w:vAlign w:val="bottom"/>
          </w:tcPr>
          <w:p w:rsidR="00EB2B18" w:rsidRDefault="0088646F"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Variable</w:t>
            </w:r>
          </w:p>
        </w:tc>
        <w:tc>
          <w:tcPr>
            <w:tcW w:w="1498" w:type="dxa"/>
            <w:noWrap/>
            <w:vAlign w:val="bottom"/>
          </w:tcPr>
          <w:p w:rsidR="00EB2B18" w:rsidRDefault="0088646F"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Coefficient</w:t>
            </w:r>
          </w:p>
        </w:tc>
        <w:tc>
          <w:tcPr>
            <w:tcW w:w="1044" w:type="dxa"/>
            <w:noWrap/>
            <w:vAlign w:val="bottom"/>
          </w:tcPr>
          <w:p w:rsidR="00EB2B18" w:rsidRDefault="0088646F"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Std. Error</w:t>
            </w:r>
          </w:p>
        </w:tc>
        <w:tc>
          <w:tcPr>
            <w:tcW w:w="2875" w:type="dxa"/>
            <w:gridSpan w:val="2"/>
            <w:noWrap/>
            <w:vAlign w:val="bottom"/>
          </w:tcPr>
          <w:p w:rsidR="00EB2B18" w:rsidRDefault="0088646F"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Prob.</w:t>
            </w:r>
          </w:p>
        </w:tc>
      </w:tr>
      <w:tr w:rsidR="0088646F" w:rsidRPr="00CD464C">
        <w:trPr>
          <w:trHeight w:val="255"/>
        </w:trPr>
        <w:tc>
          <w:tcPr>
            <w:tcW w:w="179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C</w:t>
            </w:r>
          </w:p>
        </w:tc>
        <w:tc>
          <w:tcPr>
            <w:tcW w:w="149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1534.126</w:t>
            </w:r>
          </w:p>
        </w:tc>
        <w:tc>
          <w:tcPr>
            <w:tcW w:w="1044"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71.109</w:t>
            </w:r>
          </w:p>
        </w:tc>
        <w:tc>
          <w:tcPr>
            <w:tcW w:w="2875" w:type="dxa"/>
            <w:gridSpan w:val="2"/>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0.054</w:t>
            </w:r>
          </w:p>
        </w:tc>
      </w:tr>
      <w:tr w:rsidR="0088646F" w:rsidRPr="00CD464C">
        <w:trPr>
          <w:trHeight w:val="255"/>
        </w:trPr>
        <w:tc>
          <w:tcPr>
            <w:tcW w:w="179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NTR2005</w:t>
            </w:r>
          </w:p>
        </w:tc>
        <w:tc>
          <w:tcPr>
            <w:tcW w:w="149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-2.23</w:t>
            </w:r>
          </w:p>
        </w:tc>
        <w:tc>
          <w:tcPr>
            <w:tcW w:w="1044"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4.604</w:t>
            </w:r>
          </w:p>
        </w:tc>
        <w:tc>
          <w:tcPr>
            <w:tcW w:w="2875" w:type="dxa"/>
            <w:gridSpan w:val="2"/>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0.102</w:t>
            </w:r>
          </w:p>
        </w:tc>
      </w:tr>
      <w:tr w:rsidR="0088646F" w:rsidRPr="00CD464C">
        <w:trPr>
          <w:trHeight w:val="255"/>
        </w:trPr>
        <w:tc>
          <w:tcPr>
            <w:tcW w:w="179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R2004</w:t>
            </w:r>
          </w:p>
        </w:tc>
        <w:tc>
          <w:tcPr>
            <w:tcW w:w="149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151.611</w:t>
            </w:r>
          </w:p>
        </w:tc>
        <w:tc>
          <w:tcPr>
            <w:tcW w:w="1044"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69.204</w:t>
            </w:r>
          </w:p>
        </w:tc>
        <w:tc>
          <w:tcPr>
            <w:tcW w:w="2875" w:type="dxa"/>
            <w:gridSpan w:val="2"/>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0.034**</w:t>
            </w:r>
          </w:p>
        </w:tc>
      </w:tr>
      <w:tr w:rsidR="0088646F" w:rsidRPr="00CD464C">
        <w:trPr>
          <w:trHeight w:val="255"/>
        </w:trPr>
        <w:tc>
          <w:tcPr>
            <w:tcW w:w="179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DBANK</w:t>
            </w:r>
          </w:p>
        </w:tc>
        <w:tc>
          <w:tcPr>
            <w:tcW w:w="149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-27.91</w:t>
            </w:r>
          </w:p>
        </w:tc>
        <w:tc>
          <w:tcPr>
            <w:tcW w:w="1044"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4222</w:t>
            </w:r>
          </w:p>
        </w:tc>
        <w:tc>
          <w:tcPr>
            <w:tcW w:w="2875" w:type="dxa"/>
            <w:gridSpan w:val="2"/>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0.501</w:t>
            </w:r>
          </w:p>
        </w:tc>
      </w:tr>
      <w:tr w:rsidR="0088646F" w:rsidRPr="00CD464C">
        <w:trPr>
          <w:trHeight w:val="255"/>
        </w:trPr>
        <w:tc>
          <w:tcPr>
            <w:tcW w:w="1798" w:type="dxa"/>
            <w:noWrap/>
            <w:vAlign w:val="bottom"/>
          </w:tcPr>
          <w:p w:rsidR="00EB2B18" w:rsidRDefault="0088646F" w:rsidP="005C179C">
            <w:pPr>
              <w:spacing w:line="360" w:lineRule="auto"/>
              <w:jc w:val="both"/>
              <w:rPr>
                <w:rFonts w:asciiTheme="majorBidi" w:hAnsiTheme="majorBidi" w:cstheme="majorBidi"/>
                <w:bCs/>
                <w:sz w:val="18"/>
                <w:szCs w:val="18"/>
              </w:rPr>
            </w:pPr>
            <w:r w:rsidRPr="00CD464C">
              <w:rPr>
                <w:rFonts w:asciiTheme="majorBidi" w:hAnsiTheme="majorBidi" w:cstheme="majorBidi"/>
                <w:bCs/>
                <w:sz w:val="18"/>
                <w:szCs w:val="18"/>
                <w:lang w:eastAsia="he-IL"/>
              </w:rPr>
              <w:t>DINS</w:t>
            </w:r>
          </w:p>
        </w:tc>
        <w:tc>
          <w:tcPr>
            <w:tcW w:w="1498" w:type="dxa"/>
            <w:noWrap/>
            <w:vAlign w:val="bottom"/>
          </w:tcPr>
          <w:p w:rsidR="00EB2B18" w:rsidRDefault="0088646F" w:rsidP="005C179C">
            <w:pPr>
              <w:spacing w:line="360" w:lineRule="auto"/>
              <w:jc w:val="both"/>
              <w:rPr>
                <w:rFonts w:asciiTheme="majorBidi" w:hAnsiTheme="majorBidi" w:cstheme="majorBidi"/>
                <w:bCs/>
                <w:sz w:val="18"/>
                <w:szCs w:val="18"/>
              </w:rPr>
            </w:pPr>
            <w:r w:rsidRPr="00CD464C">
              <w:rPr>
                <w:rFonts w:asciiTheme="majorBidi" w:hAnsiTheme="majorBidi" w:cstheme="majorBidi"/>
                <w:bCs/>
                <w:sz w:val="18"/>
                <w:szCs w:val="18"/>
                <w:lang w:eastAsia="he-IL"/>
              </w:rPr>
              <w:t>150.512</w:t>
            </w:r>
          </w:p>
        </w:tc>
        <w:tc>
          <w:tcPr>
            <w:tcW w:w="1044" w:type="dxa"/>
            <w:noWrap/>
            <w:vAlign w:val="bottom"/>
          </w:tcPr>
          <w:p w:rsidR="00EB2B18" w:rsidRDefault="0088646F" w:rsidP="005C179C">
            <w:pPr>
              <w:spacing w:line="360" w:lineRule="auto"/>
              <w:jc w:val="both"/>
              <w:rPr>
                <w:rFonts w:asciiTheme="majorBidi" w:hAnsiTheme="majorBidi" w:cstheme="majorBidi"/>
                <w:bCs/>
                <w:sz w:val="18"/>
                <w:szCs w:val="18"/>
              </w:rPr>
            </w:pPr>
            <w:r w:rsidRPr="00CD464C">
              <w:rPr>
                <w:rFonts w:asciiTheme="majorBidi" w:hAnsiTheme="majorBidi" w:cstheme="majorBidi"/>
                <w:bCs/>
                <w:sz w:val="18"/>
                <w:szCs w:val="18"/>
                <w:lang w:eastAsia="he-IL"/>
              </w:rPr>
              <w:t>62.335</w:t>
            </w:r>
          </w:p>
        </w:tc>
        <w:tc>
          <w:tcPr>
            <w:tcW w:w="2875" w:type="dxa"/>
            <w:gridSpan w:val="2"/>
            <w:noWrap/>
            <w:vAlign w:val="bottom"/>
          </w:tcPr>
          <w:p w:rsidR="00EB2B18" w:rsidRDefault="0088646F" w:rsidP="005C179C">
            <w:pPr>
              <w:spacing w:line="360" w:lineRule="auto"/>
              <w:jc w:val="both"/>
              <w:rPr>
                <w:rFonts w:asciiTheme="majorBidi" w:hAnsiTheme="majorBidi" w:cstheme="majorBidi"/>
                <w:bCs/>
                <w:sz w:val="18"/>
                <w:szCs w:val="18"/>
              </w:rPr>
            </w:pPr>
            <w:r w:rsidRPr="00CD464C">
              <w:rPr>
                <w:rFonts w:asciiTheme="majorBidi" w:hAnsiTheme="majorBidi" w:cstheme="majorBidi"/>
                <w:bCs/>
                <w:sz w:val="18"/>
                <w:szCs w:val="18"/>
                <w:lang w:eastAsia="he-IL"/>
              </w:rPr>
              <w:t>0.019**</w:t>
            </w:r>
          </w:p>
        </w:tc>
      </w:tr>
      <w:tr w:rsidR="0088646F" w:rsidRPr="00CD464C">
        <w:trPr>
          <w:trHeight w:val="255"/>
        </w:trPr>
        <w:tc>
          <w:tcPr>
            <w:tcW w:w="1798" w:type="dxa"/>
            <w:noWrap/>
            <w:vAlign w:val="bottom"/>
          </w:tcPr>
          <w:p w:rsidR="00EB2B18" w:rsidRDefault="0088646F" w:rsidP="005C179C">
            <w:pPr>
              <w:spacing w:line="360" w:lineRule="auto"/>
              <w:jc w:val="both"/>
              <w:rPr>
                <w:rFonts w:asciiTheme="majorBidi" w:hAnsiTheme="majorBidi" w:cstheme="majorBidi"/>
                <w:bCs/>
                <w:sz w:val="18"/>
                <w:szCs w:val="18"/>
              </w:rPr>
            </w:pPr>
            <w:r w:rsidRPr="00CD464C">
              <w:rPr>
                <w:rFonts w:asciiTheme="majorBidi" w:hAnsiTheme="majorBidi" w:cstheme="majorBidi"/>
                <w:bCs/>
                <w:sz w:val="18"/>
                <w:szCs w:val="18"/>
                <w:lang w:eastAsia="he-IL"/>
              </w:rPr>
              <w:t>DPRV</w:t>
            </w:r>
          </w:p>
        </w:tc>
        <w:tc>
          <w:tcPr>
            <w:tcW w:w="1498" w:type="dxa"/>
            <w:noWrap/>
            <w:vAlign w:val="bottom"/>
          </w:tcPr>
          <w:p w:rsidR="00EB2B18" w:rsidRDefault="0088646F" w:rsidP="005C179C">
            <w:pPr>
              <w:spacing w:line="360" w:lineRule="auto"/>
              <w:jc w:val="both"/>
              <w:rPr>
                <w:rFonts w:asciiTheme="majorBidi" w:hAnsiTheme="majorBidi" w:cstheme="majorBidi"/>
                <w:bCs/>
                <w:sz w:val="18"/>
                <w:szCs w:val="18"/>
              </w:rPr>
            </w:pPr>
            <w:r w:rsidRPr="00CD464C">
              <w:rPr>
                <w:rFonts w:asciiTheme="majorBidi" w:hAnsiTheme="majorBidi" w:cstheme="majorBidi"/>
                <w:bCs/>
                <w:sz w:val="18"/>
                <w:szCs w:val="18"/>
                <w:lang w:eastAsia="he-IL"/>
              </w:rPr>
              <w:t>157.311</w:t>
            </w:r>
          </w:p>
        </w:tc>
        <w:tc>
          <w:tcPr>
            <w:tcW w:w="1044" w:type="dxa"/>
            <w:noWrap/>
            <w:vAlign w:val="bottom"/>
          </w:tcPr>
          <w:p w:rsidR="00EB2B18" w:rsidRDefault="0088646F" w:rsidP="005C179C">
            <w:pPr>
              <w:spacing w:line="360" w:lineRule="auto"/>
              <w:jc w:val="both"/>
              <w:rPr>
                <w:rFonts w:asciiTheme="majorBidi" w:hAnsiTheme="majorBidi" w:cstheme="majorBidi"/>
                <w:bCs/>
                <w:sz w:val="18"/>
                <w:szCs w:val="18"/>
              </w:rPr>
            </w:pPr>
            <w:r w:rsidRPr="00CD464C">
              <w:rPr>
                <w:rFonts w:asciiTheme="majorBidi" w:hAnsiTheme="majorBidi" w:cstheme="majorBidi"/>
                <w:bCs/>
                <w:sz w:val="18"/>
                <w:szCs w:val="18"/>
                <w:lang w:eastAsia="he-IL"/>
              </w:rPr>
              <w:t>61.504</w:t>
            </w:r>
          </w:p>
        </w:tc>
        <w:tc>
          <w:tcPr>
            <w:tcW w:w="2875" w:type="dxa"/>
            <w:gridSpan w:val="2"/>
            <w:noWrap/>
            <w:vAlign w:val="bottom"/>
          </w:tcPr>
          <w:p w:rsidR="00EB2B18" w:rsidRDefault="0088646F" w:rsidP="005C179C">
            <w:pPr>
              <w:spacing w:line="360" w:lineRule="auto"/>
              <w:jc w:val="both"/>
              <w:rPr>
                <w:rFonts w:asciiTheme="majorBidi" w:hAnsiTheme="majorBidi" w:cstheme="majorBidi"/>
                <w:bCs/>
                <w:sz w:val="18"/>
                <w:szCs w:val="18"/>
              </w:rPr>
            </w:pPr>
            <w:r w:rsidRPr="00CD464C">
              <w:rPr>
                <w:rFonts w:asciiTheme="majorBidi" w:hAnsiTheme="majorBidi" w:cstheme="majorBidi"/>
                <w:bCs/>
                <w:sz w:val="18"/>
                <w:szCs w:val="18"/>
                <w:lang w:eastAsia="he-IL"/>
              </w:rPr>
              <w:t>0.019**</w:t>
            </w:r>
          </w:p>
        </w:tc>
      </w:tr>
      <w:tr w:rsidR="0088646F" w:rsidRPr="00CD464C">
        <w:trPr>
          <w:trHeight w:val="255"/>
        </w:trPr>
        <w:tc>
          <w:tcPr>
            <w:tcW w:w="1798" w:type="dxa"/>
            <w:noWrap/>
            <w:vAlign w:val="bottom"/>
          </w:tcPr>
          <w:p w:rsidR="00EB2B18" w:rsidRDefault="0088646F" w:rsidP="005C179C">
            <w:pPr>
              <w:spacing w:line="360" w:lineRule="auto"/>
              <w:jc w:val="both"/>
              <w:rPr>
                <w:rFonts w:asciiTheme="majorBidi" w:hAnsiTheme="majorBidi" w:cstheme="majorBidi"/>
                <w:bCs/>
                <w:sz w:val="18"/>
                <w:szCs w:val="18"/>
              </w:rPr>
            </w:pPr>
            <w:r w:rsidRPr="00CD464C">
              <w:rPr>
                <w:rFonts w:asciiTheme="majorBidi" w:hAnsiTheme="majorBidi" w:cstheme="majorBidi"/>
                <w:bCs/>
                <w:sz w:val="18"/>
                <w:szCs w:val="18"/>
                <w:lang w:eastAsia="he-IL"/>
              </w:rPr>
              <w:t>MNGF</w:t>
            </w:r>
          </w:p>
        </w:tc>
        <w:tc>
          <w:tcPr>
            <w:tcW w:w="1498" w:type="dxa"/>
            <w:noWrap/>
            <w:vAlign w:val="bottom"/>
          </w:tcPr>
          <w:p w:rsidR="00EB2B18" w:rsidRDefault="0088646F" w:rsidP="005C179C">
            <w:pPr>
              <w:spacing w:line="360" w:lineRule="auto"/>
              <w:jc w:val="both"/>
              <w:rPr>
                <w:rFonts w:asciiTheme="majorBidi" w:hAnsiTheme="majorBidi" w:cstheme="majorBidi"/>
                <w:bCs/>
                <w:sz w:val="18"/>
                <w:szCs w:val="18"/>
              </w:rPr>
            </w:pPr>
            <w:r w:rsidRPr="00CD464C">
              <w:rPr>
                <w:rFonts w:asciiTheme="majorBidi" w:hAnsiTheme="majorBidi" w:cstheme="majorBidi"/>
                <w:bCs/>
                <w:sz w:val="18"/>
                <w:szCs w:val="18"/>
                <w:lang w:eastAsia="he-IL"/>
              </w:rPr>
              <w:t>-123.276</w:t>
            </w:r>
          </w:p>
        </w:tc>
        <w:tc>
          <w:tcPr>
            <w:tcW w:w="1044" w:type="dxa"/>
            <w:noWrap/>
            <w:vAlign w:val="bottom"/>
          </w:tcPr>
          <w:p w:rsidR="00EB2B18" w:rsidRDefault="0088646F" w:rsidP="005C179C">
            <w:pPr>
              <w:spacing w:line="360" w:lineRule="auto"/>
              <w:jc w:val="both"/>
              <w:rPr>
                <w:rFonts w:asciiTheme="majorBidi" w:hAnsiTheme="majorBidi" w:cstheme="majorBidi"/>
                <w:bCs/>
                <w:sz w:val="18"/>
                <w:szCs w:val="18"/>
              </w:rPr>
            </w:pPr>
            <w:r w:rsidRPr="00CD464C">
              <w:rPr>
                <w:rFonts w:asciiTheme="majorBidi" w:hAnsiTheme="majorBidi" w:cstheme="majorBidi"/>
                <w:bCs/>
                <w:sz w:val="18"/>
                <w:szCs w:val="18"/>
                <w:lang w:eastAsia="he-IL"/>
              </w:rPr>
              <w:t>33.44548</w:t>
            </w:r>
          </w:p>
        </w:tc>
        <w:tc>
          <w:tcPr>
            <w:tcW w:w="2875" w:type="dxa"/>
            <w:gridSpan w:val="2"/>
            <w:noWrap/>
            <w:vAlign w:val="bottom"/>
          </w:tcPr>
          <w:p w:rsidR="00EB2B18" w:rsidRDefault="0088646F" w:rsidP="005C179C">
            <w:pPr>
              <w:spacing w:line="360" w:lineRule="auto"/>
              <w:jc w:val="both"/>
              <w:rPr>
                <w:rFonts w:asciiTheme="majorBidi" w:hAnsiTheme="majorBidi" w:cstheme="majorBidi"/>
                <w:bCs/>
                <w:sz w:val="18"/>
                <w:szCs w:val="18"/>
              </w:rPr>
            </w:pPr>
            <w:r w:rsidRPr="00CD464C">
              <w:rPr>
                <w:rFonts w:asciiTheme="majorBidi" w:hAnsiTheme="majorBidi" w:cstheme="majorBidi"/>
                <w:bCs/>
                <w:sz w:val="18"/>
                <w:szCs w:val="18"/>
                <w:lang w:eastAsia="he-IL"/>
              </w:rPr>
              <w:t>0.215</w:t>
            </w:r>
          </w:p>
        </w:tc>
      </w:tr>
      <w:tr w:rsidR="0088646F" w:rsidRPr="00CD464C">
        <w:trPr>
          <w:trHeight w:val="255"/>
        </w:trPr>
        <w:tc>
          <w:tcPr>
            <w:tcW w:w="1798" w:type="dxa"/>
            <w:noWrap/>
            <w:vAlign w:val="bottom"/>
          </w:tcPr>
          <w:p w:rsidR="00EB2B18" w:rsidRDefault="0088646F" w:rsidP="005C179C">
            <w:pPr>
              <w:spacing w:line="360" w:lineRule="auto"/>
              <w:jc w:val="both"/>
              <w:rPr>
                <w:rFonts w:asciiTheme="majorBidi" w:hAnsiTheme="majorBidi" w:cstheme="majorBidi"/>
                <w:bCs/>
                <w:sz w:val="18"/>
                <w:szCs w:val="18"/>
              </w:rPr>
            </w:pPr>
            <w:r w:rsidRPr="00CD464C">
              <w:rPr>
                <w:rFonts w:asciiTheme="majorBidi" w:hAnsiTheme="majorBidi" w:cstheme="majorBidi"/>
                <w:bCs/>
                <w:sz w:val="18"/>
                <w:szCs w:val="18"/>
                <w:lang w:eastAsia="he-IL"/>
              </w:rPr>
              <w:lastRenderedPageBreak/>
              <w:t>SIZE</w:t>
            </w:r>
          </w:p>
        </w:tc>
        <w:tc>
          <w:tcPr>
            <w:tcW w:w="1498" w:type="dxa"/>
            <w:noWrap/>
            <w:vAlign w:val="bottom"/>
          </w:tcPr>
          <w:p w:rsidR="00EB2B18" w:rsidRDefault="0088646F" w:rsidP="005C179C">
            <w:pPr>
              <w:spacing w:line="360" w:lineRule="auto"/>
              <w:jc w:val="both"/>
              <w:rPr>
                <w:rFonts w:asciiTheme="majorBidi" w:hAnsiTheme="majorBidi" w:cstheme="majorBidi"/>
                <w:bCs/>
                <w:sz w:val="18"/>
                <w:szCs w:val="18"/>
              </w:rPr>
            </w:pPr>
            <w:r w:rsidRPr="00CD464C">
              <w:rPr>
                <w:rFonts w:asciiTheme="majorBidi" w:hAnsiTheme="majorBidi" w:cstheme="majorBidi"/>
                <w:bCs/>
                <w:sz w:val="18"/>
                <w:szCs w:val="18"/>
                <w:lang w:eastAsia="he-IL"/>
              </w:rPr>
              <w:t>-0.002</w:t>
            </w:r>
          </w:p>
        </w:tc>
        <w:tc>
          <w:tcPr>
            <w:tcW w:w="1044" w:type="dxa"/>
            <w:noWrap/>
            <w:vAlign w:val="bottom"/>
          </w:tcPr>
          <w:p w:rsidR="00EB2B18" w:rsidRDefault="0088646F" w:rsidP="005C179C">
            <w:pPr>
              <w:spacing w:line="360" w:lineRule="auto"/>
              <w:jc w:val="both"/>
              <w:rPr>
                <w:rFonts w:asciiTheme="majorBidi" w:hAnsiTheme="majorBidi" w:cstheme="majorBidi"/>
                <w:bCs/>
                <w:sz w:val="18"/>
                <w:szCs w:val="18"/>
              </w:rPr>
            </w:pPr>
            <w:r w:rsidRPr="00CD464C">
              <w:rPr>
                <w:rFonts w:asciiTheme="majorBidi" w:hAnsiTheme="majorBidi" w:cstheme="majorBidi"/>
                <w:bCs/>
                <w:sz w:val="18"/>
                <w:szCs w:val="18"/>
                <w:lang w:eastAsia="he-IL"/>
              </w:rPr>
              <w:t>0.007</w:t>
            </w:r>
          </w:p>
        </w:tc>
        <w:tc>
          <w:tcPr>
            <w:tcW w:w="2875" w:type="dxa"/>
            <w:gridSpan w:val="2"/>
            <w:noWrap/>
            <w:vAlign w:val="bottom"/>
          </w:tcPr>
          <w:p w:rsidR="00EB2B18" w:rsidRDefault="0088646F" w:rsidP="005C179C">
            <w:pPr>
              <w:spacing w:line="360" w:lineRule="auto"/>
              <w:jc w:val="both"/>
              <w:rPr>
                <w:rFonts w:asciiTheme="majorBidi" w:hAnsiTheme="majorBidi" w:cstheme="majorBidi"/>
                <w:bCs/>
                <w:sz w:val="18"/>
                <w:szCs w:val="18"/>
              </w:rPr>
            </w:pPr>
            <w:r w:rsidRPr="00CD464C">
              <w:rPr>
                <w:rFonts w:asciiTheme="majorBidi" w:hAnsiTheme="majorBidi" w:cstheme="majorBidi"/>
                <w:bCs/>
                <w:sz w:val="18"/>
                <w:szCs w:val="18"/>
                <w:lang w:eastAsia="he-IL"/>
              </w:rPr>
              <w:t>0.523</w:t>
            </w:r>
          </w:p>
        </w:tc>
      </w:tr>
      <w:tr w:rsidR="0088646F" w:rsidRPr="00CD464C">
        <w:trPr>
          <w:trHeight w:val="255"/>
        </w:trPr>
        <w:tc>
          <w:tcPr>
            <w:tcW w:w="1798" w:type="dxa"/>
            <w:noWrap/>
            <w:vAlign w:val="bottom"/>
          </w:tcPr>
          <w:p w:rsidR="00EB2B18" w:rsidRDefault="0088646F" w:rsidP="005C179C">
            <w:pPr>
              <w:spacing w:line="360" w:lineRule="auto"/>
              <w:jc w:val="both"/>
              <w:rPr>
                <w:rFonts w:asciiTheme="majorBidi" w:hAnsiTheme="majorBidi" w:cstheme="majorBidi"/>
                <w:bCs/>
                <w:sz w:val="18"/>
                <w:szCs w:val="18"/>
              </w:rPr>
            </w:pPr>
            <w:r w:rsidRPr="00CD464C">
              <w:rPr>
                <w:rFonts w:asciiTheme="majorBidi" w:hAnsiTheme="majorBidi" w:cstheme="majorBidi"/>
                <w:bCs/>
                <w:sz w:val="18"/>
                <w:szCs w:val="18"/>
                <w:lang w:eastAsia="he-IL"/>
              </w:rPr>
              <w:t>TRL</w:t>
            </w:r>
          </w:p>
        </w:tc>
        <w:tc>
          <w:tcPr>
            <w:tcW w:w="1498" w:type="dxa"/>
            <w:noWrap/>
            <w:vAlign w:val="bottom"/>
          </w:tcPr>
          <w:p w:rsidR="00EB2B18" w:rsidRDefault="0088646F" w:rsidP="005C179C">
            <w:pPr>
              <w:spacing w:line="360" w:lineRule="auto"/>
              <w:jc w:val="both"/>
              <w:rPr>
                <w:rFonts w:asciiTheme="majorBidi" w:hAnsiTheme="majorBidi" w:cstheme="majorBidi"/>
                <w:bCs/>
                <w:sz w:val="18"/>
                <w:szCs w:val="18"/>
              </w:rPr>
            </w:pPr>
            <w:r w:rsidRPr="00CD464C">
              <w:rPr>
                <w:rFonts w:asciiTheme="majorBidi" w:hAnsiTheme="majorBidi" w:cstheme="majorBidi"/>
                <w:bCs/>
                <w:sz w:val="18"/>
                <w:szCs w:val="18"/>
                <w:lang w:eastAsia="he-IL"/>
              </w:rPr>
              <w:t>-3.731</w:t>
            </w:r>
          </w:p>
        </w:tc>
        <w:tc>
          <w:tcPr>
            <w:tcW w:w="1044" w:type="dxa"/>
            <w:noWrap/>
            <w:vAlign w:val="bottom"/>
          </w:tcPr>
          <w:p w:rsidR="00EB2B18" w:rsidRDefault="0088646F" w:rsidP="005C179C">
            <w:pPr>
              <w:spacing w:line="360" w:lineRule="auto"/>
              <w:jc w:val="both"/>
              <w:rPr>
                <w:rFonts w:asciiTheme="majorBidi" w:hAnsiTheme="majorBidi" w:cstheme="majorBidi"/>
                <w:bCs/>
                <w:sz w:val="18"/>
                <w:szCs w:val="18"/>
              </w:rPr>
            </w:pPr>
            <w:r w:rsidRPr="00CD464C">
              <w:rPr>
                <w:rFonts w:asciiTheme="majorBidi" w:hAnsiTheme="majorBidi" w:cstheme="majorBidi"/>
                <w:bCs/>
                <w:sz w:val="18"/>
                <w:szCs w:val="18"/>
                <w:lang w:eastAsia="he-IL"/>
              </w:rPr>
              <w:t>1.753</w:t>
            </w:r>
          </w:p>
        </w:tc>
        <w:tc>
          <w:tcPr>
            <w:tcW w:w="2875" w:type="dxa"/>
            <w:gridSpan w:val="2"/>
            <w:noWrap/>
            <w:vAlign w:val="bottom"/>
          </w:tcPr>
          <w:p w:rsidR="00EB2B18" w:rsidRDefault="0088646F" w:rsidP="005C179C">
            <w:pPr>
              <w:spacing w:line="360" w:lineRule="auto"/>
              <w:jc w:val="both"/>
              <w:rPr>
                <w:rFonts w:asciiTheme="majorBidi" w:hAnsiTheme="majorBidi" w:cstheme="majorBidi"/>
                <w:bCs/>
                <w:sz w:val="18"/>
                <w:szCs w:val="18"/>
              </w:rPr>
            </w:pPr>
            <w:r w:rsidRPr="00CD464C">
              <w:rPr>
                <w:rFonts w:asciiTheme="majorBidi" w:hAnsiTheme="majorBidi" w:cstheme="majorBidi"/>
                <w:bCs/>
                <w:sz w:val="18"/>
                <w:szCs w:val="18"/>
                <w:lang w:eastAsia="he-IL"/>
              </w:rPr>
              <w:t>0.102</w:t>
            </w:r>
          </w:p>
        </w:tc>
      </w:tr>
      <w:tr w:rsidR="0088646F" w:rsidRPr="00CD464C">
        <w:trPr>
          <w:trHeight w:val="255"/>
        </w:trPr>
        <w:tc>
          <w:tcPr>
            <w:tcW w:w="1798" w:type="dxa"/>
            <w:noWrap/>
            <w:vAlign w:val="bottom"/>
          </w:tcPr>
          <w:p w:rsidR="00EB2B18" w:rsidRDefault="0088646F" w:rsidP="005C179C">
            <w:pPr>
              <w:spacing w:line="360" w:lineRule="auto"/>
              <w:jc w:val="both"/>
              <w:rPr>
                <w:rFonts w:asciiTheme="majorBidi" w:hAnsiTheme="majorBidi" w:cstheme="majorBidi"/>
                <w:sz w:val="16"/>
                <w:szCs w:val="16"/>
              </w:rPr>
            </w:pPr>
            <w:r w:rsidRPr="00CD464C">
              <w:rPr>
                <w:rFonts w:asciiTheme="majorBidi" w:hAnsiTheme="majorBidi" w:cstheme="majorBidi"/>
                <w:sz w:val="16"/>
                <w:szCs w:val="16"/>
              </w:rPr>
              <w:t>R-squared</w:t>
            </w:r>
          </w:p>
        </w:tc>
        <w:tc>
          <w:tcPr>
            <w:tcW w:w="149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 xml:space="preserve">     0.159</w:t>
            </w:r>
          </w:p>
        </w:tc>
        <w:tc>
          <w:tcPr>
            <w:tcW w:w="2088" w:type="dxa"/>
            <w:gridSpan w:val="2"/>
            <w:noWrap/>
            <w:vAlign w:val="bottom"/>
          </w:tcPr>
          <w:p w:rsidR="00EB2B18" w:rsidRDefault="0088646F" w:rsidP="005C179C">
            <w:pPr>
              <w:spacing w:line="360" w:lineRule="auto"/>
              <w:jc w:val="both"/>
              <w:rPr>
                <w:rFonts w:asciiTheme="majorBidi" w:hAnsiTheme="majorBidi" w:cstheme="majorBidi"/>
                <w:sz w:val="16"/>
                <w:szCs w:val="16"/>
              </w:rPr>
            </w:pPr>
            <w:r w:rsidRPr="00CD464C">
              <w:rPr>
                <w:rFonts w:asciiTheme="majorBidi" w:hAnsiTheme="majorBidi" w:cstheme="majorBidi"/>
                <w:sz w:val="16"/>
                <w:szCs w:val="16"/>
              </w:rPr>
              <w:t xml:space="preserve"> Mean dependent var.</w:t>
            </w:r>
          </w:p>
        </w:tc>
        <w:tc>
          <w:tcPr>
            <w:tcW w:w="1831"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116.70</w:t>
            </w:r>
          </w:p>
        </w:tc>
      </w:tr>
      <w:tr w:rsidR="0088646F" w:rsidRPr="00CD464C">
        <w:trPr>
          <w:trHeight w:val="255"/>
        </w:trPr>
        <w:tc>
          <w:tcPr>
            <w:tcW w:w="1798" w:type="dxa"/>
            <w:noWrap/>
            <w:vAlign w:val="bottom"/>
          </w:tcPr>
          <w:p w:rsidR="00EB2B18" w:rsidRDefault="0088646F" w:rsidP="005C179C">
            <w:pPr>
              <w:spacing w:line="360" w:lineRule="auto"/>
              <w:jc w:val="both"/>
              <w:rPr>
                <w:rFonts w:asciiTheme="majorBidi" w:hAnsiTheme="majorBidi" w:cstheme="majorBidi"/>
                <w:sz w:val="16"/>
                <w:szCs w:val="16"/>
              </w:rPr>
            </w:pPr>
            <w:r w:rsidRPr="00CD464C">
              <w:rPr>
                <w:rFonts w:asciiTheme="majorBidi" w:hAnsiTheme="majorBidi" w:cstheme="majorBidi"/>
                <w:sz w:val="16"/>
                <w:szCs w:val="16"/>
              </w:rPr>
              <w:t>Adjusted R-squared</w:t>
            </w:r>
          </w:p>
        </w:tc>
        <w:tc>
          <w:tcPr>
            <w:tcW w:w="1498"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 xml:space="preserve">     0.133</w:t>
            </w:r>
          </w:p>
        </w:tc>
        <w:tc>
          <w:tcPr>
            <w:tcW w:w="2088" w:type="dxa"/>
            <w:gridSpan w:val="2"/>
            <w:noWrap/>
            <w:vAlign w:val="bottom"/>
          </w:tcPr>
          <w:p w:rsidR="00EB2B18" w:rsidRDefault="0088646F" w:rsidP="005C179C">
            <w:pPr>
              <w:spacing w:line="360" w:lineRule="auto"/>
              <w:jc w:val="both"/>
              <w:rPr>
                <w:rFonts w:asciiTheme="majorBidi" w:hAnsiTheme="majorBidi" w:cstheme="majorBidi"/>
                <w:sz w:val="16"/>
                <w:szCs w:val="16"/>
              </w:rPr>
            </w:pPr>
            <w:r w:rsidRPr="00CD464C">
              <w:rPr>
                <w:rFonts w:asciiTheme="majorBidi" w:hAnsiTheme="majorBidi" w:cstheme="majorBidi"/>
                <w:sz w:val="16"/>
                <w:szCs w:val="16"/>
              </w:rPr>
              <w:t xml:space="preserve"> S.D. dependent var.</w:t>
            </w:r>
          </w:p>
        </w:tc>
        <w:tc>
          <w:tcPr>
            <w:tcW w:w="1831" w:type="dxa"/>
            <w:noWrap/>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295.72</w:t>
            </w:r>
          </w:p>
        </w:tc>
      </w:tr>
    </w:tbl>
    <w:p w:rsidR="00EB2B18" w:rsidRDefault="005E54B8"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 rejected at 0.99 ** rejected at 0.95 * rejected at 0.90</w:t>
      </w:r>
    </w:p>
    <w:p w:rsidR="00EB2B18" w:rsidRDefault="0088646F" w:rsidP="005C179C">
      <w:pPr>
        <w:spacing w:line="360" w:lineRule="auto"/>
        <w:rPr>
          <w:rFonts w:asciiTheme="majorBidi" w:hAnsiTheme="majorBidi" w:cstheme="majorBidi"/>
          <w:sz w:val="22"/>
          <w:szCs w:val="22"/>
        </w:rPr>
      </w:pPr>
      <w:r w:rsidRPr="00CD464C">
        <w:rPr>
          <w:rFonts w:asciiTheme="majorBidi" w:hAnsiTheme="majorBidi" w:cstheme="majorBidi"/>
          <w:sz w:val="20"/>
          <w:szCs w:val="20"/>
        </w:rPr>
        <w:t xml:space="preserve">Table 7 Panel C shows the results of regression over </w:t>
      </w:r>
      <w:r w:rsidR="003770E1">
        <w:rPr>
          <w:rFonts w:asciiTheme="majorBidi" w:hAnsiTheme="majorBidi" w:cstheme="majorBidi"/>
          <w:sz w:val="20"/>
          <w:szCs w:val="20"/>
        </w:rPr>
        <w:t xml:space="preserve">the </w:t>
      </w:r>
      <w:r w:rsidRPr="00CD464C">
        <w:rPr>
          <w:rFonts w:asciiTheme="majorBidi" w:hAnsiTheme="majorBidi" w:cstheme="majorBidi"/>
          <w:sz w:val="20"/>
          <w:szCs w:val="20"/>
        </w:rPr>
        <w:t>equation</w:t>
      </w:r>
      <w:r w:rsidR="003770E1">
        <w:rPr>
          <w:rFonts w:asciiTheme="majorBidi" w:hAnsiTheme="majorBidi" w:cstheme="majorBidi"/>
          <w:sz w:val="20"/>
          <w:szCs w:val="20"/>
        </w:rPr>
        <w:t>:</w:t>
      </w:r>
      <w:r w:rsidRPr="00CD464C">
        <w:rPr>
          <w:rFonts w:asciiTheme="majorBidi" w:hAnsiTheme="majorBidi" w:cstheme="majorBidi"/>
          <w:sz w:val="20"/>
          <w:szCs w:val="20"/>
        </w:rPr>
        <w:t xml:space="preserve">  </w:t>
      </w:r>
      <w:r w:rsidR="007848F8" w:rsidRPr="00CD464C">
        <w:rPr>
          <w:rFonts w:asciiTheme="majorBidi" w:hAnsiTheme="majorBidi" w:cstheme="majorBidi"/>
          <w:sz w:val="22"/>
          <w:szCs w:val="22"/>
        </w:rPr>
        <w:fldChar w:fldCharType="begin"/>
      </w:r>
      <w:r w:rsidRPr="00CD464C">
        <w:rPr>
          <w:rFonts w:asciiTheme="majorBidi" w:hAnsiTheme="majorBidi" w:cstheme="majorBidi"/>
          <w:sz w:val="22"/>
          <w:szCs w:val="22"/>
        </w:rPr>
        <w:instrText xml:space="preserve"> QUOTE </w:instrText>
      </w:r>
      <w:r w:rsidR="00650398" w:rsidRPr="00CD464C">
        <w:rPr>
          <w:rFonts w:asciiTheme="majorBidi" w:hAnsiTheme="majorBidi" w:cstheme="majorBidi"/>
          <w:noProof/>
          <w:sz w:val="22"/>
          <w:szCs w:val="22"/>
        </w:rPr>
        <w:drawing>
          <wp:inline distT="0" distB="0" distL="0" distR="0">
            <wp:extent cx="3524250" cy="171450"/>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4" cstate="print">
                      <a:clrChange>
                        <a:clrFrom>
                          <a:srgbClr val="FFFFFF"/>
                        </a:clrFrom>
                        <a:clrTo>
                          <a:srgbClr val="FFFFFF">
                            <a:alpha val="0"/>
                          </a:srgbClr>
                        </a:clrTo>
                      </a:clrChange>
                    </a:blip>
                    <a:srcRect/>
                    <a:stretch>
                      <a:fillRect/>
                    </a:stretch>
                  </pic:blipFill>
                  <pic:spPr bwMode="auto">
                    <a:xfrm>
                      <a:off x="0" y="0"/>
                      <a:ext cx="3524250" cy="171450"/>
                    </a:xfrm>
                    <a:prstGeom prst="rect">
                      <a:avLst/>
                    </a:prstGeom>
                    <a:noFill/>
                    <a:ln w="9525">
                      <a:noFill/>
                      <a:miter lim="800000"/>
                      <a:headEnd/>
                      <a:tailEnd/>
                    </a:ln>
                  </pic:spPr>
                </pic:pic>
              </a:graphicData>
            </a:graphic>
          </wp:inline>
        </w:drawing>
      </w:r>
      <w:r w:rsidRPr="00CD464C">
        <w:rPr>
          <w:rFonts w:asciiTheme="majorBidi" w:hAnsiTheme="majorBidi" w:cstheme="majorBidi"/>
          <w:sz w:val="22"/>
          <w:szCs w:val="22"/>
        </w:rPr>
        <w:instrText xml:space="preserve"> </w:instrText>
      </w:r>
      <w:r w:rsidR="007848F8" w:rsidRPr="00CD464C">
        <w:rPr>
          <w:rFonts w:asciiTheme="majorBidi" w:hAnsiTheme="majorBidi" w:cstheme="majorBidi"/>
          <w:sz w:val="22"/>
          <w:szCs w:val="22"/>
        </w:rPr>
        <w:fldChar w:fldCharType="separate"/>
      </w:r>
      <w:r w:rsidR="00650398" w:rsidRPr="00CD464C">
        <w:rPr>
          <w:rFonts w:asciiTheme="majorBidi" w:hAnsiTheme="majorBidi" w:cstheme="majorBidi"/>
          <w:noProof/>
          <w:sz w:val="22"/>
          <w:szCs w:val="22"/>
        </w:rPr>
        <w:drawing>
          <wp:inline distT="0" distB="0" distL="0" distR="0">
            <wp:extent cx="3524250" cy="171450"/>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4" cstate="print">
                      <a:clrChange>
                        <a:clrFrom>
                          <a:srgbClr val="FFFFFF"/>
                        </a:clrFrom>
                        <a:clrTo>
                          <a:srgbClr val="FFFFFF">
                            <a:alpha val="0"/>
                          </a:srgbClr>
                        </a:clrTo>
                      </a:clrChange>
                    </a:blip>
                    <a:srcRect/>
                    <a:stretch>
                      <a:fillRect/>
                    </a:stretch>
                  </pic:blipFill>
                  <pic:spPr bwMode="auto">
                    <a:xfrm>
                      <a:off x="0" y="0"/>
                      <a:ext cx="3524250" cy="171450"/>
                    </a:xfrm>
                    <a:prstGeom prst="rect">
                      <a:avLst/>
                    </a:prstGeom>
                    <a:noFill/>
                    <a:ln w="9525">
                      <a:noFill/>
                      <a:miter lim="800000"/>
                      <a:headEnd/>
                      <a:tailEnd/>
                    </a:ln>
                  </pic:spPr>
                </pic:pic>
              </a:graphicData>
            </a:graphic>
          </wp:inline>
        </w:drawing>
      </w:r>
      <w:r w:rsidR="007848F8" w:rsidRPr="00CD464C">
        <w:rPr>
          <w:rFonts w:asciiTheme="majorBidi" w:hAnsiTheme="majorBidi" w:cstheme="majorBidi"/>
          <w:sz w:val="22"/>
          <w:szCs w:val="22"/>
        </w:rPr>
        <w:fldChar w:fldCharType="end"/>
      </w:r>
      <w:r w:rsidRPr="00CD464C">
        <w:rPr>
          <w:rFonts w:asciiTheme="majorBidi" w:hAnsiTheme="majorBidi" w:cstheme="majorBidi"/>
          <w:sz w:val="22"/>
          <w:szCs w:val="22"/>
        </w:rPr>
        <w:t>+</w:t>
      </w:r>
      <w:r w:rsidR="007848F8" w:rsidRPr="00CD464C">
        <w:rPr>
          <w:rFonts w:asciiTheme="majorBidi" w:hAnsiTheme="majorBidi" w:cstheme="majorBidi"/>
          <w:sz w:val="22"/>
          <w:szCs w:val="22"/>
        </w:rPr>
        <w:fldChar w:fldCharType="begin"/>
      </w:r>
      <w:r w:rsidRPr="00CD464C">
        <w:rPr>
          <w:rFonts w:asciiTheme="majorBidi" w:hAnsiTheme="majorBidi" w:cstheme="majorBidi"/>
          <w:sz w:val="22"/>
          <w:szCs w:val="22"/>
        </w:rPr>
        <w:instrText xml:space="preserve"> QUOTE </w:instrText>
      </w:r>
      <w:r w:rsidR="00650398" w:rsidRPr="00CD464C">
        <w:rPr>
          <w:rFonts w:asciiTheme="majorBidi" w:hAnsiTheme="majorBidi" w:cstheme="majorBidi"/>
          <w:noProof/>
          <w:sz w:val="22"/>
          <w:szCs w:val="22"/>
        </w:rPr>
        <w:drawing>
          <wp:inline distT="0" distB="0" distL="0" distR="0">
            <wp:extent cx="1123950" cy="142875"/>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2" cstate="print">
                      <a:clrChange>
                        <a:clrFrom>
                          <a:srgbClr val="FFFFFF"/>
                        </a:clrFrom>
                        <a:clrTo>
                          <a:srgbClr val="FFFFFF">
                            <a:alpha val="0"/>
                          </a:srgbClr>
                        </a:clrTo>
                      </a:clrChange>
                    </a:blip>
                    <a:srcRect/>
                    <a:stretch>
                      <a:fillRect/>
                    </a:stretch>
                  </pic:blipFill>
                  <pic:spPr bwMode="auto">
                    <a:xfrm>
                      <a:off x="0" y="0"/>
                      <a:ext cx="1123950" cy="142875"/>
                    </a:xfrm>
                    <a:prstGeom prst="rect">
                      <a:avLst/>
                    </a:prstGeom>
                    <a:noFill/>
                    <a:ln w="9525">
                      <a:noFill/>
                      <a:miter lim="800000"/>
                      <a:headEnd/>
                      <a:tailEnd/>
                    </a:ln>
                  </pic:spPr>
                </pic:pic>
              </a:graphicData>
            </a:graphic>
          </wp:inline>
        </w:drawing>
      </w:r>
      <w:r w:rsidRPr="00CD464C">
        <w:rPr>
          <w:rFonts w:asciiTheme="majorBidi" w:hAnsiTheme="majorBidi" w:cstheme="majorBidi"/>
          <w:sz w:val="22"/>
          <w:szCs w:val="22"/>
        </w:rPr>
        <w:instrText xml:space="preserve"> </w:instrText>
      </w:r>
      <w:r w:rsidR="007848F8" w:rsidRPr="00CD464C">
        <w:rPr>
          <w:rFonts w:asciiTheme="majorBidi" w:hAnsiTheme="majorBidi" w:cstheme="majorBidi"/>
          <w:sz w:val="22"/>
          <w:szCs w:val="22"/>
        </w:rPr>
        <w:fldChar w:fldCharType="separate"/>
      </w:r>
      <w:r w:rsidR="00650398" w:rsidRPr="00CD464C">
        <w:rPr>
          <w:rFonts w:asciiTheme="majorBidi" w:hAnsiTheme="majorBidi" w:cstheme="majorBidi"/>
          <w:noProof/>
          <w:sz w:val="22"/>
          <w:szCs w:val="22"/>
        </w:rPr>
        <w:drawing>
          <wp:inline distT="0" distB="0" distL="0" distR="0">
            <wp:extent cx="1123950" cy="142875"/>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2" cstate="print">
                      <a:clrChange>
                        <a:clrFrom>
                          <a:srgbClr val="FFFFFF"/>
                        </a:clrFrom>
                        <a:clrTo>
                          <a:srgbClr val="FFFFFF">
                            <a:alpha val="0"/>
                          </a:srgbClr>
                        </a:clrTo>
                      </a:clrChange>
                    </a:blip>
                    <a:srcRect/>
                    <a:stretch>
                      <a:fillRect/>
                    </a:stretch>
                  </pic:blipFill>
                  <pic:spPr bwMode="auto">
                    <a:xfrm>
                      <a:off x="0" y="0"/>
                      <a:ext cx="1123950" cy="142875"/>
                    </a:xfrm>
                    <a:prstGeom prst="rect">
                      <a:avLst/>
                    </a:prstGeom>
                    <a:noFill/>
                    <a:ln w="9525">
                      <a:noFill/>
                      <a:miter lim="800000"/>
                      <a:headEnd/>
                      <a:tailEnd/>
                    </a:ln>
                  </pic:spPr>
                </pic:pic>
              </a:graphicData>
            </a:graphic>
          </wp:inline>
        </w:drawing>
      </w:r>
      <w:r w:rsidR="007848F8" w:rsidRPr="00CD464C">
        <w:rPr>
          <w:rFonts w:asciiTheme="majorBidi" w:hAnsiTheme="majorBidi" w:cstheme="majorBidi"/>
          <w:sz w:val="22"/>
          <w:szCs w:val="22"/>
        </w:rPr>
        <w:fldChar w:fldCharType="end"/>
      </w:r>
      <w:r w:rsidRPr="00CD464C">
        <w:rPr>
          <w:rFonts w:asciiTheme="majorBidi" w:hAnsiTheme="majorBidi" w:cstheme="majorBidi"/>
          <w:sz w:val="22"/>
          <w:szCs w:val="22"/>
        </w:rPr>
        <w:t xml:space="preserve">   </w:t>
      </w:r>
    </w:p>
    <w:p w:rsidR="00EB2B18" w:rsidRDefault="0088646F" w:rsidP="005C179C">
      <w:pPr>
        <w:spacing w:line="360" w:lineRule="auto"/>
        <w:jc w:val="both"/>
        <w:rPr>
          <w:rFonts w:asciiTheme="majorBidi" w:hAnsiTheme="majorBidi" w:cstheme="majorBidi"/>
          <w:sz w:val="20"/>
          <w:szCs w:val="20"/>
        </w:rPr>
      </w:pPr>
      <w:r w:rsidRPr="00CD464C">
        <w:rPr>
          <w:rFonts w:asciiTheme="majorBidi" w:hAnsiTheme="majorBidi" w:cstheme="majorBidi"/>
          <w:sz w:val="20"/>
          <w:szCs w:val="20"/>
        </w:rPr>
        <w:t>Were NTR2005 is the Non-Tradable (assets) Rae in Dec. 2005. We show that that some of the control variables are insignificant.  NTR2005 is insignificant, given the chan</w:t>
      </w:r>
      <w:r w:rsidR="00672017" w:rsidRPr="00CD464C">
        <w:rPr>
          <w:rFonts w:asciiTheme="majorBidi" w:hAnsiTheme="majorBidi" w:cstheme="majorBidi"/>
          <w:sz w:val="20"/>
          <w:szCs w:val="20"/>
        </w:rPr>
        <w:t>g</w:t>
      </w:r>
      <w:r w:rsidRPr="00CD464C">
        <w:rPr>
          <w:rFonts w:asciiTheme="majorBidi" w:hAnsiTheme="majorBidi" w:cstheme="majorBidi"/>
          <w:sz w:val="20"/>
          <w:szCs w:val="20"/>
        </w:rPr>
        <w:t xml:space="preserve">es in </w:t>
      </w:r>
      <w:r w:rsidR="0030539D" w:rsidRPr="00CD464C">
        <w:rPr>
          <w:rFonts w:asciiTheme="majorBidi" w:hAnsiTheme="majorBidi" w:cstheme="majorBidi"/>
          <w:sz w:val="20"/>
          <w:szCs w:val="20"/>
        </w:rPr>
        <w:t xml:space="preserve">the allocation of </w:t>
      </w:r>
      <w:r w:rsidRPr="00CD464C">
        <w:rPr>
          <w:rFonts w:asciiTheme="majorBidi" w:hAnsiTheme="majorBidi" w:cstheme="majorBidi"/>
          <w:sz w:val="20"/>
          <w:szCs w:val="20"/>
        </w:rPr>
        <w:t>asset</w:t>
      </w:r>
      <w:r w:rsidR="0030539D" w:rsidRPr="00CD464C">
        <w:rPr>
          <w:rFonts w:asciiTheme="majorBidi" w:hAnsiTheme="majorBidi" w:cstheme="majorBidi"/>
          <w:sz w:val="20"/>
          <w:szCs w:val="20"/>
        </w:rPr>
        <w:t>s</w:t>
      </w:r>
      <w:r w:rsidRPr="00CD464C">
        <w:rPr>
          <w:rFonts w:asciiTheme="majorBidi" w:hAnsiTheme="majorBidi" w:cstheme="majorBidi"/>
          <w:sz w:val="20"/>
          <w:szCs w:val="20"/>
        </w:rPr>
        <w:t xml:space="preserve">  during the period Dec.2004-Dec. 2005. Other factors retain</w:t>
      </w:r>
      <w:r w:rsidR="008A3C40" w:rsidRPr="00CD464C">
        <w:rPr>
          <w:rFonts w:asciiTheme="majorBidi" w:hAnsiTheme="majorBidi" w:cstheme="majorBidi"/>
          <w:sz w:val="20"/>
          <w:szCs w:val="20"/>
        </w:rPr>
        <w:t>ed</w:t>
      </w:r>
      <w:r w:rsidRPr="00CD464C">
        <w:rPr>
          <w:rFonts w:asciiTheme="majorBidi" w:hAnsiTheme="majorBidi" w:cstheme="majorBidi"/>
          <w:sz w:val="20"/>
          <w:szCs w:val="20"/>
        </w:rPr>
        <w:t xml:space="preserve"> their relative significance.  Size (SIZE</w:t>
      </w:r>
      <w:r w:rsidRPr="00CD464C">
        <w:rPr>
          <w:rFonts w:asciiTheme="majorBidi" w:hAnsiTheme="majorBidi" w:cstheme="majorBidi"/>
          <w:i/>
          <w:iCs/>
          <w:sz w:val="20"/>
          <w:szCs w:val="20"/>
        </w:rPr>
        <w:t>)</w:t>
      </w:r>
      <w:r w:rsidRPr="00CD464C">
        <w:rPr>
          <w:rFonts w:asciiTheme="majorBidi" w:hAnsiTheme="majorBidi" w:cstheme="majorBidi"/>
          <w:sz w:val="20"/>
          <w:szCs w:val="20"/>
        </w:rPr>
        <w:t xml:space="preserve"> and management fees (</w:t>
      </w:r>
      <w:r w:rsidRPr="00CD464C">
        <w:rPr>
          <w:rFonts w:asciiTheme="majorBidi" w:hAnsiTheme="majorBidi" w:cstheme="majorBidi"/>
          <w:i/>
          <w:iCs/>
          <w:sz w:val="20"/>
          <w:szCs w:val="20"/>
        </w:rPr>
        <w:t>MNGF</w:t>
      </w:r>
      <w:r w:rsidRPr="00CD464C">
        <w:rPr>
          <w:rFonts w:asciiTheme="majorBidi" w:hAnsiTheme="majorBidi" w:cstheme="majorBidi"/>
          <w:sz w:val="20"/>
          <w:szCs w:val="20"/>
        </w:rPr>
        <w:t>) are insignificant under various robustness checks. Raw return is significant under various scenarios.  The Dummy variables DINS and DPRV</w:t>
      </w:r>
      <w:r w:rsidR="008A3C40" w:rsidRPr="00CD464C">
        <w:rPr>
          <w:rFonts w:asciiTheme="majorBidi" w:hAnsiTheme="majorBidi" w:cstheme="majorBidi"/>
          <w:sz w:val="20"/>
          <w:szCs w:val="20"/>
        </w:rPr>
        <w:t>,</w:t>
      </w:r>
      <w:r w:rsidRPr="00CD464C">
        <w:rPr>
          <w:rFonts w:asciiTheme="majorBidi" w:hAnsiTheme="majorBidi" w:cstheme="majorBidi"/>
          <w:sz w:val="20"/>
          <w:szCs w:val="20"/>
        </w:rPr>
        <w:t xml:space="preserve"> which control the ownership structure</w:t>
      </w:r>
      <w:r w:rsidR="008A3C40" w:rsidRPr="00CD464C">
        <w:rPr>
          <w:rFonts w:asciiTheme="majorBidi" w:hAnsiTheme="majorBidi" w:cstheme="majorBidi"/>
          <w:sz w:val="20"/>
          <w:szCs w:val="20"/>
        </w:rPr>
        <w:t>,</w:t>
      </w:r>
      <w:r w:rsidRPr="00CD464C">
        <w:rPr>
          <w:rFonts w:asciiTheme="majorBidi" w:hAnsiTheme="majorBidi" w:cstheme="majorBidi"/>
          <w:sz w:val="20"/>
          <w:szCs w:val="20"/>
        </w:rPr>
        <w:t xml:space="preserve"> are also significant; it suggests that investors</w:t>
      </w:r>
      <w:r w:rsidR="008A3C40" w:rsidRPr="00CD464C">
        <w:rPr>
          <w:rFonts w:asciiTheme="majorBidi" w:hAnsiTheme="majorBidi" w:cstheme="majorBidi"/>
          <w:sz w:val="20"/>
          <w:szCs w:val="20"/>
        </w:rPr>
        <w:t>,</w:t>
      </w:r>
      <w:r w:rsidRPr="00CD464C">
        <w:rPr>
          <w:rFonts w:asciiTheme="majorBidi" w:hAnsiTheme="majorBidi" w:cstheme="majorBidi"/>
          <w:sz w:val="20"/>
          <w:szCs w:val="20"/>
        </w:rPr>
        <w:t xml:space="preserve"> who reallocate their investments</w:t>
      </w:r>
      <w:r w:rsidR="008A3C40" w:rsidRPr="00CD464C">
        <w:rPr>
          <w:rFonts w:asciiTheme="majorBidi" w:hAnsiTheme="majorBidi" w:cstheme="majorBidi"/>
          <w:sz w:val="20"/>
          <w:szCs w:val="20"/>
        </w:rPr>
        <w:t>,</w:t>
      </w:r>
      <w:r w:rsidRPr="00CD464C">
        <w:rPr>
          <w:rFonts w:asciiTheme="majorBidi" w:hAnsiTheme="majorBidi" w:cstheme="majorBidi"/>
          <w:sz w:val="20"/>
          <w:szCs w:val="20"/>
        </w:rPr>
        <w:t xml:space="preserve"> base their decision on the fund’s owner, regardless of its performance. This type of information is biased, since not all private funds exceed the synthetic benchmark.</w:t>
      </w:r>
    </w:p>
    <w:p w:rsidR="00EB2B18" w:rsidRDefault="0088646F" w:rsidP="005C179C">
      <w:pPr>
        <w:pStyle w:val="3"/>
        <w:bidi w:val="0"/>
        <w:spacing w:line="360" w:lineRule="auto"/>
        <w:rPr>
          <w:rFonts w:asciiTheme="majorBidi" w:hAnsiTheme="majorBidi" w:cstheme="majorBidi"/>
          <w:sz w:val="24"/>
          <w:szCs w:val="24"/>
        </w:rPr>
      </w:pPr>
      <w:r w:rsidRPr="00CD464C">
        <w:rPr>
          <w:rFonts w:asciiTheme="majorBidi" w:hAnsiTheme="majorBidi" w:cstheme="majorBidi"/>
          <w:sz w:val="24"/>
          <w:szCs w:val="24"/>
        </w:rPr>
        <w:t>Table 8 Panel A</w:t>
      </w:r>
    </w:p>
    <w:p w:rsidR="00EB2B18" w:rsidRDefault="00EB2B18" w:rsidP="005C179C">
      <w:pPr>
        <w:spacing w:line="360" w:lineRule="auto"/>
        <w:rPr>
          <w:rFonts w:asciiTheme="majorBidi" w:hAnsiTheme="majorBidi" w:cstheme="majorBidi"/>
          <w:sz w:val="22"/>
          <w:szCs w:val="22"/>
          <w:lang w:eastAsia="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868"/>
        <w:gridCol w:w="1249"/>
        <w:gridCol w:w="1193"/>
        <w:gridCol w:w="976"/>
        <w:gridCol w:w="218"/>
        <w:gridCol w:w="976"/>
      </w:tblGrid>
      <w:tr w:rsidR="0088646F" w:rsidRPr="00CD464C" w:rsidTr="00743CEB">
        <w:trPr>
          <w:gridAfter w:val="2"/>
          <w:wAfter w:w="1194" w:type="dxa"/>
        </w:trPr>
        <w:tc>
          <w:tcPr>
            <w:tcW w:w="5286" w:type="dxa"/>
            <w:gridSpan w:val="4"/>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Dependent variable: AFF</w:t>
            </w:r>
          </w:p>
        </w:tc>
      </w:tr>
      <w:tr w:rsidR="0088646F" w:rsidRPr="00CD464C" w:rsidTr="00743CEB">
        <w:trPr>
          <w:gridAfter w:val="2"/>
          <w:wAfter w:w="1194" w:type="dxa"/>
        </w:trPr>
        <w:tc>
          <w:tcPr>
            <w:tcW w:w="5286" w:type="dxa"/>
            <w:gridSpan w:val="4"/>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Method: Two-Stage Least Squares</w:t>
            </w:r>
          </w:p>
        </w:tc>
      </w:tr>
      <w:tr w:rsidR="0088646F" w:rsidRPr="00CD464C" w:rsidTr="00743CEB">
        <w:trPr>
          <w:gridAfter w:val="2"/>
          <w:wAfter w:w="1194" w:type="dxa"/>
        </w:trPr>
        <w:tc>
          <w:tcPr>
            <w:tcW w:w="5286" w:type="dxa"/>
            <w:gridSpan w:val="4"/>
          </w:tcPr>
          <w:p w:rsidR="00EB2B18" w:rsidRDefault="0088646F"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Included observations: 523</w:t>
            </w:r>
          </w:p>
        </w:tc>
      </w:tr>
      <w:tr w:rsidR="0088646F" w:rsidRPr="00CD464C">
        <w:trPr>
          <w:gridAfter w:val="2"/>
          <w:wAfter w:w="1194" w:type="dxa"/>
        </w:trPr>
        <w:tc>
          <w:tcPr>
            <w:tcW w:w="1868"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Variable</w:t>
            </w:r>
          </w:p>
        </w:tc>
        <w:tc>
          <w:tcPr>
            <w:tcW w:w="1249"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Coefficient</w:t>
            </w:r>
          </w:p>
        </w:tc>
        <w:tc>
          <w:tcPr>
            <w:tcW w:w="1193"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Std. Error</w:t>
            </w:r>
          </w:p>
        </w:tc>
        <w:tc>
          <w:tcPr>
            <w:tcW w:w="976"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Prob.</w:t>
            </w:r>
          </w:p>
        </w:tc>
      </w:tr>
      <w:tr w:rsidR="0088646F" w:rsidRPr="00CD464C">
        <w:trPr>
          <w:gridAfter w:val="2"/>
          <w:wAfter w:w="1194" w:type="dxa"/>
        </w:trPr>
        <w:tc>
          <w:tcPr>
            <w:tcW w:w="1868"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C</w:t>
            </w:r>
          </w:p>
        </w:tc>
        <w:tc>
          <w:tcPr>
            <w:tcW w:w="1249"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62.921</w:t>
            </w:r>
          </w:p>
        </w:tc>
        <w:tc>
          <w:tcPr>
            <w:tcW w:w="1193"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76.17518</w:t>
            </w:r>
          </w:p>
        </w:tc>
        <w:tc>
          <w:tcPr>
            <w:tcW w:w="976"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0.4095</w:t>
            </w:r>
          </w:p>
        </w:tc>
      </w:tr>
      <w:tr w:rsidR="0088646F" w:rsidRPr="00CD464C">
        <w:trPr>
          <w:gridAfter w:val="2"/>
          <w:wAfter w:w="1194" w:type="dxa"/>
        </w:trPr>
        <w:tc>
          <w:tcPr>
            <w:tcW w:w="1868"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NTR2004</w:t>
            </w:r>
          </w:p>
        </w:tc>
        <w:tc>
          <w:tcPr>
            <w:tcW w:w="1249"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-13.267</w:t>
            </w:r>
          </w:p>
        </w:tc>
        <w:tc>
          <w:tcPr>
            <w:tcW w:w="1193"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3.679206</w:t>
            </w:r>
          </w:p>
        </w:tc>
        <w:tc>
          <w:tcPr>
            <w:tcW w:w="976"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0.0398**</w:t>
            </w:r>
          </w:p>
        </w:tc>
      </w:tr>
      <w:tr w:rsidR="0088646F" w:rsidRPr="00CD464C">
        <w:trPr>
          <w:gridAfter w:val="2"/>
          <w:wAfter w:w="1194" w:type="dxa"/>
        </w:trPr>
        <w:tc>
          <w:tcPr>
            <w:tcW w:w="1868"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FUNDAGE</w:t>
            </w:r>
          </w:p>
        </w:tc>
        <w:tc>
          <w:tcPr>
            <w:tcW w:w="1249"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2.796</w:t>
            </w:r>
          </w:p>
        </w:tc>
        <w:tc>
          <w:tcPr>
            <w:tcW w:w="1193"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0.912373</w:t>
            </w:r>
          </w:p>
        </w:tc>
        <w:tc>
          <w:tcPr>
            <w:tcW w:w="976"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0.0024***</w:t>
            </w:r>
          </w:p>
        </w:tc>
      </w:tr>
      <w:tr w:rsidR="0088646F" w:rsidRPr="00CD464C">
        <w:trPr>
          <w:gridAfter w:val="2"/>
          <w:wAfter w:w="1194" w:type="dxa"/>
        </w:trPr>
        <w:tc>
          <w:tcPr>
            <w:tcW w:w="1868"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R2004</w:t>
            </w:r>
          </w:p>
        </w:tc>
        <w:tc>
          <w:tcPr>
            <w:tcW w:w="1249"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84.974</w:t>
            </w:r>
          </w:p>
        </w:tc>
        <w:tc>
          <w:tcPr>
            <w:tcW w:w="1193"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57.36278</w:t>
            </w:r>
          </w:p>
        </w:tc>
        <w:tc>
          <w:tcPr>
            <w:tcW w:w="976"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0.1396</w:t>
            </w:r>
          </w:p>
        </w:tc>
      </w:tr>
      <w:tr w:rsidR="0088646F" w:rsidRPr="00CD464C">
        <w:trPr>
          <w:gridAfter w:val="2"/>
          <w:wAfter w:w="1194" w:type="dxa"/>
        </w:trPr>
        <w:tc>
          <w:tcPr>
            <w:tcW w:w="1868"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RAR2004</w:t>
            </w:r>
          </w:p>
        </w:tc>
        <w:tc>
          <w:tcPr>
            <w:tcW w:w="1249"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5.440531</w:t>
            </w:r>
          </w:p>
        </w:tc>
        <w:tc>
          <w:tcPr>
            <w:tcW w:w="1193"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21.62304</w:t>
            </w:r>
          </w:p>
        </w:tc>
        <w:tc>
          <w:tcPr>
            <w:tcW w:w="976"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0.8015</w:t>
            </w:r>
          </w:p>
        </w:tc>
      </w:tr>
      <w:tr w:rsidR="0088646F" w:rsidRPr="00CD464C">
        <w:trPr>
          <w:gridAfter w:val="2"/>
          <w:wAfter w:w="1194" w:type="dxa"/>
        </w:trPr>
        <w:tc>
          <w:tcPr>
            <w:tcW w:w="1868"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DINS</w:t>
            </w:r>
          </w:p>
        </w:tc>
        <w:tc>
          <w:tcPr>
            <w:tcW w:w="1249"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104.9078</w:t>
            </w:r>
          </w:p>
        </w:tc>
        <w:tc>
          <w:tcPr>
            <w:tcW w:w="1193"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59.69593</w:t>
            </w:r>
          </w:p>
        </w:tc>
        <w:tc>
          <w:tcPr>
            <w:tcW w:w="976"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0.0799*</w:t>
            </w:r>
          </w:p>
        </w:tc>
      </w:tr>
      <w:tr w:rsidR="0088646F" w:rsidRPr="00CD464C">
        <w:trPr>
          <w:gridAfter w:val="2"/>
          <w:wAfter w:w="1194" w:type="dxa"/>
        </w:trPr>
        <w:tc>
          <w:tcPr>
            <w:tcW w:w="1868"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DPRV</w:t>
            </w:r>
          </w:p>
        </w:tc>
        <w:tc>
          <w:tcPr>
            <w:tcW w:w="1249"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82.75068</w:t>
            </w:r>
          </w:p>
        </w:tc>
        <w:tc>
          <w:tcPr>
            <w:tcW w:w="1193"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52.97220</w:t>
            </w:r>
          </w:p>
        </w:tc>
        <w:tc>
          <w:tcPr>
            <w:tcW w:w="976"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0.1194</w:t>
            </w:r>
          </w:p>
        </w:tc>
      </w:tr>
      <w:tr w:rsidR="0088646F" w:rsidRPr="00CD464C">
        <w:tc>
          <w:tcPr>
            <w:tcW w:w="1868"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R-squared</w:t>
            </w:r>
          </w:p>
        </w:tc>
        <w:tc>
          <w:tcPr>
            <w:tcW w:w="1249"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0.186</w:t>
            </w:r>
          </w:p>
        </w:tc>
        <w:tc>
          <w:tcPr>
            <w:tcW w:w="2387" w:type="dxa"/>
            <w:gridSpan w:val="3"/>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 xml:space="preserve">  Mean dependent var</w:t>
            </w:r>
          </w:p>
        </w:tc>
        <w:tc>
          <w:tcPr>
            <w:tcW w:w="976"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113.71</w:t>
            </w:r>
          </w:p>
        </w:tc>
      </w:tr>
      <w:tr w:rsidR="0088646F" w:rsidRPr="00CD464C">
        <w:tc>
          <w:tcPr>
            <w:tcW w:w="1868"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Adjusted R-squared</w:t>
            </w:r>
          </w:p>
        </w:tc>
        <w:tc>
          <w:tcPr>
            <w:tcW w:w="1249"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0.166</w:t>
            </w:r>
          </w:p>
        </w:tc>
        <w:tc>
          <w:tcPr>
            <w:tcW w:w="2387" w:type="dxa"/>
            <w:gridSpan w:val="3"/>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 xml:space="preserve">  S.D. dependent var</w:t>
            </w:r>
          </w:p>
        </w:tc>
        <w:tc>
          <w:tcPr>
            <w:tcW w:w="976"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285.72</w:t>
            </w:r>
          </w:p>
        </w:tc>
      </w:tr>
    </w:tbl>
    <w:p w:rsidR="00EB2B18" w:rsidRDefault="005E54B8"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 rejected at 0.99 ** rejected at 0.95 * rejected at 0.90</w:t>
      </w:r>
    </w:p>
    <w:p w:rsidR="00EB2B18" w:rsidRDefault="00EB2B18" w:rsidP="005C179C">
      <w:pPr>
        <w:spacing w:line="360" w:lineRule="auto"/>
        <w:jc w:val="both"/>
        <w:rPr>
          <w:rFonts w:asciiTheme="majorBidi" w:hAnsiTheme="majorBidi" w:cstheme="majorBidi"/>
          <w:sz w:val="20"/>
          <w:szCs w:val="20"/>
        </w:rPr>
      </w:pPr>
    </w:p>
    <w:p w:rsidR="00EB2B18" w:rsidRDefault="0088646F" w:rsidP="005C179C">
      <w:pPr>
        <w:spacing w:line="360" w:lineRule="auto"/>
        <w:jc w:val="both"/>
        <w:rPr>
          <w:rFonts w:asciiTheme="majorBidi" w:hAnsiTheme="majorBidi" w:cstheme="majorBidi"/>
          <w:sz w:val="20"/>
          <w:szCs w:val="20"/>
        </w:rPr>
      </w:pPr>
      <w:r w:rsidRPr="00CD464C">
        <w:rPr>
          <w:rFonts w:asciiTheme="majorBidi" w:hAnsiTheme="majorBidi" w:cstheme="majorBidi"/>
          <w:sz w:val="20"/>
          <w:szCs w:val="20"/>
        </w:rPr>
        <w:t>Table 8 Panel A show a TSLS run over equation 5.</w:t>
      </w:r>
      <w:r w:rsidR="00FA7911" w:rsidRPr="00CD464C">
        <w:rPr>
          <w:rFonts w:asciiTheme="majorBidi" w:hAnsiTheme="majorBidi" w:cstheme="majorBidi"/>
          <w:sz w:val="20"/>
          <w:szCs w:val="20"/>
        </w:rPr>
        <w:t>2</w:t>
      </w:r>
      <w:r w:rsidR="000D6B2D" w:rsidRPr="00CD464C">
        <w:rPr>
          <w:rFonts w:asciiTheme="majorBidi" w:hAnsiTheme="majorBidi" w:cstheme="majorBidi"/>
          <w:sz w:val="20"/>
          <w:szCs w:val="20"/>
        </w:rPr>
        <w:t>.</w:t>
      </w:r>
      <w:r w:rsidRPr="00CD464C">
        <w:rPr>
          <w:rFonts w:asciiTheme="majorBidi" w:hAnsiTheme="majorBidi" w:cstheme="majorBidi"/>
          <w:sz w:val="20"/>
          <w:szCs w:val="20"/>
        </w:rPr>
        <w:t>We use the exogenous variables – such as the ownership dummies, fund age, management fee and exogenously defined risk. NTR2004 was significant at 5% of the cases. Some of the control variables were correlated at various levels with the residuals. The main results remained robust.</w:t>
      </w:r>
    </w:p>
    <w:p w:rsidR="00EB2B18" w:rsidRDefault="00EB2B18" w:rsidP="005C179C">
      <w:pPr>
        <w:spacing w:line="360" w:lineRule="auto"/>
        <w:jc w:val="both"/>
        <w:rPr>
          <w:rFonts w:asciiTheme="majorBidi" w:hAnsiTheme="majorBidi" w:cstheme="majorBidi"/>
          <w:sz w:val="20"/>
          <w:szCs w:val="20"/>
        </w:rPr>
      </w:pPr>
    </w:p>
    <w:p w:rsidR="00EB2B18" w:rsidRDefault="0088646F" w:rsidP="005C179C">
      <w:pPr>
        <w:widowControl/>
        <w:snapToGrid/>
        <w:spacing w:after="0" w:line="360" w:lineRule="auto"/>
        <w:rPr>
          <w:rFonts w:asciiTheme="majorBidi" w:hAnsiTheme="majorBidi" w:cstheme="majorBidi"/>
          <w:sz w:val="22"/>
        </w:rPr>
      </w:pPr>
      <w:r w:rsidRPr="00CD464C">
        <w:rPr>
          <w:rFonts w:asciiTheme="majorBidi" w:hAnsiTheme="majorBidi" w:cstheme="majorBidi"/>
        </w:rPr>
        <w:lastRenderedPageBreak/>
        <w:br w:type="page"/>
      </w:r>
    </w:p>
    <w:p w:rsidR="00EB2B18" w:rsidRDefault="0088646F" w:rsidP="005C179C">
      <w:pPr>
        <w:pStyle w:val="3"/>
        <w:bidi w:val="0"/>
        <w:spacing w:line="360" w:lineRule="auto"/>
        <w:rPr>
          <w:rFonts w:asciiTheme="majorBidi" w:hAnsiTheme="majorBidi" w:cstheme="majorBidi"/>
          <w:sz w:val="24"/>
          <w:szCs w:val="24"/>
        </w:rPr>
      </w:pPr>
      <w:r w:rsidRPr="00CD464C">
        <w:rPr>
          <w:rFonts w:asciiTheme="majorBidi" w:hAnsiTheme="majorBidi" w:cstheme="majorBidi"/>
          <w:sz w:val="24"/>
          <w:szCs w:val="24"/>
        </w:rPr>
        <w:lastRenderedPageBreak/>
        <w:t>Table 8 Panel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868"/>
        <w:gridCol w:w="1249"/>
        <w:gridCol w:w="1193"/>
        <w:gridCol w:w="1194"/>
        <w:gridCol w:w="976"/>
      </w:tblGrid>
      <w:tr w:rsidR="0088646F" w:rsidRPr="00CD464C">
        <w:tc>
          <w:tcPr>
            <w:tcW w:w="6480" w:type="dxa"/>
            <w:gridSpan w:val="5"/>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Dependent variable: AFF</w:t>
            </w:r>
          </w:p>
        </w:tc>
      </w:tr>
      <w:tr w:rsidR="0088646F" w:rsidRPr="00CD464C">
        <w:tc>
          <w:tcPr>
            <w:tcW w:w="6480" w:type="dxa"/>
            <w:gridSpan w:val="5"/>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Method: Two-Stage Least Squares</w:t>
            </w:r>
          </w:p>
        </w:tc>
      </w:tr>
      <w:tr w:rsidR="0088646F" w:rsidRPr="00CD464C">
        <w:tc>
          <w:tcPr>
            <w:tcW w:w="6480" w:type="dxa"/>
            <w:gridSpan w:val="5"/>
          </w:tcPr>
          <w:p w:rsidR="00EB2B18" w:rsidRDefault="0088646F" w:rsidP="005C179C">
            <w:pPr>
              <w:spacing w:line="360" w:lineRule="auto"/>
              <w:jc w:val="both"/>
              <w:rPr>
                <w:rFonts w:asciiTheme="majorBidi" w:hAnsiTheme="majorBidi" w:cstheme="majorBidi"/>
                <w:b/>
                <w:bCs/>
                <w:sz w:val="18"/>
                <w:szCs w:val="18"/>
              </w:rPr>
            </w:pPr>
            <w:r w:rsidRPr="00CD464C">
              <w:rPr>
                <w:rFonts w:asciiTheme="majorBidi" w:hAnsiTheme="majorBidi" w:cstheme="majorBidi"/>
                <w:b/>
                <w:bCs/>
                <w:sz w:val="18"/>
                <w:szCs w:val="18"/>
              </w:rPr>
              <w:t>Included observations: 523</w:t>
            </w:r>
          </w:p>
        </w:tc>
      </w:tr>
      <w:tr w:rsidR="0088646F" w:rsidRPr="00CD464C">
        <w:tc>
          <w:tcPr>
            <w:tcW w:w="1868"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Variable</w:t>
            </w:r>
          </w:p>
        </w:tc>
        <w:tc>
          <w:tcPr>
            <w:tcW w:w="1249"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Coefficient</w:t>
            </w:r>
          </w:p>
        </w:tc>
        <w:tc>
          <w:tcPr>
            <w:tcW w:w="1193"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Std. Error</w:t>
            </w:r>
          </w:p>
        </w:tc>
        <w:tc>
          <w:tcPr>
            <w:tcW w:w="2170" w:type="dxa"/>
            <w:gridSpan w:val="2"/>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Prob.</w:t>
            </w:r>
          </w:p>
        </w:tc>
      </w:tr>
      <w:tr w:rsidR="0088646F" w:rsidRPr="00CD464C">
        <w:tc>
          <w:tcPr>
            <w:tcW w:w="1868"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C</w:t>
            </w:r>
          </w:p>
        </w:tc>
        <w:tc>
          <w:tcPr>
            <w:tcW w:w="1249"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71.121</w:t>
            </w:r>
          </w:p>
        </w:tc>
        <w:tc>
          <w:tcPr>
            <w:tcW w:w="1193"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76.171</w:t>
            </w:r>
          </w:p>
        </w:tc>
        <w:tc>
          <w:tcPr>
            <w:tcW w:w="2170" w:type="dxa"/>
            <w:gridSpan w:val="2"/>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0.34095</w:t>
            </w:r>
          </w:p>
        </w:tc>
      </w:tr>
      <w:tr w:rsidR="0088646F" w:rsidRPr="00CD464C">
        <w:tc>
          <w:tcPr>
            <w:tcW w:w="1868"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NTR2005</w:t>
            </w:r>
          </w:p>
        </w:tc>
        <w:tc>
          <w:tcPr>
            <w:tcW w:w="1249"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-6.417</w:t>
            </w:r>
          </w:p>
        </w:tc>
        <w:tc>
          <w:tcPr>
            <w:tcW w:w="1193"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2.6796</w:t>
            </w:r>
          </w:p>
        </w:tc>
        <w:tc>
          <w:tcPr>
            <w:tcW w:w="2170" w:type="dxa"/>
            <w:gridSpan w:val="2"/>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0.07198*</w:t>
            </w:r>
          </w:p>
        </w:tc>
      </w:tr>
      <w:tr w:rsidR="0088646F" w:rsidRPr="00CD464C">
        <w:tc>
          <w:tcPr>
            <w:tcW w:w="1868"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FUNDAGE</w:t>
            </w:r>
          </w:p>
        </w:tc>
        <w:tc>
          <w:tcPr>
            <w:tcW w:w="1249"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2.791</w:t>
            </w:r>
          </w:p>
        </w:tc>
        <w:tc>
          <w:tcPr>
            <w:tcW w:w="1193"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0.92123</w:t>
            </w:r>
          </w:p>
        </w:tc>
        <w:tc>
          <w:tcPr>
            <w:tcW w:w="2170" w:type="dxa"/>
            <w:gridSpan w:val="2"/>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0.0023***</w:t>
            </w:r>
          </w:p>
        </w:tc>
      </w:tr>
      <w:tr w:rsidR="0088646F" w:rsidRPr="00CD464C">
        <w:tc>
          <w:tcPr>
            <w:tcW w:w="1868" w:type="dxa"/>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R20034</w:t>
            </w:r>
          </w:p>
        </w:tc>
        <w:tc>
          <w:tcPr>
            <w:tcW w:w="1249"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76.654</w:t>
            </w:r>
          </w:p>
        </w:tc>
        <w:tc>
          <w:tcPr>
            <w:tcW w:w="1193"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37.36278</w:t>
            </w:r>
          </w:p>
        </w:tc>
        <w:tc>
          <w:tcPr>
            <w:tcW w:w="2170" w:type="dxa"/>
            <w:gridSpan w:val="2"/>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0.089*</w:t>
            </w:r>
          </w:p>
        </w:tc>
      </w:tr>
      <w:tr w:rsidR="0088646F" w:rsidRPr="00CD464C">
        <w:tc>
          <w:tcPr>
            <w:tcW w:w="1868" w:type="dxa"/>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RAR2004</w:t>
            </w:r>
          </w:p>
        </w:tc>
        <w:tc>
          <w:tcPr>
            <w:tcW w:w="1249"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4.45440</w:t>
            </w:r>
          </w:p>
        </w:tc>
        <w:tc>
          <w:tcPr>
            <w:tcW w:w="1193"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21.62304</w:t>
            </w:r>
          </w:p>
        </w:tc>
        <w:tc>
          <w:tcPr>
            <w:tcW w:w="2170" w:type="dxa"/>
            <w:gridSpan w:val="2"/>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0.76515</w:t>
            </w:r>
          </w:p>
        </w:tc>
      </w:tr>
      <w:tr w:rsidR="0088646F" w:rsidRPr="00CD464C">
        <w:tc>
          <w:tcPr>
            <w:tcW w:w="1868" w:type="dxa"/>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SIZE</w:t>
            </w:r>
          </w:p>
        </w:tc>
        <w:tc>
          <w:tcPr>
            <w:tcW w:w="1249" w:type="dxa"/>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-0.002</w:t>
            </w:r>
          </w:p>
        </w:tc>
        <w:tc>
          <w:tcPr>
            <w:tcW w:w="1193" w:type="dxa"/>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0.001</w:t>
            </w:r>
          </w:p>
        </w:tc>
        <w:tc>
          <w:tcPr>
            <w:tcW w:w="2170" w:type="dxa"/>
            <w:gridSpan w:val="2"/>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0.019**</w:t>
            </w:r>
          </w:p>
        </w:tc>
      </w:tr>
      <w:tr w:rsidR="0088646F" w:rsidRPr="00CD464C">
        <w:tc>
          <w:tcPr>
            <w:tcW w:w="1868" w:type="dxa"/>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TRL</w:t>
            </w:r>
          </w:p>
        </w:tc>
        <w:tc>
          <w:tcPr>
            <w:tcW w:w="1249" w:type="dxa"/>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2.566</w:t>
            </w:r>
          </w:p>
        </w:tc>
        <w:tc>
          <w:tcPr>
            <w:tcW w:w="1193" w:type="dxa"/>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2.319</w:t>
            </w:r>
          </w:p>
        </w:tc>
        <w:tc>
          <w:tcPr>
            <w:tcW w:w="2170" w:type="dxa"/>
            <w:gridSpan w:val="2"/>
            <w:vAlign w:val="bottom"/>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0.271</w:t>
            </w:r>
          </w:p>
        </w:tc>
      </w:tr>
      <w:tr w:rsidR="0088646F" w:rsidRPr="00CD464C">
        <w:tc>
          <w:tcPr>
            <w:tcW w:w="1868"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R-squared</w:t>
            </w:r>
          </w:p>
        </w:tc>
        <w:tc>
          <w:tcPr>
            <w:tcW w:w="1249"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0.236</w:t>
            </w:r>
          </w:p>
        </w:tc>
        <w:tc>
          <w:tcPr>
            <w:tcW w:w="2387" w:type="dxa"/>
            <w:gridSpan w:val="2"/>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 xml:space="preserve">  Mean dependent var</w:t>
            </w:r>
          </w:p>
        </w:tc>
        <w:tc>
          <w:tcPr>
            <w:tcW w:w="976"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110.70</w:t>
            </w:r>
          </w:p>
        </w:tc>
      </w:tr>
      <w:tr w:rsidR="0088646F" w:rsidRPr="00CD464C">
        <w:tc>
          <w:tcPr>
            <w:tcW w:w="1868"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Adjusted R-squared</w:t>
            </w:r>
          </w:p>
        </w:tc>
        <w:tc>
          <w:tcPr>
            <w:tcW w:w="1249"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0.216</w:t>
            </w:r>
          </w:p>
        </w:tc>
        <w:tc>
          <w:tcPr>
            <w:tcW w:w="2387" w:type="dxa"/>
            <w:gridSpan w:val="2"/>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 xml:space="preserve">  S.D. dependent var</w:t>
            </w:r>
          </w:p>
        </w:tc>
        <w:tc>
          <w:tcPr>
            <w:tcW w:w="976" w:type="dxa"/>
          </w:tcPr>
          <w:p w:rsidR="00EB2B18" w:rsidRDefault="0088646F"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245.22</w:t>
            </w:r>
          </w:p>
        </w:tc>
      </w:tr>
    </w:tbl>
    <w:p w:rsidR="00EB2B18" w:rsidRDefault="005E54B8" w:rsidP="005C179C">
      <w:pPr>
        <w:spacing w:line="360" w:lineRule="auto"/>
        <w:jc w:val="both"/>
        <w:rPr>
          <w:rFonts w:asciiTheme="majorBidi" w:hAnsiTheme="majorBidi" w:cstheme="majorBidi"/>
          <w:sz w:val="18"/>
          <w:szCs w:val="18"/>
        </w:rPr>
      </w:pPr>
      <w:r w:rsidRPr="00CD464C">
        <w:rPr>
          <w:rFonts w:asciiTheme="majorBidi" w:hAnsiTheme="majorBidi" w:cstheme="majorBidi"/>
          <w:sz w:val="18"/>
          <w:szCs w:val="18"/>
        </w:rPr>
        <w:t>*** rejected at 0.99 ** rejected at 0.95 * rejected at 0.90</w:t>
      </w:r>
    </w:p>
    <w:p w:rsidR="00EB2B18" w:rsidRDefault="00EB2B18" w:rsidP="005C179C">
      <w:pPr>
        <w:spacing w:line="360" w:lineRule="auto"/>
        <w:jc w:val="both"/>
        <w:rPr>
          <w:rFonts w:asciiTheme="majorBidi" w:hAnsiTheme="majorBidi" w:cstheme="majorBidi"/>
          <w:sz w:val="20"/>
          <w:szCs w:val="20"/>
        </w:rPr>
      </w:pPr>
    </w:p>
    <w:p w:rsidR="00EB2B18" w:rsidRDefault="0088646F" w:rsidP="005C179C">
      <w:pPr>
        <w:spacing w:line="360" w:lineRule="auto"/>
        <w:rPr>
          <w:rFonts w:asciiTheme="majorBidi" w:hAnsiTheme="majorBidi" w:cstheme="majorBidi"/>
          <w:sz w:val="20"/>
          <w:szCs w:val="20"/>
        </w:rPr>
      </w:pPr>
      <w:r w:rsidRPr="00CD464C">
        <w:rPr>
          <w:rFonts w:asciiTheme="majorBidi" w:hAnsiTheme="majorBidi" w:cstheme="majorBidi"/>
          <w:sz w:val="20"/>
          <w:szCs w:val="20"/>
        </w:rPr>
        <w:t>Table 8 Panel A show a TSLS run over equation 5.</w:t>
      </w:r>
      <w:r w:rsidR="00FA7911" w:rsidRPr="00CD464C">
        <w:rPr>
          <w:rFonts w:asciiTheme="majorBidi" w:hAnsiTheme="majorBidi" w:cstheme="majorBidi"/>
          <w:sz w:val="20"/>
          <w:szCs w:val="20"/>
        </w:rPr>
        <w:t>2.2</w:t>
      </w:r>
      <w:r w:rsidRPr="00CD464C">
        <w:rPr>
          <w:rFonts w:asciiTheme="majorBidi" w:hAnsiTheme="majorBidi" w:cstheme="majorBidi"/>
          <w:sz w:val="20"/>
          <w:szCs w:val="20"/>
        </w:rPr>
        <w:t>, for the sector of funds owned by the banks. We use the exogenous variables – such as the ownership dummies, fund age, management fee and exogenously defined risk. NTR2004 was significant at 5% of the cases. Some of the control variables were correlated at various levels with the residuals. The main results remained robust. size (SIZE</w:t>
      </w:r>
      <w:r w:rsidRPr="00CD464C">
        <w:rPr>
          <w:rFonts w:asciiTheme="majorBidi" w:hAnsiTheme="majorBidi" w:cstheme="majorBidi"/>
          <w:i/>
          <w:iCs/>
          <w:sz w:val="20"/>
          <w:szCs w:val="20"/>
        </w:rPr>
        <w:t>)</w:t>
      </w:r>
      <w:r w:rsidRPr="00CD464C">
        <w:rPr>
          <w:rFonts w:asciiTheme="majorBidi" w:hAnsiTheme="majorBidi" w:cstheme="majorBidi"/>
          <w:sz w:val="20"/>
          <w:szCs w:val="20"/>
        </w:rPr>
        <w:t xml:space="preserve"> and the fund’s vintage (FUNDAGE</w:t>
      </w:r>
      <w:r w:rsidRPr="003770E1">
        <w:rPr>
          <w:rFonts w:asciiTheme="majorBidi" w:hAnsiTheme="majorBidi" w:cstheme="majorBidi"/>
          <w:sz w:val="20"/>
          <w:szCs w:val="20"/>
        </w:rPr>
        <w:t xml:space="preserve">) are </w:t>
      </w:r>
      <w:r w:rsidR="00471B0F" w:rsidRPr="003770E1">
        <w:rPr>
          <w:rFonts w:asciiTheme="majorBidi" w:hAnsiTheme="majorBidi" w:cstheme="majorBidi"/>
          <w:sz w:val="20"/>
          <w:szCs w:val="20"/>
        </w:rPr>
        <w:t>significant</w:t>
      </w:r>
      <w:r w:rsidR="004923B3" w:rsidRPr="003770E1">
        <w:rPr>
          <w:rFonts w:asciiTheme="majorBidi" w:hAnsiTheme="majorBidi" w:cstheme="majorBidi"/>
          <w:sz w:val="20"/>
          <w:szCs w:val="20"/>
        </w:rPr>
        <w:t xml:space="preserve"> Risk adjusted return is significant </w:t>
      </w:r>
      <w:r w:rsidRPr="003770E1">
        <w:rPr>
          <w:rFonts w:asciiTheme="majorBidi" w:hAnsiTheme="majorBidi" w:cstheme="majorBidi"/>
          <w:sz w:val="20"/>
          <w:szCs w:val="20"/>
        </w:rPr>
        <w:t xml:space="preserve">only for this subsample. A plausible explanation is that many of the banks </w:t>
      </w:r>
      <w:r w:rsidR="0030539D" w:rsidRPr="003770E1">
        <w:rPr>
          <w:rFonts w:asciiTheme="majorBidi" w:hAnsiTheme="majorBidi" w:cstheme="majorBidi"/>
          <w:sz w:val="20"/>
          <w:szCs w:val="20"/>
        </w:rPr>
        <w:t xml:space="preserve">have </w:t>
      </w:r>
      <w:r w:rsidRPr="003770E1">
        <w:rPr>
          <w:rFonts w:asciiTheme="majorBidi" w:hAnsiTheme="majorBidi" w:cstheme="majorBidi"/>
          <w:sz w:val="20"/>
          <w:szCs w:val="20"/>
        </w:rPr>
        <w:t>established new funds with higher rates of risky assets – as a response to the private funds which showed higher</w:t>
      </w:r>
      <w:r w:rsidRPr="00CD464C">
        <w:rPr>
          <w:rFonts w:asciiTheme="majorBidi" w:hAnsiTheme="majorBidi" w:cstheme="majorBidi"/>
          <w:sz w:val="20"/>
          <w:szCs w:val="20"/>
        </w:rPr>
        <w:t xml:space="preserve"> returns. We use the set of bank-owned funds only to test the robustness over time. </w:t>
      </w:r>
    </w:p>
    <w:p w:rsidR="00EB2B18" w:rsidRDefault="00EB2B18" w:rsidP="005C179C">
      <w:pPr>
        <w:spacing w:line="360" w:lineRule="auto"/>
        <w:jc w:val="both"/>
        <w:rPr>
          <w:rFonts w:asciiTheme="majorBidi" w:hAnsiTheme="majorBidi" w:cstheme="majorBidi"/>
          <w:sz w:val="20"/>
          <w:szCs w:val="20"/>
        </w:rPr>
      </w:pPr>
    </w:p>
    <w:p w:rsidR="00EB2B18" w:rsidRDefault="00EB2B18" w:rsidP="005C179C">
      <w:pPr>
        <w:spacing w:line="360" w:lineRule="auto"/>
        <w:jc w:val="both"/>
        <w:rPr>
          <w:rFonts w:asciiTheme="majorBidi" w:hAnsiTheme="majorBidi" w:cstheme="majorBidi"/>
          <w:sz w:val="22"/>
          <w:szCs w:val="22"/>
        </w:rPr>
      </w:pPr>
    </w:p>
    <w:p w:rsidR="00EB2B18" w:rsidRDefault="0088646F" w:rsidP="005C179C">
      <w:pPr>
        <w:widowControl/>
        <w:snapToGrid/>
        <w:spacing w:after="0" w:line="360" w:lineRule="auto"/>
        <w:rPr>
          <w:rFonts w:asciiTheme="majorBidi" w:hAnsiTheme="majorBidi" w:cstheme="majorBidi"/>
          <w:sz w:val="22"/>
          <w:szCs w:val="22"/>
        </w:rPr>
      </w:pPr>
      <w:r w:rsidRPr="00CD464C">
        <w:rPr>
          <w:rFonts w:asciiTheme="majorBidi" w:hAnsiTheme="majorBidi" w:cstheme="majorBidi"/>
          <w:sz w:val="22"/>
          <w:szCs w:val="22"/>
        </w:rPr>
        <w:br w:type="page"/>
      </w:r>
    </w:p>
    <w:p w:rsidR="0088646F" w:rsidRPr="00CD464C" w:rsidRDefault="0088646F" w:rsidP="0010303D">
      <w:pPr>
        <w:spacing w:line="360" w:lineRule="auto"/>
        <w:jc w:val="both"/>
        <w:rPr>
          <w:rFonts w:asciiTheme="majorBidi" w:hAnsiTheme="majorBidi" w:cstheme="majorBidi"/>
          <w:sz w:val="22"/>
          <w:szCs w:val="22"/>
        </w:rPr>
        <w:sectPr w:rsidR="0088646F" w:rsidRPr="00CD464C" w:rsidSect="002C2896">
          <w:pgSz w:w="11906" w:h="16838"/>
          <w:pgMar w:top="864" w:right="1152" w:bottom="864" w:left="1152" w:header="706" w:footer="706" w:gutter="0"/>
          <w:cols w:space="720"/>
          <w:bidi/>
          <w:rtlGutter/>
          <w:docGrid w:linePitch="360"/>
        </w:sectPr>
      </w:pPr>
    </w:p>
    <w:p w:rsidR="00EB2B18" w:rsidRDefault="0088646F" w:rsidP="005C179C">
      <w:pPr>
        <w:pStyle w:val="3"/>
        <w:widowControl w:val="0"/>
        <w:bidi w:val="0"/>
        <w:snapToGrid w:val="0"/>
        <w:spacing w:after="120" w:line="360" w:lineRule="auto"/>
        <w:jc w:val="both"/>
        <w:rPr>
          <w:rFonts w:asciiTheme="majorBidi" w:hAnsiTheme="majorBidi" w:cstheme="majorBidi"/>
          <w:sz w:val="24"/>
          <w:szCs w:val="24"/>
        </w:rPr>
      </w:pPr>
      <w:r w:rsidRPr="003770E1">
        <w:rPr>
          <w:rFonts w:asciiTheme="majorBidi" w:hAnsiTheme="majorBidi" w:cstheme="majorBidi"/>
          <w:sz w:val="24"/>
          <w:szCs w:val="24"/>
        </w:rPr>
        <w:lastRenderedPageBreak/>
        <w:t>Table 9 Panel A</w:t>
      </w:r>
    </w:p>
    <w:p w:rsidR="00EB2B18" w:rsidRDefault="005E54B8" w:rsidP="005C179C">
      <w:pPr>
        <w:spacing w:line="360" w:lineRule="auto"/>
        <w:jc w:val="both"/>
        <w:rPr>
          <w:rFonts w:asciiTheme="majorBidi" w:hAnsiTheme="majorBidi" w:cstheme="majorBidi"/>
          <w:sz w:val="22"/>
          <w:szCs w:val="22"/>
        </w:rPr>
      </w:pPr>
      <w:r w:rsidRPr="00CD464C">
        <w:rPr>
          <w:rFonts w:asciiTheme="majorBidi" w:hAnsiTheme="majorBidi" w:cstheme="majorBidi"/>
          <w:noProof/>
          <w:sz w:val="22"/>
          <w:szCs w:val="22"/>
        </w:rPr>
        <w:drawing>
          <wp:inline distT="0" distB="0" distL="0" distR="0">
            <wp:extent cx="5274310" cy="6913375"/>
            <wp:effectExtent l="19050" t="0" r="2540" b="0"/>
            <wp:docPr id="1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cstate="print"/>
                    <a:srcRect/>
                    <a:stretch>
                      <a:fillRect/>
                    </a:stretch>
                  </pic:blipFill>
                  <pic:spPr bwMode="auto">
                    <a:xfrm>
                      <a:off x="0" y="0"/>
                      <a:ext cx="5274310" cy="6913375"/>
                    </a:xfrm>
                    <a:prstGeom prst="rect">
                      <a:avLst/>
                    </a:prstGeom>
                    <a:noFill/>
                    <a:ln w="9525">
                      <a:noFill/>
                      <a:miter lim="800000"/>
                      <a:headEnd/>
                      <a:tailEnd/>
                    </a:ln>
                  </pic:spPr>
                </pic:pic>
              </a:graphicData>
            </a:graphic>
          </wp:inline>
        </w:drawing>
      </w:r>
    </w:p>
    <w:p w:rsidR="00EB2B18" w:rsidRDefault="0088646F" w:rsidP="005C179C">
      <w:pPr>
        <w:spacing w:line="360" w:lineRule="auto"/>
        <w:jc w:val="both"/>
        <w:rPr>
          <w:rFonts w:asciiTheme="majorBidi" w:hAnsiTheme="majorBidi" w:cstheme="majorBidi"/>
          <w:sz w:val="20"/>
          <w:szCs w:val="20"/>
        </w:rPr>
      </w:pPr>
      <w:r w:rsidRPr="00CD464C">
        <w:rPr>
          <w:rFonts w:asciiTheme="majorBidi" w:hAnsiTheme="majorBidi" w:cstheme="majorBidi"/>
          <w:sz w:val="20"/>
          <w:szCs w:val="20"/>
        </w:rPr>
        <w:t xml:space="preserve">Table 9 Panel A illustrates the </w:t>
      </w:r>
      <w:r w:rsidRPr="00CD464C">
        <w:rPr>
          <w:rFonts w:asciiTheme="majorBidi" w:hAnsiTheme="majorBidi" w:cstheme="majorBidi"/>
          <w:iCs/>
          <w:sz w:val="20"/>
          <w:szCs w:val="20"/>
        </w:rPr>
        <w:t>January scenario</w:t>
      </w:r>
      <w:r w:rsidRPr="00CD464C">
        <w:rPr>
          <w:rFonts w:asciiTheme="majorBidi" w:hAnsiTheme="majorBidi" w:cstheme="majorBidi"/>
          <w:sz w:val="20"/>
          <w:szCs w:val="20"/>
        </w:rPr>
        <w:t xml:space="preserve">. The aggregate result for the bank funds is 26.9% of withdrawals, and it is insignificantly different from the benchmark “Rationality ratio" of 25%. </w:t>
      </w:r>
      <w:r w:rsidR="003C1FB3" w:rsidRPr="00CD464C">
        <w:rPr>
          <w:rFonts w:asciiTheme="majorBidi" w:hAnsiTheme="majorBidi" w:cstheme="majorBidi"/>
          <w:sz w:val="20"/>
          <w:szCs w:val="20"/>
        </w:rPr>
        <w:t>As f</w:t>
      </w:r>
      <w:r w:rsidRPr="00CD464C">
        <w:rPr>
          <w:rFonts w:asciiTheme="majorBidi" w:hAnsiTheme="majorBidi" w:cstheme="majorBidi"/>
          <w:sz w:val="20"/>
          <w:szCs w:val="20"/>
        </w:rPr>
        <w:t>or Cluster 1</w:t>
      </w:r>
      <w:r w:rsidR="003C1FB3" w:rsidRPr="00CD464C">
        <w:rPr>
          <w:rFonts w:asciiTheme="majorBidi" w:hAnsiTheme="majorBidi" w:cstheme="majorBidi"/>
          <w:sz w:val="20"/>
          <w:szCs w:val="20"/>
        </w:rPr>
        <w:t>,</w:t>
      </w:r>
      <w:r w:rsidRPr="00CD464C">
        <w:rPr>
          <w:rFonts w:asciiTheme="majorBidi" w:hAnsiTheme="majorBidi" w:cstheme="majorBidi"/>
          <w:sz w:val="20"/>
          <w:szCs w:val="20"/>
        </w:rPr>
        <w:t xml:space="preserve"> we find that the April 2005 withdrawals were aggregated to 45%, i.e. significantly (at 95%) higher than the benchmark for Cluster 1 funds. For Clusters 2 and 3</w:t>
      </w:r>
      <w:r w:rsidR="001C0AD9" w:rsidRPr="00CD464C">
        <w:rPr>
          <w:rFonts w:asciiTheme="majorBidi" w:hAnsiTheme="majorBidi" w:cstheme="majorBidi"/>
          <w:sz w:val="20"/>
          <w:szCs w:val="20"/>
        </w:rPr>
        <w:t>,</w:t>
      </w:r>
      <w:r w:rsidRPr="00CD464C">
        <w:rPr>
          <w:rFonts w:asciiTheme="majorBidi" w:hAnsiTheme="majorBidi" w:cstheme="majorBidi"/>
          <w:sz w:val="20"/>
          <w:szCs w:val="20"/>
        </w:rPr>
        <w:t xml:space="preserve"> the results differ insignificantly from the benchmark.</w:t>
      </w:r>
    </w:p>
    <w:p w:rsidR="00EB2B18" w:rsidRDefault="00EB2B18" w:rsidP="005C179C">
      <w:pPr>
        <w:pStyle w:val="4"/>
        <w:spacing w:line="360" w:lineRule="auto"/>
        <w:jc w:val="both"/>
        <w:rPr>
          <w:rFonts w:asciiTheme="majorBidi" w:hAnsiTheme="majorBidi" w:cstheme="majorBidi"/>
          <w:sz w:val="22"/>
          <w:szCs w:val="22"/>
        </w:rPr>
      </w:pPr>
    </w:p>
    <w:p w:rsidR="00EB2B18" w:rsidRDefault="0088646F" w:rsidP="005C179C">
      <w:pPr>
        <w:pStyle w:val="3"/>
        <w:bidi w:val="0"/>
        <w:spacing w:line="360" w:lineRule="auto"/>
        <w:rPr>
          <w:rFonts w:asciiTheme="majorBidi" w:hAnsiTheme="majorBidi" w:cstheme="majorBidi"/>
          <w:sz w:val="24"/>
          <w:szCs w:val="24"/>
        </w:rPr>
      </w:pPr>
      <w:r w:rsidRPr="00CD464C">
        <w:rPr>
          <w:rFonts w:asciiTheme="majorBidi" w:hAnsiTheme="majorBidi" w:cstheme="majorBidi"/>
          <w:sz w:val="24"/>
          <w:szCs w:val="24"/>
        </w:rPr>
        <w:t xml:space="preserve">Table </w:t>
      </w:r>
      <w:r w:rsidR="005F0982" w:rsidRPr="00CD464C">
        <w:rPr>
          <w:rFonts w:asciiTheme="majorBidi" w:hAnsiTheme="majorBidi" w:cstheme="majorBidi"/>
          <w:sz w:val="24"/>
          <w:szCs w:val="24"/>
        </w:rPr>
        <w:t>9 Panel</w:t>
      </w:r>
      <w:r w:rsidRPr="00CD464C">
        <w:rPr>
          <w:rFonts w:asciiTheme="majorBidi" w:hAnsiTheme="majorBidi" w:cstheme="majorBidi"/>
          <w:sz w:val="24"/>
          <w:szCs w:val="24"/>
        </w:rPr>
        <w:t xml:space="preserve"> B</w:t>
      </w:r>
    </w:p>
    <w:p w:rsidR="00EB2B18" w:rsidRDefault="005E54B8" w:rsidP="005C179C">
      <w:pPr>
        <w:spacing w:line="360" w:lineRule="auto"/>
        <w:jc w:val="both"/>
        <w:rPr>
          <w:rFonts w:asciiTheme="majorBidi" w:hAnsiTheme="majorBidi" w:cstheme="majorBidi"/>
          <w:sz w:val="22"/>
          <w:szCs w:val="22"/>
        </w:rPr>
      </w:pPr>
      <w:r w:rsidRPr="00CD464C">
        <w:rPr>
          <w:rFonts w:asciiTheme="majorBidi" w:hAnsiTheme="majorBidi" w:cstheme="majorBidi"/>
          <w:noProof/>
          <w:sz w:val="22"/>
          <w:szCs w:val="22"/>
        </w:rPr>
        <w:drawing>
          <wp:inline distT="0" distB="0" distL="0" distR="0">
            <wp:extent cx="5274310" cy="6675299"/>
            <wp:effectExtent l="19050" t="0" r="2540" b="0"/>
            <wp:docPr id="2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cstate="print"/>
                    <a:srcRect/>
                    <a:stretch>
                      <a:fillRect/>
                    </a:stretch>
                  </pic:blipFill>
                  <pic:spPr bwMode="auto">
                    <a:xfrm>
                      <a:off x="0" y="0"/>
                      <a:ext cx="5274310" cy="6675299"/>
                    </a:xfrm>
                    <a:prstGeom prst="rect">
                      <a:avLst/>
                    </a:prstGeom>
                    <a:noFill/>
                    <a:ln w="9525">
                      <a:noFill/>
                      <a:miter lim="800000"/>
                      <a:headEnd/>
                      <a:tailEnd/>
                    </a:ln>
                  </pic:spPr>
                </pic:pic>
              </a:graphicData>
            </a:graphic>
          </wp:inline>
        </w:drawing>
      </w:r>
    </w:p>
    <w:p w:rsidR="000A5045" w:rsidRDefault="0088646F" w:rsidP="005C179C">
      <w:pPr>
        <w:spacing w:line="360" w:lineRule="auto"/>
        <w:jc w:val="both"/>
        <w:rPr>
          <w:rFonts w:asciiTheme="majorBidi" w:hAnsiTheme="majorBidi" w:cstheme="majorBidi"/>
          <w:sz w:val="20"/>
          <w:szCs w:val="20"/>
        </w:rPr>
      </w:pPr>
      <w:r w:rsidRPr="00CD464C">
        <w:rPr>
          <w:rFonts w:asciiTheme="majorBidi" w:hAnsiTheme="majorBidi" w:cstheme="majorBidi"/>
          <w:sz w:val="20"/>
          <w:szCs w:val="20"/>
        </w:rPr>
        <w:t xml:space="preserve"> Table 9 Panel B illustrates the February scenario – the information became available only on February 1</w:t>
      </w:r>
      <w:r w:rsidRPr="00CD464C">
        <w:rPr>
          <w:rFonts w:asciiTheme="majorBidi" w:hAnsiTheme="majorBidi" w:cstheme="majorBidi"/>
          <w:sz w:val="20"/>
          <w:szCs w:val="20"/>
          <w:vertAlign w:val="superscript"/>
        </w:rPr>
        <w:t>st</w:t>
      </w:r>
      <w:r w:rsidRPr="00CD464C">
        <w:rPr>
          <w:rFonts w:asciiTheme="majorBidi" w:hAnsiTheme="majorBidi" w:cstheme="majorBidi"/>
          <w:sz w:val="20"/>
          <w:szCs w:val="20"/>
        </w:rPr>
        <w:t>. “The rationality ratio” is 29.1%. For Cluster 1</w:t>
      </w:r>
      <w:r w:rsidR="001C0AD9" w:rsidRPr="00CD464C">
        <w:rPr>
          <w:rFonts w:asciiTheme="majorBidi" w:hAnsiTheme="majorBidi" w:cstheme="majorBidi"/>
          <w:sz w:val="20"/>
          <w:szCs w:val="20"/>
        </w:rPr>
        <w:t>,</w:t>
      </w:r>
      <w:r w:rsidRPr="00CD464C">
        <w:rPr>
          <w:rFonts w:asciiTheme="majorBidi" w:hAnsiTheme="majorBidi" w:cstheme="majorBidi"/>
          <w:sz w:val="20"/>
          <w:szCs w:val="20"/>
        </w:rPr>
        <w:t xml:space="preserve"> we find that the April 2005 withdrawals were aggregated to 53%, i.e. significantly (at 95%) higher than the benchmark for Cluster 1 funds. For Clusters 2 and 3</w:t>
      </w:r>
      <w:r w:rsidR="001C0AD9" w:rsidRPr="00CD464C">
        <w:rPr>
          <w:rFonts w:asciiTheme="majorBidi" w:hAnsiTheme="majorBidi" w:cstheme="majorBidi"/>
          <w:sz w:val="20"/>
          <w:szCs w:val="20"/>
        </w:rPr>
        <w:t>,</w:t>
      </w:r>
      <w:r w:rsidRPr="00CD464C">
        <w:rPr>
          <w:rFonts w:asciiTheme="majorBidi" w:hAnsiTheme="majorBidi" w:cstheme="majorBidi"/>
          <w:sz w:val="20"/>
          <w:szCs w:val="20"/>
        </w:rPr>
        <w:t xml:space="preserve"> the results are below the benchmark, but the small sample does not allow a comprehensive analysis</w:t>
      </w:r>
      <w:r w:rsidR="002E1A3B" w:rsidRPr="00CD464C">
        <w:rPr>
          <w:rFonts w:asciiTheme="majorBidi" w:hAnsiTheme="majorBidi" w:cstheme="majorBidi"/>
          <w:sz w:val="20"/>
          <w:szCs w:val="20"/>
        </w:rPr>
        <w:t>, following by unequivocal conclusions</w:t>
      </w:r>
      <w:r w:rsidRPr="00CD464C">
        <w:rPr>
          <w:rFonts w:asciiTheme="majorBidi" w:hAnsiTheme="majorBidi" w:cstheme="majorBidi"/>
          <w:sz w:val="20"/>
          <w:szCs w:val="20"/>
        </w:rPr>
        <w:t>. Only if we assume that the information became available to investors on March 1</w:t>
      </w:r>
      <w:r w:rsidRPr="00CD464C">
        <w:rPr>
          <w:rFonts w:asciiTheme="majorBidi" w:hAnsiTheme="majorBidi" w:cstheme="majorBidi"/>
          <w:sz w:val="20"/>
          <w:szCs w:val="20"/>
          <w:vertAlign w:val="superscript"/>
        </w:rPr>
        <w:t>st</w:t>
      </w:r>
      <w:r w:rsidRPr="00CD464C">
        <w:rPr>
          <w:rFonts w:asciiTheme="majorBidi" w:hAnsiTheme="majorBidi" w:cstheme="majorBidi"/>
          <w:sz w:val="20"/>
          <w:szCs w:val="20"/>
        </w:rPr>
        <w:t xml:space="preserve">, the ratio projects rationality (i.e. 51% of the flow is </w:t>
      </w:r>
      <w:r w:rsidRPr="00CD464C">
        <w:rPr>
          <w:rFonts w:asciiTheme="majorBidi" w:hAnsiTheme="majorBidi" w:cstheme="majorBidi"/>
          <w:sz w:val="20"/>
          <w:szCs w:val="20"/>
        </w:rPr>
        <w:lastRenderedPageBreak/>
        <w:t xml:space="preserve">unexpected additional April flow). There is no evidence which supports the latter assumption. </w:t>
      </w:r>
    </w:p>
    <w:sectPr w:rsidR="000A5045" w:rsidSect="0088646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BCF" w:rsidRDefault="00221BCF">
      <w:r>
        <w:separator/>
      </w:r>
    </w:p>
  </w:endnote>
  <w:endnote w:type="continuationSeparator" w:id="0">
    <w:p w:rsidR="00221BCF" w:rsidRDefault="0022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BCF" w:rsidRDefault="00221BCF">
      <w:r>
        <w:separator/>
      </w:r>
    </w:p>
  </w:footnote>
  <w:footnote w:type="continuationSeparator" w:id="0">
    <w:p w:rsidR="00221BCF" w:rsidRDefault="00221BCF">
      <w:r>
        <w:continuationSeparator/>
      </w:r>
    </w:p>
  </w:footnote>
  <w:footnote w:id="1">
    <w:p w:rsidR="005C5C87" w:rsidRDefault="005C5C87">
      <w:pPr>
        <w:pStyle w:val="a4"/>
        <w:bidi w:val="0"/>
        <w:jc w:val="both"/>
      </w:pPr>
      <w:r>
        <w:rPr>
          <w:rStyle w:val="af3"/>
        </w:rPr>
        <w:footnoteRef/>
      </w:r>
      <w:r>
        <w:rPr>
          <w:rtl/>
        </w:rPr>
        <w:t xml:space="preserve"> </w:t>
      </w:r>
      <w:r>
        <w:t xml:space="preserve">When using indexing or any other benchmarking </w:t>
      </w:r>
      <w:hyperlink r:id="rId1" w:history="1">
        <w:r>
          <w:rPr>
            <w:rStyle w:val="Hyperlink"/>
            <w:color w:val="auto"/>
          </w:rPr>
          <w:t>strategy</w:t>
        </w:r>
      </w:hyperlink>
      <w:r>
        <w:t xml:space="preserve">, the performance of the portfolio is differed from that of the </w:t>
      </w:r>
      <w:hyperlink r:id="rId2" w:history="1">
        <w:r>
          <w:rPr>
            <w:rStyle w:val="Hyperlink"/>
            <w:color w:val="auto"/>
          </w:rPr>
          <w:t>benchmark</w:t>
        </w:r>
      </w:hyperlink>
      <w:r>
        <w:t xml:space="preserve">. In reality, no indexing strategy can perfectly match the performance of the index or benchmark; the tracking error quantifies the degree to which the strategy is differed from the </w:t>
      </w:r>
      <w:hyperlink r:id="rId3" w:history="1">
        <w:r>
          <w:rPr>
            <w:rStyle w:val="Hyperlink"/>
            <w:color w:val="auto"/>
          </w:rPr>
          <w:t>index</w:t>
        </w:r>
      </w:hyperlink>
      <w:r>
        <w:t xml:space="preserve"> or benchmark.</w:t>
      </w:r>
    </w:p>
  </w:footnote>
  <w:footnote w:id="2">
    <w:p w:rsidR="005C5C87" w:rsidRDefault="005C5C87">
      <w:pPr>
        <w:pStyle w:val="a4"/>
        <w:bidi w:val="0"/>
        <w:jc w:val="both"/>
      </w:pPr>
      <w:r>
        <w:rPr>
          <w:rStyle w:val="af3"/>
        </w:rPr>
        <w:footnoteRef/>
      </w:r>
      <w:r>
        <w:t xml:space="preserve"> In our work the average investment strategy resembles investment in mutual funds, not in pension or provident funds. Investors consider raw return more than risk-adjusted return as a plausible explanation for why that information is not freely available, as was the raw return data. In contrast, past performance and raw return performance have been available on the Web for several years.</w:t>
      </w:r>
    </w:p>
  </w:footnote>
  <w:footnote w:id="3">
    <w:p w:rsidR="005C5C87" w:rsidRDefault="005C5C87">
      <w:pPr>
        <w:pStyle w:val="a4"/>
        <w:bidi w:val="0"/>
      </w:pPr>
      <w:r>
        <w:rPr>
          <w:rStyle w:val="af3"/>
        </w:rPr>
        <w:footnoteRef/>
      </w:r>
      <w:r>
        <w:rPr>
          <w:rtl/>
        </w:rPr>
        <w:t xml:space="preserve"> </w:t>
      </w:r>
      <w:r>
        <w:t>The residual sum is of funds managed by unions and corporations.</w:t>
      </w:r>
    </w:p>
  </w:footnote>
  <w:footnote w:id="4">
    <w:p w:rsidR="005C5C87" w:rsidRDefault="005C5C87" w:rsidP="007618A5">
      <w:pPr>
        <w:pStyle w:val="a4"/>
        <w:bidi w:val="0"/>
      </w:pPr>
      <w:r>
        <w:rPr>
          <w:rStyle w:val="af3"/>
        </w:rPr>
        <w:footnoteRef/>
      </w:r>
      <w:r>
        <w:rPr>
          <w:rtl/>
        </w:rPr>
        <w:t xml:space="preserve"> </w:t>
      </w:r>
      <w:r>
        <w:t>Four daily newspapers, including an economic daily, are published in Israel. In addition, there are three finance Web sites.</w:t>
      </w:r>
    </w:p>
  </w:footnote>
  <w:footnote w:id="5">
    <w:p w:rsidR="005C5C87" w:rsidRDefault="005C5C87" w:rsidP="00E70126">
      <w:pPr>
        <w:pStyle w:val="a4"/>
        <w:bidi w:val="0"/>
      </w:pPr>
      <w:r w:rsidRPr="0041045C">
        <w:rPr>
          <w:rStyle w:val="af3"/>
        </w:rPr>
        <w:footnoteRef/>
      </w:r>
      <w:r w:rsidRPr="0088646F">
        <w:rPr>
          <w:rtl/>
        </w:rPr>
        <w:t xml:space="preserve"> </w:t>
      </w:r>
      <w:r w:rsidRPr="0088646F">
        <w:t xml:space="preserve">The </w:t>
      </w:r>
      <w:r w:rsidRPr="00C24480">
        <w:t>Watts and Strogatz (1998) model</w:t>
      </w:r>
      <w:r w:rsidRPr="0088646F">
        <w:t xml:space="preserve"> is a </w:t>
      </w:r>
      <w:hyperlink r:id="rId4" w:tooltip="Random graph" w:history="1">
        <w:r w:rsidRPr="0088646F">
          <w:rPr>
            <w:rStyle w:val="Hyperlink"/>
            <w:color w:val="auto"/>
          </w:rPr>
          <w:t>random graph</w:t>
        </w:r>
      </w:hyperlink>
      <w:r w:rsidRPr="0088646F">
        <w:t xml:space="preserve"> generation model that produces graphs with </w:t>
      </w:r>
      <w:hyperlink r:id="rId5" w:tooltip="Small-world network" w:history="1">
        <w:r w:rsidRPr="0088646F">
          <w:rPr>
            <w:rStyle w:val="Hyperlink"/>
            <w:color w:val="auto"/>
          </w:rPr>
          <w:t>small-world properties</w:t>
        </w:r>
      </w:hyperlink>
      <w:r w:rsidRPr="0088646F">
        <w:t xml:space="preserve">, including short </w:t>
      </w:r>
      <w:hyperlink r:id="rId6" w:tooltip="Average path length" w:history="1">
        <w:r w:rsidRPr="0088646F">
          <w:rPr>
            <w:rStyle w:val="Hyperlink"/>
            <w:color w:val="auto"/>
          </w:rPr>
          <w:t>average path lengths</w:t>
        </w:r>
      </w:hyperlink>
      <w:r w:rsidRPr="0088646F">
        <w:t xml:space="preserve"> and high </w:t>
      </w:r>
      <w:hyperlink r:id="rId7" w:tooltip="Clustering coefficient" w:history="1">
        <w:r w:rsidRPr="0088646F">
          <w:rPr>
            <w:rStyle w:val="Hyperlink"/>
            <w:color w:val="auto"/>
          </w:rPr>
          <w:t>clustering</w:t>
        </w:r>
      </w:hyperlink>
      <w:r w:rsidRPr="0088646F">
        <w:t>. The model was designed as the simplest possible model that addresses clustering while retaining the short average path lengths</w:t>
      </w:r>
    </w:p>
  </w:footnote>
  <w:footnote w:id="6">
    <w:p w:rsidR="005C5C87" w:rsidRDefault="005C5C87" w:rsidP="005C179C">
      <w:pPr>
        <w:pStyle w:val="a4"/>
        <w:bidi w:val="0"/>
      </w:pPr>
      <w:r>
        <w:rPr>
          <w:rStyle w:val="af3"/>
        </w:rPr>
        <w:footnoteRef/>
      </w:r>
      <w:r>
        <w:t xml:space="preserve"> Note that the union sector is stable. One main reason for this is that employees (e.g. teachers) are required to allocate their investments into special </w:t>
      </w:r>
      <w:r w:rsidR="005C179C">
        <w:t>funds that</w:t>
      </w:r>
      <w:r>
        <w:t xml:space="preserve"> apply for the specific union only. </w:t>
      </w:r>
      <w:r w:rsidR="005C179C">
        <w:t>Hence,</w:t>
      </w:r>
      <w:r>
        <w:t xml:space="preserve"> </w:t>
      </w:r>
      <w:r w:rsidR="005C179C">
        <w:t xml:space="preserve">we remove these </w:t>
      </w:r>
      <w:r>
        <w:t>funds  from the database.</w:t>
      </w:r>
    </w:p>
  </w:footnote>
  <w:footnote w:id="7">
    <w:p w:rsidR="005C5C87" w:rsidRDefault="005C5C87">
      <w:pPr>
        <w:pStyle w:val="a4"/>
        <w:bidi w:val="0"/>
      </w:pPr>
      <w:r>
        <w:rPr>
          <w:rStyle w:val="af3"/>
        </w:rPr>
        <w:footnoteRef/>
      </w:r>
      <w:r>
        <w:t xml:space="preserve"> See BIS 25 at </w:t>
      </w:r>
      <w:hyperlink r:id="rId8" w:history="1">
        <w:r>
          <w:rPr>
            <w:rStyle w:val="Hyperlink"/>
          </w:rPr>
          <w:t>http://www.bis.org/forum/research.htm</w:t>
        </w:r>
      </w:hyperlink>
      <w:r>
        <w:t xml:space="preserve"> for a full list and a description of the Nelson-Siegel model around the globe.</w:t>
      </w:r>
    </w:p>
  </w:footnote>
  <w:footnote w:id="8">
    <w:p w:rsidR="005C5C87" w:rsidRDefault="005C5C87">
      <w:pPr>
        <w:pStyle w:val="a4"/>
        <w:bidi w:val="0"/>
      </w:pPr>
      <w:r>
        <w:rPr>
          <w:rStyle w:val="af3"/>
        </w:rPr>
        <w:footnoteRef/>
      </w:r>
      <w:r>
        <w:rPr>
          <w:rtl/>
        </w:rPr>
        <w:t xml:space="preserve"> </w:t>
      </w:r>
      <w:r>
        <w:t>Inflation rates until the late 1980s rendered this information irrelevant.</w:t>
      </w:r>
    </w:p>
  </w:footnote>
  <w:footnote w:id="9">
    <w:p w:rsidR="005C5C87" w:rsidRDefault="005C5C87" w:rsidP="00380465">
      <w:pPr>
        <w:pStyle w:val="a4"/>
        <w:bidi w:val="0"/>
      </w:pPr>
      <w:r w:rsidRPr="00380465">
        <w:rPr>
          <w:rStyle w:val="af3"/>
        </w:rPr>
        <w:footnoteRef/>
      </w:r>
      <w:r w:rsidRPr="00380465">
        <w:rPr>
          <w:rtl/>
        </w:rPr>
        <w:t xml:space="preserve"> </w:t>
      </w:r>
      <w:r w:rsidRPr="00380465">
        <w:t xml:space="preserve">The typical behavioral experiment is executed over a time period of less than an hour. See for instance the survey by Thaler and Barberis (2002)  </w:t>
      </w:r>
    </w:p>
  </w:footnote>
  <w:footnote w:id="10">
    <w:p w:rsidR="005C5C87" w:rsidRDefault="005C5C87">
      <w:pPr>
        <w:pStyle w:val="a4"/>
        <w:bidi w:val="0"/>
      </w:pPr>
      <w:r w:rsidRPr="00380465">
        <w:rPr>
          <w:rStyle w:val="af3"/>
        </w:rPr>
        <w:footnoteRef/>
      </w:r>
      <w:r w:rsidRPr="00380465">
        <w:rPr>
          <w:rtl/>
        </w:rPr>
        <w:t xml:space="preserve"> </w:t>
      </w:r>
      <w:r w:rsidRPr="00380465">
        <w:t>Slovic, Lichtenstein and Edwards (1965).</w:t>
      </w:r>
    </w:p>
  </w:footnote>
  <w:footnote w:id="11">
    <w:p w:rsidR="005C5C87" w:rsidRDefault="005C5C87" w:rsidP="001C5CD4">
      <w:pPr>
        <w:pStyle w:val="a4"/>
        <w:bidi w:val="0"/>
      </w:pPr>
      <w:r>
        <w:rPr>
          <w:rStyle w:val="af3"/>
        </w:rPr>
        <w:footnoteRef/>
      </w:r>
      <w:r>
        <w:rPr>
          <w:rtl/>
        </w:rPr>
        <w:t xml:space="preserve"> </w:t>
      </w:r>
      <w:r>
        <w:t>Equally weighted</w:t>
      </w:r>
    </w:p>
  </w:footnote>
  <w:footnote w:id="12">
    <w:p w:rsidR="005C5C87" w:rsidRDefault="005C5C87" w:rsidP="001C5CD4">
      <w:pPr>
        <w:pStyle w:val="a4"/>
        <w:bidi w:val="0"/>
      </w:pPr>
      <w:r>
        <w:rPr>
          <w:rStyle w:val="af3"/>
        </w:rPr>
        <w:footnoteRef/>
      </w:r>
      <w:r>
        <w:rPr>
          <w:rtl/>
        </w:rPr>
        <w:t xml:space="preserve"> </w:t>
      </w:r>
      <w:r>
        <w:t>Equally weighted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E84E1DA"/>
    <w:lvl w:ilvl="0">
      <w:start w:val="1"/>
      <w:numFmt w:val="decimal"/>
      <w:lvlText w:val="%1."/>
      <w:lvlJc w:val="left"/>
      <w:pPr>
        <w:tabs>
          <w:tab w:val="num" w:pos="360"/>
        </w:tabs>
        <w:ind w:left="360" w:hanging="360"/>
      </w:pPr>
      <w:rPr>
        <w:rFonts w:cs="Times New Roman"/>
      </w:rPr>
    </w:lvl>
  </w:abstractNum>
  <w:abstractNum w:abstractNumId="1">
    <w:nsid w:val="05AB3083"/>
    <w:multiLevelType w:val="hybridMultilevel"/>
    <w:tmpl w:val="B254D0C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74D38E8"/>
    <w:multiLevelType w:val="hybridMultilevel"/>
    <w:tmpl w:val="DA14B69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8B6681A"/>
    <w:multiLevelType w:val="multilevel"/>
    <w:tmpl w:val="B406CCDE"/>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0D1E68E7"/>
    <w:multiLevelType w:val="multilevel"/>
    <w:tmpl w:val="8C02CB3C"/>
    <w:lvl w:ilvl="0">
      <w:start w:val="3"/>
      <w:numFmt w:val="decimal"/>
      <w:lvlText w:val="%1"/>
      <w:lvlJc w:val="left"/>
      <w:pPr>
        <w:ind w:left="360" w:hanging="360"/>
      </w:pPr>
      <w:rPr>
        <w:rFonts w:cs="Times New Roman" w:hint="default"/>
      </w:rPr>
    </w:lvl>
    <w:lvl w:ilvl="1">
      <w:start w:val="3"/>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5">
    <w:nsid w:val="1735763F"/>
    <w:multiLevelType w:val="multilevel"/>
    <w:tmpl w:val="B406CCDE"/>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9284EF0"/>
    <w:multiLevelType w:val="hybridMultilevel"/>
    <w:tmpl w:val="39DC2BC0"/>
    <w:lvl w:ilvl="0" w:tplc="0409000F">
      <w:start w:val="1"/>
      <w:numFmt w:val="decimal"/>
      <w:lvlText w:val="%1."/>
      <w:lvlJc w:val="left"/>
      <w:pPr>
        <w:tabs>
          <w:tab w:val="num" w:pos="720"/>
        </w:tabs>
        <w:ind w:left="720" w:hanging="36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1B4F4DFB"/>
    <w:multiLevelType w:val="hybridMultilevel"/>
    <w:tmpl w:val="A4E08F1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1EF14B37"/>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9">
    <w:nsid w:val="271D3CE6"/>
    <w:multiLevelType w:val="hybridMultilevel"/>
    <w:tmpl w:val="1B42FE0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E4671BB"/>
    <w:multiLevelType w:val="hybridMultilevel"/>
    <w:tmpl w:val="F38AA1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2DC7043"/>
    <w:multiLevelType w:val="hybridMultilevel"/>
    <w:tmpl w:val="F036DC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3946227"/>
    <w:multiLevelType w:val="hybridMultilevel"/>
    <w:tmpl w:val="5F64DAF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409B45A6"/>
    <w:multiLevelType w:val="hybridMultilevel"/>
    <w:tmpl w:val="2D0C7B38"/>
    <w:lvl w:ilvl="0" w:tplc="183C3664">
      <w:start w:val="1"/>
      <w:numFmt w:val="decimal"/>
      <w:lvlText w:val="(%1)"/>
      <w:lvlJc w:val="left"/>
      <w:pPr>
        <w:tabs>
          <w:tab w:val="num" w:pos="825"/>
        </w:tabs>
        <w:ind w:left="825" w:hanging="46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445108FF"/>
    <w:multiLevelType w:val="hybridMultilevel"/>
    <w:tmpl w:val="A5648CE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49D47E2F"/>
    <w:multiLevelType w:val="multilevel"/>
    <w:tmpl w:val="4AE6B6B0"/>
    <w:lvl w:ilvl="0">
      <w:start w:val="3"/>
      <w:numFmt w:val="decimal"/>
      <w:lvlText w:val="%1"/>
      <w:lvlJc w:val="left"/>
      <w:pPr>
        <w:ind w:left="405" w:hanging="40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59F41C69"/>
    <w:multiLevelType w:val="multilevel"/>
    <w:tmpl w:val="37FC217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B7033FE"/>
    <w:multiLevelType w:val="multilevel"/>
    <w:tmpl w:val="FA9CDC42"/>
    <w:lvl w:ilvl="0">
      <w:start w:val="1"/>
      <w:numFmt w:val="decimal"/>
      <w:lvlText w:val="%1."/>
      <w:lvlJc w:val="left"/>
      <w:pPr>
        <w:ind w:left="900" w:hanging="360"/>
      </w:pPr>
      <w:rPr>
        <w:rFonts w:cs="Times New Roman" w:hint="default"/>
      </w:rPr>
    </w:lvl>
    <w:lvl w:ilvl="1">
      <w:start w:val="3"/>
      <w:numFmt w:val="decimal"/>
      <w:isLgl/>
      <w:lvlText w:val="%1.%2"/>
      <w:lvlJc w:val="left"/>
      <w:pPr>
        <w:ind w:left="1620" w:hanging="720"/>
      </w:pPr>
      <w:rPr>
        <w:rFonts w:cs="Times New Roman" w:hint="default"/>
      </w:rPr>
    </w:lvl>
    <w:lvl w:ilvl="2">
      <w:start w:val="1"/>
      <w:numFmt w:val="decimal"/>
      <w:isLgl/>
      <w:lvlText w:val="%1.%2.%3"/>
      <w:lvlJc w:val="left"/>
      <w:pPr>
        <w:ind w:left="1620" w:hanging="108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980" w:hanging="1440"/>
      </w:pPr>
      <w:rPr>
        <w:rFonts w:cs="Times New Roman" w:hint="default"/>
      </w:rPr>
    </w:lvl>
    <w:lvl w:ilvl="5">
      <w:start w:val="1"/>
      <w:numFmt w:val="decimal"/>
      <w:isLgl/>
      <w:lvlText w:val="%1.%2.%3.%4.%5.%6"/>
      <w:lvlJc w:val="left"/>
      <w:pPr>
        <w:ind w:left="2340" w:hanging="1800"/>
      </w:pPr>
      <w:rPr>
        <w:rFonts w:cs="Times New Roman" w:hint="default"/>
      </w:rPr>
    </w:lvl>
    <w:lvl w:ilvl="6">
      <w:start w:val="1"/>
      <w:numFmt w:val="decimal"/>
      <w:isLgl/>
      <w:lvlText w:val="%1.%2.%3.%4.%5.%6.%7"/>
      <w:lvlJc w:val="left"/>
      <w:pPr>
        <w:ind w:left="2700" w:hanging="2160"/>
      </w:pPr>
      <w:rPr>
        <w:rFonts w:cs="Times New Roman" w:hint="default"/>
      </w:rPr>
    </w:lvl>
    <w:lvl w:ilvl="7">
      <w:start w:val="1"/>
      <w:numFmt w:val="decimal"/>
      <w:isLgl/>
      <w:lvlText w:val="%1.%2.%3.%4.%5.%6.%7.%8"/>
      <w:lvlJc w:val="left"/>
      <w:pPr>
        <w:ind w:left="3060" w:hanging="2520"/>
      </w:pPr>
      <w:rPr>
        <w:rFonts w:cs="Times New Roman" w:hint="default"/>
      </w:rPr>
    </w:lvl>
    <w:lvl w:ilvl="8">
      <w:start w:val="1"/>
      <w:numFmt w:val="decimal"/>
      <w:isLgl/>
      <w:lvlText w:val="%1.%2.%3.%4.%5.%6.%7.%8.%9"/>
      <w:lvlJc w:val="left"/>
      <w:pPr>
        <w:ind w:left="3060" w:hanging="2520"/>
      </w:pPr>
      <w:rPr>
        <w:rFonts w:cs="Times New Roman" w:hint="default"/>
      </w:rPr>
    </w:lvl>
  </w:abstractNum>
  <w:abstractNum w:abstractNumId="18">
    <w:nsid w:val="60BF5675"/>
    <w:multiLevelType w:val="hybridMultilevel"/>
    <w:tmpl w:val="1576ACD0"/>
    <w:lvl w:ilvl="0" w:tplc="C87005C0">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B371AB"/>
    <w:multiLevelType w:val="hybridMultilevel"/>
    <w:tmpl w:val="F8F20158"/>
    <w:lvl w:ilvl="0" w:tplc="0409000F">
      <w:start w:val="1"/>
      <w:numFmt w:val="decimal"/>
      <w:lvlText w:val="%1."/>
      <w:lvlJc w:val="left"/>
      <w:pPr>
        <w:tabs>
          <w:tab w:val="num" w:pos="795"/>
        </w:tabs>
        <w:ind w:left="795"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6E674501"/>
    <w:multiLevelType w:val="multilevel"/>
    <w:tmpl w:val="B406CCD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147130C"/>
    <w:multiLevelType w:val="multilevel"/>
    <w:tmpl w:val="0409001F"/>
    <w:lvl w:ilvl="0">
      <w:start w:val="1"/>
      <w:numFmt w:val="decimal"/>
      <w:lvlText w:val="%1."/>
      <w:lvlJc w:val="left"/>
      <w:pPr>
        <w:ind w:left="450" w:hanging="360"/>
      </w:pPr>
      <w:rPr>
        <w:rFonts w:cs="Times New Roman"/>
      </w:rPr>
    </w:lvl>
    <w:lvl w:ilvl="1">
      <w:start w:val="1"/>
      <w:numFmt w:val="decimal"/>
      <w:lvlText w:val="%1.%2."/>
      <w:lvlJc w:val="left"/>
      <w:pPr>
        <w:ind w:left="882" w:hanging="432"/>
      </w:pPr>
      <w:rPr>
        <w:rFonts w:cs="Times New Roman"/>
      </w:rPr>
    </w:lvl>
    <w:lvl w:ilvl="2">
      <w:start w:val="1"/>
      <w:numFmt w:val="decimal"/>
      <w:lvlText w:val="%1.%2.%3."/>
      <w:lvlJc w:val="left"/>
      <w:pPr>
        <w:ind w:left="1314" w:hanging="504"/>
      </w:pPr>
      <w:rPr>
        <w:rFonts w:cs="Times New Roman"/>
      </w:rPr>
    </w:lvl>
    <w:lvl w:ilvl="3">
      <w:start w:val="1"/>
      <w:numFmt w:val="decimal"/>
      <w:lvlText w:val="%1.%2.%3.%4."/>
      <w:lvlJc w:val="left"/>
      <w:pPr>
        <w:ind w:left="1818" w:hanging="648"/>
      </w:pPr>
      <w:rPr>
        <w:rFonts w:cs="Times New Roman"/>
      </w:rPr>
    </w:lvl>
    <w:lvl w:ilvl="4">
      <w:start w:val="1"/>
      <w:numFmt w:val="decimal"/>
      <w:lvlText w:val="%1.%2.%3.%4.%5."/>
      <w:lvlJc w:val="left"/>
      <w:pPr>
        <w:ind w:left="2322" w:hanging="792"/>
      </w:pPr>
      <w:rPr>
        <w:rFonts w:cs="Times New Roman"/>
      </w:rPr>
    </w:lvl>
    <w:lvl w:ilvl="5">
      <w:start w:val="1"/>
      <w:numFmt w:val="decimal"/>
      <w:lvlText w:val="%1.%2.%3.%4.%5.%6."/>
      <w:lvlJc w:val="left"/>
      <w:pPr>
        <w:ind w:left="2826" w:hanging="936"/>
      </w:pPr>
      <w:rPr>
        <w:rFonts w:cs="Times New Roman"/>
      </w:rPr>
    </w:lvl>
    <w:lvl w:ilvl="6">
      <w:start w:val="1"/>
      <w:numFmt w:val="decimal"/>
      <w:lvlText w:val="%1.%2.%3.%4.%5.%6.%7."/>
      <w:lvlJc w:val="left"/>
      <w:pPr>
        <w:ind w:left="3330" w:hanging="1080"/>
      </w:pPr>
      <w:rPr>
        <w:rFonts w:cs="Times New Roman"/>
      </w:rPr>
    </w:lvl>
    <w:lvl w:ilvl="7">
      <w:start w:val="1"/>
      <w:numFmt w:val="decimal"/>
      <w:lvlText w:val="%1.%2.%3.%4.%5.%6.%7.%8."/>
      <w:lvlJc w:val="left"/>
      <w:pPr>
        <w:ind w:left="3834" w:hanging="1224"/>
      </w:pPr>
      <w:rPr>
        <w:rFonts w:cs="Times New Roman"/>
      </w:rPr>
    </w:lvl>
    <w:lvl w:ilvl="8">
      <w:start w:val="1"/>
      <w:numFmt w:val="decimal"/>
      <w:lvlText w:val="%1.%2.%3.%4.%5.%6.%7.%8.%9."/>
      <w:lvlJc w:val="left"/>
      <w:pPr>
        <w:ind w:left="4410" w:hanging="1440"/>
      </w:pPr>
      <w:rPr>
        <w:rFonts w:cs="Times New Roman"/>
      </w:rPr>
    </w:lvl>
  </w:abstractNum>
  <w:abstractNum w:abstractNumId="22">
    <w:nsid w:val="71BD3DBB"/>
    <w:multiLevelType w:val="hybridMultilevel"/>
    <w:tmpl w:val="403E0B7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2836C47"/>
    <w:multiLevelType w:val="multilevel"/>
    <w:tmpl w:val="B406CCD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7EB40556"/>
    <w:multiLevelType w:val="hybridMultilevel"/>
    <w:tmpl w:val="DF0EBC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lvlOverride w:ilvl="0">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11"/>
  </w:num>
  <w:num w:numId="17">
    <w:abstractNumId w:val="17"/>
  </w:num>
  <w:num w:numId="18">
    <w:abstractNumId w:val="10"/>
  </w:num>
  <w:num w:numId="19">
    <w:abstractNumId w:val="22"/>
  </w:num>
  <w:num w:numId="20">
    <w:abstractNumId w:val="9"/>
  </w:num>
  <w:num w:numId="21">
    <w:abstractNumId w:val="4"/>
  </w:num>
  <w:num w:numId="22">
    <w:abstractNumId w:val="21"/>
  </w:num>
  <w:num w:numId="23">
    <w:abstractNumId w:val="8"/>
  </w:num>
  <w:num w:numId="24">
    <w:abstractNumId w:val="15"/>
  </w:num>
  <w:num w:numId="25">
    <w:abstractNumId w:val="24"/>
  </w:num>
  <w:num w:numId="26">
    <w:abstractNumId w:val="16"/>
  </w:num>
  <w:num w:numId="27">
    <w:abstractNumId w:val="5"/>
  </w:num>
  <w:num w:numId="28">
    <w:abstractNumId w:val="3"/>
  </w:num>
  <w:num w:numId="29">
    <w:abstractNumId w:val="23"/>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2D1F"/>
    <w:rsid w:val="00005AE7"/>
    <w:rsid w:val="00012455"/>
    <w:rsid w:val="0002540E"/>
    <w:rsid w:val="000266E1"/>
    <w:rsid w:val="00027AB5"/>
    <w:rsid w:val="00027DBF"/>
    <w:rsid w:val="00036BA2"/>
    <w:rsid w:val="000412B7"/>
    <w:rsid w:val="00044142"/>
    <w:rsid w:val="00052408"/>
    <w:rsid w:val="00055529"/>
    <w:rsid w:val="0007004B"/>
    <w:rsid w:val="00080536"/>
    <w:rsid w:val="00080863"/>
    <w:rsid w:val="00083155"/>
    <w:rsid w:val="00084B40"/>
    <w:rsid w:val="0008740F"/>
    <w:rsid w:val="00091690"/>
    <w:rsid w:val="000A0108"/>
    <w:rsid w:val="000A1535"/>
    <w:rsid w:val="000A2005"/>
    <w:rsid w:val="000A48E6"/>
    <w:rsid w:val="000A5045"/>
    <w:rsid w:val="000A7287"/>
    <w:rsid w:val="000B0107"/>
    <w:rsid w:val="000B400D"/>
    <w:rsid w:val="000B4D44"/>
    <w:rsid w:val="000B69C8"/>
    <w:rsid w:val="000C1500"/>
    <w:rsid w:val="000C1DF3"/>
    <w:rsid w:val="000C69D9"/>
    <w:rsid w:val="000D4106"/>
    <w:rsid w:val="000D5C88"/>
    <w:rsid w:val="000D6B2D"/>
    <w:rsid w:val="000E08A1"/>
    <w:rsid w:val="000E6639"/>
    <w:rsid w:val="000F2A51"/>
    <w:rsid w:val="0010303D"/>
    <w:rsid w:val="00103EE1"/>
    <w:rsid w:val="001124FE"/>
    <w:rsid w:val="001132F4"/>
    <w:rsid w:val="00120852"/>
    <w:rsid w:val="00121FEF"/>
    <w:rsid w:val="00122966"/>
    <w:rsid w:val="00135B4B"/>
    <w:rsid w:val="00142BFA"/>
    <w:rsid w:val="00143FFD"/>
    <w:rsid w:val="00150B18"/>
    <w:rsid w:val="00152CC3"/>
    <w:rsid w:val="0015498D"/>
    <w:rsid w:val="00154FB2"/>
    <w:rsid w:val="001610DB"/>
    <w:rsid w:val="00165AC2"/>
    <w:rsid w:val="00165AF2"/>
    <w:rsid w:val="00170A04"/>
    <w:rsid w:val="00173803"/>
    <w:rsid w:val="0017437B"/>
    <w:rsid w:val="00174E63"/>
    <w:rsid w:val="00175D81"/>
    <w:rsid w:val="00180278"/>
    <w:rsid w:val="00184F1D"/>
    <w:rsid w:val="00185366"/>
    <w:rsid w:val="00186902"/>
    <w:rsid w:val="00187ED2"/>
    <w:rsid w:val="00190240"/>
    <w:rsid w:val="0019456E"/>
    <w:rsid w:val="00194779"/>
    <w:rsid w:val="001A13FA"/>
    <w:rsid w:val="001B58A5"/>
    <w:rsid w:val="001B5BC7"/>
    <w:rsid w:val="001B7E59"/>
    <w:rsid w:val="001C0AD9"/>
    <w:rsid w:val="001C482E"/>
    <w:rsid w:val="001C5742"/>
    <w:rsid w:val="001C5CD4"/>
    <w:rsid w:val="001C5D1F"/>
    <w:rsid w:val="001D4FA7"/>
    <w:rsid w:val="001F71DB"/>
    <w:rsid w:val="002019F3"/>
    <w:rsid w:val="0020231C"/>
    <w:rsid w:val="00203564"/>
    <w:rsid w:val="00204ADC"/>
    <w:rsid w:val="0020656B"/>
    <w:rsid w:val="00211A62"/>
    <w:rsid w:val="002128B8"/>
    <w:rsid w:val="0021332F"/>
    <w:rsid w:val="00214A9D"/>
    <w:rsid w:val="00215848"/>
    <w:rsid w:val="00221621"/>
    <w:rsid w:val="00221BCF"/>
    <w:rsid w:val="002237D6"/>
    <w:rsid w:val="00224E02"/>
    <w:rsid w:val="00225437"/>
    <w:rsid w:val="00226777"/>
    <w:rsid w:val="00232D50"/>
    <w:rsid w:val="00235E85"/>
    <w:rsid w:val="00243837"/>
    <w:rsid w:val="00244FFC"/>
    <w:rsid w:val="00246DAF"/>
    <w:rsid w:val="00247E89"/>
    <w:rsid w:val="002536A3"/>
    <w:rsid w:val="00262FFE"/>
    <w:rsid w:val="0026326F"/>
    <w:rsid w:val="00265D47"/>
    <w:rsid w:val="00265EEC"/>
    <w:rsid w:val="002742D0"/>
    <w:rsid w:val="00277111"/>
    <w:rsid w:val="00283166"/>
    <w:rsid w:val="00285048"/>
    <w:rsid w:val="002909F0"/>
    <w:rsid w:val="00290F62"/>
    <w:rsid w:val="00294FE1"/>
    <w:rsid w:val="00295052"/>
    <w:rsid w:val="00296153"/>
    <w:rsid w:val="00297925"/>
    <w:rsid w:val="002A06B4"/>
    <w:rsid w:val="002A2FF8"/>
    <w:rsid w:val="002A378F"/>
    <w:rsid w:val="002B095B"/>
    <w:rsid w:val="002B11FB"/>
    <w:rsid w:val="002B13C8"/>
    <w:rsid w:val="002B1B75"/>
    <w:rsid w:val="002B3ADD"/>
    <w:rsid w:val="002B3CE1"/>
    <w:rsid w:val="002B5FB6"/>
    <w:rsid w:val="002B70C9"/>
    <w:rsid w:val="002B7106"/>
    <w:rsid w:val="002C2896"/>
    <w:rsid w:val="002C3064"/>
    <w:rsid w:val="002C37BC"/>
    <w:rsid w:val="002C4F0D"/>
    <w:rsid w:val="002D0C21"/>
    <w:rsid w:val="002D45EB"/>
    <w:rsid w:val="002D4F27"/>
    <w:rsid w:val="002D6CAD"/>
    <w:rsid w:val="002D72C6"/>
    <w:rsid w:val="002E0912"/>
    <w:rsid w:val="002E1A3B"/>
    <w:rsid w:val="002E50AC"/>
    <w:rsid w:val="002F423E"/>
    <w:rsid w:val="002F76E6"/>
    <w:rsid w:val="0030539D"/>
    <w:rsid w:val="00305721"/>
    <w:rsid w:val="00307524"/>
    <w:rsid w:val="003076B0"/>
    <w:rsid w:val="00307CA6"/>
    <w:rsid w:val="00312791"/>
    <w:rsid w:val="00314E37"/>
    <w:rsid w:val="003170FA"/>
    <w:rsid w:val="00320FD2"/>
    <w:rsid w:val="00322254"/>
    <w:rsid w:val="00323A77"/>
    <w:rsid w:val="00341A1B"/>
    <w:rsid w:val="00344EC2"/>
    <w:rsid w:val="0034540A"/>
    <w:rsid w:val="00347654"/>
    <w:rsid w:val="003478B5"/>
    <w:rsid w:val="00347A3B"/>
    <w:rsid w:val="0035268B"/>
    <w:rsid w:val="00355B5B"/>
    <w:rsid w:val="00356450"/>
    <w:rsid w:val="00376DA0"/>
    <w:rsid w:val="003770E1"/>
    <w:rsid w:val="00380465"/>
    <w:rsid w:val="00382D68"/>
    <w:rsid w:val="003860AE"/>
    <w:rsid w:val="003902C7"/>
    <w:rsid w:val="003904C5"/>
    <w:rsid w:val="0039399C"/>
    <w:rsid w:val="00395C76"/>
    <w:rsid w:val="0039776C"/>
    <w:rsid w:val="003A4E35"/>
    <w:rsid w:val="003A51EE"/>
    <w:rsid w:val="003B2FE3"/>
    <w:rsid w:val="003C182C"/>
    <w:rsid w:val="003C1FB3"/>
    <w:rsid w:val="003D1E79"/>
    <w:rsid w:val="003D5A67"/>
    <w:rsid w:val="003D7878"/>
    <w:rsid w:val="003E0892"/>
    <w:rsid w:val="003E1A71"/>
    <w:rsid w:val="003E1F9F"/>
    <w:rsid w:val="003F63C3"/>
    <w:rsid w:val="00406404"/>
    <w:rsid w:val="00406956"/>
    <w:rsid w:val="0040763A"/>
    <w:rsid w:val="0041045C"/>
    <w:rsid w:val="00411AC2"/>
    <w:rsid w:val="00412652"/>
    <w:rsid w:val="00413F17"/>
    <w:rsid w:val="00424CC2"/>
    <w:rsid w:val="0043184C"/>
    <w:rsid w:val="00431D73"/>
    <w:rsid w:val="00432DEB"/>
    <w:rsid w:val="004343BD"/>
    <w:rsid w:val="00435BE5"/>
    <w:rsid w:val="00436822"/>
    <w:rsid w:val="004505D3"/>
    <w:rsid w:val="00450628"/>
    <w:rsid w:val="004554F7"/>
    <w:rsid w:val="00456E07"/>
    <w:rsid w:val="00461AF7"/>
    <w:rsid w:val="00461FE2"/>
    <w:rsid w:val="0046228C"/>
    <w:rsid w:val="00462D1F"/>
    <w:rsid w:val="00463135"/>
    <w:rsid w:val="00464CBE"/>
    <w:rsid w:val="00470E16"/>
    <w:rsid w:val="00471B0F"/>
    <w:rsid w:val="00473F4D"/>
    <w:rsid w:val="00477BDC"/>
    <w:rsid w:val="00481249"/>
    <w:rsid w:val="00490C6B"/>
    <w:rsid w:val="00491E48"/>
    <w:rsid w:val="004923B3"/>
    <w:rsid w:val="00495B6B"/>
    <w:rsid w:val="004A243D"/>
    <w:rsid w:val="004A3ABA"/>
    <w:rsid w:val="004B11C6"/>
    <w:rsid w:val="004B3202"/>
    <w:rsid w:val="004D0A21"/>
    <w:rsid w:val="004D5C0E"/>
    <w:rsid w:val="004E4F3B"/>
    <w:rsid w:val="004F0D9F"/>
    <w:rsid w:val="004F1EFA"/>
    <w:rsid w:val="004F2C7D"/>
    <w:rsid w:val="004F6749"/>
    <w:rsid w:val="004F7A07"/>
    <w:rsid w:val="00510E7C"/>
    <w:rsid w:val="005200FA"/>
    <w:rsid w:val="0052118E"/>
    <w:rsid w:val="00522D0C"/>
    <w:rsid w:val="005234D1"/>
    <w:rsid w:val="00533173"/>
    <w:rsid w:val="00537F26"/>
    <w:rsid w:val="005439D2"/>
    <w:rsid w:val="00546EC3"/>
    <w:rsid w:val="00556A27"/>
    <w:rsid w:val="00557363"/>
    <w:rsid w:val="005620C7"/>
    <w:rsid w:val="00574211"/>
    <w:rsid w:val="005766D6"/>
    <w:rsid w:val="005A3CF4"/>
    <w:rsid w:val="005A4643"/>
    <w:rsid w:val="005A7350"/>
    <w:rsid w:val="005B1097"/>
    <w:rsid w:val="005B152E"/>
    <w:rsid w:val="005B1AA8"/>
    <w:rsid w:val="005B42D0"/>
    <w:rsid w:val="005C176D"/>
    <w:rsid w:val="005C179C"/>
    <w:rsid w:val="005C2214"/>
    <w:rsid w:val="005C2FC8"/>
    <w:rsid w:val="005C5C87"/>
    <w:rsid w:val="005C77DD"/>
    <w:rsid w:val="005D721D"/>
    <w:rsid w:val="005E36A5"/>
    <w:rsid w:val="005E54B8"/>
    <w:rsid w:val="005F0982"/>
    <w:rsid w:val="005F2440"/>
    <w:rsid w:val="005F4201"/>
    <w:rsid w:val="005F5058"/>
    <w:rsid w:val="005F590B"/>
    <w:rsid w:val="00603E91"/>
    <w:rsid w:val="00605949"/>
    <w:rsid w:val="00610627"/>
    <w:rsid w:val="00611A0D"/>
    <w:rsid w:val="00611D81"/>
    <w:rsid w:val="00620090"/>
    <w:rsid w:val="006264CE"/>
    <w:rsid w:val="00627180"/>
    <w:rsid w:val="00631278"/>
    <w:rsid w:val="0063622D"/>
    <w:rsid w:val="00636797"/>
    <w:rsid w:val="006377E4"/>
    <w:rsid w:val="00637EE7"/>
    <w:rsid w:val="00642431"/>
    <w:rsid w:val="00644612"/>
    <w:rsid w:val="00646CD5"/>
    <w:rsid w:val="00650398"/>
    <w:rsid w:val="00663F12"/>
    <w:rsid w:val="006654B5"/>
    <w:rsid w:val="00672017"/>
    <w:rsid w:val="00674998"/>
    <w:rsid w:val="00677418"/>
    <w:rsid w:val="006829B3"/>
    <w:rsid w:val="0068313E"/>
    <w:rsid w:val="006857C0"/>
    <w:rsid w:val="0068674C"/>
    <w:rsid w:val="00694B88"/>
    <w:rsid w:val="00695553"/>
    <w:rsid w:val="006A3091"/>
    <w:rsid w:val="006A30B3"/>
    <w:rsid w:val="006A4AFC"/>
    <w:rsid w:val="006A54BA"/>
    <w:rsid w:val="006B3184"/>
    <w:rsid w:val="006C31C8"/>
    <w:rsid w:val="006C3D1F"/>
    <w:rsid w:val="006C69FC"/>
    <w:rsid w:val="006D09E1"/>
    <w:rsid w:val="006D1BA1"/>
    <w:rsid w:val="006D6F6B"/>
    <w:rsid w:val="006E0FB9"/>
    <w:rsid w:val="006E460E"/>
    <w:rsid w:val="006E759B"/>
    <w:rsid w:val="006F7889"/>
    <w:rsid w:val="00700933"/>
    <w:rsid w:val="00700DB0"/>
    <w:rsid w:val="007138CC"/>
    <w:rsid w:val="00723DBC"/>
    <w:rsid w:val="00740E83"/>
    <w:rsid w:val="00742045"/>
    <w:rsid w:val="00743CEB"/>
    <w:rsid w:val="00751A80"/>
    <w:rsid w:val="007618A5"/>
    <w:rsid w:val="0076254E"/>
    <w:rsid w:val="00781D3F"/>
    <w:rsid w:val="00781D8E"/>
    <w:rsid w:val="007848F8"/>
    <w:rsid w:val="00785C48"/>
    <w:rsid w:val="00786A8F"/>
    <w:rsid w:val="0079653D"/>
    <w:rsid w:val="007A726A"/>
    <w:rsid w:val="007A72BA"/>
    <w:rsid w:val="007B02F5"/>
    <w:rsid w:val="007B3137"/>
    <w:rsid w:val="007B4165"/>
    <w:rsid w:val="007D0A44"/>
    <w:rsid w:val="007D19F2"/>
    <w:rsid w:val="007D2239"/>
    <w:rsid w:val="007D278C"/>
    <w:rsid w:val="007D3669"/>
    <w:rsid w:val="007E0F27"/>
    <w:rsid w:val="007E49E1"/>
    <w:rsid w:val="007E4B1B"/>
    <w:rsid w:val="007E6760"/>
    <w:rsid w:val="007E67B0"/>
    <w:rsid w:val="007F061B"/>
    <w:rsid w:val="007F34C3"/>
    <w:rsid w:val="007F430D"/>
    <w:rsid w:val="0080270F"/>
    <w:rsid w:val="008031BB"/>
    <w:rsid w:val="00805D0F"/>
    <w:rsid w:val="008109A9"/>
    <w:rsid w:val="008117CC"/>
    <w:rsid w:val="00813046"/>
    <w:rsid w:val="0081359D"/>
    <w:rsid w:val="00813A77"/>
    <w:rsid w:val="00814AC2"/>
    <w:rsid w:val="00832BB1"/>
    <w:rsid w:val="008451BD"/>
    <w:rsid w:val="00860818"/>
    <w:rsid w:val="008712FF"/>
    <w:rsid w:val="00880E57"/>
    <w:rsid w:val="00881809"/>
    <w:rsid w:val="0088530A"/>
    <w:rsid w:val="0088646F"/>
    <w:rsid w:val="0088672C"/>
    <w:rsid w:val="00896CAA"/>
    <w:rsid w:val="0089708C"/>
    <w:rsid w:val="008A082D"/>
    <w:rsid w:val="008A3C40"/>
    <w:rsid w:val="008A4459"/>
    <w:rsid w:val="008A44E7"/>
    <w:rsid w:val="008A59B2"/>
    <w:rsid w:val="008B0CC1"/>
    <w:rsid w:val="008B39D1"/>
    <w:rsid w:val="008B4EA4"/>
    <w:rsid w:val="008C5320"/>
    <w:rsid w:val="008C5F55"/>
    <w:rsid w:val="008C7B68"/>
    <w:rsid w:val="008C7B8B"/>
    <w:rsid w:val="008D0B2F"/>
    <w:rsid w:val="008D0C3E"/>
    <w:rsid w:val="008D17B3"/>
    <w:rsid w:val="008D2263"/>
    <w:rsid w:val="008D5F0E"/>
    <w:rsid w:val="008D7141"/>
    <w:rsid w:val="008E1716"/>
    <w:rsid w:val="008E1D9B"/>
    <w:rsid w:val="008E3292"/>
    <w:rsid w:val="008E5A7C"/>
    <w:rsid w:val="008E5B13"/>
    <w:rsid w:val="008F47FA"/>
    <w:rsid w:val="008F6DC2"/>
    <w:rsid w:val="009028CC"/>
    <w:rsid w:val="009040F1"/>
    <w:rsid w:val="00905D25"/>
    <w:rsid w:val="00913DD9"/>
    <w:rsid w:val="009144CB"/>
    <w:rsid w:val="009151FA"/>
    <w:rsid w:val="00917931"/>
    <w:rsid w:val="00927541"/>
    <w:rsid w:val="0092773B"/>
    <w:rsid w:val="00932212"/>
    <w:rsid w:val="00936429"/>
    <w:rsid w:val="009411F7"/>
    <w:rsid w:val="00943B86"/>
    <w:rsid w:val="00946478"/>
    <w:rsid w:val="009471EF"/>
    <w:rsid w:val="00954F31"/>
    <w:rsid w:val="009576D3"/>
    <w:rsid w:val="009643BB"/>
    <w:rsid w:val="00975D93"/>
    <w:rsid w:val="0098463E"/>
    <w:rsid w:val="00984F92"/>
    <w:rsid w:val="009943C9"/>
    <w:rsid w:val="00995A5C"/>
    <w:rsid w:val="00996D9F"/>
    <w:rsid w:val="009A360F"/>
    <w:rsid w:val="009A5911"/>
    <w:rsid w:val="009A5BAC"/>
    <w:rsid w:val="009B405D"/>
    <w:rsid w:val="009C7442"/>
    <w:rsid w:val="009D6848"/>
    <w:rsid w:val="009E6587"/>
    <w:rsid w:val="009F0311"/>
    <w:rsid w:val="00A00425"/>
    <w:rsid w:val="00A03954"/>
    <w:rsid w:val="00A04A9F"/>
    <w:rsid w:val="00A057D3"/>
    <w:rsid w:val="00A120BE"/>
    <w:rsid w:val="00A1493A"/>
    <w:rsid w:val="00A164A0"/>
    <w:rsid w:val="00A22B77"/>
    <w:rsid w:val="00A24187"/>
    <w:rsid w:val="00A27C53"/>
    <w:rsid w:val="00A27E09"/>
    <w:rsid w:val="00A3451A"/>
    <w:rsid w:val="00A35103"/>
    <w:rsid w:val="00A43715"/>
    <w:rsid w:val="00A50D92"/>
    <w:rsid w:val="00A51501"/>
    <w:rsid w:val="00A525B5"/>
    <w:rsid w:val="00A53890"/>
    <w:rsid w:val="00A563C9"/>
    <w:rsid w:val="00A56FC5"/>
    <w:rsid w:val="00A5775D"/>
    <w:rsid w:val="00A62DF5"/>
    <w:rsid w:val="00A641A3"/>
    <w:rsid w:val="00A6518E"/>
    <w:rsid w:val="00A65217"/>
    <w:rsid w:val="00A6628A"/>
    <w:rsid w:val="00A72A67"/>
    <w:rsid w:val="00A72D4A"/>
    <w:rsid w:val="00A73D96"/>
    <w:rsid w:val="00A755D0"/>
    <w:rsid w:val="00A82C78"/>
    <w:rsid w:val="00AA21AD"/>
    <w:rsid w:val="00AA31A5"/>
    <w:rsid w:val="00AA5580"/>
    <w:rsid w:val="00AA7185"/>
    <w:rsid w:val="00AC08A5"/>
    <w:rsid w:val="00AC4B4C"/>
    <w:rsid w:val="00AC68DC"/>
    <w:rsid w:val="00AD1E88"/>
    <w:rsid w:val="00AD4491"/>
    <w:rsid w:val="00AE0DB7"/>
    <w:rsid w:val="00AE3C32"/>
    <w:rsid w:val="00AE74D4"/>
    <w:rsid w:val="00AF2AAA"/>
    <w:rsid w:val="00AF5C6F"/>
    <w:rsid w:val="00B00B18"/>
    <w:rsid w:val="00B03402"/>
    <w:rsid w:val="00B0382E"/>
    <w:rsid w:val="00B0419A"/>
    <w:rsid w:val="00B10C5D"/>
    <w:rsid w:val="00B11260"/>
    <w:rsid w:val="00B13AA6"/>
    <w:rsid w:val="00B17E2C"/>
    <w:rsid w:val="00B17F2A"/>
    <w:rsid w:val="00B27842"/>
    <w:rsid w:val="00B373A0"/>
    <w:rsid w:val="00B37E9C"/>
    <w:rsid w:val="00B4688A"/>
    <w:rsid w:val="00B50D67"/>
    <w:rsid w:val="00B51B42"/>
    <w:rsid w:val="00B524B1"/>
    <w:rsid w:val="00B52DD3"/>
    <w:rsid w:val="00B571D0"/>
    <w:rsid w:val="00B57816"/>
    <w:rsid w:val="00B619AD"/>
    <w:rsid w:val="00B67047"/>
    <w:rsid w:val="00B712A6"/>
    <w:rsid w:val="00B7483B"/>
    <w:rsid w:val="00B8069A"/>
    <w:rsid w:val="00B823C7"/>
    <w:rsid w:val="00B869E6"/>
    <w:rsid w:val="00B90212"/>
    <w:rsid w:val="00B9196C"/>
    <w:rsid w:val="00B92827"/>
    <w:rsid w:val="00B94757"/>
    <w:rsid w:val="00B94E9D"/>
    <w:rsid w:val="00BA0BAE"/>
    <w:rsid w:val="00BA41B2"/>
    <w:rsid w:val="00BB0BE2"/>
    <w:rsid w:val="00BC09F8"/>
    <w:rsid w:val="00BC18A0"/>
    <w:rsid w:val="00BC3121"/>
    <w:rsid w:val="00BC6506"/>
    <w:rsid w:val="00BD0098"/>
    <w:rsid w:val="00BD37BF"/>
    <w:rsid w:val="00C015F6"/>
    <w:rsid w:val="00C0287A"/>
    <w:rsid w:val="00C05644"/>
    <w:rsid w:val="00C065EC"/>
    <w:rsid w:val="00C1273C"/>
    <w:rsid w:val="00C24480"/>
    <w:rsid w:val="00C3423D"/>
    <w:rsid w:val="00C34621"/>
    <w:rsid w:val="00C355AB"/>
    <w:rsid w:val="00C35632"/>
    <w:rsid w:val="00C35F11"/>
    <w:rsid w:val="00C50FB1"/>
    <w:rsid w:val="00C5536A"/>
    <w:rsid w:val="00C57094"/>
    <w:rsid w:val="00C6187E"/>
    <w:rsid w:val="00C62686"/>
    <w:rsid w:val="00C64637"/>
    <w:rsid w:val="00C64B70"/>
    <w:rsid w:val="00C6558A"/>
    <w:rsid w:val="00C73FC4"/>
    <w:rsid w:val="00C772B3"/>
    <w:rsid w:val="00C77601"/>
    <w:rsid w:val="00C81490"/>
    <w:rsid w:val="00C81C3F"/>
    <w:rsid w:val="00C82F27"/>
    <w:rsid w:val="00C9501F"/>
    <w:rsid w:val="00CA0C4E"/>
    <w:rsid w:val="00CA209C"/>
    <w:rsid w:val="00CA2A80"/>
    <w:rsid w:val="00CA40DC"/>
    <w:rsid w:val="00CB454A"/>
    <w:rsid w:val="00CB65E0"/>
    <w:rsid w:val="00CB668E"/>
    <w:rsid w:val="00CB6D95"/>
    <w:rsid w:val="00CC268A"/>
    <w:rsid w:val="00CC68DC"/>
    <w:rsid w:val="00CC7311"/>
    <w:rsid w:val="00CD464C"/>
    <w:rsid w:val="00CE3930"/>
    <w:rsid w:val="00CE3B8B"/>
    <w:rsid w:val="00CE7F3E"/>
    <w:rsid w:val="00CF0B66"/>
    <w:rsid w:val="00CF33CB"/>
    <w:rsid w:val="00CF4252"/>
    <w:rsid w:val="00D01B6F"/>
    <w:rsid w:val="00D06A25"/>
    <w:rsid w:val="00D06DFA"/>
    <w:rsid w:val="00D11763"/>
    <w:rsid w:val="00D20D88"/>
    <w:rsid w:val="00D22015"/>
    <w:rsid w:val="00D257A3"/>
    <w:rsid w:val="00D313F1"/>
    <w:rsid w:val="00D36C99"/>
    <w:rsid w:val="00D425FB"/>
    <w:rsid w:val="00D43137"/>
    <w:rsid w:val="00D4345A"/>
    <w:rsid w:val="00D51EF9"/>
    <w:rsid w:val="00D56FCA"/>
    <w:rsid w:val="00D62214"/>
    <w:rsid w:val="00D63E43"/>
    <w:rsid w:val="00D654F2"/>
    <w:rsid w:val="00D65FB5"/>
    <w:rsid w:val="00D708E0"/>
    <w:rsid w:val="00D754E1"/>
    <w:rsid w:val="00D77E56"/>
    <w:rsid w:val="00D8005C"/>
    <w:rsid w:val="00D87778"/>
    <w:rsid w:val="00D930BD"/>
    <w:rsid w:val="00DA0AA4"/>
    <w:rsid w:val="00DA2BB9"/>
    <w:rsid w:val="00DA2F19"/>
    <w:rsid w:val="00DA301A"/>
    <w:rsid w:val="00DA55E8"/>
    <w:rsid w:val="00DB0BEC"/>
    <w:rsid w:val="00DB502E"/>
    <w:rsid w:val="00DC1029"/>
    <w:rsid w:val="00DC4CA6"/>
    <w:rsid w:val="00DC6FD1"/>
    <w:rsid w:val="00DC7AE8"/>
    <w:rsid w:val="00DD3A80"/>
    <w:rsid w:val="00DD41FE"/>
    <w:rsid w:val="00DD590B"/>
    <w:rsid w:val="00DD69BB"/>
    <w:rsid w:val="00DE78F2"/>
    <w:rsid w:val="00DF0E54"/>
    <w:rsid w:val="00E00DF5"/>
    <w:rsid w:val="00E06D57"/>
    <w:rsid w:val="00E11B23"/>
    <w:rsid w:val="00E12559"/>
    <w:rsid w:val="00E14F17"/>
    <w:rsid w:val="00E20B1F"/>
    <w:rsid w:val="00E2197B"/>
    <w:rsid w:val="00E23043"/>
    <w:rsid w:val="00E25827"/>
    <w:rsid w:val="00E338D5"/>
    <w:rsid w:val="00E35B8F"/>
    <w:rsid w:val="00E40239"/>
    <w:rsid w:val="00E40BF3"/>
    <w:rsid w:val="00E46106"/>
    <w:rsid w:val="00E46AEF"/>
    <w:rsid w:val="00E537F5"/>
    <w:rsid w:val="00E6085E"/>
    <w:rsid w:val="00E625C7"/>
    <w:rsid w:val="00E63D1D"/>
    <w:rsid w:val="00E63F99"/>
    <w:rsid w:val="00E65043"/>
    <w:rsid w:val="00E664DF"/>
    <w:rsid w:val="00E70126"/>
    <w:rsid w:val="00E7167B"/>
    <w:rsid w:val="00E71D92"/>
    <w:rsid w:val="00E731CD"/>
    <w:rsid w:val="00E84EB7"/>
    <w:rsid w:val="00E85CA8"/>
    <w:rsid w:val="00EA0EB6"/>
    <w:rsid w:val="00EA7FB2"/>
    <w:rsid w:val="00EB058C"/>
    <w:rsid w:val="00EB2B18"/>
    <w:rsid w:val="00EB3444"/>
    <w:rsid w:val="00EB7344"/>
    <w:rsid w:val="00EC4EEB"/>
    <w:rsid w:val="00EC665C"/>
    <w:rsid w:val="00EC6B1D"/>
    <w:rsid w:val="00EC7165"/>
    <w:rsid w:val="00EC7F57"/>
    <w:rsid w:val="00ED041F"/>
    <w:rsid w:val="00ED29AF"/>
    <w:rsid w:val="00ED30E5"/>
    <w:rsid w:val="00EE3B5C"/>
    <w:rsid w:val="00EE5CFE"/>
    <w:rsid w:val="00EF09B9"/>
    <w:rsid w:val="00EF625E"/>
    <w:rsid w:val="00EF6584"/>
    <w:rsid w:val="00EF7CD2"/>
    <w:rsid w:val="00EF7EE7"/>
    <w:rsid w:val="00F00A70"/>
    <w:rsid w:val="00F01650"/>
    <w:rsid w:val="00F02681"/>
    <w:rsid w:val="00F05B49"/>
    <w:rsid w:val="00F13CB0"/>
    <w:rsid w:val="00F144F0"/>
    <w:rsid w:val="00F20EA1"/>
    <w:rsid w:val="00F30C5E"/>
    <w:rsid w:val="00F34619"/>
    <w:rsid w:val="00F3558B"/>
    <w:rsid w:val="00F37343"/>
    <w:rsid w:val="00F55329"/>
    <w:rsid w:val="00F557FF"/>
    <w:rsid w:val="00F56288"/>
    <w:rsid w:val="00F5676F"/>
    <w:rsid w:val="00F706C8"/>
    <w:rsid w:val="00F7177E"/>
    <w:rsid w:val="00F75DEE"/>
    <w:rsid w:val="00F76844"/>
    <w:rsid w:val="00F76D3A"/>
    <w:rsid w:val="00F80896"/>
    <w:rsid w:val="00F848D8"/>
    <w:rsid w:val="00F8685E"/>
    <w:rsid w:val="00F92F13"/>
    <w:rsid w:val="00F9312C"/>
    <w:rsid w:val="00FA009C"/>
    <w:rsid w:val="00FA240B"/>
    <w:rsid w:val="00FA7911"/>
    <w:rsid w:val="00FB035D"/>
    <w:rsid w:val="00FB06BC"/>
    <w:rsid w:val="00FB274F"/>
    <w:rsid w:val="00FB3FEF"/>
    <w:rsid w:val="00FB507D"/>
    <w:rsid w:val="00FC2AD8"/>
    <w:rsid w:val="00FC5563"/>
    <w:rsid w:val="00FD2DC9"/>
    <w:rsid w:val="00FD3861"/>
    <w:rsid w:val="00FE0897"/>
    <w:rsid w:val="00FF0063"/>
    <w:rsid w:val="00FF3D8E"/>
    <w:rsid w:val="00FF5220"/>
    <w:rsid w:val="00FF613A"/>
    <w:rsid w:val="00FF6F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2230AB92-81EF-4A0F-ABDF-3A316D61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7B3"/>
    <w:pPr>
      <w:widowControl w:val="0"/>
      <w:snapToGrid w:val="0"/>
      <w:spacing w:after="120"/>
    </w:pPr>
    <w:rPr>
      <w:rFonts w:ascii="Verdana" w:hAnsi="Verdana" w:cs="Narkisim"/>
      <w:sz w:val="24"/>
      <w:szCs w:val="24"/>
    </w:rPr>
  </w:style>
  <w:style w:type="paragraph" w:styleId="1">
    <w:name w:val="heading 1"/>
    <w:basedOn w:val="a"/>
    <w:next w:val="a"/>
    <w:link w:val="10"/>
    <w:qFormat/>
    <w:rsid w:val="008D17B3"/>
    <w:pPr>
      <w:keepNext/>
      <w:spacing w:before="240" w:after="60"/>
      <w:outlineLvl w:val="0"/>
    </w:pPr>
    <w:rPr>
      <w:rFonts w:ascii="Arial" w:hAnsi="Arial" w:cs="Arial"/>
      <w:b/>
      <w:bCs/>
      <w:kern w:val="32"/>
      <w:sz w:val="28"/>
      <w:szCs w:val="28"/>
    </w:rPr>
  </w:style>
  <w:style w:type="paragraph" w:styleId="2">
    <w:name w:val="heading 2"/>
    <w:basedOn w:val="a"/>
    <w:next w:val="a"/>
    <w:link w:val="20"/>
    <w:qFormat/>
    <w:rsid w:val="008D17B3"/>
    <w:pPr>
      <w:keepNext/>
      <w:widowControl/>
      <w:bidi/>
      <w:snapToGrid/>
      <w:spacing w:before="240" w:after="60"/>
      <w:outlineLvl w:val="1"/>
    </w:pPr>
    <w:rPr>
      <w:rFonts w:ascii="Arial" w:hAnsi="Arial" w:cs="Arial"/>
      <w:b/>
      <w:bCs/>
      <w:i/>
      <w:iCs/>
      <w:sz w:val="28"/>
      <w:szCs w:val="28"/>
      <w:lang w:eastAsia="he-IL"/>
    </w:rPr>
  </w:style>
  <w:style w:type="paragraph" w:styleId="3">
    <w:name w:val="heading 3"/>
    <w:basedOn w:val="a"/>
    <w:next w:val="a"/>
    <w:link w:val="30"/>
    <w:qFormat/>
    <w:rsid w:val="008D17B3"/>
    <w:pPr>
      <w:keepNext/>
      <w:widowControl/>
      <w:bidi/>
      <w:snapToGrid/>
      <w:spacing w:before="240" w:after="60"/>
      <w:outlineLvl w:val="2"/>
    </w:pPr>
    <w:rPr>
      <w:rFonts w:ascii="Arial" w:hAnsi="Arial" w:cs="Arial"/>
      <w:b/>
      <w:bCs/>
      <w:sz w:val="26"/>
      <w:szCs w:val="26"/>
      <w:lang w:eastAsia="he-IL"/>
    </w:rPr>
  </w:style>
  <w:style w:type="paragraph" w:styleId="4">
    <w:name w:val="heading 4"/>
    <w:basedOn w:val="a"/>
    <w:link w:val="40"/>
    <w:qFormat/>
    <w:rsid w:val="008D17B3"/>
    <w:pPr>
      <w:widowControl/>
      <w:snapToGrid/>
      <w:spacing w:before="100" w:beforeAutospacing="1" w:after="100" w:afterAutospacing="1"/>
      <w:outlineLvl w:val="3"/>
    </w:pPr>
    <w:rPr>
      <w:rFonts w:ascii="Times New Roman" w:hAnsi="Times New Roman" w:cs="Times New Roman"/>
      <w:b/>
      <w:bCs/>
      <w:color w:val="00000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2742D0"/>
    <w:rPr>
      <w:rFonts w:ascii="Cambria" w:hAnsi="Cambria" w:cs="Times New Roman"/>
      <w:b/>
      <w:bCs/>
      <w:kern w:val="32"/>
      <w:sz w:val="32"/>
      <w:szCs w:val="32"/>
    </w:rPr>
  </w:style>
  <w:style w:type="character" w:customStyle="1" w:styleId="20">
    <w:name w:val="כותרת 2 תו"/>
    <w:basedOn w:val="a0"/>
    <w:link w:val="2"/>
    <w:semiHidden/>
    <w:rsid w:val="002742D0"/>
    <w:rPr>
      <w:rFonts w:ascii="Cambria" w:hAnsi="Cambria" w:cs="Times New Roman"/>
      <w:b/>
      <w:bCs/>
      <w:i/>
      <w:iCs/>
      <w:sz w:val="28"/>
      <w:szCs w:val="28"/>
    </w:rPr>
  </w:style>
  <w:style w:type="character" w:customStyle="1" w:styleId="30">
    <w:name w:val="כותרת 3 תו"/>
    <w:basedOn w:val="a0"/>
    <w:link w:val="3"/>
    <w:semiHidden/>
    <w:rsid w:val="002742D0"/>
    <w:rPr>
      <w:rFonts w:ascii="Cambria" w:hAnsi="Cambria" w:cs="Times New Roman"/>
      <w:b/>
      <w:bCs/>
      <w:sz w:val="26"/>
      <w:szCs w:val="26"/>
    </w:rPr>
  </w:style>
  <w:style w:type="character" w:customStyle="1" w:styleId="40">
    <w:name w:val="כותרת 4 תו"/>
    <w:basedOn w:val="a0"/>
    <w:link w:val="4"/>
    <w:semiHidden/>
    <w:rsid w:val="002742D0"/>
    <w:rPr>
      <w:rFonts w:ascii="Calibri" w:hAnsi="Calibri" w:cs="Arial"/>
      <w:b/>
      <w:bCs/>
      <w:sz w:val="28"/>
      <w:szCs w:val="28"/>
    </w:rPr>
  </w:style>
  <w:style w:type="character" w:styleId="Hyperlink">
    <w:name w:val="Hyperlink"/>
    <w:basedOn w:val="a0"/>
    <w:semiHidden/>
    <w:rsid w:val="008D17B3"/>
    <w:rPr>
      <w:rFonts w:cs="Times New Roman"/>
      <w:color w:val="0000FF"/>
      <w:u w:val="none"/>
      <w:effect w:val="none"/>
    </w:rPr>
  </w:style>
  <w:style w:type="character" w:styleId="FollowedHyperlink">
    <w:name w:val="FollowedHyperlink"/>
    <w:basedOn w:val="a0"/>
    <w:semiHidden/>
    <w:rsid w:val="008D17B3"/>
    <w:rPr>
      <w:rFonts w:cs="Times New Roman"/>
      <w:color w:val="800080"/>
      <w:u w:val="single"/>
    </w:rPr>
  </w:style>
  <w:style w:type="paragraph" w:styleId="NormalWeb">
    <w:name w:val="Normal (Web)"/>
    <w:basedOn w:val="a"/>
    <w:semiHidden/>
    <w:rsid w:val="008D17B3"/>
    <w:pPr>
      <w:widowControl/>
      <w:snapToGrid/>
      <w:spacing w:before="100" w:beforeAutospacing="1" w:after="100" w:afterAutospacing="1"/>
    </w:pPr>
    <w:rPr>
      <w:rFonts w:ascii="Times New Roman" w:hAnsi="Times New Roman" w:cs="Times New Roman"/>
      <w:lang w:bidi="ar-SA"/>
    </w:rPr>
  </w:style>
  <w:style w:type="paragraph" w:styleId="a3">
    <w:name w:val="Normal Indent"/>
    <w:basedOn w:val="a"/>
    <w:semiHidden/>
    <w:rsid w:val="008D17B3"/>
    <w:pPr>
      <w:spacing w:after="60"/>
      <w:ind w:left="720"/>
    </w:pPr>
  </w:style>
  <w:style w:type="paragraph" w:styleId="a4">
    <w:name w:val="footnote text"/>
    <w:basedOn w:val="a"/>
    <w:link w:val="a5"/>
    <w:semiHidden/>
    <w:rsid w:val="008D17B3"/>
    <w:pPr>
      <w:widowControl/>
      <w:bidi/>
      <w:snapToGrid/>
      <w:spacing w:after="0"/>
    </w:pPr>
    <w:rPr>
      <w:rFonts w:ascii="Times New Roman" w:hAnsi="Times New Roman" w:cs="Times New Roman"/>
      <w:sz w:val="20"/>
      <w:szCs w:val="20"/>
      <w:lang w:eastAsia="he-IL"/>
    </w:rPr>
  </w:style>
  <w:style w:type="character" w:customStyle="1" w:styleId="a5">
    <w:name w:val="טקסט הערת שוליים תו"/>
    <w:basedOn w:val="a0"/>
    <w:link w:val="a4"/>
    <w:semiHidden/>
    <w:rsid w:val="002742D0"/>
    <w:rPr>
      <w:rFonts w:ascii="Verdana" w:hAnsi="Verdana" w:cs="Narkisim"/>
      <w:sz w:val="20"/>
      <w:szCs w:val="20"/>
      <w:lang w:bidi="he-IL"/>
    </w:rPr>
  </w:style>
  <w:style w:type="paragraph" w:styleId="a6">
    <w:name w:val="annotation text"/>
    <w:basedOn w:val="a"/>
    <w:link w:val="a7"/>
    <w:semiHidden/>
    <w:rsid w:val="008D17B3"/>
    <w:pPr>
      <w:widowControl/>
      <w:bidi/>
      <w:snapToGrid/>
      <w:spacing w:after="0"/>
    </w:pPr>
    <w:rPr>
      <w:rFonts w:ascii="Times New Roman" w:hAnsi="Times New Roman" w:cs="Times New Roman"/>
      <w:sz w:val="20"/>
      <w:szCs w:val="20"/>
      <w:lang w:eastAsia="he-IL"/>
    </w:rPr>
  </w:style>
  <w:style w:type="character" w:customStyle="1" w:styleId="a7">
    <w:name w:val="טקסט הערה תו"/>
    <w:basedOn w:val="a0"/>
    <w:link w:val="a6"/>
    <w:semiHidden/>
    <w:rsid w:val="002742D0"/>
    <w:rPr>
      <w:rFonts w:ascii="Verdana" w:hAnsi="Verdana" w:cs="Narkisim"/>
      <w:sz w:val="20"/>
      <w:szCs w:val="20"/>
      <w:lang w:bidi="he-IL"/>
    </w:rPr>
  </w:style>
  <w:style w:type="paragraph" w:styleId="a8">
    <w:name w:val="List Number"/>
    <w:basedOn w:val="a"/>
    <w:semiHidden/>
    <w:rsid w:val="008D17B3"/>
    <w:pPr>
      <w:tabs>
        <w:tab w:val="num" w:pos="360"/>
      </w:tabs>
      <w:ind w:left="360" w:right="360" w:hanging="360"/>
    </w:pPr>
    <w:rPr>
      <w:rFonts w:cs="Miriam"/>
    </w:rPr>
  </w:style>
  <w:style w:type="paragraph" w:styleId="a9">
    <w:name w:val="Title"/>
    <w:basedOn w:val="a"/>
    <w:link w:val="aa"/>
    <w:qFormat/>
    <w:rsid w:val="008D17B3"/>
    <w:pPr>
      <w:spacing w:before="240" w:after="60"/>
      <w:jc w:val="center"/>
      <w:outlineLvl w:val="0"/>
    </w:pPr>
    <w:rPr>
      <w:rFonts w:ascii="Arial" w:hAnsi="Arial" w:cs="Arial"/>
      <w:b/>
      <w:bCs/>
      <w:kern w:val="28"/>
      <w:sz w:val="32"/>
      <w:szCs w:val="32"/>
    </w:rPr>
  </w:style>
  <w:style w:type="character" w:customStyle="1" w:styleId="aa">
    <w:name w:val="כותרת טקסט תו"/>
    <w:basedOn w:val="a0"/>
    <w:link w:val="a9"/>
    <w:rsid w:val="002742D0"/>
    <w:rPr>
      <w:rFonts w:ascii="Cambria" w:hAnsi="Cambria" w:cs="Times New Roman"/>
      <w:b/>
      <w:bCs/>
      <w:kern w:val="28"/>
      <w:sz w:val="32"/>
      <w:szCs w:val="32"/>
    </w:rPr>
  </w:style>
  <w:style w:type="paragraph" w:styleId="ab">
    <w:name w:val="Closing"/>
    <w:basedOn w:val="a"/>
    <w:link w:val="ac"/>
    <w:semiHidden/>
    <w:rsid w:val="008D17B3"/>
    <w:pPr>
      <w:bidi/>
      <w:ind w:left="4252"/>
    </w:pPr>
    <w:rPr>
      <w:rFonts w:cs="Miriam"/>
    </w:rPr>
  </w:style>
  <w:style w:type="character" w:customStyle="1" w:styleId="ac">
    <w:name w:val="סיום תו"/>
    <w:basedOn w:val="a0"/>
    <w:link w:val="ab"/>
    <w:semiHidden/>
    <w:rsid w:val="002742D0"/>
    <w:rPr>
      <w:rFonts w:ascii="Verdana" w:hAnsi="Verdana" w:cs="Narkisim"/>
      <w:sz w:val="24"/>
      <w:szCs w:val="24"/>
      <w:lang w:bidi="he-IL"/>
    </w:rPr>
  </w:style>
  <w:style w:type="paragraph" w:styleId="ad">
    <w:name w:val="Body Text"/>
    <w:basedOn w:val="a"/>
    <w:link w:val="ae"/>
    <w:semiHidden/>
    <w:rsid w:val="008D17B3"/>
    <w:pPr>
      <w:bidi/>
      <w:spacing w:line="360" w:lineRule="auto"/>
    </w:pPr>
    <w:rPr>
      <w:rFonts w:ascii="Arial" w:hAnsi="Arial" w:cs="FrankRuehl"/>
      <w:spacing w:val="-2"/>
      <w:szCs w:val="28"/>
    </w:rPr>
  </w:style>
  <w:style w:type="character" w:customStyle="1" w:styleId="ae">
    <w:name w:val="גוף טקסט תו"/>
    <w:basedOn w:val="a0"/>
    <w:link w:val="ad"/>
    <w:semiHidden/>
    <w:rsid w:val="002742D0"/>
    <w:rPr>
      <w:rFonts w:ascii="Verdana" w:hAnsi="Verdana" w:cs="Narkisim"/>
      <w:sz w:val="24"/>
      <w:szCs w:val="24"/>
      <w:lang w:bidi="he-IL"/>
    </w:rPr>
  </w:style>
  <w:style w:type="paragraph" w:customStyle="1" w:styleId="BodyTextIndent1">
    <w:name w:val="Body Text Indent1"/>
    <w:basedOn w:val="a"/>
    <w:link w:val="BodyTextIndentChar"/>
    <w:semiHidden/>
    <w:rsid w:val="008D17B3"/>
    <w:pPr>
      <w:spacing w:line="480" w:lineRule="auto"/>
      <w:ind w:firstLine="567"/>
    </w:pPr>
    <w:rPr>
      <w:rFonts w:cs="Miriam"/>
    </w:rPr>
  </w:style>
  <w:style w:type="character" w:customStyle="1" w:styleId="BodyTextIndentChar">
    <w:name w:val="Body Text Indent Char"/>
    <w:basedOn w:val="a0"/>
    <w:link w:val="BodyTextIndent1"/>
    <w:semiHidden/>
    <w:rsid w:val="002742D0"/>
    <w:rPr>
      <w:rFonts w:ascii="Verdana" w:hAnsi="Verdana" w:cs="Narkisim"/>
      <w:sz w:val="24"/>
      <w:szCs w:val="24"/>
      <w:lang w:bidi="he-IL"/>
    </w:rPr>
  </w:style>
  <w:style w:type="paragraph" w:customStyle="1" w:styleId="BodyTextIndent2">
    <w:name w:val="Body Text Indent2"/>
    <w:basedOn w:val="a"/>
    <w:link w:val="BodyTextIndentChar1"/>
    <w:semiHidden/>
    <w:rsid w:val="008D1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Pr>
      <w:rFonts w:ascii="Times New Roman" w:hAnsi="Times New Roman"/>
      <w:shadow/>
    </w:rPr>
  </w:style>
  <w:style w:type="character" w:customStyle="1" w:styleId="BodyTextIndentChar1">
    <w:name w:val="Body Text Indent Char1"/>
    <w:basedOn w:val="a0"/>
    <w:link w:val="BodyTextIndent2"/>
    <w:semiHidden/>
    <w:rsid w:val="002742D0"/>
    <w:rPr>
      <w:rFonts w:ascii="Verdana" w:hAnsi="Verdana" w:cs="Narkisim"/>
      <w:sz w:val="24"/>
      <w:szCs w:val="24"/>
      <w:lang w:bidi="he-IL"/>
    </w:rPr>
  </w:style>
  <w:style w:type="paragraph" w:styleId="21">
    <w:name w:val="Body Text Indent 2"/>
    <w:basedOn w:val="a"/>
    <w:link w:val="22"/>
    <w:semiHidden/>
    <w:rsid w:val="008D17B3"/>
    <w:pPr>
      <w:spacing w:line="360" w:lineRule="auto"/>
      <w:ind w:left="284"/>
      <w:jc w:val="both"/>
    </w:pPr>
    <w:rPr>
      <w:rFonts w:cs="David"/>
      <w:sz w:val="28"/>
      <w:szCs w:val="28"/>
    </w:rPr>
  </w:style>
  <w:style w:type="character" w:customStyle="1" w:styleId="22">
    <w:name w:val="כניסה בגוף טקסט 2 תו"/>
    <w:basedOn w:val="a0"/>
    <w:link w:val="21"/>
    <w:semiHidden/>
    <w:rsid w:val="002742D0"/>
    <w:rPr>
      <w:rFonts w:ascii="Verdana" w:hAnsi="Verdana" w:cs="Narkisim"/>
      <w:sz w:val="24"/>
      <w:szCs w:val="24"/>
      <w:lang w:bidi="he-IL"/>
    </w:rPr>
  </w:style>
  <w:style w:type="paragraph" w:styleId="af">
    <w:name w:val="Block Text"/>
    <w:basedOn w:val="a"/>
    <w:semiHidden/>
    <w:rsid w:val="008D17B3"/>
    <w:pPr>
      <w:bidi/>
      <w:ind w:left="1440" w:right="1440"/>
      <w:jc w:val="right"/>
    </w:pPr>
    <w:rPr>
      <w:sz w:val="22"/>
      <w:szCs w:val="22"/>
    </w:rPr>
  </w:style>
  <w:style w:type="paragraph" w:styleId="af0">
    <w:name w:val="Balloon Text"/>
    <w:basedOn w:val="a"/>
    <w:link w:val="af1"/>
    <w:semiHidden/>
    <w:rsid w:val="008D17B3"/>
    <w:rPr>
      <w:rFonts w:ascii="Tahoma" w:hAnsi="Tahoma" w:cs="Tahoma"/>
      <w:sz w:val="16"/>
      <w:szCs w:val="16"/>
    </w:rPr>
  </w:style>
  <w:style w:type="character" w:customStyle="1" w:styleId="af1">
    <w:name w:val="טקסט בלונים תו"/>
    <w:basedOn w:val="a0"/>
    <w:link w:val="af0"/>
    <w:semiHidden/>
    <w:rsid w:val="002742D0"/>
    <w:rPr>
      <w:rFonts w:cs="Times New Roman"/>
      <w:sz w:val="2"/>
    </w:rPr>
  </w:style>
  <w:style w:type="paragraph" w:customStyle="1" w:styleId="NormalIndented">
    <w:name w:val="NormalIndented"/>
    <w:basedOn w:val="a"/>
    <w:rsid w:val="008D17B3"/>
    <w:pPr>
      <w:tabs>
        <w:tab w:val="left" w:pos="-720"/>
        <w:tab w:val="right" w:pos="9498"/>
        <w:tab w:val="right" w:pos="9923"/>
      </w:tabs>
      <w:suppressAutoHyphens/>
      <w:ind w:left="709" w:right="425" w:firstLine="680"/>
    </w:pPr>
  </w:style>
  <w:style w:type="paragraph" w:customStyle="1" w:styleId="NormalIndent">
    <w:name w:val="NormalIndent"/>
    <w:basedOn w:val="a"/>
    <w:rsid w:val="008D17B3"/>
    <w:pPr>
      <w:spacing w:line="360" w:lineRule="auto"/>
      <w:ind w:firstLine="720"/>
    </w:pPr>
  </w:style>
  <w:style w:type="paragraph" w:styleId="af2">
    <w:name w:val="Bibliography"/>
    <w:basedOn w:val="a"/>
    <w:rsid w:val="008D17B3"/>
    <w:pPr>
      <w:spacing w:line="480" w:lineRule="auto"/>
      <w:ind w:left="567" w:hanging="567"/>
    </w:pPr>
    <w:rPr>
      <w:rFonts w:ascii="Times New Roman" w:hAnsi="Times New Roman"/>
    </w:rPr>
  </w:style>
  <w:style w:type="paragraph" w:customStyle="1" w:styleId="Courtroomtestimony">
    <w:name w:val="Courtroom testimony"/>
    <w:basedOn w:val="af2"/>
    <w:rsid w:val="008D17B3"/>
    <w:pPr>
      <w:spacing w:line="360" w:lineRule="auto"/>
    </w:pPr>
    <w:rPr>
      <w:shadow/>
    </w:rPr>
  </w:style>
  <w:style w:type="character" w:styleId="af3">
    <w:name w:val="footnote reference"/>
    <w:basedOn w:val="a0"/>
    <w:semiHidden/>
    <w:rsid w:val="008D17B3"/>
    <w:rPr>
      <w:rFonts w:cs="Times New Roman"/>
      <w:vertAlign w:val="superscript"/>
    </w:rPr>
  </w:style>
  <w:style w:type="character" w:styleId="af4">
    <w:name w:val="annotation reference"/>
    <w:basedOn w:val="a0"/>
    <w:semiHidden/>
    <w:rsid w:val="008D17B3"/>
    <w:rPr>
      <w:rFonts w:cs="Times New Roman"/>
      <w:sz w:val="16"/>
      <w:szCs w:val="16"/>
    </w:rPr>
  </w:style>
  <w:style w:type="paragraph" w:styleId="af5">
    <w:name w:val="annotation subject"/>
    <w:basedOn w:val="a6"/>
    <w:next w:val="a6"/>
    <w:link w:val="af6"/>
    <w:semiHidden/>
    <w:rsid w:val="008D17B3"/>
    <w:pPr>
      <w:widowControl w:val="0"/>
      <w:bidi w:val="0"/>
      <w:snapToGrid w:val="0"/>
      <w:spacing w:after="120"/>
    </w:pPr>
    <w:rPr>
      <w:rFonts w:ascii="Verdana" w:hAnsi="Verdana" w:cs="Narkisim"/>
      <w:b/>
      <w:bCs/>
      <w:lang w:eastAsia="en-US"/>
    </w:rPr>
  </w:style>
  <w:style w:type="character" w:customStyle="1" w:styleId="af6">
    <w:name w:val="נושא הערה תו"/>
    <w:basedOn w:val="a7"/>
    <w:link w:val="af5"/>
    <w:semiHidden/>
    <w:rsid w:val="002742D0"/>
    <w:rPr>
      <w:rFonts w:ascii="Verdana" w:hAnsi="Verdana" w:cs="Narkisim"/>
      <w:b/>
      <w:bCs/>
      <w:sz w:val="20"/>
      <w:szCs w:val="20"/>
      <w:lang w:bidi="he-IL"/>
    </w:rPr>
  </w:style>
  <w:style w:type="character" w:customStyle="1" w:styleId="medium1">
    <w:name w:val="medium1"/>
    <w:basedOn w:val="a0"/>
    <w:rsid w:val="008D17B3"/>
    <w:rPr>
      <w:rFonts w:ascii="Verdana" w:hAnsi="Verdana" w:cs="Times New Roman"/>
      <w:b/>
      <w:bCs/>
      <w:color w:val="FFFFFF"/>
      <w:sz w:val="18"/>
      <w:szCs w:val="18"/>
    </w:rPr>
  </w:style>
  <w:style w:type="paragraph" w:styleId="af7">
    <w:name w:val="Revision"/>
    <w:hidden/>
    <w:semiHidden/>
    <w:rsid w:val="00E6085E"/>
    <w:rPr>
      <w:rFonts w:ascii="Verdana" w:hAnsi="Verdana" w:cs="Narkisim"/>
      <w:sz w:val="24"/>
      <w:szCs w:val="24"/>
    </w:rPr>
  </w:style>
  <w:style w:type="paragraph" w:styleId="af8">
    <w:name w:val="List Paragraph"/>
    <w:basedOn w:val="a"/>
    <w:qFormat/>
    <w:rsid w:val="004D5C0E"/>
    <w:pPr>
      <w:ind w:left="720"/>
      <w:contextualSpacing/>
    </w:pPr>
  </w:style>
  <w:style w:type="character" w:styleId="af9">
    <w:name w:val="Placeholder Text"/>
    <w:basedOn w:val="a0"/>
    <w:semiHidden/>
    <w:rsid w:val="00214A9D"/>
    <w:rPr>
      <w:rFonts w:cs="Times New Roman"/>
      <w:color w:val="808080"/>
    </w:rPr>
  </w:style>
  <w:style w:type="character" w:customStyle="1" w:styleId="citation">
    <w:name w:val="citation"/>
    <w:basedOn w:val="a0"/>
    <w:rsid w:val="00A563C9"/>
    <w:rPr>
      <w:rFonts w:cs="Times New Roman"/>
    </w:rPr>
  </w:style>
  <w:style w:type="character" w:customStyle="1" w:styleId="searchword">
    <w:name w:val="searchword"/>
    <w:basedOn w:val="a0"/>
    <w:rsid w:val="00380465"/>
    <w:rPr>
      <w:rFonts w:cs="Times New Roman"/>
      <w:shd w:val="clear" w:color="auto" w:fill="FFFF00"/>
    </w:rPr>
  </w:style>
  <w:style w:type="paragraph" w:customStyle="1" w:styleId="Default">
    <w:name w:val="Default"/>
    <w:rsid w:val="002E50AC"/>
    <w:pPr>
      <w:autoSpaceDE w:val="0"/>
      <w:autoSpaceDN w:val="0"/>
      <w:adjustRightInd w:val="0"/>
    </w:pPr>
    <w:rPr>
      <w:rFonts w:eastAsia="Calibri"/>
      <w:color w:val="000000"/>
      <w:sz w:val="24"/>
      <w:szCs w:val="24"/>
    </w:rPr>
  </w:style>
  <w:style w:type="character" w:customStyle="1" w:styleId="apple-style-span">
    <w:name w:val="apple-style-span"/>
    <w:basedOn w:val="a0"/>
    <w:rsid w:val="00B17F2A"/>
  </w:style>
  <w:style w:type="character" w:customStyle="1" w:styleId="apple-converted-space">
    <w:name w:val="apple-converted-space"/>
    <w:basedOn w:val="a0"/>
    <w:rsid w:val="00B17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allir@gmail.co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image" Target="media/image28.emf"/><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www.ncbi.nlm.nih.gov/sites/entrez?db=pubmed&amp;uid=9623998&amp;cmd=showdetailview&amp;indexed=google" TargetMode="External"/><Relationship Id="rId42" Type="http://schemas.openxmlformats.org/officeDocument/2006/relationships/image" Target="media/image31.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7.png"/><Relationship Id="rId46" Type="http://schemas.openxmlformats.org/officeDocument/2006/relationships/image" Target="media/image35.w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1.bin"/><Relationship Id="rId32" Type="http://schemas.openxmlformats.org/officeDocument/2006/relationships/image" Target="media/image22.png"/><Relationship Id="rId37" Type="http://schemas.openxmlformats.org/officeDocument/2006/relationships/image" Target="media/image26.emf"/><Relationship Id="rId40" Type="http://schemas.openxmlformats.org/officeDocument/2006/relationships/image" Target="media/image29.png"/><Relationship Id="rId45" Type="http://schemas.openxmlformats.org/officeDocument/2006/relationships/image" Target="media/image34.w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wmf"/><Relationship Id="rId28" Type="http://schemas.openxmlformats.org/officeDocument/2006/relationships/image" Target="media/image18.png"/><Relationship Id="rId36" Type="http://schemas.openxmlformats.org/officeDocument/2006/relationships/image" Target="media/image25.emf"/><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1.png"/><Relationship Id="rId44" Type="http://schemas.openxmlformats.org/officeDocument/2006/relationships/image" Target="media/image33.png"/><Relationship Id="rId4" Type="http://schemas.openxmlformats.org/officeDocument/2006/relationships/settings" Target="settings.xml"/><Relationship Id="rId9" Type="http://schemas.openxmlformats.org/officeDocument/2006/relationships/hyperlink" Target="http://www.rbt.co.il/"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4.emf"/><Relationship Id="rId43" Type="http://schemas.openxmlformats.org/officeDocument/2006/relationships/image" Target="media/image32.png"/><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bis.org/forum/research.htm" TargetMode="External"/><Relationship Id="rId3" Type="http://schemas.openxmlformats.org/officeDocument/2006/relationships/hyperlink" Target="http://www.investorwords.com/2426/index.html" TargetMode="External"/><Relationship Id="rId7" Type="http://schemas.openxmlformats.org/officeDocument/2006/relationships/hyperlink" Target="http://en.wikipedia.org/wiki/Clustering_coefficient" TargetMode="External"/><Relationship Id="rId2" Type="http://schemas.openxmlformats.org/officeDocument/2006/relationships/hyperlink" Target="http://www.investorwords.com/457/benchmark.html" TargetMode="External"/><Relationship Id="rId1" Type="http://schemas.openxmlformats.org/officeDocument/2006/relationships/hyperlink" Target="http://www.investorwords.com/4775/strategy.html" TargetMode="External"/><Relationship Id="rId6" Type="http://schemas.openxmlformats.org/officeDocument/2006/relationships/hyperlink" Target="http://en.wikipedia.org/wiki/Average_path_length" TargetMode="External"/><Relationship Id="rId5" Type="http://schemas.openxmlformats.org/officeDocument/2006/relationships/hyperlink" Target="http://en.wikipedia.org/wiki/Small-world_network" TargetMode="External"/><Relationship Id="rId4" Type="http://schemas.openxmlformats.org/officeDocument/2006/relationships/hyperlink" Target="http://en.wikipedia.org/wiki/Random_grap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do%20Kallir\Desktop\from%20M%20erez\Verd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96781-4753-4E51-8032-25F9C5CD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Verdana</Template>
  <TotalTime>2</TotalTime>
  <Pages>38</Pages>
  <Words>10831</Words>
  <Characters>61737</Characters>
  <Application>Microsoft Office Word</Application>
  <DocSecurity>0</DocSecurity>
  <Lines>514</Lines>
  <Paragraphs>144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Real World Decisions Made by Real World Investors</vt:lpstr>
      <vt:lpstr>Real World Decisions Made by Real World Investors</vt:lpstr>
    </vt:vector>
  </TitlesOfParts>
  <Company>Microsoft Corporation</Company>
  <LinksUpToDate>false</LinksUpToDate>
  <CharactersWithSpaces>72424</CharactersWithSpaces>
  <SharedDoc>false</SharedDoc>
  <HLinks>
    <vt:vector size="60" baseType="variant">
      <vt:variant>
        <vt:i4>6160448</vt:i4>
      </vt:variant>
      <vt:variant>
        <vt:i4>150</vt:i4>
      </vt:variant>
      <vt:variant>
        <vt:i4>0</vt:i4>
      </vt:variant>
      <vt:variant>
        <vt:i4>5</vt:i4>
      </vt:variant>
      <vt:variant>
        <vt:lpwstr>http://www.ncbi.nlm.nih.gov/sites/entrez?db=pubmed&amp;uid=9623998&amp;cmd=showdetailview&amp;indexed=google</vt:lpwstr>
      </vt:variant>
      <vt:variant>
        <vt:lpwstr/>
      </vt:variant>
      <vt:variant>
        <vt:i4>786458</vt:i4>
      </vt:variant>
      <vt:variant>
        <vt:i4>0</vt:i4>
      </vt:variant>
      <vt:variant>
        <vt:i4>0</vt:i4>
      </vt:variant>
      <vt:variant>
        <vt:i4>5</vt:i4>
      </vt:variant>
      <vt:variant>
        <vt:lpwstr>http://www.rbt.co.il/</vt:lpwstr>
      </vt:variant>
      <vt:variant>
        <vt:lpwstr/>
      </vt:variant>
      <vt:variant>
        <vt:i4>1179661</vt:i4>
      </vt:variant>
      <vt:variant>
        <vt:i4>21</vt:i4>
      </vt:variant>
      <vt:variant>
        <vt:i4>0</vt:i4>
      </vt:variant>
      <vt:variant>
        <vt:i4>5</vt:i4>
      </vt:variant>
      <vt:variant>
        <vt:lpwstr>http://www.bis.org/forum/research.htm</vt:lpwstr>
      </vt:variant>
      <vt:variant>
        <vt:lpwstr/>
      </vt:variant>
      <vt:variant>
        <vt:i4>5832743</vt:i4>
      </vt:variant>
      <vt:variant>
        <vt:i4>18</vt:i4>
      </vt:variant>
      <vt:variant>
        <vt:i4>0</vt:i4>
      </vt:variant>
      <vt:variant>
        <vt:i4>5</vt:i4>
      </vt:variant>
      <vt:variant>
        <vt:lpwstr>http://en.wikipedia.org/wiki/Clustering_coefficient</vt:lpwstr>
      </vt:variant>
      <vt:variant>
        <vt:lpwstr/>
      </vt:variant>
      <vt:variant>
        <vt:i4>3014774</vt:i4>
      </vt:variant>
      <vt:variant>
        <vt:i4>15</vt:i4>
      </vt:variant>
      <vt:variant>
        <vt:i4>0</vt:i4>
      </vt:variant>
      <vt:variant>
        <vt:i4>5</vt:i4>
      </vt:variant>
      <vt:variant>
        <vt:lpwstr>http://en.wikipedia.org/wiki/Average_path_length</vt:lpwstr>
      </vt:variant>
      <vt:variant>
        <vt:lpwstr/>
      </vt:variant>
      <vt:variant>
        <vt:i4>1966117</vt:i4>
      </vt:variant>
      <vt:variant>
        <vt:i4>12</vt:i4>
      </vt:variant>
      <vt:variant>
        <vt:i4>0</vt:i4>
      </vt:variant>
      <vt:variant>
        <vt:i4>5</vt:i4>
      </vt:variant>
      <vt:variant>
        <vt:lpwstr>http://en.wikipedia.org/wiki/Small-world_network</vt:lpwstr>
      </vt:variant>
      <vt:variant>
        <vt:lpwstr/>
      </vt:variant>
      <vt:variant>
        <vt:i4>3211355</vt:i4>
      </vt:variant>
      <vt:variant>
        <vt:i4>9</vt:i4>
      </vt:variant>
      <vt:variant>
        <vt:i4>0</vt:i4>
      </vt:variant>
      <vt:variant>
        <vt:i4>5</vt:i4>
      </vt:variant>
      <vt:variant>
        <vt:lpwstr>http://en.wikipedia.org/wiki/Random_graph</vt:lpwstr>
      </vt:variant>
      <vt:variant>
        <vt:lpwstr/>
      </vt:variant>
      <vt:variant>
        <vt:i4>4325450</vt:i4>
      </vt:variant>
      <vt:variant>
        <vt:i4>6</vt:i4>
      </vt:variant>
      <vt:variant>
        <vt:i4>0</vt:i4>
      </vt:variant>
      <vt:variant>
        <vt:i4>5</vt:i4>
      </vt:variant>
      <vt:variant>
        <vt:lpwstr>http://www.investorwords.com/2426/index.html</vt:lpwstr>
      </vt:variant>
      <vt:variant>
        <vt:lpwstr/>
      </vt:variant>
      <vt:variant>
        <vt:i4>3670113</vt:i4>
      </vt:variant>
      <vt:variant>
        <vt:i4>3</vt:i4>
      </vt:variant>
      <vt:variant>
        <vt:i4>0</vt:i4>
      </vt:variant>
      <vt:variant>
        <vt:i4>5</vt:i4>
      </vt:variant>
      <vt:variant>
        <vt:lpwstr>http://www.investorwords.com/457/benchmark.html</vt:lpwstr>
      </vt:variant>
      <vt:variant>
        <vt:lpwstr/>
      </vt:variant>
      <vt:variant>
        <vt:i4>7340146</vt:i4>
      </vt:variant>
      <vt:variant>
        <vt:i4>0</vt:i4>
      </vt:variant>
      <vt:variant>
        <vt:i4>0</vt:i4>
      </vt:variant>
      <vt:variant>
        <vt:i4>5</vt:i4>
      </vt:variant>
      <vt:variant>
        <vt:lpwstr>http://www.investorwords.com/4775/strategy.html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World Decisions Made by Real World Investors</dc:title>
  <dc:subject/>
  <dc:creator>תרגום</dc:creator>
  <cp:keywords/>
  <dc:description/>
  <cp:lastModifiedBy>Ido Kallir</cp:lastModifiedBy>
  <cp:revision>3</cp:revision>
  <cp:lastPrinted>2009-10-30T08:04:00Z</cp:lastPrinted>
  <dcterms:created xsi:type="dcterms:W3CDTF">2015-07-27T09:32:00Z</dcterms:created>
  <dcterms:modified xsi:type="dcterms:W3CDTF">2015-07-27T09:34:00Z</dcterms:modified>
</cp:coreProperties>
</file>