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CAC" w:rsidRPr="00321B33" w:rsidRDefault="00BE1CAC" w:rsidP="00321B33">
      <w:pPr>
        <w:pStyle w:val="NoSpacing"/>
        <w:spacing w:line="480" w:lineRule="auto"/>
        <w:rPr>
          <w:rFonts w:ascii="Century Gothic" w:hAnsi="Century Gothic"/>
          <w:b/>
          <w:sz w:val="24"/>
          <w:szCs w:val="24"/>
        </w:rPr>
      </w:pPr>
      <w:r w:rsidRPr="00321B33">
        <w:rPr>
          <w:rFonts w:ascii="Century Gothic" w:hAnsi="Century Gothic"/>
          <w:b/>
          <w:sz w:val="24"/>
          <w:szCs w:val="24"/>
        </w:rPr>
        <w:t>Risks and Benefits of Warfarin Use for Cardiac Indications in Dialysis Patients</w:t>
      </w:r>
    </w:p>
    <w:p w:rsidR="00BE1CAC" w:rsidRPr="008C53DA" w:rsidRDefault="00BE1CAC" w:rsidP="003B51C8">
      <w:pPr>
        <w:pStyle w:val="NoSpacing"/>
        <w:spacing w:line="480" w:lineRule="auto"/>
        <w:rPr>
          <w:rFonts w:ascii="Century Gothic" w:hAnsi="Century Gothic"/>
          <w:sz w:val="24"/>
          <w:szCs w:val="24"/>
        </w:rPr>
      </w:pPr>
    </w:p>
    <w:p w:rsidR="007B104F" w:rsidRPr="00321B33" w:rsidRDefault="00321B33" w:rsidP="003B51C8">
      <w:pPr>
        <w:pStyle w:val="NoSpacing"/>
        <w:spacing w:line="480" w:lineRule="auto"/>
        <w:rPr>
          <w:rFonts w:ascii="Century Gothic" w:hAnsi="Century Gothic" w:cstheme="minorHAnsi"/>
          <w:b/>
          <w:sz w:val="24"/>
          <w:szCs w:val="24"/>
        </w:rPr>
      </w:pPr>
      <w:r w:rsidRPr="00321B33">
        <w:rPr>
          <w:rFonts w:ascii="Century Gothic" w:hAnsi="Century Gothic" w:cstheme="minorHAnsi"/>
          <w:b/>
          <w:sz w:val="24"/>
          <w:szCs w:val="24"/>
        </w:rPr>
        <w:t>ABSTRACT</w:t>
      </w:r>
    </w:p>
    <w:p w:rsidR="00ED3027" w:rsidRPr="008C53DA" w:rsidRDefault="008C53DA" w:rsidP="003B51C8">
      <w:pPr>
        <w:pStyle w:val="NoSpacing"/>
        <w:spacing w:line="480" w:lineRule="auto"/>
        <w:rPr>
          <w:rFonts w:ascii="Century Gothic" w:hAnsi="Century Gothic" w:cstheme="minorHAnsi"/>
          <w:sz w:val="24"/>
          <w:szCs w:val="24"/>
        </w:rPr>
      </w:pPr>
      <w:r w:rsidRPr="008C53DA">
        <w:rPr>
          <w:rFonts w:ascii="Century Gothic" w:hAnsi="Century Gothic" w:cstheme="minorHAnsi"/>
          <w:sz w:val="24"/>
          <w:szCs w:val="24"/>
        </w:rPr>
        <w:t>BACKGROUND AND OBJECTIVES</w:t>
      </w:r>
    </w:p>
    <w:p w:rsidR="003B51C8" w:rsidRDefault="007B104F" w:rsidP="003B51C8">
      <w:pPr>
        <w:pStyle w:val="NoSpacing"/>
        <w:spacing w:line="480" w:lineRule="auto"/>
        <w:rPr>
          <w:rFonts w:ascii="Century Gothic" w:hAnsi="Century Gothic" w:cstheme="minorHAnsi"/>
          <w:sz w:val="24"/>
          <w:szCs w:val="24"/>
        </w:rPr>
      </w:pPr>
      <w:r w:rsidRPr="008C53DA">
        <w:rPr>
          <w:rFonts w:ascii="Century Gothic" w:hAnsi="Century Gothic" w:cstheme="minorHAnsi"/>
          <w:sz w:val="24"/>
          <w:szCs w:val="24"/>
        </w:rPr>
        <w:t>Anticoagulation in cardiac patients on hemodialysis (HD) presents a dilemma, with no clear guidelines to support an informed decision regarding warfarin use. Cohort studies revealed an association of a higher risk of bleeding and lack of improvement in stroke prevention in HD patients with atrial fibrillation treated with warfarin.</w:t>
      </w:r>
      <w:r w:rsidR="008C53DA" w:rsidRPr="008C53DA">
        <w:rPr>
          <w:rFonts w:ascii="Century Gothic" w:hAnsi="Century Gothic" w:cstheme="minorHAnsi"/>
          <w:sz w:val="24"/>
          <w:szCs w:val="24"/>
        </w:rPr>
        <w:t xml:space="preserve"> </w:t>
      </w:r>
      <w:r w:rsidR="003B51C8">
        <w:rPr>
          <w:rFonts w:ascii="Century Gothic" w:hAnsi="Century Gothic" w:cstheme="minorHAnsi"/>
          <w:sz w:val="24"/>
          <w:szCs w:val="24"/>
        </w:rPr>
        <w:t>The objectives of this study were to assess the efficacy and safety outcomes of warfarin use in cardiac hemodialysis patients.</w:t>
      </w:r>
    </w:p>
    <w:p w:rsidR="00EA6212" w:rsidRPr="008C53DA" w:rsidRDefault="008C53DA" w:rsidP="003B51C8">
      <w:pPr>
        <w:pStyle w:val="NoSpacing"/>
        <w:spacing w:line="480" w:lineRule="auto"/>
        <w:rPr>
          <w:rFonts w:ascii="Century Gothic" w:hAnsi="Century Gothic" w:cstheme="minorHAnsi"/>
          <w:sz w:val="24"/>
          <w:szCs w:val="24"/>
        </w:rPr>
      </w:pPr>
      <w:r w:rsidRPr="008C53DA">
        <w:rPr>
          <w:rFonts w:ascii="Century Gothic" w:hAnsi="Century Gothic" w:cstheme="minorHAnsi"/>
          <w:sz w:val="24"/>
          <w:szCs w:val="24"/>
        </w:rPr>
        <w:t>PATIENTS AND METHODS</w:t>
      </w:r>
    </w:p>
    <w:p w:rsidR="003B51C8" w:rsidRPr="008C53DA" w:rsidRDefault="003B51C8" w:rsidP="003B51C8">
      <w:pPr>
        <w:pStyle w:val="NoSpacing"/>
        <w:spacing w:line="480" w:lineRule="auto"/>
        <w:rPr>
          <w:rFonts w:ascii="Century Gothic" w:hAnsi="Century Gothic" w:cstheme="minorHAnsi"/>
          <w:sz w:val="24"/>
          <w:szCs w:val="24"/>
        </w:rPr>
      </w:pPr>
      <w:r w:rsidRPr="008C53DA">
        <w:rPr>
          <w:rFonts w:ascii="Century Gothic" w:hAnsi="Century Gothic" w:cstheme="minorHAnsi"/>
          <w:sz w:val="24"/>
          <w:szCs w:val="24"/>
        </w:rPr>
        <w:t>We conducted a retrospective, comparative, observational, 2-arm controlled trial to assess the benefits and risks of warfarin use in two major dialysis units (&gt;600 patients) in the UAE over 2 years. Primary outcome measures were incidence of bleeding and stroke. Secondary outcome measure was the percentage of patients achieving a target INR as set for the normal population.</w:t>
      </w:r>
    </w:p>
    <w:p w:rsidR="00EA6212" w:rsidRPr="008C53DA" w:rsidRDefault="003B51C8" w:rsidP="00BA17A7">
      <w:pPr>
        <w:pStyle w:val="NoSpacing"/>
        <w:spacing w:before="240" w:line="480" w:lineRule="auto"/>
        <w:rPr>
          <w:rFonts w:ascii="Century Gothic" w:hAnsi="Century Gothic" w:cstheme="minorHAnsi"/>
          <w:sz w:val="24"/>
          <w:szCs w:val="24"/>
        </w:rPr>
      </w:pPr>
      <w:r>
        <w:rPr>
          <w:rFonts w:ascii="Century Gothic" w:hAnsi="Century Gothic" w:cstheme="minorHAnsi"/>
          <w:sz w:val="24"/>
          <w:szCs w:val="24"/>
        </w:rPr>
        <w:t xml:space="preserve">Arm 1 </w:t>
      </w:r>
      <w:r w:rsidR="007B104F" w:rsidRPr="008C53DA">
        <w:rPr>
          <w:rFonts w:ascii="Century Gothic" w:hAnsi="Century Gothic" w:cstheme="minorHAnsi"/>
          <w:sz w:val="24"/>
          <w:szCs w:val="24"/>
        </w:rPr>
        <w:t xml:space="preserve">included all </w:t>
      </w:r>
      <w:r>
        <w:rPr>
          <w:rFonts w:ascii="Century Gothic" w:hAnsi="Century Gothic" w:cstheme="minorHAnsi"/>
          <w:sz w:val="24"/>
          <w:szCs w:val="24"/>
        </w:rPr>
        <w:t xml:space="preserve">our </w:t>
      </w:r>
      <w:r w:rsidR="007B104F" w:rsidRPr="008C53DA">
        <w:rPr>
          <w:rFonts w:ascii="Century Gothic" w:hAnsi="Century Gothic" w:cstheme="minorHAnsi"/>
          <w:sz w:val="24"/>
          <w:szCs w:val="24"/>
        </w:rPr>
        <w:t xml:space="preserve">adult patients on HD </w:t>
      </w:r>
      <w:r>
        <w:rPr>
          <w:rFonts w:ascii="Century Gothic" w:hAnsi="Century Gothic" w:cstheme="minorHAnsi"/>
          <w:sz w:val="24"/>
          <w:szCs w:val="24"/>
        </w:rPr>
        <w:t>who were</w:t>
      </w:r>
      <w:r w:rsidR="007B104F" w:rsidRPr="008C53DA">
        <w:rPr>
          <w:rFonts w:ascii="Century Gothic" w:hAnsi="Century Gothic" w:cstheme="minorHAnsi"/>
          <w:sz w:val="24"/>
          <w:szCs w:val="24"/>
        </w:rPr>
        <w:t xml:space="preserve"> receiving warfarin for more than 6 months for cardiac indications</w:t>
      </w:r>
      <w:r w:rsidR="00BA17A7">
        <w:rPr>
          <w:rFonts w:ascii="Century Gothic" w:hAnsi="Century Gothic" w:cstheme="minorHAnsi"/>
          <w:sz w:val="24"/>
          <w:szCs w:val="24"/>
        </w:rPr>
        <w:t xml:space="preserve"> (</w:t>
      </w:r>
      <w:r>
        <w:rPr>
          <w:rFonts w:ascii="Century Gothic" w:hAnsi="Century Gothic" w:cstheme="minorHAnsi"/>
          <w:sz w:val="24"/>
          <w:szCs w:val="24"/>
        </w:rPr>
        <w:t>N=28; mean age 66.5 (</w:t>
      </w:r>
      <w:r w:rsidRPr="008C53DA">
        <w:rPr>
          <w:rFonts w:ascii="Century Gothic" w:hAnsi="Century Gothic" w:cstheme="minorHAnsi"/>
          <w:sz w:val="24"/>
          <w:szCs w:val="24"/>
        </w:rPr>
        <w:t>11)</w:t>
      </w:r>
      <w:r w:rsidR="00BA17A7">
        <w:rPr>
          <w:rFonts w:ascii="Century Gothic" w:hAnsi="Century Gothic" w:cstheme="minorHAnsi"/>
          <w:sz w:val="24"/>
          <w:szCs w:val="24"/>
        </w:rPr>
        <w:t>)</w:t>
      </w:r>
      <w:r w:rsidR="007B104F" w:rsidRPr="008C53DA">
        <w:rPr>
          <w:rFonts w:ascii="Century Gothic" w:hAnsi="Century Gothic" w:cstheme="minorHAnsi"/>
          <w:sz w:val="24"/>
          <w:szCs w:val="24"/>
        </w:rPr>
        <w:t xml:space="preserve">. Patients on warfarin for other indications were excluded. Arm 2 </w:t>
      </w:r>
      <w:r w:rsidR="007B104F" w:rsidRPr="008C53DA">
        <w:rPr>
          <w:rFonts w:ascii="Century Gothic" w:hAnsi="Century Gothic" w:cstheme="minorHAnsi"/>
          <w:sz w:val="24"/>
          <w:szCs w:val="24"/>
        </w:rPr>
        <w:lastRenderedPageBreak/>
        <w:t>consisted of a matching control group of patients with normal kidney</w:t>
      </w:r>
      <w:r w:rsidR="00BA17A7">
        <w:rPr>
          <w:rFonts w:ascii="Century Gothic" w:hAnsi="Century Gothic" w:cstheme="minorHAnsi"/>
          <w:sz w:val="24"/>
          <w:szCs w:val="24"/>
        </w:rPr>
        <w:t xml:space="preserve"> (</w:t>
      </w:r>
      <w:r>
        <w:rPr>
          <w:rFonts w:ascii="Century Gothic" w:hAnsi="Century Gothic" w:cstheme="minorHAnsi"/>
          <w:sz w:val="24"/>
          <w:szCs w:val="24"/>
        </w:rPr>
        <w:t>N=27; mean age 61.4(</w:t>
      </w:r>
      <w:r w:rsidRPr="008C53DA">
        <w:rPr>
          <w:rFonts w:ascii="Century Gothic" w:hAnsi="Century Gothic" w:cstheme="minorHAnsi"/>
          <w:sz w:val="24"/>
          <w:szCs w:val="24"/>
        </w:rPr>
        <w:t>0.4)</w:t>
      </w:r>
      <w:r w:rsidR="00BA17A7">
        <w:rPr>
          <w:rFonts w:ascii="Century Gothic" w:hAnsi="Century Gothic" w:cstheme="minorHAnsi"/>
          <w:sz w:val="24"/>
          <w:szCs w:val="24"/>
        </w:rPr>
        <w:t>)</w:t>
      </w:r>
      <w:r w:rsidR="007B104F" w:rsidRPr="008C53DA">
        <w:rPr>
          <w:rFonts w:ascii="Century Gothic" w:hAnsi="Century Gothic" w:cstheme="minorHAnsi"/>
          <w:sz w:val="24"/>
          <w:szCs w:val="24"/>
        </w:rPr>
        <w:t xml:space="preserve">. </w:t>
      </w:r>
    </w:p>
    <w:p w:rsidR="00EA6212" w:rsidRPr="008C53DA" w:rsidRDefault="008C53DA" w:rsidP="003B51C8">
      <w:pPr>
        <w:pStyle w:val="NoSpacing"/>
        <w:spacing w:line="480" w:lineRule="auto"/>
        <w:rPr>
          <w:rFonts w:ascii="Century Gothic" w:hAnsi="Century Gothic" w:cstheme="minorHAnsi"/>
          <w:sz w:val="24"/>
          <w:szCs w:val="24"/>
        </w:rPr>
      </w:pPr>
      <w:r w:rsidRPr="008C53DA">
        <w:rPr>
          <w:rFonts w:ascii="Century Gothic" w:hAnsi="Century Gothic" w:cstheme="minorHAnsi"/>
          <w:sz w:val="24"/>
          <w:szCs w:val="24"/>
        </w:rPr>
        <w:t>RESULTS</w:t>
      </w:r>
    </w:p>
    <w:p w:rsidR="00994C1B" w:rsidRPr="008C53DA" w:rsidRDefault="007B104F" w:rsidP="003B51C8">
      <w:pPr>
        <w:pStyle w:val="NoSpacing"/>
        <w:spacing w:line="480" w:lineRule="auto"/>
        <w:rPr>
          <w:rFonts w:ascii="Century Gothic" w:hAnsi="Century Gothic" w:cstheme="minorHAnsi"/>
          <w:sz w:val="24"/>
          <w:szCs w:val="24"/>
        </w:rPr>
      </w:pPr>
      <w:r w:rsidRPr="008C53DA">
        <w:rPr>
          <w:rFonts w:ascii="Century Gothic" w:hAnsi="Century Gothic" w:cstheme="minorHAnsi"/>
          <w:sz w:val="24"/>
          <w:szCs w:val="24"/>
        </w:rPr>
        <w:t>Patients in Arm 1 presented with a higher incidence of</w:t>
      </w:r>
      <w:r w:rsidR="00321B33">
        <w:rPr>
          <w:rFonts w:ascii="Century Gothic" w:hAnsi="Century Gothic" w:cstheme="minorHAnsi"/>
          <w:sz w:val="24"/>
          <w:szCs w:val="24"/>
        </w:rPr>
        <w:t xml:space="preserve"> bleeding than Arm 2 (6 vs. 3; </w:t>
      </w:r>
      <w:r w:rsidR="00321B33" w:rsidRPr="00BA17A7">
        <w:rPr>
          <w:rFonts w:ascii="Century Gothic" w:hAnsi="Century Gothic" w:cstheme="minorHAnsi"/>
          <w:i/>
          <w:sz w:val="24"/>
          <w:szCs w:val="24"/>
        </w:rPr>
        <w:t>P</w:t>
      </w:r>
      <w:r w:rsidRPr="00BA17A7">
        <w:rPr>
          <w:rFonts w:ascii="Century Gothic" w:hAnsi="Century Gothic" w:cstheme="minorHAnsi"/>
          <w:i/>
          <w:sz w:val="24"/>
          <w:szCs w:val="24"/>
        </w:rPr>
        <w:t>&lt;.005</w:t>
      </w:r>
      <w:r w:rsidRPr="008C53DA">
        <w:rPr>
          <w:rFonts w:ascii="Century Gothic" w:hAnsi="Century Gothic" w:cstheme="minorHAnsi"/>
          <w:sz w:val="24"/>
          <w:szCs w:val="24"/>
        </w:rPr>
        <w:t>). There was a higher incidence of stroke in Arm 2. More patients in Arm 1 received antiplatelet therapy with warfarin resulting in the increased bleeding risk. 25% of patients in Arm 1 achieved a median INR within target, while 96% achieved INR target in Arm 2 (me</w:t>
      </w:r>
      <w:r w:rsidR="002A24F6">
        <w:rPr>
          <w:rFonts w:ascii="Century Gothic" w:hAnsi="Century Gothic" w:cstheme="minorHAnsi"/>
          <w:sz w:val="24"/>
          <w:szCs w:val="24"/>
        </w:rPr>
        <w:t>dian INR=1.9</w:t>
      </w:r>
      <w:r w:rsidR="00321B33">
        <w:rPr>
          <w:rFonts w:ascii="Century Gothic" w:hAnsi="Century Gothic" w:cstheme="minorHAnsi"/>
          <w:sz w:val="24"/>
          <w:szCs w:val="24"/>
        </w:rPr>
        <w:t>(</w:t>
      </w:r>
      <w:r w:rsidR="002A24F6">
        <w:rPr>
          <w:rFonts w:ascii="Century Gothic" w:hAnsi="Century Gothic" w:cstheme="minorHAnsi"/>
          <w:sz w:val="24"/>
          <w:szCs w:val="24"/>
        </w:rPr>
        <w:t>0.5</w:t>
      </w:r>
      <w:r w:rsidR="00321B33">
        <w:rPr>
          <w:rFonts w:ascii="Century Gothic" w:hAnsi="Century Gothic" w:cstheme="minorHAnsi"/>
          <w:sz w:val="24"/>
          <w:szCs w:val="24"/>
        </w:rPr>
        <w:t>)</w:t>
      </w:r>
      <w:r w:rsidR="002A24F6">
        <w:rPr>
          <w:rFonts w:ascii="Century Gothic" w:hAnsi="Century Gothic" w:cstheme="minorHAnsi"/>
          <w:sz w:val="24"/>
          <w:szCs w:val="24"/>
        </w:rPr>
        <w:t xml:space="preserve"> vs. 2.4</w:t>
      </w:r>
      <w:r w:rsidR="00321B33">
        <w:rPr>
          <w:rFonts w:ascii="Century Gothic" w:hAnsi="Century Gothic" w:cstheme="minorHAnsi"/>
          <w:sz w:val="24"/>
          <w:szCs w:val="24"/>
        </w:rPr>
        <w:t>(</w:t>
      </w:r>
      <w:r w:rsidRPr="008C53DA">
        <w:rPr>
          <w:rFonts w:ascii="Century Gothic" w:hAnsi="Century Gothic" w:cstheme="minorHAnsi"/>
          <w:sz w:val="24"/>
          <w:szCs w:val="24"/>
        </w:rPr>
        <w:t>0.3</w:t>
      </w:r>
      <w:r w:rsidR="00321B33">
        <w:rPr>
          <w:rFonts w:ascii="Century Gothic" w:hAnsi="Century Gothic" w:cstheme="minorHAnsi"/>
          <w:sz w:val="24"/>
          <w:szCs w:val="24"/>
        </w:rPr>
        <w:t xml:space="preserve">); </w:t>
      </w:r>
      <w:r w:rsidR="00321B33" w:rsidRPr="00BA17A7">
        <w:rPr>
          <w:rFonts w:ascii="Century Gothic" w:hAnsi="Century Gothic" w:cstheme="minorHAnsi"/>
          <w:i/>
          <w:sz w:val="24"/>
          <w:szCs w:val="24"/>
        </w:rPr>
        <w:t>P&lt;</w:t>
      </w:r>
      <w:r w:rsidRPr="00BA17A7">
        <w:rPr>
          <w:rFonts w:ascii="Century Gothic" w:hAnsi="Century Gothic" w:cstheme="minorHAnsi"/>
          <w:i/>
          <w:sz w:val="24"/>
          <w:szCs w:val="24"/>
        </w:rPr>
        <w:t>.001</w:t>
      </w:r>
      <w:r w:rsidRPr="008C53DA">
        <w:rPr>
          <w:rFonts w:ascii="Century Gothic" w:hAnsi="Century Gothic" w:cstheme="minorHAnsi"/>
          <w:sz w:val="24"/>
          <w:szCs w:val="24"/>
        </w:rPr>
        <w:t xml:space="preserve">). </w:t>
      </w:r>
    </w:p>
    <w:p w:rsidR="007B104F" w:rsidRPr="008C53DA" w:rsidRDefault="008C53DA" w:rsidP="003B51C8">
      <w:pPr>
        <w:pStyle w:val="NoSpacing"/>
        <w:spacing w:line="480" w:lineRule="auto"/>
        <w:rPr>
          <w:rFonts w:ascii="Century Gothic" w:hAnsi="Century Gothic" w:cstheme="minorHAnsi"/>
          <w:sz w:val="24"/>
          <w:szCs w:val="24"/>
        </w:rPr>
      </w:pPr>
      <w:r w:rsidRPr="008C53DA">
        <w:rPr>
          <w:rFonts w:ascii="Century Gothic" w:hAnsi="Century Gothic" w:cstheme="minorHAnsi"/>
          <w:bCs/>
          <w:sz w:val="24"/>
          <w:szCs w:val="24"/>
          <w:lang w:val="en-CA"/>
        </w:rPr>
        <w:t>CONCLUSIONS</w:t>
      </w:r>
      <w:r w:rsidRPr="008C53DA">
        <w:rPr>
          <w:rFonts w:ascii="Century Gothic" w:hAnsi="Century Gothic" w:cstheme="minorHAnsi"/>
          <w:bCs/>
          <w:sz w:val="24"/>
          <w:szCs w:val="24"/>
          <w:lang w:val="en-CA"/>
        </w:rPr>
        <w:br/>
      </w:r>
      <w:r w:rsidR="007B104F" w:rsidRPr="008C53DA">
        <w:rPr>
          <w:rFonts w:ascii="Century Gothic" w:hAnsi="Century Gothic" w:cstheme="minorHAnsi"/>
          <w:sz w:val="24"/>
          <w:szCs w:val="24"/>
        </w:rPr>
        <w:t>Anticoagulation in dialysis patients may not always be justified, the risks and benefits of treatment should be assessed carefully. Our study indicates an increased incidence of bleeding in HD patients. Most HD patients failed to achieve therapeutic INR, though their doses were similar to that of control; this may be attributed to variance</w:t>
      </w:r>
      <w:r w:rsidRPr="008C53DA">
        <w:rPr>
          <w:rFonts w:ascii="Century Gothic" w:hAnsi="Century Gothic" w:cstheme="minorHAnsi"/>
          <w:sz w:val="24"/>
          <w:szCs w:val="24"/>
        </w:rPr>
        <w:t xml:space="preserve"> in pharmacokinetic parameters. </w:t>
      </w:r>
      <w:r w:rsidR="007B104F" w:rsidRPr="008C53DA">
        <w:rPr>
          <w:rFonts w:ascii="Century Gothic" w:hAnsi="Century Gothic" w:cstheme="minorHAnsi"/>
          <w:sz w:val="24"/>
          <w:szCs w:val="24"/>
        </w:rPr>
        <w:t>Our study is limited by small sample size; larger prospective studies will provide more robust evidence.</w:t>
      </w:r>
    </w:p>
    <w:p w:rsidR="00163844" w:rsidRPr="00321B33" w:rsidRDefault="008C53DA" w:rsidP="003B51C8">
      <w:pPr>
        <w:pStyle w:val="NoSpacing"/>
        <w:spacing w:line="480" w:lineRule="auto"/>
        <w:rPr>
          <w:rFonts w:ascii="Century Gothic" w:hAnsi="Century Gothic"/>
          <w:b/>
          <w:sz w:val="24"/>
          <w:szCs w:val="24"/>
        </w:rPr>
      </w:pPr>
      <w:r w:rsidRPr="00321B33">
        <w:rPr>
          <w:rFonts w:ascii="Century Gothic" w:hAnsi="Century Gothic"/>
          <w:b/>
          <w:sz w:val="24"/>
          <w:szCs w:val="24"/>
        </w:rPr>
        <w:t>INTRODUCTION</w:t>
      </w:r>
    </w:p>
    <w:p w:rsidR="00421222" w:rsidRPr="008C53DA" w:rsidRDefault="001B6E55" w:rsidP="003B51C8">
      <w:pPr>
        <w:pStyle w:val="NoSpacing"/>
        <w:spacing w:line="480" w:lineRule="auto"/>
        <w:rPr>
          <w:rFonts w:ascii="Century Gothic" w:hAnsi="Century Gothic"/>
          <w:sz w:val="24"/>
          <w:szCs w:val="24"/>
        </w:rPr>
      </w:pPr>
      <w:r w:rsidRPr="008C53DA">
        <w:rPr>
          <w:rFonts w:ascii="Century Gothic" w:hAnsi="Century Gothic"/>
          <w:sz w:val="24"/>
          <w:szCs w:val="24"/>
        </w:rPr>
        <w:t>Atrial fibrillation is the most common cardiac arrhythmia in patients with end stage renal disease (ESRD). With a prevalence of 13 to 27%, it is an independent r</w:t>
      </w:r>
      <w:r w:rsidR="00321B33">
        <w:rPr>
          <w:rFonts w:ascii="Century Gothic" w:hAnsi="Century Gothic"/>
          <w:sz w:val="24"/>
          <w:szCs w:val="24"/>
        </w:rPr>
        <w:t>isk factor for a new stroke.</w:t>
      </w:r>
      <w:r w:rsidR="00321B33" w:rsidRPr="00321B33">
        <w:rPr>
          <w:rFonts w:ascii="Century Gothic" w:hAnsi="Century Gothic"/>
          <w:sz w:val="24"/>
          <w:szCs w:val="24"/>
          <w:vertAlign w:val="superscript"/>
        </w:rPr>
        <w:t>1</w:t>
      </w:r>
      <w:r w:rsidRPr="008C53DA">
        <w:rPr>
          <w:rFonts w:ascii="Century Gothic" w:hAnsi="Century Gothic"/>
          <w:sz w:val="24"/>
          <w:szCs w:val="24"/>
        </w:rPr>
        <w:t xml:space="preserve">Patients with atrial fibrillation and severe chronic kidney disease have a higher </w:t>
      </w:r>
      <w:r w:rsidR="004B15E3" w:rsidRPr="008C53DA">
        <w:rPr>
          <w:rFonts w:ascii="Century Gothic" w:hAnsi="Century Gothic"/>
          <w:sz w:val="24"/>
          <w:szCs w:val="24"/>
        </w:rPr>
        <w:t>risk for stroke and bleeding</w:t>
      </w:r>
      <w:r w:rsidRPr="008C53DA">
        <w:rPr>
          <w:rFonts w:ascii="Century Gothic" w:hAnsi="Century Gothic"/>
          <w:sz w:val="24"/>
          <w:szCs w:val="24"/>
        </w:rPr>
        <w:t xml:space="preserve">. </w:t>
      </w:r>
      <w:r w:rsidRPr="008C53DA">
        <w:rPr>
          <w:rFonts w:ascii="Century Gothic" w:hAnsi="Century Gothic"/>
          <w:sz w:val="24"/>
          <w:szCs w:val="24"/>
        </w:rPr>
        <w:lastRenderedPageBreak/>
        <w:t>Moreover, atrial fibrillation patients with severe chronic kidney disease and on dialysis, have a five-fo</w:t>
      </w:r>
      <w:r w:rsidR="00421222" w:rsidRPr="008C53DA">
        <w:rPr>
          <w:rFonts w:ascii="Century Gothic" w:hAnsi="Century Gothic"/>
          <w:sz w:val="24"/>
          <w:szCs w:val="24"/>
        </w:rPr>
        <w:t>ld higher risk for a new stroke.</w:t>
      </w:r>
      <w:r w:rsidRPr="00321B33">
        <w:rPr>
          <w:rFonts w:ascii="Century Gothic" w:hAnsi="Century Gothic"/>
          <w:sz w:val="24"/>
          <w:szCs w:val="24"/>
          <w:vertAlign w:val="superscript"/>
        </w:rPr>
        <w:t>2</w:t>
      </w:r>
    </w:p>
    <w:p w:rsidR="00163844" w:rsidRPr="008C53DA" w:rsidRDefault="00421222" w:rsidP="003B51C8">
      <w:pPr>
        <w:pStyle w:val="NoSpacing"/>
        <w:spacing w:line="480" w:lineRule="auto"/>
        <w:rPr>
          <w:rFonts w:ascii="Century Gothic" w:hAnsi="Century Gothic"/>
          <w:sz w:val="24"/>
          <w:szCs w:val="24"/>
        </w:rPr>
      </w:pPr>
      <w:r w:rsidRPr="008C53DA">
        <w:rPr>
          <w:rFonts w:ascii="Century Gothic" w:hAnsi="Century Gothic"/>
          <w:sz w:val="24"/>
          <w:szCs w:val="24"/>
        </w:rPr>
        <w:t>Warfarin is a vitamin K antagonist indicated for redu</w:t>
      </w:r>
      <w:r w:rsidR="00B2163C" w:rsidRPr="008C53DA">
        <w:rPr>
          <w:rFonts w:ascii="Century Gothic" w:hAnsi="Century Gothic"/>
          <w:sz w:val="24"/>
          <w:szCs w:val="24"/>
        </w:rPr>
        <w:t xml:space="preserve">cing the risk of stroke in </w:t>
      </w:r>
      <w:r w:rsidR="00321B33">
        <w:rPr>
          <w:rFonts w:ascii="Century Gothic" w:hAnsi="Century Gothic"/>
          <w:sz w:val="24"/>
          <w:szCs w:val="24"/>
        </w:rPr>
        <w:t xml:space="preserve">patients with AF. </w:t>
      </w:r>
      <w:r w:rsidR="004B15E3" w:rsidRPr="00321B33">
        <w:rPr>
          <w:rFonts w:ascii="Century Gothic" w:hAnsi="Century Gothic"/>
          <w:sz w:val="24"/>
          <w:szCs w:val="24"/>
          <w:vertAlign w:val="superscript"/>
        </w:rPr>
        <w:t>3</w:t>
      </w:r>
      <w:r w:rsidR="00B2163C" w:rsidRPr="008C53DA">
        <w:rPr>
          <w:rFonts w:ascii="Century Gothic" w:hAnsi="Century Gothic"/>
          <w:sz w:val="24"/>
          <w:szCs w:val="24"/>
        </w:rPr>
        <w:t xml:space="preserve"> It is commo</w:t>
      </w:r>
      <w:r w:rsidR="00595E4D" w:rsidRPr="008C53DA">
        <w:rPr>
          <w:rFonts w:ascii="Century Gothic" w:hAnsi="Century Gothic"/>
          <w:sz w:val="24"/>
          <w:szCs w:val="24"/>
        </w:rPr>
        <w:t>nly used in dialysis patients as novel</w:t>
      </w:r>
      <w:r w:rsidR="00B2163C" w:rsidRPr="008C53DA">
        <w:rPr>
          <w:rFonts w:ascii="Century Gothic" w:hAnsi="Century Gothic"/>
          <w:sz w:val="24"/>
          <w:szCs w:val="24"/>
        </w:rPr>
        <w:t xml:space="preserve"> oral anticoagulants lack sufficient evidence for use in this high-risk population. </w:t>
      </w:r>
      <w:r w:rsidRPr="008C53DA">
        <w:rPr>
          <w:rFonts w:ascii="Century Gothic" w:hAnsi="Century Gothic"/>
          <w:sz w:val="24"/>
          <w:szCs w:val="24"/>
        </w:rPr>
        <w:t xml:space="preserve">Warfarin use has been shown to accelerate vascular calcification in CKD patients, which eventually may further increase </w:t>
      </w:r>
      <w:r w:rsidR="00321B33">
        <w:rPr>
          <w:rFonts w:ascii="Century Gothic" w:hAnsi="Century Gothic"/>
          <w:sz w:val="24"/>
          <w:szCs w:val="24"/>
        </w:rPr>
        <w:t>the risk for ischemic stroke.</w:t>
      </w:r>
      <w:r w:rsidR="004B15E3" w:rsidRPr="00321B33">
        <w:rPr>
          <w:rFonts w:ascii="Century Gothic" w:hAnsi="Century Gothic"/>
          <w:sz w:val="24"/>
          <w:szCs w:val="24"/>
          <w:vertAlign w:val="superscript"/>
        </w:rPr>
        <w:t>4, 5</w:t>
      </w:r>
      <w:r w:rsidR="00595E4D" w:rsidRPr="008C53DA">
        <w:rPr>
          <w:rFonts w:ascii="Century Gothic" w:hAnsi="Century Gothic"/>
          <w:sz w:val="24"/>
          <w:szCs w:val="24"/>
        </w:rPr>
        <w:t xml:space="preserve"> </w:t>
      </w:r>
      <w:r w:rsidRPr="008C53DA">
        <w:rPr>
          <w:rFonts w:ascii="Century Gothic" w:hAnsi="Century Gothic"/>
          <w:sz w:val="24"/>
          <w:szCs w:val="24"/>
        </w:rPr>
        <w:t>Current observational studies on warfarin use in patients with AF undergoing dialysis and the risk for stroke and bleed</w:t>
      </w:r>
      <w:r w:rsidR="004B15E3" w:rsidRPr="008C53DA">
        <w:rPr>
          <w:rFonts w:ascii="Century Gothic" w:hAnsi="Century Gothic"/>
          <w:sz w:val="24"/>
          <w:szCs w:val="24"/>
        </w:rPr>
        <w:t xml:space="preserve">ing have </w:t>
      </w:r>
      <w:r w:rsidR="00321B33">
        <w:rPr>
          <w:rFonts w:ascii="Century Gothic" w:hAnsi="Century Gothic"/>
          <w:sz w:val="24"/>
          <w:szCs w:val="24"/>
        </w:rPr>
        <w:t>conflicting results.</w:t>
      </w:r>
      <w:r w:rsidR="004B15E3" w:rsidRPr="00321B33">
        <w:rPr>
          <w:rFonts w:ascii="Century Gothic" w:hAnsi="Century Gothic"/>
          <w:sz w:val="24"/>
          <w:szCs w:val="24"/>
          <w:vertAlign w:val="superscript"/>
        </w:rPr>
        <w:t>6,</w:t>
      </w:r>
      <w:r w:rsidR="00574CCA" w:rsidRPr="00321B33">
        <w:rPr>
          <w:rFonts w:ascii="Century Gothic" w:hAnsi="Century Gothic"/>
          <w:sz w:val="24"/>
          <w:szCs w:val="24"/>
          <w:vertAlign w:val="superscript"/>
        </w:rPr>
        <w:t xml:space="preserve"> </w:t>
      </w:r>
      <w:r w:rsidR="004B15E3" w:rsidRPr="00321B33">
        <w:rPr>
          <w:rFonts w:ascii="Century Gothic" w:hAnsi="Century Gothic"/>
          <w:sz w:val="24"/>
          <w:szCs w:val="24"/>
          <w:vertAlign w:val="superscript"/>
        </w:rPr>
        <w:t>7</w:t>
      </w:r>
      <w:r w:rsidR="00595E4D" w:rsidRPr="008C53DA">
        <w:rPr>
          <w:rFonts w:ascii="Century Gothic" w:hAnsi="Century Gothic"/>
          <w:sz w:val="24"/>
          <w:szCs w:val="24"/>
        </w:rPr>
        <w:t xml:space="preserve">AF management guidelines have yet to make strong recommendations regarding anticoagulation management for patients with AF undergoing </w:t>
      </w:r>
      <w:r w:rsidR="00321B33">
        <w:rPr>
          <w:rFonts w:ascii="Century Gothic" w:hAnsi="Century Gothic"/>
          <w:sz w:val="24"/>
          <w:szCs w:val="24"/>
        </w:rPr>
        <w:t>dialysis.</w:t>
      </w:r>
      <w:r w:rsidR="004B15E3" w:rsidRPr="00321B33">
        <w:rPr>
          <w:rFonts w:ascii="Century Gothic" w:hAnsi="Century Gothic"/>
          <w:sz w:val="24"/>
          <w:szCs w:val="24"/>
          <w:vertAlign w:val="superscript"/>
        </w:rPr>
        <w:t>8</w:t>
      </w:r>
      <w:r w:rsidR="00595E4D" w:rsidRPr="008C53DA">
        <w:rPr>
          <w:rFonts w:ascii="Century Gothic" w:hAnsi="Century Gothic"/>
          <w:sz w:val="24"/>
          <w:szCs w:val="24"/>
        </w:rPr>
        <w:t xml:space="preserve"> Recognized limitations of warfarin, like frequent blood monitoring for INR, numerous food and drug interactions, uncertainty regarding benefit for reducing stroke risk and possible augmentation of bleeding risk, often raise concern about warfarin’s safety and effectiveness in patients</w:t>
      </w:r>
      <w:r w:rsidR="00321B33">
        <w:rPr>
          <w:rFonts w:ascii="Century Gothic" w:hAnsi="Century Gothic"/>
          <w:sz w:val="24"/>
          <w:szCs w:val="24"/>
        </w:rPr>
        <w:t xml:space="preserve"> with AF undergoing dialysis.</w:t>
      </w:r>
      <w:r w:rsidR="004B15E3" w:rsidRPr="00321B33">
        <w:rPr>
          <w:rFonts w:ascii="Century Gothic" w:hAnsi="Century Gothic"/>
          <w:sz w:val="24"/>
          <w:szCs w:val="24"/>
          <w:vertAlign w:val="superscript"/>
        </w:rPr>
        <w:t>9</w:t>
      </w:r>
    </w:p>
    <w:p w:rsidR="00163844" w:rsidRPr="008C53DA" w:rsidRDefault="00163844" w:rsidP="003B51C8">
      <w:pPr>
        <w:pStyle w:val="NoSpacing"/>
        <w:spacing w:line="480" w:lineRule="auto"/>
        <w:rPr>
          <w:rFonts w:ascii="Century Gothic" w:hAnsi="Century Gothic"/>
          <w:sz w:val="24"/>
          <w:szCs w:val="24"/>
        </w:rPr>
      </w:pPr>
      <w:r w:rsidRPr="008C53DA">
        <w:rPr>
          <w:rFonts w:ascii="Century Gothic" w:hAnsi="Century Gothic"/>
          <w:sz w:val="24"/>
          <w:szCs w:val="24"/>
        </w:rPr>
        <w:t>Recent cohort studies revealed an association of a higher risk of bleeding and lack of improvement in stroke prevention in HD patients with AF treated with warfarin. It was observed that most of our dialysis patients on warfarin sustained a sub-therapeutic INR for long periods of treatment; a correlation between this low INR and incidence of cardiovascular disease was required, as well as a safety assessment regarding bleeding episodes.</w:t>
      </w:r>
    </w:p>
    <w:p w:rsidR="00163844" w:rsidRPr="00321B33" w:rsidRDefault="008C53DA" w:rsidP="003B51C8">
      <w:pPr>
        <w:pStyle w:val="NoSpacing"/>
        <w:spacing w:line="480" w:lineRule="auto"/>
        <w:rPr>
          <w:rFonts w:ascii="Century Gothic" w:hAnsi="Century Gothic"/>
          <w:b/>
          <w:sz w:val="24"/>
          <w:szCs w:val="24"/>
        </w:rPr>
      </w:pPr>
      <w:r w:rsidRPr="00321B33">
        <w:rPr>
          <w:rFonts w:ascii="Century Gothic" w:hAnsi="Century Gothic"/>
          <w:b/>
          <w:sz w:val="24"/>
          <w:szCs w:val="24"/>
        </w:rPr>
        <w:lastRenderedPageBreak/>
        <w:t>METHODS</w:t>
      </w:r>
    </w:p>
    <w:p w:rsidR="00A61D7B" w:rsidRPr="008C53DA" w:rsidRDefault="004B15E3" w:rsidP="003B51C8">
      <w:pPr>
        <w:pStyle w:val="NoSpacing"/>
        <w:spacing w:line="480" w:lineRule="auto"/>
        <w:rPr>
          <w:rFonts w:ascii="Century Gothic" w:hAnsi="Century Gothic" w:cs="TimesNewRomanPSMT"/>
          <w:sz w:val="24"/>
          <w:szCs w:val="24"/>
        </w:rPr>
      </w:pPr>
      <w:r w:rsidRPr="008C53DA">
        <w:rPr>
          <w:rFonts w:ascii="Century Gothic" w:hAnsi="Century Gothic" w:cs="Times New Roman"/>
          <w:sz w:val="24"/>
          <w:szCs w:val="24"/>
        </w:rPr>
        <w:t>We conducted a retrospective, observational, 2-arm controlled trial assessing the benefits and risks of warfarin use in 2 dialysis units (</w:t>
      </w:r>
      <w:r w:rsidR="00961EC4" w:rsidRPr="008C53DA">
        <w:rPr>
          <w:rFonts w:ascii="Century Gothic" w:hAnsi="Century Gothic" w:cs="Times New Roman"/>
          <w:sz w:val="24"/>
          <w:szCs w:val="24"/>
        </w:rPr>
        <w:t>&gt;7</w:t>
      </w:r>
      <w:r w:rsidRPr="008C53DA">
        <w:rPr>
          <w:rFonts w:ascii="Century Gothic" w:hAnsi="Century Gothic" w:cs="Times New Roman"/>
          <w:sz w:val="24"/>
          <w:szCs w:val="24"/>
        </w:rPr>
        <w:t xml:space="preserve">00 patients) in the UAE over 2 years. </w:t>
      </w:r>
      <w:r w:rsidR="00BA17A7">
        <w:rPr>
          <w:rFonts w:ascii="Century Gothic" w:hAnsi="Century Gothic"/>
          <w:sz w:val="24"/>
          <w:szCs w:val="24"/>
        </w:rPr>
        <w:t>Arm 1 (</w:t>
      </w:r>
      <w:r w:rsidR="00A61D7B" w:rsidRPr="008C53DA">
        <w:rPr>
          <w:rFonts w:ascii="Century Gothic" w:hAnsi="Century Gothic"/>
          <w:sz w:val="24"/>
          <w:szCs w:val="24"/>
        </w:rPr>
        <w:t>N=28</w:t>
      </w:r>
      <w:r w:rsidR="00321B33">
        <w:rPr>
          <w:rFonts w:ascii="Century Gothic" w:hAnsi="Century Gothic" w:cs="Times New Roman"/>
          <w:sz w:val="24"/>
          <w:szCs w:val="24"/>
        </w:rPr>
        <w:t>; mean age 66.5 (</w:t>
      </w:r>
      <w:r w:rsidR="00A61D7B" w:rsidRPr="008C53DA">
        <w:rPr>
          <w:rFonts w:ascii="Century Gothic" w:hAnsi="Century Gothic" w:cs="Times New Roman"/>
          <w:sz w:val="24"/>
          <w:szCs w:val="24"/>
        </w:rPr>
        <w:t>11</w:t>
      </w:r>
      <w:r w:rsidR="00A61D7B" w:rsidRPr="008C53DA">
        <w:rPr>
          <w:rFonts w:ascii="Century Gothic" w:hAnsi="Century Gothic"/>
          <w:sz w:val="24"/>
          <w:szCs w:val="24"/>
        </w:rPr>
        <w:t>)</w:t>
      </w:r>
      <w:r w:rsidR="00BA17A7">
        <w:rPr>
          <w:rFonts w:ascii="Century Gothic" w:hAnsi="Century Gothic"/>
          <w:sz w:val="24"/>
          <w:szCs w:val="24"/>
        </w:rPr>
        <w:t>)</w:t>
      </w:r>
      <w:r w:rsidR="00A61D7B" w:rsidRPr="008C53DA">
        <w:rPr>
          <w:rFonts w:ascii="Century Gothic" w:hAnsi="Century Gothic"/>
          <w:sz w:val="24"/>
          <w:szCs w:val="24"/>
        </w:rPr>
        <w:t xml:space="preserve"> included all adult patients on HD and receiving warfarin for more than 6 months for cardiac indications. </w:t>
      </w:r>
      <w:r w:rsidR="005D4AC5" w:rsidRPr="008C53DA">
        <w:rPr>
          <w:rFonts w:ascii="Century Gothic" w:hAnsi="Century Gothic"/>
          <w:sz w:val="24"/>
          <w:szCs w:val="24"/>
        </w:rPr>
        <w:t>Patients in both</w:t>
      </w:r>
      <w:r w:rsidR="00F5253B" w:rsidRPr="008C53DA">
        <w:rPr>
          <w:rFonts w:ascii="Century Gothic" w:hAnsi="Century Gothic"/>
          <w:sz w:val="24"/>
          <w:szCs w:val="24"/>
        </w:rPr>
        <w:t xml:space="preserve"> arms</w:t>
      </w:r>
      <w:r w:rsidR="005D4AC5" w:rsidRPr="008C53DA">
        <w:rPr>
          <w:rFonts w:ascii="Century Gothic" w:hAnsi="Century Gothic"/>
          <w:sz w:val="24"/>
          <w:szCs w:val="24"/>
        </w:rPr>
        <w:t xml:space="preserve"> had similar CHADS2 scores of ≥ 2. </w:t>
      </w:r>
      <w:r w:rsidR="00F5253B" w:rsidRPr="008C53DA">
        <w:rPr>
          <w:rFonts w:ascii="Century Gothic" w:hAnsi="Century Gothic"/>
          <w:sz w:val="24"/>
          <w:szCs w:val="24"/>
        </w:rPr>
        <w:t xml:space="preserve">Twenty five patients in Arm 1 were receiving warfarin for AF and 3 for </w:t>
      </w:r>
      <w:proofErr w:type="spellStart"/>
      <w:r w:rsidR="00F5253B" w:rsidRPr="008C53DA">
        <w:rPr>
          <w:rFonts w:ascii="Century Gothic" w:hAnsi="Century Gothic"/>
          <w:sz w:val="24"/>
          <w:szCs w:val="24"/>
        </w:rPr>
        <w:t>valvular</w:t>
      </w:r>
      <w:proofErr w:type="spellEnd"/>
      <w:r w:rsidR="00F5253B" w:rsidRPr="008C53DA">
        <w:rPr>
          <w:rFonts w:ascii="Century Gothic" w:hAnsi="Century Gothic"/>
          <w:sz w:val="24"/>
          <w:szCs w:val="24"/>
        </w:rPr>
        <w:t xml:space="preserve"> heart disease. Patients on warfarin for</w:t>
      </w:r>
      <w:r w:rsidR="00A61D7B" w:rsidRPr="008C53DA">
        <w:rPr>
          <w:rFonts w:ascii="Century Gothic" w:hAnsi="Century Gothic"/>
          <w:sz w:val="24"/>
          <w:szCs w:val="24"/>
        </w:rPr>
        <w:t xml:space="preserve"> indication</w:t>
      </w:r>
      <w:r w:rsidR="00F5253B" w:rsidRPr="008C53DA">
        <w:rPr>
          <w:rFonts w:ascii="Century Gothic" w:hAnsi="Century Gothic"/>
          <w:sz w:val="24"/>
          <w:szCs w:val="24"/>
        </w:rPr>
        <w:t xml:space="preserve"> other than cardiac</w:t>
      </w:r>
      <w:r w:rsidR="00A61D7B" w:rsidRPr="008C53DA">
        <w:rPr>
          <w:rFonts w:ascii="Century Gothic" w:hAnsi="Century Gothic"/>
          <w:sz w:val="24"/>
          <w:szCs w:val="24"/>
        </w:rPr>
        <w:t xml:space="preserve"> were excluded. Arm 2 </w:t>
      </w:r>
      <w:r w:rsidR="00BA17A7">
        <w:rPr>
          <w:rFonts w:ascii="Century Gothic" w:hAnsi="Century Gothic"/>
          <w:sz w:val="24"/>
          <w:szCs w:val="24"/>
        </w:rPr>
        <w:t>(</w:t>
      </w:r>
      <w:r w:rsidR="00A61D7B" w:rsidRPr="008C53DA">
        <w:rPr>
          <w:rFonts w:ascii="Century Gothic" w:hAnsi="Century Gothic"/>
          <w:sz w:val="24"/>
          <w:szCs w:val="24"/>
        </w:rPr>
        <w:t>N=27</w:t>
      </w:r>
      <w:r w:rsidR="00321B33">
        <w:rPr>
          <w:rFonts w:ascii="Century Gothic" w:hAnsi="Century Gothic" w:cs="Times New Roman"/>
          <w:sz w:val="24"/>
          <w:szCs w:val="24"/>
        </w:rPr>
        <w:t>; mean age 61.4(</w:t>
      </w:r>
      <w:r w:rsidR="00A61D7B" w:rsidRPr="008C53DA">
        <w:rPr>
          <w:rFonts w:ascii="Century Gothic" w:hAnsi="Century Gothic" w:cs="Times New Roman"/>
          <w:sz w:val="24"/>
          <w:szCs w:val="24"/>
        </w:rPr>
        <w:t>20.4</w:t>
      </w:r>
      <w:r w:rsidR="00A61D7B" w:rsidRPr="008C53DA">
        <w:rPr>
          <w:rFonts w:ascii="Century Gothic" w:hAnsi="Century Gothic"/>
          <w:sz w:val="24"/>
          <w:szCs w:val="24"/>
        </w:rPr>
        <w:t>)</w:t>
      </w:r>
      <w:r w:rsidR="00BA17A7">
        <w:rPr>
          <w:rFonts w:ascii="Century Gothic" w:hAnsi="Century Gothic"/>
          <w:sz w:val="24"/>
          <w:szCs w:val="24"/>
        </w:rPr>
        <w:t>)</w:t>
      </w:r>
      <w:r w:rsidR="00A61D7B" w:rsidRPr="008C53DA">
        <w:rPr>
          <w:rFonts w:ascii="Century Gothic" w:hAnsi="Century Gothic"/>
          <w:sz w:val="24"/>
          <w:szCs w:val="24"/>
        </w:rPr>
        <w:t xml:space="preserve"> consisted of a matching control group of patients with normal kidney function and receiving wa</w:t>
      </w:r>
      <w:r w:rsidR="00BA17A7">
        <w:rPr>
          <w:rFonts w:ascii="Century Gothic" w:hAnsi="Century Gothic"/>
          <w:sz w:val="24"/>
          <w:szCs w:val="24"/>
        </w:rPr>
        <w:t>rfarin for similar indications (Table 1)</w:t>
      </w:r>
      <w:r w:rsidR="00321B33">
        <w:rPr>
          <w:rFonts w:ascii="Century Gothic" w:hAnsi="Century Gothic"/>
          <w:sz w:val="24"/>
          <w:szCs w:val="24"/>
        </w:rPr>
        <w:t>.</w:t>
      </w:r>
      <w:r w:rsidR="00756CC3" w:rsidRPr="008C53DA">
        <w:rPr>
          <w:rFonts w:ascii="Century Gothic" w:hAnsi="Century Gothic"/>
          <w:sz w:val="24"/>
          <w:szCs w:val="24"/>
        </w:rPr>
        <w:t xml:space="preserve"> </w:t>
      </w:r>
      <w:r w:rsidR="00A61D7B" w:rsidRPr="008C53DA">
        <w:rPr>
          <w:rFonts w:ascii="Century Gothic" w:hAnsi="Century Gothic"/>
          <w:sz w:val="24"/>
          <w:szCs w:val="24"/>
        </w:rPr>
        <w:t xml:space="preserve">Primary outcome measures were incidence of </w:t>
      </w:r>
      <w:r w:rsidR="00A61D7B" w:rsidRPr="008C53DA">
        <w:rPr>
          <w:rFonts w:ascii="Century Gothic" w:hAnsi="Century Gothic" w:cs="TimesNewRomanPSMT"/>
          <w:sz w:val="24"/>
          <w:szCs w:val="24"/>
        </w:rPr>
        <w:t>stroke, MI, DVT, PE, bleeding, other cardiovascular events and death.</w:t>
      </w:r>
      <w:r w:rsidR="00A61D7B" w:rsidRPr="008C53DA">
        <w:rPr>
          <w:rFonts w:ascii="Century Gothic" w:hAnsi="Century Gothic"/>
          <w:sz w:val="24"/>
          <w:szCs w:val="24"/>
        </w:rPr>
        <w:t xml:space="preserve"> Secondary outcome measure was the percentage of patients achieving a target INR as set for the normal population. </w:t>
      </w:r>
      <w:r w:rsidR="006761D3" w:rsidRPr="008C53DA">
        <w:rPr>
          <w:rFonts w:ascii="Century Gothic" w:hAnsi="Century Gothic" w:cs="TimesNewRomanPSMT"/>
          <w:sz w:val="24"/>
          <w:szCs w:val="24"/>
        </w:rPr>
        <w:t>Data was extracted retrospectively from Cerner.</w:t>
      </w:r>
      <w:r w:rsidR="006761D3">
        <w:rPr>
          <w:rFonts w:ascii="Century Gothic" w:hAnsi="Century Gothic" w:cs="TimesNewRomanPSMT"/>
          <w:sz w:val="24"/>
          <w:szCs w:val="24"/>
        </w:rPr>
        <w:t xml:space="preserve"> </w:t>
      </w:r>
      <w:r w:rsidR="00A61D7B" w:rsidRPr="008C53DA">
        <w:rPr>
          <w:rFonts w:ascii="Century Gothic" w:hAnsi="Century Gothic"/>
          <w:sz w:val="24"/>
          <w:szCs w:val="24"/>
        </w:rPr>
        <w:t xml:space="preserve">Analysis was done using Student T-tests and Chi-square tests. </w:t>
      </w:r>
    </w:p>
    <w:p w:rsidR="00A61D7B" w:rsidRDefault="00A61D7B" w:rsidP="003B51C8">
      <w:pPr>
        <w:pStyle w:val="NoSpacing"/>
        <w:spacing w:line="480" w:lineRule="auto"/>
        <w:rPr>
          <w:rFonts w:ascii="Century Gothic" w:hAnsi="Century Gothic"/>
          <w:sz w:val="24"/>
          <w:szCs w:val="24"/>
        </w:rPr>
      </w:pPr>
    </w:p>
    <w:p w:rsidR="00321B33" w:rsidRDefault="00321B33" w:rsidP="003B51C8">
      <w:pPr>
        <w:pStyle w:val="NoSpacing"/>
        <w:spacing w:line="480" w:lineRule="auto"/>
        <w:rPr>
          <w:rFonts w:ascii="Century Gothic" w:hAnsi="Century Gothic"/>
          <w:sz w:val="24"/>
          <w:szCs w:val="24"/>
        </w:rPr>
      </w:pPr>
    </w:p>
    <w:p w:rsidR="00321B33" w:rsidRDefault="00321B33" w:rsidP="003B51C8">
      <w:pPr>
        <w:pStyle w:val="NoSpacing"/>
        <w:spacing w:line="480" w:lineRule="auto"/>
        <w:rPr>
          <w:rFonts w:ascii="Century Gothic" w:hAnsi="Century Gothic"/>
          <w:sz w:val="24"/>
          <w:szCs w:val="24"/>
        </w:rPr>
      </w:pPr>
    </w:p>
    <w:p w:rsidR="00321B33" w:rsidRPr="008C53DA" w:rsidRDefault="00321B33" w:rsidP="003B51C8">
      <w:pPr>
        <w:pStyle w:val="NoSpacing"/>
        <w:spacing w:line="480" w:lineRule="auto"/>
        <w:rPr>
          <w:rFonts w:ascii="Century Gothic" w:hAnsi="Century Gothic"/>
          <w:sz w:val="24"/>
          <w:szCs w:val="24"/>
        </w:rPr>
      </w:pPr>
    </w:p>
    <w:p w:rsidR="002F47AB" w:rsidRPr="00321B33" w:rsidRDefault="008C53DA" w:rsidP="003B51C8">
      <w:pPr>
        <w:pStyle w:val="NoSpacing"/>
        <w:spacing w:line="480" w:lineRule="auto"/>
        <w:rPr>
          <w:rFonts w:ascii="Century Gothic" w:hAnsi="Century Gothic" w:cs="Times New Roman"/>
          <w:b/>
          <w:sz w:val="24"/>
          <w:szCs w:val="24"/>
        </w:rPr>
      </w:pPr>
      <w:r w:rsidRPr="00321B33">
        <w:rPr>
          <w:rFonts w:ascii="Century Gothic" w:hAnsi="Century Gothic" w:cs="Times New Roman"/>
          <w:b/>
          <w:sz w:val="24"/>
          <w:szCs w:val="24"/>
        </w:rPr>
        <w:t xml:space="preserve">RESULTS </w:t>
      </w:r>
    </w:p>
    <w:p w:rsidR="004B15E3" w:rsidRPr="008C53DA" w:rsidRDefault="00A61D7B" w:rsidP="003B51C8">
      <w:pPr>
        <w:pStyle w:val="NoSpacing"/>
        <w:spacing w:line="480" w:lineRule="auto"/>
        <w:rPr>
          <w:rFonts w:ascii="Century Gothic" w:hAnsi="Century Gothic" w:cs="TimesNewRomanPSMT"/>
          <w:sz w:val="24"/>
          <w:szCs w:val="24"/>
        </w:rPr>
      </w:pPr>
      <w:r w:rsidRPr="008C53DA">
        <w:rPr>
          <w:rFonts w:ascii="Century Gothic" w:hAnsi="Century Gothic" w:cs="TimesNewRomanPSMT"/>
          <w:sz w:val="24"/>
          <w:szCs w:val="24"/>
        </w:rPr>
        <w:lastRenderedPageBreak/>
        <w:t>A comparable incidence of stroke and thrombosis was observed in both arms. Patients in Arm 1 presented with a higher incidence of bleed</w:t>
      </w:r>
      <w:r w:rsidR="00BA17A7">
        <w:rPr>
          <w:rFonts w:ascii="Century Gothic" w:hAnsi="Century Gothic" w:cs="TimesNewRomanPSMT"/>
          <w:sz w:val="24"/>
          <w:szCs w:val="24"/>
        </w:rPr>
        <w:t>ing than Arm 2 (6 vs. 3 cases (</w:t>
      </w:r>
      <w:r w:rsidR="00321B33" w:rsidRPr="00BA17A7">
        <w:rPr>
          <w:rFonts w:ascii="Century Gothic" w:hAnsi="Century Gothic" w:cs="TimesNewRomanPSMT"/>
          <w:i/>
          <w:sz w:val="24"/>
          <w:szCs w:val="24"/>
        </w:rPr>
        <w:t>P</w:t>
      </w:r>
      <w:r w:rsidR="00BA17A7" w:rsidRPr="00BA17A7">
        <w:rPr>
          <w:rFonts w:ascii="Century Gothic" w:hAnsi="Century Gothic" w:cs="TimesNewRomanPSMT"/>
          <w:i/>
          <w:sz w:val="24"/>
          <w:szCs w:val="24"/>
        </w:rPr>
        <w:t>&lt;.005</w:t>
      </w:r>
      <w:r w:rsidR="00BA17A7">
        <w:rPr>
          <w:rFonts w:ascii="Century Gothic" w:hAnsi="Century Gothic" w:cs="TimesNewRomanPSMT"/>
          <w:sz w:val="24"/>
          <w:szCs w:val="24"/>
        </w:rPr>
        <w:t>)</w:t>
      </w:r>
      <w:r w:rsidRPr="008C53DA">
        <w:rPr>
          <w:rFonts w:ascii="Century Gothic" w:hAnsi="Century Gothic" w:cs="TimesNewRomanPSMT"/>
          <w:sz w:val="24"/>
          <w:szCs w:val="24"/>
        </w:rPr>
        <w:t>, 5 of which presented with major bleeding treated with vitamin K). There were more patients in Arm 1 receiving antiplatelet therapy with warfarin which may have resulted in the inc</w:t>
      </w:r>
      <w:r w:rsidR="00515ED9">
        <w:rPr>
          <w:rFonts w:ascii="Century Gothic" w:hAnsi="Century Gothic" w:cs="TimesNewRomanPSMT"/>
          <w:sz w:val="24"/>
          <w:szCs w:val="24"/>
        </w:rPr>
        <w:t>reased bleeding risk. Only 7</w:t>
      </w:r>
      <w:r w:rsidRPr="008C53DA">
        <w:rPr>
          <w:rFonts w:ascii="Century Gothic" w:hAnsi="Century Gothic" w:cs="TimesNewRomanPSMT"/>
          <w:sz w:val="24"/>
          <w:szCs w:val="24"/>
        </w:rPr>
        <w:t xml:space="preserve">(25%) </w:t>
      </w:r>
      <w:r w:rsidR="00A76BDA" w:rsidRPr="008C53DA">
        <w:rPr>
          <w:rFonts w:ascii="Century Gothic" w:hAnsi="Century Gothic" w:cs="TimesNewRomanPSMT"/>
          <w:sz w:val="24"/>
          <w:szCs w:val="24"/>
        </w:rPr>
        <w:t xml:space="preserve">of </w:t>
      </w:r>
      <w:r w:rsidRPr="008C53DA">
        <w:rPr>
          <w:rFonts w:ascii="Century Gothic" w:hAnsi="Century Gothic" w:cs="TimesNewRomanPSMT"/>
          <w:sz w:val="24"/>
          <w:szCs w:val="24"/>
        </w:rPr>
        <w:t>patients in Arm 1 achieved median INR within targe</w:t>
      </w:r>
      <w:r w:rsidR="00515ED9">
        <w:rPr>
          <w:rFonts w:ascii="Century Gothic" w:hAnsi="Century Gothic" w:cs="TimesNewRomanPSMT"/>
          <w:sz w:val="24"/>
          <w:szCs w:val="24"/>
        </w:rPr>
        <w:t>t (2-3 or 2.5-3.5), while 26</w:t>
      </w:r>
      <w:r w:rsidRPr="008C53DA">
        <w:rPr>
          <w:rFonts w:ascii="Century Gothic" w:hAnsi="Century Gothic" w:cs="TimesNewRomanPSMT"/>
          <w:sz w:val="24"/>
          <w:szCs w:val="24"/>
        </w:rPr>
        <w:t>(96</w:t>
      </w:r>
      <w:r w:rsidR="00A76BDA" w:rsidRPr="008C53DA">
        <w:rPr>
          <w:rFonts w:ascii="Century Gothic" w:hAnsi="Century Gothic" w:cs="TimesNewRomanPSMT"/>
          <w:sz w:val="24"/>
          <w:szCs w:val="24"/>
        </w:rPr>
        <w:t xml:space="preserve">%) achieved INR target in Arm 2, median INR was </w:t>
      </w:r>
      <w:r w:rsidR="00515ED9">
        <w:rPr>
          <w:rFonts w:ascii="Century Gothic" w:hAnsi="Century Gothic" w:cs="Times New Roman"/>
          <w:sz w:val="24"/>
          <w:szCs w:val="24"/>
        </w:rPr>
        <w:t>1.9(0.5) in Arm 1 vs. 2.4(0.3)</w:t>
      </w:r>
      <w:r w:rsidR="002A24F6">
        <w:rPr>
          <w:rFonts w:ascii="Century Gothic" w:hAnsi="Century Gothic" w:cs="Times New Roman"/>
          <w:sz w:val="24"/>
          <w:szCs w:val="24"/>
        </w:rPr>
        <w:t xml:space="preserve"> in Arm2 (</w:t>
      </w:r>
      <w:r w:rsidR="002A24F6" w:rsidRPr="00BA17A7">
        <w:rPr>
          <w:rFonts w:ascii="Century Gothic" w:hAnsi="Century Gothic" w:cs="Times New Roman"/>
          <w:i/>
          <w:sz w:val="24"/>
          <w:szCs w:val="24"/>
        </w:rPr>
        <w:t>P</w:t>
      </w:r>
      <w:r w:rsidR="00A76BDA" w:rsidRPr="00BA17A7">
        <w:rPr>
          <w:rFonts w:ascii="Century Gothic" w:hAnsi="Century Gothic" w:cs="Times New Roman"/>
          <w:i/>
          <w:sz w:val="24"/>
          <w:szCs w:val="24"/>
        </w:rPr>
        <w:t>&lt;.001</w:t>
      </w:r>
      <w:r w:rsidR="00A76BDA" w:rsidRPr="008C53DA">
        <w:rPr>
          <w:rFonts w:ascii="Century Gothic" w:hAnsi="Century Gothic" w:cs="Times New Roman"/>
          <w:sz w:val="24"/>
          <w:szCs w:val="24"/>
        </w:rPr>
        <w:t xml:space="preserve">). </w:t>
      </w:r>
      <w:r w:rsidR="004B15E3" w:rsidRPr="008C53DA">
        <w:rPr>
          <w:rFonts w:ascii="Century Gothic" w:hAnsi="Century Gothic" w:cs="Times New Roman"/>
          <w:sz w:val="24"/>
          <w:szCs w:val="24"/>
        </w:rPr>
        <w:t>A higher incidence o</w:t>
      </w:r>
      <w:r w:rsidR="00515ED9">
        <w:rPr>
          <w:rFonts w:ascii="Century Gothic" w:hAnsi="Century Gothic" w:cs="Times New Roman"/>
          <w:sz w:val="24"/>
          <w:szCs w:val="24"/>
        </w:rPr>
        <w:t xml:space="preserve">f stroke was observed in Arm 2 </w:t>
      </w:r>
      <w:r w:rsidR="00BA17A7">
        <w:rPr>
          <w:rFonts w:ascii="Century Gothic" w:hAnsi="Century Gothic" w:cs="Times New Roman"/>
          <w:sz w:val="24"/>
          <w:szCs w:val="24"/>
        </w:rPr>
        <w:t>(</w:t>
      </w:r>
      <w:r w:rsidR="00756CC3" w:rsidRPr="008C53DA">
        <w:rPr>
          <w:rFonts w:ascii="Century Gothic" w:hAnsi="Century Gothic" w:cs="Times New Roman"/>
          <w:sz w:val="24"/>
          <w:szCs w:val="24"/>
        </w:rPr>
        <w:t>Table 2</w:t>
      </w:r>
      <w:r w:rsidR="00BA17A7">
        <w:rPr>
          <w:rFonts w:ascii="Century Gothic" w:hAnsi="Century Gothic" w:cs="Times New Roman"/>
          <w:sz w:val="24"/>
          <w:szCs w:val="24"/>
        </w:rPr>
        <w:t>)</w:t>
      </w:r>
      <w:r w:rsidR="00515ED9">
        <w:rPr>
          <w:rFonts w:ascii="Century Gothic" w:hAnsi="Century Gothic" w:cs="Times New Roman"/>
          <w:sz w:val="24"/>
          <w:szCs w:val="24"/>
        </w:rPr>
        <w:t xml:space="preserve">. </w:t>
      </w:r>
      <w:r w:rsidR="00A76BDA" w:rsidRPr="008C53DA">
        <w:rPr>
          <w:rFonts w:ascii="Century Gothic" w:hAnsi="Century Gothic" w:cs="Times New Roman"/>
          <w:sz w:val="24"/>
          <w:szCs w:val="24"/>
        </w:rPr>
        <w:t xml:space="preserve">A high incidence of </w:t>
      </w:r>
      <w:proofErr w:type="spellStart"/>
      <w:r w:rsidR="00A76BDA" w:rsidRPr="008C53DA">
        <w:rPr>
          <w:rFonts w:ascii="Century Gothic" w:hAnsi="Century Gothic" w:cs="Times New Roman"/>
          <w:sz w:val="24"/>
          <w:szCs w:val="24"/>
        </w:rPr>
        <w:t>arteriovenous</w:t>
      </w:r>
      <w:proofErr w:type="spellEnd"/>
      <w:r w:rsidR="00A76BDA" w:rsidRPr="008C53DA">
        <w:rPr>
          <w:rFonts w:ascii="Century Gothic" w:hAnsi="Century Gothic" w:cs="Times New Roman"/>
          <w:sz w:val="24"/>
          <w:szCs w:val="24"/>
        </w:rPr>
        <w:t xml:space="preserve"> fistula stenosis was also noted in Arm 1 (11 </w:t>
      </w:r>
      <w:r w:rsidR="00E83BE8">
        <w:rPr>
          <w:rFonts w:ascii="Century Gothic" w:hAnsi="Century Gothic" w:cs="Times New Roman"/>
          <w:sz w:val="24"/>
          <w:szCs w:val="24"/>
        </w:rPr>
        <w:t xml:space="preserve">(40%) </w:t>
      </w:r>
      <w:r w:rsidR="00A76BDA" w:rsidRPr="008C53DA">
        <w:rPr>
          <w:rFonts w:ascii="Century Gothic" w:hAnsi="Century Gothic" w:cs="Times New Roman"/>
          <w:sz w:val="24"/>
          <w:szCs w:val="24"/>
        </w:rPr>
        <w:t>patients).</w:t>
      </w:r>
    </w:p>
    <w:p w:rsidR="00A61D7B" w:rsidRPr="00321B33" w:rsidRDefault="00321B33" w:rsidP="003B51C8">
      <w:pPr>
        <w:pStyle w:val="NoSpacing"/>
        <w:spacing w:line="480" w:lineRule="auto"/>
        <w:rPr>
          <w:rFonts w:ascii="Century Gothic" w:hAnsi="Century Gothic" w:cs="Times New Roman"/>
          <w:b/>
          <w:sz w:val="24"/>
          <w:szCs w:val="24"/>
        </w:rPr>
      </w:pPr>
      <w:r w:rsidRPr="00321B33">
        <w:rPr>
          <w:rFonts w:ascii="Century Gothic" w:hAnsi="Century Gothic" w:cs="Times New Roman"/>
          <w:b/>
          <w:sz w:val="24"/>
          <w:szCs w:val="24"/>
        </w:rPr>
        <w:t>DISCUSSION</w:t>
      </w:r>
    </w:p>
    <w:p w:rsidR="00DC001F" w:rsidRPr="008C53DA" w:rsidRDefault="00DC001F" w:rsidP="003B51C8">
      <w:pPr>
        <w:pStyle w:val="NoSpacing"/>
        <w:spacing w:line="480" w:lineRule="auto"/>
        <w:rPr>
          <w:rFonts w:ascii="Century Gothic" w:hAnsi="Century Gothic" w:cs="TimesNewRomanPSMT"/>
          <w:sz w:val="24"/>
          <w:szCs w:val="24"/>
        </w:rPr>
      </w:pPr>
      <w:r w:rsidRPr="008C53DA">
        <w:rPr>
          <w:rFonts w:ascii="Century Gothic" w:hAnsi="Century Gothic" w:cs="TimesNewRomanPSMT"/>
          <w:sz w:val="24"/>
          <w:szCs w:val="24"/>
        </w:rPr>
        <w:t>Atrial fibrillation is the most common sustained arrhythmia in clinical practice and carries a five-fold increased risk of stroke and three-fold increased risk of heart failure which leads to increased mortality. The outcome, effectiveness and safety of new oral anticoagulants in hemodialysis patients with AF is not well established.</w:t>
      </w:r>
      <w:r w:rsidRPr="00515ED9">
        <w:rPr>
          <w:rFonts w:ascii="Century Gothic" w:hAnsi="Century Gothic" w:cs="TimesNewRomanPSMT"/>
          <w:sz w:val="24"/>
          <w:szCs w:val="24"/>
          <w:vertAlign w:val="superscript"/>
        </w:rPr>
        <w:t>10</w:t>
      </w:r>
    </w:p>
    <w:p w:rsidR="00A61D7B" w:rsidRPr="008C53DA" w:rsidRDefault="00756CC3" w:rsidP="003B51C8">
      <w:pPr>
        <w:pStyle w:val="NoSpacing"/>
        <w:spacing w:line="480" w:lineRule="auto"/>
        <w:rPr>
          <w:rFonts w:ascii="Century Gothic" w:hAnsi="Century Gothic" w:cs="TimesNewRomanPSMT"/>
          <w:sz w:val="24"/>
          <w:szCs w:val="24"/>
        </w:rPr>
      </w:pPr>
      <w:r w:rsidRPr="008C53DA">
        <w:rPr>
          <w:rFonts w:ascii="Century Gothic" w:hAnsi="Century Gothic" w:cs="TimesNewRomanPSMT"/>
          <w:sz w:val="24"/>
          <w:szCs w:val="24"/>
        </w:rPr>
        <w:t>Compared with non-dialysis patients,</w:t>
      </w:r>
      <w:r w:rsidR="00A61D7B" w:rsidRPr="008C53DA">
        <w:rPr>
          <w:rFonts w:ascii="Century Gothic" w:hAnsi="Century Gothic" w:cs="TimesNewRomanPSMT"/>
          <w:sz w:val="24"/>
          <w:szCs w:val="24"/>
        </w:rPr>
        <w:t xml:space="preserve"> dialysis patients with cardiac event</w:t>
      </w:r>
      <w:r w:rsidRPr="008C53DA">
        <w:rPr>
          <w:rFonts w:ascii="Century Gothic" w:hAnsi="Century Gothic" w:cs="TimesNewRomanPSMT"/>
          <w:sz w:val="24"/>
          <w:szCs w:val="24"/>
        </w:rPr>
        <w:t>s (mainly atrial fibrillation),</w:t>
      </w:r>
      <w:r w:rsidR="00A61D7B" w:rsidRPr="008C53DA">
        <w:rPr>
          <w:rFonts w:ascii="Century Gothic" w:hAnsi="Century Gothic" w:cs="TimesNewRomanPSMT"/>
          <w:sz w:val="24"/>
          <w:szCs w:val="24"/>
        </w:rPr>
        <w:t xml:space="preserve"> </w:t>
      </w:r>
      <w:r w:rsidR="00AA7039" w:rsidRPr="008C53DA">
        <w:rPr>
          <w:rFonts w:ascii="Century Gothic" w:hAnsi="Century Gothic" w:cs="TimesNewRomanPSMT"/>
          <w:sz w:val="24"/>
          <w:szCs w:val="24"/>
        </w:rPr>
        <w:t xml:space="preserve">warfarin use did </w:t>
      </w:r>
      <w:r w:rsidR="00A61D7B" w:rsidRPr="008C53DA">
        <w:rPr>
          <w:rFonts w:ascii="Century Gothic" w:hAnsi="Century Gothic" w:cs="TimesNewRomanPSMT"/>
          <w:sz w:val="24"/>
          <w:szCs w:val="24"/>
        </w:rPr>
        <w:t>not reduce the risk of stroke, but was associated with a higher risk for bleeding (21.4%) compared with non-dialysis patients (11.1%).</w:t>
      </w:r>
      <w:r w:rsidR="00484CF9" w:rsidRPr="008C53DA">
        <w:rPr>
          <w:rFonts w:ascii="Century Gothic" w:hAnsi="Century Gothic" w:cs="TimesNewRomanPSMT"/>
          <w:sz w:val="24"/>
          <w:szCs w:val="24"/>
        </w:rPr>
        <w:t xml:space="preserve"> Dialysis patients have an increased risk of bleeding and stroke due to several factors including platelet dysfunction, </w:t>
      </w:r>
      <w:r w:rsidR="00484CF9" w:rsidRPr="008C53DA">
        <w:rPr>
          <w:rFonts w:ascii="Century Gothic" w:hAnsi="Century Gothic" w:cs="TimesNewRomanPSMT"/>
          <w:sz w:val="24"/>
          <w:szCs w:val="24"/>
        </w:rPr>
        <w:lastRenderedPageBreak/>
        <w:t>hypertension and diabetes. They also receive heparin routinely during dialysis.</w:t>
      </w:r>
      <w:r w:rsidR="00753968" w:rsidRPr="008C53DA">
        <w:rPr>
          <w:rFonts w:ascii="Century Gothic" w:hAnsi="Century Gothic" w:cs="TimesNewRomanPSMT"/>
          <w:sz w:val="24"/>
          <w:szCs w:val="24"/>
        </w:rPr>
        <w:t xml:space="preserve"> Long-term warfarin use on the other hand, can increase vascular calcification and accordingly the risk of stroke.</w:t>
      </w:r>
      <w:r w:rsidR="00323DB0" w:rsidRPr="00515ED9">
        <w:rPr>
          <w:rFonts w:ascii="Century Gothic" w:hAnsi="Century Gothic" w:cs="TimesNewRomanPSMT"/>
          <w:sz w:val="24"/>
          <w:szCs w:val="24"/>
          <w:vertAlign w:val="superscript"/>
        </w:rPr>
        <w:t>11, 12</w:t>
      </w:r>
    </w:p>
    <w:p w:rsidR="004D327C" w:rsidRPr="008C53DA" w:rsidRDefault="00B0716F" w:rsidP="003B51C8">
      <w:pPr>
        <w:pStyle w:val="NoSpacing"/>
        <w:spacing w:line="480" w:lineRule="auto"/>
        <w:rPr>
          <w:rFonts w:ascii="Century Gothic" w:hAnsi="Century Gothic" w:cs="TimesNewRomanPSMT"/>
          <w:sz w:val="24"/>
          <w:szCs w:val="24"/>
        </w:rPr>
      </w:pPr>
      <w:r w:rsidRPr="008C53DA">
        <w:rPr>
          <w:rFonts w:ascii="Century Gothic" w:hAnsi="Century Gothic" w:cs="TimesNewRomanPSMT"/>
          <w:sz w:val="24"/>
          <w:szCs w:val="24"/>
        </w:rPr>
        <w:t>Sha</w:t>
      </w:r>
      <w:r w:rsidR="00B96809" w:rsidRPr="008C53DA">
        <w:rPr>
          <w:rFonts w:ascii="Century Gothic" w:hAnsi="Century Gothic" w:cs="TimesNewRomanPSMT"/>
          <w:sz w:val="24"/>
          <w:szCs w:val="24"/>
        </w:rPr>
        <w:t>h</w:t>
      </w:r>
      <w:r w:rsidR="00515ED9">
        <w:rPr>
          <w:rFonts w:ascii="Century Gothic" w:hAnsi="Century Gothic" w:cs="TimesNewRomanPSMT"/>
          <w:sz w:val="24"/>
          <w:szCs w:val="24"/>
        </w:rPr>
        <w:t xml:space="preserve"> et al</w:t>
      </w:r>
      <w:r w:rsidR="004842BC" w:rsidRPr="008C53DA">
        <w:rPr>
          <w:rFonts w:ascii="Century Gothic" w:hAnsi="Century Gothic" w:cs="TimesNewRomanPSMT"/>
          <w:sz w:val="24"/>
          <w:szCs w:val="24"/>
        </w:rPr>
        <w:t xml:space="preserve"> </w:t>
      </w:r>
      <w:r w:rsidRPr="008C53DA">
        <w:rPr>
          <w:rFonts w:ascii="Century Gothic" w:hAnsi="Century Gothic" w:cs="TimesNewRomanPSMT"/>
          <w:sz w:val="24"/>
          <w:szCs w:val="24"/>
        </w:rPr>
        <w:t>retrospectively compared d</w:t>
      </w:r>
      <w:r w:rsidR="004D327C" w:rsidRPr="008C53DA">
        <w:rPr>
          <w:rFonts w:ascii="Century Gothic" w:hAnsi="Century Gothic" w:cs="TimesNewRomanPSMT"/>
          <w:sz w:val="24"/>
          <w:szCs w:val="24"/>
        </w:rPr>
        <w:t>ata from Ontario of 1626 dialysis</w:t>
      </w:r>
      <w:r w:rsidRPr="008C53DA">
        <w:rPr>
          <w:rFonts w:ascii="Century Gothic" w:hAnsi="Century Gothic" w:cs="TimesNewRomanPSMT"/>
          <w:sz w:val="24"/>
          <w:szCs w:val="24"/>
        </w:rPr>
        <w:t xml:space="preserve"> </w:t>
      </w:r>
      <w:r w:rsidR="004D327C" w:rsidRPr="008C53DA">
        <w:rPr>
          <w:rFonts w:ascii="Century Gothic" w:hAnsi="Century Gothic" w:cs="TimesNewRomanPSMT"/>
          <w:sz w:val="24"/>
          <w:szCs w:val="24"/>
        </w:rPr>
        <w:t>and 204</w:t>
      </w:r>
      <w:r w:rsidR="00B96809" w:rsidRPr="008C53DA">
        <w:rPr>
          <w:rFonts w:ascii="Century Gothic" w:hAnsi="Century Gothic" w:cs="TimesNewRomanPSMT"/>
          <w:sz w:val="24"/>
          <w:szCs w:val="24"/>
        </w:rPr>
        <w:t xml:space="preserve">, </w:t>
      </w:r>
      <w:r w:rsidR="004D327C" w:rsidRPr="008C53DA">
        <w:rPr>
          <w:rFonts w:ascii="Century Gothic" w:hAnsi="Century Gothic" w:cs="TimesNewRomanPSMT"/>
          <w:sz w:val="24"/>
          <w:szCs w:val="24"/>
        </w:rPr>
        <w:t>210 non-dialysis patient</w:t>
      </w:r>
      <w:r w:rsidRPr="008C53DA">
        <w:rPr>
          <w:rFonts w:ascii="Century Gothic" w:hAnsi="Century Gothic" w:cs="TimesNewRomanPSMT"/>
          <w:sz w:val="24"/>
          <w:szCs w:val="24"/>
        </w:rPr>
        <w:t>s. A</w:t>
      </w:r>
      <w:r w:rsidR="004D327C" w:rsidRPr="008C53DA">
        <w:rPr>
          <w:rFonts w:ascii="Century Gothic" w:hAnsi="Century Gothic" w:cs="TimesNewRomanPSMT"/>
          <w:sz w:val="24"/>
          <w:szCs w:val="24"/>
        </w:rPr>
        <w:t>mong dialysis patients</w:t>
      </w:r>
      <w:r w:rsidRPr="008C53DA">
        <w:rPr>
          <w:rFonts w:ascii="Century Gothic" w:hAnsi="Century Gothic" w:cs="TimesNewRomanPSMT"/>
          <w:sz w:val="24"/>
          <w:szCs w:val="24"/>
        </w:rPr>
        <w:t>,</w:t>
      </w:r>
      <w:r w:rsidR="004D327C" w:rsidRPr="008C53DA">
        <w:rPr>
          <w:rFonts w:ascii="Century Gothic" w:hAnsi="Century Gothic" w:cs="TimesNewRomanPSMT"/>
          <w:sz w:val="24"/>
          <w:szCs w:val="24"/>
        </w:rPr>
        <w:t xml:space="preserve"> warfarin use compared to non-warfarin use was associated with </w:t>
      </w:r>
      <w:r w:rsidRPr="008C53DA">
        <w:rPr>
          <w:rFonts w:ascii="Century Gothic" w:hAnsi="Century Gothic" w:cs="TimesNewRomanPSMT"/>
          <w:sz w:val="24"/>
          <w:szCs w:val="24"/>
        </w:rPr>
        <w:t>a 55% higher risk of</w:t>
      </w:r>
      <w:r w:rsidR="004D327C" w:rsidRPr="008C53DA">
        <w:rPr>
          <w:rFonts w:ascii="Century Gothic" w:hAnsi="Century Gothic" w:cs="TimesNewRomanPSMT"/>
          <w:sz w:val="24"/>
          <w:szCs w:val="24"/>
        </w:rPr>
        <w:t xml:space="preserve"> bleeding </w:t>
      </w:r>
      <w:r w:rsidRPr="008C53DA">
        <w:rPr>
          <w:rFonts w:ascii="Century Gothic" w:hAnsi="Century Gothic" w:cs="TimesNewRomanPSMT"/>
          <w:sz w:val="24"/>
          <w:szCs w:val="24"/>
        </w:rPr>
        <w:t>(a</w:t>
      </w:r>
      <w:r w:rsidR="00D70165" w:rsidRPr="008C53DA">
        <w:rPr>
          <w:rFonts w:ascii="Century Gothic" w:hAnsi="Century Gothic" w:cs="TimesNewRomanPSMT"/>
          <w:sz w:val="24"/>
          <w:szCs w:val="24"/>
        </w:rPr>
        <w:t>djusted HR 1.44, 95% CI</w:t>
      </w:r>
      <w:r w:rsidR="00B96809" w:rsidRPr="008C53DA">
        <w:rPr>
          <w:rFonts w:ascii="Century Gothic" w:hAnsi="Century Gothic" w:cs="TimesNewRomanPSMT"/>
          <w:sz w:val="24"/>
          <w:szCs w:val="24"/>
        </w:rPr>
        <w:t xml:space="preserve"> 1.13 -</w:t>
      </w:r>
      <w:r w:rsidR="004D327C" w:rsidRPr="008C53DA">
        <w:rPr>
          <w:rFonts w:ascii="Century Gothic" w:hAnsi="Century Gothic" w:cs="TimesNewRomanPSMT"/>
          <w:sz w:val="24"/>
          <w:szCs w:val="24"/>
        </w:rPr>
        <w:t xml:space="preserve"> 1.85) and was not associated</w:t>
      </w:r>
      <w:r w:rsidR="00D70165" w:rsidRPr="008C53DA">
        <w:rPr>
          <w:rFonts w:ascii="Century Gothic" w:hAnsi="Century Gothic" w:cs="TimesNewRomanPSMT"/>
          <w:sz w:val="24"/>
          <w:szCs w:val="24"/>
        </w:rPr>
        <w:t xml:space="preserve"> with a lower risk for stroke (a</w:t>
      </w:r>
      <w:r w:rsidR="004D327C" w:rsidRPr="008C53DA">
        <w:rPr>
          <w:rFonts w:ascii="Century Gothic" w:hAnsi="Century Gothic" w:cs="TimesNewRomanPSMT"/>
          <w:sz w:val="24"/>
          <w:szCs w:val="24"/>
        </w:rPr>
        <w:t xml:space="preserve">djusted HR 1.14, 95% </w:t>
      </w:r>
      <w:r w:rsidR="00B96809" w:rsidRPr="008C53DA">
        <w:rPr>
          <w:rFonts w:ascii="Century Gothic" w:hAnsi="Century Gothic" w:cs="TimesNewRomanPSMT"/>
          <w:sz w:val="24"/>
          <w:szCs w:val="24"/>
        </w:rPr>
        <w:t>CI 0.78 -</w:t>
      </w:r>
      <w:r w:rsidR="00D70165" w:rsidRPr="008C53DA">
        <w:rPr>
          <w:rFonts w:ascii="Century Gothic" w:hAnsi="Century Gothic" w:cs="TimesNewRomanPSMT"/>
          <w:sz w:val="24"/>
          <w:szCs w:val="24"/>
        </w:rPr>
        <w:t xml:space="preserve"> 1.07</w:t>
      </w:r>
      <w:r w:rsidR="004D327C" w:rsidRPr="008C53DA">
        <w:rPr>
          <w:rFonts w:ascii="Century Gothic" w:hAnsi="Century Gothic" w:cs="TimesNewRomanPSMT"/>
          <w:sz w:val="24"/>
          <w:szCs w:val="24"/>
        </w:rPr>
        <w:t>).</w:t>
      </w:r>
      <w:r w:rsidR="004842BC" w:rsidRPr="008C53DA">
        <w:rPr>
          <w:rFonts w:ascii="Century Gothic" w:hAnsi="Century Gothic" w:cs="TimesNewRomanPSMT"/>
          <w:sz w:val="24"/>
          <w:szCs w:val="24"/>
        </w:rPr>
        <w:t xml:space="preserve"> </w:t>
      </w:r>
      <w:r w:rsidR="00B96809" w:rsidRPr="008C53DA">
        <w:rPr>
          <w:rFonts w:ascii="Century Gothic" w:hAnsi="Century Gothic" w:cs="TimesNewRomanPSMT"/>
          <w:sz w:val="24"/>
          <w:szCs w:val="24"/>
        </w:rPr>
        <w:t>S</w:t>
      </w:r>
      <w:r w:rsidR="004D327C" w:rsidRPr="008C53DA">
        <w:rPr>
          <w:rFonts w:ascii="Century Gothic" w:hAnsi="Century Gothic" w:cs="TimesNewRomanPSMT"/>
          <w:sz w:val="24"/>
          <w:szCs w:val="24"/>
        </w:rPr>
        <w:t>ha</w:t>
      </w:r>
      <w:r w:rsidR="00B96809" w:rsidRPr="008C53DA">
        <w:rPr>
          <w:rFonts w:ascii="Century Gothic" w:hAnsi="Century Gothic" w:cs="TimesNewRomanPSMT"/>
          <w:sz w:val="24"/>
          <w:szCs w:val="24"/>
        </w:rPr>
        <w:t>h</w:t>
      </w:r>
      <w:r w:rsidR="004D327C" w:rsidRPr="008C53DA">
        <w:rPr>
          <w:rFonts w:ascii="Century Gothic" w:hAnsi="Century Gothic" w:cs="TimesNewRomanPSMT"/>
          <w:sz w:val="24"/>
          <w:szCs w:val="24"/>
        </w:rPr>
        <w:t xml:space="preserve"> et al observed a 1.9 fold higher risk for the composite of stroke and death</w:t>
      </w:r>
      <w:r w:rsidR="00D70165" w:rsidRPr="008C53DA">
        <w:rPr>
          <w:rFonts w:ascii="Century Gothic" w:hAnsi="Century Gothic" w:cs="TimesNewRomanPSMT"/>
          <w:sz w:val="24"/>
          <w:szCs w:val="24"/>
        </w:rPr>
        <w:t xml:space="preserve"> outcome with warfarin use</w:t>
      </w:r>
      <w:r w:rsidR="004D327C" w:rsidRPr="008C53DA">
        <w:rPr>
          <w:rFonts w:ascii="Century Gothic" w:hAnsi="Century Gothic" w:cs="TimesNewRomanPSMT"/>
          <w:sz w:val="24"/>
          <w:szCs w:val="24"/>
        </w:rPr>
        <w:t>.</w:t>
      </w:r>
      <w:r w:rsidR="00A43A5A">
        <w:rPr>
          <w:rFonts w:ascii="Century Gothic" w:hAnsi="Century Gothic" w:cs="TimesNewRomanPSMT"/>
          <w:sz w:val="24"/>
          <w:szCs w:val="24"/>
          <w:vertAlign w:val="superscript"/>
        </w:rPr>
        <w:t>12</w:t>
      </w:r>
    </w:p>
    <w:p w:rsidR="004D327C" w:rsidRPr="008C53DA" w:rsidRDefault="000160D8" w:rsidP="003B51C8">
      <w:pPr>
        <w:pStyle w:val="NoSpacing"/>
        <w:spacing w:line="480" w:lineRule="auto"/>
        <w:rPr>
          <w:rFonts w:ascii="Century Gothic" w:hAnsi="Century Gothic" w:cs="TimesNewRomanPSMT"/>
          <w:sz w:val="24"/>
          <w:szCs w:val="24"/>
        </w:rPr>
      </w:pPr>
      <w:proofErr w:type="spellStart"/>
      <w:r w:rsidRPr="008C53DA">
        <w:rPr>
          <w:rFonts w:ascii="Century Gothic" w:hAnsi="Century Gothic" w:cs="TimesNewRomanPSMT"/>
          <w:sz w:val="24"/>
          <w:szCs w:val="24"/>
        </w:rPr>
        <w:t>Genove</w:t>
      </w:r>
      <w:r w:rsidR="00323DB0" w:rsidRPr="008C53DA">
        <w:rPr>
          <w:rFonts w:ascii="Century Gothic" w:hAnsi="Century Gothic" w:cs="TimesNewRomanPSMT"/>
          <w:sz w:val="24"/>
          <w:szCs w:val="24"/>
        </w:rPr>
        <w:t>si</w:t>
      </w:r>
      <w:proofErr w:type="spellEnd"/>
      <w:r w:rsidR="00323DB0" w:rsidRPr="008C53DA">
        <w:rPr>
          <w:rFonts w:ascii="Century Gothic" w:hAnsi="Century Gothic" w:cs="TimesNewRomanPSMT"/>
          <w:sz w:val="24"/>
          <w:szCs w:val="24"/>
        </w:rPr>
        <w:t xml:space="preserve"> et al reported in </w:t>
      </w:r>
      <w:r w:rsidR="004D327C" w:rsidRPr="008C53DA">
        <w:rPr>
          <w:rFonts w:ascii="Century Gothic" w:hAnsi="Century Gothic" w:cs="TimesNewRomanPSMT"/>
          <w:sz w:val="24"/>
          <w:szCs w:val="24"/>
        </w:rPr>
        <w:t>134</w:t>
      </w:r>
      <w:r w:rsidR="00323DB0" w:rsidRPr="008C53DA">
        <w:rPr>
          <w:rFonts w:ascii="Century Gothic" w:hAnsi="Century Gothic" w:cs="TimesNewRomanPSMT"/>
          <w:sz w:val="24"/>
          <w:szCs w:val="24"/>
        </w:rPr>
        <w:t xml:space="preserve"> HD</w:t>
      </w:r>
      <w:r w:rsidR="004D327C" w:rsidRPr="008C53DA">
        <w:rPr>
          <w:rFonts w:ascii="Century Gothic" w:hAnsi="Century Gothic" w:cs="TimesNewRomanPSMT"/>
          <w:sz w:val="24"/>
          <w:szCs w:val="24"/>
        </w:rPr>
        <w:t xml:space="preserve"> pati</w:t>
      </w:r>
      <w:r w:rsidR="00323DB0" w:rsidRPr="008C53DA">
        <w:rPr>
          <w:rFonts w:ascii="Century Gothic" w:hAnsi="Century Gothic" w:cs="TimesNewRomanPSMT"/>
          <w:sz w:val="24"/>
          <w:szCs w:val="24"/>
        </w:rPr>
        <w:t>ents out of 290 that warfarin use wa</w:t>
      </w:r>
      <w:r w:rsidR="004D327C" w:rsidRPr="008C53DA">
        <w:rPr>
          <w:rFonts w:ascii="Century Gothic" w:hAnsi="Century Gothic" w:cs="TimesNewRomanPSMT"/>
          <w:sz w:val="24"/>
          <w:szCs w:val="24"/>
        </w:rPr>
        <w:t>s not associate</w:t>
      </w:r>
      <w:r w:rsidR="004842BC" w:rsidRPr="008C53DA">
        <w:rPr>
          <w:rFonts w:ascii="Century Gothic" w:hAnsi="Century Gothic" w:cs="TimesNewRomanPSMT"/>
          <w:sz w:val="24"/>
          <w:szCs w:val="24"/>
        </w:rPr>
        <w:t>d with increased mortality</w:t>
      </w:r>
      <w:r w:rsidR="004D327C" w:rsidRPr="008C53DA">
        <w:rPr>
          <w:rFonts w:ascii="Century Gothic" w:hAnsi="Century Gothic" w:cs="TimesNewRomanPSMT"/>
          <w:sz w:val="24"/>
          <w:szCs w:val="24"/>
        </w:rPr>
        <w:t>.</w:t>
      </w:r>
      <w:r w:rsidR="00756CC3" w:rsidRPr="008C53DA">
        <w:rPr>
          <w:rFonts w:ascii="Century Gothic" w:hAnsi="Century Gothic" w:cs="TimesNewRomanPSMT"/>
          <w:sz w:val="24"/>
          <w:szCs w:val="24"/>
        </w:rPr>
        <w:t xml:space="preserve">  During the follow-up of</w:t>
      </w:r>
      <w:r w:rsidR="00B041CC" w:rsidRPr="008C53DA">
        <w:rPr>
          <w:rFonts w:ascii="Century Gothic" w:hAnsi="Century Gothic" w:cs="TimesNewRomanPSMT"/>
          <w:sz w:val="24"/>
          <w:szCs w:val="24"/>
        </w:rPr>
        <w:t xml:space="preserve"> 115 patients</w:t>
      </w:r>
      <w:r w:rsidR="00756CC3" w:rsidRPr="008C53DA">
        <w:rPr>
          <w:rFonts w:ascii="Century Gothic" w:hAnsi="Century Gothic" w:cs="TimesNewRomanPSMT"/>
          <w:sz w:val="24"/>
          <w:szCs w:val="24"/>
        </w:rPr>
        <w:t>, 8 patients</w:t>
      </w:r>
      <w:r w:rsidR="00B041CC" w:rsidRPr="008C53DA">
        <w:rPr>
          <w:rFonts w:ascii="Century Gothic" w:hAnsi="Century Gothic" w:cs="TimesNewRomanPSMT"/>
          <w:sz w:val="24"/>
          <w:szCs w:val="24"/>
        </w:rPr>
        <w:t xml:space="preserve"> died (4 strokes, 3 hemorrhagic and 1 thromboembolic). Antiplatelet therapy, but not warfarin was associated with increased mortality (HR 1.71, CI 1.</w:t>
      </w:r>
      <w:r w:rsidR="00515ED9">
        <w:rPr>
          <w:rFonts w:ascii="Century Gothic" w:hAnsi="Century Gothic" w:cs="TimesNewRomanPSMT"/>
          <w:sz w:val="24"/>
          <w:szCs w:val="24"/>
        </w:rPr>
        <w:t xml:space="preserve">1-2.64, </w:t>
      </w:r>
      <w:r w:rsidR="00515ED9" w:rsidRPr="00BA17A7">
        <w:rPr>
          <w:rFonts w:ascii="Century Gothic" w:hAnsi="Century Gothic" w:cs="TimesNewRomanPSMT"/>
          <w:i/>
          <w:sz w:val="24"/>
          <w:szCs w:val="24"/>
        </w:rPr>
        <w:t>P</w:t>
      </w:r>
      <w:r w:rsidR="00B041CC" w:rsidRPr="00BA17A7">
        <w:rPr>
          <w:rFonts w:ascii="Century Gothic" w:hAnsi="Century Gothic" w:cs="TimesNewRomanPSMT"/>
          <w:i/>
          <w:sz w:val="24"/>
          <w:szCs w:val="24"/>
        </w:rPr>
        <w:t>=.02</w:t>
      </w:r>
      <w:r w:rsidR="00B041CC" w:rsidRPr="008C53DA">
        <w:rPr>
          <w:rFonts w:ascii="Century Gothic" w:hAnsi="Century Gothic" w:cs="TimesNewRomanPSMT"/>
          <w:sz w:val="24"/>
          <w:szCs w:val="24"/>
        </w:rPr>
        <w:t xml:space="preserve">). Estimated survival of those taking warfarin versus those who stopped tended to </w:t>
      </w:r>
      <w:r w:rsidR="00515ED9">
        <w:rPr>
          <w:rFonts w:ascii="Century Gothic" w:hAnsi="Century Gothic" w:cs="TimesNewRomanPSMT"/>
          <w:sz w:val="24"/>
          <w:szCs w:val="24"/>
        </w:rPr>
        <w:t xml:space="preserve">be higher (68.6% versus 49.3%, </w:t>
      </w:r>
      <w:r w:rsidR="00515ED9" w:rsidRPr="00BA17A7">
        <w:rPr>
          <w:rFonts w:ascii="Century Gothic" w:hAnsi="Century Gothic" w:cs="TimesNewRomanPSMT"/>
          <w:i/>
          <w:sz w:val="24"/>
          <w:szCs w:val="24"/>
        </w:rPr>
        <w:t>P</w:t>
      </w:r>
      <w:r w:rsidR="00B041CC" w:rsidRPr="00BA17A7">
        <w:rPr>
          <w:rFonts w:ascii="Century Gothic" w:hAnsi="Century Gothic" w:cs="TimesNewRomanPSMT"/>
          <w:i/>
          <w:sz w:val="24"/>
          <w:szCs w:val="24"/>
        </w:rPr>
        <w:t>=.07</w:t>
      </w:r>
      <w:r w:rsidR="00B041CC" w:rsidRPr="008C53DA">
        <w:rPr>
          <w:rFonts w:ascii="Century Gothic" w:hAnsi="Century Gothic" w:cs="TimesNewRomanPSMT"/>
          <w:sz w:val="24"/>
          <w:szCs w:val="24"/>
        </w:rPr>
        <w:t xml:space="preserve">). Warfarin use was </w:t>
      </w:r>
      <w:r w:rsidR="006761D3">
        <w:rPr>
          <w:rFonts w:ascii="Century Gothic" w:hAnsi="Century Gothic" w:cs="TimesNewRomanPSMT"/>
          <w:sz w:val="24"/>
          <w:szCs w:val="24"/>
        </w:rPr>
        <w:t>associated with a higher risk of</w:t>
      </w:r>
      <w:r w:rsidR="00B041CC" w:rsidRPr="008C53DA">
        <w:rPr>
          <w:rFonts w:ascii="Century Gothic" w:hAnsi="Century Gothic" w:cs="TimesNewRomanPSMT"/>
          <w:sz w:val="24"/>
          <w:szCs w:val="24"/>
        </w:rPr>
        <w:t xml:space="preserve"> ble</w:t>
      </w:r>
      <w:r w:rsidR="00515ED9">
        <w:rPr>
          <w:rFonts w:ascii="Century Gothic" w:hAnsi="Century Gothic" w:cs="TimesNewRomanPSMT"/>
          <w:sz w:val="24"/>
          <w:szCs w:val="24"/>
        </w:rPr>
        <w:t xml:space="preserve">eding (HR 3.96, CI 1.15-13.68, </w:t>
      </w:r>
      <w:r w:rsidR="00515ED9" w:rsidRPr="00BA17A7">
        <w:rPr>
          <w:rFonts w:ascii="Century Gothic" w:hAnsi="Century Gothic" w:cs="TimesNewRomanPSMT"/>
          <w:i/>
          <w:sz w:val="24"/>
          <w:szCs w:val="24"/>
        </w:rPr>
        <w:t>P</w:t>
      </w:r>
      <w:r w:rsidR="00B041CC" w:rsidRPr="00BA17A7">
        <w:rPr>
          <w:rFonts w:ascii="Century Gothic" w:hAnsi="Century Gothic" w:cs="TimesNewRomanPSMT"/>
          <w:i/>
          <w:sz w:val="24"/>
          <w:szCs w:val="24"/>
        </w:rPr>
        <w:t>=.03</w:t>
      </w:r>
      <w:r w:rsidR="00B041CC" w:rsidRPr="008C53DA">
        <w:rPr>
          <w:rFonts w:ascii="Century Gothic" w:hAnsi="Century Gothic" w:cs="TimesNewRomanPSMT"/>
          <w:sz w:val="24"/>
          <w:szCs w:val="24"/>
        </w:rPr>
        <w:t>).</w:t>
      </w:r>
      <w:r w:rsidR="00A43A5A">
        <w:rPr>
          <w:rFonts w:ascii="Century Gothic" w:hAnsi="Century Gothic" w:cs="TimesNewRomanPSMT"/>
          <w:sz w:val="24"/>
          <w:szCs w:val="24"/>
          <w:vertAlign w:val="superscript"/>
        </w:rPr>
        <w:t>13</w:t>
      </w:r>
    </w:p>
    <w:p w:rsidR="004D327C" w:rsidRPr="008C53DA" w:rsidRDefault="00820CF6" w:rsidP="003B51C8">
      <w:pPr>
        <w:pStyle w:val="NoSpacing"/>
        <w:spacing w:line="480" w:lineRule="auto"/>
        <w:rPr>
          <w:rFonts w:ascii="Century Gothic" w:hAnsi="Century Gothic" w:cs="TimesNewRomanPSMT"/>
          <w:sz w:val="24"/>
          <w:szCs w:val="24"/>
        </w:rPr>
      </w:pPr>
      <w:proofErr w:type="spellStart"/>
      <w:r w:rsidRPr="008C53DA">
        <w:rPr>
          <w:rStyle w:val="slug-pages3"/>
          <w:rFonts w:ascii="Century Gothic" w:hAnsi="Century Gothic" w:cs="Lucida Sans Unicode"/>
          <w:b w:val="0"/>
          <w:sz w:val="24"/>
          <w:szCs w:val="24"/>
          <w:lang w:val="en"/>
        </w:rPr>
        <w:t>Winkelmayer</w:t>
      </w:r>
      <w:proofErr w:type="spellEnd"/>
      <w:r w:rsidRPr="008C53DA">
        <w:rPr>
          <w:rStyle w:val="slug-pages3"/>
          <w:rFonts w:ascii="Century Gothic" w:hAnsi="Century Gothic" w:cs="Lucida Sans Unicode"/>
          <w:b w:val="0"/>
          <w:sz w:val="24"/>
          <w:szCs w:val="24"/>
          <w:lang w:val="en"/>
        </w:rPr>
        <w:t xml:space="preserve"> WC</w:t>
      </w:r>
      <w:r w:rsidRPr="008C53DA">
        <w:rPr>
          <w:rFonts w:ascii="Century Gothic" w:hAnsi="Century Gothic" w:cs="TimesNewRomanPSMT"/>
          <w:sz w:val="24"/>
          <w:szCs w:val="24"/>
        </w:rPr>
        <w:t xml:space="preserve"> et al </w:t>
      </w:r>
      <w:r w:rsidR="004D327C" w:rsidRPr="008C53DA">
        <w:rPr>
          <w:rFonts w:ascii="Century Gothic" w:hAnsi="Century Gothic" w:cs="TimesNewRomanPSMT"/>
          <w:sz w:val="24"/>
          <w:szCs w:val="24"/>
        </w:rPr>
        <w:t>observe</w:t>
      </w:r>
      <w:r w:rsidRPr="008C53DA">
        <w:rPr>
          <w:rFonts w:ascii="Century Gothic" w:hAnsi="Century Gothic" w:cs="TimesNewRomanPSMT"/>
          <w:sz w:val="24"/>
          <w:szCs w:val="24"/>
        </w:rPr>
        <w:t>d</w:t>
      </w:r>
      <w:r w:rsidR="004D327C" w:rsidRPr="008C53DA">
        <w:rPr>
          <w:rFonts w:ascii="Century Gothic" w:hAnsi="Century Gothic" w:cs="TimesNewRomanPSMT"/>
          <w:sz w:val="24"/>
          <w:szCs w:val="24"/>
        </w:rPr>
        <w:t xml:space="preserve"> 237 patients with ESRD on HD and 948 pr</w:t>
      </w:r>
      <w:r w:rsidR="005B76B5" w:rsidRPr="008C53DA">
        <w:rPr>
          <w:rFonts w:ascii="Century Gothic" w:hAnsi="Century Gothic" w:cs="TimesNewRomanPSMT"/>
          <w:sz w:val="24"/>
          <w:szCs w:val="24"/>
        </w:rPr>
        <w:t>opensity-matched non-users</w:t>
      </w:r>
      <w:r w:rsidR="004D327C" w:rsidRPr="008C53DA">
        <w:rPr>
          <w:rFonts w:ascii="Century Gothic" w:hAnsi="Century Gothic" w:cs="TimesNewRomanPSMT"/>
          <w:sz w:val="24"/>
          <w:szCs w:val="24"/>
        </w:rPr>
        <w:t xml:space="preserve"> over 2287 person</w:t>
      </w:r>
      <w:r w:rsidR="005B76B5" w:rsidRPr="008C53DA">
        <w:rPr>
          <w:rFonts w:ascii="Century Gothic" w:hAnsi="Century Gothic" w:cs="TimesNewRomanPSMT"/>
          <w:sz w:val="24"/>
          <w:szCs w:val="24"/>
        </w:rPr>
        <w:t>-years of follow-up</w:t>
      </w:r>
      <w:r w:rsidR="006761D3">
        <w:rPr>
          <w:rFonts w:ascii="Century Gothic" w:hAnsi="Century Gothic" w:cs="TimesNewRomanPSMT"/>
          <w:sz w:val="24"/>
          <w:szCs w:val="24"/>
        </w:rPr>
        <w:t>. T</w:t>
      </w:r>
      <w:r w:rsidR="004D327C" w:rsidRPr="008C53DA">
        <w:rPr>
          <w:rFonts w:ascii="Century Gothic" w:hAnsi="Century Gothic" w:cs="TimesNewRomanPSMT"/>
          <w:sz w:val="24"/>
          <w:szCs w:val="24"/>
        </w:rPr>
        <w:t>he occurrence of ischemic stro</w:t>
      </w:r>
      <w:r w:rsidR="00514C4E" w:rsidRPr="008C53DA">
        <w:rPr>
          <w:rFonts w:ascii="Century Gothic" w:hAnsi="Century Gothic" w:cs="TimesNewRomanPSMT"/>
          <w:sz w:val="24"/>
          <w:szCs w:val="24"/>
        </w:rPr>
        <w:t>ke was similar CHR 0.92, 95%; CI</w:t>
      </w:r>
      <w:r w:rsidR="004D327C" w:rsidRPr="008C53DA">
        <w:rPr>
          <w:rFonts w:ascii="Century Gothic" w:hAnsi="Century Gothic" w:cs="TimesNewRomanPSMT"/>
          <w:sz w:val="24"/>
          <w:szCs w:val="24"/>
        </w:rPr>
        <w:t xml:space="preserve"> 0.61 to 1.37; </w:t>
      </w:r>
      <w:r w:rsidR="004D327C" w:rsidRPr="008C53DA">
        <w:rPr>
          <w:rFonts w:ascii="Century Gothic" w:hAnsi="Century Gothic" w:cs="TimesNewRomanPSMT"/>
          <w:sz w:val="24"/>
          <w:szCs w:val="24"/>
        </w:rPr>
        <w:lastRenderedPageBreak/>
        <w:t>where warfarin use</w:t>
      </w:r>
      <w:r w:rsidR="00514C4E" w:rsidRPr="008C53DA">
        <w:rPr>
          <w:rFonts w:ascii="Century Gothic" w:hAnsi="Century Gothic" w:cs="TimesNewRomanPSMT"/>
          <w:sz w:val="24"/>
          <w:szCs w:val="24"/>
        </w:rPr>
        <w:t>r</w:t>
      </w:r>
      <w:r w:rsidR="004D327C" w:rsidRPr="008C53DA">
        <w:rPr>
          <w:rFonts w:ascii="Century Gothic" w:hAnsi="Century Gothic" w:cs="TimesNewRomanPSMT"/>
          <w:sz w:val="24"/>
          <w:szCs w:val="24"/>
        </w:rPr>
        <w:t>s experience</w:t>
      </w:r>
      <w:r w:rsidR="00514C4E" w:rsidRPr="008C53DA">
        <w:rPr>
          <w:rFonts w:ascii="Century Gothic" w:hAnsi="Century Gothic" w:cs="TimesNewRomanPSMT"/>
          <w:sz w:val="24"/>
          <w:szCs w:val="24"/>
        </w:rPr>
        <w:t>d</w:t>
      </w:r>
      <w:r w:rsidR="004D327C" w:rsidRPr="008C53DA">
        <w:rPr>
          <w:rFonts w:ascii="Century Gothic" w:hAnsi="Century Gothic" w:cs="TimesNewRomanPSMT"/>
          <w:sz w:val="24"/>
          <w:szCs w:val="24"/>
        </w:rPr>
        <w:t xml:space="preserve"> twice the risk of hemorrhagic stroke CHR 2</w:t>
      </w:r>
      <w:r w:rsidR="00514C4E" w:rsidRPr="008C53DA">
        <w:rPr>
          <w:rFonts w:ascii="Century Gothic" w:hAnsi="Century Gothic" w:cs="TimesNewRomanPSMT"/>
          <w:sz w:val="24"/>
          <w:szCs w:val="24"/>
        </w:rPr>
        <w:t>.38, 95%; CI</w:t>
      </w:r>
      <w:r w:rsidR="00515ED9">
        <w:rPr>
          <w:rFonts w:ascii="Century Gothic" w:hAnsi="Century Gothic" w:cs="TimesNewRomanPSMT"/>
          <w:sz w:val="24"/>
          <w:szCs w:val="24"/>
        </w:rPr>
        <w:t xml:space="preserve"> 1.15 to 4.96.</w:t>
      </w:r>
      <w:r w:rsidR="00A43A5A">
        <w:rPr>
          <w:rFonts w:ascii="Century Gothic" w:hAnsi="Century Gothic" w:cs="TimesNewRomanPSMT"/>
          <w:sz w:val="24"/>
          <w:szCs w:val="24"/>
          <w:vertAlign w:val="superscript"/>
        </w:rPr>
        <w:t>14</w:t>
      </w:r>
    </w:p>
    <w:p w:rsidR="004D327C" w:rsidRPr="008C53DA" w:rsidRDefault="004D327C" w:rsidP="003B51C8">
      <w:pPr>
        <w:pStyle w:val="NoSpacing"/>
        <w:spacing w:line="480" w:lineRule="auto"/>
        <w:rPr>
          <w:rFonts w:ascii="Century Gothic" w:hAnsi="Century Gothic" w:cs="TimesNewRomanPSMT"/>
          <w:sz w:val="24"/>
          <w:szCs w:val="24"/>
        </w:rPr>
      </w:pPr>
      <w:r w:rsidRPr="008C53DA">
        <w:rPr>
          <w:rFonts w:ascii="Century Gothic" w:hAnsi="Century Gothic" w:cs="TimesNewRomanPSMT"/>
          <w:sz w:val="24"/>
          <w:szCs w:val="24"/>
        </w:rPr>
        <w:t>In another study</w:t>
      </w:r>
      <w:r w:rsidR="004842BC" w:rsidRPr="008C53DA">
        <w:rPr>
          <w:rFonts w:ascii="Century Gothic" w:hAnsi="Century Gothic" w:cs="TimesNewRomanPSMT"/>
          <w:sz w:val="24"/>
          <w:szCs w:val="24"/>
        </w:rPr>
        <w:t xml:space="preserve"> the Dialysis O</w:t>
      </w:r>
      <w:r w:rsidRPr="008C53DA">
        <w:rPr>
          <w:rFonts w:ascii="Century Gothic" w:hAnsi="Century Gothic" w:cs="TimesNewRomanPSMT"/>
          <w:sz w:val="24"/>
          <w:szCs w:val="24"/>
        </w:rPr>
        <w:t xml:space="preserve">utcomes and </w:t>
      </w:r>
      <w:r w:rsidR="004842BC" w:rsidRPr="008C53DA">
        <w:rPr>
          <w:rFonts w:ascii="Century Gothic" w:hAnsi="Century Gothic" w:cs="TimesNewRomanPSMT"/>
          <w:sz w:val="24"/>
          <w:szCs w:val="24"/>
        </w:rPr>
        <w:t>Practice P</w:t>
      </w:r>
      <w:r w:rsidRPr="008C53DA">
        <w:rPr>
          <w:rFonts w:ascii="Century Gothic" w:hAnsi="Century Gothic" w:cs="TimesNewRomanPSMT"/>
          <w:sz w:val="24"/>
          <w:szCs w:val="24"/>
        </w:rPr>
        <w:t xml:space="preserve">atterns </w:t>
      </w:r>
      <w:r w:rsidR="004842BC" w:rsidRPr="008C53DA">
        <w:rPr>
          <w:rFonts w:ascii="Century Gothic" w:hAnsi="Century Gothic" w:cs="TimesNewRomanPSMT"/>
          <w:sz w:val="24"/>
          <w:szCs w:val="24"/>
        </w:rPr>
        <w:t xml:space="preserve">Study (DOPPS) </w:t>
      </w:r>
      <w:r w:rsidRPr="008C53DA">
        <w:rPr>
          <w:rFonts w:ascii="Century Gothic" w:hAnsi="Century Gothic" w:cs="TimesNewRomanPSMT"/>
          <w:sz w:val="24"/>
          <w:szCs w:val="24"/>
        </w:rPr>
        <w:t>were used to assess the outcomes of hemodialysis patien</w:t>
      </w:r>
      <w:r w:rsidR="006761D3">
        <w:rPr>
          <w:rFonts w:ascii="Century Gothic" w:hAnsi="Century Gothic" w:cs="TimesNewRomanPSMT"/>
          <w:sz w:val="24"/>
          <w:szCs w:val="24"/>
        </w:rPr>
        <w:t>ts with AF by warfarin exposure. W</w:t>
      </w:r>
      <w:r w:rsidRPr="008C53DA">
        <w:rPr>
          <w:rFonts w:ascii="Century Gothic" w:hAnsi="Century Gothic" w:cs="TimesNewRomanPSMT"/>
          <w:sz w:val="24"/>
          <w:szCs w:val="24"/>
        </w:rPr>
        <w:t xml:space="preserve">arfarin use was associated with increased stroke risk among patients over 75 </w:t>
      </w:r>
      <w:r w:rsidR="00514C4E" w:rsidRPr="008C53DA">
        <w:rPr>
          <w:rFonts w:ascii="Century Gothic" w:hAnsi="Century Gothic" w:cs="TimesNewRomanPSMT"/>
          <w:sz w:val="24"/>
          <w:szCs w:val="24"/>
        </w:rPr>
        <w:t>years of age.  CHR 2.17, 95%, CI</w:t>
      </w:r>
      <w:r w:rsidRPr="008C53DA">
        <w:rPr>
          <w:rFonts w:ascii="Century Gothic" w:hAnsi="Century Gothic" w:cs="TimesNewRomanPSMT"/>
          <w:sz w:val="24"/>
          <w:szCs w:val="24"/>
        </w:rPr>
        <w:t xml:space="preserve"> 1.04 to 4.53 but not in patients younger than 75 years of age.</w:t>
      </w:r>
      <w:r w:rsidR="00A43A5A">
        <w:rPr>
          <w:rFonts w:ascii="Century Gothic" w:hAnsi="Century Gothic" w:cs="TimesNewRomanPSMT"/>
          <w:sz w:val="24"/>
          <w:szCs w:val="24"/>
          <w:vertAlign w:val="superscript"/>
        </w:rPr>
        <w:t>15</w:t>
      </w:r>
    </w:p>
    <w:p w:rsidR="00756CC3" w:rsidRPr="008C53DA" w:rsidRDefault="00756CC3" w:rsidP="003B51C8">
      <w:pPr>
        <w:pStyle w:val="NoSpacing"/>
        <w:spacing w:line="480" w:lineRule="auto"/>
        <w:rPr>
          <w:rFonts w:ascii="Century Gothic" w:hAnsi="Century Gothic" w:cs="TimesNewRomanPSMT"/>
          <w:sz w:val="24"/>
          <w:szCs w:val="24"/>
        </w:rPr>
      </w:pPr>
      <w:r w:rsidRPr="008C53DA">
        <w:rPr>
          <w:rFonts w:ascii="Century Gothic" w:hAnsi="Century Gothic" w:cs="TimesNewRomanPSMT"/>
          <w:sz w:val="24"/>
          <w:szCs w:val="24"/>
        </w:rPr>
        <w:t xml:space="preserve">Recently, Mac-Way et al observed </w:t>
      </w:r>
      <w:r w:rsidR="00515ED9">
        <w:rPr>
          <w:rFonts w:ascii="Century Gothic" w:hAnsi="Century Gothic" w:cs="TimesNewRomanPSMT"/>
          <w:sz w:val="24"/>
          <w:szCs w:val="24"/>
        </w:rPr>
        <w:t xml:space="preserve">18 HD patients on warfarin were </w:t>
      </w:r>
      <w:r w:rsidRPr="008C53DA">
        <w:rPr>
          <w:rFonts w:ascii="Century Gothic" w:hAnsi="Century Gothic" w:cs="TimesNewRomanPSMT"/>
          <w:sz w:val="24"/>
          <w:szCs w:val="24"/>
        </w:rPr>
        <w:t>matched to 54 HD patients without warfarin. Aortic stiffness was measured by carotid-femoral pulse wave velocity at baseline and after a mean follow-up of 1.2 years. Warfarin therapy was independently associated with progressive aortic stiffness</w:t>
      </w:r>
      <w:r w:rsidR="00515ED9">
        <w:rPr>
          <w:rFonts w:ascii="Century Gothic" w:hAnsi="Century Gothic" w:cs="TimesNewRomanPSMT"/>
          <w:sz w:val="24"/>
          <w:szCs w:val="24"/>
        </w:rPr>
        <w:t>.</w:t>
      </w:r>
      <w:r w:rsidR="00323DB0" w:rsidRPr="00515ED9">
        <w:rPr>
          <w:rFonts w:ascii="Century Gothic" w:hAnsi="Century Gothic" w:cs="TimesNewRomanPSMT"/>
          <w:sz w:val="24"/>
          <w:szCs w:val="24"/>
          <w:vertAlign w:val="superscript"/>
        </w:rPr>
        <w:t>1</w:t>
      </w:r>
      <w:r w:rsidR="00A43A5A">
        <w:rPr>
          <w:rFonts w:ascii="Century Gothic" w:hAnsi="Century Gothic" w:cs="TimesNewRomanPSMT"/>
          <w:sz w:val="24"/>
          <w:szCs w:val="24"/>
          <w:vertAlign w:val="superscript"/>
        </w:rPr>
        <w:t>6</w:t>
      </w:r>
    </w:p>
    <w:p w:rsidR="004D327C" w:rsidRPr="008C53DA" w:rsidRDefault="004D327C" w:rsidP="003B51C8">
      <w:pPr>
        <w:pStyle w:val="NoSpacing"/>
        <w:spacing w:line="480" w:lineRule="auto"/>
        <w:rPr>
          <w:rFonts w:ascii="Century Gothic" w:hAnsi="Century Gothic" w:cs="TimesNewRomanPSMT"/>
          <w:sz w:val="24"/>
          <w:szCs w:val="24"/>
        </w:rPr>
      </w:pPr>
      <w:r w:rsidRPr="008C53DA">
        <w:rPr>
          <w:rFonts w:ascii="Century Gothic" w:hAnsi="Century Gothic" w:cs="TimesNewRomanPSMT"/>
          <w:sz w:val="24"/>
          <w:szCs w:val="24"/>
        </w:rPr>
        <w:t>To date, data is limited on the use</w:t>
      </w:r>
      <w:r w:rsidR="006761D3">
        <w:rPr>
          <w:rFonts w:ascii="Century Gothic" w:hAnsi="Century Gothic" w:cs="TimesNewRomanPSMT"/>
          <w:sz w:val="24"/>
          <w:szCs w:val="24"/>
        </w:rPr>
        <w:t xml:space="preserve"> of</w:t>
      </w:r>
      <w:r w:rsidRPr="008C53DA">
        <w:rPr>
          <w:rFonts w:ascii="Century Gothic" w:hAnsi="Century Gothic" w:cs="TimesNewRomanPSMT"/>
          <w:sz w:val="24"/>
          <w:szCs w:val="24"/>
        </w:rPr>
        <w:t xml:space="preserve"> novel anticoagulants such as </w:t>
      </w:r>
      <w:proofErr w:type="spellStart"/>
      <w:r w:rsidRPr="008C53DA">
        <w:rPr>
          <w:rFonts w:ascii="Century Gothic" w:hAnsi="Century Gothic" w:cs="TimesNewRomanPSMT"/>
          <w:sz w:val="24"/>
          <w:szCs w:val="24"/>
        </w:rPr>
        <w:t>dabigatran</w:t>
      </w:r>
      <w:proofErr w:type="spellEnd"/>
      <w:r w:rsidRPr="008C53DA">
        <w:rPr>
          <w:rFonts w:ascii="Century Gothic" w:hAnsi="Century Gothic" w:cs="TimesNewRomanPSMT"/>
          <w:sz w:val="24"/>
          <w:szCs w:val="24"/>
        </w:rPr>
        <w:t xml:space="preserve">, </w:t>
      </w:r>
      <w:proofErr w:type="spellStart"/>
      <w:r w:rsidRPr="008C53DA">
        <w:rPr>
          <w:rFonts w:ascii="Century Gothic" w:hAnsi="Century Gothic" w:cs="TimesNewRomanPSMT"/>
          <w:sz w:val="24"/>
          <w:szCs w:val="24"/>
        </w:rPr>
        <w:t>rivaroxaban</w:t>
      </w:r>
      <w:proofErr w:type="spellEnd"/>
      <w:r w:rsidRPr="008C53DA">
        <w:rPr>
          <w:rFonts w:ascii="Century Gothic" w:hAnsi="Century Gothic" w:cs="TimesNewRomanPSMT"/>
          <w:sz w:val="24"/>
          <w:szCs w:val="24"/>
        </w:rPr>
        <w:t xml:space="preserve"> and </w:t>
      </w:r>
      <w:proofErr w:type="spellStart"/>
      <w:r w:rsidRPr="008C53DA">
        <w:rPr>
          <w:rFonts w:ascii="Century Gothic" w:hAnsi="Century Gothic" w:cs="TimesNewRomanPSMT"/>
          <w:sz w:val="24"/>
          <w:szCs w:val="24"/>
        </w:rPr>
        <w:t>apixaban</w:t>
      </w:r>
      <w:proofErr w:type="spellEnd"/>
      <w:r w:rsidRPr="008C53DA">
        <w:rPr>
          <w:rFonts w:ascii="Century Gothic" w:hAnsi="Century Gothic" w:cs="TimesNewRomanPSMT"/>
          <w:sz w:val="24"/>
          <w:szCs w:val="24"/>
        </w:rPr>
        <w:t xml:space="preserve"> in dialysis patients.</w:t>
      </w:r>
      <w:r w:rsidR="00D70165" w:rsidRPr="008C53DA">
        <w:rPr>
          <w:rFonts w:ascii="Century Gothic" w:hAnsi="Century Gothic" w:cs="TimesNewRomanPSMT"/>
          <w:sz w:val="24"/>
          <w:szCs w:val="24"/>
        </w:rPr>
        <w:t xml:space="preserve"> </w:t>
      </w:r>
      <w:r w:rsidRPr="008C53DA">
        <w:rPr>
          <w:rFonts w:ascii="Century Gothic" w:hAnsi="Century Gothic" w:cs="TimesNewRomanPSMT"/>
          <w:sz w:val="24"/>
          <w:szCs w:val="24"/>
        </w:rPr>
        <w:t xml:space="preserve">Chan et al </w:t>
      </w:r>
      <w:r w:rsidR="005B76B5" w:rsidRPr="008C53DA">
        <w:rPr>
          <w:rFonts w:ascii="Century Gothic" w:hAnsi="Century Gothic" w:cs="TimesNewRomanPSMT"/>
          <w:sz w:val="24"/>
          <w:szCs w:val="24"/>
        </w:rPr>
        <w:t xml:space="preserve">compared </w:t>
      </w:r>
      <w:r w:rsidRPr="008C53DA">
        <w:rPr>
          <w:rFonts w:ascii="Century Gothic" w:hAnsi="Century Gothic" w:cs="TimesNewRomanPSMT"/>
          <w:sz w:val="24"/>
          <w:szCs w:val="24"/>
        </w:rPr>
        <w:t xml:space="preserve">patients with ESRD on hemodialysis on warfarin </w:t>
      </w:r>
      <w:r w:rsidR="005B76B5" w:rsidRPr="008C53DA">
        <w:rPr>
          <w:rFonts w:ascii="Century Gothic" w:hAnsi="Century Gothic" w:cs="TimesNewRomanPSMT"/>
          <w:sz w:val="24"/>
          <w:szCs w:val="24"/>
        </w:rPr>
        <w:t>(n=8, 604),</w:t>
      </w:r>
      <w:r w:rsidR="00666605" w:rsidRPr="008C53DA">
        <w:rPr>
          <w:rFonts w:ascii="Century Gothic" w:hAnsi="Century Gothic" w:cs="TimesNewRomanPSMT"/>
          <w:sz w:val="24"/>
          <w:szCs w:val="24"/>
        </w:rPr>
        <w:t xml:space="preserve"> </w:t>
      </w:r>
      <w:r w:rsidR="005B76B5" w:rsidRPr="008C53DA">
        <w:rPr>
          <w:rFonts w:ascii="Century Gothic" w:hAnsi="Century Gothic" w:cs="TimesNewRomanPSMT"/>
          <w:sz w:val="24"/>
          <w:szCs w:val="24"/>
        </w:rPr>
        <w:t xml:space="preserve">aspirin (n= 6, </w:t>
      </w:r>
      <w:r w:rsidRPr="008C53DA">
        <w:rPr>
          <w:rFonts w:ascii="Century Gothic" w:hAnsi="Century Gothic" w:cs="TimesNewRomanPSMT"/>
          <w:sz w:val="24"/>
          <w:szCs w:val="24"/>
        </w:rPr>
        <w:t>018</w:t>
      </w:r>
      <w:r w:rsidR="005B76B5" w:rsidRPr="008C53DA">
        <w:rPr>
          <w:rFonts w:ascii="Century Gothic" w:hAnsi="Century Gothic" w:cs="TimesNewRomanPSMT"/>
          <w:sz w:val="24"/>
          <w:szCs w:val="24"/>
        </w:rPr>
        <w:t>),</w:t>
      </w:r>
      <w:r w:rsidRPr="008C53DA">
        <w:rPr>
          <w:rFonts w:ascii="Century Gothic" w:hAnsi="Century Gothic" w:cs="TimesNewRomanPSMT"/>
          <w:sz w:val="24"/>
          <w:szCs w:val="24"/>
        </w:rPr>
        <w:t xml:space="preserve"> </w:t>
      </w:r>
      <w:proofErr w:type="spellStart"/>
      <w:r w:rsidRPr="008C53DA">
        <w:rPr>
          <w:rFonts w:ascii="Century Gothic" w:hAnsi="Century Gothic" w:cs="TimesNewRomanPSMT"/>
          <w:sz w:val="24"/>
          <w:szCs w:val="24"/>
        </w:rPr>
        <w:t>dabigatran</w:t>
      </w:r>
      <w:proofErr w:type="spellEnd"/>
      <w:r w:rsidR="005B76B5" w:rsidRPr="008C53DA">
        <w:rPr>
          <w:rFonts w:ascii="Century Gothic" w:hAnsi="Century Gothic" w:cs="TimesNewRomanPSMT"/>
          <w:sz w:val="24"/>
          <w:szCs w:val="24"/>
        </w:rPr>
        <w:t xml:space="preserve"> (n= 281)</w:t>
      </w:r>
      <w:r w:rsidRPr="008C53DA">
        <w:rPr>
          <w:rFonts w:ascii="Century Gothic" w:hAnsi="Century Gothic" w:cs="TimesNewRomanPSMT"/>
          <w:sz w:val="24"/>
          <w:szCs w:val="24"/>
        </w:rPr>
        <w:t xml:space="preserve"> and </w:t>
      </w:r>
      <w:proofErr w:type="spellStart"/>
      <w:r w:rsidRPr="008C53DA">
        <w:rPr>
          <w:rFonts w:ascii="Century Gothic" w:hAnsi="Century Gothic" w:cs="TimesNewRomanPSMT"/>
          <w:sz w:val="24"/>
          <w:szCs w:val="24"/>
        </w:rPr>
        <w:t>rivaroxaban</w:t>
      </w:r>
      <w:proofErr w:type="spellEnd"/>
      <w:r w:rsidR="005B76B5" w:rsidRPr="008C53DA">
        <w:rPr>
          <w:rFonts w:ascii="Century Gothic" w:hAnsi="Century Gothic" w:cs="TimesNewRomanPSMT"/>
          <w:sz w:val="24"/>
          <w:szCs w:val="24"/>
        </w:rPr>
        <w:t xml:space="preserve"> (n=</w:t>
      </w:r>
      <w:r w:rsidRPr="008C53DA">
        <w:rPr>
          <w:rFonts w:ascii="Century Gothic" w:hAnsi="Century Gothic" w:cs="TimesNewRomanPSMT"/>
          <w:sz w:val="24"/>
          <w:szCs w:val="24"/>
        </w:rPr>
        <w:t xml:space="preserve"> 244</w:t>
      </w:r>
      <w:r w:rsidR="005B76B5" w:rsidRPr="008C53DA">
        <w:rPr>
          <w:rFonts w:ascii="Century Gothic" w:hAnsi="Century Gothic" w:cs="TimesNewRomanPSMT"/>
          <w:sz w:val="24"/>
          <w:szCs w:val="24"/>
        </w:rPr>
        <w:t>)</w:t>
      </w:r>
      <w:r w:rsidR="00666605" w:rsidRPr="008C53DA">
        <w:rPr>
          <w:rFonts w:ascii="Century Gothic" w:hAnsi="Century Gothic" w:cs="TimesNewRomanPSMT"/>
          <w:sz w:val="24"/>
          <w:szCs w:val="24"/>
        </w:rPr>
        <w:t>. B</w:t>
      </w:r>
      <w:r w:rsidRPr="008C53DA">
        <w:rPr>
          <w:rFonts w:ascii="Century Gothic" w:hAnsi="Century Gothic" w:cs="TimesNewRomanPSMT"/>
          <w:sz w:val="24"/>
          <w:szCs w:val="24"/>
        </w:rPr>
        <w:t>leeding rate</w:t>
      </w:r>
      <w:r w:rsidR="00666605" w:rsidRPr="008C53DA">
        <w:rPr>
          <w:rFonts w:ascii="Century Gothic" w:hAnsi="Century Gothic" w:cs="TimesNewRomanPSMT"/>
          <w:sz w:val="24"/>
          <w:szCs w:val="24"/>
        </w:rPr>
        <w:t xml:space="preserve"> was 83 events per 100 patient- years with </w:t>
      </w:r>
      <w:proofErr w:type="spellStart"/>
      <w:r w:rsidRPr="008C53DA">
        <w:rPr>
          <w:rFonts w:ascii="Century Gothic" w:hAnsi="Century Gothic" w:cs="TimesNewRomanPSMT"/>
          <w:sz w:val="24"/>
          <w:szCs w:val="24"/>
        </w:rPr>
        <w:t>dabig</w:t>
      </w:r>
      <w:r w:rsidR="00666605" w:rsidRPr="008C53DA">
        <w:rPr>
          <w:rFonts w:ascii="Century Gothic" w:hAnsi="Century Gothic" w:cs="TimesNewRomanPSMT"/>
          <w:sz w:val="24"/>
          <w:szCs w:val="24"/>
        </w:rPr>
        <w:t>atran</w:t>
      </w:r>
      <w:proofErr w:type="spellEnd"/>
      <w:r w:rsidR="00666605" w:rsidRPr="008C53DA">
        <w:rPr>
          <w:rFonts w:ascii="Century Gothic" w:hAnsi="Century Gothic" w:cs="TimesNewRomanPSMT"/>
          <w:sz w:val="24"/>
          <w:szCs w:val="24"/>
        </w:rPr>
        <w:t xml:space="preserve"> and 68.4 events per patient-years with</w:t>
      </w:r>
      <w:r w:rsidRPr="008C53DA">
        <w:rPr>
          <w:rFonts w:ascii="Century Gothic" w:hAnsi="Century Gothic" w:cs="TimesNewRomanPSMT"/>
          <w:sz w:val="24"/>
          <w:szCs w:val="24"/>
        </w:rPr>
        <w:t xml:space="preserve"> </w:t>
      </w:r>
      <w:proofErr w:type="spellStart"/>
      <w:r w:rsidRPr="008C53DA">
        <w:rPr>
          <w:rFonts w:ascii="Century Gothic" w:hAnsi="Century Gothic" w:cs="TimesNewRomanPSMT"/>
          <w:sz w:val="24"/>
          <w:szCs w:val="24"/>
        </w:rPr>
        <w:t>rivaroxaban</w:t>
      </w:r>
      <w:proofErr w:type="spellEnd"/>
      <w:r w:rsidR="00666605" w:rsidRPr="008C53DA">
        <w:rPr>
          <w:rFonts w:ascii="Century Gothic" w:hAnsi="Century Gothic" w:cs="TimesNewRomanPSMT"/>
          <w:sz w:val="24"/>
          <w:szCs w:val="24"/>
        </w:rPr>
        <w:t>,</w:t>
      </w:r>
      <w:r w:rsidRPr="008C53DA">
        <w:rPr>
          <w:rFonts w:ascii="Century Gothic" w:hAnsi="Century Gothic" w:cs="TimesNewRomanPSMT"/>
          <w:sz w:val="24"/>
          <w:szCs w:val="24"/>
        </w:rPr>
        <w:t xml:space="preserve"> while patients prescribed warfarin ha</w:t>
      </w:r>
      <w:r w:rsidR="00666605" w:rsidRPr="008C53DA">
        <w:rPr>
          <w:rFonts w:ascii="Century Gothic" w:hAnsi="Century Gothic" w:cs="TimesNewRomanPSMT"/>
          <w:sz w:val="24"/>
          <w:szCs w:val="24"/>
        </w:rPr>
        <w:t>d a rate of 3</w:t>
      </w:r>
      <w:r w:rsidRPr="008C53DA">
        <w:rPr>
          <w:rFonts w:ascii="Century Gothic" w:hAnsi="Century Gothic" w:cs="TimesNewRomanPSMT"/>
          <w:sz w:val="24"/>
          <w:szCs w:val="24"/>
        </w:rPr>
        <w:t xml:space="preserve">5.9 events per </w:t>
      </w:r>
      <w:r w:rsidR="00666605" w:rsidRPr="008C53DA">
        <w:rPr>
          <w:rFonts w:ascii="Century Gothic" w:hAnsi="Century Gothic" w:cs="TimesNewRomanPSMT"/>
          <w:sz w:val="24"/>
          <w:szCs w:val="24"/>
        </w:rPr>
        <w:t>patient-</w:t>
      </w:r>
      <w:r w:rsidRPr="008C53DA">
        <w:rPr>
          <w:rFonts w:ascii="Century Gothic" w:hAnsi="Century Gothic" w:cs="TimesNewRomanPSMT"/>
          <w:sz w:val="24"/>
          <w:szCs w:val="24"/>
        </w:rPr>
        <w:t>years.</w:t>
      </w:r>
      <w:r w:rsidR="00666605" w:rsidRPr="008C53DA">
        <w:rPr>
          <w:rFonts w:ascii="Century Gothic" w:hAnsi="Century Gothic" w:cs="TimesNewRomanPSMT"/>
          <w:sz w:val="24"/>
          <w:szCs w:val="24"/>
        </w:rPr>
        <w:t xml:space="preserve"> Mortality rates from bleeding were 19.2, 16.2, 10.2, and 7.7 deaths per 100 patient years with </w:t>
      </w:r>
      <w:proofErr w:type="spellStart"/>
      <w:r w:rsidR="00666605" w:rsidRPr="008C53DA">
        <w:rPr>
          <w:rFonts w:ascii="Century Gothic" w:hAnsi="Century Gothic" w:cs="TimesNewRomanPSMT"/>
          <w:sz w:val="24"/>
          <w:szCs w:val="24"/>
        </w:rPr>
        <w:t>dabigatran</w:t>
      </w:r>
      <w:proofErr w:type="spellEnd"/>
      <w:r w:rsidR="00666605" w:rsidRPr="008C53DA">
        <w:rPr>
          <w:rFonts w:ascii="Century Gothic" w:hAnsi="Century Gothic" w:cs="TimesNewRomanPSMT"/>
          <w:sz w:val="24"/>
          <w:szCs w:val="24"/>
        </w:rPr>
        <w:t xml:space="preserve">, </w:t>
      </w:r>
      <w:proofErr w:type="spellStart"/>
      <w:r w:rsidR="00666605" w:rsidRPr="008C53DA">
        <w:rPr>
          <w:rFonts w:ascii="Century Gothic" w:hAnsi="Century Gothic" w:cs="TimesNewRomanPSMT"/>
          <w:sz w:val="24"/>
          <w:szCs w:val="24"/>
        </w:rPr>
        <w:t>rivaroxaban</w:t>
      </w:r>
      <w:proofErr w:type="spellEnd"/>
      <w:r w:rsidR="00666605" w:rsidRPr="008C53DA">
        <w:rPr>
          <w:rFonts w:ascii="Century Gothic" w:hAnsi="Century Gothic" w:cs="TimesNewRomanPSMT"/>
          <w:sz w:val="24"/>
          <w:szCs w:val="24"/>
        </w:rPr>
        <w:t>, warfarin and aspirin respectively.</w:t>
      </w:r>
      <w:r w:rsidR="00A43A5A">
        <w:rPr>
          <w:rFonts w:ascii="Century Gothic" w:hAnsi="Century Gothic" w:cs="TimesNewRomanPSMT"/>
          <w:sz w:val="24"/>
          <w:szCs w:val="24"/>
          <w:vertAlign w:val="superscript"/>
        </w:rPr>
        <w:t>17</w:t>
      </w:r>
    </w:p>
    <w:p w:rsidR="005702D2" w:rsidRPr="008C53DA" w:rsidRDefault="005702D2" w:rsidP="003B51C8">
      <w:pPr>
        <w:pStyle w:val="NoSpacing"/>
        <w:spacing w:line="480" w:lineRule="auto"/>
        <w:rPr>
          <w:rFonts w:ascii="Century Gothic" w:hAnsi="Century Gothic" w:cs="TimesNewRomanPSMT"/>
          <w:sz w:val="24"/>
          <w:szCs w:val="24"/>
        </w:rPr>
      </w:pPr>
    </w:p>
    <w:p w:rsidR="002F47AB" w:rsidRPr="008466ED" w:rsidRDefault="005702D2" w:rsidP="003B51C8">
      <w:pPr>
        <w:pStyle w:val="NoSpacing"/>
        <w:spacing w:line="480" w:lineRule="auto"/>
        <w:rPr>
          <w:rFonts w:ascii="Century Gothic" w:hAnsi="Century Gothic" w:cs="Times New Roman"/>
          <w:sz w:val="24"/>
          <w:szCs w:val="24"/>
        </w:rPr>
      </w:pPr>
      <w:r w:rsidRPr="008C53DA">
        <w:rPr>
          <w:rFonts w:ascii="Century Gothic" w:hAnsi="Century Gothic" w:cs="Times New Roman"/>
          <w:sz w:val="24"/>
          <w:szCs w:val="24"/>
        </w:rPr>
        <w:lastRenderedPageBreak/>
        <w:t>Recently, the Canadian Cardiovascular Society (CCS) AF guidelines (2012) made conditional recommendation (</w:t>
      </w:r>
      <w:r w:rsidR="002A24F6">
        <w:rPr>
          <w:rFonts w:ascii="Century Gothic" w:hAnsi="Century Gothic" w:cs="Times New Roman"/>
          <w:sz w:val="24"/>
          <w:szCs w:val="24"/>
        </w:rPr>
        <w:t xml:space="preserve">based </w:t>
      </w:r>
      <w:r w:rsidRPr="008C53DA">
        <w:rPr>
          <w:rFonts w:ascii="Century Gothic" w:hAnsi="Century Gothic" w:cs="Times New Roman"/>
          <w:sz w:val="24"/>
          <w:szCs w:val="24"/>
        </w:rPr>
        <w:t>on low quality of evidence) that patients with AF undergoing dialysis should not routinely receive anticoagulant treatment for</w:t>
      </w:r>
      <w:r w:rsidR="00515ED9">
        <w:rPr>
          <w:rFonts w:ascii="Century Gothic" w:hAnsi="Century Gothic" w:cs="Times New Roman"/>
          <w:sz w:val="24"/>
          <w:szCs w:val="24"/>
        </w:rPr>
        <w:t xml:space="preserve"> primary prevention of stroke.</w:t>
      </w:r>
      <w:r w:rsidRPr="00515ED9">
        <w:rPr>
          <w:rFonts w:ascii="Century Gothic" w:hAnsi="Century Gothic" w:cs="Times New Roman"/>
          <w:sz w:val="24"/>
          <w:szCs w:val="24"/>
          <w:vertAlign w:val="superscript"/>
        </w:rPr>
        <w:t>1</w:t>
      </w:r>
      <w:r w:rsidR="00A43A5A">
        <w:rPr>
          <w:rFonts w:ascii="Century Gothic" w:hAnsi="Century Gothic" w:cs="Times New Roman"/>
          <w:sz w:val="24"/>
          <w:szCs w:val="24"/>
          <w:vertAlign w:val="superscript"/>
        </w:rPr>
        <w:t>8</w:t>
      </w:r>
      <w:r w:rsidR="008466ED">
        <w:rPr>
          <w:rFonts w:ascii="Century Gothic" w:hAnsi="Century Gothic" w:cs="Times New Roman"/>
          <w:sz w:val="24"/>
          <w:szCs w:val="24"/>
          <w:vertAlign w:val="superscript"/>
        </w:rPr>
        <w:t xml:space="preserve"> </w:t>
      </w:r>
      <w:r w:rsidR="008466ED">
        <w:rPr>
          <w:rFonts w:ascii="Century Gothic" w:hAnsi="Century Gothic" w:cs="Times New Roman"/>
          <w:sz w:val="24"/>
          <w:szCs w:val="24"/>
        </w:rPr>
        <w:t xml:space="preserve">Similarly, </w:t>
      </w:r>
      <w:r w:rsidR="008466ED" w:rsidRPr="008466ED">
        <w:rPr>
          <w:rFonts w:ascii="Century Gothic" w:hAnsi="Century Gothic"/>
          <w:sz w:val="24"/>
          <w:szCs w:val="24"/>
          <w:lang w:val="en"/>
        </w:rPr>
        <w:t>Improving Global Outcomes (KDIGO) guidelines advised against warfarin therapy for stroke prevention in dialysis patients due to lack of evidence and called for clinical trials in this area.</w:t>
      </w:r>
      <w:r w:rsidR="00A43A5A">
        <w:rPr>
          <w:rFonts w:ascii="Century Gothic" w:hAnsi="Century Gothic"/>
          <w:sz w:val="24"/>
          <w:szCs w:val="24"/>
          <w:vertAlign w:val="superscript"/>
          <w:lang w:val="en"/>
        </w:rPr>
        <w:t>19</w:t>
      </w:r>
    </w:p>
    <w:p w:rsidR="002F47AB" w:rsidRPr="00515ED9" w:rsidRDefault="00515ED9" w:rsidP="003B51C8">
      <w:pPr>
        <w:pStyle w:val="NoSpacing"/>
        <w:spacing w:line="480" w:lineRule="auto"/>
        <w:rPr>
          <w:rFonts w:ascii="Century Gothic" w:hAnsi="Century Gothic" w:cs="Times New Roman"/>
          <w:b/>
          <w:sz w:val="24"/>
          <w:szCs w:val="24"/>
        </w:rPr>
      </w:pPr>
      <w:r w:rsidRPr="00515ED9">
        <w:rPr>
          <w:rFonts w:ascii="Century Gothic" w:hAnsi="Century Gothic" w:cs="Times New Roman"/>
          <w:b/>
          <w:sz w:val="24"/>
          <w:szCs w:val="24"/>
        </w:rPr>
        <w:t>CONCLUSION</w:t>
      </w:r>
    </w:p>
    <w:p w:rsidR="00A61D7B" w:rsidRPr="008C53DA" w:rsidRDefault="00AA7039" w:rsidP="003B51C8">
      <w:pPr>
        <w:pStyle w:val="NoSpacing"/>
        <w:spacing w:line="480" w:lineRule="auto"/>
        <w:rPr>
          <w:rFonts w:ascii="Century Gothic" w:hAnsi="Century Gothic"/>
          <w:sz w:val="24"/>
          <w:szCs w:val="24"/>
        </w:rPr>
      </w:pPr>
      <w:r w:rsidRPr="008C53DA">
        <w:rPr>
          <w:rFonts w:ascii="Century Gothic" w:hAnsi="Century Gothic"/>
          <w:sz w:val="24"/>
          <w:szCs w:val="24"/>
        </w:rPr>
        <w:t>T</w:t>
      </w:r>
      <w:r w:rsidR="00A61D7B" w:rsidRPr="008C53DA">
        <w:rPr>
          <w:rFonts w:ascii="Century Gothic" w:hAnsi="Century Gothic"/>
          <w:sz w:val="24"/>
          <w:szCs w:val="24"/>
        </w:rPr>
        <w:t xml:space="preserve">he risks and benefits of </w:t>
      </w:r>
      <w:r w:rsidRPr="008C53DA">
        <w:rPr>
          <w:rFonts w:ascii="Century Gothic" w:hAnsi="Century Gothic"/>
          <w:sz w:val="24"/>
          <w:szCs w:val="24"/>
        </w:rPr>
        <w:t>anticoagulation with warfarin in dialysis should be assessed</w:t>
      </w:r>
      <w:r w:rsidR="00A61D7B" w:rsidRPr="008C53DA">
        <w:rPr>
          <w:rFonts w:ascii="Century Gothic" w:hAnsi="Century Gothic"/>
          <w:sz w:val="24"/>
          <w:szCs w:val="24"/>
        </w:rPr>
        <w:t xml:space="preserve"> carefully. Our evaluation indicates an increased incidence of bleeding in HD patients vs. non-HD patients. This may be attributed to underlying pathology or concomitant antiplatelet therapy. Most HD patients failed to achieve therapeutic INR, </w:t>
      </w:r>
      <w:r w:rsidRPr="008C53DA">
        <w:rPr>
          <w:rFonts w:ascii="Century Gothic" w:hAnsi="Century Gothic" w:cs="Times New Roman"/>
          <w:sz w:val="24"/>
          <w:szCs w:val="24"/>
        </w:rPr>
        <w:t xml:space="preserve">though warfarin doses were similar in both groups, pharmacokinetic variation may play a role and </w:t>
      </w:r>
      <w:r w:rsidR="00A61D7B" w:rsidRPr="008C53DA">
        <w:rPr>
          <w:rFonts w:ascii="Century Gothic" w:hAnsi="Century Gothic"/>
          <w:sz w:val="24"/>
          <w:szCs w:val="24"/>
        </w:rPr>
        <w:t xml:space="preserve">hence benefits of treatment are uncertain. </w:t>
      </w:r>
      <w:r w:rsidRPr="008C53DA">
        <w:rPr>
          <w:rFonts w:ascii="Century Gothic" w:hAnsi="Century Gothic"/>
          <w:sz w:val="24"/>
          <w:szCs w:val="24"/>
        </w:rPr>
        <w:t>Our small sample size is a limitation</w:t>
      </w:r>
      <w:r w:rsidR="00A61D7B" w:rsidRPr="008C53DA">
        <w:rPr>
          <w:rFonts w:ascii="Century Gothic" w:hAnsi="Century Gothic"/>
          <w:sz w:val="24"/>
          <w:szCs w:val="24"/>
        </w:rPr>
        <w:t>; larger better designed trials may provide robust evidence to support an informed decision regarding anticoagulation in the dialysis population.</w:t>
      </w:r>
      <w:r w:rsidR="006761D3">
        <w:rPr>
          <w:rFonts w:ascii="Century Gothic" w:hAnsi="Century Gothic"/>
          <w:sz w:val="24"/>
          <w:szCs w:val="24"/>
        </w:rPr>
        <w:t xml:space="preserve"> </w:t>
      </w:r>
      <w:r w:rsidR="00A61D7B" w:rsidRPr="008C53DA">
        <w:rPr>
          <w:rFonts w:ascii="Century Gothic" w:hAnsi="Century Gothic"/>
          <w:sz w:val="24"/>
          <w:szCs w:val="24"/>
        </w:rPr>
        <w:t xml:space="preserve">Meanwhile, it is recommended to closely monitor dialysis patients on warfarin for bleeding indicators, especially if receiving concomitant antiplatelet therapy, where a lower than usual INR target may be considered. Otherwise, it is advised to maintain patients within therapeutic INR target as a sub-therapeutic level may increase the risk of </w:t>
      </w:r>
      <w:r w:rsidR="00A61D7B" w:rsidRPr="008C53DA">
        <w:rPr>
          <w:rFonts w:ascii="Century Gothic" w:hAnsi="Century Gothic"/>
          <w:sz w:val="24"/>
          <w:szCs w:val="24"/>
        </w:rPr>
        <w:lastRenderedPageBreak/>
        <w:t>cardiovascular events as observed in our patient population.</w:t>
      </w:r>
      <w:r w:rsidR="004D327C" w:rsidRPr="008C53DA">
        <w:rPr>
          <w:rFonts w:ascii="Century Gothic" w:hAnsi="Century Gothic"/>
          <w:sz w:val="24"/>
          <w:szCs w:val="24"/>
        </w:rPr>
        <w:t xml:space="preserve"> Establishing the safety and efficacy of </w:t>
      </w:r>
      <w:r w:rsidR="007263B6" w:rsidRPr="008C53DA">
        <w:rPr>
          <w:rFonts w:ascii="Century Gothic" w:hAnsi="Century Gothic"/>
          <w:sz w:val="24"/>
          <w:szCs w:val="24"/>
        </w:rPr>
        <w:t>novel anticoagulants in dialysis is a potential area for investigation and research.</w:t>
      </w:r>
    </w:p>
    <w:p w:rsidR="00595E4D" w:rsidRPr="00515ED9" w:rsidRDefault="00515ED9" w:rsidP="003B51C8">
      <w:pPr>
        <w:pStyle w:val="NoSpacing"/>
        <w:spacing w:line="480" w:lineRule="auto"/>
        <w:rPr>
          <w:rFonts w:ascii="Century Gothic" w:hAnsi="Century Gothic"/>
          <w:b/>
          <w:sz w:val="24"/>
          <w:szCs w:val="24"/>
        </w:rPr>
      </w:pPr>
      <w:r w:rsidRPr="00515ED9">
        <w:rPr>
          <w:rFonts w:ascii="Century Gothic" w:hAnsi="Century Gothic"/>
          <w:b/>
          <w:sz w:val="24"/>
          <w:szCs w:val="24"/>
        </w:rPr>
        <w:t xml:space="preserve">REFERENCES </w:t>
      </w:r>
    </w:p>
    <w:p w:rsidR="004B15E3" w:rsidRPr="008C53DA" w:rsidRDefault="00596787" w:rsidP="00515ED9">
      <w:pPr>
        <w:pStyle w:val="NoSpacing"/>
        <w:numPr>
          <w:ilvl w:val="0"/>
          <w:numId w:val="10"/>
        </w:numPr>
        <w:spacing w:line="480" w:lineRule="auto"/>
        <w:rPr>
          <w:rFonts w:ascii="Century Gothic" w:hAnsi="Century Gothic"/>
          <w:sz w:val="24"/>
          <w:szCs w:val="24"/>
        </w:rPr>
      </w:pPr>
      <w:r w:rsidRPr="008C53DA">
        <w:rPr>
          <w:rFonts w:ascii="Century Gothic" w:hAnsi="Century Gothic"/>
          <w:sz w:val="24"/>
          <w:szCs w:val="24"/>
        </w:rPr>
        <w:t xml:space="preserve">Wolf PA, Abbott RD, </w:t>
      </w:r>
      <w:proofErr w:type="spellStart"/>
      <w:r w:rsidRPr="008C53DA">
        <w:rPr>
          <w:rFonts w:ascii="Century Gothic" w:hAnsi="Century Gothic"/>
          <w:sz w:val="24"/>
          <w:szCs w:val="24"/>
        </w:rPr>
        <w:t>Kannel</w:t>
      </w:r>
      <w:proofErr w:type="spellEnd"/>
      <w:r w:rsidRPr="008C53DA">
        <w:rPr>
          <w:rFonts w:ascii="Century Gothic" w:hAnsi="Century Gothic"/>
          <w:sz w:val="24"/>
          <w:szCs w:val="24"/>
        </w:rPr>
        <w:t xml:space="preserve"> WB. Atrial fibrillation as an independent risk factor for stroke: the Framingham Study. </w:t>
      </w:r>
      <w:r w:rsidRPr="00515ED9">
        <w:rPr>
          <w:rFonts w:ascii="Century Gothic" w:hAnsi="Century Gothic"/>
          <w:iCs/>
          <w:sz w:val="24"/>
          <w:szCs w:val="24"/>
        </w:rPr>
        <w:t>Stroke</w:t>
      </w:r>
      <w:r w:rsidRPr="008C53DA">
        <w:rPr>
          <w:rFonts w:ascii="Century Gothic" w:hAnsi="Century Gothic"/>
          <w:i/>
          <w:iCs/>
          <w:sz w:val="24"/>
          <w:szCs w:val="24"/>
        </w:rPr>
        <w:t xml:space="preserve">. </w:t>
      </w:r>
      <w:r w:rsidRPr="008C53DA">
        <w:rPr>
          <w:rFonts w:ascii="Century Gothic" w:hAnsi="Century Gothic"/>
          <w:sz w:val="24"/>
          <w:szCs w:val="24"/>
        </w:rPr>
        <w:t>1991;</w:t>
      </w:r>
      <w:r w:rsidR="00753968" w:rsidRPr="008C53DA">
        <w:rPr>
          <w:rFonts w:ascii="Century Gothic" w:hAnsi="Century Gothic"/>
          <w:sz w:val="24"/>
          <w:szCs w:val="24"/>
        </w:rPr>
        <w:t xml:space="preserve"> </w:t>
      </w:r>
      <w:r w:rsidRPr="008C53DA">
        <w:rPr>
          <w:rFonts w:ascii="Century Gothic" w:hAnsi="Century Gothic"/>
          <w:sz w:val="24"/>
          <w:szCs w:val="24"/>
        </w:rPr>
        <w:t>22:</w:t>
      </w:r>
      <w:r w:rsidR="00753968" w:rsidRPr="008C53DA">
        <w:rPr>
          <w:rFonts w:ascii="Century Gothic" w:hAnsi="Century Gothic"/>
          <w:sz w:val="24"/>
          <w:szCs w:val="24"/>
        </w:rPr>
        <w:t xml:space="preserve"> </w:t>
      </w:r>
      <w:r w:rsidRPr="008C53DA">
        <w:rPr>
          <w:rFonts w:ascii="Century Gothic" w:hAnsi="Century Gothic"/>
          <w:sz w:val="24"/>
          <w:szCs w:val="24"/>
        </w:rPr>
        <w:t>983-988.</w:t>
      </w:r>
    </w:p>
    <w:p w:rsidR="004B15E3" w:rsidRPr="008C53DA" w:rsidRDefault="00596787" w:rsidP="00515ED9">
      <w:pPr>
        <w:pStyle w:val="NoSpacing"/>
        <w:numPr>
          <w:ilvl w:val="0"/>
          <w:numId w:val="10"/>
        </w:numPr>
        <w:spacing w:line="480" w:lineRule="auto"/>
        <w:rPr>
          <w:rFonts w:ascii="Century Gothic" w:hAnsi="Century Gothic"/>
          <w:sz w:val="24"/>
          <w:szCs w:val="24"/>
        </w:rPr>
      </w:pPr>
      <w:proofErr w:type="spellStart"/>
      <w:r w:rsidRPr="008C53DA">
        <w:rPr>
          <w:rFonts w:ascii="Century Gothic" w:hAnsi="Century Gothic"/>
          <w:sz w:val="24"/>
          <w:szCs w:val="24"/>
        </w:rPr>
        <w:t>Seliger</w:t>
      </w:r>
      <w:proofErr w:type="spellEnd"/>
      <w:r w:rsidRPr="008C53DA">
        <w:rPr>
          <w:rFonts w:ascii="Century Gothic" w:hAnsi="Century Gothic"/>
          <w:sz w:val="24"/>
          <w:szCs w:val="24"/>
        </w:rPr>
        <w:t xml:space="preserve"> SL, Gillen DL, </w:t>
      </w:r>
      <w:proofErr w:type="spellStart"/>
      <w:r w:rsidRPr="008C53DA">
        <w:rPr>
          <w:rFonts w:ascii="Century Gothic" w:hAnsi="Century Gothic"/>
          <w:sz w:val="24"/>
          <w:szCs w:val="24"/>
        </w:rPr>
        <w:t>Tirschwell</w:t>
      </w:r>
      <w:proofErr w:type="spellEnd"/>
      <w:r w:rsidRPr="008C53DA">
        <w:rPr>
          <w:rFonts w:ascii="Century Gothic" w:hAnsi="Century Gothic"/>
          <w:sz w:val="24"/>
          <w:szCs w:val="24"/>
        </w:rPr>
        <w:t xml:space="preserve"> D, </w:t>
      </w:r>
      <w:proofErr w:type="spellStart"/>
      <w:r w:rsidRPr="008C53DA">
        <w:rPr>
          <w:rFonts w:ascii="Century Gothic" w:hAnsi="Century Gothic"/>
          <w:sz w:val="24"/>
          <w:szCs w:val="24"/>
        </w:rPr>
        <w:t>Wasse</w:t>
      </w:r>
      <w:proofErr w:type="spellEnd"/>
      <w:r w:rsidRPr="008C53DA">
        <w:rPr>
          <w:rFonts w:ascii="Century Gothic" w:hAnsi="Century Gothic"/>
          <w:sz w:val="24"/>
          <w:szCs w:val="24"/>
        </w:rPr>
        <w:t xml:space="preserve"> H, </w:t>
      </w:r>
      <w:proofErr w:type="spellStart"/>
      <w:r w:rsidRPr="008C53DA">
        <w:rPr>
          <w:rFonts w:ascii="Century Gothic" w:hAnsi="Century Gothic"/>
          <w:sz w:val="24"/>
          <w:szCs w:val="24"/>
        </w:rPr>
        <w:t>Kestenbaum</w:t>
      </w:r>
      <w:proofErr w:type="spellEnd"/>
      <w:r w:rsidRPr="008C53DA">
        <w:rPr>
          <w:rFonts w:ascii="Century Gothic" w:hAnsi="Century Gothic"/>
          <w:sz w:val="24"/>
          <w:szCs w:val="24"/>
        </w:rPr>
        <w:t xml:space="preserve"> BR, </w:t>
      </w:r>
      <w:proofErr w:type="spellStart"/>
      <w:r w:rsidRPr="008C53DA">
        <w:rPr>
          <w:rFonts w:ascii="Century Gothic" w:hAnsi="Century Gothic"/>
          <w:sz w:val="24"/>
          <w:szCs w:val="24"/>
        </w:rPr>
        <w:t>Stehman</w:t>
      </w:r>
      <w:proofErr w:type="spellEnd"/>
      <w:r w:rsidRPr="008C53DA">
        <w:rPr>
          <w:rFonts w:ascii="Century Gothic" w:hAnsi="Century Gothic"/>
          <w:sz w:val="24"/>
          <w:szCs w:val="24"/>
        </w:rPr>
        <w:t>-Breen CO. Risk factors for incident stroke among patients with end-stage renal disease</w:t>
      </w:r>
      <w:r w:rsidRPr="00515ED9">
        <w:rPr>
          <w:rFonts w:ascii="Century Gothic" w:hAnsi="Century Gothic"/>
          <w:sz w:val="24"/>
          <w:szCs w:val="24"/>
        </w:rPr>
        <w:t xml:space="preserve">. </w:t>
      </w:r>
      <w:r w:rsidRPr="00515ED9">
        <w:rPr>
          <w:rFonts w:ascii="Century Gothic" w:hAnsi="Century Gothic"/>
          <w:iCs/>
          <w:sz w:val="24"/>
          <w:szCs w:val="24"/>
        </w:rPr>
        <w:t xml:space="preserve">J Am </w:t>
      </w:r>
      <w:proofErr w:type="spellStart"/>
      <w:r w:rsidRPr="00515ED9">
        <w:rPr>
          <w:rFonts w:ascii="Century Gothic" w:hAnsi="Century Gothic"/>
          <w:iCs/>
          <w:sz w:val="24"/>
          <w:szCs w:val="24"/>
        </w:rPr>
        <w:t>Soc</w:t>
      </w:r>
      <w:proofErr w:type="spellEnd"/>
      <w:r w:rsidRPr="00515ED9">
        <w:rPr>
          <w:rFonts w:ascii="Century Gothic" w:hAnsi="Century Gothic"/>
          <w:iCs/>
          <w:sz w:val="24"/>
          <w:szCs w:val="24"/>
        </w:rPr>
        <w:t xml:space="preserve"> </w:t>
      </w:r>
      <w:proofErr w:type="spellStart"/>
      <w:r w:rsidRPr="00515ED9">
        <w:rPr>
          <w:rFonts w:ascii="Century Gothic" w:hAnsi="Century Gothic"/>
          <w:iCs/>
          <w:sz w:val="24"/>
          <w:szCs w:val="24"/>
        </w:rPr>
        <w:t>Nephrol</w:t>
      </w:r>
      <w:proofErr w:type="spellEnd"/>
      <w:r w:rsidRPr="00515ED9">
        <w:rPr>
          <w:rFonts w:ascii="Century Gothic" w:hAnsi="Century Gothic"/>
          <w:iCs/>
          <w:sz w:val="24"/>
          <w:szCs w:val="24"/>
        </w:rPr>
        <w:t>.</w:t>
      </w:r>
      <w:r w:rsidRPr="008C53DA">
        <w:rPr>
          <w:rFonts w:ascii="Century Gothic" w:hAnsi="Century Gothic"/>
          <w:i/>
          <w:iCs/>
          <w:sz w:val="24"/>
          <w:szCs w:val="24"/>
        </w:rPr>
        <w:t xml:space="preserve"> </w:t>
      </w:r>
      <w:r w:rsidRPr="008C53DA">
        <w:rPr>
          <w:rFonts w:ascii="Century Gothic" w:hAnsi="Century Gothic"/>
          <w:sz w:val="24"/>
          <w:szCs w:val="24"/>
        </w:rPr>
        <w:t>2003;</w:t>
      </w:r>
      <w:r w:rsidR="00753968" w:rsidRPr="008C53DA">
        <w:rPr>
          <w:rFonts w:ascii="Century Gothic" w:hAnsi="Century Gothic"/>
          <w:sz w:val="24"/>
          <w:szCs w:val="24"/>
        </w:rPr>
        <w:t xml:space="preserve"> </w:t>
      </w:r>
      <w:r w:rsidRPr="008C53DA">
        <w:rPr>
          <w:rFonts w:ascii="Century Gothic" w:hAnsi="Century Gothic"/>
          <w:sz w:val="24"/>
          <w:szCs w:val="24"/>
        </w:rPr>
        <w:t>14:</w:t>
      </w:r>
      <w:r w:rsidR="00753968" w:rsidRPr="008C53DA">
        <w:rPr>
          <w:rFonts w:ascii="Century Gothic" w:hAnsi="Century Gothic"/>
          <w:sz w:val="24"/>
          <w:szCs w:val="24"/>
        </w:rPr>
        <w:t xml:space="preserve"> </w:t>
      </w:r>
      <w:r w:rsidRPr="008C53DA">
        <w:rPr>
          <w:rFonts w:ascii="Century Gothic" w:hAnsi="Century Gothic"/>
          <w:sz w:val="24"/>
          <w:szCs w:val="24"/>
        </w:rPr>
        <w:t>2623-2631.</w:t>
      </w:r>
    </w:p>
    <w:p w:rsidR="004B15E3" w:rsidRPr="008C53DA" w:rsidRDefault="00596787" w:rsidP="00515ED9">
      <w:pPr>
        <w:pStyle w:val="NoSpacing"/>
        <w:numPr>
          <w:ilvl w:val="0"/>
          <w:numId w:val="10"/>
        </w:numPr>
        <w:spacing w:line="480" w:lineRule="auto"/>
        <w:rPr>
          <w:rFonts w:ascii="Century Gothic" w:hAnsi="Century Gothic"/>
          <w:sz w:val="24"/>
          <w:szCs w:val="24"/>
        </w:rPr>
      </w:pPr>
      <w:r w:rsidRPr="008C53DA">
        <w:rPr>
          <w:rFonts w:ascii="Century Gothic" w:hAnsi="Century Gothic"/>
          <w:sz w:val="24"/>
          <w:szCs w:val="24"/>
        </w:rPr>
        <w:t xml:space="preserve">Mega JL. A new era for anticoagulation in atrial fibrillation. </w:t>
      </w:r>
      <w:r w:rsidRPr="00515ED9">
        <w:rPr>
          <w:rFonts w:ascii="Century Gothic" w:hAnsi="Century Gothic"/>
          <w:iCs/>
          <w:sz w:val="24"/>
          <w:szCs w:val="24"/>
        </w:rPr>
        <w:t xml:space="preserve">N </w:t>
      </w:r>
      <w:proofErr w:type="spellStart"/>
      <w:r w:rsidRPr="00515ED9">
        <w:rPr>
          <w:rFonts w:ascii="Century Gothic" w:hAnsi="Century Gothic"/>
          <w:iCs/>
          <w:sz w:val="24"/>
          <w:szCs w:val="24"/>
        </w:rPr>
        <w:t>Engl</w:t>
      </w:r>
      <w:proofErr w:type="spellEnd"/>
      <w:r w:rsidRPr="00515ED9">
        <w:rPr>
          <w:rFonts w:ascii="Century Gothic" w:hAnsi="Century Gothic"/>
          <w:iCs/>
          <w:sz w:val="24"/>
          <w:szCs w:val="24"/>
        </w:rPr>
        <w:t xml:space="preserve"> J Med.</w:t>
      </w:r>
      <w:r w:rsidRPr="008C53DA">
        <w:rPr>
          <w:rFonts w:ascii="Century Gothic" w:hAnsi="Century Gothic"/>
          <w:i/>
          <w:iCs/>
          <w:sz w:val="24"/>
          <w:szCs w:val="24"/>
        </w:rPr>
        <w:t xml:space="preserve"> </w:t>
      </w:r>
      <w:r w:rsidRPr="008C53DA">
        <w:rPr>
          <w:rFonts w:ascii="Century Gothic" w:hAnsi="Century Gothic"/>
          <w:sz w:val="24"/>
          <w:szCs w:val="24"/>
        </w:rPr>
        <w:t>2011;</w:t>
      </w:r>
      <w:r w:rsidR="00753968" w:rsidRPr="008C53DA">
        <w:rPr>
          <w:rFonts w:ascii="Century Gothic" w:hAnsi="Century Gothic"/>
          <w:sz w:val="24"/>
          <w:szCs w:val="24"/>
        </w:rPr>
        <w:t xml:space="preserve"> </w:t>
      </w:r>
      <w:r w:rsidRPr="008C53DA">
        <w:rPr>
          <w:rFonts w:ascii="Century Gothic" w:hAnsi="Century Gothic"/>
          <w:sz w:val="24"/>
          <w:szCs w:val="24"/>
        </w:rPr>
        <w:t>365:</w:t>
      </w:r>
      <w:r w:rsidR="00753968" w:rsidRPr="008C53DA">
        <w:rPr>
          <w:rFonts w:ascii="Century Gothic" w:hAnsi="Century Gothic"/>
          <w:sz w:val="24"/>
          <w:szCs w:val="24"/>
        </w:rPr>
        <w:t xml:space="preserve"> </w:t>
      </w:r>
      <w:r w:rsidRPr="008C53DA">
        <w:rPr>
          <w:rFonts w:ascii="Century Gothic" w:hAnsi="Century Gothic"/>
          <w:sz w:val="24"/>
          <w:szCs w:val="24"/>
        </w:rPr>
        <w:t>1052-1054.</w:t>
      </w:r>
    </w:p>
    <w:p w:rsidR="004B15E3" w:rsidRPr="008C53DA" w:rsidRDefault="00596787" w:rsidP="00515ED9">
      <w:pPr>
        <w:pStyle w:val="NoSpacing"/>
        <w:numPr>
          <w:ilvl w:val="0"/>
          <w:numId w:val="10"/>
        </w:numPr>
        <w:spacing w:line="480" w:lineRule="auto"/>
        <w:rPr>
          <w:rFonts w:ascii="Century Gothic" w:hAnsi="Century Gothic"/>
          <w:sz w:val="24"/>
          <w:szCs w:val="24"/>
        </w:rPr>
      </w:pPr>
      <w:proofErr w:type="spellStart"/>
      <w:r w:rsidRPr="008C53DA">
        <w:rPr>
          <w:rFonts w:ascii="Century Gothic" w:hAnsi="Century Gothic"/>
          <w:sz w:val="24"/>
          <w:szCs w:val="24"/>
        </w:rPr>
        <w:t>Clase</w:t>
      </w:r>
      <w:proofErr w:type="spellEnd"/>
      <w:r w:rsidRPr="008C53DA">
        <w:rPr>
          <w:rFonts w:ascii="Century Gothic" w:hAnsi="Century Gothic"/>
          <w:sz w:val="24"/>
          <w:szCs w:val="24"/>
        </w:rPr>
        <w:t xml:space="preserve"> CM, Holden RM, </w:t>
      </w:r>
      <w:proofErr w:type="spellStart"/>
      <w:r w:rsidRPr="008C53DA">
        <w:rPr>
          <w:rFonts w:ascii="Century Gothic" w:hAnsi="Century Gothic"/>
          <w:sz w:val="24"/>
          <w:szCs w:val="24"/>
        </w:rPr>
        <w:t>Sood</w:t>
      </w:r>
      <w:proofErr w:type="spellEnd"/>
      <w:r w:rsidRPr="008C53DA">
        <w:rPr>
          <w:rFonts w:ascii="Century Gothic" w:hAnsi="Century Gothic"/>
          <w:sz w:val="24"/>
          <w:szCs w:val="24"/>
        </w:rPr>
        <w:t xml:space="preserve"> MM, </w:t>
      </w:r>
      <w:proofErr w:type="spellStart"/>
      <w:r w:rsidRPr="008C53DA">
        <w:rPr>
          <w:rFonts w:ascii="Century Gothic" w:hAnsi="Century Gothic"/>
          <w:sz w:val="24"/>
          <w:szCs w:val="24"/>
        </w:rPr>
        <w:t>Rigatto</w:t>
      </w:r>
      <w:proofErr w:type="spellEnd"/>
      <w:r w:rsidRPr="008C53DA">
        <w:rPr>
          <w:rFonts w:ascii="Century Gothic" w:hAnsi="Century Gothic"/>
          <w:sz w:val="24"/>
          <w:szCs w:val="24"/>
        </w:rPr>
        <w:t xml:space="preserve"> C, Moist LM, T</w:t>
      </w:r>
      <w:r w:rsidR="00515ED9">
        <w:rPr>
          <w:rFonts w:ascii="Century Gothic" w:hAnsi="Century Gothic"/>
          <w:sz w:val="24"/>
          <w:szCs w:val="24"/>
        </w:rPr>
        <w:t>homson BK, et al</w:t>
      </w:r>
      <w:r w:rsidRPr="008C53DA">
        <w:rPr>
          <w:rFonts w:ascii="Century Gothic" w:hAnsi="Century Gothic"/>
          <w:sz w:val="24"/>
          <w:szCs w:val="24"/>
        </w:rPr>
        <w:t xml:space="preserve">. Should patients with advanced chronic kidney disease and atrial fibrillation receive chronic anticoagulation? </w:t>
      </w:r>
      <w:proofErr w:type="spellStart"/>
      <w:r w:rsidRPr="00515ED9">
        <w:rPr>
          <w:rFonts w:ascii="Century Gothic" w:hAnsi="Century Gothic"/>
          <w:iCs/>
          <w:sz w:val="24"/>
          <w:szCs w:val="24"/>
        </w:rPr>
        <w:t>Nephrol</w:t>
      </w:r>
      <w:proofErr w:type="spellEnd"/>
      <w:r w:rsidRPr="00515ED9">
        <w:rPr>
          <w:rFonts w:ascii="Century Gothic" w:hAnsi="Century Gothic"/>
          <w:iCs/>
          <w:sz w:val="24"/>
          <w:szCs w:val="24"/>
        </w:rPr>
        <w:t xml:space="preserve"> Dial Transplant</w:t>
      </w:r>
      <w:r w:rsidRPr="008C53DA">
        <w:rPr>
          <w:rFonts w:ascii="Century Gothic" w:hAnsi="Century Gothic"/>
          <w:i/>
          <w:iCs/>
          <w:sz w:val="24"/>
          <w:szCs w:val="24"/>
        </w:rPr>
        <w:t xml:space="preserve">. </w:t>
      </w:r>
      <w:r w:rsidRPr="008C53DA">
        <w:rPr>
          <w:rFonts w:ascii="Century Gothic" w:hAnsi="Century Gothic"/>
          <w:sz w:val="24"/>
          <w:szCs w:val="24"/>
        </w:rPr>
        <w:t>2012;</w:t>
      </w:r>
      <w:r w:rsidR="00753968" w:rsidRPr="008C53DA">
        <w:rPr>
          <w:rFonts w:ascii="Century Gothic" w:hAnsi="Century Gothic"/>
          <w:sz w:val="24"/>
          <w:szCs w:val="24"/>
        </w:rPr>
        <w:t xml:space="preserve"> </w:t>
      </w:r>
      <w:r w:rsidRPr="008C53DA">
        <w:rPr>
          <w:rFonts w:ascii="Century Gothic" w:hAnsi="Century Gothic"/>
          <w:sz w:val="24"/>
          <w:szCs w:val="24"/>
        </w:rPr>
        <w:t>27:</w:t>
      </w:r>
      <w:r w:rsidR="00753968" w:rsidRPr="008C53DA">
        <w:rPr>
          <w:rFonts w:ascii="Century Gothic" w:hAnsi="Century Gothic"/>
          <w:sz w:val="24"/>
          <w:szCs w:val="24"/>
        </w:rPr>
        <w:t xml:space="preserve"> </w:t>
      </w:r>
      <w:r w:rsidRPr="008C53DA">
        <w:rPr>
          <w:rFonts w:ascii="Century Gothic" w:hAnsi="Century Gothic"/>
          <w:sz w:val="24"/>
          <w:szCs w:val="24"/>
        </w:rPr>
        <w:t>3719-3724.</w:t>
      </w:r>
    </w:p>
    <w:p w:rsidR="004B15E3" w:rsidRPr="008C53DA" w:rsidRDefault="00596787" w:rsidP="00515ED9">
      <w:pPr>
        <w:pStyle w:val="NoSpacing"/>
        <w:numPr>
          <w:ilvl w:val="0"/>
          <w:numId w:val="10"/>
        </w:numPr>
        <w:spacing w:line="480" w:lineRule="auto"/>
        <w:rPr>
          <w:rFonts w:ascii="Century Gothic" w:hAnsi="Century Gothic"/>
          <w:sz w:val="24"/>
          <w:szCs w:val="24"/>
        </w:rPr>
      </w:pPr>
      <w:r w:rsidRPr="008C53DA">
        <w:rPr>
          <w:rFonts w:ascii="Century Gothic" w:hAnsi="Century Gothic"/>
          <w:sz w:val="24"/>
          <w:szCs w:val="24"/>
        </w:rPr>
        <w:t xml:space="preserve">Chan KE, Lazarus JM, </w:t>
      </w:r>
      <w:proofErr w:type="spellStart"/>
      <w:r w:rsidRPr="008C53DA">
        <w:rPr>
          <w:rFonts w:ascii="Century Gothic" w:hAnsi="Century Gothic"/>
          <w:sz w:val="24"/>
          <w:szCs w:val="24"/>
        </w:rPr>
        <w:t>Thadhani</w:t>
      </w:r>
      <w:proofErr w:type="spellEnd"/>
      <w:r w:rsidRPr="008C53DA">
        <w:rPr>
          <w:rFonts w:ascii="Century Gothic" w:hAnsi="Century Gothic"/>
          <w:sz w:val="24"/>
          <w:szCs w:val="24"/>
        </w:rPr>
        <w:t xml:space="preserve"> R, Hakim RM. Anticoagulant and antiplatelet usage associates with mortality among hemodialysis patients. </w:t>
      </w:r>
      <w:r w:rsidRPr="00515ED9">
        <w:rPr>
          <w:rFonts w:ascii="Century Gothic" w:hAnsi="Century Gothic"/>
          <w:iCs/>
          <w:sz w:val="24"/>
          <w:szCs w:val="24"/>
        </w:rPr>
        <w:t xml:space="preserve">J Am </w:t>
      </w:r>
      <w:proofErr w:type="spellStart"/>
      <w:r w:rsidRPr="00515ED9">
        <w:rPr>
          <w:rFonts w:ascii="Century Gothic" w:hAnsi="Century Gothic"/>
          <w:iCs/>
          <w:sz w:val="24"/>
          <w:szCs w:val="24"/>
        </w:rPr>
        <w:t>Soc</w:t>
      </w:r>
      <w:proofErr w:type="spellEnd"/>
      <w:r w:rsidRPr="00515ED9">
        <w:rPr>
          <w:rFonts w:ascii="Century Gothic" w:hAnsi="Century Gothic"/>
          <w:iCs/>
          <w:sz w:val="24"/>
          <w:szCs w:val="24"/>
        </w:rPr>
        <w:t xml:space="preserve"> </w:t>
      </w:r>
      <w:proofErr w:type="spellStart"/>
      <w:r w:rsidRPr="00515ED9">
        <w:rPr>
          <w:rFonts w:ascii="Century Gothic" w:hAnsi="Century Gothic"/>
          <w:iCs/>
          <w:sz w:val="24"/>
          <w:szCs w:val="24"/>
        </w:rPr>
        <w:t>Nephrol</w:t>
      </w:r>
      <w:proofErr w:type="spellEnd"/>
      <w:r w:rsidRPr="008C53DA">
        <w:rPr>
          <w:rFonts w:ascii="Century Gothic" w:hAnsi="Century Gothic"/>
          <w:i/>
          <w:iCs/>
          <w:sz w:val="24"/>
          <w:szCs w:val="24"/>
        </w:rPr>
        <w:t xml:space="preserve">. </w:t>
      </w:r>
      <w:r w:rsidRPr="008C53DA">
        <w:rPr>
          <w:rFonts w:ascii="Century Gothic" w:hAnsi="Century Gothic"/>
          <w:sz w:val="24"/>
          <w:szCs w:val="24"/>
        </w:rPr>
        <w:t>2009;</w:t>
      </w:r>
      <w:r w:rsidR="00753968" w:rsidRPr="008C53DA">
        <w:rPr>
          <w:rFonts w:ascii="Century Gothic" w:hAnsi="Century Gothic"/>
          <w:sz w:val="24"/>
          <w:szCs w:val="24"/>
        </w:rPr>
        <w:t xml:space="preserve"> </w:t>
      </w:r>
      <w:r w:rsidRPr="008C53DA">
        <w:rPr>
          <w:rFonts w:ascii="Century Gothic" w:hAnsi="Century Gothic"/>
          <w:sz w:val="24"/>
          <w:szCs w:val="24"/>
        </w:rPr>
        <w:t>20:</w:t>
      </w:r>
      <w:r w:rsidR="00753968" w:rsidRPr="008C53DA">
        <w:rPr>
          <w:rFonts w:ascii="Century Gothic" w:hAnsi="Century Gothic"/>
          <w:sz w:val="24"/>
          <w:szCs w:val="24"/>
        </w:rPr>
        <w:t xml:space="preserve"> </w:t>
      </w:r>
      <w:r w:rsidRPr="008C53DA">
        <w:rPr>
          <w:rFonts w:ascii="Century Gothic" w:hAnsi="Century Gothic"/>
          <w:sz w:val="24"/>
          <w:szCs w:val="24"/>
        </w:rPr>
        <w:t>872-881.</w:t>
      </w:r>
    </w:p>
    <w:p w:rsidR="004B15E3" w:rsidRPr="008C53DA" w:rsidRDefault="00596787" w:rsidP="00515ED9">
      <w:pPr>
        <w:pStyle w:val="NoSpacing"/>
        <w:numPr>
          <w:ilvl w:val="0"/>
          <w:numId w:val="10"/>
        </w:numPr>
        <w:spacing w:line="480" w:lineRule="auto"/>
        <w:rPr>
          <w:rFonts w:ascii="Century Gothic" w:hAnsi="Century Gothic"/>
          <w:sz w:val="24"/>
          <w:szCs w:val="24"/>
        </w:rPr>
      </w:pPr>
      <w:r w:rsidRPr="008C53DA">
        <w:rPr>
          <w:rFonts w:ascii="Century Gothic" w:hAnsi="Century Gothic"/>
          <w:sz w:val="24"/>
          <w:szCs w:val="24"/>
        </w:rPr>
        <w:lastRenderedPageBreak/>
        <w:t xml:space="preserve">Ng KP, Edwards NC, Lip GY, </w:t>
      </w:r>
      <w:proofErr w:type="spellStart"/>
      <w:r w:rsidRPr="008C53DA">
        <w:rPr>
          <w:rFonts w:ascii="Century Gothic" w:hAnsi="Century Gothic"/>
          <w:sz w:val="24"/>
          <w:szCs w:val="24"/>
        </w:rPr>
        <w:t>Townend</w:t>
      </w:r>
      <w:proofErr w:type="spellEnd"/>
      <w:r w:rsidRPr="008C53DA">
        <w:rPr>
          <w:rFonts w:ascii="Century Gothic" w:hAnsi="Century Gothic"/>
          <w:sz w:val="24"/>
          <w:szCs w:val="24"/>
        </w:rPr>
        <w:t xml:space="preserve"> JN, Ferro CJ. Atrial Fibrillation in CKD: Balancing the Risks and Benefits of Anticoagulation. </w:t>
      </w:r>
      <w:r w:rsidRPr="00515ED9">
        <w:rPr>
          <w:rFonts w:ascii="Century Gothic" w:hAnsi="Century Gothic"/>
          <w:iCs/>
          <w:sz w:val="24"/>
          <w:szCs w:val="24"/>
        </w:rPr>
        <w:t>Am J Kidney Dis</w:t>
      </w:r>
      <w:r w:rsidRPr="008C53DA">
        <w:rPr>
          <w:rFonts w:ascii="Century Gothic" w:hAnsi="Century Gothic"/>
          <w:i/>
          <w:iCs/>
          <w:sz w:val="24"/>
          <w:szCs w:val="24"/>
        </w:rPr>
        <w:t xml:space="preserve">. </w:t>
      </w:r>
      <w:r w:rsidRPr="008C53DA">
        <w:rPr>
          <w:rFonts w:ascii="Century Gothic" w:hAnsi="Century Gothic"/>
          <w:sz w:val="24"/>
          <w:szCs w:val="24"/>
        </w:rPr>
        <w:t>2013;</w:t>
      </w:r>
      <w:r w:rsidR="00753968" w:rsidRPr="008C53DA">
        <w:rPr>
          <w:rFonts w:ascii="Century Gothic" w:hAnsi="Century Gothic"/>
          <w:sz w:val="24"/>
          <w:szCs w:val="24"/>
        </w:rPr>
        <w:t xml:space="preserve"> </w:t>
      </w:r>
      <w:r w:rsidRPr="008C53DA">
        <w:rPr>
          <w:rFonts w:ascii="Century Gothic" w:hAnsi="Century Gothic"/>
          <w:sz w:val="24"/>
          <w:szCs w:val="24"/>
        </w:rPr>
        <w:t>62:</w:t>
      </w:r>
      <w:r w:rsidR="00753968" w:rsidRPr="008C53DA">
        <w:rPr>
          <w:rFonts w:ascii="Century Gothic" w:hAnsi="Century Gothic"/>
          <w:sz w:val="24"/>
          <w:szCs w:val="24"/>
        </w:rPr>
        <w:t xml:space="preserve"> </w:t>
      </w:r>
      <w:r w:rsidRPr="008C53DA">
        <w:rPr>
          <w:rFonts w:ascii="Century Gothic" w:hAnsi="Century Gothic"/>
          <w:sz w:val="24"/>
          <w:szCs w:val="24"/>
        </w:rPr>
        <w:t>615-</w:t>
      </w:r>
      <w:r w:rsidR="00514C4E" w:rsidRPr="008C53DA">
        <w:rPr>
          <w:rFonts w:ascii="Century Gothic" w:hAnsi="Century Gothic"/>
          <w:sz w:val="24"/>
          <w:szCs w:val="24"/>
        </w:rPr>
        <w:t xml:space="preserve"> </w:t>
      </w:r>
      <w:r w:rsidR="005702D2" w:rsidRPr="008C53DA">
        <w:rPr>
          <w:rFonts w:ascii="Century Gothic" w:hAnsi="Century Gothic"/>
          <w:sz w:val="24"/>
          <w:szCs w:val="24"/>
        </w:rPr>
        <w:t>632</w:t>
      </w:r>
    </w:p>
    <w:p w:rsidR="004B15E3" w:rsidRPr="008C53DA" w:rsidRDefault="00596787" w:rsidP="00515ED9">
      <w:pPr>
        <w:pStyle w:val="NoSpacing"/>
        <w:numPr>
          <w:ilvl w:val="0"/>
          <w:numId w:val="10"/>
        </w:numPr>
        <w:spacing w:line="480" w:lineRule="auto"/>
        <w:rPr>
          <w:rFonts w:ascii="Century Gothic" w:hAnsi="Century Gothic"/>
          <w:sz w:val="24"/>
          <w:szCs w:val="24"/>
        </w:rPr>
      </w:pPr>
      <w:proofErr w:type="spellStart"/>
      <w:r w:rsidRPr="008C53DA">
        <w:rPr>
          <w:rFonts w:ascii="Century Gothic" w:hAnsi="Century Gothic"/>
          <w:sz w:val="24"/>
          <w:szCs w:val="24"/>
        </w:rPr>
        <w:t>Olesen</w:t>
      </w:r>
      <w:proofErr w:type="spellEnd"/>
      <w:r w:rsidRPr="008C53DA">
        <w:rPr>
          <w:rFonts w:ascii="Century Gothic" w:hAnsi="Century Gothic"/>
          <w:sz w:val="24"/>
          <w:szCs w:val="24"/>
        </w:rPr>
        <w:t xml:space="preserve"> JB, Lip GY, </w:t>
      </w:r>
      <w:proofErr w:type="spellStart"/>
      <w:r w:rsidRPr="008C53DA">
        <w:rPr>
          <w:rFonts w:ascii="Century Gothic" w:hAnsi="Century Gothic"/>
          <w:sz w:val="24"/>
          <w:szCs w:val="24"/>
        </w:rPr>
        <w:t>Kamper</w:t>
      </w:r>
      <w:proofErr w:type="spellEnd"/>
      <w:r w:rsidRPr="008C53DA">
        <w:rPr>
          <w:rFonts w:ascii="Century Gothic" w:hAnsi="Century Gothic"/>
          <w:sz w:val="24"/>
          <w:szCs w:val="24"/>
        </w:rPr>
        <w:t xml:space="preserve"> AL, </w:t>
      </w:r>
      <w:proofErr w:type="spellStart"/>
      <w:r w:rsidRPr="008C53DA">
        <w:rPr>
          <w:rFonts w:ascii="Century Gothic" w:hAnsi="Century Gothic"/>
          <w:sz w:val="24"/>
          <w:szCs w:val="24"/>
        </w:rPr>
        <w:t>Hommel</w:t>
      </w:r>
      <w:proofErr w:type="spellEnd"/>
      <w:r w:rsidRPr="008C53DA">
        <w:rPr>
          <w:rFonts w:ascii="Century Gothic" w:hAnsi="Century Gothic"/>
          <w:sz w:val="24"/>
          <w:szCs w:val="24"/>
        </w:rPr>
        <w:t xml:space="preserve"> K, </w:t>
      </w:r>
      <w:proofErr w:type="spellStart"/>
      <w:r w:rsidRPr="008C53DA">
        <w:rPr>
          <w:rFonts w:ascii="Century Gothic" w:hAnsi="Century Gothic"/>
          <w:sz w:val="24"/>
          <w:szCs w:val="24"/>
        </w:rPr>
        <w:t>Kober</w:t>
      </w:r>
      <w:proofErr w:type="spellEnd"/>
      <w:r w:rsidRPr="008C53DA">
        <w:rPr>
          <w:rFonts w:ascii="Century Gothic" w:hAnsi="Century Gothic"/>
          <w:sz w:val="24"/>
          <w:szCs w:val="24"/>
        </w:rPr>
        <w:t xml:space="preserve"> L, Lane DA, </w:t>
      </w:r>
      <w:r w:rsidR="00515ED9">
        <w:rPr>
          <w:rFonts w:ascii="Century Gothic" w:hAnsi="Century Gothic"/>
          <w:sz w:val="24"/>
          <w:szCs w:val="24"/>
        </w:rPr>
        <w:t>et al</w:t>
      </w:r>
      <w:r w:rsidRPr="008C53DA">
        <w:rPr>
          <w:rFonts w:ascii="Century Gothic" w:hAnsi="Century Gothic"/>
          <w:sz w:val="24"/>
          <w:szCs w:val="24"/>
        </w:rPr>
        <w:t>. Stroke and bleeding in atrial fibrillation with chronic kidney disease</w:t>
      </w:r>
      <w:r w:rsidRPr="00515ED9">
        <w:rPr>
          <w:rFonts w:ascii="Century Gothic" w:hAnsi="Century Gothic"/>
          <w:i/>
          <w:sz w:val="24"/>
          <w:szCs w:val="24"/>
        </w:rPr>
        <w:t xml:space="preserve">. </w:t>
      </w:r>
      <w:r w:rsidRPr="00491A53">
        <w:rPr>
          <w:rFonts w:ascii="Century Gothic" w:hAnsi="Century Gothic"/>
          <w:iCs/>
          <w:sz w:val="24"/>
          <w:szCs w:val="24"/>
        </w:rPr>
        <w:t xml:space="preserve">N </w:t>
      </w:r>
      <w:proofErr w:type="spellStart"/>
      <w:r w:rsidRPr="00491A53">
        <w:rPr>
          <w:rFonts w:ascii="Century Gothic" w:hAnsi="Century Gothic"/>
          <w:iCs/>
          <w:sz w:val="24"/>
          <w:szCs w:val="24"/>
        </w:rPr>
        <w:t>Engl</w:t>
      </w:r>
      <w:proofErr w:type="spellEnd"/>
      <w:r w:rsidRPr="00491A53">
        <w:rPr>
          <w:rFonts w:ascii="Century Gothic" w:hAnsi="Century Gothic"/>
          <w:iCs/>
          <w:sz w:val="24"/>
          <w:szCs w:val="24"/>
        </w:rPr>
        <w:t xml:space="preserve"> J Med</w:t>
      </w:r>
      <w:r w:rsidRPr="008C53DA">
        <w:rPr>
          <w:rFonts w:ascii="Century Gothic" w:hAnsi="Century Gothic"/>
          <w:i/>
          <w:iCs/>
          <w:sz w:val="24"/>
          <w:szCs w:val="24"/>
        </w:rPr>
        <w:t xml:space="preserve">. </w:t>
      </w:r>
      <w:r w:rsidRPr="008C53DA">
        <w:rPr>
          <w:rFonts w:ascii="Century Gothic" w:hAnsi="Century Gothic"/>
          <w:sz w:val="24"/>
          <w:szCs w:val="24"/>
        </w:rPr>
        <w:t>2012;</w:t>
      </w:r>
      <w:r w:rsidR="00753968" w:rsidRPr="008C53DA">
        <w:rPr>
          <w:rFonts w:ascii="Century Gothic" w:hAnsi="Century Gothic"/>
          <w:sz w:val="24"/>
          <w:szCs w:val="24"/>
        </w:rPr>
        <w:t xml:space="preserve"> </w:t>
      </w:r>
      <w:r w:rsidRPr="008C53DA">
        <w:rPr>
          <w:rFonts w:ascii="Century Gothic" w:hAnsi="Century Gothic"/>
          <w:sz w:val="24"/>
          <w:szCs w:val="24"/>
        </w:rPr>
        <w:t>367:</w:t>
      </w:r>
      <w:r w:rsidR="00753968" w:rsidRPr="008C53DA">
        <w:rPr>
          <w:rFonts w:ascii="Century Gothic" w:hAnsi="Century Gothic"/>
          <w:sz w:val="24"/>
          <w:szCs w:val="24"/>
        </w:rPr>
        <w:t xml:space="preserve"> </w:t>
      </w:r>
      <w:r w:rsidRPr="008C53DA">
        <w:rPr>
          <w:rFonts w:ascii="Century Gothic" w:hAnsi="Century Gothic"/>
          <w:sz w:val="24"/>
          <w:szCs w:val="24"/>
        </w:rPr>
        <w:t>625-635.</w:t>
      </w:r>
    </w:p>
    <w:p w:rsidR="004B15E3" w:rsidRPr="008C53DA" w:rsidRDefault="004B15E3" w:rsidP="00515ED9">
      <w:pPr>
        <w:pStyle w:val="NoSpacing"/>
        <w:numPr>
          <w:ilvl w:val="0"/>
          <w:numId w:val="10"/>
        </w:numPr>
        <w:spacing w:line="480" w:lineRule="auto"/>
        <w:rPr>
          <w:rFonts w:ascii="Century Gothic" w:hAnsi="Century Gothic"/>
          <w:sz w:val="24"/>
          <w:szCs w:val="24"/>
        </w:rPr>
      </w:pPr>
      <w:r w:rsidRPr="008C53DA">
        <w:rPr>
          <w:rFonts w:ascii="Century Gothic" w:hAnsi="Century Gothic"/>
          <w:sz w:val="24"/>
          <w:szCs w:val="24"/>
        </w:rPr>
        <w:t xml:space="preserve">Herzog CA, </w:t>
      </w:r>
      <w:proofErr w:type="spellStart"/>
      <w:r w:rsidRPr="008C53DA">
        <w:rPr>
          <w:rFonts w:ascii="Century Gothic" w:hAnsi="Century Gothic"/>
          <w:sz w:val="24"/>
          <w:szCs w:val="24"/>
        </w:rPr>
        <w:t>Asinger</w:t>
      </w:r>
      <w:proofErr w:type="spellEnd"/>
      <w:r w:rsidRPr="008C53DA">
        <w:rPr>
          <w:rFonts w:ascii="Century Gothic" w:hAnsi="Century Gothic"/>
          <w:sz w:val="24"/>
          <w:szCs w:val="24"/>
        </w:rPr>
        <w:t xml:space="preserve"> RW, Berger AK, </w:t>
      </w:r>
      <w:proofErr w:type="spellStart"/>
      <w:r w:rsidRPr="008C53DA">
        <w:rPr>
          <w:rFonts w:ascii="Century Gothic" w:hAnsi="Century Gothic"/>
          <w:sz w:val="24"/>
          <w:szCs w:val="24"/>
        </w:rPr>
        <w:t>Charytan</w:t>
      </w:r>
      <w:proofErr w:type="spellEnd"/>
      <w:r w:rsidRPr="008C53DA">
        <w:rPr>
          <w:rFonts w:ascii="Century Gothic" w:hAnsi="Century Gothic"/>
          <w:sz w:val="24"/>
          <w:szCs w:val="24"/>
        </w:rPr>
        <w:t xml:space="preserve"> DM, </w:t>
      </w:r>
      <w:proofErr w:type="spellStart"/>
      <w:r w:rsidRPr="008C53DA">
        <w:rPr>
          <w:rFonts w:ascii="Century Gothic" w:hAnsi="Century Gothic"/>
          <w:sz w:val="24"/>
          <w:szCs w:val="24"/>
        </w:rPr>
        <w:t>Diez</w:t>
      </w:r>
      <w:proofErr w:type="spellEnd"/>
      <w:r w:rsidRPr="008C53DA">
        <w:rPr>
          <w:rFonts w:ascii="Century Gothic" w:hAnsi="Century Gothic"/>
          <w:sz w:val="24"/>
          <w:szCs w:val="24"/>
        </w:rPr>
        <w:t xml:space="preserve"> J, Hart RG, </w:t>
      </w:r>
      <w:r w:rsidR="00515ED9">
        <w:rPr>
          <w:rFonts w:ascii="Century Gothic" w:hAnsi="Century Gothic"/>
          <w:sz w:val="24"/>
          <w:szCs w:val="24"/>
        </w:rPr>
        <w:t>et al</w:t>
      </w:r>
      <w:r w:rsidRPr="008C53DA">
        <w:rPr>
          <w:rFonts w:ascii="Century Gothic" w:hAnsi="Century Gothic"/>
          <w:sz w:val="24"/>
          <w:szCs w:val="24"/>
        </w:rPr>
        <w:t xml:space="preserve">. Cardiovascular disease in chronic kidney disease. A clinical update from Kidney Disease: Improving Global Outcomes (KDIGO). </w:t>
      </w:r>
      <w:r w:rsidRPr="00515ED9">
        <w:rPr>
          <w:rFonts w:ascii="Century Gothic" w:hAnsi="Century Gothic"/>
          <w:iCs/>
          <w:sz w:val="24"/>
          <w:szCs w:val="24"/>
        </w:rPr>
        <w:t>Kidney Int.</w:t>
      </w:r>
      <w:r w:rsidRPr="008C53DA">
        <w:rPr>
          <w:rFonts w:ascii="Century Gothic" w:hAnsi="Century Gothic"/>
          <w:i/>
          <w:iCs/>
          <w:sz w:val="24"/>
          <w:szCs w:val="24"/>
        </w:rPr>
        <w:t xml:space="preserve"> </w:t>
      </w:r>
      <w:r w:rsidRPr="008C53DA">
        <w:rPr>
          <w:rFonts w:ascii="Century Gothic" w:hAnsi="Century Gothic"/>
          <w:sz w:val="24"/>
          <w:szCs w:val="24"/>
        </w:rPr>
        <w:t>2011;</w:t>
      </w:r>
      <w:r w:rsidR="00753968" w:rsidRPr="008C53DA">
        <w:rPr>
          <w:rFonts w:ascii="Century Gothic" w:hAnsi="Century Gothic"/>
          <w:sz w:val="24"/>
          <w:szCs w:val="24"/>
        </w:rPr>
        <w:t xml:space="preserve"> </w:t>
      </w:r>
      <w:r w:rsidRPr="008C53DA">
        <w:rPr>
          <w:rFonts w:ascii="Century Gothic" w:hAnsi="Century Gothic"/>
          <w:sz w:val="24"/>
          <w:szCs w:val="24"/>
        </w:rPr>
        <w:t>80:</w:t>
      </w:r>
      <w:r w:rsidR="00753968" w:rsidRPr="008C53DA">
        <w:rPr>
          <w:rFonts w:ascii="Century Gothic" w:hAnsi="Century Gothic"/>
          <w:sz w:val="24"/>
          <w:szCs w:val="24"/>
        </w:rPr>
        <w:t xml:space="preserve"> </w:t>
      </w:r>
      <w:r w:rsidRPr="008C53DA">
        <w:rPr>
          <w:rFonts w:ascii="Century Gothic" w:hAnsi="Century Gothic"/>
          <w:sz w:val="24"/>
          <w:szCs w:val="24"/>
        </w:rPr>
        <w:t>572-586.</w:t>
      </w:r>
    </w:p>
    <w:p w:rsidR="006571D7" w:rsidRDefault="006571D7" w:rsidP="006571D7">
      <w:pPr>
        <w:pStyle w:val="NoSpacing"/>
        <w:numPr>
          <w:ilvl w:val="0"/>
          <w:numId w:val="10"/>
        </w:numPr>
        <w:spacing w:line="480" w:lineRule="auto"/>
        <w:rPr>
          <w:rFonts w:ascii="Century Gothic" w:hAnsi="Century Gothic"/>
          <w:sz w:val="24"/>
          <w:szCs w:val="24"/>
        </w:rPr>
      </w:pPr>
      <w:proofErr w:type="spellStart"/>
      <w:r w:rsidRPr="006571D7">
        <w:rPr>
          <w:rFonts w:ascii="Century Gothic" w:hAnsi="Century Gothic"/>
          <w:sz w:val="24"/>
          <w:szCs w:val="24"/>
        </w:rPr>
        <w:t>Sood</w:t>
      </w:r>
      <w:proofErr w:type="spellEnd"/>
      <w:r w:rsidRPr="006571D7">
        <w:rPr>
          <w:rFonts w:ascii="Century Gothic" w:hAnsi="Century Gothic"/>
          <w:sz w:val="24"/>
          <w:szCs w:val="24"/>
        </w:rPr>
        <w:t xml:space="preserve"> MM, </w:t>
      </w:r>
      <w:proofErr w:type="spellStart"/>
      <w:r w:rsidRPr="006571D7">
        <w:rPr>
          <w:rFonts w:ascii="Century Gothic" w:hAnsi="Century Gothic"/>
          <w:sz w:val="24"/>
          <w:szCs w:val="24"/>
        </w:rPr>
        <w:t>Komenda</w:t>
      </w:r>
      <w:proofErr w:type="spellEnd"/>
      <w:r w:rsidRPr="006571D7">
        <w:rPr>
          <w:rFonts w:ascii="Century Gothic" w:hAnsi="Century Gothic"/>
          <w:sz w:val="24"/>
          <w:szCs w:val="24"/>
        </w:rPr>
        <w:t xml:space="preserve"> P, </w:t>
      </w:r>
      <w:proofErr w:type="spellStart"/>
      <w:r w:rsidRPr="006571D7">
        <w:rPr>
          <w:rFonts w:ascii="Century Gothic" w:hAnsi="Century Gothic"/>
          <w:sz w:val="24"/>
          <w:szCs w:val="24"/>
        </w:rPr>
        <w:t>Sood</w:t>
      </w:r>
      <w:proofErr w:type="spellEnd"/>
      <w:r w:rsidRPr="006571D7">
        <w:rPr>
          <w:rFonts w:ascii="Century Gothic" w:hAnsi="Century Gothic"/>
          <w:sz w:val="24"/>
          <w:szCs w:val="24"/>
        </w:rPr>
        <w:t xml:space="preserve"> AR, </w:t>
      </w:r>
      <w:proofErr w:type="spellStart"/>
      <w:r w:rsidRPr="006571D7">
        <w:rPr>
          <w:rFonts w:ascii="Century Gothic" w:hAnsi="Century Gothic"/>
          <w:sz w:val="24"/>
          <w:szCs w:val="24"/>
        </w:rPr>
        <w:t>Rigatto</w:t>
      </w:r>
      <w:proofErr w:type="spellEnd"/>
      <w:r w:rsidRPr="006571D7">
        <w:rPr>
          <w:rFonts w:ascii="Century Gothic" w:hAnsi="Century Gothic"/>
          <w:sz w:val="24"/>
          <w:szCs w:val="24"/>
        </w:rPr>
        <w:t xml:space="preserve"> C, </w:t>
      </w:r>
      <w:proofErr w:type="spellStart"/>
      <w:r w:rsidRPr="006571D7">
        <w:rPr>
          <w:rFonts w:ascii="Century Gothic" w:hAnsi="Century Gothic"/>
          <w:sz w:val="24"/>
          <w:szCs w:val="24"/>
        </w:rPr>
        <w:t>Bueti</w:t>
      </w:r>
      <w:proofErr w:type="spellEnd"/>
      <w:r w:rsidRPr="006571D7">
        <w:rPr>
          <w:rFonts w:ascii="Century Gothic" w:hAnsi="Century Gothic"/>
          <w:sz w:val="24"/>
          <w:szCs w:val="24"/>
        </w:rPr>
        <w:t xml:space="preserve"> J. The intersection of risk and benefit: is warfarin anticoagulation suitable for atrial fibrillation in patients</w:t>
      </w:r>
      <w:r>
        <w:rPr>
          <w:rFonts w:ascii="Century Gothic" w:hAnsi="Century Gothic"/>
          <w:sz w:val="24"/>
          <w:szCs w:val="24"/>
        </w:rPr>
        <w:t xml:space="preserve"> </w:t>
      </w:r>
      <w:r w:rsidRPr="006571D7">
        <w:rPr>
          <w:rFonts w:ascii="Century Gothic" w:hAnsi="Century Gothic"/>
          <w:sz w:val="24"/>
          <w:szCs w:val="24"/>
        </w:rPr>
        <w:t>on hemodialysis?</w:t>
      </w:r>
      <w:r>
        <w:rPr>
          <w:rFonts w:ascii="Century Gothic" w:hAnsi="Century Gothic"/>
          <w:sz w:val="24"/>
          <w:szCs w:val="24"/>
        </w:rPr>
        <w:t xml:space="preserve"> Chest. 2009 Oct;136(4):1128-33</w:t>
      </w:r>
    </w:p>
    <w:p w:rsidR="00A43A5A" w:rsidRPr="006571D7" w:rsidRDefault="006571D7" w:rsidP="006571D7">
      <w:pPr>
        <w:pStyle w:val="NoSpacing"/>
        <w:numPr>
          <w:ilvl w:val="0"/>
          <w:numId w:val="10"/>
        </w:numPr>
        <w:spacing w:line="480" w:lineRule="auto"/>
        <w:rPr>
          <w:rFonts w:ascii="Century Gothic" w:hAnsi="Century Gothic"/>
          <w:sz w:val="24"/>
          <w:szCs w:val="24"/>
        </w:rPr>
      </w:pPr>
      <w:r w:rsidRPr="006571D7">
        <w:rPr>
          <w:rFonts w:ascii="Century Gothic" w:eastAsia="Times New Roman" w:hAnsi="Century Gothic" w:cs="Helvetica"/>
          <w:bCs/>
          <w:kern w:val="36"/>
          <w:sz w:val="24"/>
          <w:szCs w:val="24"/>
          <w:lang w:val="en" w:eastAsia="en-GB"/>
        </w:rPr>
        <w:t xml:space="preserve">Liao Jo-Nan, Chao TF, Liu CJ, Wang KL, Chen SJ, </w:t>
      </w:r>
      <w:proofErr w:type="spellStart"/>
      <w:r w:rsidRPr="006571D7">
        <w:rPr>
          <w:rFonts w:ascii="Century Gothic" w:eastAsia="Times New Roman" w:hAnsi="Century Gothic" w:cs="Helvetica"/>
          <w:bCs/>
          <w:kern w:val="36"/>
          <w:sz w:val="24"/>
          <w:szCs w:val="24"/>
          <w:lang w:val="en" w:eastAsia="en-GB"/>
        </w:rPr>
        <w:t>Lin</w:t>
      </w:r>
      <w:r w:rsidR="005B76B5" w:rsidRPr="006571D7">
        <w:rPr>
          <w:rFonts w:ascii="Century Gothic" w:eastAsia="Times New Roman" w:hAnsi="Century Gothic" w:cs="Helvetica"/>
          <w:bCs/>
          <w:kern w:val="36"/>
          <w:sz w:val="24"/>
          <w:szCs w:val="24"/>
          <w:lang w:val="en" w:eastAsia="en-GB"/>
        </w:rPr>
        <w:t>et</w:t>
      </w:r>
      <w:proofErr w:type="spellEnd"/>
      <w:r w:rsidRPr="006571D7">
        <w:rPr>
          <w:rFonts w:ascii="Century Gothic" w:eastAsia="Times New Roman" w:hAnsi="Century Gothic" w:cs="Helvetica"/>
          <w:bCs/>
          <w:kern w:val="36"/>
          <w:sz w:val="24"/>
          <w:szCs w:val="24"/>
          <w:lang w:val="en" w:eastAsia="en-GB"/>
        </w:rPr>
        <w:t xml:space="preserve"> YJ et</w:t>
      </w:r>
      <w:r w:rsidR="005B76B5" w:rsidRPr="006571D7">
        <w:rPr>
          <w:rFonts w:ascii="Century Gothic" w:eastAsia="Times New Roman" w:hAnsi="Century Gothic" w:cs="Helvetica"/>
          <w:bCs/>
          <w:kern w:val="36"/>
          <w:sz w:val="24"/>
          <w:szCs w:val="24"/>
          <w:lang w:val="en" w:eastAsia="en-GB"/>
        </w:rPr>
        <w:t xml:space="preserve"> al. Incidence and risk factors for new onset atrial fibrillation among patients with end-stage renal disease undergoing renal replacement therapy. Kidney Int. 2014; 87. 1209-1215</w:t>
      </w:r>
    </w:p>
    <w:p w:rsidR="00F63962" w:rsidRPr="00F63962" w:rsidRDefault="008466ED" w:rsidP="00F63962">
      <w:pPr>
        <w:pStyle w:val="NoSpacing"/>
        <w:numPr>
          <w:ilvl w:val="0"/>
          <w:numId w:val="10"/>
        </w:numPr>
        <w:spacing w:line="480" w:lineRule="auto"/>
        <w:rPr>
          <w:rStyle w:val="slug-pages3"/>
          <w:rFonts w:ascii="Century Gothic" w:hAnsi="Century Gothic"/>
          <w:b w:val="0"/>
          <w:bCs w:val="0"/>
          <w:sz w:val="24"/>
          <w:szCs w:val="24"/>
        </w:rPr>
      </w:pPr>
      <w:r w:rsidRPr="00A43A5A">
        <w:rPr>
          <w:rFonts w:ascii="Century Gothic" w:eastAsia="Times New Roman" w:hAnsi="Century Gothic" w:cs="Courier New"/>
          <w:sz w:val="24"/>
          <w:szCs w:val="24"/>
          <w:lang w:val="en-GB" w:eastAsia="en-GB"/>
        </w:rPr>
        <w:t xml:space="preserve">Wetmore JB, </w:t>
      </w:r>
      <w:proofErr w:type="spellStart"/>
      <w:r w:rsidRPr="00A43A5A">
        <w:rPr>
          <w:rFonts w:ascii="Century Gothic" w:eastAsia="Times New Roman" w:hAnsi="Century Gothic" w:cs="Courier New"/>
          <w:sz w:val="24"/>
          <w:szCs w:val="24"/>
          <w:lang w:val="en-GB" w:eastAsia="en-GB"/>
        </w:rPr>
        <w:t>Ellerbeck</w:t>
      </w:r>
      <w:proofErr w:type="spellEnd"/>
      <w:r w:rsidRPr="00A43A5A">
        <w:rPr>
          <w:rFonts w:ascii="Century Gothic" w:eastAsia="Times New Roman" w:hAnsi="Century Gothic" w:cs="Courier New"/>
          <w:sz w:val="24"/>
          <w:szCs w:val="24"/>
          <w:lang w:val="en-GB" w:eastAsia="en-GB"/>
        </w:rPr>
        <w:t xml:space="preserve"> EF, </w:t>
      </w:r>
      <w:proofErr w:type="spellStart"/>
      <w:r w:rsidRPr="00A43A5A">
        <w:rPr>
          <w:rFonts w:ascii="Century Gothic" w:eastAsia="Times New Roman" w:hAnsi="Century Gothic" w:cs="Courier New"/>
          <w:sz w:val="24"/>
          <w:szCs w:val="24"/>
          <w:lang w:val="en-GB" w:eastAsia="en-GB"/>
        </w:rPr>
        <w:t>Mahnken</w:t>
      </w:r>
      <w:proofErr w:type="spellEnd"/>
      <w:r w:rsidRPr="00A43A5A">
        <w:rPr>
          <w:rFonts w:ascii="Century Gothic" w:eastAsia="Times New Roman" w:hAnsi="Century Gothic" w:cs="Courier New"/>
          <w:sz w:val="24"/>
          <w:szCs w:val="24"/>
          <w:lang w:val="en-GB" w:eastAsia="en-GB"/>
        </w:rPr>
        <w:t xml:space="preserve"> JD, </w:t>
      </w:r>
      <w:proofErr w:type="spellStart"/>
      <w:r w:rsidRPr="00A43A5A">
        <w:rPr>
          <w:rFonts w:ascii="Century Gothic" w:eastAsia="Times New Roman" w:hAnsi="Century Gothic" w:cs="Courier New"/>
          <w:sz w:val="24"/>
          <w:szCs w:val="24"/>
          <w:lang w:val="en-GB" w:eastAsia="en-GB"/>
        </w:rPr>
        <w:t>Phadnis</w:t>
      </w:r>
      <w:proofErr w:type="spellEnd"/>
      <w:r w:rsidRPr="00A43A5A">
        <w:rPr>
          <w:rFonts w:ascii="Century Gothic" w:eastAsia="Times New Roman" w:hAnsi="Century Gothic" w:cs="Courier New"/>
          <w:sz w:val="24"/>
          <w:szCs w:val="24"/>
          <w:lang w:val="en-GB" w:eastAsia="en-GB"/>
        </w:rPr>
        <w:t xml:space="preserve"> M, </w:t>
      </w:r>
      <w:proofErr w:type="spellStart"/>
      <w:r w:rsidRPr="00A43A5A">
        <w:rPr>
          <w:rFonts w:ascii="Century Gothic" w:eastAsia="Times New Roman" w:hAnsi="Century Gothic" w:cs="Courier New"/>
          <w:sz w:val="24"/>
          <w:szCs w:val="24"/>
          <w:lang w:val="en-GB" w:eastAsia="en-GB"/>
        </w:rPr>
        <w:t>Rigler</w:t>
      </w:r>
      <w:proofErr w:type="spellEnd"/>
      <w:r w:rsidRPr="00A43A5A">
        <w:rPr>
          <w:rFonts w:ascii="Century Gothic" w:eastAsia="Times New Roman" w:hAnsi="Century Gothic" w:cs="Courier New"/>
          <w:sz w:val="24"/>
          <w:szCs w:val="24"/>
          <w:lang w:val="en-GB" w:eastAsia="en-GB"/>
        </w:rPr>
        <w:t xml:space="preserve"> SK, </w:t>
      </w:r>
      <w:proofErr w:type="spellStart"/>
      <w:r w:rsidRPr="00A43A5A">
        <w:rPr>
          <w:rFonts w:ascii="Century Gothic" w:eastAsia="Times New Roman" w:hAnsi="Century Gothic" w:cs="Courier New"/>
          <w:sz w:val="24"/>
          <w:szCs w:val="24"/>
          <w:lang w:val="en-GB" w:eastAsia="en-GB"/>
        </w:rPr>
        <w:t>Mukhopadhyay</w:t>
      </w:r>
      <w:proofErr w:type="spellEnd"/>
      <w:r w:rsidRPr="00A43A5A">
        <w:rPr>
          <w:rFonts w:ascii="Century Gothic" w:eastAsia="Times New Roman" w:hAnsi="Century Gothic" w:cs="Courier New"/>
          <w:sz w:val="24"/>
          <w:szCs w:val="24"/>
          <w:lang w:val="en-GB" w:eastAsia="en-GB"/>
        </w:rPr>
        <w:t xml:space="preserve"> P,</w:t>
      </w:r>
      <w:r w:rsidR="00A43A5A" w:rsidRPr="00A43A5A">
        <w:rPr>
          <w:rFonts w:ascii="Century Gothic" w:eastAsia="Times New Roman" w:hAnsi="Century Gothic" w:cs="Courier New"/>
          <w:sz w:val="24"/>
          <w:szCs w:val="24"/>
          <w:lang w:val="en-GB" w:eastAsia="en-GB"/>
        </w:rPr>
        <w:t xml:space="preserve"> et al. </w:t>
      </w:r>
      <w:r w:rsidR="005D4AC5" w:rsidRPr="00A43A5A">
        <w:rPr>
          <w:rStyle w:val="slug-pages3"/>
          <w:rFonts w:ascii="Century Gothic" w:hAnsi="Century Gothic" w:cs="Lucida Sans Unicode"/>
          <w:b w:val="0"/>
          <w:sz w:val="24"/>
          <w:szCs w:val="24"/>
          <w:lang w:val="en"/>
        </w:rPr>
        <w:t xml:space="preserve">Atrial fibrillation and risk of stroke in dialysis patients. Ann </w:t>
      </w:r>
      <w:proofErr w:type="spellStart"/>
      <w:r w:rsidR="005D4AC5" w:rsidRPr="00A43A5A">
        <w:rPr>
          <w:rStyle w:val="slug-pages3"/>
          <w:rFonts w:ascii="Century Gothic" w:hAnsi="Century Gothic" w:cs="Lucida Sans Unicode"/>
          <w:b w:val="0"/>
          <w:sz w:val="24"/>
          <w:szCs w:val="24"/>
          <w:lang w:val="en"/>
        </w:rPr>
        <w:t>Epidemiol</w:t>
      </w:r>
      <w:proofErr w:type="spellEnd"/>
      <w:r w:rsidR="005D4AC5" w:rsidRPr="00A43A5A">
        <w:rPr>
          <w:rStyle w:val="slug-pages3"/>
          <w:rFonts w:ascii="Century Gothic" w:hAnsi="Century Gothic" w:cs="Lucida Sans Unicode"/>
          <w:b w:val="0"/>
          <w:sz w:val="24"/>
          <w:szCs w:val="24"/>
          <w:lang w:val="en"/>
        </w:rPr>
        <w:t>. 2013; 23</w:t>
      </w:r>
      <w:r w:rsidR="00A43A5A">
        <w:rPr>
          <w:rStyle w:val="slug-pages3"/>
          <w:rFonts w:ascii="Century Gothic" w:hAnsi="Century Gothic" w:cs="Lucida Sans Unicode"/>
          <w:b w:val="0"/>
          <w:sz w:val="24"/>
          <w:szCs w:val="24"/>
          <w:lang w:val="en"/>
        </w:rPr>
        <w:t>: 112-118</w:t>
      </w:r>
    </w:p>
    <w:p w:rsidR="00F63962" w:rsidRDefault="00F63962" w:rsidP="00F63962">
      <w:pPr>
        <w:pStyle w:val="NoSpacing"/>
        <w:numPr>
          <w:ilvl w:val="0"/>
          <w:numId w:val="10"/>
        </w:numPr>
        <w:spacing w:line="480" w:lineRule="auto"/>
        <w:rPr>
          <w:rFonts w:ascii="Century Gothic" w:hAnsi="Century Gothic"/>
          <w:sz w:val="24"/>
          <w:szCs w:val="24"/>
        </w:rPr>
      </w:pPr>
      <w:r w:rsidRPr="00F63962">
        <w:rPr>
          <w:rFonts w:ascii="Century Gothic" w:hAnsi="Century Gothic"/>
          <w:sz w:val="24"/>
          <w:szCs w:val="24"/>
        </w:rPr>
        <w:lastRenderedPageBreak/>
        <w:t xml:space="preserve">Shah M, </w:t>
      </w:r>
      <w:proofErr w:type="spellStart"/>
      <w:r w:rsidRPr="00F63962">
        <w:rPr>
          <w:rFonts w:ascii="Century Gothic" w:hAnsi="Century Gothic"/>
          <w:sz w:val="24"/>
          <w:szCs w:val="24"/>
        </w:rPr>
        <w:t>Avgil</w:t>
      </w:r>
      <w:proofErr w:type="spellEnd"/>
      <w:r w:rsidRPr="00F63962">
        <w:rPr>
          <w:rFonts w:ascii="Century Gothic" w:hAnsi="Century Gothic"/>
          <w:sz w:val="24"/>
          <w:szCs w:val="24"/>
        </w:rPr>
        <w:t xml:space="preserve"> </w:t>
      </w:r>
      <w:proofErr w:type="spellStart"/>
      <w:r w:rsidRPr="00F63962">
        <w:rPr>
          <w:rFonts w:ascii="Century Gothic" w:hAnsi="Century Gothic"/>
          <w:sz w:val="24"/>
          <w:szCs w:val="24"/>
        </w:rPr>
        <w:t>Tsadok</w:t>
      </w:r>
      <w:proofErr w:type="spellEnd"/>
      <w:r w:rsidRPr="00F63962">
        <w:rPr>
          <w:rFonts w:ascii="Century Gothic" w:hAnsi="Century Gothic"/>
          <w:sz w:val="24"/>
          <w:szCs w:val="24"/>
        </w:rPr>
        <w:t xml:space="preserve"> M, </w:t>
      </w:r>
      <w:proofErr w:type="spellStart"/>
      <w:r w:rsidRPr="00F63962">
        <w:rPr>
          <w:rFonts w:ascii="Century Gothic" w:hAnsi="Century Gothic"/>
          <w:sz w:val="24"/>
          <w:szCs w:val="24"/>
        </w:rPr>
        <w:t>Jackevicius</w:t>
      </w:r>
      <w:proofErr w:type="spellEnd"/>
      <w:r w:rsidRPr="00F63962">
        <w:rPr>
          <w:rFonts w:ascii="Century Gothic" w:hAnsi="Century Gothic"/>
          <w:sz w:val="24"/>
          <w:szCs w:val="24"/>
        </w:rPr>
        <w:t xml:space="preserve"> CA, </w:t>
      </w:r>
      <w:proofErr w:type="spellStart"/>
      <w:r w:rsidRPr="00F63962">
        <w:rPr>
          <w:rFonts w:ascii="Century Gothic" w:hAnsi="Century Gothic"/>
          <w:sz w:val="24"/>
          <w:szCs w:val="24"/>
        </w:rPr>
        <w:t>Essebag</w:t>
      </w:r>
      <w:proofErr w:type="spellEnd"/>
      <w:r w:rsidRPr="00F63962">
        <w:rPr>
          <w:rFonts w:ascii="Century Gothic" w:hAnsi="Century Gothic"/>
          <w:sz w:val="24"/>
          <w:szCs w:val="24"/>
        </w:rPr>
        <w:t xml:space="preserve"> V, Eisenberg MJ, </w:t>
      </w:r>
      <w:proofErr w:type="spellStart"/>
      <w:r w:rsidRPr="00F63962">
        <w:rPr>
          <w:rFonts w:ascii="Century Gothic" w:hAnsi="Century Gothic"/>
          <w:sz w:val="24"/>
          <w:szCs w:val="24"/>
        </w:rPr>
        <w:t>Rahme</w:t>
      </w:r>
      <w:proofErr w:type="spellEnd"/>
      <w:r w:rsidRPr="00F63962">
        <w:rPr>
          <w:rFonts w:ascii="Century Gothic" w:hAnsi="Century Gothic"/>
          <w:sz w:val="24"/>
          <w:szCs w:val="24"/>
        </w:rPr>
        <w:t xml:space="preserve"> E,</w:t>
      </w:r>
      <w:r>
        <w:rPr>
          <w:rFonts w:ascii="Century Gothic" w:hAnsi="Century Gothic"/>
          <w:sz w:val="24"/>
          <w:szCs w:val="24"/>
        </w:rPr>
        <w:t xml:space="preserve"> et al</w:t>
      </w:r>
      <w:r w:rsidRPr="00F63962">
        <w:rPr>
          <w:rFonts w:ascii="Century Gothic" w:hAnsi="Century Gothic"/>
          <w:sz w:val="24"/>
          <w:szCs w:val="24"/>
        </w:rPr>
        <w:t>. Warfarin use and the risk for stroke and bleeding in patients with atrial fibrillation undergoing dialysis. Circulation. 2014 Mar 18</w:t>
      </w:r>
      <w:proofErr w:type="gramStart"/>
      <w:r w:rsidRPr="00F63962">
        <w:rPr>
          <w:rFonts w:ascii="Century Gothic" w:hAnsi="Century Gothic"/>
          <w:sz w:val="24"/>
          <w:szCs w:val="24"/>
        </w:rPr>
        <w:t>;129</w:t>
      </w:r>
      <w:proofErr w:type="gramEnd"/>
      <w:r w:rsidRPr="00F63962">
        <w:rPr>
          <w:rFonts w:ascii="Century Gothic" w:hAnsi="Century Gothic"/>
          <w:sz w:val="24"/>
          <w:szCs w:val="24"/>
        </w:rPr>
        <w:t>(11):1196-203.</w:t>
      </w:r>
    </w:p>
    <w:p w:rsidR="00F63962" w:rsidRDefault="001817B1" w:rsidP="001817B1">
      <w:pPr>
        <w:pStyle w:val="NoSpacing"/>
        <w:numPr>
          <w:ilvl w:val="0"/>
          <w:numId w:val="10"/>
        </w:numPr>
        <w:spacing w:line="480" w:lineRule="auto"/>
        <w:rPr>
          <w:rStyle w:val="slug-pages3"/>
          <w:rFonts w:ascii="Century Gothic" w:hAnsi="Century Gothic"/>
          <w:b w:val="0"/>
          <w:bCs w:val="0"/>
          <w:sz w:val="24"/>
          <w:szCs w:val="24"/>
        </w:rPr>
      </w:pPr>
      <w:proofErr w:type="spellStart"/>
      <w:r w:rsidRPr="001817B1">
        <w:rPr>
          <w:rStyle w:val="slug-pages3"/>
          <w:rFonts w:ascii="Century Gothic" w:hAnsi="Century Gothic" w:cs="Lucida Sans Unicode"/>
          <w:b w:val="0"/>
          <w:sz w:val="24"/>
          <w:szCs w:val="24"/>
          <w:lang w:val="en"/>
        </w:rPr>
        <w:t>Genovesi</w:t>
      </w:r>
      <w:proofErr w:type="spellEnd"/>
      <w:r w:rsidRPr="001817B1">
        <w:rPr>
          <w:rStyle w:val="slug-pages3"/>
          <w:rFonts w:ascii="Century Gothic" w:hAnsi="Century Gothic" w:cs="Lucida Sans Unicode"/>
          <w:b w:val="0"/>
          <w:sz w:val="24"/>
          <w:szCs w:val="24"/>
          <w:lang w:val="en"/>
        </w:rPr>
        <w:t xml:space="preserve"> S, Rossi E, </w:t>
      </w:r>
      <w:proofErr w:type="spellStart"/>
      <w:r w:rsidRPr="001817B1">
        <w:rPr>
          <w:rStyle w:val="slug-pages3"/>
          <w:rFonts w:ascii="Century Gothic" w:hAnsi="Century Gothic" w:cs="Lucida Sans Unicode"/>
          <w:b w:val="0"/>
          <w:sz w:val="24"/>
          <w:szCs w:val="24"/>
          <w:lang w:val="en"/>
        </w:rPr>
        <w:t>Pogliani</w:t>
      </w:r>
      <w:proofErr w:type="spellEnd"/>
      <w:r w:rsidRPr="001817B1">
        <w:rPr>
          <w:rStyle w:val="slug-pages3"/>
          <w:rFonts w:ascii="Century Gothic" w:hAnsi="Century Gothic" w:cs="Lucida Sans Unicode"/>
          <w:b w:val="0"/>
          <w:sz w:val="24"/>
          <w:szCs w:val="24"/>
          <w:lang w:val="en"/>
        </w:rPr>
        <w:t xml:space="preserve"> D, </w:t>
      </w:r>
      <w:proofErr w:type="spellStart"/>
      <w:r w:rsidRPr="001817B1">
        <w:rPr>
          <w:rStyle w:val="slug-pages3"/>
          <w:rFonts w:ascii="Century Gothic" w:hAnsi="Century Gothic" w:cs="Lucida Sans Unicode"/>
          <w:b w:val="0"/>
          <w:sz w:val="24"/>
          <w:szCs w:val="24"/>
          <w:lang w:val="en"/>
        </w:rPr>
        <w:t>G</w:t>
      </w:r>
      <w:r>
        <w:rPr>
          <w:rStyle w:val="slug-pages3"/>
          <w:rFonts w:ascii="Century Gothic" w:hAnsi="Century Gothic" w:cs="Lucida Sans Unicode"/>
          <w:b w:val="0"/>
          <w:sz w:val="24"/>
          <w:szCs w:val="24"/>
          <w:lang w:val="en"/>
        </w:rPr>
        <w:t>allieni</w:t>
      </w:r>
      <w:proofErr w:type="spellEnd"/>
      <w:r>
        <w:rPr>
          <w:rStyle w:val="slug-pages3"/>
          <w:rFonts w:ascii="Century Gothic" w:hAnsi="Century Gothic" w:cs="Lucida Sans Unicode"/>
          <w:b w:val="0"/>
          <w:sz w:val="24"/>
          <w:szCs w:val="24"/>
          <w:lang w:val="en"/>
        </w:rPr>
        <w:t xml:space="preserve"> M, Stella A, </w:t>
      </w:r>
      <w:proofErr w:type="spellStart"/>
      <w:r>
        <w:rPr>
          <w:rStyle w:val="slug-pages3"/>
          <w:rFonts w:ascii="Century Gothic" w:hAnsi="Century Gothic" w:cs="Lucida Sans Unicode"/>
          <w:b w:val="0"/>
          <w:sz w:val="24"/>
          <w:szCs w:val="24"/>
          <w:lang w:val="en"/>
        </w:rPr>
        <w:t>Badiali</w:t>
      </w:r>
      <w:proofErr w:type="spellEnd"/>
      <w:r>
        <w:rPr>
          <w:rStyle w:val="slug-pages3"/>
          <w:rFonts w:ascii="Century Gothic" w:hAnsi="Century Gothic" w:cs="Lucida Sans Unicode"/>
          <w:b w:val="0"/>
          <w:sz w:val="24"/>
          <w:szCs w:val="24"/>
          <w:lang w:val="en"/>
        </w:rPr>
        <w:t xml:space="preserve"> F </w:t>
      </w:r>
      <w:r w:rsidR="004842BC" w:rsidRPr="00F63962">
        <w:rPr>
          <w:rStyle w:val="slug-pages3"/>
          <w:rFonts w:ascii="Century Gothic" w:hAnsi="Century Gothic" w:cs="Lucida Sans Unicode"/>
          <w:b w:val="0"/>
          <w:sz w:val="24"/>
          <w:szCs w:val="24"/>
          <w:lang w:val="en"/>
        </w:rPr>
        <w:t xml:space="preserve">et al. The Nephrologist’s anticoagulation treatment patterns/regimens in chronic hemodialysis patients with atrial fibrillation. J </w:t>
      </w:r>
      <w:proofErr w:type="spellStart"/>
      <w:r w:rsidR="004842BC" w:rsidRPr="00F63962">
        <w:rPr>
          <w:rStyle w:val="slug-pages3"/>
          <w:rFonts w:ascii="Century Gothic" w:hAnsi="Century Gothic" w:cs="Lucida Sans Unicode"/>
          <w:b w:val="0"/>
          <w:sz w:val="24"/>
          <w:szCs w:val="24"/>
          <w:lang w:val="en"/>
        </w:rPr>
        <w:t>Nephrol</w:t>
      </w:r>
      <w:proofErr w:type="spellEnd"/>
      <w:r w:rsidR="004842BC" w:rsidRPr="00F63962">
        <w:rPr>
          <w:rStyle w:val="slug-pages3"/>
          <w:rFonts w:ascii="Century Gothic" w:hAnsi="Century Gothic" w:cs="Lucida Sans Unicode"/>
          <w:b w:val="0"/>
          <w:sz w:val="24"/>
          <w:szCs w:val="24"/>
          <w:lang w:val="en"/>
        </w:rPr>
        <w:t>. 2014 Apr; 27(2): 187-92.</w:t>
      </w:r>
    </w:p>
    <w:p w:rsidR="00F63962" w:rsidRDefault="004842BC" w:rsidP="001817B1">
      <w:pPr>
        <w:pStyle w:val="NoSpacing"/>
        <w:numPr>
          <w:ilvl w:val="0"/>
          <w:numId w:val="10"/>
        </w:numPr>
        <w:spacing w:line="480" w:lineRule="auto"/>
        <w:rPr>
          <w:rStyle w:val="slug-pages3"/>
          <w:rFonts w:ascii="Century Gothic" w:hAnsi="Century Gothic"/>
          <w:b w:val="0"/>
          <w:bCs w:val="0"/>
          <w:sz w:val="24"/>
          <w:szCs w:val="24"/>
        </w:rPr>
      </w:pPr>
      <w:proofErr w:type="spellStart"/>
      <w:r w:rsidRPr="00F63962">
        <w:rPr>
          <w:rStyle w:val="slug-pages3"/>
          <w:rFonts w:ascii="Century Gothic" w:hAnsi="Century Gothic" w:cs="Lucida Sans Unicode"/>
          <w:b w:val="0"/>
          <w:sz w:val="24"/>
          <w:szCs w:val="24"/>
          <w:lang w:val="en"/>
        </w:rPr>
        <w:t>Winkelmayer</w:t>
      </w:r>
      <w:proofErr w:type="spellEnd"/>
      <w:r w:rsidRPr="00F63962">
        <w:rPr>
          <w:rStyle w:val="slug-pages3"/>
          <w:rFonts w:ascii="Century Gothic" w:hAnsi="Century Gothic" w:cs="Lucida Sans Unicode"/>
          <w:b w:val="0"/>
          <w:sz w:val="24"/>
          <w:szCs w:val="24"/>
          <w:lang w:val="en"/>
        </w:rPr>
        <w:t xml:space="preserve"> WC, Liu J, </w:t>
      </w:r>
      <w:proofErr w:type="spellStart"/>
      <w:r w:rsidRPr="00F63962">
        <w:rPr>
          <w:rStyle w:val="slug-pages3"/>
          <w:rFonts w:ascii="Century Gothic" w:hAnsi="Century Gothic" w:cs="Lucida Sans Unicode"/>
          <w:b w:val="0"/>
          <w:sz w:val="24"/>
          <w:szCs w:val="24"/>
          <w:lang w:val="en"/>
        </w:rPr>
        <w:t>Setoguchi</w:t>
      </w:r>
      <w:proofErr w:type="spellEnd"/>
      <w:r w:rsidRPr="00F63962">
        <w:rPr>
          <w:rStyle w:val="slug-pages3"/>
          <w:rFonts w:ascii="Century Gothic" w:hAnsi="Century Gothic" w:cs="Lucida Sans Unicode"/>
          <w:b w:val="0"/>
          <w:sz w:val="24"/>
          <w:szCs w:val="24"/>
          <w:lang w:val="en"/>
        </w:rPr>
        <w:t xml:space="preserve"> S</w:t>
      </w:r>
      <w:r w:rsidR="001817B1">
        <w:rPr>
          <w:rStyle w:val="slug-pages3"/>
          <w:rFonts w:ascii="Century Gothic" w:hAnsi="Century Gothic" w:cs="Lucida Sans Unicode"/>
          <w:b w:val="0"/>
          <w:sz w:val="24"/>
          <w:szCs w:val="24"/>
          <w:lang w:val="en"/>
        </w:rPr>
        <w:t>,</w:t>
      </w:r>
      <w:r w:rsidRPr="00F63962">
        <w:rPr>
          <w:rStyle w:val="slug-pages3"/>
          <w:rFonts w:ascii="Century Gothic" w:hAnsi="Century Gothic" w:cs="Lucida Sans Unicode"/>
          <w:b w:val="0"/>
          <w:sz w:val="24"/>
          <w:szCs w:val="24"/>
          <w:lang w:val="en"/>
        </w:rPr>
        <w:t xml:space="preserve"> </w:t>
      </w:r>
      <w:proofErr w:type="spellStart"/>
      <w:r w:rsidR="001817B1" w:rsidRPr="001817B1">
        <w:rPr>
          <w:rStyle w:val="slug-pages3"/>
          <w:rFonts w:ascii="Century Gothic" w:hAnsi="Century Gothic" w:cs="Lucida Sans Unicode"/>
          <w:b w:val="0"/>
          <w:sz w:val="24"/>
          <w:szCs w:val="24"/>
          <w:lang w:val="en"/>
        </w:rPr>
        <w:t>Choudhry</w:t>
      </w:r>
      <w:proofErr w:type="spellEnd"/>
      <w:r w:rsidR="001817B1" w:rsidRPr="001817B1">
        <w:rPr>
          <w:rStyle w:val="slug-pages3"/>
          <w:rFonts w:ascii="Century Gothic" w:hAnsi="Century Gothic" w:cs="Lucida Sans Unicode"/>
          <w:b w:val="0"/>
          <w:sz w:val="24"/>
          <w:szCs w:val="24"/>
          <w:lang w:val="en"/>
        </w:rPr>
        <w:t xml:space="preserve"> NK</w:t>
      </w:r>
      <w:r w:rsidRPr="00F63962">
        <w:rPr>
          <w:rStyle w:val="slug-pages3"/>
          <w:rFonts w:ascii="Century Gothic" w:hAnsi="Century Gothic" w:cs="Lucida Sans Unicode"/>
          <w:b w:val="0"/>
          <w:sz w:val="24"/>
          <w:szCs w:val="24"/>
          <w:lang w:val="en"/>
        </w:rPr>
        <w:t xml:space="preserve">. Effectiveness and Safety of Warfarin Initiation in Older Hemodialysis Patients with Incident Atrial Fibrillation. </w:t>
      </w:r>
      <w:proofErr w:type="spellStart"/>
      <w:r w:rsidRPr="00F63962">
        <w:rPr>
          <w:rStyle w:val="slug-pages3"/>
          <w:rFonts w:ascii="Century Gothic" w:hAnsi="Century Gothic" w:cs="Lucida Sans Unicode"/>
          <w:b w:val="0"/>
          <w:sz w:val="24"/>
          <w:szCs w:val="24"/>
          <w:lang w:val="en"/>
        </w:rPr>
        <w:t>Clin</w:t>
      </w:r>
      <w:proofErr w:type="spellEnd"/>
      <w:r w:rsidRPr="00F63962">
        <w:rPr>
          <w:rStyle w:val="slug-pages3"/>
          <w:rFonts w:ascii="Century Gothic" w:hAnsi="Century Gothic" w:cs="Lucida Sans Unicode"/>
          <w:b w:val="0"/>
          <w:sz w:val="24"/>
          <w:szCs w:val="24"/>
          <w:lang w:val="en"/>
        </w:rPr>
        <w:t xml:space="preserve"> J Am </w:t>
      </w:r>
      <w:proofErr w:type="spellStart"/>
      <w:r w:rsidRPr="00F63962">
        <w:rPr>
          <w:rStyle w:val="slug-pages3"/>
          <w:rFonts w:ascii="Century Gothic" w:hAnsi="Century Gothic" w:cs="Lucida Sans Unicode"/>
          <w:b w:val="0"/>
          <w:sz w:val="24"/>
          <w:szCs w:val="24"/>
          <w:lang w:val="en"/>
        </w:rPr>
        <w:t>Soc</w:t>
      </w:r>
      <w:proofErr w:type="spellEnd"/>
      <w:r w:rsidRPr="00F63962">
        <w:rPr>
          <w:rStyle w:val="slug-pages3"/>
          <w:rFonts w:ascii="Century Gothic" w:hAnsi="Century Gothic" w:cs="Lucida Sans Unicode"/>
          <w:b w:val="0"/>
          <w:sz w:val="24"/>
          <w:szCs w:val="24"/>
          <w:lang w:val="en"/>
        </w:rPr>
        <w:t xml:space="preserve"> </w:t>
      </w:r>
      <w:proofErr w:type="spellStart"/>
      <w:r w:rsidRPr="00F63962">
        <w:rPr>
          <w:rStyle w:val="slug-pages3"/>
          <w:rFonts w:ascii="Century Gothic" w:hAnsi="Century Gothic" w:cs="Lucida Sans Unicode"/>
          <w:b w:val="0"/>
          <w:sz w:val="24"/>
          <w:szCs w:val="24"/>
          <w:lang w:val="en"/>
        </w:rPr>
        <w:t>Nephrol</w:t>
      </w:r>
      <w:proofErr w:type="spellEnd"/>
      <w:r w:rsidRPr="00F63962">
        <w:rPr>
          <w:rStyle w:val="slug-pages3"/>
          <w:rFonts w:ascii="Century Gothic" w:hAnsi="Century Gothic" w:cs="Lucida Sans Unicode"/>
          <w:b w:val="0"/>
          <w:sz w:val="24"/>
          <w:szCs w:val="24"/>
          <w:lang w:val="en"/>
        </w:rPr>
        <w:t>. 2011 Nov; 6 (11): 2662-2668.</w:t>
      </w:r>
    </w:p>
    <w:p w:rsidR="001817B1" w:rsidRDefault="001817B1" w:rsidP="001817B1">
      <w:pPr>
        <w:pStyle w:val="NoSpacing"/>
        <w:numPr>
          <w:ilvl w:val="0"/>
          <w:numId w:val="10"/>
        </w:numPr>
        <w:spacing w:line="480" w:lineRule="auto"/>
        <w:rPr>
          <w:rStyle w:val="slug-pages3"/>
          <w:rFonts w:ascii="Century Gothic" w:hAnsi="Century Gothic" w:cs="Lucida Sans Unicode"/>
          <w:b w:val="0"/>
          <w:sz w:val="24"/>
          <w:szCs w:val="24"/>
          <w:lang w:val="en"/>
        </w:rPr>
      </w:pPr>
      <w:proofErr w:type="spellStart"/>
      <w:r w:rsidRPr="001817B1">
        <w:rPr>
          <w:rStyle w:val="slug-pages3"/>
          <w:rFonts w:ascii="Century Gothic" w:hAnsi="Century Gothic" w:cs="Lucida Sans Unicode"/>
          <w:b w:val="0"/>
          <w:sz w:val="24"/>
          <w:szCs w:val="24"/>
          <w:lang w:val="en"/>
        </w:rPr>
        <w:t>Wizemann</w:t>
      </w:r>
      <w:proofErr w:type="spellEnd"/>
      <w:r w:rsidRPr="001817B1">
        <w:rPr>
          <w:rStyle w:val="slug-pages3"/>
          <w:rFonts w:ascii="Century Gothic" w:hAnsi="Century Gothic" w:cs="Lucida Sans Unicode"/>
          <w:b w:val="0"/>
          <w:sz w:val="24"/>
          <w:szCs w:val="24"/>
          <w:lang w:val="en"/>
        </w:rPr>
        <w:t xml:space="preserve"> V, Tong L, </w:t>
      </w:r>
      <w:proofErr w:type="spellStart"/>
      <w:r w:rsidRPr="001817B1">
        <w:rPr>
          <w:rStyle w:val="slug-pages3"/>
          <w:rFonts w:ascii="Century Gothic" w:hAnsi="Century Gothic" w:cs="Lucida Sans Unicode"/>
          <w:b w:val="0"/>
          <w:sz w:val="24"/>
          <w:szCs w:val="24"/>
          <w:lang w:val="en"/>
        </w:rPr>
        <w:t>Satayathum</w:t>
      </w:r>
      <w:proofErr w:type="spellEnd"/>
      <w:r w:rsidRPr="001817B1">
        <w:rPr>
          <w:rStyle w:val="slug-pages3"/>
          <w:rFonts w:ascii="Century Gothic" w:hAnsi="Century Gothic" w:cs="Lucida Sans Unicode"/>
          <w:b w:val="0"/>
          <w:sz w:val="24"/>
          <w:szCs w:val="24"/>
          <w:lang w:val="en"/>
        </w:rPr>
        <w:t xml:space="preserve"> S, Disney A, </w:t>
      </w:r>
      <w:proofErr w:type="spellStart"/>
      <w:r w:rsidRPr="001817B1">
        <w:rPr>
          <w:rStyle w:val="slug-pages3"/>
          <w:rFonts w:ascii="Century Gothic" w:hAnsi="Century Gothic" w:cs="Lucida Sans Unicode"/>
          <w:b w:val="0"/>
          <w:sz w:val="24"/>
          <w:szCs w:val="24"/>
          <w:lang w:val="en"/>
        </w:rPr>
        <w:t>Akiba</w:t>
      </w:r>
      <w:proofErr w:type="spellEnd"/>
      <w:r w:rsidRPr="001817B1">
        <w:rPr>
          <w:rStyle w:val="slug-pages3"/>
          <w:rFonts w:ascii="Century Gothic" w:hAnsi="Century Gothic" w:cs="Lucida Sans Unicode"/>
          <w:b w:val="0"/>
          <w:sz w:val="24"/>
          <w:szCs w:val="24"/>
          <w:lang w:val="en"/>
        </w:rPr>
        <w:t xml:space="preserve"> T, </w:t>
      </w:r>
      <w:proofErr w:type="spellStart"/>
      <w:r w:rsidRPr="001817B1">
        <w:rPr>
          <w:rStyle w:val="slug-pages3"/>
          <w:rFonts w:ascii="Century Gothic" w:hAnsi="Century Gothic" w:cs="Lucida Sans Unicode"/>
          <w:b w:val="0"/>
          <w:sz w:val="24"/>
          <w:szCs w:val="24"/>
          <w:lang w:val="en"/>
        </w:rPr>
        <w:t>Fissell</w:t>
      </w:r>
      <w:proofErr w:type="spellEnd"/>
      <w:r w:rsidRPr="001817B1">
        <w:rPr>
          <w:rStyle w:val="slug-pages3"/>
          <w:rFonts w:ascii="Century Gothic" w:hAnsi="Century Gothic" w:cs="Lucida Sans Unicode"/>
          <w:b w:val="0"/>
          <w:sz w:val="24"/>
          <w:szCs w:val="24"/>
          <w:lang w:val="en"/>
        </w:rPr>
        <w:t xml:space="preserve"> RB, </w:t>
      </w:r>
      <w:r>
        <w:rPr>
          <w:rStyle w:val="slug-pages3"/>
          <w:rFonts w:ascii="Century Gothic" w:hAnsi="Century Gothic" w:cs="Lucida Sans Unicode"/>
          <w:b w:val="0"/>
          <w:sz w:val="24"/>
          <w:szCs w:val="24"/>
          <w:lang w:val="en"/>
        </w:rPr>
        <w:t xml:space="preserve">et al. </w:t>
      </w:r>
      <w:r w:rsidRPr="001817B1">
        <w:rPr>
          <w:rStyle w:val="slug-pages3"/>
          <w:rFonts w:ascii="Century Gothic" w:hAnsi="Century Gothic" w:cs="Lucida Sans Unicode"/>
          <w:b w:val="0"/>
          <w:sz w:val="24"/>
          <w:szCs w:val="24"/>
          <w:lang w:val="en"/>
        </w:rPr>
        <w:t>Atrial fibrillation in hemodialysis patients: clinical</w:t>
      </w:r>
      <w:r>
        <w:rPr>
          <w:rStyle w:val="slug-pages3"/>
          <w:rFonts w:ascii="Century Gothic" w:hAnsi="Century Gothic" w:cs="Lucida Sans Unicode"/>
          <w:b w:val="0"/>
          <w:sz w:val="24"/>
          <w:szCs w:val="24"/>
          <w:lang w:val="en"/>
        </w:rPr>
        <w:t xml:space="preserve"> </w:t>
      </w:r>
      <w:r w:rsidRPr="001817B1">
        <w:rPr>
          <w:rStyle w:val="slug-pages3"/>
          <w:rFonts w:ascii="Century Gothic" w:hAnsi="Century Gothic" w:cs="Lucida Sans Unicode"/>
          <w:b w:val="0"/>
          <w:sz w:val="24"/>
          <w:szCs w:val="24"/>
          <w:lang w:val="en"/>
        </w:rPr>
        <w:t>features and associations with anticoagulant therapy. Kidney Int. 2010</w:t>
      </w:r>
      <w:r>
        <w:rPr>
          <w:rStyle w:val="slug-pages3"/>
          <w:rFonts w:ascii="Century Gothic" w:hAnsi="Century Gothic" w:cs="Lucida Sans Unicode"/>
          <w:b w:val="0"/>
          <w:sz w:val="24"/>
          <w:szCs w:val="24"/>
          <w:lang w:val="en"/>
        </w:rPr>
        <w:t xml:space="preserve"> </w:t>
      </w:r>
      <w:r w:rsidRPr="001817B1">
        <w:rPr>
          <w:rStyle w:val="slug-pages3"/>
          <w:rFonts w:ascii="Century Gothic" w:hAnsi="Century Gothic" w:cs="Lucida Sans Unicode"/>
          <w:b w:val="0"/>
          <w:sz w:val="24"/>
          <w:szCs w:val="24"/>
          <w:lang w:val="en"/>
        </w:rPr>
        <w:t>Jun;</w:t>
      </w:r>
      <w:r>
        <w:rPr>
          <w:rStyle w:val="slug-pages3"/>
          <w:rFonts w:ascii="Century Gothic" w:hAnsi="Century Gothic" w:cs="Lucida Sans Unicode"/>
          <w:b w:val="0"/>
          <w:sz w:val="24"/>
          <w:szCs w:val="24"/>
          <w:lang w:val="en"/>
        </w:rPr>
        <w:t xml:space="preserve"> </w:t>
      </w:r>
      <w:r w:rsidRPr="001817B1">
        <w:rPr>
          <w:rStyle w:val="slug-pages3"/>
          <w:rFonts w:ascii="Century Gothic" w:hAnsi="Century Gothic" w:cs="Lucida Sans Unicode"/>
          <w:b w:val="0"/>
          <w:sz w:val="24"/>
          <w:szCs w:val="24"/>
          <w:lang w:val="en"/>
        </w:rPr>
        <w:t>77(12):1098-106.</w:t>
      </w:r>
    </w:p>
    <w:p w:rsidR="00F63962" w:rsidRPr="001817B1" w:rsidRDefault="00F63962" w:rsidP="001817B1">
      <w:pPr>
        <w:pStyle w:val="NoSpacing"/>
        <w:numPr>
          <w:ilvl w:val="0"/>
          <w:numId w:val="10"/>
        </w:numPr>
        <w:spacing w:line="480" w:lineRule="auto"/>
        <w:rPr>
          <w:rStyle w:val="slug-pages3"/>
          <w:rFonts w:ascii="Century Gothic" w:hAnsi="Century Gothic" w:cs="Lucida Sans Unicode"/>
          <w:b w:val="0"/>
          <w:sz w:val="24"/>
          <w:szCs w:val="24"/>
          <w:lang w:val="en"/>
        </w:rPr>
      </w:pPr>
      <w:r w:rsidRPr="001817B1">
        <w:rPr>
          <w:rStyle w:val="slug-pages3"/>
          <w:rFonts w:ascii="Century Gothic" w:hAnsi="Century Gothic" w:cs="Lucida Sans Unicode"/>
          <w:b w:val="0"/>
          <w:sz w:val="24"/>
          <w:szCs w:val="24"/>
          <w:lang w:val="en"/>
        </w:rPr>
        <w:t xml:space="preserve">Mac-Way F, </w:t>
      </w:r>
      <w:proofErr w:type="spellStart"/>
      <w:r w:rsidRPr="001817B1">
        <w:rPr>
          <w:rStyle w:val="slug-pages3"/>
          <w:rFonts w:ascii="Century Gothic" w:hAnsi="Century Gothic" w:cs="Lucida Sans Unicode"/>
          <w:b w:val="0"/>
          <w:sz w:val="24"/>
          <w:szCs w:val="24"/>
          <w:lang w:val="en"/>
        </w:rPr>
        <w:t>Poulin</w:t>
      </w:r>
      <w:proofErr w:type="spellEnd"/>
      <w:r w:rsidRPr="001817B1">
        <w:rPr>
          <w:rStyle w:val="slug-pages3"/>
          <w:rFonts w:ascii="Century Gothic" w:hAnsi="Century Gothic" w:cs="Lucida Sans Unicode"/>
          <w:b w:val="0"/>
          <w:sz w:val="24"/>
          <w:szCs w:val="24"/>
          <w:lang w:val="en"/>
        </w:rPr>
        <w:t xml:space="preserve"> A, </w:t>
      </w:r>
      <w:proofErr w:type="spellStart"/>
      <w:r w:rsidRPr="001817B1">
        <w:rPr>
          <w:rStyle w:val="slug-pages3"/>
          <w:rFonts w:ascii="Century Gothic" w:hAnsi="Century Gothic" w:cs="Lucida Sans Unicode"/>
          <w:b w:val="0"/>
          <w:sz w:val="24"/>
          <w:szCs w:val="24"/>
          <w:lang w:val="en"/>
        </w:rPr>
        <w:t>Utescu</w:t>
      </w:r>
      <w:proofErr w:type="spellEnd"/>
      <w:r w:rsidRPr="001817B1">
        <w:rPr>
          <w:rStyle w:val="slug-pages3"/>
          <w:rFonts w:ascii="Century Gothic" w:hAnsi="Century Gothic" w:cs="Lucida Sans Unicode"/>
          <w:b w:val="0"/>
          <w:sz w:val="24"/>
          <w:szCs w:val="24"/>
          <w:lang w:val="en"/>
        </w:rPr>
        <w:t xml:space="preserve"> MS, De </w:t>
      </w:r>
      <w:proofErr w:type="spellStart"/>
      <w:r w:rsidRPr="001817B1">
        <w:rPr>
          <w:rStyle w:val="slug-pages3"/>
          <w:rFonts w:ascii="Century Gothic" w:hAnsi="Century Gothic" w:cs="Lucida Sans Unicode"/>
          <w:b w:val="0"/>
          <w:sz w:val="24"/>
          <w:szCs w:val="24"/>
          <w:lang w:val="en"/>
        </w:rPr>
        <w:t>Serres</w:t>
      </w:r>
      <w:proofErr w:type="spellEnd"/>
      <w:r w:rsidRPr="001817B1">
        <w:rPr>
          <w:rStyle w:val="slug-pages3"/>
          <w:rFonts w:ascii="Century Gothic" w:hAnsi="Century Gothic" w:cs="Lucida Sans Unicode"/>
          <w:b w:val="0"/>
          <w:sz w:val="24"/>
          <w:szCs w:val="24"/>
          <w:lang w:val="en"/>
        </w:rPr>
        <w:t xml:space="preserve"> SA, Marquis K, </w:t>
      </w:r>
      <w:proofErr w:type="spellStart"/>
      <w:r w:rsidRPr="001817B1">
        <w:rPr>
          <w:rStyle w:val="slug-pages3"/>
          <w:rFonts w:ascii="Century Gothic" w:hAnsi="Century Gothic" w:cs="Lucida Sans Unicode"/>
          <w:b w:val="0"/>
          <w:sz w:val="24"/>
          <w:szCs w:val="24"/>
          <w:lang w:val="en"/>
        </w:rPr>
        <w:t>Douville</w:t>
      </w:r>
      <w:proofErr w:type="spellEnd"/>
      <w:r w:rsidRPr="001817B1">
        <w:rPr>
          <w:rStyle w:val="slug-pages3"/>
          <w:rFonts w:ascii="Century Gothic" w:hAnsi="Century Gothic" w:cs="Lucida Sans Unicode"/>
          <w:b w:val="0"/>
          <w:sz w:val="24"/>
          <w:szCs w:val="24"/>
          <w:lang w:val="en"/>
        </w:rPr>
        <w:t xml:space="preserve"> P et al. The impact of warfarin on the rate of progression of aortic stiffness in hemodialysis patients: a longitudinal study. </w:t>
      </w:r>
      <w:proofErr w:type="spellStart"/>
      <w:r w:rsidRPr="001817B1">
        <w:rPr>
          <w:rStyle w:val="slug-pages3"/>
          <w:rFonts w:ascii="Century Gothic" w:hAnsi="Century Gothic" w:cs="Lucida Sans Unicode"/>
          <w:b w:val="0"/>
          <w:sz w:val="24"/>
          <w:szCs w:val="24"/>
          <w:lang w:val="en"/>
        </w:rPr>
        <w:t>Nephrol</w:t>
      </w:r>
      <w:proofErr w:type="spellEnd"/>
      <w:r w:rsidRPr="001817B1">
        <w:rPr>
          <w:rStyle w:val="slug-pages3"/>
          <w:rFonts w:ascii="Century Gothic" w:hAnsi="Century Gothic" w:cs="Lucida Sans Unicode"/>
          <w:b w:val="0"/>
          <w:sz w:val="24"/>
          <w:szCs w:val="24"/>
          <w:lang w:val="en"/>
        </w:rPr>
        <w:t xml:space="preserve"> Dial Transplant. 2014 Nov; 29(11):2113-20. </w:t>
      </w:r>
    </w:p>
    <w:p w:rsidR="00F63962" w:rsidRPr="00F63962" w:rsidRDefault="00F63962" w:rsidP="00F63962">
      <w:pPr>
        <w:pStyle w:val="NoSpacing"/>
        <w:numPr>
          <w:ilvl w:val="0"/>
          <w:numId w:val="10"/>
        </w:numPr>
        <w:spacing w:line="480" w:lineRule="auto"/>
        <w:rPr>
          <w:rStyle w:val="slug-pages3"/>
          <w:rFonts w:ascii="Century Gothic" w:hAnsi="Century Gothic" w:cs="Lucida Sans Unicode"/>
          <w:b w:val="0"/>
          <w:sz w:val="24"/>
          <w:szCs w:val="24"/>
          <w:lang w:val="en"/>
        </w:rPr>
      </w:pPr>
      <w:r w:rsidRPr="00F63962">
        <w:rPr>
          <w:rStyle w:val="slug-pages3"/>
          <w:rFonts w:ascii="Century Gothic" w:hAnsi="Century Gothic" w:cs="Lucida Sans Unicode"/>
          <w:b w:val="0"/>
          <w:sz w:val="24"/>
          <w:szCs w:val="24"/>
          <w:lang w:val="en"/>
        </w:rPr>
        <w:lastRenderedPageBreak/>
        <w:t xml:space="preserve">Chan KE, Edelman ER, Wenger JB, </w:t>
      </w:r>
      <w:proofErr w:type="spellStart"/>
      <w:r w:rsidRPr="00F63962">
        <w:rPr>
          <w:rStyle w:val="slug-pages3"/>
          <w:rFonts w:ascii="Century Gothic" w:hAnsi="Century Gothic" w:cs="Lucida Sans Unicode"/>
          <w:b w:val="0"/>
          <w:sz w:val="24"/>
          <w:szCs w:val="24"/>
          <w:lang w:val="en"/>
        </w:rPr>
        <w:t>Thadhani</w:t>
      </w:r>
      <w:proofErr w:type="spellEnd"/>
      <w:r w:rsidRPr="00F63962">
        <w:rPr>
          <w:rStyle w:val="slug-pages3"/>
          <w:rFonts w:ascii="Century Gothic" w:hAnsi="Century Gothic" w:cs="Lucida Sans Unicode"/>
          <w:b w:val="0"/>
          <w:sz w:val="24"/>
          <w:szCs w:val="24"/>
          <w:lang w:val="en"/>
        </w:rPr>
        <w:t xml:space="preserve"> RI, Maddux FW. </w:t>
      </w:r>
      <w:proofErr w:type="spellStart"/>
      <w:r w:rsidRPr="00F63962">
        <w:rPr>
          <w:rStyle w:val="slug-pages3"/>
          <w:rFonts w:ascii="Century Gothic" w:hAnsi="Century Gothic" w:cs="Lucida Sans Unicode"/>
          <w:b w:val="0"/>
          <w:sz w:val="24"/>
          <w:szCs w:val="24"/>
          <w:lang w:val="en"/>
        </w:rPr>
        <w:t>Dabigatran</w:t>
      </w:r>
      <w:proofErr w:type="spellEnd"/>
      <w:r w:rsidRPr="00F63962">
        <w:rPr>
          <w:rStyle w:val="slug-pages3"/>
          <w:rFonts w:ascii="Century Gothic" w:hAnsi="Century Gothic" w:cs="Lucida Sans Unicode"/>
          <w:b w:val="0"/>
          <w:sz w:val="24"/>
          <w:szCs w:val="24"/>
          <w:lang w:val="en"/>
        </w:rPr>
        <w:t xml:space="preserve"> and</w:t>
      </w:r>
      <w:r>
        <w:rPr>
          <w:rStyle w:val="slug-pages3"/>
          <w:rFonts w:ascii="Century Gothic" w:hAnsi="Century Gothic" w:cs="Lucida Sans Unicode"/>
          <w:b w:val="0"/>
          <w:sz w:val="24"/>
          <w:szCs w:val="24"/>
          <w:lang w:val="en"/>
        </w:rPr>
        <w:t xml:space="preserve"> </w:t>
      </w:r>
      <w:proofErr w:type="spellStart"/>
      <w:r w:rsidRPr="00F63962">
        <w:rPr>
          <w:rStyle w:val="slug-pages3"/>
          <w:rFonts w:ascii="Century Gothic" w:hAnsi="Century Gothic" w:cs="Lucida Sans Unicode"/>
          <w:b w:val="0"/>
          <w:sz w:val="24"/>
          <w:szCs w:val="24"/>
          <w:lang w:val="en"/>
        </w:rPr>
        <w:t>rivaroxaban</w:t>
      </w:r>
      <w:proofErr w:type="spellEnd"/>
      <w:r w:rsidRPr="00F63962">
        <w:rPr>
          <w:rStyle w:val="slug-pages3"/>
          <w:rFonts w:ascii="Century Gothic" w:hAnsi="Century Gothic" w:cs="Lucida Sans Unicode"/>
          <w:b w:val="0"/>
          <w:sz w:val="24"/>
          <w:szCs w:val="24"/>
          <w:lang w:val="en"/>
        </w:rPr>
        <w:t xml:space="preserve"> use in atrial fibrillation patients on hemodialysis. Circulation.</w:t>
      </w:r>
      <w:r>
        <w:rPr>
          <w:rStyle w:val="slug-pages3"/>
          <w:rFonts w:ascii="Century Gothic" w:hAnsi="Century Gothic" w:cs="Lucida Sans Unicode"/>
          <w:b w:val="0"/>
          <w:sz w:val="24"/>
          <w:szCs w:val="24"/>
          <w:lang w:val="en"/>
        </w:rPr>
        <w:t xml:space="preserve"> </w:t>
      </w:r>
      <w:r w:rsidRPr="00F63962">
        <w:rPr>
          <w:rStyle w:val="slug-pages3"/>
          <w:rFonts w:ascii="Century Gothic" w:hAnsi="Century Gothic" w:cs="Lucida Sans Unicode"/>
          <w:b w:val="0"/>
          <w:sz w:val="24"/>
          <w:szCs w:val="24"/>
          <w:lang w:val="en"/>
        </w:rPr>
        <w:t>2015 Mar 17</w:t>
      </w:r>
      <w:proofErr w:type="gramStart"/>
      <w:r w:rsidRPr="00F63962">
        <w:rPr>
          <w:rStyle w:val="slug-pages3"/>
          <w:rFonts w:ascii="Century Gothic" w:hAnsi="Century Gothic" w:cs="Lucida Sans Unicode"/>
          <w:b w:val="0"/>
          <w:sz w:val="24"/>
          <w:szCs w:val="24"/>
          <w:lang w:val="en"/>
        </w:rPr>
        <w:t>;131</w:t>
      </w:r>
      <w:proofErr w:type="gramEnd"/>
      <w:r w:rsidRPr="00F63962">
        <w:rPr>
          <w:rStyle w:val="slug-pages3"/>
          <w:rFonts w:ascii="Century Gothic" w:hAnsi="Century Gothic" w:cs="Lucida Sans Unicode"/>
          <w:b w:val="0"/>
          <w:sz w:val="24"/>
          <w:szCs w:val="24"/>
          <w:lang w:val="en"/>
        </w:rPr>
        <w:t>(11):972-9.</w:t>
      </w:r>
    </w:p>
    <w:p w:rsidR="00F63962" w:rsidRDefault="00F63962" w:rsidP="00F63962">
      <w:pPr>
        <w:pStyle w:val="NoSpacing"/>
        <w:numPr>
          <w:ilvl w:val="0"/>
          <w:numId w:val="10"/>
        </w:numPr>
        <w:spacing w:line="480" w:lineRule="auto"/>
        <w:rPr>
          <w:rStyle w:val="slug-pages3"/>
          <w:rFonts w:ascii="Century Gothic" w:hAnsi="Century Gothic"/>
          <w:b w:val="0"/>
          <w:bCs w:val="0"/>
          <w:sz w:val="24"/>
          <w:szCs w:val="24"/>
        </w:rPr>
      </w:pPr>
      <w:proofErr w:type="spellStart"/>
      <w:r w:rsidRPr="00F63962">
        <w:rPr>
          <w:rFonts w:ascii="Century Gothic" w:hAnsi="Century Gothic" w:cs="Lucida Sans Unicode"/>
          <w:bCs/>
          <w:sz w:val="24"/>
          <w:szCs w:val="24"/>
          <w:lang w:val="en-CA"/>
        </w:rPr>
        <w:t>Skanes</w:t>
      </w:r>
      <w:proofErr w:type="spellEnd"/>
      <w:r w:rsidRPr="00F63962">
        <w:rPr>
          <w:rFonts w:ascii="Century Gothic" w:hAnsi="Century Gothic" w:cs="Lucida Sans Unicode"/>
          <w:bCs/>
          <w:sz w:val="24"/>
          <w:szCs w:val="24"/>
          <w:lang w:val="en-CA"/>
        </w:rPr>
        <w:t xml:space="preserve"> AC, Healey JS, Cairns JA, D</w:t>
      </w:r>
      <w:r>
        <w:rPr>
          <w:rFonts w:ascii="Century Gothic" w:hAnsi="Century Gothic" w:cs="Lucida Sans Unicode"/>
          <w:bCs/>
          <w:sz w:val="24"/>
          <w:szCs w:val="24"/>
          <w:lang w:val="en-CA"/>
        </w:rPr>
        <w:t xml:space="preserve">orian P, Gillis AM, </w:t>
      </w:r>
      <w:proofErr w:type="spellStart"/>
      <w:r>
        <w:rPr>
          <w:rFonts w:ascii="Century Gothic" w:hAnsi="Century Gothic" w:cs="Lucida Sans Unicode"/>
          <w:bCs/>
          <w:sz w:val="24"/>
          <w:szCs w:val="24"/>
          <w:lang w:val="en-CA"/>
        </w:rPr>
        <w:t>McMurtry</w:t>
      </w:r>
      <w:proofErr w:type="spellEnd"/>
      <w:r>
        <w:rPr>
          <w:rFonts w:ascii="Century Gothic" w:hAnsi="Century Gothic" w:cs="Lucida Sans Unicode"/>
          <w:bCs/>
          <w:sz w:val="24"/>
          <w:szCs w:val="24"/>
          <w:lang w:val="en-CA"/>
        </w:rPr>
        <w:t xml:space="preserve"> MS </w:t>
      </w:r>
      <w:r w:rsidR="005702D2" w:rsidRPr="00F63962">
        <w:rPr>
          <w:rStyle w:val="slug-pages3"/>
          <w:rFonts w:ascii="Century Gothic" w:hAnsi="Century Gothic" w:cs="Lucida Sans Unicode"/>
          <w:b w:val="0"/>
          <w:sz w:val="24"/>
          <w:szCs w:val="24"/>
          <w:lang w:val="en"/>
        </w:rPr>
        <w:t>et al. Focused 2012 update of the Canadian Cardiovascular Society atrial fibrillation guidelines: recommendations for stroke prevention and rate/rhythm control</w:t>
      </w:r>
      <w:r w:rsidR="008466ED" w:rsidRPr="00F63962">
        <w:rPr>
          <w:rStyle w:val="slug-pages3"/>
          <w:rFonts w:ascii="Century Gothic" w:hAnsi="Century Gothic" w:cs="Lucida Sans Unicode"/>
          <w:b w:val="0"/>
          <w:sz w:val="24"/>
          <w:szCs w:val="24"/>
          <w:lang w:val="en"/>
        </w:rPr>
        <w:t xml:space="preserve">. Can J </w:t>
      </w:r>
      <w:proofErr w:type="spellStart"/>
      <w:r w:rsidR="008466ED" w:rsidRPr="00F63962">
        <w:rPr>
          <w:rStyle w:val="slug-pages3"/>
          <w:rFonts w:ascii="Century Gothic" w:hAnsi="Century Gothic" w:cs="Lucida Sans Unicode"/>
          <w:b w:val="0"/>
          <w:sz w:val="24"/>
          <w:szCs w:val="24"/>
          <w:lang w:val="en"/>
        </w:rPr>
        <w:t>Cardiol</w:t>
      </w:r>
      <w:proofErr w:type="spellEnd"/>
      <w:r w:rsidR="008466ED" w:rsidRPr="00F63962">
        <w:rPr>
          <w:rStyle w:val="slug-pages3"/>
          <w:rFonts w:ascii="Century Gothic" w:hAnsi="Century Gothic" w:cs="Lucida Sans Unicode"/>
          <w:b w:val="0"/>
          <w:sz w:val="24"/>
          <w:szCs w:val="24"/>
          <w:lang w:val="en"/>
        </w:rPr>
        <w:t>. 201</w:t>
      </w:r>
      <w:r>
        <w:rPr>
          <w:rStyle w:val="slug-pages3"/>
          <w:rFonts w:ascii="Century Gothic" w:hAnsi="Century Gothic" w:cs="Lucida Sans Unicode"/>
          <w:b w:val="0"/>
          <w:sz w:val="24"/>
          <w:szCs w:val="24"/>
          <w:lang w:val="en"/>
        </w:rPr>
        <w:t>2; 28: 125-136</w:t>
      </w:r>
    </w:p>
    <w:p w:rsidR="008466ED" w:rsidRPr="00F63962" w:rsidRDefault="001817B1" w:rsidP="001817B1">
      <w:pPr>
        <w:pStyle w:val="NoSpacing"/>
        <w:numPr>
          <w:ilvl w:val="0"/>
          <w:numId w:val="10"/>
        </w:numPr>
        <w:spacing w:line="480" w:lineRule="auto"/>
        <w:rPr>
          <w:rStyle w:val="slug-pages3"/>
          <w:rFonts w:ascii="Century Gothic" w:hAnsi="Century Gothic"/>
          <w:b w:val="0"/>
          <w:bCs w:val="0"/>
          <w:sz w:val="24"/>
          <w:szCs w:val="24"/>
        </w:rPr>
      </w:pPr>
      <w:r w:rsidRPr="001817B1">
        <w:rPr>
          <w:rFonts w:ascii="Century Gothic" w:hAnsi="Century Gothic"/>
          <w:sz w:val="24"/>
          <w:szCs w:val="24"/>
          <w:lang w:val="en"/>
        </w:rPr>
        <w:t xml:space="preserve">Herzog CA, </w:t>
      </w:r>
      <w:proofErr w:type="spellStart"/>
      <w:r w:rsidRPr="001817B1">
        <w:rPr>
          <w:rFonts w:ascii="Century Gothic" w:hAnsi="Century Gothic"/>
          <w:sz w:val="24"/>
          <w:szCs w:val="24"/>
          <w:lang w:val="en"/>
        </w:rPr>
        <w:t>Asinger</w:t>
      </w:r>
      <w:proofErr w:type="spellEnd"/>
      <w:r w:rsidRPr="001817B1">
        <w:rPr>
          <w:rFonts w:ascii="Century Gothic" w:hAnsi="Century Gothic"/>
          <w:sz w:val="24"/>
          <w:szCs w:val="24"/>
          <w:lang w:val="en"/>
        </w:rPr>
        <w:t xml:space="preserve"> RW, Berger AK, </w:t>
      </w:r>
      <w:proofErr w:type="spellStart"/>
      <w:r w:rsidRPr="001817B1">
        <w:rPr>
          <w:rFonts w:ascii="Century Gothic" w:hAnsi="Century Gothic"/>
          <w:sz w:val="24"/>
          <w:szCs w:val="24"/>
          <w:lang w:val="en"/>
        </w:rPr>
        <w:t>Charytan</w:t>
      </w:r>
      <w:proofErr w:type="spellEnd"/>
      <w:r>
        <w:rPr>
          <w:rFonts w:ascii="Century Gothic" w:hAnsi="Century Gothic"/>
          <w:sz w:val="24"/>
          <w:szCs w:val="24"/>
          <w:lang w:val="en"/>
        </w:rPr>
        <w:t xml:space="preserve"> DM, </w:t>
      </w:r>
      <w:proofErr w:type="spellStart"/>
      <w:r>
        <w:rPr>
          <w:rFonts w:ascii="Century Gothic" w:hAnsi="Century Gothic"/>
          <w:sz w:val="24"/>
          <w:szCs w:val="24"/>
          <w:lang w:val="en"/>
        </w:rPr>
        <w:t>Díez</w:t>
      </w:r>
      <w:proofErr w:type="spellEnd"/>
      <w:r>
        <w:rPr>
          <w:rFonts w:ascii="Century Gothic" w:hAnsi="Century Gothic"/>
          <w:sz w:val="24"/>
          <w:szCs w:val="24"/>
          <w:lang w:val="en"/>
        </w:rPr>
        <w:t xml:space="preserve"> J, Hart RG </w:t>
      </w:r>
      <w:r w:rsidR="008466ED" w:rsidRPr="00F63962">
        <w:rPr>
          <w:rFonts w:ascii="Century Gothic" w:hAnsi="Century Gothic"/>
          <w:sz w:val="24"/>
          <w:szCs w:val="24"/>
          <w:lang w:val="en"/>
        </w:rPr>
        <w:t>et al. Cardiovascular disease in chronic kidney disease. A clinical update from Kidney Disease: Improving Global Outcomes (KDIGO). Kidney Int. 2011;</w:t>
      </w:r>
      <w:r w:rsidR="00F63962">
        <w:rPr>
          <w:rFonts w:ascii="Century Gothic" w:hAnsi="Century Gothic"/>
          <w:sz w:val="24"/>
          <w:szCs w:val="24"/>
          <w:lang w:val="en"/>
        </w:rPr>
        <w:t xml:space="preserve"> </w:t>
      </w:r>
      <w:r w:rsidR="008466ED" w:rsidRPr="00F63962">
        <w:rPr>
          <w:rFonts w:ascii="Century Gothic" w:hAnsi="Century Gothic"/>
          <w:sz w:val="24"/>
          <w:szCs w:val="24"/>
          <w:lang w:val="en"/>
        </w:rPr>
        <w:t>80:</w:t>
      </w:r>
      <w:r w:rsidR="00F63962">
        <w:rPr>
          <w:rFonts w:ascii="Century Gothic" w:hAnsi="Century Gothic"/>
          <w:sz w:val="24"/>
          <w:szCs w:val="24"/>
          <w:lang w:val="en"/>
        </w:rPr>
        <w:t xml:space="preserve"> </w:t>
      </w:r>
      <w:r w:rsidR="008466ED" w:rsidRPr="00F63962">
        <w:rPr>
          <w:rFonts w:ascii="Century Gothic" w:hAnsi="Century Gothic"/>
          <w:sz w:val="24"/>
          <w:szCs w:val="24"/>
          <w:lang w:val="en"/>
        </w:rPr>
        <w:t>572–586</w:t>
      </w:r>
    </w:p>
    <w:p w:rsidR="006111B9" w:rsidRDefault="006111B9" w:rsidP="006111B9">
      <w:pPr>
        <w:pStyle w:val="ListParagraph"/>
        <w:ind w:right="907"/>
        <w:rPr>
          <w:rFonts w:ascii="Century Gothic" w:eastAsia="Cambria" w:hAnsi="Century Gothic" w:cs="Times New Roman"/>
          <w:b/>
          <w:lang w:val="en-US"/>
        </w:rPr>
      </w:pPr>
    </w:p>
    <w:p w:rsidR="006111B9" w:rsidRDefault="006111B9" w:rsidP="006111B9">
      <w:pPr>
        <w:pStyle w:val="ListParagraph"/>
        <w:ind w:right="907"/>
        <w:rPr>
          <w:rFonts w:ascii="Century Gothic" w:eastAsia="Cambria" w:hAnsi="Century Gothic" w:cs="Times New Roman"/>
          <w:b/>
          <w:lang w:val="en-US"/>
        </w:rPr>
      </w:pPr>
    </w:p>
    <w:p w:rsidR="006111B9" w:rsidRDefault="006111B9" w:rsidP="006111B9">
      <w:pPr>
        <w:pStyle w:val="ListParagraph"/>
        <w:ind w:right="907"/>
        <w:rPr>
          <w:rFonts w:ascii="Century Gothic" w:eastAsia="Cambria" w:hAnsi="Century Gothic" w:cs="Times New Roman"/>
          <w:b/>
          <w:lang w:val="en-US"/>
        </w:rPr>
      </w:pPr>
    </w:p>
    <w:p w:rsidR="006111B9" w:rsidRDefault="006111B9" w:rsidP="006111B9">
      <w:pPr>
        <w:pStyle w:val="ListParagraph"/>
        <w:ind w:right="907"/>
        <w:rPr>
          <w:rFonts w:ascii="Century Gothic" w:eastAsia="Cambria" w:hAnsi="Century Gothic" w:cs="Times New Roman"/>
          <w:b/>
          <w:lang w:val="en-US"/>
        </w:rPr>
      </w:pPr>
    </w:p>
    <w:p w:rsidR="006111B9" w:rsidRDefault="006111B9" w:rsidP="006111B9">
      <w:pPr>
        <w:pStyle w:val="ListParagraph"/>
        <w:ind w:right="907"/>
        <w:rPr>
          <w:rFonts w:ascii="Century Gothic" w:eastAsia="Cambria" w:hAnsi="Century Gothic" w:cs="Times New Roman"/>
          <w:b/>
          <w:lang w:val="en-US"/>
        </w:rPr>
      </w:pPr>
    </w:p>
    <w:p w:rsidR="006111B9" w:rsidRDefault="006111B9" w:rsidP="006111B9">
      <w:pPr>
        <w:pStyle w:val="ListParagraph"/>
        <w:ind w:right="907"/>
        <w:rPr>
          <w:rFonts w:ascii="Century Gothic" w:eastAsia="Cambria" w:hAnsi="Century Gothic" w:cs="Times New Roman"/>
          <w:b/>
          <w:lang w:val="en-US"/>
        </w:rPr>
      </w:pPr>
    </w:p>
    <w:p w:rsidR="006111B9" w:rsidRDefault="006111B9" w:rsidP="006111B9">
      <w:pPr>
        <w:pStyle w:val="ListParagraph"/>
        <w:ind w:right="907"/>
        <w:rPr>
          <w:rFonts w:ascii="Century Gothic" w:eastAsia="Cambria" w:hAnsi="Century Gothic" w:cs="Times New Roman"/>
          <w:b/>
          <w:lang w:val="en-US"/>
        </w:rPr>
      </w:pPr>
    </w:p>
    <w:p w:rsidR="006111B9" w:rsidRDefault="006111B9" w:rsidP="006111B9">
      <w:pPr>
        <w:pStyle w:val="ListParagraph"/>
        <w:ind w:right="907"/>
        <w:rPr>
          <w:rFonts w:ascii="Century Gothic" w:eastAsia="Cambria" w:hAnsi="Century Gothic" w:cs="Times New Roman"/>
          <w:b/>
          <w:lang w:val="en-US"/>
        </w:rPr>
      </w:pPr>
    </w:p>
    <w:p w:rsidR="006111B9" w:rsidRDefault="006111B9" w:rsidP="006111B9">
      <w:pPr>
        <w:pStyle w:val="ListParagraph"/>
        <w:ind w:right="907"/>
        <w:rPr>
          <w:rFonts w:ascii="Century Gothic" w:eastAsia="Cambria" w:hAnsi="Century Gothic" w:cs="Times New Roman"/>
          <w:b/>
          <w:lang w:val="en-US"/>
        </w:rPr>
      </w:pPr>
    </w:p>
    <w:p w:rsidR="006111B9" w:rsidRDefault="006111B9" w:rsidP="006111B9">
      <w:pPr>
        <w:pStyle w:val="ListParagraph"/>
        <w:ind w:right="907"/>
        <w:rPr>
          <w:rFonts w:ascii="Century Gothic" w:eastAsia="Cambria" w:hAnsi="Century Gothic" w:cs="Times New Roman"/>
          <w:b/>
          <w:lang w:val="en-US"/>
        </w:rPr>
      </w:pPr>
    </w:p>
    <w:p w:rsidR="006111B9" w:rsidRDefault="006111B9" w:rsidP="006111B9">
      <w:pPr>
        <w:pStyle w:val="ListParagraph"/>
        <w:ind w:right="907"/>
        <w:rPr>
          <w:rFonts w:ascii="Century Gothic" w:eastAsia="Cambria" w:hAnsi="Century Gothic" w:cs="Times New Roman"/>
          <w:b/>
          <w:lang w:val="en-US"/>
        </w:rPr>
      </w:pPr>
    </w:p>
    <w:p w:rsidR="006111B9" w:rsidRDefault="006111B9" w:rsidP="006111B9">
      <w:pPr>
        <w:pStyle w:val="ListParagraph"/>
        <w:ind w:right="907"/>
        <w:rPr>
          <w:rFonts w:ascii="Century Gothic" w:eastAsia="Cambria" w:hAnsi="Century Gothic" w:cs="Times New Roman"/>
          <w:b/>
          <w:lang w:val="en-US"/>
        </w:rPr>
      </w:pPr>
    </w:p>
    <w:p w:rsidR="006111B9" w:rsidRDefault="006111B9" w:rsidP="006111B9">
      <w:pPr>
        <w:pStyle w:val="ListParagraph"/>
        <w:ind w:right="907"/>
        <w:rPr>
          <w:rFonts w:ascii="Century Gothic" w:eastAsia="Cambria" w:hAnsi="Century Gothic" w:cs="Times New Roman"/>
          <w:b/>
          <w:lang w:val="en-US"/>
        </w:rPr>
      </w:pPr>
    </w:p>
    <w:p w:rsidR="006111B9" w:rsidRDefault="006111B9" w:rsidP="006111B9">
      <w:pPr>
        <w:pStyle w:val="ListParagraph"/>
        <w:ind w:right="907"/>
        <w:rPr>
          <w:rFonts w:ascii="Century Gothic" w:eastAsia="Cambria" w:hAnsi="Century Gothic" w:cs="Times New Roman"/>
          <w:b/>
          <w:lang w:val="en-US"/>
        </w:rPr>
      </w:pPr>
    </w:p>
    <w:p w:rsidR="006111B9" w:rsidRDefault="006111B9" w:rsidP="006111B9">
      <w:pPr>
        <w:pStyle w:val="ListParagraph"/>
        <w:ind w:right="907"/>
        <w:rPr>
          <w:rFonts w:ascii="Century Gothic" w:eastAsia="Cambria" w:hAnsi="Century Gothic" w:cs="Times New Roman"/>
          <w:b/>
          <w:lang w:val="en-US"/>
        </w:rPr>
      </w:pPr>
    </w:p>
    <w:p w:rsidR="006111B9" w:rsidRDefault="006111B9" w:rsidP="006111B9">
      <w:pPr>
        <w:pStyle w:val="ListParagraph"/>
        <w:ind w:right="907"/>
        <w:rPr>
          <w:rFonts w:ascii="Century Gothic" w:eastAsia="Cambria" w:hAnsi="Century Gothic" w:cs="Times New Roman"/>
          <w:b/>
          <w:lang w:val="en-US"/>
        </w:rPr>
      </w:pPr>
    </w:p>
    <w:p w:rsidR="006111B9" w:rsidRDefault="006111B9" w:rsidP="006111B9">
      <w:pPr>
        <w:pStyle w:val="ListParagraph"/>
        <w:ind w:right="907"/>
        <w:rPr>
          <w:rFonts w:ascii="Century Gothic" w:eastAsia="Cambria" w:hAnsi="Century Gothic" w:cs="Times New Roman"/>
          <w:b/>
          <w:lang w:val="en-US"/>
        </w:rPr>
      </w:pPr>
    </w:p>
    <w:p w:rsidR="006111B9" w:rsidRDefault="006111B9" w:rsidP="006111B9">
      <w:pPr>
        <w:pStyle w:val="ListParagraph"/>
        <w:ind w:right="907"/>
        <w:rPr>
          <w:rFonts w:ascii="Century Gothic" w:eastAsia="Cambria" w:hAnsi="Century Gothic" w:cs="Times New Roman"/>
          <w:b/>
          <w:lang w:val="en-US"/>
        </w:rPr>
      </w:pPr>
    </w:p>
    <w:p w:rsidR="006111B9" w:rsidRDefault="006111B9" w:rsidP="006111B9">
      <w:pPr>
        <w:pStyle w:val="ListParagraph"/>
        <w:ind w:right="907"/>
        <w:rPr>
          <w:rFonts w:ascii="Century Gothic" w:eastAsia="Cambria" w:hAnsi="Century Gothic" w:cs="Times New Roman"/>
          <w:b/>
          <w:lang w:val="en-US"/>
        </w:rPr>
      </w:pPr>
    </w:p>
    <w:p w:rsidR="006111B9" w:rsidRDefault="006111B9" w:rsidP="006111B9">
      <w:pPr>
        <w:pStyle w:val="ListParagraph"/>
        <w:ind w:right="907"/>
        <w:rPr>
          <w:rFonts w:ascii="Century Gothic" w:eastAsia="Cambria" w:hAnsi="Century Gothic" w:cs="Times New Roman"/>
          <w:b/>
          <w:lang w:val="en-US"/>
        </w:rPr>
      </w:pPr>
    </w:p>
    <w:p w:rsidR="006111B9" w:rsidRDefault="006111B9" w:rsidP="006111B9">
      <w:pPr>
        <w:pStyle w:val="ListParagraph"/>
        <w:ind w:right="907"/>
        <w:rPr>
          <w:rFonts w:ascii="Century Gothic" w:eastAsia="Cambria" w:hAnsi="Century Gothic" w:cs="Times New Roman"/>
          <w:b/>
          <w:lang w:val="en-US"/>
        </w:rPr>
      </w:pPr>
    </w:p>
    <w:p w:rsidR="006111B9" w:rsidRDefault="006111B9" w:rsidP="006111B9">
      <w:pPr>
        <w:pStyle w:val="ListParagraph"/>
        <w:ind w:right="907"/>
        <w:rPr>
          <w:rFonts w:ascii="Century Gothic" w:eastAsia="Cambria" w:hAnsi="Century Gothic" w:cs="Times New Roman"/>
          <w:b/>
          <w:lang w:val="en-US"/>
        </w:rPr>
      </w:pPr>
    </w:p>
    <w:p w:rsidR="006111B9" w:rsidRPr="006111B9" w:rsidRDefault="006111B9" w:rsidP="006111B9">
      <w:pPr>
        <w:pStyle w:val="ListParagraph"/>
        <w:ind w:right="907"/>
        <w:rPr>
          <w:rFonts w:ascii="Century Gothic" w:eastAsia="Cambria" w:hAnsi="Century Gothic" w:cs="Times New Roman"/>
          <w:b/>
          <w:lang w:val="en-US"/>
        </w:rPr>
      </w:pPr>
      <w:proofErr w:type="gramStart"/>
      <w:r w:rsidRPr="006111B9">
        <w:rPr>
          <w:rFonts w:ascii="Century Gothic" w:eastAsia="Cambria" w:hAnsi="Century Gothic" w:cs="Times New Roman"/>
          <w:b/>
          <w:lang w:val="en-US"/>
        </w:rPr>
        <w:lastRenderedPageBreak/>
        <w:t>Table 1.</w:t>
      </w:r>
      <w:proofErr w:type="gramEnd"/>
      <w:r w:rsidRPr="006111B9">
        <w:rPr>
          <w:rFonts w:ascii="Century Gothic" w:eastAsia="Cambria" w:hAnsi="Century Gothic" w:cs="Times New Roman"/>
          <w:b/>
          <w:lang w:val="en-US"/>
        </w:rPr>
        <w:t xml:space="preserve"> Demographics </w:t>
      </w:r>
    </w:p>
    <w:p w:rsidR="006111B9" w:rsidRPr="006111B9" w:rsidRDefault="006111B9" w:rsidP="006111B9">
      <w:pPr>
        <w:ind w:right="907"/>
        <w:rPr>
          <w:rFonts w:ascii="Century Gothic" w:eastAsia="Cambria" w:hAnsi="Century Gothic" w:cs="Times New Roman"/>
          <w:b/>
          <w:lang w:val="en-US"/>
        </w:rPr>
      </w:pPr>
    </w:p>
    <w:tbl>
      <w:tblPr>
        <w:tblStyle w:val="TableGrid1"/>
        <w:tblW w:w="0" w:type="auto"/>
        <w:tblLook w:val="04A0" w:firstRow="1" w:lastRow="0" w:firstColumn="1" w:lastColumn="0" w:noHBand="0" w:noVBand="1"/>
      </w:tblPr>
      <w:tblGrid>
        <w:gridCol w:w="2320"/>
        <w:gridCol w:w="2466"/>
        <w:gridCol w:w="2977"/>
        <w:gridCol w:w="1093"/>
      </w:tblGrid>
      <w:tr w:rsidR="006111B9" w:rsidRPr="00A42C04" w:rsidTr="006E79D8">
        <w:tc>
          <w:tcPr>
            <w:tcW w:w="2320" w:type="dxa"/>
            <w:shd w:val="clear" w:color="auto" w:fill="C6D9F1" w:themeFill="text2" w:themeFillTint="33"/>
          </w:tcPr>
          <w:p w:rsidR="006111B9" w:rsidRPr="00A42C04" w:rsidRDefault="006111B9" w:rsidP="006E79D8">
            <w:pPr>
              <w:autoSpaceDE w:val="0"/>
              <w:autoSpaceDN w:val="0"/>
              <w:adjustRightInd w:val="0"/>
              <w:rPr>
                <w:rFonts w:ascii="Century Gothic" w:eastAsia="MS Mincho" w:hAnsi="Century Gothic" w:cs="TimesNewRomanPSMT"/>
                <w:sz w:val="24"/>
                <w:szCs w:val="24"/>
                <w:lang w:val="en-CA"/>
              </w:rPr>
            </w:pPr>
            <w:r w:rsidRPr="00A42C04">
              <w:rPr>
                <w:rFonts w:ascii="Century Gothic" w:eastAsia="MS Mincho" w:hAnsi="Century Gothic" w:cs="TimesNewRomanPSMT"/>
                <w:sz w:val="24"/>
                <w:szCs w:val="24"/>
                <w:lang w:val="en-CA"/>
              </w:rPr>
              <w:t>Variables</w:t>
            </w:r>
          </w:p>
        </w:tc>
        <w:tc>
          <w:tcPr>
            <w:tcW w:w="2466" w:type="dxa"/>
            <w:shd w:val="clear" w:color="auto" w:fill="C6D9F1" w:themeFill="text2" w:themeFillTint="33"/>
          </w:tcPr>
          <w:p w:rsidR="006111B9" w:rsidRPr="00A42C04" w:rsidRDefault="006111B9" w:rsidP="006E79D8">
            <w:pPr>
              <w:autoSpaceDE w:val="0"/>
              <w:autoSpaceDN w:val="0"/>
              <w:adjustRightInd w:val="0"/>
              <w:rPr>
                <w:rFonts w:ascii="Century Gothic" w:eastAsia="MS Mincho" w:hAnsi="Century Gothic" w:cs="TimesNewRomanPSMT"/>
                <w:sz w:val="24"/>
                <w:szCs w:val="24"/>
                <w:lang w:val="en-CA"/>
              </w:rPr>
            </w:pPr>
            <w:r w:rsidRPr="00A42C04">
              <w:rPr>
                <w:rFonts w:ascii="Century Gothic" w:eastAsia="MS Mincho" w:hAnsi="Century Gothic" w:cs="TimesNewRomanPSMT"/>
                <w:sz w:val="24"/>
                <w:szCs w:val="24"/>
                <w:lang w:val="en-CA"/>
              </w:rPr>
              <w:t>HD Group (Arm 1)</w:t>
            </w:r>
          </w:p>
          <w:p w:rsidR="006111B9" w:rsidRPr="00A42C04" w:rsidRDefault="006111B9" w:rsidP="006E79D8">
            <w:pPr>
              <w:autoSpaceDE w:val="0"/>
              <w:autoSpaceDN w:val="0"/>
              <w:adjustRightInd w:val="0"/>
              <w:rPr>
                <w:rFonts w:ascii="Century Gothic" w:eastAsia="MS Mincho" w:hAnsi="Century Gothic" w:cs="TimesNewRomanPSMT"/>
                <w:sz w:val="24"/>
                <w:szCs w:val="24"/>
                <w:lang w:val="en-CA"/>
              </w:rPr>
            </w:pPr>
            <w:r w:rsidRPr="00A42C04">
              <w:rPr>
                <w:rFonts w:ascii="Century Gothic" w:eastAsia="MS Mincho" w:hAnsi="Century Gothic" w:cs="TimesNewRomanPSMT"/>
                <w:sz w:val="24"/>
                <w:szCs w:val="24"/>
                <w:lang w:val="en-CA"/>
              </w:rPr>
              <w:t>N= 28</w:t>
            </w:r>
          </w:p>
        </w:tc>
        <w:tc>
          <w:tcPr>
            <w:tcW w:w="2977" w:type="dxa"/>
            <w:shd w:val="clear" w:color="auto" w:fill="C6D9F1" w:themeFill="text2" w:themeFillTint="33"/>
          </w:tcPr>
          <w:p w:rsidR="006111B9" w:rsidRPr="00A42C04" w:rsidRDefault="006111B9" w:rsidP="006E79D8">
            <w:pPr>
              <w:autoSpaceDE w:val="0"/>
              <w:autoSpaceDN w:val="0"/>
              <w:adjustRightInd w:val="0"/>
              <w:rPr>
                <w:rFonts w:ascii="Century Gothic" w:eastAsia="MS Mincho" w:hAnsi="Century Gothic" w:cs="TimesNewRomanPSMT"/>
                <w:sz w:val="24"/>
                <w:szCs w:val="24"/>
                <w:lang w:val="en-CA"/>
              </w:rPr>
            </w:pPr>
            <w:r w:rsidRPr="00A42C04">
              <w:rPr>
                <w:rFonts w:ascii="Century Gothic" w:eastAsia="MS Mincho" w:hAnsi="Century Gothic" w:cs="TimesNewRomanPSMT"/>
                <w:sz w:val="24"/>
                <w:szCs w:val="24"/>
                <w:lang w:val="en-CA"/>
              </w:rPr>
              <w:t>Non-HD Group (Arm 2)</w:t>
            </w:r>
            <w:r>
              <w:rPr>
                <w:rFonts w:ascii="Century Gothic" w:eastAsia="MS Mincho" w:hAnsi="Century Gothic" w:cs="TimesNewRomanPSMT"/>
                <w:sz w:val="24"/>
                <w:szCs w:val="24"/>
                <w:lang w:val="en-CA"/>
              </w:rPr>
              <w:t xml:space="preserve"> </w:t>
            </w:r>
            <w:r w:rsidRPr="00A42C04">
              <w:rPr>
                <w:rFonts w:ascii="Century Gothic" w:eastAsia="MS Mincho" w:hAnsi="Century Gothic" w:cs="TimesNewRomanPSMT"/>
                <w:sz w:val="24"/>
                <w:szCs w:val="24"/>
                <w:lang w:val="en-CA"/>
              </w:rPr>
              <w:t>N= 27</w:t>
            </w:r>
          </w:p>
        </w:tc>
        <w:tc>
          <w:tcPr>
            <w:tcW w:w="1093" w:type="dxa"/>
            <w:shd w:val="clear" w:color="auto" w:fill="C6D9F1" w:themeFill="text2" w:themeFillTint="33"/>
          </w:tcPr>
          <w:p w:rsidR="006111B9" w:rsidRPr="00A42C04" w:rsidRDefault="006111B9" w:rsidP="006E79D8">
            <w:pPr>
              <w:autoSpaceDE w:val="0"/>
              <w:autoSpaceDN w:val="0"/>
              <w:adjustRightInd w:val="0"/>
              <w:rPr>
                <w:rFonts w:ascii="Century Gothic" w:eastAsia="MS Mincho" w:hAnsi="Century Gothic" w:cs="TimesNewRomanPSMT"/>
                <w:sz w:val="24"/>
                <w:szCs w:val="24"/>
                <w:lang w:val="en-CA"/>
              </w:rPr>
            </w:pPr>
            <w:r w:rsidRPr="00A42C04">
              <w:rPr>
                <w:rFonts w:ascii="Century Gothic" w:eastAsia="MS Mincho" w:hAnsi="Century Gothic" w:cs="TimesNewRomanPSMT"/>
                <w:sz w:val="24"/>
                <w:szCs w:val="24"/>
                <w:lang w:val="en-CA"/>
              </w:rPr>
              <w:t>P value</w:t>
            </w:r>
          </w:p>
        </w:tc>
      </w:tr>
      <w:tr w:rsidR="006111B9" w:rsidRPr="00A42C04" w:rsidTr="006E79D8">
        <w:tc>
          <w:tcPr>
            <w:tcW w:w="2320" w:type="dxa"/>
          </w:tcPr>
          <w:p w:rsidR="006111B9" w:rsidRPr="00A42C04" w:rsidRDefault="006111B9" w:rsidP="006E79D8">
            <w:pPr>
              <w:autoSpaceDE w:val="0"/>
              <w:autoSpaceDN w:val="0"/>
              <w:adjustRightInd w:val="0"/>
              <w:rPr>
                <w:rFonts w:ascii="Century Gothic" w:eastAsia="MS Mincho" w:hAnsi="Century Gothic" w:cs="TimesNewRomanPSMT"/>
                <w:sz w:val="24"/>
                <w:szCs w:val="24"/>
                <w:lang w:val="en-CA"/>
              </w:rPr>
            </w:pPr>
            <w:r w:rsidRPr="00A42C04">
              <w:rPr>
                <w:rFonts w:ascii="Century Gothic" w:eastAsia="MS Mincho" w:hAnsi="Century Gothic" w:cs="TimesNewRomanPSMT"/>
                <w:sz w:val="24"/>
                <w:szCs w:val="24"/>
                <w:lang w:val="en-CA"/>
              </w:rPr>
              <w:t>Median weekly dose</w:t>
            </w:r>
          </w:p>
        </w:tc>
        <w:tc>
          <w:tcPr>
            <w:tcW w:w="2466" w:type="dxa"/>
          </w:tcPr>
          <w:p w:rsidR="006111B9" w:rsidRPr="00A42C04" w:rsidRDefault="006111B9" w:rsidP="006E79D8">
            <w:pPr>
              <w:autoSpaceDE w:val="0"/>
              <w:autoSpaceDN w:val="0"/>
              <w:adjustRightInd w:val="0"/>
              <w:rPr>
                <w:rFonts w:ascii="Century Gothic" w:eastAsia="MS Mincho" w:hAnsi="Century Gothic" w:cs="TimesNewRomanPSMT"/>
                <w:sz w:val="24"/>
                <w:szCs w:val="24"/>
                <w:lang w:val="en-CA"/>
              </w:rPr>
            </w:pPr>
            <w:r w:rsidRPr="00A42C04">
              <w:rPr>
                <w:rFonts w:ascii="Century Gothic" w:eastAsia="MS Mincho" w:hAnsi="Century Gothic" w:cs="TimesNewRomanPSMT"/>
                <w:sz w:val="24"/>
                <w:szCs w:val="24"/>
                <w:lang w:val="en-CA"/>
              </w:rPr>
              <w:t xml:space="preserve">23 mg </w:t>
            </w:r>
          </w:p>
        </w:tc>
        <w:tc>
          <w:tcPr>
            <w:tcW w:w="2977" w:type="dxa"/>
          </w:tcPr>
          <w:p w:rsidR="006111B9" w:rsidRPr="00A42C04" w:rsidRDefault="006111B9" w:rsidP="006E79D8">
            <w:pPr>
              <w:autoSpaceDE w:val="0"/>
              <w:autoSpaceDN w:val="0"/>
              <w:adjustRightInd w:val="0"/>
              <w:rPr>
                <w:rFonts w:ascii="Century Gothic" w:eastAsia="MS Mincho" w:hAnsi="Century Gothic" w:cs="TimesNewRomanPSMT"/>
                <w:sz w:val="24"/>
                <w:szCs w:val="24"/>
                <w:lang w:val="en-CA"/>
              </w:rPr>
            </w:pPr>
            <w:r w:rsidRPr="00A42C04">
              <w:rPr>
                <w:rFonts w:ascii="Century Gothic" w:eastAsia="MS Mincho" w:hAnsi="Century Gothic" w:cs="TimesNewRomanPSMT"/>
                <w:sz w:val="24"/>
                <w:szCs w:val="24"/>
                <w:lang w:val="en-CA"/>
              </w:rPr>
              <w:t>32 mg</w:t>
            </w:r>
          </w:p>
        </w:tc>
        <w:tc>
          <w:tcPr>
            <w:tcW w:w="1093" w:type="dxa"/>
          </w:tcPr>
          <w:p w:rsidR="006111B9" w:rsidRPr="00A42C04" w:rsidRDefault="006111B9" w:rsidP="006E79D8">
            <w:pPr>
              <w:autoSpaceDE w:val="0"/>
              <w:autoSpaceDN w:val="0"/>
              <w:adjustRightInd w:val="0"/>
              <w:rPr>
                <w:rFonts w:ascii="Century Gothic" w:eastAsia="MS Mincho" w:hAnsi="Century Gothic" w:cs="TimesNewRomanPSMT"/>
                <w:i/>
                <w:sz w:val="24"/>
                <w:szCs w:val="24"/>
                <w:lang w:val="en-CA"/>
              </w:rPr>
            </w:pPr>
            <w:r w:rsidRPr="00A42C04">
              <w:rPr>
                <w:rFonts w:ascii="Century Gothic" w:eastAsia="MS Mincho" w:hAnsi="Century Gothic" w:cs="TimesNewRomanPSMT"/>
                <w:i/>
                <w:sz w:val="24"/>
                <w:szCs w:val="24"/>
                <w:lang w:val="en-CA"/>
              </w:rPr>
              <w:t>.06</w:t>
            </w:r>
          </w:p>
        </w:tc>
      </w:tr>
      <w:tr w:rsidR="006111B9" w:rsidRPr="00A42C04" w:rsidTr="006E79D8">
        <w:tc>
          <w:tcPr>
            <w:tcW w:w="2320" w:type="dxa"/>
          </w:tcPr>
          <w:p w:rsidR="006111B9" w:rsidRPr="00A42C04" w:rsidRDefault="006111B9" w:rsidP="006E79D8">
            <w:pPr>
              <w:autoSpaceDE w:val="0"/>
              <w:autoSpaceDN w:val="0"/>
              <w:adjustRightInd w:val="0"/>
              <w:rPr>
                <w:rFonts w:ascii="Century Gothic" w:eastAsia="MS Mincho" w:hAnsi="Century Gothic" w:cs="TimesNewRomanPSMT"/>
                <w:sz w:val="24"/>
                <w:szCs w:val="24"/>
                <w:lang w:val="en-CA"/>
              </w:rPr>
            </w:pPr>
            <w:r w:rsidRPr="00A42C04">
              <w:rPr>
                <w:rFonts w:ascii="Century Gothic" w:eastAsia="MS Mincho" w:hAnsi="Century Gothic" w:cs="TimesNewRomanPSMT"/>
                <w:sz w:val="24"/>
                <w:szCs w:val="24"/>
                <w:lang w:val="en-CA"/>
              </w:rPr>
              <w:t>Mean weekly dose</w:t>
            </w:r>
          </w:p>
        </w:tc>
        <w:tc>
          <w:tcPr>
            <w:tcW w:w="2466" w:type="dxa"/>
          </w:tcPr>
          <w:p w:rsidR="006111B9" w:rsidRPr="00A42C04" w:rsidRDefault="006111B9" w:rsidP="006E79D8">
            <w:pPr>
              <w:autoSpaceDE w:val="0"/>
              <w:autoSpaceDN w:val="0"/>
              <w:adjustRightInd w:val="0"/>
              <w:rPr>
                <w:rFonts w:ascii="Century Gothic" w:eastAsia="MS Mincho" w:hAnsi="Century Gothic" w:cs="TimesNewRomanPSMT"/>
                <w:sz w:val="24"/>
                <w:szCs w:val="24"/>
                <w:lang w:val="en-CA"/>
              </w:rPr>
            </w:pPr>
            <w:r w:rsidRPr="00A42C04">
              <w:rPr>
                <w:rFonts w:ascii="Century Gothic" w:eastAsia="MS Mincho" w:hAnsi="Century Gothic" w:cs="TimesNewRomanPSMT"/>
                <w:sz w:val="24"/>
                <w:szCs w:val="24"/>
                <w:lang w:val="en-CA"/>
              </w:rPr>
              <w:t>27 (16) mg</w:t>
            </w:r>
          </w:p>
        </w:tc>
        <w:tc>
          <w:tcPr>
            <w:tcW w:w="2977" w:type="dxa"/>
          </w:tcPr>
          <w:p w:rsidR="006111B9" w:rsidRPr="00A42C04" w:rsidRDefault="006111B9" w:rsidP="006E79D8">
            <w:pPr>
              <w:autoSpaceDE w:val="0"/>
              <w:autoSpaceDN w:val="0"/>
              <w:adjustRightInd w:val="0"/>
              <w:rPr>
                <w:rFonts w:ascii="Century Gothic" w:eastAsia="MS Mincho" w:hAnsi="Century Gothic" w:cs="TimesNewRomanPSMT"/>
                <w:sz w:val="24"/>
                <w:szCs w:val="24"/>
                <w:lang w:val="en-CA"/>
              </w:rPr>
            </w:pPr>
            <w:r w:rsidRPr="00A42C04">
              <w:rPr>
                <w:rFonts w:ascii="Century Gothic" w:eastAsia="MS Mincho" w:hAnsi="Century Gothic" w:cs="TimesNewRomanPSMT"/>
                <w:sz w:val="24"/>
                <w:szCs w:val="24"/>
                <w:lang w:val="en-CA"/>
              </w:rPr>
              <w:t>37 (18) mg</w:t>
            </w:r>
          </w:p>
        </w:tc>
        <w:tc>
          <w:tcPr>
            <w:tcW w:w="1093" w:type="dxa"/>
          </w:tcPr>
          <w:p w:rsidR="006111B9" w:rsidRPr="00A42C04" w:rsidRDefault="006111B9" w:rsidP="006E79D8">
            <w:pPr>
              <w:autoSpaceDE w:val="0"/>
              <w:autoSpaceDN w:val="0"/>
              <w:adjustRightInd w:val="0"/>
              <w:rPr>
                <w:rFonts w:ascii="Century Gothic" w:eastAsia="MS Mincho" w:hAnsi="Century Gothic" w:cs="TimesNewRomanPSMT"/>
                <w:i/>
                <w:sz w:val="24"/>
                <w:szCs w:val="24"/>
                <w:lang w:val="en-CA"/>
              </w:rPr>
            </w:pPr>
            <w:r w:rsidRPr="00A42C04">
              <w:rPr>
                <w:rFonts w:ascii="Century Gothic" w:eastAsia="MS Mincho" w:hAnsi="Century Gothic" w:cs="TimesNewRomanPSMT"/>
                <w:i/>
                <w:sz w:val="24"/>
                <w:szCs w:val="24"/>
                <w:lang w:val="en-CA"/>
              </w:rPr>
              <w:t>.06</w:t>
            </w:r>
          </w:p>
        </w:tc>
      </w:tr>
      <w:tr w:rsidR="006111B9" w:rsidRPr="00A42C04" w:rsidTr="006E79D8">
        <w:tc>
          <w:tcPr>
            <w:tcW w:w="2320" w:type="dxa"/>
          </w:tcPr>
          <w:p w:rsidR="006111B9" w:rsidRPr="00A42C04" w:rsidRDefault="006111B9" w:rsidP="006E79D8">
            <w:pPr>
              <w:autoSpaceDE w:val="0"/>
              <w:autoSpaceDN w:val="0"/>
              <w:adjustRightInd w:val="0"/>
              <w:rPr>
                <w:rFonts w:ascii="Century Gothic" w:eastAsia="MS Mincho" w:hAnsi="Century Gothic" w:cs="TimesNewRomanPSMT"/>
                <w:sz w:val="24"/>
                <w:szCs w:val="24"/>
                <w:lang w:val="en-CA"/>
              </w:rPr>
            </w:pPr>
            <w:r w:rsidRPr="00A42C04">
              <w:rPr>
                <w:rFonts w:ascii="Century Gothic" w:eastAsia="MS Mincho" w:hAnsi="Century Gothic" w:cs="TimesNewRomanPSMT"/>
                <w:sz w:val="24"/>
                <w:szCs w:val="24"/>
                <w:lang w:val="en-CA"/>
              </w:rPr>
              <w:t>Gender</w:t>
            </w:r>
          </w:p>
        </w:tc>
        <w:tc>
          <w:tcPr>
            <w:tcW w:w="2466" w:type="dxa"/>
          </w:tcPr>
          <w:p w:rsidR="006111B9" w:rsidRPr="00A42C04" w:rsidRDefault="006111B9" w:rsidP="006E79D8">
            <w:pPr>
              <w:autoSpaceDE w:val="0"/>
              <w:autoSpaceDN w:val="0"/>
              <w:adjustRightInd w:val="0"/>
              <w:rPr>
                <w:rFonts w:ascii="Century Gothic" w:eastAsia="MS Mincho" w:hAnsi="Century Gothic" w:cs="TimesNewRomanPSMT"/>
                <w:sz w:val="24"/>
                <w:szCs w:val="24"/>
                <w:lang w:val="en-CA"/>
              </w:rPr>
            </w:pPr>
            <w:r w:rsidRPr="00A42C04">
              <w:rPr>
                <w:rFonts w:ascii="Century Gothic" w:eastAsia="MS Mincho" w:hAnsi="Century Gothic" w:cs="TimesNewRomanPSMT"/>
                <w:sz w:val="24"/>
                <w:szCs w:val="24"/>
                <w:lang w:val="en-CA"/>
              </w:rPr>
              <w:t>M= 15  F= 13</w:t>
            </w:r>
          </w:p>
        </w:tc>
        <w:tc>
          <w:tcPr>
            <w:tcW w:w="2977" w:type="dxa"/>
          </w:tcPr>
          <w:p w:rsidR="006111B9" w:rsidRPr="00A42C04" w:rsidRDefault="006111B9" w:rsidP="006E79D8">
            <w:pPr>
              <w:autoSpaceDE w:val="0"/>
              <w:autoSpaceDN w:val="0"/>
              <w:adjustRightInd w:val="0"/>
              <w:rPr>
                <w:rFonts w:ascii="Century Gothic" w:eastAsia="MS Mincho" w:hAnsi="Century Gothic" w:cs="TimesNewRomanPSMT"/>
                <w:sz w:val="24"/>
                <w:szCs w:val="24"/>
                <w:lang w:val="en-CA"/>
              </w:rPr>
            </w:pPr>
            <w:r w:rsidRPr="00A42C04">
              <w:rPr>
                <w:rFonts w:ascii="Century Gothic" w:eastAsia="MS Mincho" w:hAnsi="Century Gothic" w:cs="TimesNewRomanPSMT"/>
                <w:sz w:val="24"/>
                <w:szCs w:val="24"/>
                <w:lang w:val="en-CA"/>
              </w:rPr>
              <w:t>M= 16  F= 11</w:t>
            </w:r>
          </w:p>
        </w:tc>
        <w:tc>
          <w:tcPr>
            <w:tcW w:w="1093" w:type="dxa"/>
          </w:tcPr>
          <w:p w:rsidR="006111B9" w:rsidRPr="00A42C04" w:rsidRDefault="006111B9" w:rsidP="006E79D8">
            <w:pPr>
              <w:autoSpaceDE w:val="0"/>
              <w:autoSpaceDN w:val="0"/>
              <w:adjustRightInd w:val="0"/>
              <w:rPr>
                <w:rFonts w:ascii="Century Gothic" w:eastAsia="MS Mincho" w:hAnsi="Century Gothic" w:cs="TimesNewRomanPSMT"/>
                <w:i/>
                <w:sz w:val="24"/>
                <w:szCs w:val="24"/>
                <w:lang w:val="en-CA"/>
              </w:rPr>
            </w:pPr>
          </w:p>
        </w:tc>
      </w:tr>
      <w:tr w:rsidR="006111B9" w:rsidRPr="00A42C04" w:rsidTr="006E79D8">
        <w:tc>
          <w:tcPr>
            <w:tcW w:w="2320" w:type="dxa"/>
          </w:tcPr>
          <w:p w:rsidR="006111B9" w:rsidRPr="00A42C04" w:rsidRDefault="006111B9" w:rsidP="006E79D8">
            <w:pPr>
              <w:autoSpaceDE w:val="0"/>
              <w:autoSpaceDN w:val="0"/>
              <w:adjustRightInd w:val="0"/>
              <w:rPr>
                <w:rFonts w:ascii="Century Gothic" w:eastAsia="MS Mincho" w:hAnsi="Century Gothic" w:cs="TimesNewRomanPSMT"/>
                <w:sz w:val="24"/>
                <w:szCs w:val="24"/>
                <w:lang w:val="en-CA"/>
              </w:rPr>
            </w:pPr>
            <w:r w:rsidRPr="00A42C04">
              <w:rPr>
                <w:rFonts w:ascii="Century Gothic" w:eastAsia="MS Mincho" w:hAnsi="Century Gothic" w:cs="TimesNewRomanPSMT"/>
                <w:sz w:val="24"/>
                <w:szCs w:val="24"/>
                <w:lang w:val="en-CA"/>
              </w:rPr>
              <w:t>Median age</w:t>
            </w:r>
          </w:p>
        </w:tc>
        <w:tc>
          <w:tcPr>
            <w:tcW w:w="2466" w:type="dxa"/>
          </w:tcPr>
          <w:p w:rsidR="006111B9" w:rsidRPr="00A42C04" w:rsidRDefault="006111B9" w:rsidP="006E79D8">
            <w:pPr>
              <w:autoSpaceDE w:val="0"/>
              <w:autoSpaceDN w:val="0"/>
              <w:adjustRightInd w:val="0"/>
              <w:rPr>
                <w:rFonts w:ascii="Century Gothic" w:eastAsia="MS Mincho" w:hAnsi="Century Gothic" w:cs="TimesNewRomanPSMT"/>
                <w:sz w:val="24"/>
                <w:szCs w:val="24"/>
                <w:lang w:val="en-CA"/>
              </w:rPr>
            </w:pPr>
            <w:r w:rsidRPr="00A42C04">
              <w:rPr>
                <w:rFonts w:ascii="Century Gothic" w:eastAsia="MS Mincho" w:hAnsi="Century Gothic" w:cs="TimesNewRomanPSMT"/>
                <w:sz w:val="24"/>
                <w:szCs w:val="24"/>
                <w:lang w:val="en-CA"/>
              </w:rPr>
              <w:t>64 years</w:t>
            </w:r>
          </w:p>
        </w:tc>
        <w:tc>
          <w:tcPr>
            <w:tcW w:w="2977" w:type="dxa"/>
          </w:tcPr>
          <w:p w:rsidR="006111B9" w:rsidRPr="00A42C04" w:rsidRDefault="006111B9" w:rsidP="006E79D8">
            <w:pPr>
              <w:autoSpaceDE w:val="0"/>
              <w:autoSpaceDN w:val="0"/>
              <w:adjustRightInd w:val="0"/>
              <w:rPr>
                <w:rFonts w:ascii="Century Gothic" w:eastAsia="MS Mincho" w:hAnsi="Century Gothic" w:cs="TimesNewRomanPSMT"/>
                <w:sz w:val="24"/>
                <w:szCs w:val="24"/>
                <w:lang w:val="en-CA"/>
              </w:rPr>
            </w:pPr>
            <w:r w:rsidRPr="00A42C04">
              <w:rPr>
                <w:rFonts w:ascii="Century Gothic" w:eastAsia="MS Mincho" w:hAnsi="Century Gothic" w:cs="TimesNewRomanPSMT"/>
                <w:sz w:val="24"/>
                <w:szCs w:val="24"/>
                <w:lang w:val="en-CA"/>
              </w:rPr>
              <w:t>67 years</w:t>
            </w:r>
          </w:p>
        </w:tc>
        <w:tc>
          <w:tcPr>
            <w:tcW w:w="1093" w:type="dxa"/>
          </w:tcPr>
          <w:p w:rsidR="006111B9" w:rsidRPr="00A42C04" w:rsidRDefault="006111B9" w:rsidP="006E79D8">
            <w:pPr>
              <w:autoSpaceDE w:val="0"/>
              <w:autoSpaceDN w:val="0"/>
              <w:adjustRightInd w:val="0"/>
              <w:rPr>
                <w:rFonts w:ascii="Century Gothic" w:eastAsia="MS Mincho" w:hAnsi="Century Gothic" w:cs="TimesNewRomanPSMT"/>
                <w:i/>
                <w:sz w:val="24"/>
                <w:szCs w:val="24"/>
                <w:lang w:val="en-CA"/>
              </w:rPr>
            </w:pPr>
            <w:r w:rsidRPr="00A42C04">
              <w:rPr>
                <w:rFonts w:ascii="Century Gothic" w:eastAsia="MS Mincho" w:hAnsi="Century Gothic" w:cs="TimesNewRomanPSMT"/>
                <w:i/>
                <w:sz w:val="24"/>
                <w:szCs w:val="24"/>
                <w:lang w:val="en-CA"/>
              </w:rPr>
              <w:t>.25</w:t>
            </w:r>
          </w:p>
        </w:tc>
      </w:tr>
      <w:tr w:rsidR="006111B9" w:rsidRPr="00A42C04" w:rsidTr="006E79D8">
        <w:tc>
          <w:tcPr>
            <w:tcW w:w="2320" w:type="dxa"/>
          </w:tcPr>
          <w:p w:rsidR="006111B9" w:rsidRPr="00A42C04" w:rsidRDefault="006111B9" w:rsidP="006E79D8">
            <w:pPr>
              <w:autoSpaceDE w:val="0"/>
              <w:autoSpaceDN w:val="0"/>
              <w:adjustRightInd w:val="0"/>
              <w:rPr>
                <w:rFonts w:ascii="Century Gothic" w:eastAsia="MS Mincho" w:hAnsi="Century Gothic" w:cs="TimesNewRomanPSMT"/>
                <w:sz w:val="24"/>
                <w:szCs w:val="24"/>
                <w:lang w:val="en-CA"/>
              </w:rPr>
            </w:pPr>
            <w:r w:rsidRPr="00A42C04">
              <w:rPr>
                <w:rFonts w:ascii="Century Gothic" w:eastAsia="MS Mincho" w:hAnsi="Century Gothic" w:cs="TimesNewRomanPSMT"/>
                <w:sz w:val="24"/>
                <w:szCs w:val="24"/>
                <w:lang w:val="en-CA"/>
              </w:rPr>
              <w:t>Duration of HD</w:t>
            </w:r>
          </w:p>
        </w:tc>
        <w:tc>
          <w:tcPr>
            <w:tcW w:w="2466" w:type="dxa"/>
          </w:tcPr>
          <w:p w:rsidR="006111B9" w:rsidRPr="00A42C04" w:rsidRDefault="006111B9" w:rsidP="006E79D8">
            <w:pPr>
              <w:autoSpaceDE w:val="0"/>
              <w:autoSpaceDN w:val="0"/>
              <w:adjustRightInd w:val="0"/>
              <w:rPr>
                <w:rFonts w:ascii="Century Gothic" w:eastAsia="MS Mincho" w:hAnsi="Century Gothic" w:cs="TimesNewRomanPSMT"/>
                <w:sz w:val="24"/>
                <w:szCs w:val="24"/>
                <w:lang w:val="en-CA"/>
              </w:rPr>
            </w:pPr>
            <w:r w:rsidRPr="00A42C04">
              <w:rPr>
                <w:rFonts w:ascii="Century Gothic" w:eastAsia="MS Mincho" w:hAnsi="Century Gothic" w:cs="TimesNewRomanPSMT"/>
                <w:sz w:val="24"/>
                <w:szCs w:val="24"/>
                <w:lang w:val="en-CA"/>
              </w:rPr>
              <w:t>26 (9) months</w:t>
            </w:r>
          </w:p>
        </w:tc>
        <w:tc>
          <w:tcPr>
            <w:tcW w:w="2977" w:type="dxa"/>
          </w:tcPr>
          <w:p w:rsidR="006111B9" w:rsidRPr="00A42C04" w:rsidRDefault="006111B9" w:rsidP="006E79D8">
            <w:pPr>
              <w:autoSpaceDE w:val="0"/>
              <w:autoSpaceDN w:val="0"/>
              <w:adjustRightInd w:val="0"/>
              <w:rPr>
                <w:rFonts w:ascii="Century Gothic" w:eastAsia="MS Mincho" w:hAnsi="Century Gothic" w:cs="TimesNewRomanPSMT"/>
                <w:sz w:val="24"/>
                <w:szCs w:val="24"/>
                <w:lang w:val="en-CA"/>
              </w:rPr>
            </w:pPr>
          </w:p>
        </w:tc>
        <w:tc>
          <w:tcPr>
            <w:tcW w:w="1093" w:type="dxa"/>
          </w:tcPr>
          <w:p w:rsidR="006111B9" w:rsidRPr="00A42C04" w:rsidRDefault="006111B9" w:rsidP="006E79D8">
            <w:pPr>
              <w:autoSpaceDE w:val="0"/>
              <w:autoSpaceDN w:val="0"/>
              <w:adjustRightInd w:val="0"/>
              <w:rPr>
                <w:rFonts w:ascii="Century Gothic" w:eastAsia="MS Mincho" w:hAnsi="Century Gothic" w:cs="TimesNewRomanPSMT"/>
                <w:i/>
                <w:sz w:val="24"/>
                <w:szCs w:val="24"/>
                <w:lang w:val="en-CA"/>
              </w:rPr>
            </w:pPr>
          </w:p>
        </w:tc>
      </w:tr>
      <w:tr w:rsidR="006111B9" w:rsidRPr="00A42C04" w:rsidTr="006E79D8">
        <w:tc>
          <w:tcPr>
            <w:tcW w:w="2320" w:type="dxa"/>
          </w:tcPr>
          <w:p w:rsidR="006111B9" w:rsidRPr="00A42C04" w:rsidRDefault="006111B9" w:rsidP="006E79D8">
            <w:pPr>
              <w:autoSpaceDE w:val="0"/>
              <w:autoSpaceDN w:val="0"/>
              <w:adjustRightInd w:val="0"/>
              <w:rPr>
                <w:rFonts w:ascii="Century Gothic" w:eastAsia="MS Mincho" w:hAnsi="Century Gothic" w:cs="TimesNewRomanPSMT"/>
                <w:sz w:val="24"/>
                <w:szCs w:val="24"/>
                <w:lang w:val="en-CA"/>
              </w:rPr>
            </w:pPr>
            <w:r w:rsidRPr="00A42C04">
              <w:rPr>
                <w:rFonts w:ascii="Century Gothic" w:eastAsia="MS Mincho" w:hAnsi="Century Gothic" w:cs="TimesNewRomanPSMT"/>
                <w:sz w:val="24"/>
                <w:szCs w:val="24"/>
                <w:lang w:val="en-CA"/>
              </w:rPr>
              <w:t>Aspirin</w:t>
            </w:r>
          </w:p>
        </w:tc>
        <w:tc>
          <w:tcPr>
            <w:tcW w:w="2466" w:type="dxa"/>
          </w:tcPr>
          <w:p w:rsidR="006111B9" w:rsidRPr="00A42C04" w:rsidRDefault="006111B9" w:rsidP="006E79D8">
            <w:pPr>
              <w:autoSpaceDE w:val="0"/>
              <w:autoSpaceDN w:val="0"/>
              <w:adjustRightInd w:val="0"/>
              <w:rPr>
                <w:rFonts w:ascii="Century Gothic" w:eastAsia="MS Mincho" w:hAnsi="Century Gothic" w:cs="TimesNewRomanPSMT"/>
                <w:sz w:val="24"/>
                <w:szCs w:val="24"/>
                <w:lang w:val="en-CA"/>
              </w:rPr>
            </w:pPr>
            <w:r w:rsidRPr="00A42C04">
              <w:rPr>
                <w:rFonts w:ascii="Century Gothic" w:eastAsia="MS Mincho" w:hAnsi="Century Gothic" w:cs="TimesNewRomanPSMT"/>
                <w:sz w:val="24"/>
                <w:szCs w:val="24"/>
                <w:lang w:val="en-CA"/>
              </w:rPr>
              <w:t>19 (67.8%)</w:t>
            </w:r>
          </w:p>
        </w:tc>
        <w:tc>
          <w:tcPr>
            <w:tcW w:w="2977" w:type="dxa"/>
          </w:tcPr>
          <w:p w:rsidR="006111B9" w:rsidRPr="00A42C04" w:rsidRDefault="006111B9" w:rsidP="006E79D8">
            <w:pPr>
              <w:autoSpaceDE w:val="0"/>
              <w:autoSpaceDN w:val="0"/>
              <w:adjustRightInd w:val="0"/>
              <w:rPr>
                <w:rFonts w:ascii="Century Gothic" w:eastAsia="MS Mincho" w:hAnsi="Century Gothic" w:cs="TimesNewRomanPSMT"/>
                <w:sz w:val="24"/>
                <w:szCs w:val="24"/>
                <w:lang w:val="en-CA"/>
              </w:rPr>
            </w:pPr>
            <w:r w:rsidRPr="00A42C04">
              <w:rPr>
                <w:rFonts w:ascii="Century Gothic" w:eastAsia="MS Mincho" w:hAnsi="Century Gothic" w:cs="TimesNewRomanPSMT"/>
                <w:sz w:val="24"/>
                <w:szCs w:val="24"/>
                <w:lang w:val="en-CA"/>
              </w:rPr>
              <w:t>9 (33.3%)</w:t>
            </w:r>
          </w:p>
        </w:tc>
        <w:tc>
          <w:tcPr>
            <w:tcW w:w="1093" w:type="dxa"/>
          </w:tcPr>
          <w:p w:rsidR="006111B9" w:rsidRPr="00A42C04" w:rsidRDefault="006111B9" w:rsidP="006E79D8">
            <w:pPr>
              <w:autoSpaceDE w:val="0"/>
              <w:autoSpaceDN w:val="0"/>
              <w:adjustRightInd w:val="0"/>
              <w:rPr>
                <w:rFonts w:ascii="Century Gothic" w:eastAsia="MS Mincho" w:hAnsi="Century Gothic" w:cs="TimesNewRomanPSMT"/>
                <w:i/>
                <w:sz w:val="24"/>
                <w:szCs w:val="24"/>
                <w:lang w:val="en-CA"/>
              </w:rPr>
            </w:pPr>
          </w:p>
        </w:tc>
      </w:tr>
      <w:tr w:rsidR="006111B9" w:rsidRPr="00A42C04" w:rsidTr="006E79D8">
        <w:tc>
          <w:tcPr>
            <w:tcW w:w="2320" w:type="dxa"/>
          </w:tcPr>
          <w:p w:rsidR="006111B9" w:rsidRPr="00A42C04" w:rsidRDefault="006111B9" w:rsidP="006E79D8">
            <w:pPr>
              <w:autoSpaceDE w:val="0"/>
              <w:autoSpaceDN w:val="0"/>
              <w:adjustRightInd w:val="0"/>
              <w:rPr>
                <w:rFonts w:ascii="Century Gothic" w:eastAsia="MS Mincho" w:hAnsi="Century Gothic" w:cs="TimesNewRomanPSMT"/>
                <w:sz w:val="24"/>
                <w:szCs w:val="24"/>
                <w:lang w:val="en-CA"/>
              </w:rPr>
            </w:pPr>
            <w:proofErr w:type="spellStart"/>
            <w:r w:rsidRPr="00A42C04">
              <w:rPr>
                <w:rFonts w:ascii="Century Gothic" w:eastAsia="MS Mincho" w:hAnsi="Century Gothic" w:cs="TimesNewRomanPSMT"/>
                <w:sz w:val="24"/>
                <w:szCs w:val="24"/>
                <w:lang w:val="en-CA"/>
              </w:rPr>
              <w:t>Clopidogrel</w:t>
            </w:r>
            <w:proofErr w:type="spellEnd"/>
          </w:p>
        </w:tc>
        <w:tc>
          <w:tcPr>
            <w:tcW w:w="2466" w:type="dxa"/>
          </w:tcPr>
          <w:p w:rsidR="006111B9" w:rsidRPr="00A42C04" w:rsidRDefault="006111B9" w:rsidP="006E79D8">
            <w:pPr>
              <w:autoSpaceDE w:val="0"/>
              <w:autoSpaceDN w:val="0"/>
              <w:adjustRightInd w:val="0"/>
              <w:rPr>
                <w:rFonts w:ascii="Century Gothic" w:eastAsia="MS Mincho" w:hAnsi="Century Gothic" w:cs="TimesNewRomanPSMT"/>
                <w:sz w:val="24"/>
                <w:szCs w:val="24"/>
                <w:lang w:val="en-CA"/>
              </w:rPr>
            </w:pPr>
            <w:r w:rsidRPr="00A42C04">
              <w:rPr>
                <w:rFonts w:ascii="Century Gothic" w:eastAsia="MS Mincho" w:hAnsi="Century Gothic" w:cs="TimesNewRomanPSMT"/>
                <w:sz w:val="24"/>
                <w:szCs w:val="24"/>
                <w:lang w:val="en-CA"/>
              </w:rPr>
              <w:t>12 (42.8%)</w:t>
            </w:r>
          </w:p>
        </w:tc>
        <w:tc>
          <w:tcPr>
            <w:tcW w:w="2977" w:type="dxa"/>
          </w:tcPr>
          <w:p w:rsidR="006111B9" w:rsidRPr="00A42C04" w:rsidRDefault="006111B9" w:rsidP="006E79D8">
            <w:pPr>
              <w:autoSpaceDE w:val="0"/>
              <w:autoSpaceDN w:val="0"/>
              <w:adjustRightInd w:val="0"/>
              <w:rPr>
                <w:rFonts w:ascii="Century Gothic" w:eastAsia="MS Mincho" w:hAnsi="Century Gothic" w:cs="TimesNewRomanPSMT"/>
                <w:sz w:val="24"/>
                <w:szCs w:val="24"/>
                <w:lang w:val="en-CA"/>
              </w:rPr>
            </w:pPr>
            <w:r w:rsidRPr="00A42C04">
              <w:rPr>
                <w:rFonts w:ascii="Century Gothic" w:eastAsia="MS Mincho" w:hAnsi="Century Gothic" w:cs="TimesNewRomanPSMT"/>
                <w:sz w:val="24"/>
                <w:szCs w:val="24"/>
                <w:lang w:val="en-CA"/>
              </w:rPr>
              <w:t>6 (22.2%)</w:t>
            </w:r>
          </w:p>
        </w:tc>
        <w:tc>
          <w:tcPr>
            <w:tcW w:w="1093" w:type="dxa"/>
          </w:tcPr>
          <w:p w:rsidR="006111B9" w:rsidRPr="00A42C04" w:rsidRDefault="006111B9" w:rsidP="006E79D8">
            <w:pPr>
              <w:autoSpaceDE w:val="0"/>
              <w:autoSpaceDN w:val="0"/>
              <w:adjustRightInd w:val="0"/>
              <w:rPr>
                <w:rFonts w:ascii="Century Gothic" w:eastAsia="MS Mincho" w:hAnsi="Century Gothic" w:cs="TimesNewRomanPSMT"/>
                <w:i/>
                <w:sz w:val="24"/>
                <w:szCs w:val="24"/>
                <w:lang w:val="en-CA"/>
              </w:rPr>
            </w:pPr>
          </w:p>
        </w:tc>
      </w:tr>
      <w:tr w:rsidR="006111B9" w:rsidRPr="00A42C04" w:rsidTr="006E79D8">
        <w:tc>
          <w:tcPr>
            <w:tcW w:w="2320" w:type="dxa"/>
            <w:shd w:val="clear" w:color="auto" w:fill="C6D9F1" w:themeFill="text2" w:themeFillTint="33"/>
          </w:tcPr>
          <w:p w:rsidR="006111B9" w:rsidRPr="00A42C04" w:rsidRDefault="006111B9" w:rsidP="006E79D8">
            <w:pPr>
              <w:autoSpaceDE w:val="0"/>
              <w:autoSpaceDN w:val="0"/>
              <w:adjustRightInd w:val="0"/>
              <w:rPr>
                <w:rFonts w:ascii="Century Gothic" w:eastAsia="MS Mincho" w:hAnsi="Century Gothic" w:cs="TimesNewRomanPSMT"/>
                <w:sz w:val="24"/>
                <w:szCs w:val="24"/>
                <w:lang w:val="en-CA"/>
              </w:rPr>
            </w:pPr>
            <w:r w:rsidRPr="00A42C04">
              <w:rPr>
                <w:rFonts w:ascii="Century Gothic" w:eastAsia="MS Mincho" w:hAnsi="Century Gothic" w:cs="TimesNewRomanPSMT"/>
                <w:sz w:val="24"/>
                <w:szCs w:val="24"/>
                <w:lang w:val="en-CA"/>
              </w:rPr>
              <w:t>Comorbidities</w:t>
            </w:r>
          </w:p>
        </w:tc>
        <w:tc>
          <w:tcPr>
            <w:tcW w:w="2466" w:type="dxa"/>
            <w:shd w:val="clear" w:color="auto" w:fill="C6D9F1" w:themeFill="text2" w:themeFillTint="33"/>
          </w:tcPr>
          <w:p w:rsidR="006111B9" w:rsidRPr="00A42C04" w:rsidRDefault="006111B9" w:rsidP="006E79D8">
            <w:pPr>
              <w:autoSpaceDE w:val="0"/>
              <w:autoSpaceDN w:val="0"/>
              <w:adjustRightInd w:val="0"/>
              <w:rPr>
                <w:rFonts w:ascii="Century Gothic" w:eastAsia="MS Mincho" w:hAnsi="Century Gothic" w:cs="TimesNewRomanPSMT"/>
                <w:sz w:val="24"/>
                <w:szCs w:val="24"/>
                <w:lang w:val="en-CA"/>
              </w:rPr>
            </w:pPr>
          </w:p>
        </w:tc>
        <w:tc>
          <w:tcPr>
            <w:tcW w:w="2977" w:type="dxa"/>
            <w:shd w:val="clear" w:color="auto" w:fill="C6D9F1" w:themeFill="text2" w:themeFillTint="33"/>
          </w:tcPr>
          <w:p w:rsidR="006111B9" w:rsidRPr="00A42C04" w:rsidRDefault="006111B9" w:rsidP="006E79D8">
            <w:pPr>
              <w:autoSpaceDE w:val="0"/>
              <w:autoSpaceDN w:val="0"/>
              <w:adjustRightInd w:val="0"/>
              <w:rPr>
                <w:rFonts w:ascii="Century Gothic" w:eastAsia="MS Mincho" w:hAnsi="Century Gothic" w:cs="TimesNewRomanPSMT"/>
                <w:sz w:val="24"/>
                <w:szCs w:val="24"/>
                <w:lang w:val="en-CA"/>
              </w:rPr>
            </w:pPr>
          </w:p>
        </w:tc>
        <w:tc>
          <w:tcPr>
            <w:tcW w:w="1093" w:type="dxa"/>
            <w:shd w:val="clear" w:color="auto" w:fill="C6D9F1" w:themeFill="text2" w:themeFillTint="33"/>
          </w:tcPr>
          <w:p w:rsidR="006111B9" w:rsidRPr="00A42C04" w:rsidRDefault="006111B9" w:rsidP="006E79D8">
            <w:pPr>
              <w:autoSpaceDE w:val="0"/>
              <w:autoSpaceDN w:val="0"/>
              <w:adjustRightInd w:val="0"/>
              <w:rPr>
                <w:rFonts w:ascii="Century Gothic" w:eastAsia="MS Mincho" w:hAnsi="Century Gothic" w:cs="TimesNewRomanPSMT"/>
                <w:i/>
                <w:sz w:val="24"/>
                <w:szCs w:val="24"/>
                <w:lang w:val="en-CA"/>
              </w:rPr>
            </w:pPr>
          </w:p>
        </w:tc>
      </w:tr>
      <w:tr w:rsidR="006111B9" w:rsidRPr="00A42C04" w:rsidTr="006E79D8">
        <w:tc>
          <w:tcPr>
            <w:tcW w:w="2320" w:type="dxa"/>
            <w:shd w:val="clear" w:color="auto" w:fill="auto"/>
          </w:tcPr>
          <w:p w:rsidR="006111B9" w:rsidRPr="00A42C04" w:rsidRDefault="006111B9" w:rsidP="006E79D8">
            <w:pPr>
              <w:autoSpaceDE w:val="0"/>
              <w:autoSpaceDN w:val="0"/>
              <w:adjustRightInd w:val="0"/>
              <w:rPr>
                <w:rFonts w:ascii="Century Gothic" w:eastAsia="MS Mincho" w:hAnsi="Century Gothic" w:cs="TimesNewRomanPSMT"/>
                <w:sz w:val="24"/>
                <w:szCs w:val="24"/>
                <w:lang w:val="en-CA"/>
              </w:rPr>
            </w:pPr>
            <w:r w:rsidRPr="00A42C04">
              <w:rPr>
                <w:rFonts w:ascii="Century Gothic" w:eastAsia="MS Mincho" w:hAnsi="Century Gothic" w:cs="TimesNewRomanPSMT"/>
                <w:sz w:val="24"/>
                <w:szCs w:val="24"/>
                <w:lang w:val="en-CA"/>
              </w:rPr>
              <w:t>Diabetes</w:t>
            </w:r>
          </w:p>
        </w:tc>
        <w:tc>
          <w:tcPr>
            <w:tcW w:w="2466" w:type="dxa"/>
            <w:shd w:val="clear" w:color="auto" w:fill="auto"/>
          </w:tcPr>
          <w:p w:rsidR="006111B9" w:rsidRPr="00A42C04" w:rsidRDefault="006111B9" w:rsidP="006E79D8">
            <w:pPr>
              <w:autoSpaceDE w:val="0"/>
              <w:autoSpaceDN w:val="0"/>
              <w:adjustRightInd w:val="0"/>
              <w:rPr>
                <w:rFonts w:ascii="Century Gothic" w:eastAsia="MS Mincho" w:hAnsi="Century Gothic" w:cs="TimesNewRomanPSMT"/>
                <w:sz w:val="24"/>
                <w:szCs w:val="24"/>
                <w:lang w:val="en-CA"/>
              </w:rPr>
            </w:pPr>
            <w:r w:rsidRPr="00A42C04">
              <w:rPr>
                <w:rFonts w:ascii="Century Gothic" w:eastAsia="MS Mincho" w:hAnsi="Century Gothic" w:cs="TimesNewRomanPSMT"/>
                <w:sz w:val="24"/>
                <w:szCs w:val="24"/>
                <w:lang w:val="en-CA"/>
              </w:rPr>
              <w:t xml:space="preserve">17 </w:t>
            </w:r>
          </w:p>
        </w:tc>
        <w:tc>
          <w:tcPr>
            <w:tcW w:w="2977" w:type="dxa"/>
            <w:shd w:val="clear" w:color="auto" w:fill="auto"/>
          </w:tcPr>
          <w:p w:rsidR="006111B9" w:rsidRPr="00A42C04" w:rsidRDefault="006111B9" w:rsidP="006E79D8">
            <w:pPr>
              <w:autoSpaceDE w:val="0"/>
              <w:autoSpaceDN w:val="0"/>
              <w:adjustRightInd w:val="0"/>
              <w:rPr>
                <w:rFonts w:ascii="Century Gothic" w:eastAsia="MS Mincho" w:hAnsi="Century Gothic" w:cs="TimesNewRomanPSMT"/>
                <w:sz w:val="24"/>
                <w:szCs w:val="24"/>
                <w:lang w:val="en-CA"/>
              </w:rPr>
            </w:pPr>
            <w:r w:rsidRPr="00A42C04">
              <w:rPr>
                <w:rFonts w:ascii="Century Gothic" w:eastAsia="MS Mincho" w:hAnsi="Century Gothic" w:cs="TimesNewRomanPSMT"/>
                <w:sz w:val="24"/>
                <w:szCs w:val="24"/>
                <w:lang w:val="en-CA"/>
              </w:rPr>
              <w:t>9</w:t>
            </w:r>
          </w:p>
        </w:tc>
        <w:tc>
          <w:tcPr>
            <w:tcW w:w="1093" w:type="dxa"/>
          </w:tcPr>
          <w:p w:rsidR="006111B9" w:rsidRPr="00A42C04" w:rsidRDefault="006111B9" w:rsidP="006E79D8">
            <w:pPr>
              <w:autoSpaceDE w:val="0"/>
              <w:autoSpaceDN w:val="0"/>
              <w:adjustRightInd w:val="0"/>
              <w:rPr>
                <w:rFonts w:ascii="Century Gothic" w:eastAsia="MS Mincho" w:hAnsi="Century Gothic" w:cs="TimesNewRomanPSMT"/>
                <w:i/>
                <w:sz w:val="24"/>
                <w:szCs w:val="24"/>
                <w:lang w:val="en-CA"/>
              </w:rPr>
            </w:pPr>
            <w:r w:rsidRPr="00A42C04">
              <w:rPr>
                <w:rFonts w:ascii="Century Gothic" w:eastAsia="MS Mincho" w:hAnsi="Century Gothic" w:cs="TimesNewRomanPSMT"/>
                <w:i/>
                <w:sz w:val="24"/>
                <w:szCs w:val="24"/>
                <w:lang w:val="en-CA"/>
              </w:rPr>
              <w:t>.02</w:t>
            </w:r>
          </w:p>
        </w:tc>
      </w:tr>
      <w:tr w:rsidR="006111B9" w:rsidRPr="00A42C04" w:rsidTr="006E79D8">
        <w:tc>
          <w:tcPr>
            <w:tcW w:w="2320" w:type="dxa"/>
            <w:shd w:val="clear" w:color="auto" w:fill="auto"/>
          </w:tcPr>
          <w:p w:rsidR="006111B9" w:rsidRPr="00A42C04" w:rsidRDefault="006111B9" w:rsidP="006E79D8">
            <w:pPr>
              <w:autoSpaceDE w:val="0"/>
              <w:autoSpaceDN w:val="0"/>
              <w:adjustRightInd w:val="0"/>
              <w:rPr>
                <w:rFonts w:ascii="Century Gothic" w:eastAsia="MS Mincho" w:hAnsi="Century Gothic" w:cs="TimesNewRomanPSMT"/>
                <w:sz w:val="24"/>
                <w:szCs w:val="24"/>
                <w:lang w:val="en-CA"/>
              </w:rPr>
            </w:pPr>
            <w:r w:rsidRPr="00A42C04">
              <w:rPr>
                <w:rFonts w:ascii="Century Gothic" w:eastAsia="MS Mincho" w:hAnsi="Century Gothic" w:cs="TimesNewRomanPSMT"/>
                <w:sz w:val="24"/>
                <w:szCs w:val="24"/>
                <w:lang w:val="en-CA"/>
              </w:rPr>
              <w:t>Cancer</w:t>
            </w:r>
          </w:p>
        </w:tc>
        <w:tc>
          <w:tcPr>
            <w:tcW w:w="2466" w:type="dxa"/>
            <w:shd w:val="clear" w:color="auto" w:fill="auto"/>
          </w:tcPr>
          <w:p w:rsidR="006111B9" w:rsidRPr="00A42C04" w:rsidRDefault="006111B9" w:rsidP="006E79D8">
            <w:pPr>
              <w:autoSpaceDE w:val="0"/>
              <w:autoSpaceDN w:val="0"/>
              <w:adjustRightInd w:val="0"/>
              <w:rPr>
                <w:rFonts w:ascii="Century Gothic" w:eastAsia="MS Mincho" w:hAnsi="Century Gothic" w:cs="TimesNewRomanPSMT"/>
                <w:sz w:val="24"/>
                <w:szCs w:val="24"/>
                <w:lang w:val="en-CA"/>
              </w:rPr>
            </w:pPr>
            <w:r w:rsidRPr="00A42C04">
              <w:rPr>
                <w:rFonts w:ascii="Century Gothic" w:eastAsia="MS Mincho" w:hAnsi="Century Gothic" w:cs="TimesNewRomanPSMT"/>
                <w:sz w:val="24"/>
                <w:szCs w:val="24"/>
                <w:lang w:val="en-CA"/>
              </w:rPr>
              <w:t xml:space="preserve">2 </w:t>
            </w:r>
          </w:p>
        </w:tc>
        <w:tc>
          <w:tcPr>
            <w:tcW w:w="2977" w:type="dxa"/>
            <w:shd w:val="clear" w:color="auto" w:fill="auto"/>
          </w:tcPr>
          <w:p w:rsidR="006111B9" w:rsidRPr="00A42C04" w:rsidRDefault="006111B9" w:rsidP="006E79D8">
            <w:pPr>
              <w:autoSpaceDE w:val="0"/>
              <w:autoSpaceDN w:val="0"/>
              <w:adjustRightInd w:val="0"/>
              <w:rPr>
                <w:rFonts w:ascii="Century Gothic" w:eastAsia="MS Mincho" w:hAnsi="Century Gothic" w:cs="TimesNewRomanPSMT"/>
                <w:sz w:val="24"/>
                <w:szCs w:val="24"/>
                <w:lang w:val="en-CA"/>
              </w:rPr>
            </w:pPr>
            <w:r w:rsidRPr="00A42C04">
              <w:rPr>
                <w:rFonts w:ascii="Century Gothic" w:eastAsia="MS Mincho" w:hAnsi="Century Gothic" w:cs="TimesNewRomanPSMT"/>
                <w:sz w:val="24"/>
                <w:szCs w:val="24"/>
                <w:lang w:val="en-CA"/>
              </w:rPr>
              <w:t xml:space="preserve">1 </w:t>
            </w:r>
          </w:p>
        </w:tc>
        <w:tc>
          <w:tcPr>
            <w:tcW w:w="1093" w:type="dxa"/>
          </w:tcPr>
          <w:p w:rsidR="006111B9" w:rsidRPr="00A42C04" w:rsidRDefault="006111B9" w:rsidP="006E79D8">
            <w:pPr>
              <w:autoSpaceDE w:val="0"/>
              <w:autoSpaceDN w:val="0"/>
              <w:adjustRightInd w:val="0"/>
              <w:rPr>
                <w:rFonts w:ascii="Century Gothic" w:eastAsia="MS Mincho" w:hAnsi="Century Gothic" w:cs="TimesNewRomanPSMT"/>
                <w:i/>
                <w:sz w:val="24"/>
                <w:szCs w:val="24"/>
                <w:lang w:val="en-CA"/>
              </w:rPr>
            </w:pPr>
            <w:r w:rsidRPr="00A42C04">
              <w:rPr>
                <w:rFonts w:ascii="Century Gothic" w:eastAsia="MS Mincho" w:hAnsi="Century Gothic" w:cs="TimesNewRomanPSMT"/>
                <w:i/>
                <w:sz w:val="24"/>
                <w:szCs w:val="24"/>
                <w:lang w:val="en-CA"/>
              </w:rPr>
              <w:t>.58</w:t>
            </w:r>
          </w:p>
        </w:tc>
      </w:tr>
      <w:tr w:rsidR="006111B9" w:rsidRPr="00A42C04" w:rsidTr="006E79D8">
        <w:tc>
          <w:tcPr>
            <w:tcW w:w="2320" w:type="dxa"/>
            <w:shd w:val="clear" w:color="auto" w:fill="auto"/>
          </w:tcPr>
          <w:p w:rsidR="006111B9" w:rsidRPr="00A42C04" w:rsidRDefault="006111B9" w:rsidP="006E79D8">
            <w:pPr>
              <w:autoSpaceDE w:val="0"/>
              <w:autoSpaceDN w:val="0"/>
              <w:adjustRightInd w:val="0"/>
              <w:rPr>
                <w:rFonts w:ascii="Century Gothic" w:eastAsia="MS Mincho" w:hAnsi="Century Gothic" w:cs="TimesNewRomanPSMT"/>
                <w:sz w:val="24"/>
                <w:szCs w:val="24"/>
                <w:lang w:val="en-CA"/>
              </w:rPr>
            </w:pPr>
            <w:r w:rsidRPr="00A42C04">
              <w:rPr>
                <w:rFonts w:ascii="Century Gothic" w:eastAsia="MS Mincho" w:hAnsi="Century Gothic" w:cs="TimesNewRomanPSMT"/>
                <w:sz w:val="24"/>
                <w:szCs w:val="24"/>
                <w:lang w:val="en-CA"/>
              </w:rPr>
              <w:t>Stroke</w:t>
            </w:r>
          </w:p>
        </w:tc>
        <w:tc>
          <w:tcPr>
            <w:tcW w:w="2466" w:type="dxa"/>
            <w:shd w:val="clear" w:color="auto" w:fill="auto"/>
          </w:tcPr>
          <w:p w:rsidR="006111B9" w:rsidRPr="00A42C04" w:rsidRDefault="006111B9" w:rsidP="006E79D8">
            <w:pPr>
              <w:autoSpaceDE w:val="0"/>
              <w:autoSpaceDN w:val="0"/>
              <w:adjustRightInd w:val="0"/>
              <w:rPr>
                <w:rFonts w:ascii="Century Gothic" w:eastAsia="MS Mincho" w:hAnsi="Century Gothic" w:cs="TimesNewRomanPSMT"/>
                <w:sz w:val="24"/>
                <w:szCs w:val="24"/>
                <w:lang w:val="en-CA"/>
              </w:rPr>
            </w:pPr>
            <w:r w:rsidRPr="00A42C04">
              <w:rPr>
                <w:rFonts w:ascii="Century Gothic" w:eastAsia="MS Mincho" w:hAnsi="Century Gothic" w:cs="TimesNewRomanPSMT"/>
                <w:sz w:val="24"/>
                <w:szCs w:val="24"/>
                <w:lang w:val="en-CA"/>
              </w:rPr>
              <w:t xml:space="preserve">0 </w:t>
            </w:r>
          </w:p>
        </w:tc>
        <w:tc>
          <w:tcPr>
            <w:tcW w:w="2977" w:type="dxa"/>
            <w:shd w:val="clear" w:color="auto" w:fill="auto"/>
          </w:tcPr>
          <w:p w:rsidR="006111B9" w:rsidRPr="00A42C04" w:rsidRDefault="006111B9" w:rsidP="006E79D8">
            <w:pPr>
              <w:autoSpaceDE w:val="0"/>
              <w:autoSpaceDN w:val="0"/>
              <w:adjustRightInd w:val="0"/>
              <w:rPr>
                <w:rFonts w:ascii="Century Gothic" w:eastAsia="MS Mincho" w:hAnsi="Century Gothic" w:cs="TimesNewRomanPSMT"/>
                <w:sz w:val="24"/>
                <w:szCs w:val="24"/>
                <w:lang w:val="en-CA"/>
              </w:rPr>
            </w:pPr>
            <w:r w:rsidRPr="00A42C04">
              <w:rPr>
                <w:rFonts w:ascii="Century Gothic" w:eastAsia="MS Mincho" w:hAnsi="Century Gothic" w:cs="TimesNewRomanPSMT"/>
                <w:sz w:val="24"/>
                <w:szCs w:val="24"/>
                <w:lang w:val="en-CA"/>
              </w:rPr>
              <w:t xml:space="preserve">2 </w:t>
            </w:r>
          </w:p>
        </w:tc>
        <w:tc>
          <w:tcPr>
            <w:tcW w:w="1093" w:type="dxa"/>
          </w:tcPr>
          <w:p w:rsidR="006111B9" w:rsidRPr="00A42C04" w:rsidRDefault="006111B9" w:rsidP="006E79D8">
            <w:pPr>
              <w:autoSpaceDE w:val="0"/>
              <w:autoSpaceDN w:val="0"/>
              <w:adjustRightInd w:val="0"/>
              <w:rPr>
                <w:rFonts w:ascii="Century Gothic" w:eastAsia="MS Mincho" w:hAnsi="Century Gothic" w:cs="TimesNewRomanPSMT"/>
                <w:i/>
                <w:sz w:val="24"/>
                <w:szCs w:val="24"/>
                <w:lang w:val="en-CA"/>
              </w:rPr>
            </w:pPr>
            <w:r w:rsidRPr="00A42C04">
              <w:rPr>
                <w:rFonts w:ascii="Century Gothic" w:eastAsia="MS Mincho" w:hAnsi="Century Gothic" w:cs="TimesNewRomanPSMT"/>
                <w:i/>
                <w:sz w:val="24"/>
                <w:szCs w:val="24"/>
                <w:lang w:val="en-CA"/>
              </w:rPr>
              <w:t>.16</w:t>
            </w:r>
          </w:p>
        </w:tc>
      </w:tr>
      <w:tr w:rsidR="006111B9" w:rsidRPr="00A42C04" w:rsidTr="006E79D8">
        <w:tc>
          <w:tcPr>
            <w:tcW w:w="2320" w:type="dxa"/>
            <w:shd w:val="clear" w:color="auto" w:fill="auto"/>
          </w:tcPr>
          <w:p w:rsidR="006111B9" w:rsidRPr="00A42C04" w:rsidRDefault="006111B9" w:rsidP="006E79D8">
            <w:pPr>
              <w:autoSpaceDE w:val="0"/>
              <w:autoSpaceDN w:val="0"/>
              <w:adjustRightInd w:val="0"/>
              <w:rPr>
                <w:rFonts w:ascii="Century Gothic" w:eastAsia="MS Mincho" w:hAnsi="Century Gothic" w:cs="TimesNewRomanPSMT"/>
                <w:sz w:val="24"/>
                <w:szCs w:val="24"/>
                <w:lang w:val="en-CA"/>
              </w:rPr>
            </w:pPr>
            <w:r w:rsidRPr="00A42C04">
              <w:rPr>
                <w:rFonts w:ascii="Century Gothic" w:eastAsia="MS Mincho" w:hAnsi="Century Gothic" w:cs="TimesNewRomanPSMT"/>
                <w:sz w:val="24"/>
                <w:szCs w:val="24"/>
                <w:lang w:val="en-CA"/>
              </w:rPr>
              <w:t>Vascular disease</w:t>
            </w:r>
          </w:p>
        </w:tc>
        <w:tc>
          <w:tcPr>
            <w:tcW w:w="2466" w:type="dxa"/>
            <w:shd w:val="clear" w:color="auto" w:fill="auto"/>
          </w:tcPr>
          <w:p w:rsidR="006111B9" w:rsidRPr="00A42C04" w:rsidRDefault="006111B9" w:rsidP="006E79D8">
            <w:pPr>
              <w:autoSpaceDE w:val="0"/>
              <w:autoSpaceDN w:val="0"/>
              <w:adjustRightInd w:val="0"/>
              <w:rPr>
                <w:rFonts w:ascii="Century Gothic" w:eastAsia="MS Mincho" w:hAnsi="Century Gothic" w:cs="TimesNewRomanPSMT"/>
                <w:sz w:val="24"/>
                <w:szCs w:val="24"/>
                <w:lang w:val="en-CA"/>
              </w:rPr>
            </w:pPr>
            <w:r w:rsidRPr="00A42C04">
              <w:rPr>
                <w:rFonts w:ascii="Century Gothic" w:eastAsia="MS Mincho" w:hAnsi="Century Gothic" w:cs="TimesNewRomanPSMT"/>
                <w:sz w:val="24"/>
                <w:szCs w:val="24"/>
                <w:lang w:val="en-CA"/>
              </w:rPr>
              <w:t xml:space="preserve">20 </w:t>
            </w:r>
          </w:p>
        </w:tc>
        <w:tc>
          <w:tcPr>
            <w:tcW w:w="2977" w:type="dxa"/>
            <w:shd w:val="clear" w:color="auto" w:fill="auto"/>
          </w:tcPr>
          <w:p w:rsidR="006111B9" w:rsidRPr="00A42C04" w:rsidRDefault="006111B9" w:rsidP="006E79D8">
            <w:pPr>
              <w:autoSpaceDE w:val="0"/>
              <w:autoSpaceDN w:val="0"/>
              <w:adjustRightInd w:val="0"/>
              <w:rPr>
                <w:rFonts w:ascii="Century Gothic" w:eastAsia="MS Mincho" w:hAnsi="Century Gothic" w:cs="TimesNewRomanPSMT"/>
                <w:sz w:val="24"/>
                <w:szCs w:val="24"/>
                <w:lang w:val="en-CA"/>
              </w:rPr>
            </w:pPr>
            <w:r w:rsidRPr="00A42C04">
              <w:rPr>
                <w:rFonts w:ascii="Century Gothic" w:eastAsia="MS Mincho" w:hAnsi="Century Gothic" w:cs="TimesNewRomanPSMT"/>
                <w:sz w:val="24"/>
                <w:szCs w:val="24"/>
                <w:lang w:val="en-CA"/>
              </w:rPr>
              <w:t>17</w:t>
            </w:r>
          </w:p>
        </w:tc>
        <w:tc>
          <w:tcPr>
            <w:tcW w:w="1093" w:type="dxa"/>
          </w:tcPr>
          <w:p w:rsidR="006111B9" w:rsidRPr="00A42C04" w:rsidRDefault="006111B9" w:rsidP="006E79D8">
            <w:pPr>
              <w:autoSpaceDE w:val="0"/>
              <w:autoSpaceDN w:val="0"/>
              <w:adjustRightInd w:val="0"/>
              <w:rPr>
                <w:rFonts w:ascii="Century Gothic" w:eastAsia="MS Mincho" w:hAnsi="Century Gothic" w:cs="TimesNewRomanPSMT"/>
                <w:i/>
                <w:sz w:val="24"/>
                <w:szCs w:val="24"/>
                <w:lang w:val="en-CA"/>
              </w:rPr>
            </w:pPr>
            <w:r w:rsidRPr="00A42C04">
              <w:rPr>
                <w:rFonts w:ascii="Century Gothic" w:eastAsia="MS Mincho" w:hAnsi="Century Gothic" w:cs="TimesNewRomanPSMT"/>
                <w:i/>
                <w:sz w:val="24"/>
                <w:szCs w:val="24"/>
                <w:lang w:val="en-CA"/>
              </w:rPr>
              <w:t>.64</w:t>
            </w:r>
          </w:p>
        </w:tc>
      </w:tr>
    </w:tbl>
    <w:p w:rsidR="006111B9" w:rsidRPr="006111B9" w:rsidRDefault="006111B9" w:rsidP="006111B9">
      <w:pPr>
        <w:pStyle w:val="ListParagraph"/>
        <w:autoSpaceDE w:val="0"/>
        <w:autoSpaceDN w:val="0"/>
        <w:adjustRightInd w:val="0"/>
        <w:rPr>
          <w:rFonts w:ascii="Century Gothic" w:eastAsia="MS Mincho" w:hAnsi="Century Gothic" w:cs="TimesNewRomanPSMT"/>
        </w:rPr>
      </w:pPr>
      <w:r w:rsidRPr="006111B9">
        <w:rPr>
          <w:rFonts w:ascii="Century Gothic" w:eastAsia="MS Mincho" w:hAnsi="Century Gothic" w:cs="TimesNewRomanPSMT"/>
        </w:rPr>
        <w:t>HD= Hemodialysis, M= male, F= female</w:t>
      </w:r>
    </w:p>
    <w:p w:rsidR="006111B9" w:rsidRPr="006111B9" w:rsidRDefault="006111B9" w:rsidP="006111B9">
      <w:pPr>
        <w:pStyle w:val="ListParagraph"/>
        <w:ind w:right="907"/>
        <w:rPr>
          <w:rFonts w:ascii="Century Gothic" w:eastAsia="Cambria" w:hAnsi="Century Gothic" w:cs="Times New Roman"/>
          <w:b/>
          <w:lang w:val="en-US"/>
        </w:rPr>
      </w:pPr>
    </w:p>
    <w:p w:rsidR="006111B9" w:rsidRDefault="006111B9" w:rsidP="006111B9">
      <w:pPr>
        <w:pStyle w:val="NoSpacing"/>
        <w:ind w:right="907"/>
        <w:rPr>
          <w:rFonts w:ascii="Century Gothic" w:hAnsi="Century Gothic" w:cs="Times New Roman"/>
          <w:b/>
          <w:sz w:val="24"/>
          <w:szCs w:val="24"/>
        </w:rPr>
      </w:pPr>
      <w:proofErr w:type="gramStart"/>
      <w:r w:rsidRPr="00624EA3">
        <w:rPr>
          <w:rFonts w:ascii="Century Gothic" w:hAnsi="Century Gothic" w:cs="Times New Roman"/>
          <w:b/>
          <w:sz w:val="24"/>
          <w:szCs w:val="24"/>
        </w:rPr>
        <w:t>Table 2.</w:t>
      </w:r>
      <w:proofErr w:type="gramEnd"/>
      <w:r w:rsidRPr="00624EA3">
        <w:rPr>
          <w:rFonts w:ascii="Century Gothic" w:hAnsi="Century Gothic" w:cs="Times New Roman"/>
          <w:b/>
          <w:sz w:val="24"/>
          <w:szCs w:val="24"/>
        </w:rPr>
        <w:t xml:space="preserve"> Summary of Results</w:t>
      </w:r>
    </w:p>
    <w:p w:rsidR="006111B9" w:rsidRPr="00624EA3" w:rsidRDefault="006111B9" w:rsidP="006111B9">
      <w:pPr>
        <w:pStyle w:val="NoSpacing"/>
        <w:ind w:right="907"/>
        <w:rPr>
          <w:rFonts w:ascii="Century Gothic" w:hAnsi="Century Gothic" w:cs="Times New Roman"/>
          <w:b/>
          <w:sz w:val="24"/>
          <w:szCs w:val="24"/>
        </w:rPr>
      </w:pPr>
    </w:p>
    <w:tbl>
      <w:tblPr>
        <w:tblStyle w:val="TableGrid"/>
        <w:tblW w:w="0" w:type="auto"/>
        <w:tblLook w:val="04A0" w:firstRow="1" w:lastRow="0" w:firstColumn="1" w:lastColumn="0" w:noHBand="0" w:noVBand="1"/>
      </w:tblPr>
      <w:tblGrid>
        <w:gridCol w:w="2320"/>
        <w:gridCol w:w="2324"/>
        <w:gridCol w:w="2977"/>
        <w:gridCol w:w="1235"/>
      </w:tblGrid>
      <w:tr w:rsidR="006111B9" w:rsidRPr="00624EA3" w:rsidTr="006E79D8">
        <w:tc>
          <w:tcPr>
            <w:tcW w:w="2320" w:type="dxa"/>
            <w:shd w:val="clear" w:color="auto" w:fill="C6D9F1" w:themeFill="text2" w:themeFillTint="33"/>
          </w:tcPr>
          <w:p w:rsidR="006111B9" w:rsidRPr="00624EA3" w:rsidRDefault="006111B9" w:rsidP="006E79D8">
            <w:pPr>
              <w:autoSpaceDE w:val="0"/>
              <w:autoSpaceDN w:val="0"/>
              <w:adjustRightInd w:val="0"/>
              <w:rPr>
                <w:rFonts w:ascii="Century Gothic" w:hAnsi="Century Gothic" w:cs="TimesNewRomanPSMT"/>
              </w:rPr>
            </w:pPr>
            <w:r w:rsidRPr="00624EA3">
              <w:rPr>
                <w:rFonts w:ascii="Century Gothic" w:hAnsi="Century Gothic" w:cs="TimesNewRomanPSMT"/>
              </w:rPr>
              <w:t>End points</w:t>
            </w:r>
          </w:p>
        </w:tc>
        <w:tc>
          <w:tcPr>
            <w:tcW w:w="2324" w:type="dxa"/>
            <w:shd w:val="clear" w:color="auto" w:fill="C6D9F1" w:themeFill="text2" w:themeFillTint="33"/>
          </w:tcPr>
          <w:p w:rsidR="006111B9" w:rsidRPr="00624EA3" w:rsidRDefault="006111B9" w:rsidP="006E79D8">
            <w:pPr>
              <w:autoSpaceDE w:val="0"/>
              <w:autoSpaceDN w:val="0"/>
              <w:adjustRightInd w:val="0"/>
              <w:rPr>
                <w:rFonts w:ascii="Century Gothic" w:hAnsi="Century Gothic" w:cs="TimesNewRomanPSMT"/>
              </w:rPr>
            </w:pPr>
            <w:r w:rsidRPr="00624EA3">
              <w:rPr>
                <w:rFonts w:ascii="Century Gothic" w:hAnsi="Century Gothic" w:cs="TimesNewRomanPSMT"/>
              </w:rPr>
              <w:t>HD Group (Arm 1)</w:t>
            </w:r>
          </w:p>
        </w:tc>
        <w:tc>
          <w:tcPr>
            <w:tcW w:w="2977" w:type="dxa"/>
            <w:shd w:val="clear" w:color="auto" w:fill="C6D9F1" w:themeFill="text2" w:themeFillTint="33"/>
          </w:tcPr>
          <w:p w:rsidR="006111B9" w:rsidRPr="00624EA3" w:rsidRDefault="006111B9" w:rsidP="006E79D8">
            <w:pPr>
              <w:autoSpaceDE w:val="0"/>
              <w:autoSpaceDN w:val="0"/>
              <w:adjustRightInd w:val="0"/>
              <w:rPr>
                <w:rFonts w:ascii="Century Gothic" w:hAnsi="Century Gothic" w:cs="TimesNewRomanPSMT"/>
              </w:rPr>
            </w:pPr>
            <w:r w:rsidRPr="00624EA3">
              <w:rPr>
                <w:rFonts w:ascii="Century Gothic" w:hAnsi="Century Gothic" w:cs="TimesNewRomanPSMT"/>
              </w:rPr>
              <w:t>Non-HD Group (Arm 2)</w:t>
            </w:r>
          </w:p>
        </w:tc>
        <w:tc>
          <w:tcPr>
            <w:tcW w:w="1235" w:type="dxa"/>
            <w:shd w:val="clear" w:color="auto" w:fill="C6D9F1" w:themeFill="text2" w:themeFillTint="33"/>
          </w:tcPr>
          <w:p w:rsidR="006111B9" w:rsidRPr="00624EA3" w:rsidRDefault="006111B9" w:rsidP="006E79D8">
            <w:pPr>
              <w:autoSpaceDE w:val="0"/>
              <w:autoSpaceDN w:val="0"/>
              <w:adjustRightInd w:val="0"/>
              <w:rPr>
                <w:rFonts w:ascii="Century Gothic" w:hAnsi="Century Gothic" w:cs="TimesNewRomanPSMT"/>
              </w:rPr>
            </w:pPr>
            <w:r w:rsidRPr="00624EA3">
              <w:rPr>
                <w:rFonts w:ascii="Century Gothic" w:hAnsi="Century Gothic" w:cs="TimesNewRomanPSMT"/>
              </w:rPr>
              <w:t>P value</w:t>
            </w:r>
          </w:p>
        </w:tc>
      </w:tr>
      <w:tr w:rsidR="006111B9" w:rsidRPr="00624EA3" w:rsidTr="006E79D8">
        <w:trPr>
          <w:trHeight w:val="378"/>
        </w:trPr>
        <w:tc>
          <w:tcPr>
            <w:tcW w:w="2320" w:type="dxa"/>
          </w:tcPr>
          <w:p w:rsidR="006111B9" w:rsidRPr="00624EA3" w:rsidRDefault="006111B9" w:rsidP="006E79D8">
            <w:pPr>
              <w:autoSpaceDE w:val="0"/>
              <w:autoSpaceDN w:val="0"/>
              <w:adjustRightInd w:val="0"/>
              <w:rPr>
                <w:rFonts w:ascii="Century Gothic" w:hAnsi="Century Gothic" w:cs="TimesNewRomanPSMT"/>
              </w:rPr>
            </w:pPr>
            <w:r w:rsidRPr="00624EA3">
              <w:rPr>
                <w:rFonts w:ascii="Century Gothic" w:hAnsi="Century Gothic" w:cs="TimesNewRomanPSMT"/>
              </w:rPr>
              <w:t>Median weekly INR</w:t>
            </w:r>
          </w:p>
        </w:tc>
        <w:tc>
          <w:tcPr>
            <w:tcW w:w="2324" w:type="dxa"/>
          </w:tcPr>
          <w:p w:rsidR="006111B9" w:rsidRPr="00624EA3" w:rsidRDefault="006111B9" w:rsidP="006E79D8">
            <w:pPr>
              <w:autoSpaceDE w:val="0"/>
              <w:autoSpaceDN w:val="0"/>
              <w:adjustRightInd w:val="0"/>
              <w:rPr>
                <w:rFonts w:ascii="Century Gothic" w:hAnsi="Century Gothic" w:cs="TimesNewRomanPSMT"/>
              </w:rPr>
            </w:pPr>
            <w:r w:rsidRPr="00624EA3">
              <w:rPr>
                <w:rFonts w:ascii="Century Gothic" w:hAnsi="Century Gothic" w:cs="TimesNewRomanPSMT"/>
              </w:rPr>
              <w:t xml:space="preserve">1.9 </w:t>
            </w:r>
          </w:p>
        </w:tc>
        <w:tc>
          <w:tcPr>
            <w:tcW w:w="2977" w:type="dxa"/>
          </w:tcPr>
          <w:p w:rsidR="006111B9" w:rsidRPr="00624EA3" w:rsidRDefault="006111B9" w:rsidP="006E79D8">
            <w:pPr>
              <w:autoSpaceDE w:val="0"/>
              <w:autoSpaceDN w:val="0"/>
              <w:adjustRightInd w:val="0"/>
              <w:rPr>
                <w:rFonts w:ascii="Century Gothic" w:hAnsi="Century Gothic" w:cs="TimesNewRomanPSMT"/>
              </w:rPr>
            </w:pPr>
            <w:r w:rsidRPr="00624EA3">
              <w:rPr>
                <w:rFonts w:ascii="Century Gothic" w:hAnsi="Century Gothic" w:cs="TimesNewRomanPSMT"/>
              </w:rPr>
              <w:t>2.4</w:t>
            </w:r>
          </w:p>
        </w:tc>
        <w:tc>
          <w:tcPr>
            <w:tcW w:w="1235" w:type="dxa"/>
          </w:tcPr>
          <w:p w:rsidR="006111B9" w:rsidRPr="00624EA3" w:rsidRDefault="006111B9" w:rsidP="006E79D8">
            <w:pPr>
              <w:autoSpaceDE w:val="0"/>
              <w:autoSpaceDN w:val="0"/>
              <w:adjustRightInd w:val="0"/>
              <w:rPr>
                <w:rFonts w:ascii="Century Gothic" w:hAnsi="Century Gothic" w:cs="TimesNewRomanPSMT"/>
                <w:i/>
              </w:rPr>
            </w:pPr>
            <w:r w:rsidRPr="00624EA3">
              <w:rPr>
                <w:rFonts w:ascii="Century Gothic" w:hAnsi="Century Gothic" w:cs="TimesNewRomanPSMT"/>
                <w:i/>
              </w:rPr>
              <w:t>&lt;.001</w:t>
            </w:r>
          </w:p>
        </w:tc>
      </w:tr>
      <w:tr w:rsidR="006111B9" w:rsidRPr="00624EA3" w:rsidTr="006E79D8">
        <w:trPr>
          <w:trHeight w:val="378"/>
        </w:trPr>
        <w:tc>
          <w:tcPr>
            <w:tcW w:w="2320" w:type="dxa"/>
          </w:tcPr>
          <w:p w:rsidR="006111B9" w:rsidRPr="00624EA3" w:rsidRDefault="006111B9" w:rsidP="006E79D8">
            <w:pPr>
              <w:autoSpaceDE w:val="0"/>
              <w:autoSpaceDN w:val="0"/>
              <w:adjustRightInd w:val="0"/>
              <w:rPr>
                <w:rFonts w:ascii="Century Gothic" w:hAnsi="Century Gothic" w:cs="TimesNewRomanPSMT"/>
              </w:rPr>
            </w:pPr>
            <w:r w:rsidRPr="00624EA3">
              <w:rPr>
                <w:rFonts w:ascii="Century Gothic" w:hAnsi="Century Gothic" w:cs="TimesNewRomanPSMT"/>
              </w:rPr>
              <w:t>Mean weekly INR</w:t>
            </w:r>
          </w:p>
        </w:tc>
        <w:tc>
          <w:tcPr>
            <w:tcW w:w="2324" w:type="dxa"/>
          </w:tcPr>
          <w:p w:rsidR="006111B9" w:rsidRPr="00624EA3" w:rsidRDefault="006111B9" w:rsidP="006E79D8">
            <w:pPr>
              <w:autoSpaceDE w:val="0"/>
              <w:autoSpaceDN w:val="0"/>
              <w:adjustRightInd w:val="0"/>
              <w:rPr>
                <w:rFonts w:ascii="Century Gothic" w:hAnsi="Century Gothic" w:cs="TimesNewRomanPSMT"/>
              </w:rPr>
            </w:pPr>
            <w:r w:rsidRPr="00624EA3">
              <w:rPr>
                <w:rFonts w:ascii="Century Gothic" w:hAnsi="Century Gothic" w:cs="TimesNewRomanPSMT"/>
              </w:rPr>
              <w:t>1.9 ( 0.5)</w:t>
            </w:r>
          </w:p>
        </w:tc>
        <w:tc>
          <w:tcPr>
            <w:tcW w:w="2977" w:type="dxa"/>
          </w:tcPr>
          <w:p w:rsidR="006111B9" w:rsidRPr="00624EA3" w:rsidRDefault="006111B9" w:rsidP="006E79D8">
            <w:pPr>
              <w:autoSpaceDE w:val="0"/>
              <w:autoSpaceDN w:val="0"/>
              <w:adjustRightInd w:val="0"/>
              <w:rPr>
                <w:rFonts w:ascii="Century Gothic" w:hAnsi="Century Gothic" w:cs="TimesNewRomanPSMT"/>
              </w:rPr>
            </w:pPr>
            <w:r w:rsidRPr="00624EA3">
              <w:rPr>
                <w:rFonts w:ascii="Century Gothic" w:hAnsi="Century Gothic" w:cs="TimesNewRomanPSMT"/>
              </w:rPr>
              <w:t>2.4 (0.3)</w:t>
            </w:r>
          </w:p>
        </w:tc>
        <w:tc>
          <w:tcPr>
            <w:tcW w:w="1235" w:type="dxa"/>
          </w:tcPr>
          <w:p w:rsidR="006111B9" w:rsidRPr="00624EA3" w:rsidRDefault="006111B9" w:rsidP="006E79D8">
            <w:pPr>
              <w:autoSpaceDE w:val="0"/>
              <w:autoSpaceDN w:val="0"/>
              <w:adjustRightInd w:val="0"/>
              <w:rPr>
                <w:rFonts w:ascii="Century Gothic" w:hAnsi="Century Gothic" w:cs="TimesNewRomanPSMT"/>
                <w:i/>
              </w:rPr>
            </w:pPr>
            <w:r w:rsidRPr="00624EA3">
              <w:rPr>
                <w:rFonts w:ascii="Century Gothic" w:hAnsi="Century Gothic" w:cs="TimesNewRomanPSMT"/>
                <w:i/>
              </w:rPr>
              <w:t>&lt;.001</w:t>
            </w:r>
          </w:p>
        </w:tc>
      </w:tr>
      <w:tr w:rsidR="006111B9" w:rsidRPr="00624EA3" w:rsidTr="006E79D8">
        <w:trPr>
          <w:trHeight w:val="378"/>
        </w:trPr>
        <w:tc>
          <w:tcPr>
            <w:tcW w:w="2320" w:type="dxa"/>
          </w:tcPr>
          <w:p w:rsidR="006111B9" w:rsidRPr="00624EA3" w:rsidRDefault="006111B9" w:rsidP="006E79D8">
            <w:pPr>
              <w:autoSpaceDE w:val="0"/>
              <w:autoSpaceDN w:val="0"/>
              <w:adjustRightInd w:val="0"/>
              <w:rPr>
                <w:rFonts w:ascii="Century Gothic" w:hAnsi="Century Gothic" w:cs="TimesNewRomanPSMT"/>
              </w:rPr>
            </w:pPr>
            <w:r w:rsidRPr="00624EA3">
              <w:rPr>
                <w:rFonts w:ascii="Century Gothic" w:hAnsi="Century Gothic" w:cs="TimesNewRomanPSMT"/>
              </w:rPr>
              <w:t>Stroke</w:t>
            </w:r>
          </w:p>
        </w:tc>
        <w:tc>
          <w:tcPr>
            <w:tcW w:w="2324" w:type="dxa"/>
          </w:tcPr>
          <w:p w:rsidR="006111B9" w:rsidRPr="00624EA3" w:rsidRDefault="006111B9" w:rsidP="006E79D8">
            <w:pPr>
              <w:autoSpaceDE w:val="0"/>
              <w:autoSpaceDN w:val="0"/>
              <w:adjustRightInd w:val="0"/>
              <w:rPr>
                <w:rFonts w:ascii="Century Gothic" w:hAnsi="Century Gothic" w:cs="TimesNewRomanPSMT"/>
              </w:rPr>
            </w:pPr>
            <w:r>
              <w:rPr>
                <w:rFonts w:ascii="Century Gothic" w:hAnsi="Century Gothic" w:cs="TimesNewRomanPSMT"/>
              </w:rPr>
              <w:t>0</w:t>
            </w:r>
          </w:p>
        </w:tc>
        <w:tc>
          <w:tcPr>
            <w:tcW w:w="2977" w:type="dxa"/>
          </w:tcPr>
          <w:p w:rsidR="006111B9" w:rsidRPr="00624EA3" w:rsidRDefault="006111B9" w:rsidP="006E79D8">
            <w:pPr>
              <w:autoSpaceDE w:val="0"/>
              <w:autoSpaceDN w:val="0"/>
              <w:adjustRightInd w:val="0"/>
              <w:rPr>
                <w:rFonts w:ascii="Century Gothic" w:hAnsi="Century Gothic" w:cs="TimesNewRomanPSMT"/>
              </w:rPr>
            </w:pPr>
            <w:r>
              <w:rPr>
                <w:rFonts w:ascii="Century Gothic" w:hAnsi="Century Gothic" w:cs="TimesNewRomanPSMT"/>
              </w:rPr>
              <w:t>2</w:t>
            </w:r>
          </w:p>
        </w:tc>
        <w:tc>
          <w:tcPr>
            <w:tcW w:w="1235" w:type="dxa"/>
          </w:tcPr>
          <w:p w:rsidR="006111B9" w:rsidRPr="00624EA3" w:rsidRDefault="006111B9" w:rsidP="006E79D8">
            <w:pPr>
              <w:autoSpaceDE w:val="0"/>
              <w:autoSpaceDN w:val="0"/>
              <w:adjustRightInd w:val="0"/>
              <w:rPr>
                <w:rFonts w:ascii="Century Gothic" w:hAnsi="Century Gothic" w:cs="TimesNewRomanPSMT"/>
                <w:i/>
              </w:rPr>
            </w:pPr>
            <w:r w:rsidRPr="00624EA3">
              <w:rPr>
                <w:rFonts w:ascii="Century Gothic" w:hAnsi="Century Gothic" w:cs="TimesNewRomanPSMT"/>
                <w:i/>
              </w:rPr>
              <w:t>.98</w:t>
            </w:r>
          </w:p>
        </w:tc>
      </w:tr>
      <w:tr w:rsidR="006111B9" w:rsidRPr="00624EA3" w:rsidTr="006E79D8">
        <w:tc>
          <w:tcPr>
            <w:tcW w:w="2320" w:type="dxa"/>
          </w:tcPr>
          <w:p w:rsidR="006111B9" w:rsidRPr="00624EA3" w:rsidRDefault="006111B9" w:rsidP="006E79D8">
            <w:pPr>
              <w:autoSpaceDE w:val="0"/>
              <w:autoSpaceDN w:val="0"/>
              <w:adjustRightInd w:val="0"/>
              <w:rPr>
                <w:rFonts w:ascii="Century Gothic" w:hAnsi="Century Gothic" w:cs="TimesNewRomanPSMT"/>
              </w:rPr>
            </w:pPr>
            <w:r w:rsidRPr="00624EA3">
              <w:rPr>
                <w:rFonts w:ascii="Century Gothic" w:hAnsi="Century Gothic" w:cs="TimesNewRomanPSMT"/>
              </w:rPr>
              <w:t>MI</w:t>
            </w:r>
          </w:p>
        </w:tc>
        <w:tc>
          <w:tcPr>
            <w:tcW w:w="2324" w:type="dxa"/>
          </w:tcPr>
          <w:p w:rsidR="006111B9" w:rsidRPr="00624EA3" w:rsidRDefault="006111B9" w:rsidP="006E79D8">
            <w:pPr>
              <w:autoSpaceDE w:val="0"/>
              <w:autoSpaceDN w:val="0"/>
              <w:adjustRightInd w:val="0"/>
              <w:rPr>
                <w:rFonts w:ascii="Century Gothic" w:hAnsi="Century Gothic" w:cs="TimesNewRomanPSMT"/>
              </w:rPr>
            </w:pPr>
            <w:r w:rsidRPr="00624EA3">
              <w:rPr>
                <w:rFonts w:ascii="Century Gothic" w:hAnsi="Century Gothic" w:cs="TimesNewRomanPSMT"/>
              </w:rPr>
              <w:t xml:space="preserve">1 </w:t>
            </w:r>
          </w:p>
        </w:tc>
        <w:tc>
          <w:tcPr>
            <w:tcW w:w="2977" w:type="dxa"/>
          </w:tcPr>
          <w:p w:rsidR="006111B9" w:rsidRPr="00624EA3" w:rsidRDefault="006111B9" w:rsidP="006E79D8">
            <w:pPr>
              <w:autoSpaceDE w:val="0"/>
              <w:autoSpaceDN w:val="0"/>
              <w:adjustRightInd w:val="0"/>
              <w:rPr>
                <w:rFonts w:ascii="Century Gothic" w:hAnsi="Century Gothic" w:cs="TimesNewRomanPSMT"/>
              </w:rPr>
            </w:pPr>
            <w:r w:rsidRPr="00624EA3">
              <w:rPr>
                <w:rFonts w:ascii="Century Gothic" w:hAnsi="Century Gothic" w:cs="TimesNewRomanPSMT"/>
              </w:rPr>
              <w:t xml:space="preserve">0 </w:t>
            </w:r>
          </w:p>
        </w:tc>
        <w:tc>
          <w:tcPr>
            <w:tcW w:w="1235" w:type="dxa"/>
          </w:tcPr>
          <w:p w:rsidR="006111B9" w:rsidRPr="00624EA3" w:rsidRDefault="006111B9" w:rsidP="006E79D8">
            <w:pPr>
              <w:autoSpaceDE w:val="0"/>
              <w:autoSpaceDN w:val="0"/>
              <w:adjustRightInd w:val="0"/>
              <w:rPr>
                <w:rFonts w:ascii="Century Gothic" w:hAnsi="Century Gothic" w:cs="TimesNewRomanPSMT"/>
                <w:i/>
              </w:rPr>
            </w:pPr>
            <w:r w:rsidRPr="00624EA3">
              <w:rPr>
                <w:rFonts w:ascii="Century Gothic" w:hAnsi="Century Gothic" w:cs="TimesNewRomanPSMT"/>
                <w:i/>
              </w:rPr>
              <w:t>.31</w:t>
            </w:r>
          </w:p>
        </w:tc>
      </w:tr>
      <w:tr w:rsidR="006111B9" w:rsidRPr="00624EA3" w:rsidTr="006E79D8">
        <w:tc>
          <w:tcPr>
            <w:tcW w:w="2320" w:type="dxa"/>
          </w:tcPr>
          <w:p w:rsidR="006111B9" w:rsidRPr="00624EA3" w:rsidRDefault="006111B9" w:rsidP="006E79D8">
            <w:pPr>
              <w:autoSpaceDE w:val="0"/>
              <w:autoSpaceDN w:val="0"/>
              <w:adjustRightInd w:val="0"/>
              <w:rPr>
                <w:rFonts w:ascii="Century Gothic" w:hAnsi="Century Gothic" w:cs="TimesNewRomanPSMT"/>
              </w:rPr>
            </w:pPr>
            <w:r w:rsidRPr="00624EA3">
              <w:rPr>
                <w:rFonts w:ascii="Century Gothic" w:hAnsi="Century Gothic" w:cs="TimesNewRomanPSMT"/>
              </w:rPr>
              <w:t>DVT</w:t>
            </w:r>
          </w:p>
        </w:tc>
        <w:tc>
          <w:tcPr>
            <w:tcW w:w="2324" w:type="dxa"/>
          </w:tcPr>
          <w:p w:rsidR="006111B9" w:rsidRPr="00624EA3" w:rsidRDefault="006111B9" w:rsidP="006E79D8">
            <w:pPr>
              <w:autoSpaceDE w:val="0"/>
              <w:autoSpaceDN w:val="0"/>
              <w:adjustRightInd w:val="0"/>
              <w:rPr>
                <w:rFonts w:ascii="Century Gothic" w:hAnsi="Century Gothic" w:cs="TimesNewRomanPSMT"/>
              </w:rPr>
            </w:pPr>
            <w:r w:rsidRPr="00624EA3">
              <w:rPr>
                <w:rFonts w:ascii="Century Gothic" w:hAnsi="Century Gothic" w:cs="TimesNewRomanPSMT"/>
              </w:rPr>
              <w:t xml:space="preserve">0 </w:t>
            </w:r>
          </w:p>
        </w:tc>
        <w:tc>
          <w:tcPr>
            <w:tcW w:w="2977" w:type="dxa"/>
          </w:tcPr>
          <w:p w:rsidR="006111B9" w:rsidRPr="00624EA3" w:rsidRDefault="006111B9" w:rsidP="006E79D8">
            <w:pPr>
              <w:autoSpaceDE w:val="0"/>
              <w:autoSpaceDN w:val="0"/>
              <w:adjustRightInd w:val="0"/>
              <w:rPr>
                <w:rFonts w:ascii="Century Gothic" w:hAnsi="Century Gothic" w:cs="TimesNewRomanPSMT"/>
              </w:rPr>
            </w:pPr>
            <w:r w:rsidRPr="00624EA3">
              <w:rPr>
                <w:rFonts w:ascii="Century Gothic" w:hAnsi="Century Gothic" w:cs="TimesNewRomanPSMT"/>
              </w:rPr>
              <w:t xml:space="preserve">1 </w:t>
            </w:r>
          </w:p>
        </w:tc>
        <w:tc>
          <w:tcPr>
            <w:tcW w:w="1235" w:type="dxa"/>
          </w:tcPr>
          <w:p w:rsidR="006111B9" w:rsidRPr="00624EA3" w:rsidRDefault="006111B9" w:rsidP="006E79D8">
            <w:pPr>
              <w:autoSpaceDE w:val="0"/>
              <w:autoSpaceDN w:val="0"/>
              <w:adjustRightInd w:val="0"/>
              <w:rPr>
                <w:rFonts w:ascii="Century Gothic" w:hAnsi="Century Gothic" w:cs="TimesNewRomanPSMT"/>
                <w:i/>
              </w:rPr>
            </w:pPr>
            <w:r w:rsidRPr="00624EA3">
              <w:rPr>
                <w:rFonts w:ascii="Century Gothic" w:hAnsi="Century Gothic" w:cs="TimesNewRomanPSMT"/>
                <w:i/>
              </w:rPr>
              <w:t>.33</w:t>
            </w:r>
          </w:p>
        </w:tc>
      </w:tr>
      <w:tr w:rsidR="006111B9" w:rsidRPr="00624EA3" w:rsidTr="006E79D8">
        <w:tc>
          <w:tcPr>
            <w:tcW w:w="2320" w:type="dxa"/>
          </w:tcPr>
          <w:p w:rsidR="006111B9" w:rsidRPr="00624EA3" w:rsidRDefault="006111B9" w:rsidP="006E79D8">
            <w:pPr>
              <w:autoSpaceDE w:val="0"/>
              <w:autoSpaceDN w:val="0"/>
              <w:adjustRightInd w:val="0"/>
              <w:rPr>
                <w:rFonts w:ascii="Century Gothic" w:hAnsi="Century Gothic" w:cs="TimesNewRomanPSMT"/>
              </w:rPr>
            </w:pPr>
            <w:r w:rsidRPr="00624EA3">
              <w:rPr>
                <w:rFonts w:ascii="Century Gothic" w:hAnsi="Century Gothic" w:cs="TimesNewRomanPSMT"/>
              </w:rPr>
              <w:t>PE</w:t>
            </w:r>
          </w:p>
        </w:tc>
        <w:tc>
          <w:tcPr>
            <w:tcW w:w="2324" w:type="dxa"/>
          </w:tcPr>
          <w:p w:rsidR="006111B9" w:rsidRPr="00624EA3" w:rsidRDefault="006111B9" w:rsidP="006E79D8">
            <w:pPr>
              <w:autoSpaceDE w:val="0"/>
              <w:autoSpaceDN w:val="0"/>
              <w:adjustRightInd w:val="0"/>
              <w:rPr>
                <w:rFonts w:ascii="Century Gothic" w:hAnsi="Century Gothic" w:cs="TimesNewRomanPSMT"/>
              </w:rPr>
            </w:pPr>
            <w:r w:rsidRPr="00624EA3">
              <w:rPr>
                <w:rFonts w:ascii="Century Gothic" w:hAnsi="Century Gothic" w:cs="TimesNewRomanPSMT"/>
              </w:rPr>
              <w:t xml:space="preserve">2 </w:t>
            </w:r>
          </w:p>
        </w:tc>
        <w:tc>
          <w:tcPr>
            <w:tcW w:w="2977" w:type="dxa"/>
          </w:tcPr>
          <w:p w:rsidR="006111B9" w:rsidRPr="00624EA3" w:rsidRDefault="006111B9" w:rsidP="006E79D8">
            <w:pPr>
              <w:autoSpaceDE w:val="0"/>
              <w:autoSpaceDN w:val="0"/>
              <w:adjustRightInd w:val="0"/>
              <w:rPr>
                <w:rFonts w:ascii="Century Gothic" w:hAnsi="Century Gothic" w:cs="TimesNewRomanPSMT"/>
              </w:rPr>
            </w:pPr>
            <w:r w:rsidRPr="00624EA3">
              <w:rPr>
                <w:rFonts w:ascii="Century Gothic" w:hAnsi="Century Gothic" w:cs="TimesNewRomanPSMT"/>
              </w:rPr>
              <w:t xml:space="preserve">0 </w:t>
            </w:r>
          </w:p>
        </w:tc>
        <w:tc>
          <w:tcPr>
            <w:tcW w:w="1235" w:type="dxa"/>
          </w:tcPr>
          <w:p w:rsidR="006111B9" w:rsidRPr="00624EA3" w:rsidRDefault="006111B9" w:rsidP="006E79D8">
            <w:pPr>
              <w:autoSpaceDE w:val="0"/>
              <w:autoSpaceDN w:val="0"/>
              <w:adjustRightInd w:val="0"/>
              <w:rPr>
                <w:rFonts w:ascii="Century Gothic" w:hAnsi="Century Gothic" w:cs="TimesNewRomanPSMT"/>
                <w:i/>
              </w:rPr>
            </w:pPr>
            <w:r w:rsidRPr="00624EA3">
              <w:rPr>
                <w:rFonts w:ascii="Century Gothic" w:hAnsi="Century Gothic" w:cs="TimesNewRomanPSMT"/>
                <w:i/>
              </w:rPr>
              <w:t>.15</w:t>
            </w:r>
          </w:p>
        </w:tc>
      </w:tr>
      <w:tr w:rsidR="006111B9" w:rsidRPr="00624EA3" w:rsidTr="006E79D8">
        <w:tc>
          <w:tcPr>
            <w:tcW w:w="2320" w:type="dxa"/>
          </w:tcPr>
          <w:p w:rsidR="006111B9" w:rsidRPr="00624EA3" w:rsidRDefault="006111B9" w:rsidP="006E79D8">
            <w:pPr>
              <w:autoSpaceDE w:val="0"/>
              <w:autoSpaceDN w:val="0"/>
              <w:adjustRightInd w:val="0"/>
              <w:rPr>
                <w:rFonts w:ascii="Century Gothic" w:hAnsi="Century Gothic" w:cs="TimesNewRomanPSMT"/>
              </w:rPr>
            </w:pPr>
            <w:r w:rsidRPr="00624EA3">
              <w:rPr>
                <w:rFonts w:ascii="Century Gothic" w:hAnsi="Century Gothic" w:cs="TimesNewRomanPSMT"/>
              </w:rPr>
              <w:t>Other cardiovascular events</w:t>
            </w:r>
          </w:p>
        </w:tc>
        <w:tc>
          <w:tcPr>
            <w:tcW w:w="2324" w:type="dxa"/>
          </w:tcPr>
          <w:p w:rsidR="006111B9" w:rsidRPr="00624EA3" w:rsidRDefault="006111B9" w:rsidP="006E79D8">
            <w:pPr>
              <w:autoSpaceDE w:val="0"/>
              <w:autoSpaceDN w:val="0"/>
              <w:adjustRightInd w:val="0"/>
              <w:rPr>
                <w:rFonts w:ascii="Century Gothic" w:hAnsi="Century Gothic" w:cs="TimesNewRomanPSMT"/>
              </w:rPr>
            </w:pPr>
            <w:r w:rsidRPr="00624EA3">
              <w:rPr>
                <w:rFonts w:ascii="Century Gothic" w:hAnsi="Century Gothic" w:cs="TimesNewRomanPSMT"/>
              </w:rPr>
              <w:t>19</w:t>
            </w:r>
          </w:p>
        </w:tc>
        <w:tc>
          <w:tcPr>
            <w:tcW w:w="2977" w:type="dxa"/>
          </w:tcPr>
          <w:p w:rsidR="006111B9" w:rsidRPr="00624EA3" w:rsidRDefault="006111B9" w:rsidP="006E79D8">
            <w:pPr>
              <w:autoSpaceDE w:val="0"/>
              <w:autoSpaceDN w:val="0"/>
              <w:adjustRightInd w:val="0"/>
              <w:rPr>
                <w:rFonts w:ascii="Century Gothic" w:hAnsi="Century Gothic" w:cs="TimesNewRomanPSMT"/>
              </w:rPr>
            </w:pPr>
            <w:r w:rsidRPr="00624EA3">
              <w:rPr>
                <w:rFonts w:ascii="Century Gothic" w:hAnsi="Century Gothic" w:cs="TimesNewRomanPSMT"/>
              </w:rPr>
              <w:t xml:space="preserve">10 </w:t>
            </w:r>
          </w:p>
        </w:tc>
        <w:tc>
          <w:tcPr>
            <w:tcW w:w="1235" w:type="dxa"/>
          </w:tcPr>
          <w:p w:rsidR="006111B9" w:rsidRPr="00624EA3" w:rsidRDefault="006111B9" w:rsidP="006E79D8">
            <w:pPr>
              <w:autoSpaceDE w:val="0"/>
              <w:autoSpaceDN w:val="0"/>
              <w:adjustRightInd w:val="0"/>
              <w:rPr>
                <w:rFonts w:ascii="Century Gothic" w:hAnsi="Century Gothic" w:cs="TimesNewRomanPSMT"/>
                <w:i/>
              </w:rPr>
            </w:pPr>
            <w:r w:rsidRPr="00624EA3">
              <w:rPr>
                <w:rFonts w:ascii="Century Gothic" w:hAnsi="Century Gothic" w:cs="TimesNewRomanPSMT"/>
                <w:i/>
              </w:rPr>
              <w:t>.01</w:t>
            </w:r>
          </w:p>
        </w:tc>
      </w:tr>
      <w:tr w:rsidR="006111B9" w:rsidRPr="00624EA3" w:rsidTr="006E79D8">
        <w:tc>
          <w:tcPr>
            <w:tcW w:w="2320" w:type="dxa"/>
          </w:tcPr>
          <w:p w:rsidR="006111B9" w:rsidRPr="00624EA3" w:rsidRDefault="006111B9" w:rsidP="006E79D8">
            <w:pPr>
              <w:autoSpaceDE w:val="0"/>
              <w:autoSpaceDN w:val="0"/>
              <w:adjustRightInd w:val="0"/>
              <w:rPr>
                <w:rFonts w:ascii="Century Gothic" w:hAnsi="Century Gothic" w:cs="TimesNewRomanPSMT"/>
              </w:rPr>
            </w:pPr>
            <w:r w:rsidRPr="00624EA3">
              <w:rPr>
                <w:rFonts w:ascii="Century Gothic" w:hAnsi="Century Gothic" w:cs="TimesNewRomanPSMT"/>
              </w:rPr>
              <w:t xml:space="preserve">Bleeding </w:t>
            </w:r>
          </w:p>
        </w:tc>
        <w:tc>
          <w:tcPr>
            <w:tcW w:w="2324" w:type="dxa"/>
          </w:tcPr>
          <w:p w:rsidR="006111B9" w:rsidRPr="00624EA3" w:rsidRDefault="006111B9" w:rsidP="006E79D8">
            <w:pPr>
              <w:autoSpaceDE w:val="0"/>
              <w:autoSpaceDN w:val="0"/>
              <w:adjustRightInd w:val="0"/>
              <w:rPr>
                <w:rFonts w:ascii="Century Gothic" w:hAnsi="Century Gothic" w:cs="TimesNewRomanPSMT"/>
              </w:rPr>
            </w:pPr>
            <w:r w:rsidRPr="00624EA3">
              <w:rPr>
                <w:rFonts w:ascii="Century Gothic" w:hAnsi="Century Gothic" w:cs="TimesNewRomanPSMT"/>
              </w:rPr>
              <w:t xml:space="preserve">6 </w:t>
            </w:r>
          </w:p>
        </w:tc>
        <w:tc>
          <w:tcPr>
            <w:tcW w:w="2977" w:type="dxa"/>
          </w:tcPr>
          <w:p w:rsidR="006111B9" w:rsidRPr="00624EA3" w:rsidRDefault="006111B9" w:rsidP="006E79D8">
            <w:pPr>
              <w:autoSpaceDE w:val="0"/>
              <w:autoSpaceDN w:val="0"/>
              <w:adjustRightInd w:val="0"/>
              <w:rPr>
                <w:rFonts w:ascii="Century Gothic" w:hAnsi="Century Gothic" w:cs="TimesNewRomanPSMT"/>
              </w:rPr>
            </w:pPr>
            <w:r w:rsidRPr="00624EA3">
              <w:rPr>
                <w:rFonts w:ascii="Century Gothic" w:hAnsi="Century Gothic" w:cs="TimesNewRomanPSMT"/>
              </w:rPr>
              <w:t xml:space="preserve">3 </w:t>
            </w:r>
          </w:p>
        </w:tc>
        <w:tc>
          <w:tcPr>
            <w:tcW w:w="1235" w:type="dxa"/>
          </w:tcPr>
          <w:p w:rsidR="006111B9" w:rsidRPr="00624EA3" w:rsidRDefault="006111B9" w:rsidP="006E79D8">
            <w:pPr>
              <w:autoSpaceDE w:val="0"/>
              <w:autoSpaceDN w:val="0"/>
              <w:adjustRightInd w:val="0"/>
              <w:rPr>
                <w:rFonts w:ascii="Century Gothic" w:hAnsi="Century Gothic" w:cs="TimesNewRomanPSMT"/>
                <w:i/>
              </w:rPr>
            </w:pPr>
            <w:r w:rsidRPr="00624EA3">
              <w:rPr>
                <w:rFonts w:ascii="Century Gothic" w:hAnsi="Century Gothic" w:cs="TimesNewRomanPSMT"/>
                <w:i/>
              </w:rPr>
              <w:t>&lt;.005</w:t>
            </w:r>
          </w:p>
        </w:tc>
      </w:tr>
      <w:tr w:rsidR="006111B9" w:rsidRPr="00624EA3" w:rsidTr="006E79D8">
        <w:tc>
          <w:tcPr>
            <w:tcW w:w="2320" w:type="dxa"/>
          </w:tcPr>
          <w:p w:rsidR="006111B9" w:rsidRPr="00624EA3" w:rsidRDefault="006111B9" w:rsidP="006E79D8">
            <w:pPr>
              <w:autoSpaceDE w:val="0"/>
              <w:autoSpaceDN w:val="0"/>
              <w:adjustRightInd w:val="0"/>
              <w:rPr>
                <w:rFonts w:ascii="Century Gothic" w:hAnsi="Century Gothic" w:cs="TimesNewRomanPSMT"/>
              </w:rPr>
            </w:pPr>
            <w:r w:rsidRPr="00624EA3">
              <w:rPr>
                <w:rFonts w:ascii="Century Gothic" w:hAnsi="Century Gothic" w:cs="TimesNewRomanPSMT"/>
              </w:rPr>
              <w:t>Death</w:t>
            </w:r>
          </w:p>
        </w:tc>
        <w:tc>
          <w:tcPr>
            <w:tcW w:w="2324" w:type="dxa"/>
          </w:tcPr>
          <w:p w:rsidR="006111B9" w:rsidRPr="00624EA3" w:rsidRDefault="006111B9" w:rsidP="006E79D8">
            <w:pPr>
              <w:autoSpaceDE w:val="0"/>
              <w:autoSpaceDN w:val="0"/>
              <w:adjustRightInd w:val="0"/>
              <w:rPr>
                <w:rFonts w:ascii="Century Gothic" w:hAnsi="Century Gothic" w:cs="TimesNewRomanPSMT"/>
              </w:rPr>
            </w:pPr>
            <w:r w:rsidRPr="00624EA3">
              <w:rPr>
                <w:rFonts w:ascii="Century Gothic" w:hAnsi="Century Gothic" w:cs="TimesNewRomanPSMT"/>
              </w:rPr>
              <w:t xml:space="preserve">0 </w:t>
            </w:r>
          </w:p>
        </w:tc>
        <w:tc>
          <w:tcPr>
            <w:tcW w:w="2977" w:type="dxa"/>
          </w:tcPr>
          <w:p w:rsidR="006111B9" w:rsidRPr="00624EA3" w:rsidRDefault="006111B9" w:rsidP="006E79D8">
            <w:pPr>
              <w:autoSpaceDE w:val="0"/>
              <w:autoSpaceDN w:val="0"/>
              <w:adjustRightInd w:val="0"/>
              <w:rPr>
                <w:rFonts w:ascii="Century Gothic" w:hAnsi="Century Gothic" w:cs="TimesNewRomanPSMT"/>
              </w:rPr>
            </w:pPr>
            <w:r w:rsidRPr="00624EA3">
              <w:rPr>
                <w:rFonts w:ascii="Century Gothic" w:hAnsi="Century Gothic" w:cs="TimesNewRomanPSMT"/>
              </w:rPr>
              <w:t xml:space="preserve">0 </w:t>
            </w:r>
          </w:p>
        </w:tc>
        <w:tc>
          <w:tcPr>
            <w:tcW w:w="1235" w:type="dxa"/>
          </w:tcPr>
          <w:p w:rsidR="006111B9" w:rsidRPr="00624EA3" w:rsidRDefault="006111B9" w:rsidP="006E79D8">
            <w:pPr>
              <w:autoSpaceDE w:val="0"/>
              <w:autoSpaceDN w:val="0"/>
              <w:adjustRightInd w:val="0"/>
              <w:rPr>
                <w:rFonts w:ascii="Century Gothic" w:hAnsi="Century Gothic" w:cs="TimesNewRomanPSMT"/>
                <w:i/>
              </w:rPr>
            </w:pPr>
          </w:p>
        </w:tc>
      </w:tr>
    </w:tbl>
    <w:p w:rsidR="006111B9" w:rsidRPr="00624EA3" w:rsidRDefault="006111B9" w:rsidP="006111B9">
      <w:pPr>
        <w:autoSpaceDE w:val="0"/>
        <w:autoSpaceDN w:val="0"/>
        <w:adjustRightInd w:val="0"/>
        <w:rPr>
          <w:rFonts w:ascii="Century Gothic" w:hAnsi="Century Gothic" w:cs="TimesNewRomanPSMT"/>
        </w:rPr>
      </w:pPr>
      <w:r w:rsidRPr="00624EA3">
        <w:rPr>
          <w:rFonts w:ascii="Century Gothic" w:hAnsi="Century Gothic" w:cs="TimesNewRomanPSMT"/>
        </w:rPr>
        <w:t>HD=Hemodialysis, DVT= deep vein thrombosis, PE= pulmonary embolism, MI= myocardial infarction</w:t>
      </w:r>
    </w:p>
    <w:p w:rsidR="006111B9" w:rsidRPr="00624EA3" w:rsidRDefault="006111B9" w:rsidP="006111B9">
      <w:pPr>
        <w:rPr>
          <w:rFonts w:ascii="Century Gothic" w:hAnsi="Century Gothic"/>
        </w:rPr>
      </w:pPr>
    </w:p>
    <w:p w:rsidR="00BE1CAC" w:rsidRPr="006111B9" w:rsidRDefault="00BE1CAC" w:rsidP="003B51C8">
      <w:pPr>
        <w:pStyle w:val="NoSpacing"/>
        <w:spacing w:line="480" w:lineRule="auto"/>
        <w:rPr>
          <w:rFonts w:ascii="Century Gothic" w:hAnsi="Century Gothic"/>
          <w:sz w:val="24"/>
          <w:szCs w:val="24"/>
          <w:lang w:val="en-CA"/>
        </w:rPr>
      </w:pPr>
      <w:bookmarkStart w:id="0" w:name="_GoBack"/>
      <w:bookmarkEnd w:id="0"/>
    </w:p>
    <w:sectPr w:rsidR="00BE1CAC" w:rsidRPr="006111B9" w:rsidSect="00E958A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A"/>
    <w:multiLevelType w:val="hybridMultilevel"/>
    <w:tmpl w:val="7E5029FC"/>
    <w:lvl w:ilvl="0" w:tplc="2D161C94">
      <w:start w:val="1"/>
      <w:numFmt w:val="decimal"/>
      <w:lvlText w:val="%1."/>
      <w:lvlJc w:val="left"/>
      <w:pPr>
        <w:tabs>
          <w:tab w:val="num" w:pos="720"/>
        </w:tabs>
        <w:ind w:left="720" w:hanging="360"/>
      </w:pPr>
    </w:lvl>
    <w:lvl w:ilvl="1" w:tplc="B7E4227C" w:tentative="1">
      <w:start w:val="1"/>
      <w:numFmt w:val="decimal"/>
      <w:lvlText w:val="%2."/>
      <w:lvlJc w:val="left"/>
      <w:pPr>
        <w:tabs>
          <w:tab w:val="num" w:pos="1440"/>
        </w:tabs>
        <w:ind w:left="1440" w:hanging="360"/>
      </w:pPr>
    </w:lvl>
    <w:lvl w:ilvl="2" w:tplc="68668B26" w:tentative="1">
      <w:start w:val="1"/>
      <w:numFmt w:val="decimal"/>
      <w:lvlText w:val="%3."/>
      <w:lvlJc w:val="left"/>
      <w:pPr>
        <w:tabs>
          <w:tab w:val="num" w:pos="2160"/>
        </w:tabs>
        <w:ind w:left="2160" w:hanging="360"/>
      </w:pPr>
    </w:lvl>
    <w:lvl w:ilvl="3" w:tplc="9436721A" w:tentative="1">
      <w:start w:val="1"/>
      <w:numFmt w:val="decimal"/>
      <w:lvlText w:val="%4."/>
      <w:lvlJc w:val="left"/>
      <w:pPr>
        <w:tabs>
          <w:tab w:val="num" w:pos="2880"/>
        </w:tabs>
        <w:ind w:left="2880" w:hanging="360"/>
      </w:pPr>
    </w:lvl>
    <w:lvl w:ilvl="4" w:tplc="D402D30C" w:tentative="1">
      <w:start w:val="1"/>
      <w:numFmt w:val="decimal"/>
      <w:lvlText w:val="%5."/>
      <w:lvlJc w:val="left"/>
      <w:pPr>
        <w:tabs>
          <w:tab w:val="num" w:pos="3600"/>
        </w:tabs>
        <w:ind w:left="3600" w:hanging="360"/>
      </w:pPr>
    </w:lvl>
    <w:lvl w:ilvl="5" w:tplc="FE0480FC" w:tentative="1">
      <w:start w:val="1"/>
      <w:numFmt w:val="decimal"/>
      <w:lvlText w:val="%6."/>
      <w:lvlJc w:val="left"/>
      <w:pPr>
        <w:tabs>
          <w:tab w:val="num" w:pos="4320"/>
        </w:tabs>
        <w:ind w:left="4320" w:hanging="360"/>
      </w:pPr>
    </w:lvl>
    <w:lvl w:ilvl="6" w:tplc="BCAEF0E0" w:tentative="1">
      <w:start w:val="1"/>
      <w:numFmt w:val="decimal"/>
      <w:lvlText w:val="%7."/>
      <w:lvlJc w:val="left"/>
      <w:pPr>
        <w:tabs>
          <w:tab w:val="num" w:pos="5040"/>
        </w:tabs>
        <w:ind w:left="5040" w:hanging="360"/>
      </w:pPr>
    </w:lvl>
    <w:lvl w:ilvl="7" w:tplc="5862355E" w:tentative="1">
      <w:start w:val="1"/>
      <w:numFmt w:val="decimal"/>
      <w:lvlText w:val="%8."/>
      <w:lvlJc w:val="left"/>
      <w:pPr>
        <w:tabs>
          <w:tab w:val="num" w:pos="5760"/>
        </w:tabs>
        <w:ind w:left="5760" w:hanging="360"/>
      </w:pPr>
    </w:lvl>
    <w:lvl w:ilvl="8" w:tplc="D1EAB494" w:tentative="1">
      <w:start w:val="1"/>
      <w:numFmt w:val="decimal"/>
      <w:lvlText w:val="%9."/>
      <w:lvlJc w:val="left"/>
      <w:pPr>
        <w:tabs>
          <w:tab w:val="num" w:pos="6480"/>
        </w:tabs>
        <w:ind w:left="6480" w:hanging="360"/>
      </w:pPr>
    </w:lvl>
  </w:abstractNum>
  <w:abstractNum w:abstractNumId="1">
    <w:nsid w:val="1F5C4A5E"/>
    <w:multiLevelType w:val="hybridMultilevel"/>
    <w:tmpl w:val="90660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DC4300"/>
    <w:multiLevelType w:val="hybridMultilevel"/>
    <w:tmpl w:val="B1E04C62"/>
    <w:lvl w:ilvl="0" w:tplc="75A26C3C">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3">
    <w:nsid w:val="23C56BEF"/>
    <w:multiLevelType w:val="hybridMultilevel"/>
    <w:tmpl w:val="F0105FF0"/>
    <w:lvl w:ilvl="0" w:tplc="E2509E10">
      <w:start w:val="1"/>
      <w:numFmt w:val="bullet"/>
      <w:lvlText w:val="•"/>
      <w:lvlJc w:val="left"/>
      <w:pPr>
        <w:tabs>
          <w:tab w:val="num" w:pos="720"/>
        </w:tabs>
        <w:ind w:left="720" w:hanging="360"/>
      </w:pPr>
      <w:rPr>
        <w:rFonts w:ascii="Arial" w:hAnsi="Arial" w:hint="default"/>
      </w:rPr>
    </w:lvl>
    <w:lvl w:ilvl="1" w:tplc="3B104616" w:tentative="1">
      <w:start w:val="1"/>
      <w:numFmt w:val="bullet"/>
      <w:lvlText w:val="•"/>
      <w:lvlJc w:val="left"/>
      <w:pPr>
        <w:tabs>
          <w:tab w:val="num" w:pos="1440"/>
        </w:tabs>
        <w:ind w:left="1440" w:hanging="360"/>
      </w:pPr>
      <w:rPr>
        <w:rFonts w:ascii="Arial" w:hAnsi="Arial" w:hint="default"/>
      </w:rPr>
    </w:lvl>
    <w:lvl w:ilvl="2" w:tplc="201E78FA" w:tentative="1">
      <w:start w:val="1"/>
      <w:numFmt w:val="bullet"/>
      <w:lvlText w:val="•"/>
      <w:lvlJc w:val="left"/>
      <w:pPr>
        <w:tabs>
          <w:tab w:val="num" w:pos="2160"/>
        </w:tabs>
        <w:ind w:left="2160" w:hanging="360"/>
      </w:pPr>
      <w:rPr>
        <w:rFonts w:ascii="Arial" w:hAnsi="Arial" w:hint="default"/>
      </w:rPr>
    </w:lvl>
    <w:lvl w:ilvl="3" w:tplc="86EA5872" w:tentative="1">
      <w:start w:val="1"/>
      <w:numFmt w:val="bullet"/>
      <w:lvlText w:val="•"/>
      <w:lvlJc w:val="left"/>
      <w:pPr>
        <w:tabs>
          <w:tab w:val="num" w:pos="2880"/>
        </w:tabs>
        <w:ind w:left="2880" w:hanging="360"/>
      </w:pPr>
      <w:rPr>
        <w:rFonts w:ascii="Arial" w:hAnsi="Arial" w:hint="default"/>
      </w:rPr>
    </w:lvl>
    <w:lvl w:ilvl="4" w:tplc="61E05310" w:tentative="1">
      <w:start w:val="1"/>
      <w:numFmt w:val="bullet"/>
      <w:lvlText w:val="•"/>
      <w:lvlJc w:val="left"/>
      <w:pPr>
        <w:tabs>
          <w:tab w:val="num" w:pos="3600"/>
        </w:tabs>
        <w:ind w:left="3600" w:hanging="360"/>
      </w:pPr>
      <w:rPr>
        <w:rFonts w:ascii="Arial" w:hAnsi="Arial" w:hint="default"/>
      </w:rPr>
    </w:lvl>
    <w:lvl w:ilvl="5" w:tplc="06368A12" w:tentative="1">
      <w:start w:val="1"/>
      <w:numFmt w:val="bullet"/>
      <w:lvlText w:val="•"/>
      <w:lvlJc w:val="left"/>
      <w:pPr>
        <w:tabs>
          <w:tab w:val="num" w:pos="4320"/>
        </w:tabs>
        <w:ind w:left="4320" w:hanging="360"/>
      </w:pPr>
      <w:rPr>
        <w:rFonts w:ascii="Arial" w:hAnsi="Arial" w:hint="default"/>
      </w:rPr>
    </w:lvl>
    <w:lvl w:ilvl="6" w:tplc="36164EAA" w:tentative="1">
      <w:start w:val="1"/>
      <w:numFmt w:val="bullet"/>
      <w:lvlText w:val="•"/>
      <w:lvlJc w:val="left"/>
      <w:pPr>
        <w:tabs>
          <w:tab w:val="num" w:pos="5040"/>
        </w:tabs>
        <w:ind w:left="5040" w:hanging="360"/>
      </w:pPr>
      <w:rPr>
        <w:rFonts w:ascii="Arial" w:hAnsi="Arial" w:hint="default"/>
      </w:rPr>
    </w:lvl>
    <w:lvl w:ilvl="7" w:tplc="5DB44392" w:tentative="1">
      <w:start w:val="1"/>
      <w:numFmt w:val="bullet"/>
      <w:lvlText w:val="•"/>
      <w:lvlJc w:val="left"/>
      <w:pPr>
        <w:tabs>
          <w:tab w:val="num" w:pos="5760"/>
        </w:tabs>
        <w:ind w:left="5760" w:hanging="360"/>
      </w:pPr>
      <w:rPr>
        <w:rFonts w:ascii="Arial" w:hAnsi="Arial" w:hint="default"/>
      </w:rPr>
    </w:lvl>
    <w:lvl w:ilvl="8" w:tplc="913E67CA" w:tentative="1">
      <w:start w:val="1"/>
      <w:numFmt w:val="bullet"/>
      <w:lvlText w:val="•"/>
      <w:lvlJc w:val="left"/>
      <w:pPr>
        <w:tabs>
          <w:tab w:val="num" w:pos="6480"/>
        </w:tabs>
        <w:ind w:left="6480" w:hanging="360"/>
      </w:pPr>
      <w:rPr>
        <w:rFonts w:ascii="Arial" w:hAnsi="Arial" w:hint="default"/>
      </w:rPr>
    </w:lvl>
  </w:abstractNum>
  <w:abstractNum w:abstractNumId="4">
    <w:nsid w:val="26066BCC"/>
    <w:multiLevelType w:val="hybridMultilevel"/>
    <w:tmpl w:val="90660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171765"/>
    <w:multiLevelType w:val="hybridMultilevel"/>
    <w:tmpl w:val="B1E2C944"/>
    <w:lvl w:ilvl="0" w:tplc="1BE202D2">
      <w:start w:val="16"/>
      <w:numFmt w:val="bullet"/>
      <w:lvlText w:val=""/>
      <w:lvlJc w:val="left"/>
      <w:pPr>
        <w:ind w:left="720" w:hanging="360"/>
      </w:pPr>
      <w:rPr>
        <w:rFonts w:ascii="Symbol" w:eastAsiaTheme="minorHAnsi"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D61347"/>
    <w:multiLevelType w:val="hybridMultilevel"/>
    <w:tmpl w:val="86922562"/>
    <w:lvl w:ilvl="0" w:tplc="865A9118">
      <w:start w:val="1"/>
      <w:numFmt w:val="decimal"/>
      <w:lvlText w:val="%1."/>
      <w:lvlJc w:val="left"/>
      <w:pPr>
        <w:tabs>
          <w:tab w:val="num" w:pos="720"/>
        </w:tabs>
        <w:ind w:left="720" w:hanging="360"/>
      </w:pPr>
    </w:lvl>
    <w:lvl w:ilvl="1" w:tplc="E996C22E" w:tentative="1">
      <w:start w:val="1"/>
      <w:numFmt w:val="decimal"/>
      <w:lvlText w:val="%2."/>
      <w:lvlJc w:val="left"/>
      <w:pPr>
        <w:tabs>
          <w:tab w:val="num" w:pos="1440"/>
        </w:tabs>
        <w:ind w:left="1440" w:hanging="360"/>
      </w:pPr>
    </w:lvl>
    <w:lvl w:ilvl="2" w:tplc="02F84C2C" w:tentative="1">
      <w:start w:val="1"/>
      <w:numFmt w:val="decimal"/>
      <w:lvlText w:val="%3."/>
      <w:lvlJc w:val="left"/>
      <w:pPr>
        <w:tabs>
          <w:tab w:val="num" w:pos="2160"/>
        </w:tabs>
        <w:ind w:left="2160" w:hanging="360"/>
      </w:pPr>
    </w:lvl>
    <w:lvl w:ilvl="3" w:tplc="B350A572" w:tentative="1">
      <w:start w:val="1"/>
      <w:numFmt w:val="decimal"/>
      <w:lvlText w:val="%4."/>
      <w:lvlJc w:val="left"/>
      <w:pPr>
        <w:tabs>
          <w:tab w:val="num" w:pos="2880"/>
        </w:tabs>
        <w:ind w:left="2880" w:hanging="360"/>
      </w:pPr>
    </w:lvl>
    <w:lvl w:ilvl="4" w:tplc="9BAA3BA0" w:tentative="1">
      <w:start w:val="1"/>
      <w:numFmt w:val="decimal"/>
      <w:lvlText w:val="%5."/>
      <w:lvlJc w:val="left"/>
      <w:pPr>
        <w:tabs>
          <w:tab w:val="num" w:pos="3600"/>
        </w:tabs>
        <w:ind w:left="3600" w:hanging="360"/>
      </w:pPr>
    </w:lvl>
    <w:lvl w:ilvl="5" w:tplc="C3949B06" w:tentative="1">
      <w:start w:val="1"/>
      <w:numFmt w:val="decimal"/>
      <w:lvlText w:val="%6."/>
      <w:lvlJc w:val="left"/>
      <w:pPr>
        <w:tabs>
          <w:tab w:val="num" w:pos="4320"/>
        </w:tabs>
        <w:ind w:left="4320" w:hanging="360"/>
      </w:pPr>
    </w:lvl>
    <w:lvl w:ilvl="6" w:tplc="CC985C52" w:tentative="1">
      <w:start w:val="1"/>
      <w:numFmt w:val="decimal"/>
      <w:lvlText w:val="%7."/>
      <w:lvlJc w:val="left"/>
      <w:pPr>
        <w:tabs>
          <w:tab w:val="num" w:pos="5040"/>
        </w:tabs>
        <w:ind w:left="5040" w:hanging="360"/>
      </w:pPr>
    </w:lvl>
    <w:lvl w:ilvl="7" w:tplc="241E12D0" w:tentative="1">
      <w:start w:val="1"/>
      <w:numFmt w:val="decimal"/>
      <w:lvlText w:val="%8."/>
      <w:lvlJc w:val="left"/>
      <w:pPr>
        <w:tabs>
          <w:tab w:val="num" w:pos="5760"/>
        </w:tabs>
        <w:ind w:left="5760" w:hanging="360"/>
      </w:pPr>
    </w:lvl>
    <w:lvl w:ilvl="8" w:tplc="05AE3328" w:tentative="1">
      <w:start w:val="1"/>
      <w:numFmt w:val="decimal"/>
      <w:lvlText w:val="%9."/>
      <w:lvlJc w:val="left"/>
      <w:pPr>
        <w:tabs>
          <w:tab w:val="num" w:pos="6480"/>
        </w:tabs>
        <w:ind w:left="6480" w:hanging="360"/>
      </w:pPr>
    </w:lvl>
  </w:abstractNum>
  <w:abstractNum w:abstractNumId="7">
    <w:nsid w:val="4CF771A1"/>
    <w:multiLevelType w:val="hybridMultilevel"/>
    <w:tmpl w:val="19960894"/>
    <w:lvl w:ilvl="0" w:tplc="4EF2FEC8">
      <w:start w:val="1"/>
      <w:numFmt w:val="bullet"/>
      <w:lvlText w:val="•"/>
      <w:lvlJc w:val="left"/>
      <w:pPr>
        <w:tabs>
          <w:tab w:val="num" w:pos="720"/>
        </w:tabs>
        <w:ind w:left="720" w:hanging="360"/>
      </w:pPr>
      <w:rPr>
        <w:rFonts w:ascii="Arial" w:hAnsi="Arial" w:hint="default"/>
      </w:rPr>
    </w:lvl>
    <w:lvl w:ilvl="1" w:tplc="060899D6" w:tentative="1">
      <w:start w:val="1"/>
      <w:numFmt w:val="bullet"/>
      <w:lvlText w:val="•"/>
      <w:lvlJc w:val="left"/>
      <w:pPr>
        <w:tabs>
          <w:tab w:val="num" w:pos="1440"/>
        </w:tabs>
        <w:ind w:left="1440" w:hanging="360"/>
      </w:pPr>
      <w:rPr>
        <w:rFonts w:ascii="Arial" w:hAnsi="Arial" w:hint="default"/>
      </w:rPr>
    </w:lvl>
    <w:lvl w:ilvl="2" w:tplc="199833C4" w:tentative="1">
      <w:start w:val="1"/>
      <w:numFmt w:val="bullet"/>
      <w:lvlText w:val="•"/>
      <w:lvlJc w:val="left"/>
      <w:pPr>
        <w:tabs>
          <w:tab w:val="num" w:pos="2160"/>
        </w:tabs>
        <w:ind w:left="2160" w:hanging="360"/>
      </w:pPr>
      <w:rPr>
        <w:rFonts w:ascii="Arial" w:hAnsi="Arial" w:hint="default"/>
      </w:rPr>
    </w:lvl>
    <w:lvl w:ilvl="3" w:tplc="2E641614" w:tentative="1">
      <w:start w:val="1"/>
      <w:numFmt w:val="bullet"/>
      <w:lvlText w:val="•"/>
      <w:lvlJc w:val="left"/>
      <w:pPr>
        <w:tabs>
          <w:tab w:val="num" w:pos="2880"/>
        </w:tabs>
        <w:ind w:left="2880" w:hanging="360"/>
      </w:pPr>
      <w:rPr>
        <w:rFonts w:ascii="Arial" w:hAnsi="Arial" w:hint="default"/>
      </w:rPr>
    </w:lvl>
    <w:lvl w:ilvl="4" w:tplc="52923154" w:tentative="1">
      <w:start w:val="1"/>
      <w:numFmt w:val="bullet"/>
      <w:lvlText w:val="•"/>
      <w:lvlJc w:val="left"/>
      <w:pPr>
        <w:tabs>
          <w:tab w:val="num" w:pos="3600"/>
        </w:tabs>
        <w:ind w:left="3600" w:hanging="360"/>
      </w:pPr>
      <w:rPr>
        <w:rFonts w:ascii="Arial" w:hAnsi="Arial" w:hint="default"/>
      </w:rPr>
    </w:lvl>
    <w:lvl w:ilvl="5" w:tplc="BAE2FC64" w:tentative="1">
      <w:start w:val="1"/>
      <w:numFmt w:val="bullet"/>
      <w:lvlText w:val="•"/>
      <w:lvlJc w:val="left"/>
      <w:pPr>
        <w:tabs>
          <w:tab w:val="num" w:pos="4320"/>
        </w:tabs>
        <w:ind w:left="4320" w:hanging="360"/>
      </w:pPr>
      <w:rPr>
        <w:rFonts w:ascii="Arial" w:hAnsi="Arial" w:hint="default"/>
      </w:rPr>
    </w:lvl>
    <w:lvl w:ilvl="6" w:tplc="28C0B6EC" w:tentative="1">
      <w:start w:val="1"/>
      <w:numFmt w:val="bullet"/>
      <w:lvlText w:val="•"/>
      <w:lvlJc w:val="left"/>
      <w:pPr>
        <w:tabs>
          <w:tab w:val="num" w:pos="5040"/>
        </w:tabs>
        <w:ind w:left="5040" w:hanging="360"/>
      </w:pPr>
      <w:rPr>
        <w:rFonts w:ascii="Arial" w:hAnsi="Arial" w:hint="default"/>
      </w:rPr>
    </w:lvl>
    <w:lvl w:ilvl="7" w:tplc="099A936C" w:tentative="1">
      <w:start w:val="1"/>
      <w:numFmt w:val="bullet"/>
      <w:lvlText w:val="•"/>
      <w:lvlJc w:val="left"/>
      <w:pPr>
        <w:tabs>
          <w:tab w:val="num" w:pos="5760"/>
        </w:tabs>
        <w:ind w:left="5760" w:hanging="360"/>
      </w:pPr>
      <w:rPr>
        <w:rFonts w:ascii="Arial" w:hAnsi="Arial" w:hint="default"/>
      </w:rPr>
    </w:lvl>
    <w:lvl w:ilvl="8" w:tplc="43DCA126" w:tentative="1">
      <w:start w:val="1"/>
      <w:numFmt w:val="bullet"/>
      <w:lvlText w:val="•"/>
      <w:lvlJc w:val="left"/>
      <w:pPr>
        <w:tabs>
          <w:tab w:val="num" w:pos="6480"/>
        </w:tabs>
        <w:ind w:left="6480" w:hanging="360"/>
      </w:pPr>
      <w:rPr>
        <w:rFonts w:ascii="Arial" w:hAnsi="Arial" w:hint="default"/>
      </w:rPr>
    </w:lvl>
  </w:abstractNum>
  <w:abstractNum w:abstractNumId="8">
    <w:nsid w:val="5ED318CA"/>
    <w:multiLevelType w:val="hybridMultilevel"/>
    <w:tmpl w:val="576C50E2"/>
    <w:lvl w:ilvl="0" w:tplc="5538DB38">
      <w:start w:val="1"/>
      <w:numFmt w:val="decimal"/>
      <w:lvlText w:val="%1."/>
      <w:lvlJc w:val="left"/>
      <w:pPr>
        <w:tabs>
          <w:tab w:val="num" w:pos="720"/>
        </w:tabs>
        <w:ind w:left="720" w:hanging="360"/>
      </w:pPr>
    </w:lvl>
    <w:lvl w:ilvl="1" w:tplc="71761992" w:tentative="1">
      <w:start w:val="1"/>
      <w:numFmt w:val="decimal"/>
      <w:lvlText w:val="%2."/>
      <w:lvlJc w:val="left"/>
      <w:pPr>
        <w:tabs>
          <w:tab w:val="num" w:pos="1440"/>
        </w:tabs>
        <w:ind w:left="1440" w:hanging="360"/>
      </w:pPr>
    </w:lvl>
    <w:lvl w:ilvl="2" w:tplc="5BEA7A00" w:tentative="1">
      <w:start w:val="1"/>
      <w:numFmt w:val="decimal"/>
      <w:lvlText w:val="%3."/>
      <w:lvlJc w:val="left"/>
      <w:pPr>
        <w:tabs>
          <w:tab w:val="num" w:pos="2160"/>
        </w:tabs>
        <w:ind w:left="2160" w:hanging="360"/>
      </w:pPr>
    </w:lvl>
    <w:lvl w:ilvl="3" w:tplc="D270B968" w:tentative="1">
      <w:start w:val="1"/>
      <w:numFmt w:val="decimal"/>
      <w:lvlText w:val="%4."/>
      <w:lvlJc w:val="left"/>
      <w:pPr>
        <w:tabs>
          <w:tab w:val="num" w:pos="2880"/>
        </w:tabs>
        <w:ind w:left="2880" w:hanging="360"/>
      </w:pPr>
    </w:lvl>
    <w:lvl w:ilvl="4" w:tplc="7C50949A" w:tentative="1">
      <w:start w:val="1"/>
      <w:numFmt w:val="decimal"/>
      <w:lvlText w:val="%5."/>
      <w:lvlJc w:val="left"/>
      <w:pPr>
        <w:tabs>
          <w:tab w:val="num" w:pos="3600"/>
        </w:tabs>
        <w:ind w:left="3600" w:hanging="360"/>
      </w:pPr>
    </w:lvl>
    <w:lvl w:ilvl="5" w:tplc="4CA26360" w:tentative="1">
      <w:start w:val="1"/>
      <w:numFmt w:val="decimal"/>
      <w:lvlText w:val="%6."/>
      <w:lvlJc w:val="left"/>
      <w:pPr>
        <w:tabs>
          <w:tab w:val="num" w:pos="4320"/>
        </w:tabs>
        <w:ind w:left="4320" w:hanging="360"/>
      </w:pPr>
    </w:lvl>
    <w:lvl w:ilvl="6" w:tplc="D25812EA" w:tentative="1">
      <w:start w:val="1"/>
      <w:numFmt w:val="decimal"/>
      <w:lvlText w:val="%7."/>
      <w:lvlJc w:val="left"/>
      <w:pPr>
        <w:tabs>
          <w:tab w:val="num" w:pos="5040"/>
        </w:tabs>
        <w:ind w:left="5040" w:hanging="360"/>
      </w:pPr>
    </w:lvl>
    <w:lvl w:ilvl="7" w:tplc="0596C5D6" w:tentative="1">
      <w:start w:val="1"/>
      <w:numFmt w:val="decimal"/>
      <w:lvlText w:val="%8."/>
      <w:lvlJc w:val="left"/>
      <w:pPr>
        <w:tabs>
          <w:tab w:val="num" w:pos="5760"/>
        </w:tabs>
        <w:ind w:left="5760" w:hanging="360"/>
      </w:pPr>
    </w:lvl>
    <w:lvl w:ilvl="8" w:tplc="211EF86A" w:tentative="1">
      <w:start w:val="1"/>
      <w:numFmt w:val="decimal"/>
      <w:lvlText w:val="%9."/>
      <w:lvlJc w:val="left"/>
      <w:pPr>
        <w:tabs>
          <w:tab w:val="num" w:pos="6480"/>
        </w:tabs>
        <w:ind w:left="6480" w:hanging="360"/>
      </w:pPr>
    </w:lvl>
  </w:abstractNum>
  <w:abstractNum w:abstractNumId="9">
    <w:nsid w:val="6F1F3E47"/>
    <w:multiLevelType w:val="hybridMultilevel"/>
    <w:tmpl w:val="CB287C9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98012C"/>
    <w:multiLevelType w:val="hybridMultilevel"/>
    <w:tmpl w:val="24148486"/>
    <w:lvl w:ilvl="0" w:tplc="A6129470">
      <w:start w:val="1"/>
      <w:numFmt w:val="bullet"/>
      <w:lvlText w:val="•"/>
      <w:lvlJc w:val="left"/>
      <w:pPr>
        <w:tabs>
          <w:tab w:val="num" w:pos="720"/>
        </w:tabs>
        <w:ind w:left="720" w:hanging="360"/>
      </w:pPr>
      <w:rPr>
        <w:rFonts w:ascii="Arial" w:hAnsi="Arial" w:hint="default"/>
      </w:rPr>
    </w:lvl>
    <w:lvl w:ilvl="1" w:tplc="F70E7E34">
      <w:numFmt w:val="bullet"/>
      <w:lvlText w:val="–"/>
      <w:lvlJc w:val="left"/>
      <w:pPr>
        <w:tabs>
          <w:tab w:val="num" w:pos="1440"/>
        </w:tabs>
        <w:ind w:left="1440" w:hanging="360"/>
      </w:pPr>
      <w:rPr>
        <w:rFonts w:ascii="Arial" w:hAnsi="Arial" w:hint="default"/>
      </w:rPr>
    </w:lvl>
    <w:lvl w:ilvl="2" w:tplc="F49488EE" w:tentative="1">
      <w:start w:val="1"/>
      <w:numFmt w:val="bullet"/>
      <w:lvlText w:val="•"/>
      <w:lvlJc w:val="left"/>
      <w:pPr>
        <w:tabs>
          <w:tab w:val="num" w:pos="2160"/>
        </w:tabs>
        <w:ind w:left="2160" w:hanging="360"/>
      </w:pPr>
      <w:rPr>
        <w:rFonts w:ascii="Arial" w:hAnsi="Arial" w:hint="default"/>
      </w:rPr>
    </w:lvl>
    <w:lvl w:ilvl="3" w:tplc="BDB0981A" w:tentative="1">
      <w:start w:val="1"/>
      <w:numFmt w:val="bullet"/>
      <w:lvlText w:val="•"/>
      <w:lvlJc w:val="left"/>
      <w:pPr>
        <w:tabs>
          <w:tab w:val="num" w:pos="2880"/>
        </w:tabs>
        <w:ind w:left="2880" w:hanging="360"/>
      </w:pPr>
      <w:rPr>
        <w:rFonts w:ascii="Arial" w:hAnsi="Arial" w:hint="default"/>
      </w:rPr>
    </w:lvl>
    <w:lvl w:ilvl="4" w:tplc="9F4EDE22" w:tentative="1">
      <w:start w:val="1"/>
      <w:numFmt w:val="bullet"/>
      <w:lvlText w:val="•"/>
      <w:lvlJc w:val="left"/>
      <w:pPr>
        <w:tabs>
          <w:tab w:val="num" w:pos="3600"/>
        </w:tabs>
        <w:ind w:left="3600" w:hanging="360"/>
      </w:pPr>
      <w:rPr>
        <w:rFonts w:ascii="Arial" w:hAnsi="Arial" w:hint="default"/>
      </w:rPr>
    </w:lvl>
    <w:lvl w:ilvl="5" w:tplc="76EEF55A" w:tentative="1">
      <w:start w:val="1"/>
      <w:numFmt w:val="bullet"/>
      <w:lvlText w:val="•"/>
      <w:lvlJc w:val="left"/>
      <w:pPr>
        <w:tabs>
          <w:tab w:val="num" w:pos="4320"/>
        </w:tabs>
        <w:ind w:left="4320" w:hanging="360"/>
      </w:pPr>
      <w:rPr>
        <w:rFonts w:ascii="Arial" w:hAnsi="Arial" w:hint="default"/>
      </w:rPr>
    </w:lvl>
    <w:lvl w:ilvl="6" w:tplc="29621C36" w:tentative="1">
      <w:start w:val="1"/>
      <w:numFmt w:val="bullet"/>
      <w:lvlText w:val="•"/>
      <w:lvlJc w:val="left"/>
      <w:pPr>
        <w:tabs>
          <w:tab w:val="num" w:pos="5040"/>
        </w:tabs>
        <w:ind w:left="5040" w:hanging="360"/>
      </w:pPr>
      <w:rPr>
        <w:rFonts w:ascii="Arial" w:hAnsi="Arial" w:hint="default"/>
      </w:rPr>
    </w:lvl>
    <w:lvl w:ilvl="7" w:tplc="C28ADE00" w:tentative="1">
      <w:start w:val="1"/>
      <w:numFmt w:val="bullet"/>
      <w:lvlText w:val="•"/>
      <w:lvlJc w:val="left"/>
      <w:pPr>
        <w:tabs>
          <w:tab w:val="num" w:pos="5760"/>
        </w:tabs>
        <w:ind w:left="5760" w:hanging="360"/>
      </w:pPr>
      <w:rPr>
        <w:rFonts w:ascii="Arial" w:hAnsi="Arial" w:hint="default"/>
      </w:rPr>
    </w:lvl>
    <w:lvl w:ilvl="8" w:tplc="44889ED6"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3"/>
  </w:num>
  <w:num w:numId="3">
    <w:abstractNumId w:val="7"/>
  </w:num>
  <w:num w:numId="4">
    <w:abstractNumId w:val="0"/>
  </w:num>
  <w:num w:numId="5">
    <w:abstractNumId w:val="8"/>
  </w:num>
  <w:num w:numId="6">
    <w:abstractNumId w:val="6"/>
  </w:num>
  <w:num w:numId="7">
    <w:abstractNumId w:val="9"/>
  </w:num>
  <w:num w:numId="8">
    <w:abstractNumId w:val="2"/>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CAC"/>
    <w:rsid w:val="000160D8"/>
    <w:rsid w:val="000D7837"/>
    <w:rsid w:val="00163844"/>
    <w:rsid w:val="001817B1"/>
    <w:rsid w:val="001B6E55"/>
    <w:rsid w:val="002A24F6"/>
    <w:rsid w:val="002F47AB"/>
    <w:rsid w:val="00321B33"/>
    <w:rsid w:val="00323DB0"/>
    <w:rsid w:val="003338FF"/>
    <w:rsid w:val="003A5DB6"/>
    <w:rsid w:val="003B51C8"/>
    <w:rsid w:val="00421222"/>
    <w:rsid w:val="00427E79"/>
    <w:rsid w:val="004842BC"/>
    <w:rsid w:val="00484CF9"/>
    <w:rsid w:val="00491A53"/>
    <w:rsid w:val="004B15E3"/>
    <w:rsid w:val="004D327C"/>
    <w:rsid w:val="00514C4E"/>
    <w:rsid w:val="005152BA"/>
    <w:rsid w:val="00515ED9"/>
    <w:rsid w:val="005702D2"/>
    <w:rsid w:val="00574CCA"/>
    <w:rsid w:val="00595E4D"/>
    <w:rsid w:val="00596787"/>
    <w:rsid w:val="005B76B5"/>
    <w:rsid w:val="005D4AC5"/>
    <w:rsid w:val="006111B9"/>
    <w:rsid w:val="006571D7"/>
    <w:rsid w:val="00666605"/>
    <w:rsid w:val="00666B02"/>
    <w:rsid w:val="006761D3"/>
    <w:rsid w:val="007263B6"/>
    <w:rsid w:val="00753968"/>
    <w:rsid w:val="00756CC3"/>
    <w:rsid w:val="007B104F"/>
    <w:rsid w:val="007E25F6"/>
    <w:rsid w:val="008043AE"/>
    <w:rsid w:val="00820CF6"/>
    <w:rsid w:val="00824E7F"/>
    <w:rsid w:val="0083445E"/>
    <w:rsid w:val="008466ED"/>
    <w:rsid w:val="00877B9B"/>
    <w:rsid w:val="008C53DA"/>
    <w:rsid w:val="008C6F64"/>
    <w:rsid w:val="008E01A9"/>
    <w:rsid w:val="009437A1"/>
    <w:rsid w:val="00961EC4"/>
    <w:rsid w:val="00990858"/>
    <w:rsid w:val="00994C1B"/>
    <w:rsid w:val="00A15528"/>
    <w:rsid w:val="00A43A5A"/>
    <w:rsid w:val="00A61D7B"/>
    <w:rsid w:val="00A76BDA"/>
    <w:rsid w:val="00A8669C"/>
    <w:rsid w:val="00AA7039"/>
    <w:rsid w:val="00B041CC"/>
    <w:rsid w:val="00B0716F"/>
    <w:rsid w:val="00B2163C"/>
    <w:rsid w:val="00B96809"/>
    <w:rsid w:val="00BA17A7"/>
    <w:rsid w:val="00BA455E"/>
    <w:rsid w:val="00BE1CAC"/>
    <w:rsid w:val="00D70165"/>
    <w:rsid w:val="00D71621"/>
    <w:rsid w:val="00DC001F"/>
    <w:rsid w:val="00E70DD1"/>
    <w:rsid w:val="00E83BE8"/>
    <w:rsid w:val="00E851C0"/>
    <w:rsid w:val="00E958AB"/>
    <w:rsid w:val="00EA6212"/>
    <w:rsid w:val="00ED3027"/>
    <w:rsid w:val="00EE33E3"/>
    <w:rsid w:val="00F5253B"/>
    <w:rsid w:val="00F63962"/>
    <w:rsid w:val="00FC1F9C"/>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837"/>
  </w:style>
  <w:style w:type="paragraph" w:styleId="Heading1">
    <w:name w:val="heading 1"/>
    <w:basedOn w:val="Normal"/>
    <w:link w:val="Heading1Char"/>
    <w:uiPriority w:val="9"/>
    <w:qFormat/>
    <w:rsid w:val="000160D8"/>
    <w:pPr>
      <w:spacing w:after="225"/>
      <w:outlineLvl w:val="0"/>
    </w:pPr>
    <w:rPr>
      <w:rFonts w:ascii="Times New Roman" w:eastAsia="Times New Roman" w:hAnsi="Times New Roman" w:cs="Times New Roman"/>
      <w:color w:val="444444"/>
      <w:kern w:val="36"/>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678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B15E3"/>
    <w:pPr>
      <w:ind w:left="720"/>
      <w:contextualSpacing/>
    </w:pPr>
  </w:style>
  <w:style w:type="paragraph" w:styleId="NoSpacing">
    <w:name w:val="No Spacing"/>
    <w:uiPriority w:val="1"/>
    <w:qFormat/>
    <w:rsid w:val="004B15E3"/>
    <w:rPr>
      <w:rFonts w:eastAsiaTheme="minorHAnsi"/>
      <w:sz w:val="22"/>
      <w:szCs w:val="22"/>
      <w:lang w:val="en-US"/>
    </w:rPr>
  </w:style>
  <w:style w:type="table" w:styleId="TableGrid">
    <w:name w:val="Table Grid"/>
    <w:basedOn w:val="TableNormal"/>
    <w:uiPriority w:val="59"/>
    <w:rsid w:val="00A61D7B"/>
    <w:rPr>
      <w:rFonts w:eastAsiaTheme="minorHAns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ug-pub-date3">
    <w:name w:val="slug-pub-date3"/>
    <w:basedOn w:val="DefaultParagraphFont"/>
    <w:rsid w:val="000160D8"/>
    <w:rPr>
      <w:b/>
      <w:bCs/>
    </w:rPr>
  </w:style>
  <w:style w:type="character" w:customStyle="1" w:styleId="slug-vol2">
    <w:name w:val="slug-vol2"/>
    <w:basedOn w:val="DefaultParagraphFont"/>
    <w:rsid w:val="000160D8"/>
  </w:style>
  <w:style w:type="character" w:customStyle="1" w:styleId="slug-pages3">
    <w:name w:val="slug-pages3"/>
    <w:basedOn w:val="DefaultParagraphFont"/>
    <w:rsid w:val="000160D8"/>
    <w:rPr>
      <w:b/>
      <w:bCs/>
    </w:rPr>
  </w:style>
  <w:style w:type="character" w:customStyle="1" w:styleId="Heading1Char">
    <w:name w:val="Heading 1 Char"/>
    <w:basedOn w:val="DefaultParagraphFont"/>
    <w:link w:val="Heading1"/>
    <w:uiPriority w:val="9"/>
    <w:rsid w:val="000160D8"/>
    <w:rPr>
      <w:rFonts w:ascii="Times New Roman" w:eastAsia="Times New Roman" w:hAnsi="Times New Roman" w:cs="Times New Roman"/>
      <w:color w:val="444444"/>
      <w:kern w:val="36"/>
      <w:sz w:val="36"/>
      <w:szCs w:val="36"/>
      <w:lang w:val="en-GB" w:eastAsia="en-GB"/>
    </w:rPr>
  </w:style>
  <w:style w:type="character" w:styleId="Hyperlink">
    <w:name w:val="Hyperlink"/>
    <w:basedOn w:val="DefaultParagraphFont"/>
    <w:uiPriority w:val="99"/>
    <w:semiHidden/>
    <w:unhideWhenUsed/>
    <w:rsid w:val="000160D8"/>
    <w:rPr>
      <w:strike w:val="0"/>
      <w:dstrike w:val="0"/>
      <w:color w:val="36A493"/>
      <w:u w:val="none"/>
      <w:effect w:val="none"/>
    </w:rPr>
  </w:style>
  <w:style w:type="paragraph" w:styleId="HTMLPreformatted">
    <w:name w:val="HTML Preformatted"/>
    <w:basedOn w:val="Normal"/>
    <w:link w:val="HTMLPreformattedChar"/>
    <w:uiPriority w:val="99"/>
    <w:unhideWhenUsed/>
    <w:rsid w:val="00846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8466ED"/>
    <w:rPr>
      <w:rFonts w:ascii="Courier New" w:eastAsia="Times New Roman" w:hAnsi="Courier New" w:cs="Courier New"/>
      <w:sz w:val="20"/>
      <w:szCs w:val="20"/>
      <w:lang w:val="en-GB" w:eastAsia="en-GB"/>
    </w:rPr>
  </w:style>
  <w:style w:type="table" w:customStyle="1" w:styleId="TableGrid1">
    <w:name w:val="Table Grid1"/>
    <w:basedOn w:val="TableNormal"/>
    <w:next w:val="TableGrid"/>
    <w:uiPriority w:val="59"/>
    <w:rsid w:val="006111B9"/>
    <w:rPr>
      <w:rFonts w:eastAsiaTheme="minorHAns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837"/>
  </w:style>
  <w:style w:type="paragraph" w:styleId="Heading1">
    <w:name w:val="heading 1"/>
    <w:basedOn w:val="Normal"/>
    <w:link w:val="Heading1Char"/>
    <w:uiPriority w:val="9"/>
    <w:qFormat/>
    <w:rsid w:val="000160D8"/>
    <w:pPr>
      <w:spacing w:after="225"/>
      <w:outlineLvl w:val="0"/>
    </w:pPr>
    <w:rPr>
      <w:rFonts w:ascii="Times New Roman" w:eastAsia="Times New Roman" w:hAnsi="Times New Roman" w:cs="Times New Roman"/>
      <w:color w:val="444444"/>
      <w:kern w:val="36"/>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678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B15E3"/>
    <w:pPr>
      <w:ind w:left="720"/>
      <w:contextualSpacing/>
    </w:pPr>
  </w:style>
  <w:style w:type="paragraph" w:styleId="NoSpacing">
    <w:name w:val="No Spacing"/>
    <w:uiPriority w:val="1"/>
    <w:qFormat/>
    <w:rsid w:val="004B15E3"/>
    <w:rPr>
      <w:rFonts w:eastAsiaTheme="minorHAnsi"/>
      <w:sz w:val="22"/>
      <w:szCs w:val="22"/>
      <w:lang w:val="en-US"/>
    </w:rPr>
  </w:style>
  <w:style w:type="table" w:styleId="TableGrid">
    <w:name w:val="Table Grid"/>
    <w:basedOn w:val="TableNormal"/>
    <w:uiPriority w:val="59"/>
    <w:rsid w:val="00A61D7B"/>
    <w:rPr>
      <w:rFonts w:eastAsiaTheme="minorHAns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ug-pub-date3">
    <w:name w:val="slug-pub-date3"/>
    <w:basedOn w:val="DefaultParagraphFont"/>
    <w:rsid w:val="000160D8"/>
    <w:rPr>
      <w:b/>
      <w:bCs/>
    </w:rPr>
  </w:style>
  <w:style w:type="character" w:customStyle="1" w:styleId="slug-vol2">
    <w:name w:val="slug-vol2"/>
    <w:basedOn w:val="DefaultParagraphFont"/>
    <w:rsid w:val="000160D8"/>
  </w:style>
  <w:style w:type="character" w:customStyle="1" w:styleId="slug-pages3">
    <w:name w:val="slug-pages3"/>
    <w:basedOn w:val="DefaultParagraphFont"/>
    <w:rsid w:val="000160D8"/>
    <w:rPr>
      <w:b/>
      <w:bCs/>
    </w:rPr>
  </w:style>
  <w:style w:type="character" w:customStyle="1" w:styleId="Heading1Char">
    <w:name w:val="Heading 1 Char"/>
    <w:basedOn w:val="DefaultParagraphFont"/>
    <w:link w:val="Heading1"/>
    <w:uiPriority w:val="9"/>
    <w:rsid w:val="000160D8"/>
    <w:rPr>
      <w:rFonts w:ascii="Times New Roman" w:eastAsia="Times New Roman" w:hAnsi="Times New Roman" w:cs="Times New Roman"/>
      <w:color w:val="444444"/>
      <w:kern w:val="36"/>
      <w:sz w:val="36"/>
      <w:szCs w:val="36"/>
      <w:lang w:val="en-GB" w:eastAsia="en-GB"/>
    </w:rPr>
  </w:style>
  <w:style w:type="character" w:styleId="Hyperlink">
    <w:name w:val="Hyperlink"/>
    <w:basedOn w:val="DefaultParagraphFont"/>
    <w:uiPriority w:val="99"/>
    <w:semiHidden/>
    <w:unhideWhenUsed/>
    <w:rsid w:val="000160D8"/>
    <w:rPr>
      <w:strike w:val="0"/>
      <w:dstrike w:val="0"/>
      <w:color w:val="36A493"/>
      <w:u w:val="none"/>
      <w:effect w:val="none"/>
    </w:rPr>
  </w:style>
  <w:style w:type="paragraph" w:styleId="HTMLPreformatted">
    <w:name w:val="HTML Preformatted"/>
    <w:basedOn w:val="Normal"/>
    <w:link w:val="HTMLPreformattedChar"/>
    <w:uiPriority w:val="99"/>
    <w:unhideWhenUsed/>
    <w:rsid w:val="00846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8466ED"/>
    <w:rPr>
      <w:rFonts w:ascii="Courier New" w:eastAsia="Times New Roman" w:hAnsi="Courier New" w:cs="Courier New"/>
      <w:sz w:val="20"/>
      <w:szCs w:val="20"/>
      <w:lang w:val="en-GB" w:eastAsia="en-GB"/>
    </w:rPr>
  </w:style>
  <w:style w:type="table" w:customStyle="1" w:styleId="TableGrid1">
    <w:name w:val="Table Grid1"/>
    <w:basedOn w:val="TableNormal"/>
    <w:next w:val="TableGrid"/>
    <w:uiPriority w:val="59"/>
    <w:rsid w:val="006111B9"/>
    <w:rPr>
      <w:rFonts w:eastAsiaTheme="minorHAns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441">
      <w:bodyDiv w:val="1"/>
      <w:marLeft w:val="0"/>
      <w:marRight w:val="0"/>
      <w:marTop w:val="0"/>
      <w:marBottom w:val="0"/>
      <w:divBdr>
        <w:top w:val="none" w:sz="0" w:space="0" w:color="auto"/>
        <w:left w:val="none" w:sz="0" w:space="0" w:color="auto"/>
        <w:bottom w:val="none" w:sz="0" w:space="0" w:color="auto"/>
        <w:right w:val="none" w:sz="0" w:space="0" w:color="auto"/>
      </w:divBdr>
    </w:div>
    <w:div w:id="9063706">
      <w:bodyDiv w:val="1"/>
      <w:marLeft w:val="0"/>
      <w:marRight w:val="0"/>
      <w:marTop w:val="0"/>
      <w:marBottom w:val="0"/>
      <w:divBdr>
        <w:top w:val="none" w:sz="0" w:space="0" w:color="auto"/>
        <w:left w:val="none" w:sz="0" w:space="0" w:color="auto"/>
        <w:bottom w:val="none" w:sz="0" w:space="0" w:color="auto"/>
        <w:right w:val="none" w:sz="0" w:space="0" w:color="auto"/>
      </w:divBdr>
    </w:div>
    <w:div w:id="293366602">
      <w:bodyDiv w:val="1"/>
      <w:marLeft w:val="0"/>
      <w:marRight w:val="0"/>
      <w:marTop w:val="0"/>
      <w:marBottom w:val="0"/>
      <w:divBdr>
        <w:top w:val="none" w:sz="0" w:space="0" w:color="auto"/>
        <w:left w:val="none" w:sz="0" w:space="0" w:color="auto"/>
        <w:bottom w:val="none" w:sz="0" w:space="0" w:color="auto"/>
        <w:right w:val="none" w:sz="0" w:space="0" w:color="auto"/>
      </w:divBdr>
    </w:div>
    <w:div w:id="354843900">
      <w:bodyDiv w:val="1"/>
      <w:marLeft w:val="0"/>
      <w:marRight w:val="0"/>
      <w:marTop w:val="0"/>
      <w:marBottom w:val="0"/>
      <w:divBdr>
        <w:top w:val="none" w:sz="0" w:space="0" w:color="auto"/>
        <w:left w:val="none" w:sz="0" w:space="0" w:color="auto"/>
        <w:bottom w:val="none" w:sz="0" w:space="0" w:color="auto"/>
        <w:right w:val="none" w:sz="0" w:space="0" w:color="auto"/>
      </w:divBdr>
      <w:divsChild>
        <w:div w:id="2057659868">
          <w:marLeft w:val="360"/>
          <w:marRight w:val="0"/>
          <w:marTop w:val="0"/>
          <w:marBottom w:val="0"/>
          <w:divBdr>
            <w:top w:val="none" w:sz="0" w:space="0" w:color="auto"/>
            <w:left w:val="none" w:sz="0" w:space="0" w:color="auto"/>
            <w:bottom w:val="none" w:sz="0" w:space="0" w:color="auto"/>
            <w:right w:val="none" w:sz="0" w:space="0" w:color="auto"/>
          </w:divBdr>
        </w:div>
        <w:div w:id="2082406695">
          <w:marLeft w:val="360"/>
          <w:marRight w:val="0"/>
          <w:marTop w:val="0"/>
          <w:marBottom w:val="0"/>
          <w:divBdr>
            <w:top w:val="none" w:sz="0" w:space="0" w:color="auto"/>
            <w:left w:val="none" w:sz="0" w:space="0" w:color="auto"/>
            <w:bottom w:val="none" w:sz="0" w:space="0" w:color="auto"/>
            <w:right w:val="none" w:sz="0" w:space="0" w:color="auto"/>
          </w:divBdr>
        </w:div>
        <w:div w:id="456143600">
          <w:marLeft w:val="360"/>
          <w:marRight w:val="0"/>
          <w:marTop w:val="0"/>
          <w:marBottom w:val="0"/>
          <w:divBdr>
            <w:top w:val="none" w:sz="0" w:space="0" w:color="auto"/>
            <w:left w:val="none" w:sz="0" w:space="0" w:color="auto"/>
            <w:bottom w:val="none" w:sz="0" w:space="0" w:color="auto"/>
            <w:right w:val="none" w:sz="0" w:space="0" w:color="auto"/>
          </w:divBdr>
        </w:div>
        <w:div w:id="397359887">
          <w:marLeft w:val="360"/>
          <w:marRight w:val="0"/>
          <w:marTop w:val="0"/>
          <w:marBottom w:val="0"/>
          <w:divBdr>
            <w:top w:val="none" w:sz="0" w:space="0" w:color="auto"/>
            <w:left w:val="none" w:sz="0" w:space="0" w:color="auto"/>
            <w:bottom w:val="none" w:sz="0" w:space="0" w:color="auto"/>
            <w:right w:val="none" w:sz="0" w:space="0" w:color="auto"/>
          </w:divBdr>
        </w:div>
        <w:div w:id="572079716">
          <w:marLeft w:val="360"/>
          <w:marRight w:val="0"/>
          <w:marTop w:val="0"/>
          <w:marBottom w:val="0"/>
          <w:divBdr>
            <w:top w:val="none" w:sz="0" w:space="0" w:color="auto"/>
            <w:left w:val="none" w:sz="0" w:space="0" w:color="auto"/>
            <w:bottom w:val="none" w:sz="0" w:space="0" w:color="auto"/>
            <w:right w:val="none" w:sz="0" w:space="0" w:color="auto"/>
          </w:divBdr>
        </w:div>
      </w:divsChild>
    </w:div>
    <w:div w:id="561601433">
      <w:bodyDiv w:val="1"/>
      <w:marLeft w:val="0"/>
      <w:marRight w:val="0"/>
      <w:marTop w:val="0"/>
      <w:marBottom w:val="0"/>
      <w:divBdr>
        <w:top w:val="none" w:sz="0" w:space="0" w:color="auto"/>
        <w:left w:val="none" w:sz="0" w:space="0" w:color="auto"/>
        <w:bottom w:val="none" w:sz="0" w:space="0" w:color="auto"/>
        <w:right w:val="none" w:sz="0" w:space="0" w:color="auto"/>
      </w:divBdr>
      <w:divsChild>
        <w:div w:id="410083233">
          <w:marLeft w:val="547"/>
          <w:marRight w:val="0"/>
          <w:marTop w:val="115"/>
          <w:marBottom w:val="0"/>
          <w:divBdr>
            <w:top w:val="none" w:sz="0" w:space="0" w:color="auto"/>
            <w:left w:val="none" w:sz="0" w:space="0" w:color="auto"/>
            <w:bottom w:val="none" w:sz="0" w:space="0" w:color="auto"/>
            <w:right w:val="none" w:sz="0" w:space="0" w:color="auto"/>
          </w:divBdr>
        </w:div>
        <w:div w:id="1855144682">
          <w:marLeft w:val="547"/>
          <w:marRight w:val="0"/>
          <w:marTop w:val="115"/>
          <w:marBottom w:val="0"/>
          <w:divBdr>
            <w:top w:val="none" w:sz="0" w:space="0" w:color="auto"/>
            <w:left w:val="none" w:sz="0" w:space="0" w:color="auto"/>
            <w:bottom w:val="none" w:sz="0" w:space="0" w:color="auto"/>
            <w:right w:val="none" w:sz="0" w:space="0" w:color="auto"/>
          </w:divBdr>
        </w:div>
      </w:divsChild>
    </w:div>
    <w:div w:id="666785305">
      <w:bodyDiv w:val="1"/>
      <w:marLeft w:val="0"/>
      <w:marRight w:val="0"/>
      <w:marTop w:val="0"/>
      <w:marBottom w:val="0"/>
      <w:divBdr>
        <w:top w:val="none" w:sz="0" w:space="0" w:color="auto"/>
        <w:left w:val="none" w:sz="0" w:space="0" w:color="auto"/>
        <w:bottom w:val="none" w:sz="0" w:space="0" w:color="auto"/>
        <w:right w:val="none" w:sz="0" w:space="0" w:color="auto"/>
      </w:divBdr>
    </w:div>
    <w:div w:id="1275091856">
      <w:bodyDiv w:val="1"/>
      <w:marLeft w:val="0"/>
      <w:marRight w:val="0"/>
      <w:marTop w:val="0"/>
      <w:marBottom w:val="0"/>
      <w:divBdr>
        <w:top w:val="none" w:sz="0" w:space="0" w:color="auto"/>
        <w:left w:val="none" w:sz="0" w:space="0" w:color="auto"/>
        <w:bottom w:val="none" w:sz="0" w:space="0" w:color="auto"/>
        <w:right w:val="none" w:sz="0" w:space="0" w:color="auto"/>
      </w:divBdr>
      <w:divsChild>
        <w:div w:id="1555122883">
          <w:marLeft w:val="547"/>
          <w:marRight w:val="0"/>
          <w:marTop w:val="115"/>
          <w:marBottom w:val="0"/>
          <w:divBdr>
            <w:top w:val="none" w:sz="0" w:space="0" w:color="auto"/>
            <w:left w:val="none" w:sz="0" w:space="0" w:color="auto"/>
            <w:bottom w:val="none" w:sz="0" w:space="0" w:color="auto"/>
            <w:right w:val="none" w:sz="0" w:space="0" w:color="auto"/>
          </w:divBdr>
        </w:div>
        <w:div w:id="755056224">
          <w:marLeft w:val="1166"/>
          <w:marRight w:val="0"/>
          <w:marTop w:val="115"/>
          <w:marBottom w:val="0"/>
          <w:divBdr>
            <w:top w:val="none" w:sz="0" w:space="0" w:color="auto"/>
            <w:left w:val="none" w:sz="0" w:space="0" w:color="auto"/>
            <w:bottom w:val="none" w:sz="0" w:space="0" w:color="auto"/>
            <w:right w:val="none" w:sz="0" w:space="0" w:color="auto"/>
          </w:divBdr>
        </w:div>
        <w:div w:id="2022001109">
          <w:marLeft w:val="1166"/>
          <w:marRight w:val="0"/>
          <w:marTop w:val="115"/>
          <w:marBottom w:val="0"/>
          <w:divBdr>
            <w:top w:val="none" w:sz="0" w:space="0" w:color="auto"/>
            <w:left w:val="none" w:sz="0" w:space="0" w:color="auto"/>
            <w:bottom w:val="none" w:sz="0" w:space="0" w:color="auto"/>
            <w:right w:val="none" w:sz="0" w:space="0" w:color="auto"/>
          </w:divBdr>
        </w:div>
        <w:div w:id="1473643524">
          <w:marLeft w:val="547"/>
          <w:marRight w:val="0"/>
          <w:marTop w:val="115"/>
          <w:marBottom w:val="0"/>
          <w:divBdr>
            <w:top w:val="none" w:sz="0" w:space="0" w:color="auto"/>
            <w:left w:val="none" w:sz="0" w:space="0" w:color="auto"/>
            <w:bottom w:val="none" w:sz="0" w:space="0" w:color="auto"/>
            <w:right w:val="none" w:sz="0" w:space="0" w:color="auto"/>
          </w:divBdr>
        </w:div>
        <w:div w:id="710151544">
          <w:marLeft w:val="547"/>
          <w:marRight w:val="0"/>
          <w:marTop w:val="115"/>
          <w:marBottom w:val="0"/>
          <w:divBdr>
            <w:top w:val="none" w:sz="0" w:space="0" w:color="auto"/>
            <w:left w:val="none" w:sz="0" w:space="0" w:color="auto"/>
            <w:bottom w:val="none" w:sz="0" w:space="0" w:color="auto"/>
            <w:right w:val="none" w:sz="0" w:space="0" w:color="auto"/>
          </w:divBdr>
        </w:div>
      </w:divsChild>
    </w:div>
    <w:div w:id="1426149260">
      <w:bodyDiv w:val="1"/>
      <w:marLeft w:val="0"/>
      <w:marRight w:val="0"/>
      <w:marTop w:val="0"/>
      <w:marBottom w:val="0"/>
      <w:divBdr>
        <w:top w:val="none" w:sz="0" w:space="0" w:color="auto"/>
        <w:left w:val="none" w:sz="0" w:space="0" w:color="auto"/>
        <w:bottom w:val="none" w:sz="0" w:space="0" w:color="auto"/>
        <w:right w:val="none" w:sz="0" w:space="0" w:color="auto"/>
      </w:divBdr>
    </w:div>
    <w:div w:id="1460732582">
      <w:bodyDiv w:val="1"/>
      <w:marLeft w:val="0"/>
      <w:marRight w:val="0"/>
      <w:marTop w:val="0"/>
      <w:marBottom w:val="0"/>
      <w:divBdr>
        <w:top w:val="none" w:sz="0" w:space="0" w:color="auto"/>
        <w:left w:val="none" w:sz="0" w:space="0" w:color="auto"/>
        <w:bottom w:val="none" w:sz="0" w:space="0" w:color="auto"/>
        <w:right w:val="none" w:sz="0" w:space="0" w:color="auto"/>
      </w:divBdr>
      <w:divsChild>
        <w:div w:id="981498316">
          <w:marLeft w:val="547"/>
          <w:marRight w:val="0"/>
          <w:marTop w:val="115"/>
          <w:marBottom w:val="0"/>
          <w:divBdr>
            <w:top w:val="none" w:sz="0" w:space="0" w:color="auto"/>
            <w:left w:val="none" w:sz="0" w:space="0" w:color="auto"/>
            <w:bottom w:val="none" w:sz="0" w:space="0" w:color="auto"/>
            <w:right w:val="none" w:sz="0" w:space="0" w:color="auto"/>
          </w:divBdr>
        </w:div>
        <w:div w:id="232473936">
          <w:marLeft w:val="547"/>
          <w:marRight w:val="0"/>
          <w:marTop w:val="115"/>
          <w:marBottom w:val="0"/>
          <w:divBdr>
            <w:top w:val="none" w:sz="0" w:space="0" w:color="auto"/>
            <w:left w:val="none" w:sz="0" w:space="0" w:color="auto"/>
            <w:bottom w:val="none" w:sz="0" w:space="0" w:color="auto"/>
            <w:right w:val="none" w:sz="0" w:space="0" w:color="auto"/>
          </w:divBdr>
        </w:div>
        <w:div w:id="302928053">
          <w:marLeft w:val="547"/>
          <w:marRight w:val="0"/>
          <w:marTop w:val="115"/>
          <w:marBottom w:val="0"/>
          <w:divBdr>
            <w:top w:val="none" w:sz="0" w:space="0" w:color="auto"/>
            <w:left w:val="none" w:sz="0" w:space="0" w:color="auto"/>
            <w:bottom w:val="none" w:sz="0" w:space="0" w:color="auto"/>
            <w:right w:val="none" w:sz="0" w:space="0" w:color="auto"/>
          </w:divBdr>
        </w:div>
      </w:divsChild>
    </w:div>
    <w:div w:id="1741096926">
      <w:bodyDiv w:val="1"/>
      <w:marLeft w:val="0"/>
      <w:marRight w:val="0"/>
      <w:marTop w:val="0"/>
      <w:marBottom w:val="0"/>
      <w:divBdr>
        <w:top w:val="none" w:sz="0" w:space="0" w:color="auto"/>
        <w:left w:val="none" w:sz="0" w:space="0" w:color="auto"/>
        <w:bottom w:val="none" w:sz="0" w:space="0" w:color="auto"/>
        <w:right w:val="none" w:sz="0" w:space="0" w:color="auto"/>
      </w:divBdr>
      <w:divsChild>
        <w:div w:id="662978049">
          <w:marLeft w:val="360"/>
          <w:marRight w:val="0"/>
          <w:marTop w:val="0"/>
          <w:marBottom w:val="0"/>
          <w:divBdr>
            <w:top w:val="none" w:sz="0" w:space="0" w:color="auto"/>
            <w:left w:val="none" w:sz="0" w:space="0" w:color="auto"/>
            <w:bottom w:val="none" w:sz="0" w:space="0" w:color="auto"/>
            <w:right w:val="none" w:sz="0" w:space="0" w:color="auto"/>
          </w:divBdr>
        </w:div>
        <w:div w:id="811290258">
          <w:marLeft w:val="360"/>
          <w:marRight w:val="0"/>
          <w:marTop w:val="0"/>
          <w:marBottom w:val="0"/>
          <w:divBdr>
            <w:top w:val="none" w:sz="0" w:space="0" w:color="auto"/>
            <w:left w:val="none" w:sz="0" w:space="0" w:color="auto"/>
            <w:bottom w:val="none" w:sz="0" w:space="0" w:color="auto"/>
            <w:right w:val="none" w:sz="0" w:space="0" w:color="auto"/>
          </w:divBdr>
        </w:div>
        <w:div w:id="1688828772">
          <w:marLeft w:val="360"/>
          <w:marRight w:val="0"/>
          <w:marTop w:val="0"/>
          <w:marBottom w:val="0"/>
          <w:divBdr>
            <w:top w:val="none" w:sz="0" w:space="0" w:color="auto"/>
            <w:left w:val="none" w:sz="0" w:space="0" w:color="auto"/>
            <w:bottom w:val="none" w:sz="0" w:space="0" w:color="auto"/>
            <w:right w:val="none" w:sz="0" w:space="0" w:color="auto"/>
          </w:divBdr>
        </w:div>
        <w:div w:id="788403145">
          <w:marLeft w:val="360"/>
          <w:marRight w:val="0"/>
          <w:marTop w:val="0"/>
          <w:marBottom w:val="0"/>
          <w:divBdr>
            <w:top w:val="none" w:sz="0" w:space="0" w:color="auto"/>
            <w:left w:val="none" w:sz="0" w:space="0" w:color="auto"/>
            <w:bottom w:val="none" w:sz="0" w:space="0" w:color="auto"/>
            <w:right w:val="none" w:sz="0" w:space="0" w:color="auto"/>
          </w:divBdr>
        </w:div>
        <w:div w:id="1805804830">
          <w:marLeft w:val="360"/>
          <w:marRight w:val="0"/>
          <w:marTop w:val="0"/>
          <w:marBottom w:val="0"/>
          <w:divBdr>
            <w:top w:val="none" w:sz="0" w:space="0" w:color="auto"/>
            <w:left w:val="none" w:sz="0" w:space="0" w:color="auto"/>
            <w:bottom w:val="none" w:sz="0" w:space="0" w:color="auto"/>
            <w:right w:val="none" w:sz="0" w:space="0" w:color="auto"/>
          </w:divBdr>
        </w:div>
      </w:divsChild>
    </w:div>
    <w:div w:id="1854371859">
      <w:bodyDiv w:val="1"/>
      <w:marLeft w:val="0"/>
      <w:marRight w:val="0"/>
      <w:marTop w:val="0"/>
      <w:marBottom w:val="0"/>
      <w:divBdr>
        <w:top w:val="none" w:sz="0" w:space="0" w:color="auto"/>
        <w:left w:val="none" w:sz="0" w:space="0" w:color="auto"/>
        <w:bottom w:val="none" w:sz="0" w:space="0" w:color="auto"/>
        <w:right w:val="none" w:sz="0" w:space="0" w:color="auto"/>
      </w:divBdr>
      <w:divsChild>
        <w:div w:id="1414351096">
          <w:marLeft w:val="360"/>
          <w:marRight w:val="0"/>
          <w:marTop w:val="0"/>
          <w:marBottom w:val="0"/>
          <w:divBdr>
            <w:top w:val="none" w:sz="0" w:space="0" w:color="auto"/>
            <w:left w:val="none" w:sz="0" w:space="0" w:color="auto"/>
            <w:bottom w:val="none" w:sz="0" w:space="0" w:color="auto"/>
            <w:right w:val="none" w:sz="0" w:space="0" w:color="auto"/>
          </w:divBdr>
        </w:div>
        <w:div w:id="780876463">
          <w:marLeft w:val="360"/>
          <w:marRight w:val="0"/>
          <w:marTop w:val="0"/>
          <w:marBottom w:val="0"/>
          <w:divBdr>
            <w:top w:val="none" w:sz="0" w:space="0" w:color="auto"/>
            <w:left w:val="none" w:sz="0" w:space="0" w:color="auto"/>
            <w:bottom w:val="none" w:sz="0" w:space="0" w:color="auto"/>
            <w:right w:val="none" w:sz="0" w:space="0" w:color="auto"/>
          </w:divBdr>
        </w:div>
      </w:divsChild>
    </w:div>
    <w:div w:id="1997684328">
      <w:bodyDiv w:val="1"/>
      <w:marLeft w:val="0"/>
      <w:marRight w:val="0"/>
      <w:marTop w:val="0"/>
      <w:marBottom w:val="0"/>
      <w:divBdr>
        <w:top w:val="none" w:sz="0" w:space="0" w:color="auto"/>
        <w:left w:val="none" w:sz="0" w:space="0" w:color="auto"/>
        <w:bottom w:val="none" w:sz="0" w:space="0" w:color="auto"/>
        <w:right w:val="none" w:sz="0" w:space="0" w:color="auto"/>
      </w:divBdr>
    </w:div>
    <w:div w:id="2138645045">
      <w:bodyDiv w:val="1"/>
      <w:marLeft w:val="0"/>
      <w:marRight w:val="0"/>
      <w:marTop w:val="0"/>
      <w:marBottom w:val="0"/>
      <w:divBdr>
        <w:top w:val="none" w:sz="0" w:space="0" w:color="auto"/>
        <w:left w:val="none" w:sz="0" w:space="0" w:color="auto"/>
        <w:bottom w:val="none" w:sz="0" w:space="0" w:color="auto"/>
        <w:right w:val="none" w:sz="0" w:space="0" w:color="auto"/>
      </w:divBdr>
      <w:divsChild>
        <w:div w:id="2115665305">
          <w:marLeft w:val="0"/>
          <w:marRight w:val="0"/>
          <w:marTop w:val="0"/>
          <w:marBottom w:val="0"/>
          <w:divBdr>
            <w:top w:val="none" w:sz="0" w:space="0" w:color="auto"/>
            <w:left w:val="none" w:sz="0" w:space="0" w:color="auto"/>
            <w:bottom w:val="none" w:sz="0" w:space="0" w:color="auto"/>
            <w:right w:val="none" w:sz="0" w:space="0" w:color="auto"/>
          </w:divBdr>
          <w:divsChild>
            <w:div w:id="1569917666">
              <w:marLeft w:val="0"/>
              <w:marRight w:val="0"/>
              <w:marTop w:val="0"/>
              <w:marBottom w:val="0"/>
              <w:divBdr>
                <w:top w:val="none" w:sz="0" w:space="0" w:color="auto"/>
                <w:left w:val="none" w:sz="0" w:space="0" w:color="auto"/>
                <w:bottom w:val="none" w:sz="0" w:space="0" w:color="auto"/>
                <w:right w:val="none" w:sz="0" w:space="0" w:color="auto"/>
              </w:divBdr>
              <w:divsChild>
                <w:div w:id="811404965">
                  <w:marLeft w:val="0"/>
                  <w:marRight w:val="0"/>
                  <w:marTop w:val="900"/>
                  <w:marBottom w:val="0"/>
                  <w:divBdr>
                    <w:top w:val="none" w:sz="0" w:space="0" w:color="auto"/>
                    <w:left w:val="none" w:sz="0" w:space="0" w:color="auto"/>
                    <w:bottom w:val="none" w:sz="0" w:space="0" w:color="auto"/>
                    <w:right w:val="none" w:sz="0" w:space="0" w:color="auto"/>
                  </w:divBdr>
                  <w:divsChild>
                    <w:div w:id="1011830834">
                      <w:marLeft w:val="0"/>
                      <w:marRight w:val="0"/>
                      <w:marTop w:val="0"/>
                      <w:marBottom w:val="0"/>
                      <w:divBdr>
                        <w:top w:val="none" w:sz="0" w:space="0" w:color="auto"/>
                        <w:left w:val="none" w:sz="0" w:space="0" w:color="auto"/>
                        <w:bottom w:val="none" w:sz="0" w:space="0" w:color="auto"/>
                        <w:right w:val="none" w:sz="0" w:space="0" w:color="auto"/>
                      </w:divBdr>
                      <w:divsChild>
                        <w:div w:id="1126897133">
                          <w:marLeft w:val="0"/>
                          <w:marRight w:val="0"/>
                          <w:marTop w:val="0"/>
                          <w:marBottom w:val="0"/>
                          <w:divBdr>
                            <w:top w:val="none" w:sz="0" w:space="0" w:color="auto"/>
                            <w:left w:val="none" w:sz="0" w:space="0" w:color="auto"/>
                            <w:bottom w:val="none" w:sz="0" w:space="0" w:color="auto"/>
                            <w:right w:val="none" w:sz="0" w:space="0" w:color="auto"/>
                          </w:divBdr>
                          <w:divsChild>
                            <w:div w:id="44642666">
                              <w:marLeft w:val="0"/>
                              <w:marRight w:val="0"/>
                              <w:marTop w:val="0"/>
                              <w:marBottom w:val="0"/>
                              <w:divBdr>
                                <w:top w:val="none" w:sz="0" w:space="0" w:color="auto"/>
                                <w:left w:val="none" w:sz="0" w:space="0" w:color="auto"/>
                                <w:bottom w:val="none" w:sz="0" w:space="0" w:color="auto"/>
                                <w:right w:val="none" w:sz="0" w:space="0" w:color="auto"/>
                              </w:divBdr>
                              <w:divsChild>
                                <w:div w:id="802576430">
                                  <w:marLeft w:val="0"/>
                                  <w:marRight w:val="0"/>
                                  <w:marTop w:val="0"/>
                                  <w:marBottom w:val="0"/>
                                  <w:divBdr>
                                    <w:top w:val="none" w:sz="0" w:space="0" w:color="auto"/>
                                    <w:left w:val="none" w:sz="0" w:space="0" w:color="auto"/>
                                    <w:bottom w:val="none" w:sz="0" w:space="0" w:color="auto"/>
                                    <w:right w:val="single" w:sz="6" w:space="15" w:color="CCCCCC"/>
                                  </w:divBdr>
                                  <w:divsChild>
                                    <w:div w:id="15810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13</Pages>
  <Words>2358</Words>
  <Characters>13446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Gebran</dc:creator>
  <cp:lastModifiedBy>Nicole Gebran</cp:lastModifiedBy>
  <cp:revision>11</cp:revision>
  <cp:lastPrinted>2016-03-02T08:47:00Z</cp:lastPrinted>
  <dcterms:created xsi:type="dcterms:W3CDTF">2016-02-10T10:27:00Z</dcterms:created>
  <dcterms:modified xsi:type="dcterms:W3CDTF">2016-04-21T08:01:00Z</dcterms:modified>
</cp:coreProperties>
</file>