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4CF73" w14:textId="77777777" w:rsidR="00FD6EAD" w:rsidRPr="00B20834" w:rsidRDefault="00FD6EAD" w:rsidP="00FD6EAD">
      <w:pPr>
        <w:autoSpaceDE w:val="0"/>
        <w:autoSpaceDN w:val="0"/>
        <w:spacing w:line="240" w:lineRule="auto"/>
        <w:jc w:val="center"/>
        <w:textAlignment w:val="bottom"/>
        <w:rPr>
          <w:b/>
          <w:bCs/>
          <w:sz w:val="36"/>
          <w:szCs w:val="36"/>
          <w:lang w:val="en-US"/>
        </w:rPr>
      </w:pPr>
      <w:r>
        <w:rPr>
          <w:b/>
          <w:bCs/>
          <w:sz w:val="36"/>
          <w:szCs w:val="36"/>
        </w:rPr>
        <w:t xml:space="preserve">Measuring </w:t>
      </w:r>
      <w:r w:rsidR="00454701">
        <w:rPr>
          <w:b/>
          <w:bCs/>
          <w:sz w:val="36"/>
          <w:szCs w:val="36"/>
          <w:lang w:val="en-US"/>
        </w:rPr>
        <w:t>The Volatility of Market Risk</w:t>
      </w:r>
      <w:r>
        <w:rPr>
          <w:b/>
          <w:bCs/>
          <w:sz w:val="36"/>
          <w:szCs w:val="36"/>
        </w:rPr>
        <w:t xml:space="preserve"> of Viet Nam Banking Industry After</w:t>
      </w:r>
      <w:r w:rsidR="00251FFA">
        <w:rPr>
          <w:b/>
          <w:bCs/>
          <w:sz w:val="36"/>
          <w:szCs w:val="36"/>
          <w:lang w:val="en-US"/>
        </w:rPr>
        <w:t xml:space="preserve"> The</w:t>
      </w:r>
      <w:r>
        <w:rPr>
          <w:b/>
          <w:bCs/>
          <w:sz w:val="36"/>
          <w:szCs w:val="36"/>
        </w:rPr>
        <w:t xml:space="preserve"> </w:t>
      </w:r>
      <w:r w:rsidR="00B20834">
        <w:rPr>
          <w:b/>
          <w:bCs/>
          <w:sz w:val="36"/>
          <w:szCs w:val="36"/>
          <w:lang w:val="en-US"/>
        </w:rPr>
        <w:t>Low Inflation Period 2015-2017</w:t>
      </w:r>
    </w:p>
    <w:p w14:paraId="4CC7677D" w14:textId="77777777" w:rsidR="00FD6EAD" w:rsidRDefault="00FD6EAD" w:rsidP="00FD6EAD">
      <w:pPr>
        <w:autoSpaceDE w:val="0"/>
        <w:autoSpaceDN w:val="0"/>
        <w:spacing w:line="240" w:lineRule="auto"/>
        <w:jc w:val="center"/>
        <w:textAlignment w:val="bottom"/>
        <w:rPr>
          <w:b/>
          <w:color w:val="000000"/>
          <w:szCs w:val="24"/>
        </w:rPr>
      </w:pPr>
    </w:p>
    <w:p w14:paraId="0EAE8576" w14:textId="77777777" w:rsidR="00CC6C94" w:rsidRPr="00F809FC" w:rsidRDefault="00CC6C94" w:rsidP="00CC6C94">
      <w:pPr>
        <w:jc w:val="center"/>
        <w:outlineLvl w:val="0"/>
        <w:rPr>
          <w:b/>
          <w:bCs/>
          <w:iCs/>
          <w:vertAlign w:val="superscript"/>
        </w:rPr>
      </w:pPr>
      <w:r>
        <w:rPr>
          <w:b/>
          <w:bCs/>
          <w:iCs/>
        </w:rPr>
        <w:t>Dinh Tran Ngoc Huy</w:t>
      </w:r>
      <w:r>
        <w:rPr>
          <w:b/>
          <w:bCs/>
          <w:iCs/>
          <w:lang w:val="en-US"/>
        </w:rPr>
        <w:t>, MBA</w:t>
      </w:r>
      <w:r>
        <w:rPr>
          <w:b/>
          <w:bCs/>
          <w:iCs/>
          <w:vertAlign w:val="superscript"/>
        </w:rPr>
        <w:t>1</w:t>
      </w:r>
      <w:r>
        <w:rPr>
          <w:b/>
          <w:bCs/>
          <w:iCs/>
        </w:rPr>
        <w:t>*</w:t>
      </w:r>
      <w:r>
        <w:rPr>
          <w:b/>
          <w:bCs/>
          <w:iCs/>
          <w:vertAlign w:val="superscript"/>
          <w:lang w:val="en-US"/>
        </w:rPr>
        <w:t>2</w:t>
      </w:r>
      <w:r>
        <w:rPr>
          <w:b/>
          <w:bCs/>
          <w:iCs/>
        </w:rPr>
        <w:t>*</w:t>
      </w:r>
    </w:p>
    <w:p w14:paraId="10321C4D" w14:textId="77777777" w:rsidR="00CC6C94" w:rsidRDefault="00CC6C94" w:rsidP="00CC6C94">
      <w:pPr>
        <w:jc w:val="center"/>
        <w:rPr>
          <w:i/>
          <w:iCs/>
          <w:sz w:val="16"/>
        </w:rPr>
      </w:pPr>
      <w:bookmarkStart w:id="0" w:name="_GoBack"/>
      <w:bookmarkEnd w:id="0"/>
      <w:r w:rsidRPr="002C1CB7">
        <w:rPr>
          <w:i/>
          <w:iCs/>
          <w:sz w:val="16"/>
          <w:vertAlign w:val="superscript"/>
        </w:rPr>
        <w:t>1*</w:t>
      </w:r>
      <w:r w:rsidRPr="00C9335B">
        <w:rPr>
          <w:i/>
          <w:iCs/>
          <w:sz w:val="16"/>
        </w:rPr>
        <w:t xml:space="preserve"> </w:t>
      </w:r>
      <w:r>
        <w:rPr>
          <w:i/>
          <w:iCs/>
          <w:sz w:val="16"/>
          <w:lang w:val="en-US"/>
        </w:rPr>
        <w:t xml:space="preserve">Faculty of Economics, </w:t>
      </w:r>
      <w:proofErr w:type="spellStart"/>
      <w:r>
        <w:rPr>
          <w:i/>
          <w:iCs/>
          <w:sz w:val="16"/>
          <w:lang w:val="en-US"/>
        </w:rPr>
        <w:t>Binh</w:t>
      </w:r>
      <w:proofErr w:type="spellEnd"/>
      <w:r>
        <w:rPr>
          <w:i/>
          <w:iCs/>
          <w:sz w:val="16"/>
          <w:lang w:val="en-US"/>
        </w:rPr>
        <w:t xml:space="preserve"> Duong University, Viet Nam</w:t>
      </w:r>
      <w:r>
        <w:rPr>
          <w:i/>
          <w:iCs/>
          <w:sz w:val="16"/>
          <w:lang w:val="en-US"/>
        </w:rPr>
        <w:br/>
        <w:t xml:space="preserve">  </w:t>
      </w:r>
      <w:r>
        <w:rPr>
          <w:i/>
          <w:iCs/>
          <w:sz w:val="16"/>
          <w:vertAlign w:val="superscript"/>
          <w:lang w:val="en-US"/>
        </w:rPr>
        <w:t>2</w:t>
      </w:r>
      <w:r w:rsidRPr="002C1CB7">
        <w:rPr>
          <w:i/>
          <w:iCs/>
          <w:sz w:val="16"/>
          <w:vertAlign w:val="superscript"/>
        </w:rPr>
        <w:t>*</w:t>
      </w:r>
      <w:r>
        <w:rPr>
          <w:i/>
          <w:iCs/>
          <w:sz w:val="16"/>
          <w:lang w:val="en-US"/>
        </w:rPr>
        <w:t xml:space="preserve"> MBA, </w:t>
      </w:r>
      <w:r>
        <w:rPr>
          <w:i/>
          <w:iCs/>
          <w:sz w:val="16"/>
        </w:rPr>
        <w:t>Graduate School of International Management, International University of Japan, Niigata, Japan</w:t>
      </w:r>
    </w:p>
    <w:p w14:paraId="6C714174" w14:textId="77777777" w:rsidR="00CC6C94" w:rsidRPr="002C1CB7" w:rsidRDefault="00CC6C94" w:rsidP="00CC6C94">
      <w:pPr>
        <w:jc w:val="center"/>
      </w:pPr>
      <w:r w:rsidRPr="00082BC2">
        <w:rPr>
          <w:i/>
          <w:iCs/>
          <w:sz w:val="16"/>
          <w:vertAlign w:val="superscript"/>
        </w:rPr>
        <w:t>*</w:t>
      </w:r>
      <w:r w:rsidRPr="00082BC2">
        <w:rPr>
          <w:i/>
          <w:iCs/>
          <w:sz w:val="16"/>
        </w:rPr>
        <w:t>Corresponding Author:  e-mail: dtnhuy2010@gmail.com, Tel +84-08-39934160, SkypeID: dinhhuy121</w:t>
      </w:r>
    </w:p>
    <w:p w14:paraId="18D9F1DE" w14:textId="77777777" w:rsidR="004E44B4" w:rsidRPr="004C1C76" w:rsidRDefault="004E44B4" w:rsidP="004C1C76">
      <w:pPr>
        <w:jc w:val="center"/>
        <w:outlineLvl w:val="0"/>
        <w:rPr>
          <w:lang w:val="en-US"/>
        </w:rPr>
      </w:pPr>
    </w:p>
    <w:p w14:paraId="7C2081C0" w14:textId="77777777" w:rsidR="00FD6EAD" w:rsidRPr="004E44B4" w:rsidRDefault="00FD6EAD" w:rsidP="00FD6EAD">
      <w:pPr>
        <w:autoSpaceDE w:val="0"/>
        <w:autoSpaceDN w:val="0"/>
        <w:spacing w:line="240" w:lineRule="auto"/>
        <w:jc w:val="center"/>
        <w:textAlignment w:val="bottom"/>
        <w:rPr>
          <w:b/>
          <w:color w:val="000000"/>
          <w:szCs w:val="24"/>
        </w:rPr>
      </w:pPr>
    </w:p>
    <w:p w14:paraId="061E941F" w14:textId="77777777" w:rsidR="00FD6EAD" w:rsidRDefault="00FD6EAD" w:rsidP="00FD6EAD">
      <w:pPr>
        <w:autoSpaceDE w:val="0"/>
        <w:autoSpaceDN w:val="0"/>
        <w:spacing w:line="240" w:lineRule="auto"/>
        <w:jc w:val="center"/>
        <w:textAlignment w:val="bottom"/>
        <w:rPr>
          <w:b/>
          <w:color w:val="000000"/>
          <w:szCs w:val="24"/>
        </w:rPr>
      </w:pPr>
    </w:p>
    <w:p w14:paraId="5E2515FE" w14:textId="77777777" w:rsidR="00FD6EAD" w:rsidRDefault="00FD6EAD" w:rsidP="00FD6EAD">
      <w:pPr>
        <w:autoSpaceDE w:val="0"/>
        <w:autoSpaceDN w:val="0"/>
        <w:spacing w:line="240" w:lineRule="auto"/>
        <w:textAlignment w:val="bottom"/>
        <w:rPr>
          <w:color w:val="000000"/>
          <w:szCs w:val="24"/>
        </w:rPr>
      </w:pPr>
    </w:p>
    <w:p w14:paraId="4FC99BF8" w14:textId="77777777" w:rsidR="00FD6EAD" w:rsidRPr="000F5F58" w:rsidRDefault="00FD6EAD" w:rsidP="00FD6EAD">
      <w:pPr>
        <w:autoSpaceDE w:val="0"/>
        <w:autoSpaceDN w:val="0"/>
        <w:spacing w:line="240" w:lineRule="auto"/>
        <w:jc w:val="center"/>
        <w:textAlignment w:val="bottom"/>
        <w:rPr>
          <w:b/>
          <w:color w:val="000000"/>
          <w:sz w:val="26"/>
          <w:szCs w:val="26"/>
        </w:rPr>
      </w:pPr>
      <w:r w:rsidRPr="000F5F58">
        <w:rPr>
          <w:b/>
          <w:color w:val="000000"/>
          <w:sz w:val="26"/>
          <w:szCs w:val="26"/>
        </w:rPr>
        <w:t>Abstract</w:t>
      </w:r>
    </w:p>
    <w:p w14:paraId="04716C1D" w14:textId="77777777" w:rsidR="00FD6EAD" w:rsidRPr="007B7447" w:rsidRDefault="00FD6EAD" w:rsidP="00FD6EAD">
      <w:pPr>
        <w:autoSpaceDE w:val="0"/>
        <w:autoSpaceDN w:val="0"/>
        <w:spacing w:line="240" w:lineRule="auto"/>
        <w:jc w:val="center"/>
        <w:textAlignment w:val="bottom"/>
        <w:rPr>
          <w:b/>
          <w:color w:val="000000"/>
        </w:rPr>
      </w:pPr>
    </w:p>
    <w:p w14:paraId="0E4D410C" w14:textId="77777777" w:rsidR="00FD6EAD" w:rsidRDefault="002F2F30" w:rsidP="00FD6EAD">
      <w:pPr>
        <w:spacing w:line="240" w:lineRule="auto"/>
        <w:ind w:left="357"/>
        <w:rPr>
          <w:lang w:val="en-US"/>
        </w:rPr>
      </w:pPr>
      <w:r>
        <w:rPr>
          <w:lang w:val="en-US"/>
        </w:rPr>
        <w:t>The Vietnam economy has gained lots of achievements after the financial crisis 2007-2011, until it reached a low inflation rate of 0.6% in 2015. This paper measures the volatility of market risk in Viet Nam banking industry after this period (2015-2017).</w:t>
      </w:r>
      <w:r w:rsidR="006A3134">
        <w:rPr>
          <w:lang w:val="en-US"/>
        </w:rPr>
        <w:t xml:space="preserve"> The main reason is the vital role of the bank system in Vietnam in the economic development and growth in recent years</w:t>
      </w:r>
      <w:r w:rsidR="00EA6A6D">
        <w:rPr>
          <w:lang w:val="en-US"/>
        </w:rPr>
        <w:t xml:space="preserve"> always go with risk potential and risk control policies</w:t>
      </w:r>
      <w:r w:rsidR="006A3134">
        <w:rPr>
          <w:lang w:val="en-US"/>
        </w:rPr>
        <w:t xml:space="preserve">. </w:t>
      </w:r>
    </w:p>
    <w:p w14:paraId="44C518CA" w14:textId="77777777" w:rsidR="00BB062D" w:rsidRDefault="00BB062D" w:rsidP="00FD6EAD">
      <w:pPr>
        <w:spacing w:line="240" w:lineRule="auto"/>
        <w:ind w:left="357"/>
        <w:rPr>
          <w:lang w:val="en-US"/>
        </w:rPr>
      </w:pPr>
      <w:r>
        <w:rPr>
          <w:lang w:val="en-US"/>
        </w:rPr>
        <w:t>This research paper aims to figure out how much increase or decrease in the market risk of Vietnam banking firms during the post-low inflation period 2015-2017.</w:t>
      </w:r>
    </w:p>
    <w:p w14:paraId="5854D665" w14:textId="77777777" w:rsidR="00325E95" w:rsidRDefault="00325E95" w:rsidP="00FD6EAD">
      <w:pPr>
        <w:spacing w:line="240" w:lineRule="auto"/>
        <w:ind w:left="357"/>
        <w:rPr>
          <w:lang w:val="en-US"/>
        </w:rPr>
      </w:pPr>
      <w:r>
        <w:rPr>
          <w:lang w:val="en-US"/>
        </w:rPr>
        <w:t>First, by using quantitative combined with comparative data analysis method, we find out the risk level measured by equity beta mean in the banking industry is acceptable, although it is little higher than (&gt;) 1.</w:t>
      </w:r>
    </w:p>
    <w:p w14:paraId="49B1D8CD" w14:textId="77777777" w:rsidR="00BB062D" w:rsidRPr="00942F3B" w:rsidRDefault="00BB062D" w:rsidP="00FD6EAD">
      <w:pPr>
        <w:spacing w:line="240" w:lineRule="auto"/>
        <w:ind w:left="357"/>
        <w:rPr>
          <w:rFonts w:cs="Calibri"/>
          <w:color w:val="000000"/>
          <w:lang w:val="en-US" w:bidi="th-TH"/>
        </w:rPr>
      </w:pPr>
      <w:r>
        <w:rPr>
          <w:lang w:val="en-US"/>
        </w:rPr>
        <w:t>Then, one of its major findings is the comparison between risk level of banking industry during the financial crisis 2007-2009 compared to those in the post-low inflation time 2015-2017.</w:t>
      </w:r>
      <w:r w:rsidR="009F3C7F">
        <w:rPr>
          <w:lang w:val="en-US"/>
        </w:rPr>
        <w:t xml:space="preserve"> In fact, the research findings show us </w:t>
      </w:r>
      <w:r w:rsidR="00E64FDC">
        <w:rPr>
          <w:lang w:val="en-US"/>
        </w:rPr>
        <w:t xml:space="preserve">market risk level during the post-low inflation time has increased much. </w:t>
      </w:r>
    </w:p>
    <w:p w14:paraId="46D710D5" w14:textId="77777777" w:rsidR="00FD6EAD" w:rsidRPr="006200E8" w:rsidRDefault="00FD6EAD" w:rsidP="00FD6EAD">
      <w:pPr>
        <w:spacing w:line="240" w:lineRule="auto"/>
        <w:ind w:left="357"/>
        <w:rPr>
          <w:rFonts w:cs="Calibri"/>
          <w:color w:val="000000"/>
          <w:lang w:val="en-US" w:bidi="th-TH"/>
        </w:rPr>
      </w:pPr>
      <w:r w:rsidRPr="007B7447">
        <w:rPr>
          <w:rFonts w:cs="Calibri"/>
          <w:color w:val="000000"/>
          <w:lang w:bidi="th-TH"/>
        </w:rPr>
        <w:t xml:space="preserve">Finally, this paper provides some </w:t>
      </w:r>
      <w:r w:rsidR="00942F3B">
        <w:rPr>
          <w:rFonts w:cs="Calibri"/>
          <w:color w:val="000000"/>
          <w:lang w:val="en-US" w:bidi="th-TH"/>
        </w:rPr>
        <w:t>ideas</w:t>
      </w:r>
      <w:r w:rsidRPr="007B7447">
        <w:rPr>
          <w:rFonts w:cs="Calibri"/>
          <w:color w:val="000000"/>
          <w:lang w:bidi="th-TH"/>
        </w:rPr>
        <w:t xml:space="preserve"> that could provide companies and government more evidence in establishing their policies in governance.</w:t>
      </w:r>
      <w:r w:rsidR="006200E8">
        <w:rPr>
          <w:rFonts w:cs="Calibri"/>
          <w:color w:val="000000"/>
          <w:lang w:val="en-US" w:bidi="th-TH"/>
        </w:rPr>
        <w:t xml:space="preserve"> This is the complex task but the research results shows us warning that the market risk might be higher during the post-low inflation period 2015-2017.</w:t>
      </w:r>
      <w:r w:rsidR="007F0AEC">
        <w:rPr>
          <w:rFonts w:cs="Calibri"/>
          <w:color w:val="000000"/>
          <w:lang w:val="en-US" w:bidi="th-TH"/>
        </w:rPr>
        <w:t xml:space="preserve"> And our conclusion part will recommends some </w:t>
      </w:r>
      <w:r w:rsidR="00D023F5">
        <w:rPr>
          <w:rFonts w:cs="Calibri"/>
          <w:color w:val="000000"/>
          <w:lang w:val="en-US" w:bidi="th-TH"/>
        </w:rPr>
        <w:t xml:space="preserve">policies and </w:t>
      </w:r>
      <w:r w:rsidR="007F0AEC">
        <w:rPr>
          <w:rFonts w:cs="Calibri"/>
          <w:color w:val="000000"/>
          <w:lang w:val="en-US" w:bidi="th-TH"/>
        </w:rPr>
        <w:t>plans to deal with it.</w:t>
      </w:r>
    </w:p>
    <w:p w14:paraId="43AD857C" w14:textId="77777777" w:rsidR="00FD6EAD" w:rsidRPr="007B7447" w:rsidRDefault="00FD6EAD" w:rsidP="00FD6EAD">
      <w:pPr>
        <w:pStyle w:val="NormalWeb"/>
        <w:spacing w:before="0" w:beforeAutospacing="0" w:after="0" w:afterAutospacing="0"/>
        <w:jc w:val="both"/>
        <w:rPr>
          <w:rFonts w:cs="Tahoma"/>
          <w:color w:val="000000"/>
          <w:lang w:val="en-US"/>
        </w:rPr>
      </w:pPr>
    </w:p>
    <w:p w14:paraId="72E6B22C" w14:textId="77777777" w:rsidR="00FD6EAD" w:rsidRPr="00AA2A46" w:rsidRDefault="00FD6EAD" w:rsidP="00FD6EAD">
      <w:pPr>
        <w:spacing w:line="240" w:lineRule="auto"/>
        <w:rPr>
          <w:color w:val="000000"/>
          <w:szCs w:val="24"/>
        </w:rPr>
      </w:pPr>
    </w:p>
    <w:p w14:paraId="174E30CE" w14:textId="77777777" w:rsidR="00FD6EAD" w:rsidRPr="007C434A" w:rsidRDefault="00FD6EAD" w:rsidP="00FD6EAD">
      <w:pPr>
        <w:spacing w:line="240" w:lineRule="auto"/>
        <w:ind w:left="1" w:hanging="1"/>
        <w:rPr>
          <w:color w:val="000000"/>
          <w:szCs w:val="24"/>
        </w:rPr>
      </w:pPr>
      <w:r w:rsidRPr="007C434A">
        <w:rPr>
          <w:b/>
          <w:color w:val="000000"/>
          <w:szCs w:val="24"/>
        </w:rPr>
        <w:t>JEL classification numbers:</w:t>
      </w:r>
      <w:r w:rsidRPr="007C434A">
        <w:rPr>
          <w:color w:val="000000"/>
          <w:szCs w:val="24"/>
        </w:rPr>
        <w:t xml:space="preserve"> </w:t>
      </w:r>
      <w:r>
        <w:rPr>
          <w:color w:val="000000"/>
          <w:szCs w:val="24"/>
        </w:rPr>
        <w:t>G010, G390</w:t>
      </w:r>
    </w:p>
    <w:p w14:paraId="2DB31B30" w14:textId="77777777" w:rsidR="00FD6EAD" w:rsidRPr="0013062D" w:rsidRDefault="00FD6EAD" w:rsidP="00FD6EAD">
      <w:pPr>
        <w:spacing w:line="240" w:lineRule="auto"/>
        <w:ind w:left="1" w:hanging="1"/>
        <w:rPr>
          <w:b/>
          <w:color w:val="000000"/>
          <w:szCs w:val="24"/>
          <w:lang w:val="en-US"/>
        </w:rPr>
      </w:pPr>
      <w:r w:rsidRPr="00A31F3C">
        <w:rPr>
          <w:b/>
          <w:color w:val="000000"/>
          <w:szCs w:val="24"/>
        </w:rPr>
        <w:t xml:space="preserve">Keywords: </w:t>
      </w:r>
      <w:r>
        <w:rPr>
          <w:rFonts w:cs="Helvetica"/>
          <w:lang w:eastAsia="ja-JP" w:bidi="th-TH"/>
        </w:rPr>
        <w:t>risk management, asset beta</w:t>
      </w:r>
      <w:r w:rsidRPr="000D1658">
        <w:rPr>
          <w:rFonts w:cs="Helvetica"/>
          <w:lang w:eastAsia="ja-JP" w:bidi="th-TH"/>
        </w:rPr>
        <w:t xml:space="preserve">, financial crisis, </w:t>
      </w:r>
      <w:r w:rsidR="0013062D">
        <w:rPr>
          <w:rFonts w:cs="Helvetica"/>
          <w:lang w:val="en-US" w:eastAsia="ja-JP" w:bidi="th-TH"/>
        </w:rPr>
        <w:t>banking industry, policy</w:t>
      </w:r>
    </w:p>
    <w:p w14:paraId="4B26DDCC" w14:textId="77777777" w:rsidR="00FD6EAD" w:rsidRDefault="00FD6EAD" w:rsidP="00FD6EAD">
      <w:pPr>
        <w:spacing w:line="240" w:lineRule="auto"/>
        <w:ind w:left="1012" w:hangingChars="460" w:hanging="1012"/>
        <w:rPr>
          <w:bCs/>
          <w:iCs/>
          <w:color w:val="000000"/>
          <w:szCs w:val="24"/>
        </w:rPr>
      </w:pPr>
    </w:p>
    <w:p w14:paraId="2D17C163" w14:textId="77777777" w:rsidR="00FD6EAD" w:rsidRDefault="00FD6EAD" w:rsidP="00FD6EAD">
      <w:pPr>
        <w:spacing w:line="240" w:lineRule="auto"/>
        <w:ind w:left="1012" w:hangingChars="460" w:hanging="1012"/>
        <w:rPr>
          <w:bCs/>
          <w:iCs/>
          <w:color w:val="000000"/>
          <w:szCs w:val="24"/>
        </w:rPr>
      </w:pPr>
    </w:p>
    <w:p w14:paraId="0362CA7C" w14:textId="77777777" w:rsidR="00FD6EAD" w:rsidRPr="000574E9" w:rsidRDefault="00FD6EAD" w:rsidP="00FD6EAD">
      <w:pPr>
        <w:spacing w:line="360" w:lineRule="auto"/>
        <w:rPr>
          <w:b/>
          <w:sz w:val="30"/>
          <w:szCs w:val="30"/>
        </w:rPr>
      </w:pPr>
      <w:r w:rsidRPr="000574E9">
        <w:rPr>
          <w:b/>
          <w:sz w:val="30"/>
          <w:szCs w:val="30"/>
        </w:rPr>
        <w:t xml:space="preserve">1  Introduction </w:t>
      </w:r>
    </w:p>
    <w:p w14:paraId="7FFEB083" w14:textId="77777777" w:rsidR="00FD6EAD" w:rsidRDefault="00FD6EAD" w:rsidP="00FD6EAD">
      <w:pPr>
        <w:spacing w:line="240" w:lineRule="auto"/>
        <w:rPr>
          <w:rFonts w:cs="Calibri"/>
          <w:color w:val="000000"/>
          <w:lang w:val="en-US" w:bidi="th-TH"/>
        </w:rPr>
      </w:pPr>
      <w:r w:rsidRPr="00A3733B">
        <w:rPr>
          <w:rFonts w:cs="Calibri"/>
          <w:color w:val="000000"/>
          <w:lang w:bidi="th-TH"/>
        </w:rPr>
        <w:t xml:space="preserve">Throughout many recent years, </w:t>
      </w:r>
      <w:smartTag w:uri="urn:schemas-microsoft-com:office:smarttags" w:element="country-region">
        <w:smartTag w:uri="urn:schemas-microsoft-com:office:smarttags" w:element="place">
          <w:r w:rsidRPr="00A3733B">
            <w:rPr>
              <w:rFonts w:cs="Calibri"/>
              <w:color w:val="000000"/>
              <w:lang w:bidi="th-TH"/>
            </w:rPr>
            <w:t>Viet Nam</w:t>
          </w:r>
        </w:smartTag>
      </w:smartTag>
      <w:r w:rsidRPr="00A3733B">
        <w:rPr>
          <w:rFonts w:cs="Calibri"/>
          <w:color w:val="000000"/>
          <w:lang w:bidi="th-TH"/>
        </w:rPr>
        <w:t xml:space="preserve"> banking market is evaluated as one of active markets, which has certain positive effect for the economy.</w:t>
      </w:r>
    </w:p>
    <w:p w14:paraId="68C69E01" w14:textId="77777777" w:rsidR="00454701" w:rsidRDefault="00E040FF" w:rsidP="00FD6EAD">
      <w:pPr>
        <w:spacing w:line="240" w:lineRule="auto"/>
        <w:rPr>
          <w:rFonts w:ascii="Arial" w:hAnsi="Arial" w:cs="Arial"/>
          <w:color w:val="111111"/>
          <w:shd w:val="clear" w:color="auto" w:fill="FFFFFF"/>
          <w:lang w:val="en-US"/>
        </w:rPr>
      </w:pPr>
      <w:r>
        <w:rPr>
          <w:rFonts w:ascii="Arial" w:hAnsi="Arial" w:cs="Arial"/>
          <w:color w:val="111111"/>
          <w:shd w:val="clear" w:color="auto" w:fill="FFFFFF"/>
          <w:lang w:val="en-US"/>
        </w:rPr>
        <w:t>Generally speaking</w:t>
      </w:r>
      <w:r w:rsidR="00454701" w:rsidRPr="00E5495C">
        <w:rPr>
          <w:rFonts w:ascii="Arial" w:hAnsi="Arial" w:cs="Arial"/>
          <w:color w:val="111111"/>
          <w:shd w:val="clear" w:color="auto" w:fill="FFFFFF"/>
        </w:rPr>
        <w:t>, central banks aim to maintain inflation around 2% to 3%. Increases in inflation significantly beyond this range can lead to possible</w:t>
      </w:r>
      <w:r w:rsidR="00A96804">
        <w:rPr>
          <w:rFonts w:ascii="Arial" w:hAnsi="Arial" w:cs="Arial"/>
          <w:color w:val="111111"/>
          <w:shd w:val="clear" w:color="auto" w:fill="FFFFFF"/>
          <w:lang w:val="en-US"/>
        </w:rPr>
        <w:t xml:space="preserve"> hyperinflation</w:t>
      </w:r>
      <w:r w:rsidR="00454701" w:rsidRPr="00E5495C">
        <w:rPr>
          <w:rFonts w:ascii="Arial" w:hAnsi="Arial" w:cs="Arial"/>
          <w:color w:val="111111"/>
          <w:shd w:val="clear" w:color="auto" w:fill="FFFFFF"/>
        </w:rPr>
        <w:t>, a devastating scenario in which inflation rises rapidly out of control.</w:t>
      </w:r>
      <w:r w:rsidR="007F42DD">
        <w:rPr>
          <w:rFonts w:ascii="Arial" w:hAnsi="Arial" w:cs="Arial"/>
          <w:color w:val="111111"/>
          <w:shd w:val="clear" w:color="auto" w:fill="FFFFFF"/>
          <w:lang w:val="en-US"/>
        </w:rPr>
        <w:t xml:space="preserve"> Looking at exhibit 1, we can see the Vietnam economy has controlled inflation well.</w:t>
      </w:r>
    </w:p>
    <w:p w14:paraId="26A8757D" w14:textId="77777777" w:rsidR="00956A3B" w:rsidRPr="007F42DD" w:rsidRDefault="00956A3B" w:rsidP="00FD6EAD">
      <w:pPr>
        <w:spacing w:line="240" w:lineRule="auto"/>
        <w:rPr>
          <w:rFonts w:ascii="Arial" w:hAnsi="Arial" w:cs="Arial"/>
          <w:color w:val="111111"/>
          <w:shd w:val="clear" w:color="auto" w:fill="FFFFFF"/>
          <w:lang w:val="en-US"/>
        </w:rPr>
      </w:pPr>
      <w:r>
        <w:rPr>
          <w:rFonts w:ascii="Arial" w:hAnsi="Arial" w:cs="Arial"/>
          <w:color w:val="111111"/>
          <w:shd w:val="clear" w:color="auto" w:fill="FFFFFF"/>
          <w:lang w:val="en-US"/>
        </w:rPr>
        <w:t>This study will calculate and figure out whether the market risk level during the post-low inflation time (2015) has increased or decreased, compared to those statistics in the financial crisis time (2007-2009).</w:t>
      </w:r>
    </w:p>
    <w:p w14:paraId="27B0102F" w14:textId="77777777" w:rsidR="00DA4A0F" w:rsidRPr="00E5495C" w:rsidRDefault="00DA4A0F" w:rsidP="00FD6EAD">
      <w:pPr>
        <w:spacing w:line="240" w:lineRule="auto"/>
        <w:rPr>
          <w:rFonts w:cs="Calibri"/>
          <w:color w:val="000000"/>
          <w:lang w:val="en-US" w:bidi="th-TH"/>
        </w:rPr>
      </w:pPr>
      <w:r w:rsidRPr="00E5495C">
        <w:rPr>
          <w:rFonts w:ascii="Arial" w:hAnsi="Arial" w:cs="Arial"/>
          <w:color w:val="111111"/>
          <w:shd w:val="clear" w:color="auto" w:fill="FFFFFF"/>
          <w:lang w:val="en-US"/>
        </w:rPr>
        <w:t xml:space="preserve">The paper is organized as follows: after the introduction </w:t>
      </w:r>
      <w:r w:rsidR="00C31423" w:rsidRPr="00E5495C">
        <w:rPr>
          <w:rFonts w:ascii="Arial" w:hAnsi="Arial" w:cs="Arial"/>
          <w:color w:val="111111"/>
          <w:shd w:val="clear" w:color="auto" w:fill="FFFFFF"/>
          <w:lang w:val="en-US"/>
        </w:rPr>
        <w:t xml:space="preserve">it </w:t>
      </w:r>
      <w:r w:rsidRPr="00E5495C">
        <w:rPr>
          <w:rFonts w:ascii="Arial" w:hAnsi="Arial" w:cs="Arial"/>
          <w:color w:val="111111"/>
          <w:shd w:val="clear" w:color="auto" w:fill="FFFFFF"/>
          <w:lang w:val="en-US"/>
        </w:rPr>
        <w:t>is the research issues, literature review, conceptual theories and methodology. Next, section 3 will cover main research findings/results.</w:t>
      </w:r>
      <w:r w:rsidR="00C31423" w:rsidRPr="00E5495C">
        <w:rPr>
          <w:rFonts w:ascii="Arial" w:hAnsi="Arial" w:cs="Arial"/>
          <w:color w:val="111111"/>
          <w:shd w:val="clear" w:color="auto" w:fill="FFFFFF"/>
          <w:lang w:val="en-US"/>
        </w:rPr>
        <w:t xml:space="preserve"> Section 4 gives us some discussion and conclusion and policy suggestion will be in the section 5. </w:t>
      </w:r>
    </w:p>
    <w:p w14:paraId="28699166" w14:textId="77777777" w:rsidR="00FD6EAD" w:rsidRPr="000574E9" w:rsidRDefault="00FD6EAD" w:rsidP="00FD6EAD">
      <w:pPr>
        <w:spacing w:line="240" w:lineRule="auto"/>
        <w:rPr>
          <w:b/>
          <w:sz w:val="30"/>
          <w:szCs w:val="30"/>
        </w:rPr>
      </w:pPr>
      <w:r w:rsidRPr="000574E9">
        <w:rPr>
          <w:b/>
          <w:sz w:val="30"/>
          <w:szCs w:val="30"/>
        </w:rPr>
        <w:t xml:space="preserve">2  </w:t>
      </w:r>
      <w:r>
        <w:rPr>
          <w:b/>
          <w:sz w:val="30"/>
          <w:szCs w:val="30"/>
        </w:rPr>
        <w:t>Body of manuscript</w:t>
      </w:r>
    </w:p>
    <w:p w14:paraId="74FBC3FA" w14:textId="77777777" w:rsidR="00FD6EAD" w:rsidRDefault="00FD6EAD" w:rsidP="00FD6EAD">
      <w:pPr>
        <w:spacing w:line="240" w:lineRule="auto"/>
        <w:rPr>
          <w:b/>
          <w:sz w:val="28"/>
          <w:szCs w:val="28"/>
        </w:rPr>
      </w:pPr>
    </w:p>
    <w:p w14:paraId="799A4A6C" w14:textId="77777777" w:rsidR="00FD6EAD" w:rsidRDefault="00FD6EAD" w:rsidP="00FD6EAD">
      <w:pPr>
        <w:spacing w:line="240" w:lineRule="auto"/>
        <w:rPr>
          <w:rFonts w:cs="Calibri"/>
          <w:b/>
          <w:bCs/>
          <w:color w:val="000000"/>
          <w:lang w:bidi="th-TH"/>
        </w:rPr>
      </w:pPr>
      <w:r w:rsidRPr="00F03418">
        <w:rPr>
          <w:b/>
          <w:szCs w:val="24"/>
        </w:rPr>
        <w:t>2.1</w:t>
      </w:r>
      <w:r w:rsidRPr="00F03418">
        <w:rPr>
          <w:b/>
          <w:sz w:val="28"/>
          <w:szCs w:val="28"/>
        </w:rPr>
        <w:t xml:space="preserve"> </w:t>
      </w:r>
      <w:r w:rsidRPr="00E018E9">
        <w:rPr>
          <w:rFonts w:cs="Calibri"/>
          <w:b/>
          <w:bCs/>
          <w:color w:val="000000"/>
          <w:lang w:bidi="th-TH"/>
        </w:rPr>
        <w:t xml:space="preserve">Research Issues </w:t>
      </w:r>
    </w:p>
    <w:p w14:paraId="2F261423" w14:textId="77777777" w:rsidR="00FD6EAD" w:rsidRPr="00BD4FBF" w:rsidRDefault="00FD6EAD" w:rsidP="00FD6EAD">
      <w:pPr>
        <w:spacing w:line="240" w:lineRule="auto"/>
      </w:pPr>
      <w:r>
        <w:t>T</w:t>
      </w:r>
      <w:r w:rsidRPr="00BD4FBF">
        <w:t>he scope of th</w:t>
      </w:r>
      <w:r>
        <w:t>is study</w:t>
      </w:r>
      <w:r w:rsidRPr="00BD4FBF">
        <w:t xml:space="preserve"> are:</w:t>
      </w:r>
    </w:p>
    <w:p w14:paraId="62DF42C7" w14:textId="77777777" w:rsidR="00FD6EAD" w:rsidRPr="00BD4FBF" w:rsidRDefault="00FD6EAD" w:rsidP="00FD6EAD">
      <w:pPr>
        <w:spacing w:line="240" w:lineRule="auto"/>
        <w:rPr>
          <w:rFonts w:cs="Calibri"/>
          <w:color w:val="000000"/>
          <w:lang w:bidi="th-TH"/>
        </w:rPr>
      </w:pPr>
      <w:r w:rsidRPr="00BD4FBF">
        <w:rPr>
          <w:rFonts w:cs="Calibri"/>
          <w:color w:val="000000"/>
          <w:lang w:bidi="th-TH"/>
        </w:rPr>
        <w:t xml:space="preserve">Issue 1: Whether the risk level of </w:t>
      </w:r>
      <w:r>
        <w:rPr>
          <w:rFonts w:cs="Calibri"/>
          <w:color w:val="000000"/>
          <w:lang w:bidi="th-TH"/>
        </w:rPr>
        <w:t>banking</w:t>
      </w:r>
      <w:r w:rsidRPr="00BD4FBF">
        <w:rPr>
          <w:rFonts w:cs="Calibri"/>
          <w:color w:val="000000"/>
          <w:lang w:bidi="th-TH"/>
        </w:rPr>
        <w:t xml:space="preserve"> firms under th</w:t>
      </w:r>
      <w:r w:rsidR="002A3D00">
        <w:rPr>
          <w:rFonts w:cs="Calibri"/>
          <w:color w:val="000000"/>
          <w:lang w:bidi="th-TH"/>
        </w:rPr>
        <w:t>e different changing scenarios</w:t>
      </w:r>
      <w:r w:rsidR="002A3D00">
        <w:rPr>
          <w:rFonts w:cs="Calibri"/>
          <w:color w:val="000000"/>
          <w:lang w:val="en-US" w:bidi="th-TH"/>
        </w:rPr>
        <w:t xml:space="preserve"> in post-low inflation period 2015-2017</w:t>
      </w:r>
      <w:r w:rsidRPr="00BD4FBF">
        <w:rPr>
          <w:rFonts w:cs="Calibri"/>
          <w:color w:val="000000"/>
          <w:lang w:bidi="th-TH"/>
        </w:rPr>
        <w:t xml:space="preserve"> increase or decrease so much</w:t>
      </w:r>
      <w:r w:rsidR="002A3D00">
        <w:rPr>
          <w:rFonts w:cs="Calibri"/>
          <w:color w:val="000000"/>
          <w:lang w:val="en-US" w:bidi="th-TH"/>
        </w:rPr>
        <w:t>, compared to in financial crisis 2007-2009 and</w:t>
      </w:r>
      <w:r w:rsidRPr="00BD4FBF">
        <w:rPr>
          <w:rFonts w:cs="Calibri"/>
          <w:color w:val="000000"/>
          <w:lang w:bidi="th-TH"/>
        </w:rPr>
        <w:t>?</w:t>
      </w:r>
    </w:p>
    <w:p w14:paraId="2A11B1BF" w14:textId="77777777" w:rsidR="00FD6EAD" w:rsidRPr="00E018E9" w:rsidRDefault="00FD6EAD" w:rsidP="00FD6EAD">
      <w:pPr>
        <w:spacing w:line="240" w:lineRule="auto"/>
        <w:rPr>
          <w:rFonts w:cs="Calibri"/>
          <w:color w:val="000000"/>
          <w:lang w:bidi="th-TH"/>
        </w:rPr>
      </w:pPr>
      <w:r w:rsidRPr="00BD4FBF">
        <w:rPr>
          <w:rFonts w:cs="Calibri"/>
          <w:color w:val="000000"/>
          <w:lang w:bidi="th-TH"/>
        </w:rPr>
        <w:t xml:space="preserve">Issue 2: Because Viet Nam is an emerging and immature financial market and the stock market still in the starting stage, </w:t>
      </w:r>
      <w:r>
        <w:rPr>
          <w:rFonts w:cs="Calibri"/>
          <w:color w:val="000000"/>
          <w:lang w:bidi="th-TH"/>
        </w:rPr>
        <w:t>w</w:t>
      </w:r>
      <w:r w:rsidRPr="00E018E9">
        <w:rPr>
          <w:rFonts w:cs="Calibri"/>
          <w:color w:val="000000"/>
          <w:lang w:bidi="th-TH"/>
        </w:rPr>
        <w:t>hether the disperse</w:t>
      </w:r>
      <w:r>
        <w:rPr>
          <w:rFonts w:cs="Calibri"/>
          <w:color w:val="000000"/>
          <w:lang w:bidi="th-TH"/>
        </w:rPr>
        <w:t>d</w:t>
      </w:r>
      <w:r w:rsidRPr="00E018E9">
        <w:rPr>
          <w:rFonts w:cs="Calibri"/>
          <w:color w:val="000000"/>
          <w:lang w:bidi="th-TH"/>
        </w:rPr>
        <w:t xml:space="preserve"> distribution of beta values become large in the different changing </w:t>
      </w:r>
      <w:r w:rsidR="002A3D00">
        <w:rPr>
          <w:rFonts w:cs="Calibri"/>
          <w:color w:val="000000"/>
          <w:lang w:val="en-US" w:bidi="th-TH"/>
        </w:rPr>
        <w:t>periods</w:t>
      </w:r>
      <w:r w:rsidRPr="00E018E9">
        <w:rPr>
          <w:rFonts w:cs="Calibri"/>
          <w:color w:val="000000"/>
          <w:lang w:bidi="th-TH"/>
        </w:rPr>
        <w:t xml:space="preserve"> in the </w:t>
      </w:r>
      <w:r>
        <w:rPr>
          <w:rFonts w:cs="Calibri"/>
        </w:rPr>
        <w:t>banking industry</w:t>
      </w:r>
      <w:r w:rsidRPr="00E018E9">
        <w:rPr>
          <w:rFonts w:cs="Calibri"/>
          <w:color w:val="000000"/>
          <w:lang w:bidi="th-TH"/>
        </w:rPr>
        <w:t>.</w:t>
      </w:r>
    </w:p>
    <w:p w14:paraId="4A8893D5" w14:textId="77777777" w:rsidR="000A3A7C" w:rsidRPr="00F64FEC" w:rsidRDefault="000A3A7C" w:rsidP="000A3A7C">
      <w:pPr>
        <w:spacing w:line="240" w:lineRule="auto"/>
        <w:rPr>
          <w:rFonts w:cs="Calibri"/>
          <w:color w:val="000000"/>
          <w:lang w:val="en-US" w:bidi="th-TH"/>
        </w:rPr>
      </w:pPr>
      <w:r>
        <w:rPr>
          <w:rFonts w:cs="Calibri"/>
          <w:color w:val="000000"/>
          <w:lang w:val="en-US" w:bidi="th-TH"/>
        </w:rPr>
        <w:t xml:space="preserve">This paper also tests three (3) below hypotheses: </w:t>
      </w:r>
    </w:p>
    <w:p w14:paraId="749C2685" w14:textId="2D131E8E" w:rsidR="000A3A7C" w:rsidRPr="00EA1CE8" w:rsidRDefault="000A3A7C" w:rsidP="000A3A7C">
      <w:pPr>
        <w:spacing w:line="360" w:lineRule="auto"/>
        <w:rPr>
          <w:rFonts w:cs="Calibri"/>
          <w:color w:val="000000"/>
          <w:lang w:bidi="th-TH"/>
        </w:rPr>
      </w:pPr>
      <w:r w:rsidRPr="00EA1CE8">
        <w:rPr>
          <w:rFonts w:cs="Calibri"/>
          <w:color w:val="000000"/>
          <w:lang w:bidi="th-TH"/>
        </w:rPr>
        <w:t xml:space="preserve">Hypothesis 1: </w:t>
      </w:r>
      <w:r>
        <w:rPr>
          <w:rFonts w:cs="Calibri"/>
          <w:color w:val="000000"/>
          <w:lang w:val="en-US" w:bidi="th-TH"/>
        </w:rPr>
        <w:t>Comparing two (2) periods, during</w:t>
      </w:r>
      <w:r w:rsidRPr="00EA1CE8">
        <w:rPr>
          <w:rFonts w:cs="Calibri"/>
          <w:color w:val="000000"/>
          <w:lang w:bidi="th-TH"/>
        </w:rPr>
        <w:t xml:space="preserve"> the financial crisis impact, the beta or risk level of listed companies in </w:t>
      </w:r>
      <w:r w:rsidR="00357012">
        <w:rPr>
          <w:rFonts w:cs="Calibri"/>
          <w:color w:val="000000"/>
          <w:lang w:val="en-US" w:bidi="th-TH"/>
        </w:rPr>
        <w:t>banking</w:t>
      </w:r>
      <w:r>
        <w:rPr>
          <w:rFonts w:cs="Calibri"/>
          <w:color w:val="000000"/>
          <w:lang w:val="en-US" w:bidi="th-TH"/>
        </w:rPr>
        <w:t xml:space="preserve"> industry</w:t>
      </w:r>
      <w:r w:rsidRPr="00EA1CE8">
        <w:rPr>
          <w:rFonts w:cs="Calibri"/>
          <w:color w:val="000000"/>
          <w:lang w:bidi="th-TH"/>
        </w:rPr>
        <w:t xml:space="preserve"> will relatively higher than those in the </w:t>
      </w:r>
      <w:r>
        <w:rPr>
          <w:rFonts w:cs="Calibri"/>
          <w:color w:val="000000"/>
          <w:lang w:val="en-US" w:bidi="th-TH"/>
        </w:rPr>
        <w:t>post-low inflation environment</w:t>
      </w:r>
      <w:r w:rsidRPr="00EA1CE8">
        <w:rPr>
          <w:rFonts w:cs="Calibri"/>
          <w:color w:val="000000"/>
          <w:lang w:bidi="th-TH"/>
        </w:rPr>
        <w:t>.</w:t>
      </w:r>
    </w:p>
    <w:p w14:paraId="257EBBD9" w14:textId="1C558E2F" w:rsidR="000A3A7C" w:rsidRPr="004571F0" w:rsidRDefault="000A3A7C" w:rsidP="000A3A7C">
      <w:pPr>
        <w:spacing w:line="360" w:lineRule="auto"/>
        <w:rPr>
          <w:rFonts w:cs="Calibri"/>
          <w:color w:val="000000"/>
          <w:lang w:bidi="th-TH"/>
        </w:rPr>
      </w:pPr>
      <w:r>
        <w:rPr>
          <w:rFonts w:cs="Calibri"/>
          <w:color w:val="000000"/>
          <w:lang w:bidi="th-TH"/>
        </w:rPr>
        <w:t>Hypothesis</w:t>
      </w:r>
      <w:r w:rsidRPr="00EA1CE8">
        <w:rPr>
          <w:rFonts w:cs="Calibri"/>
          <w:color w:val="000000"/>
          <w:lang w:bidi="th-TH"/>
        </w:rPr>
        <w:t xml:space="preserve"> 2: Because Viet Nam is an emerging and immature financial market and the stock market still in the recovering stage, there will be a large disperse distribution in beta values estimated in the </w:t>
      </w:r>
      <w:r w:rsidR="00357012">
        <w:rPr>
          <w:rFonts w:cs="Calibri"/>
          <w:color w:val="000000"/>
          <w:lang w:val="en-US" w:bidi="th-TH"/>
        </w:rPr>
        <w:t>banking</w:t>
      </w:r>
      <w:r>
        <w:rPr>
          <w:rFonts w:cs="Calibri"/>
          <w:color w:val="000000"/>
          <w:lang w:val="en-US" w:bidi="th-TH"/>
        </w:rPr>
        <w:t xml:space="preserve"> industry</w:t>
      </w:r>
      <w:r w:rsidRPr="00EA1CE8">
        <w:rPr>
          <w:rFonts w:cs="Calibri"/>
          <w:color w:val="000000"/>
          <w:lang w:bidi="th-TH"/>
        </w:rPr>
        <w:t>.</w:t>
      </w:r>
    </w:p>
    <w:p w14:paraId="09F92D4E" w14:textId="67B82676" w:rsidR="000A3A7C" w:rsidRPr="004571F0" w:rsidRDefault="000A3A7C" w:rsidP="000A3A7C">
      <w:pPr>
        <w:spacing w:line="360" w:lineRule="auto"/>
        <w:rPr>
          <w:rFonts w:cs="Calibri"/>
          <w:color w:val="000000"/>
          <w:lang w:bidi="th-TH"/>
        </w:rPr>
      </w:pPr>
      <w:r>
        <w:rPr>
          <w:rFonts w:cs="Calibri"/>
          <w:color w:val="000000"/>
          <w:lang w:bidi="th-TH"/>
        </w:rPr>
        <w:t>Hypothesis</w:t>
      </w:r>
      <w:r>
        <w:rPr>
          <w:rFonts w:cs="Calibri"/>
          <w:color w:val="000000"/>
          <w:lang w:val="en-US" w:bidi="th-TH"/>
        </w:rPr>
        <w:t xml:space="preserve"> </w:t>
      </w:r>
      <w:r w:rsidRPr="004571F0">
        <w:rPr>
          <w:rFonts w:cs="Calibri"/>
          <w:color w:val="000000"/>
          <w:lang w:bidi="th-TH"/>
        </w:rPr>
        <w:t xml:space="preserve">3: With the above reasons, the mean of equity and asset beta values of these listed </w:t>
      </w:r>
      <w:r w:rsidR="00357012">
        <w:rPr>
          <w:rFonts w:cs="Calibri"/>
          <w:color w:val="000000"/>
          <w:lang w:val="en-US" w:bidi="th-TH"/>
        </w:rPr>
        <w:t>banks</w:t>
      </w:r>
      <w:r w:rsidRPr="004571F0">
        <w:rPr>
          <w:rFonts w:cs="Calibri"/>
          <w:color w:val="000000"/>
          <w:lang w:bidi="th-TH"/>
        </w:rPr>
        <w:t xml:space="preserve"> tend to impose a high risk level, i.e., beta should higher than (&gt;) 1.</w:t>
      </w:r>
      <w:r>
        <w:rPr>
          <w:rFonts w:cs="Calibri"/>
          <w:color w:val="000000"/>
          <w:lang w:bidi="th-TH"/>
        </w:rPr>
        <w:t xml:space="preserve"> This hypothesis is based on the context of emerging markets including </w:t>
      </w:r>
      <w:smartTag w:uri="urn:schemas-microsoft-com:office:smarttags" w:element="country-region">
        <w:smartTag w:uri="urn:schemas-microsoft-com:office:smarttags" w:element="place">
          <w:r>
            <w:rPr>
              <w:rFonts w:cs="Calibri"/>
              <w:color w:val="000000"/>
              <w:lang w:bidi="th-TH"/>
            </w:rPr>
            <w:t>Viet Nam</w:t>
          </w:r>
        </w:smartTag>
      </w:smartTag>
      <w:r>
        <w:rPr>
          <w:rFonts w:cs="Calibri"/>
          <w:color w:val="000000"/>
          <w:lang w:bidi="th-TH"/>
        </w:rPr>
        <w:t xml:space="preserve"> where there lacks of sufficient information and data disclosure although it might have high growth rate. </w:t>
      </w:r>
    </w:p>
    <w:p w14:paraId="4757349F" w14:textId="77777777" w:rsidR="00FD6EAD" w:rsidRDefault="00FD6EAD" w:rsidP="00FD6EAD">
      <w:pPr>
        <w:spacing w:line="240" w:lineRule="auto"/>
        <w:rPr>
          <w:rFonts w:cs="Calibri"/>
          <w:b/>
          <w:bCs/>
          <w:color w:val="000000"/>
          <w:lang w:bidi="th-TH"/>
        </w:rPr>
      </w:pPr>
      <w:r w:rsidRPr="00F03418">
        <w:rPr>
          <w:b/>
          <w:szCs w:val="24"/>
        </w:rPr>
        <w:lastRenderedPageBreak/>
        <w:t>2.</w:t>
      </w:r>
      <w:r>
        <w:rPr>
          <w:b/>
          <w:szCs w:val="24"/>
        </w:rPr>
        <w:t>2</w:t>
      </w:r>
      <w:r w:rsidRPr="00F03418">
        <w:rPr>
          <w:b/>
          <w:sz w:val="28"/>
          <w:szCs w:val="28"/>
        </w:rPr>
        <w:t xml:space="preserve"> </w:t>
      </w:r>
      <w:r w:rsidRPr="00E018E9">
        <w:rPr>
          <w:rFonts w:cs="Calibri"/>
          <w:b/>
          <w:bCs/>
          <w:color w:val="000000"/>
          <w:lang w:bidi="th-TH"/>
        </w:rPr>
        <w:t xml:space="preserve">Literature review </w:t>
      </w:r>
    </w:p>
    <w:p w14:paraId="1B3704A7" w14:textId="77777777" w:rsidR="00FD6EAD" w:rsidRPr="006C387D" w:rsidRDefault="00FD6EAD" w:rsidP="00FD6EAD">
      <w:pPr>
        <w:spacing w:line="240" w:lineRule="auto"/>
        <w:rPr>
          <w:rFonts w:cs="Calibri"/>
          <w:color w:val="000000"/>
          <w:lang w:bidi="th-TH"/>
        </w:rPr>
      </w:pPr>
      <w:r w:rsidRPr="006C387D">
        <w:rPr>
          <w:rFonts w:cs="Calibri"/>
          <w:color w:val="000000"/>
          <w:lang w:bidi="th-TH"/>
        </w:rPr>
        <w:t>Smith (2004) mentions in Chicago, properties located in a designated TIF (tax increment financing) district will exhibit higher rates of appreciation after the area is designated a qualifying TIF district when compared to those properties selling outside TIF districts, and when compared to properties that sell within TIF district boundaries prior to designation.</w:t>
      </w:r>
    </w:p>
    <w:p w14:paraId="5D21FADD" w14:textId="77777777" w:rsidR="00357012" w:rsidRPr="004D296D" w:rsidRDefault="00357012" w:rsidP="00357012">
      <w:pPr>
        <w:spacing w:line="240" w:lineRule="auto"/>
        <w:rPr>
          <w:rFonts w:cs="Calibri"/>
          <w:color w:val="000000"/>
          <w:lang w:val="en-US" w:bidi="th-TH"/>
        </w:rPr>
      </w:pPr>
      <w:proofErr w:type="spellStart"/>
      <w:r w:rsidRPr="005F5E95">
        <w:rPr>
          <w:rFonts w:cs="Calibri"/>
          <w:color w:val="000000"/>
          <w:lang w:val="en-US" w:bidi="th-TH"/>
        </w:rPr>
        <w:t>Yener</w:t>
      </w:r>
      <w:proofErr w:type="spellEnd"/>
      <w:r w:rsidRPr="005F5E95">
        <w:rPr>
          <w:rFonts w:cs="Calibri"/>
          <w:color w:val="000000"/>
          <w:lang w:val="en-US" w:bidi="th-TH"/>
        </w:rPr>
        <w:t xml:space="preserve"> et all (2014) </w:t>
      </w:r>
      <w:r>
        <w:rPr>
          <w:rFonts w:cs="Calibri"/>
          <w:color w:val="000000"/>
          <w:lang w:val="en-US" w:bidi="th-TH"/>
        </w:rPr>
        <w:t xml:space="preserve">found out that </w:t>
      </w:r>
      <w:r w:rsidRPr="005F5E95">
        <w:t xml:space="preserve">increase in banks' risk </w:t>
      </w:r>
      <w:r>
        <w:rPr>
          <w:lang w:val="en-US"/>
        </w:rPr>
        <w:t xml:space="preserve">might be due to </w:t>
      </w:r>
      <w:r w:rsidRPr="005F5E95">
        <w:t xml:space="preserve">unusually low interest rates </w:t>
      </w:r>
      <w:r>
        <w:rPr>
          <w:lang w:val="en-US"/>
        </w:rPr>
        <w:t>through</w:t>
      </w:r>
      <w:r w:rsidRPr="005F5E95">
        <w:t xml:space="preserve"> an extended period.</w:t>
      </w:r>
      <w:r>
        <w:rPr>
          <w:lang w:val="en-US"/>
        </w:rPr>
        <w:t xml:space="preserve"> During the financial crisis 2007-2009 in Viet Nam and global financial markets, high inflation causing high lending rates </w:t>
      </w:r>
      <w:proofErr w:type="gramStart"/>
      <w:r>
        <w:rPr>
          <w:lang w:val="en-US"/>
        </w:rPr>
        <w:t>have</w:t>
      </w:r>
      <w:proofErr w:type="gramEnd"/>
      <w:r>
        <w:rPr>
          <w:lang w:val="en-US"/>
        </w:rPr>
        <w:t xml:space="preserve"> created risks for many industries such as real estate and the whole economy. Mohamad et all (2014) </w:t>
      </w:r>
      <w:r>
        <w:t>show</w:t>
      </w:r>
      <w:r>
        <w:rPr>
          <w:lang w:val="en-US"/>
        </w:rPr>
        <w:t>ed</w:t>
      </w:r>
      <w:r>
        <w:t xml:space="preserve"> that financial risk is </w:t>
      </w:r>
      <w:r>
        <w:rPr>
          <w:lang w:val="en-US"/>
        </w:rPr>
        <w:t>vital through using</w:t>
      </w:r>
      <w:r>
        <w:t xml:space="preserve"> both </w:t>
      </w:r>
      <w:r>
        <w:rPr>
          <w:lang w:val="en-US"/>
        </w:rPr>
        <w:t>return on asset</w:t>
      </w:r>
      <w:r>
        <w:t xml:space="preserve"> and </w:t>
      </w:r>
      <w:r>
        <w:rPr>
          <w:lang w:val="en-US"/>
        </w:rPr>
        <w:t>return on equity</w:t>
      </w:r>
      <w:r>
        <w:t xml:space="preserve"> in the performance equation</w:t>
      </w:r>
      <w:r>
        <w:rPr>
          <w:lang w:val="en-US"/>
        </w:rPr>
        <w:t xml:space="preserve">. This result also implied that we cannot avoid </w:t>
      </w:r>
      <w:r>
        <w:t xml:space="preserve">the inverse relation of financial risk and performance; </w:t>
      </w:r>
      <w:r>
        <w:rPr>
          <w:lang w:val="en-US"/>
        </w:rPr>
        <w:t>therefore</w:t>
      </w:r>
      <w:r>
        <w:t xml:space="preserve">, </w:t>
      </w:r>
      <w:r>
        <w:rPr>
          <w:lang w:val="en-US"/>
        </w:rPr>
        <w:t>bank system would be better to make</w:t>
      </w:r>
      <w:r>
        <w:t xml:space="preserve"> a trade-off between risk and performance</w:t>
      </w:r>
      <w:r>
        <w:rPr>
          <w:lang w:val="en-US"/>
        </w:rPr>
        <w:t>.</w:t>
      </w:r>
    </w:p>
    <w:p w14:paraId="7BA1C5A0" w14:textId="77777777" w:rsidR="00357012" w:rsidRPr="00C45774" w:rsidRDefault="00357012" w:rsidP="00357012">
      <w:pPr>
        <w:spacing w:line="240" w:lineRule="auto"/>
        <w:rPr>
          <w:rFonts w:cstheme="minorHAnsi"/>
          <w:i/>
          <w:lang w:val="en-US"/>
        </w:rPr>
      </w:pPr>
      <w:r>
        <w:rPr>
          <w:lang w:val="en-US"/>
        </w:rPr>
        <w:t xml:space="preserve">In Viet Nam and other developing countries, banks operate based on money borrowing from financial markets and depositors or investors, also there is cross-ownership between banks. Next, </w:t>
      </w:r>
      <w:r w:rsidRPr="005F5E95">
        <w:t xml:space="preserve">Emilios (2015) mentioned that the leverage cycle </w:t>
      </w:r>
      <w:r>
        <w:rPr>
          <w:lang w:val="en-US"/>
        </w:rPr>
        <w:t xml:space="preserve">might cause financial instability </w:t>
      </w:r>
      <w:proofErr w:type="gramStart"/>
      <w:r>
        <w:rPr>
          <w:lang w:val="en-US"/>
        </w:rPr>
        <w:t>and also</w:t>
      </w:r>
      <w:proofErr w:type="gramEnd"/>
      <w:r>
        <w:rPr>
          <w:lang w:val="en-US"/>
        </w:rPr>
        <w:t xml:space="preserve"> the effect</w:t>
      </w:r>
      <w:r w:rsidRPr="00C45774">
        <w:t xml:space="preserve"> </w:t>
      </w:r>
      <w:r w:rsidRPr="005F5E95">
        <w:t>of leverage restraints on good bank governance and allocative efficiency</w:t>
      </w:r>
      <w:r>
        <w:rPr>
          <w:lang w:val="en-US"/>
        </w:rPr>
        <w:t>.</w:t>
      </w:r>
    </w:p>
    <w:p w14:paraId="0827870F" w14:textId="77777777" w:rsidR="00357012" w:rsidRPr="005F5E95" w:rsidRDefault="00357012" w:rsidP="00357012">
      <w:pPr>
        <w:spacing w:line="240" w:lineRule="auto"/>
        <w:rPr>
          <w:lang w:val="en-US"/>
        </w:rPr>
      </w:pPr>
      <w:proofErr w:type="spellStart"/>
      <w:r w:rsidRPr="005F5E95">
        <w:rPr>
          <w:rFonts w:cstheme="minorHAnsi"/>
          <w:lang w:val="en-US"/>
        </w:rPr>
        <w:t>Atousa</w:t>
      </w:r>
      <w:proofErr w:type="spellEnd"/>
      <w:r w:rsidRPr="005F5E95">
        <w:rPr>
          <w:rFonts w:cstheme="minorHAnsi"/>
          <w:lang w:val="en-US"/>
        </w:rPr>
        <w:t xml:space="preserve"> and </w:t>
      </w:r>
      <w:proofErr w:type="spellStart"/>
      <w:r w:rsidRPr="005F5E95">
        <w:rPr>
          <w:rFonts w:cstheme="minorHAnsi"/>
          <w:lang w:val="en-US"/>
        </w:rPr>
        <w:t>Shima</w:t>
      </w:r>
      <w:proofErr w:type="spellEnd"/>
      <w:r w:rsidRPr="005F5E95">
        <w:rPr>
          <w:rFonts w:cstheme="minorHAnsi"/>
          <w:lang w:val="en-US"/>
        </w:rPr>
        <w:t xml:space="preserve"> (2015) found out </w:t>
      </w:r>
      <w:r w:rsidRPr="005F5E95">
        <w:rPr>
          <w:rStyle w:val="Emphasis"/>
          <w:rFonts w:cstheme="minorHAnsi"/>
          <w:i w:val="0"/>
          <w:color w:val="333333"/>
        </w:rPr>
        <w:t xml:space="preserve">the economic growth </w:t>
      </w:r>
      <w:r>
        <w:rPr>
          <w:rStyle w:val="Emphasis"/>
          <w:rFonts w:cstheme="minorHAnsi"/>
          <w:i w:val="0"/>
          <w:color w:val="333333"/>
          <w:lang w:val="en-US"/>
        </w:rPr>
        <w:t xml:space="preserve">and </w:t>
      </w:r>
      <w:r w:rsidRPr="005F5E95">
        <w:rPr>
          <w:rStyle w:val="Emphasis"/>
          <w:rFonts w:cstheme="minorHAnsi"/>
          <w:i w:val="0"/>
          <w:color w:val="333333"/>
        </w:rPr>
        <w:t xml:space="preserve">life insurance sector growth </w:t>
      </w:r>
      <w:r>
        <w:rPr>
          <w:rStyle w:val="Emphasis"/>
          <w:rFonts w:cstheme="minorHAnsi"/>
          <w:i w:val="0"/>
          <w:color w:val="333333"/>
          <w:lang w:val="en-US"/>
        </w:rPr>
        <w:t>has positively correlated</w:t>
      </w:r>
      <w:r w:rsidRPr="005F5E95">
        <w:rPr>
          <w:rStyle w:val="Emphasis"/>
          <w:rFonts w:cstheme="minorHAnsi"/>
          <w:i w:val="0"/>
          <w:color w:val="333333"/>
          <w:lang w:val="en-US"/>
        </w:rPr>
        <w:t>.</w:t>
      </w:r>
      <w:r w:rsidRPr="005F5E95">
        <w:rPr>
          <w:rStyle w:val="Emphasis"/>
          <w:rFonts w:cstheme="minorHAnsi"/>
          <w:color w:val="333333"/>
          <w:lang w:val="en-US"/>
        </w:rPr>
        <w:t xml:space="preserve"> </w:t>
      </w:r>
      <w:r w:rsidRPr="005F5E95">
        <w:rPr>
          <w:rFonts w:cstheme="minorHAnsi"/>
        </w:rPr>
        <w:t xml:space="preserve">Then, Gunarathna (2016) revealed that </w:t>
      </w:r>
      <w:r>
        <w:rPr>
          <w:rFonts w:cstheme="minorHAnsi"/>
          <w:lang w:val="en-US"/>
        </w:rPr>
        <w:t xml:space="preserve">whereas </w:t>
      </w:r>
      <w:r w:rsidRPr="005F5E95">
        <w:t xml:space="preserve">firm size negatively </w:t>
      </w:r>
      <w:r>
        <w:rPr>
          <w:lang w:val="en-US"/>
        </w:rPr>
        <w:t>impact</w:t>
      </w:r>
      <w:r w:rsidRPr="005F5E95">
        <w:t xml:space="preserve">s </w:t>
      </w:r>
      <w:r>
        <w:rPr>
          <w:lang w:val="en-US"/>
        </w:rPr>
        <w:t xml:space="preserve">on </w:t>
      </w:r>
      <w:r w:rsidRPr="005F5E95">
        <w:t>the financial risk</w:t>
      </w:r>
      <w:r>
        <w:rPr>
          <w:lang w:val="en-US"/>
        </w:rPr>
        <w:t xml:space="preserve">, </w:t>
      </w:r>
      <w:r w:rsidRPr="005F5E95">
        <w:rPr>
          <w:rFonts w:cstheme="minorHAnsi"/>
        </w:rPr>
        <w:t xml:space="preserve">financial </w:t>
      </w:r>
      <w:r w:rsidRPr="005F5E95">
        <w:t xml:space="preserve">leverage </w:t>
      </w:r>
      <w:r>
        <w:rPr>
          <w:lang w:val="en-US"/>
        </w:rPr>
        <w:t>and</w:t>
      </w:r>
      <w:r w:rsidRPr="005F5E95">
        <w:t xml:space="preserve"> financial risk</w:t>
      </w:r>
      <w:r>
        <w:rPr>
          <w:lang w:val="en-US"/>
        </w:rPr>
        <w:t xml:space="preserve"> has positive relationship</w:t>
      </w:r>
      <w:r w:rsidRPr="005F5E95">
        <w:t xml:space="preserve">. </w:t>
      </w:r>
    </w:p>
    <w:p w14:paraId="6F750EB5" w14:textId="77777777" w:rsidR="00357012" w:rsidRPr="005F5E95" w:rsidRDefault="00357012" w:rsidP="00357012">
      <w:pPr>
        <w:spacing w:line="240" w:lineRule="auto"/>
        <w:rPr>
          <w:lang w:val="en-US"/>
        </w:rPr>
      </w:pPr>
      <w:proofErr w:type="spellStart"/>
      <w:r w:rsidRPr="005F5E95">
        <w:rPr>
          <w:lang w:val="en-US"/>
        </w:rPr>
        <w:t>Aykut</w:t>
      </w:r>
      <w:proofErr w:type="spellEnd"/>
      <w:r w:rsidRPr="005F5E95">
        <w:rPr>
          <w:lang w:val="en-US"/>
        </w:rPr>
        <w:t xml:space="preserve"> (2016) </w:t>
      </w:r>
      <w:r w:rsidRPr="005F5E95">
        <w:t>suggest</w:t>
      </w:r>
      <w:r w:rsidRPr="005F5E95">
        <w:rPr>
          <w:lang w:val="en-US"/>
        </w:rPr>
        <w:t>ed</w:t>
      </w:r>
      <w:r>
        <w:t xml:space="preserve"> two </w:t>
      </w:r>
      <w:r>
        <w:rPr>
          <w:lang w:val="en-US"/>
        </w:rPr>
        <w:t>major results</w:t>
      </w:r>
      <w:r w:rsidRPr="005F5E95">
        <w:t>: (i) Credit risk and F</w:t>
      </w:r>
      <w:proofErr w:type="spellStart"/>
      <w:r w:rsidRPr="005F5E95">
        <w:rPr>
          <w:lang w:val="en-US"/>
        </w:rPr>
        <w:t>oreign</w:t>
      </w:r>
      <w:proofErr w:type="spellEnd"/>
      <w:r w:rsidRPr="005F5E95">
        <w:rPr>
          <w:lang w:val="en-US"/>
        </w:rPr>
        <w:t xml:space="preserve"> exchange</w:t>
      </w:r>
      <w:r w:rsidRPr="005F5E95">
        <w:t xml:space="preserve"> rate </w:t>
      </w:r>
      <w:r>
        <w:rPr>
          <w:lang w:val="en-US"/>
        </w:rPr>
        <w:t>are positively correlated</w:t>
      </w:r>
      <w:r w:rsidRPr="005F5E95">
        <w:t xml:space="preserve">, </w:t>
      </w:r>
      <w:r>
        <w:rPr>
          <w:lang w:val="en-US"/>
        </w:rPr>
        <w:t>while</w:t>
      </w:r>
      <w:r w:rsidRPr="005F5E95">
        <w:t xml:space="preserve"> </w:t>
      </w:r>
      <w:r>
        <w:rPr>
          <w:lang w:val="en-US"/>
        </w:rPr>
        <w:t xml:space="preserve">banking sector has been affected not much by </w:t>
      </w:r>
      <w:r w:rsidRPr="005F5E95">
        <w:t xml:space="preserve">interest rate, (ii) conditional bank stock return volatility </w:t>
      </w:r>
      <w:r>
        <w:rPr>
          <w:lang w:val="en-US"/>
        </w:rPr>
        <w:t xml:space="preserve">has been affected positively and significantly by </w:t>
      </w:r>
      <w:r w:rsidRPr="005F5E95">
        <w:t>credit and market risk</w:t>
      </w:r>
      <w:r w:rsidRPr="005F5E95">
        <w:rPr>
          <w:lang w:val="en-US"/>
        </w:rPr>
        <w:t xml:space="preserve">. </w:t>
      </w:r>
      <w:r>
        <w:rPr>
          <w:lang w:val="en-US"/>
        </w:rPr>
        <w:t xml:space="preserve">Then, </w:t>
      </w:r>
      <w:proofErr w:type="spellStart"/>
      <w:r>
        <w:rPr>
          <w:lang w:val="en-US"/>
        </w:rPr>
        <w:t>Mojtaba</w:t>
      </w:r>
      <w:proofErr w:type="spellEnd"/>
      <w:r>
        <w:rPr>
          <w:lang w:val="en-US"/>
        </w:rPr>
        <w:t xml:space="preserve"> and </w:t>
      </w:r>
      <w:proofErr w:type="spellStart"/>
      <w:r>
        <w:rPr>
          <w:lang w:val="en-US"/>
        </w:rPr>
        <w:t>Davoud</w:t>
      </w:r>
      <w:proofErr w:type="spellEnd"/>
      <w:r>
        <w:rPr>
          <w:lang w:val="en-US"/>
        </w:rPr>
        <w:t xml:space="preserve"> (2016) generated results </w:t>
      </w:r>
      <w:r>
        <w:t>show</w:t>
      </w:r>
      <w:proofErr w:type="spellStart"/>
      <w:r>
        <w:rPr>
          <w:lang w:val="en-US"/>
        </w:rPr>
        <w:t>ing</w:t>
      </w:r>
      <w:proofErr w:type="spellEnd"/>
      <w:r>
        <w:t xml:space="preserve"> that private banks </w:t>
      </w:r>
      <w:r>
        <w:rPr>
          <w:lang w:val="en-US"/>
        </w:rPr>
        <w:t xml:space="preserve">are less successful </w:t>
      </w:r>
      <w:r>
        <w:t>in using risk management tools in compared with</w:t>
      </w:r>
      <w:r>
        <w:rPr>
          <w:lang w:val="en-US"/>
        </w:rPr>
        <w:t xml:space="preserve"> public banks</w:t>
      </w:r>
      <w:r>
        <w:t xml:space="preserve">. </w:t>
      </w:r>
    </w:p>
    <w:p w14:paraId="78C221CC" w14:textId="77777777" w:rsidR="00357012" w:rsidRPr="00CE6B1D" w:rsidRDefault="00357012" w:rsidP="00357012">
      <w:pPr>
        <w:spacing w:line="240" w:lineRule="auto"/>
        <w:rPr>
          <w:lang w:val="en-US"/>
        </w:rPr>
      </w:pPr>
      <w:r>
        <w:rPr>
          <w:lang w:val="en-US"/>
        </w:rPr>
        <w:t xml:space="preserve">Over past years, monetary policies have certain impacts on bank system. </w:t>
      </w:r>
      <w:proofErr w:type="gramStart"/>
      <w:r w:rsidRPr="005F5E95">
        <w:rPr>
          <w:lang w:val="en-US"/>
        </w:rPr>
        <w:t>Last but not least</w:t>
      </w:r>
      <w:proofErr w:type="gramEnd"/>
      <w:r w:rsidRPr="005F5E95">
        <w:rPr>
          <w:lang w:val="en-US"/>
        </w:rPr>
        <w:t>, Riet (2017) mentioned that a</w:t>
      </w:r>
      <w:r>
        <w:t>fter the euro area crisis</w:t>
      </w:r>
      <w:r>
        <w:rPr>
          <w:lang w:val="en-US"/>
        </w:rPr>
        <w:t>,</w:t>
      </w:r>
      <w:r w:rsidRPr="005F5E95">
        <w:t xml:space="preserve"> the ECB still </w:t>
      </w:r>
      <w:r>
        <w:rPr>
          <w:lang w:val="en-US"/>
        </w:rPr>
        <w:t>solved</w:t>
      </w:r>
      <w:r w:rsidRPr="005F5E95">
        <w:t xml:space="preserve"> a series of complex monetary policy challenges. </w:t>
      </w:r>
      <w:r>
        <w:rPr>
          <w:lang w:val="en-US"/>
        </w:rPr>
        <w:t>F</w:t>
      </w:r>
      <w:r w:rsidRPr="005F5E95">
        <w:t xml:space="preserve">rom June 2014 </w:t>
      </w:r>
      <w:r>
        <w:rPr>
          <w:lang w:val="en-US"/>
        </w:rPr>
        <w:t xml:space="preserve">its task </w:t>
      </w:r>
      <w:r w:rsidRPr="005F5E95">
        <w:t>became to design a sufficiently strong monetary stimulus that could reach market segments that were deprived of credit at reasonable costs and to counter the risk of a too prolonged period of low inflation.</w:t>
      </w:r>
      <w:r>
        <w:rPr>
          <w:lang w:val="en-US"/>
        </w:rPr>
        <w:t xml:space="preserve"> Hami (2017) </w:t>
      </w:r>
      <w:r>
        <w:t>show</w:t>
      </w:r>
      <w:r>
        <w:rPr>
          <w:lang w:val="en-US"/>
        </w:rPr>
        <w:t>ed</w:t>
      </w:r>
      <w:r>
        <w:t xml:space="preserve"> that </w:t>
      </w:r>
      <w:r>
        <w:rPr>
          <w:lang w:val="en-US"/>
        </w:rPr>
        <w:t xml:space="preserve">financial depth has been affected negatively by </w:t>
      </w:r>
      <w:r>
        <w:t>inflation in Iran during the observation period.</w:t>
      </w:r>
      <w:r>
        <w:rPr>
          <w:lang w:val="en-US"/>
        </w:rPr>
        <w:t xml:space="preserve">  </w:t>
      </w:r>
    </w:p>
    <w:p w14:paraId="4A978C9D" w14:textId="77777777" w:rsidR="00357012" w:rsidRPr="006B3543" w:rsidRDefault="00357012" w:rsidP="00357012">
      <w:pPr>
        <w:spacing w:line="240" w:lineRule="auto"/>
      </w:pPr>
      <w:r w:rsidRPr="005F5E95">
        <w:rPr>
          <w:lang w:val="en-US"/>
        </w:rPr>
        <w:t xml:space="preserve">Finally, </w:t>
      </w:r>
      <w:proofErr w:type="spellStart"/>
      <w:r w:rsidRPr="005F5E95">
        <w:rPr>
          <w:lang w:val="en-US"/>
        </w:rPr>
        <w:t>Chizoba</w:t>
      </w:r>
      <w:proofErr w:type="spellEnd"/>
      <w:r w:rsidRPr="005F5E95">
        <w:rPr>
          <w:lang w:val="en-US"/>
        </w:rPr>
        <w:t xml:space="preserve"> et all (2018) </w:t>
      </w:r>
      <w:r>
        <w:rPr>
          <w:lang w:val="en-US"/>
        </w:rPr>
        <w:t xml:space="preserve">figured out that </w:t>
      </w:r>
      <w:r w:rsidRPr="005F5E95">
        <w:t>inflation rate</w:t>
      </w:r>
      <w:r>
        <w:rPr>
          <w:lang w:val="en-US"/>
        </w:rPr>
        <w:t xml:space="preserve"> and insurance penetration</w:t>
      </w:r>
      <w:r w:rsidRPr="005F5E95">
        <w:t xml:space="preserve"> had a positive </w:t>
      </w:r>
      <w:r>
        <w:rPr>
          <w:lang w:val="en-US"/>
        </w:rPr>
        <w:t>correlation in</w:t>
      </w:r>
      <w:r w:rsidRPr="005F5E95">
        <w:t xml:space="preserve"> the Nigerian insurance industry. </w:t>
      </w:r>
      <w:r>
        <w:rPr>
          <w:lang w:val="en-US"/>
        </w:rPr>
        <w:t xml:space="preserve"> </w:t>
      </w:r>
    </w:p>
    <w:p w14:paraId="1DA61EA0" w14:textId="77777777" w:rsidR="00FD6EAD" w:rsidRPr="006B3543" w:rsidRDefault="00FD6EAD" w:rsidP="00FD6EAD">
      <w:pPr>
        <w:spacing w:line="240" w:lineRule="auto"/>
      </w:pPr>
    </w:p>
    <w:p w14:paraId="08F198A0" w14:textId="77777777" w:rsidR="00FD6EAD" w:rsidRDefault="00FD6EAD" w:rsidP="00FD6EAD">
      <w:pPr>
        <w:spacing w:line="240" w:lineRule="auto"/>
        <w:rPr>
          <w:rFonts w:cs="Calibri"/>
          <w:b/>
          <w:bCs/>
          <w:color w:val="000000"/>
          <w:lang w:val="en-US" w:bidi="th-TH"/>
        </w:rPr>
      </w:pPr>
      <w:r w:rsidRPr="00F03418">
        <w:rPr>
          <w:b/>
          <w:szCs w:val="24"/>
        </w:rPr>
        <w:t>2.</w:t>
      </w:r>
      <w:r>
        <w:rPr>
          <w:b/>
          <w:szCs w:val="24"/>
        </w:rPr>
        <w:t>3</w:t>
      </w:r>
      <w:r w:rsidRPr="00F03418">
        <w:rPr>
          <w:b/>
          <w:sz w:val="28"/>
          <w:szCs w:val="28"/>
        </w:rPr>
        <w:t xml:space="preserve"> </w:t>
      </w:r>
      <w:r w:rsidRPr="00E018E9">
        <w:rPr>
          <w:rFonts w:cs="Calibri"/>
          <w:b/>
          <w:bCs/>
          <w:color w:val="000000"/>
          <w:lang w:bidi="th-TH"/>
        </w:rPr>
        <w:t xml:space="preserve">Conceptual theories </w:t>
      </w:r>
    </w:p>
    <w:p w14:paraId="3778E3F4" w14:textId="77777777" w:rsidR="00454701" w:rsidRPr="001C1902" w:rsidRDefault="005A2357" w:rsidP="00FD6EAD">
      <w:pPr>
        <w:spacing w:line="240" w:lineRule="auto"/>
        <w:rPr>
          <w:rFonts w:ascii="Arial" w:hAnsi="Arial" w:cs="Arial"/>
          <w:color w:val="222222"/>
          <w:sz w:val="21"/>
          <w:szCs w:val="21"/>
          <w:shd w:val="clear" w:color="auto" w:fill="FFFFFF"/>
          <w:lang w:val="en-US"/>
        </w:rPr>
      </w:pPr>
      <w:r w:rsidRPr="00167EDE">
        <w:rPr>
          <w:rFonts w:cs="Calibri"/>
          <w:bCs/>
          <w:color w:val="000000"/>
          <w:lang w:val="en-US" w:bidi="th-TH"/>
        </w:rPr>
        <w:t>Positive sides of low inflation:</w:t>
      </w:r>
      <w:r w:rsidRPr="00167EDE">
        <w:rPr>
          <w:rStyle w:val="apple-converted-space"/>
          <w:rFonts w:ascii="Arial" w:hAnsi="Arial" w:cs="Arial"/>
          <w:color w:val="222222"/>
          <w:sz w:val="21"/>
          <w:szCs w:val="21"/>
          <w:shd w:val="clear" w:color="auto" w:fill="FFFFFF"/>
        </w:rPr>
        <w:t> </w:t>
      </w:r>
      <w:r w:rsidRPr="00167EDE">
        <w:rPr>
          <w:rFonts w:ascii="Arial" w:hAnsi="Arial" w:cs="Arial"/>
          <w:color w:val="222222"/>
          <w:sz w:val="21"/>
          <w:szCs w:val="21"/>
          <w:shd w:val="clear" w:color="auto" w:fill="FFFFFF"/>
        </w:rPr>
        <w:t>Low (</w:t>
      </w:r>
      <w:r w:rsidR="00167EDE">
        <w:rPr>
          <w:rFonts w:ascii="Arial" w:hAnsi="Arial" w:cs="Arial"/>
          <w:color w:val="222222"/>
          <w:sz w:val="21"/>
          <w:szCs w:val="21"/>
          <w:shd w:val="clear" w:color="auto" w:fill="FFFFFF"/>
          <w:lang w:val="en-US"/>
        </w:rPr>
        <w:t>not</w:t>
      </w:r>
      <w:r w:rsidRPr="00167EDE">
        <w:rPr>
          <w:rFonts w:ascii="Arial" w:hAnsi="Arial" w:cs="Arial"/>
          <w:color w:val="222222"/>
          <w:sz w:val="21"/>
          <w:szCs w:val="21"/>
          <w:shd w:val="clear" w:color="auto" w:fill="FFFFFF"/>
        </w:rPr>
        <w:t xml:space="preserve"> </w:t>
      </w:r>
      <w:r w:rsidR="00167EDE">
        <w:rPr>
          <w:rFonts w:ascii="Arial" w:hAnsi="Arial" w:cs="Arial"/>
          <w:color w:val="222222"/>
          <w:sz w:val="21"/>
          <w:szCs w:val="21"/>
          <w:shd w:val="clear" w:color="auto" w:fill="FFFFFF"/>
          <w:lang w:val="en-US"/>
        </w:rPr>
        <w:t>negative</w:t>
      </w:r>
      <w:r w:rsidRPr="00167EDE">
        <w:rPr>
          <w:rFonts w:ascii="Arial" w:hAnsi="Arial" w:cs="Arial"/>
          <w:color w:val="222222"/>
          <w:sz w:val="21"/>
          <w:szCs w:val="21"/>
          <w:shd w:val="clear" w:color="auto" w:fill="FFFFFF"/>
        </w:rPr>
        <w:t xml:space="preserve">) inflation reduces the </w:t>
      </w:r>
      <w:r w:rsidR="00167EDE">
        <w:rPr>
          <w:rFonts w:ascii="Arial" w:hAnsi="Arial" w:cs="Arial"/>
          <w:color w:val="222222"/>
          <w:sz w:val="21"/>
          <w:szCs w:val="21"/>
          <w:shd w:val="clear" w:color="auto" w:fill="FFFFFF"/>
          <w:lang w:val="en-US"/>
        </w:rPr>
        <w:t>potential of economic recession</w:t>
      </w:r>
      <w:r>
        <w:rPr>
          <w:rStyle w:val="apple-converted-space"/>
          <w:rFonts w:ascii="Arial" w:hAnsi="Arial" w:cs="Arial"/>
          <w:color w:val="222222"/>
          <w:sz w:val="21"/>
          <w:szCs w:val="21"/>
          <w:shd w:val="clear" w:color="auto" w:fill="FFFFFF"/>
        </w:rPr>
        <w:t> </w:t>
      </w:r>
      <w:r>
        <w:rPr>
          <w:rFonts w:ascii="Arial" w:hAnsi="Arial" w:cs="Arial"/>
          <w:color w:val="222222"/>
          <w:sz w:val="21"/>
          <w:szCs w:val="21"/>
          <w:shd w:val="clear" w:color="auto" w:fill="FFFFFF"/>
        </w:rPr>
        <w:t>by enabling the labor market to adjust more quickly in a downturn, and reduces the risk that a</w:t>
      </w:r>
      <w:r>
        <w:rPr>
          <w:rStyle w:val="apple-converted-space"/>
          <w:rFonts w:ascii="Arial" w:hAnsi="Arial" w:cs="Arial"/>
          <w:color w:val="222222"/>
          <w:sz w:val="21"/>
          <w:szCs w:val="21"/>
          <w:shd w:val="clear" w:color="auto" w:fill="FFFFFF"/>
        </w:rPr>
        <w:t> </w:t>
      </w:r>
      <w:r w:rsidR="00167EDE">
        <w:rPr>
          <w:rFonts w:ascii="Arial" w:hAnsi="Arial" w:cs="Arial"/>
          <w:sz w:val="21"/>
          <w:szCs w:val="21"/>
          <w:shd w:val="clear" w:color="auto" w:fill="FFFFFF"/>
          <w:lang w:val="en-US"/>
        </w:rPr>
        <w:t xml:space="preserve">liquidity </w:t>
      </w:r>
      <w:r w:rsidR="00167EDE">
        <w:rPr>
          <w:lang w:val="en-US"/>
        </w:rPr>
        <w:t>trap</w:t>
      </w:r>
      <w:r>
        <w:rPr>
          <w:rStyle w:val="apple-converted-space"/>
          <w:rFonts w:ascii="Arial" w:hAnsi="Arial" w:cs="Arial"/>
          <w:color w:val="222222"/>
          <w:sz w:val="21"/>
          <w:szCs w:val="21"/>
          <w:shd w:val="clear" w:color="auto" w:fill="FFFFFF"/>
        </w:rPr>
        <w:t> </w:t>
      </w:r>
      <w:r>
        <w:rPr>
          <w:rFonts w:ascii="Arial" w:hAnsi="Arial" w:cs="Arial"/>
          <w:color w:val="222222"/>
          <w:sz w:val="21"/>
          <w:szCs w:val="21"/>
          <w:shd w:val="clear" w:color="auto" w:fill="FFFFFF"/>
        </w:rPr>
        <w:t>prevents</w:t>
      </w:r>
      <w:r w:rsidR="00167EDE">
        <w:rPr>
          <w:rFonts w:ascii="Arial" w:hAnsi="Arial" w:cs="Arial"/>
          <w:color w:val="222222"/>
          <w:sz w:val="21"/>
          <w:szCs w:val="21"/>
          <w:shd w:val="clear" w:color="auto" w:fill="FFFFFF"/>
          <w:lang w:val="en-US"/>
        </w:rPr>
        <w:t xml:space="preserve"> monetary policy </w:t>
      </w:r>
      <w:r>
        <w:rPr>
          <w:rFonts w:ascii="Arial" w:hAnsi="Arial" w:cs="Arial"/>
          <w:color w:val="222222"/>
          <w:sz w:val="21"/>
          <w:szCs w:val="21"/>
          <w:shd w:val="clear" w:color="auto" w:fill="FFFFFF"/>
        </w:rPr>
        <w:t>from stabilizing the economy.</w:t>
      </w:r>
      <w:r w:rsidR="001C1902">
        <w:rPr>
          <w:rFonts w:ascii="Arial" w:hAnsi="Arial" w:cs="Arial"/>
          <w:color w:val="222222"/>
          <w:sz w:val="21"/>
          <w:szCs w:val="21"/>
          <w:shd w:val="clear" w:color="auto" w:fill="FFFFFF"/>
          <w:lang w:val="en-US"/>
        </w:rPr>
        <w:t xml:space="preserve"> This is explaining why many economists nowadays prefer a low and stable rate of inflation. </w:t>
      </w:r>
      <w:r w:rsidR="00302D0D">
        <w:rPr>
          <w:rFonts w:ascii="Arial" w:hAnsi="Arial" w:cs="Arial"/>
          <w:color w:val="222222"/>
          <w:sz w:val="21"/>
          <w:szCs w:val="21"/>
          <w:shd w:val="clear" w:color="auto" w:fill="FFFFFF"/>
          <w:lang w:val="en-US"/>
        </w:rPr>
        <w:t>It will hel</w:t>
      </w:r>
      <w:r w:rsidR="00B25166">
        <w:rPr>
          <w:rFonts w:ascii="Arial" w:hAnsi="Arial" w:cs="Arial"/>
          <w:color w:val="222222"/>
          <w:sz w:val="21"/>
          <w:szCs w:val="21"/>
          <w:shd w:val="clear" w:color="auto" w:fill="FFFFFF"/>
          <w:lang w:val="en-US"/>
        </w:rPr>
        <w:t>p</w:t>
      </w:r>
      <w:r w:rsidR="00302D0D">
        <w:rPr>
          <w:rFonts w:ascii="Arial" w:hAnsi="Arial" w:cs="Arial"/>
          <w:color w:val="222222"/>
          <w:sz w:val="21"/>
          <w:szCs w:val="21"/>
          <w:shd w:val="clear" w:color="auto" w:fill="FFFFFF"/>
          <w:lang w:val="en-US"/>
        </w:rPr>
        <w:t xml:space="preserve"> investment, encourage exports and prevent boom economy. </w:t>
      </w:r>
    </w:p>
    <w:p w14:paraId="33CDD977" w14:textId="77777777" w:rsidR="005A2357" w:rsidRPr="00FC0F97" w:rsidRDefault="005A2357" w:rsidP="00FC0F97">
      <w:pPr>
        <w:pStyle w:val="HTMLPreformatted"/>
        <w:shd w:val="clear" w:color="auto" w:fill="FFFFFF"/>
        <w:rPr>
          <w:rFonts w:asciiTheme="minorHAnsi" w:hAnsiTheme="minorHAnsi" w:cstheme="minorHAnsi"/>
          <w:color w:val="222222"/>
          <w:sz w:val="22"/>
          <w:szCs w:val="22"/>
          <w:shd w:val="clear" w:color="auto" w:fill="FFFFFF"/>
        </w:rPr>
      </w:pPr>
      <w:r w:rsidRPr="00FC0F97">
        <w:rPr>
          <w:rFonts w:asciiTheme="minorHAnsi" w:hAnsiTheme="minorHAnsi" w:cstheme="minorHAnsi"/>
          <w:color w:val="222222"/>
          <w:sz w:val="22"/>
          <w:szCs w:val="22"/>
          <w:shd w:val="clear" w:color="auto" w:fill="FFFFFF"/>
          <w:lang w:val="en-US"/>
        </w:rPr>
        <w:t xml:space="preserve">Negative side of low inflation: </w:t>
      </w:r>
      <w:r w:rsidR="006E7EBD" w:rsidRPr="00FC0F97">
        <w:rPr>
          <w:rFonts w:asciiTheme="minorHAnsi" w:hAnsiTheme="minorHAnsi" w:cstheme="minorHAnsi"/>
          <w:color w:val="222222"/>
          <w:sz w:val="22"/>
          <w:szCs w:val="22"/>
          <w:shd w:val="clear" w:color="auto" w:fill="FFFFFF"/>
          <w:lang w:val="en-US"/>
        </w:rPr>
        <w:t>it leads to low aggregate demand</w:t>
      </w:r>
      <w:r w:rsidR="00940F9A" w:rsidRPr="00FC0F97">
        <w:rPr>
          <w:rFonts w:asciiTheme="minorHAnsi" w:hAnsiTheme="minorHAnsi" w:cstheme="minorHAnsi"/>
          <w:color w:val="222222"/>
          <w:sz w:val="22"/>
          <w:szCs w:val="22"/>
          <w:shd w:val="clear" w:color="auto" w:fill="FFFFFF"/>
          <w:lang w:val="en-US"/>
        </w:rPr>
        <w:t xml:space="preserve"> and economic growth</w:t>
      </w:r>
      <w:r w:rsidR="006E7EBD" w:rsidRPr="00FC0F97">
        <w:rPr>
          <w:rFonts w:asciiTheme="minorHAnsi" w:hAnsiTheme="minorHAnsi" w:cstheme="minorHAnsi"/>
          <w:color w:val="222222"/>
          <w:sz w:val="22"/>
          <w:szCs w:val="22"/>
          <w:shd w:val="clear" w:color="auto" w:fill="FFFFFF"/>
          <w:lang w:val="en-US"/>
        </w:rPr>
        <w:t xml:space="preserve">, recession potential and high unemployment. </w:t>
      </w:r>
      <w:r w:rsidR="00FC0F97" w:rsidRPr="00FC0F97">
        <w:rPr>
          <w:rFonts w:asciiTheme="minorHAnsi" w:hAnsiTheme="minorHAnsi" w:cstheme="minorHAnsi"/>
          <w:color w:val="212121"/>
          <w:sz w:val="22"/>
          <w:szCs w:val="22"/>
        </w:rPr>
        <w:t>Production becomes less vibrant. Low inflation makes real wages higher. Workers can thus reduce the supply of labor and increase rest time. On the other hand, low product prices reduce production motivation.</w:t>
      </w:r>
    </w:p>
    <w:p w14:paraId="7B1C6B31" w14:textId="77777777" w:rsidR="001416E1" w:rsidRPr="00FC0F97" w:rsidRDefault="001416E1" w:rsidP="00FD6EAD">
      <w:pPr>
        <w:spacing w:line="240" w:lineRule="auto"/>
        <w:rPr>
          <w:rFonts w:cstheme="minorHAnsi"/>
          <w:color w:val="222222"/>
          <w:shd w:val="clear" w:color="auto" w:fill="FFFFFF"/>
          <w:lang w:val="en-US"/>
        </w:rPr>
      </w:pPr>
      <w:r w:rsidRPr="00FC0F97">
        <w:rPr>
          <w:rFonts w:cstheme="minorHAnsi"/>
          <w:color w:val="222222"/>
          <w:shd w:val="clear" w:color="auto" w:fill="FFFFFF"/>
          <w:lang w:val="en-US"/>
        </w:rPr>
        <w:lastRenderedPageBreak/>
        <w:t>The central bank can use monetary policies, for instance, increasing interest rates to reduce lending, control money supply or the Ministry of finance and the government can use tight fiscal policy</w:t>
      </w:r>
      <w:r w:rsidR="00787571" w:rsidRPr="00FC0F97">
        <w:rPr>
          <w:rFonts w:cstheme="minorHAnsi"/>
          <w:color w:val="222222"/>
          <w:shd w:val="clear" w:color="auto" w:fill="FFFFFF"/>
          <w:lang w:val="en-US"/>
        </w:rPr>
        <w:t xml:space="preserve"> (high tax)</w:t>
      </w:r>
      <w:r w:rsidRPr="00FC0F97">
        <w:rPr>
          <w:rFonts w:cstheme="minorHAnsi"/>
          <w:color w:val="222222"/>
          <w:shd w:val="clear" w:color="auto" w:fill="FFFFFF"/>
          <w:lang w:val="en-US"/>
        </w:rPr>
        <w:t xml:space="preserve"> to achieve low inflation. </w:t>
      </w:r>
    </w:p>
    <w:p w14:paraId="0C492327" w14:textId="77777777" w:rsidR="00760CEF" w:rsidRPr="00FC0F97" w:rsidRDefault="00760CEF" w:rsidP="00FD6EAD">
      <w:pPr>
        <w:spacing w:line="240" w:lineRule="auto"/>
        <w:rPr>
          <w:rFonts w:cstheme="minorHAnsi"/>
          <w:b/>
          <w:bCs/>
          <w:color w:val="000000"/>
          <w:lang w:val="en-US" w:bidi="th-TH"/>
        </w:rPr>
      </w:pPr>
      <w:r w:rsidRPr="00FC0F97">
        <w:rPr>
          <w:rFonts w:cstheme="minorHAnsi"/>
          <w:color w:val="222222"/>
          <w:shd w:val="clear" w:color="auto" w:fill="FFFFFF"/>
          <w:lang w:val="en-US"/>
        </w:rPr>
        <w:t xml:space="preserve">Financial and credit risk in the bank system can increase when the financial market becomes more active and bigger, esp. with more international linkage influence. </w:t>
      </w:r>
      <w:r w:rsidR="00F46C7A" w:rsidRPr="00FC0F97">
        <w:rPr>
          <w:rFonts w:cstheme="minorHAnsi"/>
          <w:color w:val="222222"/>
          <w:shd w:val="clear" w:color="auto" w:fill="FFFFFF"/>
          <w:lang w:val="en-US"/>
        </w:rPr>
        <w:t>Hence, central banks, commercial banks, organizations and the government need to organize data to analyze and control these risks, including market risk.</w:t>
      </w:r>
    </w:p>
    <w:p w14:paraId="6CD63574" w14:textId="77777777" w:rsidR="00FD6EAD" w:rsidRDefault="00FD6EAD" w:rsidP="00FD6EAD">
      <w:pPr>
        <w:spacing w:line="240" w:lineRule="auto"/>
        <w:rPr>
          <w:rFonts w:cs="Calibri"/>
          <w:b/>
          <w:bCs/>
          <w:color w:val="000000"/>
          <w:lang w:bidi="th-TH"/>
        </w:rPr>
      </w:pPr>
      <w:r w:rsidRPr="00F03418">
        <w:rPr>
          <w:b/>
          <w:szCs w:val="24"/>
        </w:rPr>
        <w:t>2.</w:t>
      </w:r>
      <w:r>
        <w:rPr>
          <w:b/>
          <w:szCs w:val="24"/>
        </w:rPr>
        <w:t>4</w:t>
      </w:r>
      <w:r w:rsidRPr="00F03418">
        <w:rPr>
          <w:b/>
          <w:sz w:val="28"/>
          <w:szCs w:val="28"/>
        </w:rPr>
        <w:t xml:space="preserve"> </w:t>
      </w:r>
      <w:r w:rsidRPr="00E018E9">
        <w:rPr>
          <w:rFonts w:cs="Calibri"/>
          <w:b/>
          <w:bCs/>
          <w:color w:val="000000"/>
          <w:lang w:bidi="th-TH"/>
        </w:rPr>
        <w:t xml:space="preserve">Methodology </w:t>
      </w:r>
    </w:p>
    <w:p w14:paraId="70CD9C5F" w14:textId="77777777" w:rsidR="00FD6EAD" w:rsidRPr="006C387D" w:rsidRDefault="00FD6EAD" w:rsidP="00FD6EAD">
      <w:pPr>
        <w:spacing w:line="240" w:lineRule="auto"/>
        <w:rPr>
          <w:rFonts w:cs="Calibri"/>
          <w:lang w:bidi="th-TH"/>
        </w:rPr>
      </w:pPr>
      <w:r>
        <w:rPr>
          <w:rFonts w:cs="Calibri"/>
          <w:color w:val="000000"/>
          <w:lang w:bidi="th-TH"/>
        </w:rPr>
        <w:t>W</w:t>
      </w:r>
      <w:r w:rsidRPr="006C387D">
        <w:rPr>
          <w:rFonts w:cs="Calibri"/>
          <w:color w:val="000000"/>
          <w:lang w:bidi="th-TH"/>
        </w:rPr>
        <w:t xml:space="preserve">e use the data from the stock exchange market in Viet Nam (HOSE and HNX) during the </w:t>
      </w:r>
      <w:r w:rsidR="00EE0CFA">
        <w:rPr>
          <w:rFonts w:cs="Calibri"/>
          <w:color w:val="000000"/>
          <w:lang w:val="en-US" w:bidi="th-TH"/>
        </w:rPr>
        <w:t xml:space="preserve">financial crisis </w:t>
      </w:r>
      <w:r>
        <w:rPr>
          <w:rFonts w:cs="Calibri"/>
          <w:color w:val="000000"/>
          <w:lang w:bidi="th-TH"/>
        </w:rPr>
        <w:t>2007-20</w:t>
      </w:r>
      <w:r w:rsidR="00EE0CFA">
        <w:rPr>
          <w:rFonts w:cs="Calibri"/>
          <w:color w:val="000000"/>
          <w:lang w:val="en-US" w:bidi="th-TH"/>
        </w:rPr>
        <w:t>09</w:t>
      </w:r>
      <w:r w:rsidRPr="006C387D">
        <w:rPr>
          <w:rFonts w:cs="Calibri"/>
          <w:color w:val="000000"/>
          <w:lang w:bidi="th-TH"/>
        </w:rPr>
        <w:t xml:space="preserve"> period</w:t>
      </w:r>
      <w:r w:rsidR="00EE0CFA">
        <w:rPr>
          <w:rFonts w:cs="Calibri"/>
          <w:color w:val="000000"/>
          <w:lang w:val="en-US" w:bidi="th-TH"/>
        </w:rPr>
        <w:t xml:space="preserve"> and the post – low inflation time 2015-2017</w:t>
      </w:r>
      <w:r w:rsidRPr="006C387D">
        <w:rPr>
          <w:rFonts w:cs="Calibri"/>
          <w:color w:val="000000"/>
          <w:lang w:bidi="th-TH"/>
        </w:rPr>
        <w:t xml:space="preserve"> to estimate systemic risk results. </w:t>
      </w:r>
      <w:r w:rsidR="00EE0CFA">
        <w:rPr>
          <w:rFonts w:cs="Calibri"/>
          <w:color w:val="000000"/>
          <w:lang w:val="en-US" w:bidi="th-TH"/>
        </w:rPr>
        <w:t xml:space="preserve">We perform both fundamental data analysis and financial techniques to calculate equity and asset beta values. </w:t>
      </w:r>
      <w:r w:rsidRPr="006C387D">
        <w:rPr>
          <w:rFonts w:cs="Calibri"/>
          <w:lang w:bidi="th-TH"/>
        </w:rPr>
        <w:t xml:space="preserve"> </w:t>
      </w:r>
    </w:p>
    <w:p w14:paraId="1AF4E4D2" w14:textId="77777777" w:rsidR="00FD6EAD" w:rsidRPr="006C387D" w:rsidRDefault="00FD6EAD" w:rsidP="00FD6EAD">
      <w:pPr>
        <w:autoSpaceDE w:val="0"/>
        <w:autoSpaceDN w:val="0"/>
        <w:spacing w:after="120" w:line="240" w:lineRule="auto"/>
        <w:rPr>
          <w:rFonts w:cs="Calibri"/>
        </w:rPr>
      </w:pPr>
      <w:r w:rsidRPr="002B59AB">
        <w:rPr>
          <w:rFonts w:cs="Calibri"/>
        </w:rPr>
        <w:t xml:space="preserve">In this study, analytical research method and specially, </w:t>
      </w:r>
      <w:r w:rsidR="00EE0CFA">
        <w:rPr>
          <w:rFonts w:cs="Calibri"/>
          <w:lang w:val="en-US"/>
        </w:rPr>
        <w:t>comparative</w:t>
      </w:r>
      <w:r w:rsidRPr="002B59AB">
        <w:rPr>
          <w:rFonts w:cs="Calibri"/>
        </w:rPr>
        <w:t xml:space="preserve"> analysis</w:t>
      </w:r>
      <w:r w:rsidRPr="006C387D">
        <w:rPr>
          <w:rFonts w:cs="Calibri"/>
        </w:rPr>
        <w:t xml:space="preserve"> method is used</w:t>
      </w:r>
      <w:r>
        <w:rPr>
          <w:rFonts w:cs="Calibri"/>
        </w:rPr>
        <w:t>, combined with quantitative data analysis</w:t>
      </w:r>
      <w:r w:rsidRPr="006C387D">
        <w:rPr>
          <w:rFonts w:cs="Calibri"/>
        </w:rPr>
        <w:t xml:space="preserve">. </w:t>
      </w:r>
      <w:r>
        <w:rPr>
          <w:rFonts w:cs="Calibri"/>
        </w:rPr>
        <w:t>An</w:t>
      </w:r>
      <w:r w:rsidRPr="006C387D">
        <w:rPr>
          <w:rFonts w:cs="Calibri"/>
        </w:rPr>
        <w:t>alytical data is from the situation of listed real estate fi</w:t>
      </w:r>
      <w:r>
        <w:rPr>
          <w:rFonts w:cs="Calibri"/>
        </w:rPr>
        <w:t>rms in VN stock exchange</w:t>
      </w:r>
      <w:r w:rsidRPr="006C387D">
        <w:rPr>
          <w:rFonts w:cs="Calibri"/>
        </w:rPr>
        <w:t xml:space="preserve">. </w:t>
      </w:r>
    </w:p>
    <w:p w14:paraId="3FFB0CF4" w14:textId="77777777" w:rsidR="00FD6EAD" w:rsidRPr="006C387D" w:rsidRDefault="00FD6EAD" w:rsidP="00FD6EAD">
      <w:pPr>
        <w:spacing w:line="240" w:lineRule="auto"/>
        <w:rPr>
          <w:rFonts w:cs="Calibri"/>
          <w:color w:val="000000"/>
          <w:lang w:bidi="th-TH"/>
        </w:rPr>
      </w:pPr>
      <w:r w:rsidRPr="006C387D">
        <w:rPr>
          <w:rFonts w:cs="Calibri"/>
          <w:color w:val="000000"/>
          <w:lang w:bidi="th-TH"/>
        </w:rPr>
        <w:t>Finally, we use the results to suggest policy for both these enterprises, relevant organizations and government.</w:t>
      </w:r>
    </w:p>
    <w:p w14:paraId="1D2CBD1E" w14:textId="77777777" w:rsidR="00FD6EAD" w:rsidRPr="00F03418" w:rsidRDefault="00FD6EAD" w:rsidP="00FD6EAD">
      <w:pPr>
        <w:spacing w:line="240" w:lineRule="auto"/>
        <w:rPr>
          <w:b/>
          <w:sz w:val="28"/>
          <w:szCs w:val="28"/>
        </w:rPr>
      </w:pPr>
    </w:p>
    <w:p w14:paraId="585FDE85" w14:textId="77777777" w:rsidR="00FD6EAD" w:rsidRPr="000574E9" w:rsidRDefault="00FD6EAD" w:rsidP="00FD6EAD">
      <w:pPr>
        <w:spacing w:line="360" w:lineRule="auto"/>
        <w:rPr>
          <w:b/>
          <w:sz w:val="30"/>
          <w:szCs w:val="30"/>
        </w:rPr>
      </w:pPr>
      <w:r w:rsidRPr="000574E9">
        <w:rPr>
          <w:b/>
          <w:sz w:val="30"/>
          <w:szCs w:val="30"/>
        </w:rPr>
        <w:t xml:space="preserve">3  Main Results </w:t>
      </w:r>
    </w:p>
    <w:p w14:paraId="70E87E1D" w14:textId="77777777" w:rsidR="00FD6EAD" w:rsidRDefault="00FD6EAD" w:rsidP="00FD6EAD">
      <w:pPr>
        <w:spacing w:line="360" w:lineRule="auto"/>
      </w:pPr>
      <w:r>
        <w:rPr>
          <w:rFonts w:cs="Calibri"/>
          <w:b/>
          <w:bCs/>
          <w:color w:val="000000"/>
          <w:lang w:bidi="th-TH"/>
        </w:rPr>
        <w:t xml:space="preserve">3.1 </w:t>
      </w:r>
      <w:r w:rsidRPr="00E018E9">
        <w:rPr>
          <w:rFonts w:cs="Calibri"/>
          <w:b/>
          <w:bCs/>
          <w:color w:val="000000"/>
          <w:lang w:bidi="th-TH"/>
        </w:rPr>
        <w:t>General Data Analysis</w:t>
      </w:r>
      <w:r>
        <w:t xml:space="preserve"> </w:t>
      </w:r>
    </w:p>
    <w:p w14:paraId="223B0AA9" w14:textId="77777777" w:rsidR="00FD6EAD" w:rsidRPr="006C387D" w:rsidRDefault="00C224B5" w:rsidP="00FD6EAD">
      <w:pPr>
        <w:spacing w:line="240" w:lineRule="auto"/>
        <w:rPr>
          <w:rFonts w:cs="Calibri"/>
          <w:color w:val="000000"/>
          <w:lang w:bidi="th-TH"/>
        </w:rPr>
      </w:pPr>
      <w:r>
        <w:rPr>
          <w:rFonts w:cs="Calibri"/>
          <w:color w:val="000000"/>
          <w:lang w:val="en-US" w:bidi="th-TH"/>
        </w:rPr>
        <w:t>We get some analytical results form t</w:t>
      </w:r>
      <w:r w:rsidR="00FD6EAD" w:rsidRPr="006C387D">
        <w:rPr>
          <w:rFonts w:cs="Calibri"/>
          <w:color w:val="000000"/>
          <w:lang w:bidi="th-TH"/>
        </w:rPr>
        <w:t xml:space="preserve">he research sample </w:t>
      </w:r>
      <w:r>
        <w:rPr>
          <w:rFonts w:cs="Calibri"/>
          <w:color w:val="000000"/>
          <w:lang w:val="en-US" w:bidi="th-TH"/>
        </w:rPr>
        <w:t>with</w:t>
      </w:r>
      <w:r w:rsidR="00FD6EAD" w:rsidRPr="006C387D">
        <w:rPr>
          <w:rFonts w:cs="Calibri"/>
          <w:color w:val="000000"/>
          <w:lang w:bidi="th-TH"/>
        </w:rPr>
        <w:t xml:space="preserve"> </w:t>
      </w:r>
      <w:r w:rsidR="00FD6EAD">
        <w:rPr>
          <w:rFonts w:cs="Calibri"/>
          <w:color w:val="000000"/>
          <w:lang w:bidi="th-TH"/>
        </w:rPr>
        <w:t>9</w:t>
      </w:r>
      <w:r w:rsidR="00FD6EAD" w:rsidRPr="006C387D">
        <w:rPr>
          <w:rFonts w:cs="Calibri"/>
          <w:color w:val="000000"/>
          <w:lang w:bidi="th-TH"/>
        </w:rPr>
        <w:t xml:space="preserve"> listed firms in the </w:t>
      </w:r>
      <w:r w:rsidR="00FD6EAD">
        <w:rPr>
          <w:rFonts w:cs="Calibri"/>
          <w:color w:val="000000"/>
          <w:lang w:bidi="th-TH"/>
        </w:rPr>
        <w:t>banking</w:t>
      </w:r>
      <w:r w:rsidR="00FD6EAD" w:rsidRPr="006C387D">
        <w:rPr>
          <w:rFonts w:cs="Calibri"/>
          <w:color w:val="000000"/>
          <w:lang w:bidi="th-TH"/>
        </w:rPr>
        <w:t xml:space="preserve"> market with the live date from the stock exchange.</w:t>
      </w:r>
    </w:p>
    <w:p w14:paraId="4E14AD11" w14:textId="77777777" w:rsidR="00FD6EAD" w:rsidRDefault="00FD6EAD" w:rsidP="00FD6EAD">
      <w:pPr>
        <w:spacing w:line="360" w:lineRule="auto"/>
      </w:pPr>
      <w:r>
        <w:rPr>
          <w:rFonts w:cs="Calibri"/>
          <w:b/>
          <w:bCs/>
          <w:color w:val="000000"/>
          <w:lang w:bidi="th-TH"/>
        </w:rPr>
        <w:t xml:space="preserve">3.2 </w:t>
      </w:r>
      <w:r w:rsidRPr="00E018E9">
        <w:rPr>
          <w:rFonts w:cs="Calibri"/>
          <w:b/>
          <w:bCs/>
          <w:color w:val="000000"/>
          <w:lang w:bidi="th-TH"/>
        </w:rPr>
        <w:t>Empirical Research Findings and Discussion</w:t>
      </w:r>
      <w:r>
        <w:t xml:space="preserve"> </w:t>
      </w:r>
    </w:p>
    <w:p w14:paraId="0A403D72" w14:textId="77777777" w:rsidR="00FD6EAD" w:rsidRPr="00D14072" w:rsidRDefault="00FD6EAD" w:rsidP="00FD6EAD">
      <w:pPr>
        <w:autoSpaceDE w:val="0"/>
        <w:autoSpaceDN w:val="0"/>
        <w:spacing w:line="240" w:lineRule="auto"/>
        <w:ind w:right="-1151"/>
        <w:rPr>
          <w:rFonts w:cs="Calibri"/>
          <w:lang w:val="en-US"/>
        </w:rPr>
      </w:pPr>
      <w:r w:rsidRPr="0056524D">
        <w:rPr>
          <w:rFonts w:cs="Calibri"/>
        </w:rPr>
        <w:t xml:space="preserve">In the below section, data used are from total </w:t>
      </w:r>
      <w:r>
        <w:rPr>
          <w:rFonts w:cs="Calibri"/>
        </w:rPr>
        <w:t>9</w:t>
      </w:r>
      <w:r w:rsidRPr="0056524D">
        <w:rPr>
          <w:rFonts w:cs="Calibri"/>
        </w:rPr>
        <w:t xml:space="preserve"> listed </w:t>
      </w:r>
      <w:r>
        <w:rPr>
          <w:rFonts w:cs="Calibri"/>
        </w:rPr>
        <w:t>banking</w:t>
      </w:r>
      <w:r w:rsidRPr="0056524D">
        <w:rPr>
          <w:rFonts w:cs="Calibri"/>
        </w:rPr>
        <w:t xml:space="preserve"> industry companies on VN stock </w:t>
      </w:r>
      <w:r w:rsidRPr="002B59AB">
        <w:rPr>
          <w:rFonts w:cs="Calibri"/>
        </w:rPr>
        <w:t xml:space="preserve">exchange (HOSE and HNX mainly). </w:t>
      </w:r>
      <w:r w:rsidR="00D14072">
        <w:rPr>
          <w:rFonts w:cs="Calibri"/>
          <w:lang w:val="en-US"/>
        </w:rPr>
        <w:t>Different scenarios are a=created by comparing the calculation risk data between 2 periods: the post – low inflation period 2015-2017 and the financial crisis 2007-2009.</w:t>
      </w:r>
    </w:p>
    <w:p w14:paraId="5D81F0D7" w14:textId="77777777" w:rsidR="00FD6EAD" w:rsidRPr="001D0237" w:rsidRDefault="00FD6EAD" w:rsidP="00FD6EAD">
      <w:pPr>
        <w:autoSpaceDE w:val="0"/>
        <w:autoSpaceDN w:val="0"/>
        <w:spacing w:line="240" w:lineRule="auto"/>
        <w:ind w:right="-1151"/>
        <w:rPr>
          <w:rFonts w:cs="Calibri"/>
          <w:lang w:val="en-US"/>
        </w:rPr>
      </w:pPr>
      <w:r w:rsidRPr="0056524D">
        <w:rPr>
          <w:rFonts w:cs="Calibri"/>
        </w:rPr>
        <w:t>Market risk (beta) under the impact of tax rate, includes: 1) equity beta; and 2) asset beta.</w:t>
      </w:r>
      <w:r w:rsidR="001D0237">
        <w:rPr>
          <w:rFonts w:cs="Calibri"/>
          <w:lang w:val="en-US"/>
        </w:rPr>
        <w:t xml:space="preserve"> We model our data analysis as in the below figure:</w:t>
      </w:r>
    </w:p>
    <w:p w14:paraId="5D014B4F" w14:textId="77777777" w:rsidR="00FD6EAD" w:rsidRPr="004258DB" w:rsidRDefault="004258DB" w:rsidP="00FD6EAD">
      <w:pPr>
        <w:autoSpaceDE w:val="0"/>
        <w:autoSpaceDN w:val="0"/>
        <w:spacing w:line="360" w:lineRule="auto"/>
        <w:rPr>
          <w:rFonts w:cs="Calibri"/>
          <w:lang w:val="en-US"/>
        </w:rPr>
      </w:pPr>
      <w:r>
        <w:rPr>
          <w:rFonts w:cs="Calibri"/>
          <w:lang w:val="en-US"/>
        </w:rPr>
        <w:t>Figure</w:t>
      </w:r>
      <w:r w:rsidR="00FD6EAD" w:rsidRPr="0056524D">
        <w:rPr>
          <w:rFonts w:cs="Calibri"/>
        </w:rPr>
        <w:t xml:space="preserve"> 1 – Analyzing market risk under</w:t>
      </w:r>
      <w:r>
        <w:rPr>
          <w:rFonts w:cs="Calibri"/>
          <w:lang w:val="en-US"/>
        </w:rPr>
        <w:t xml:space="preserve"> two</w:t>
      </w:r>
      <w:r w:rsidR="00FD6EAD" w:rsidRPr="0056524D">
        <w:rPr>
          <w:rFonts w:cs="Calibri"/>
        </w:rPr>
        <w:t xml:space="preserve"> (</w:t>
      </w:r>
      <w:r>
        <w:rPr>
          <w:rFonts w:cs="Calibri"/>
          <w:lang w:val="en-US"/>
        </w:rPr>
        <w:t>2</w:t>
      </w:r>
      <w:r w:rsidR="00FD6EAD" w:rsidRPr="0056524D">
        <w:rPr>
          <w:rFonts w:cs="Calibri"/>
        </w:rPr>
        <w:t>) scenarios</w:t>
      </w:r>
      <w:r>
        <w:rPr>
          <w:rFonts w:cs="Calibri"/>
          <w:lang w:val="en-US"/>
        </w:rPr>
        <w:t>: post – low inflation period 2015-2017 compared to the financial crisis 2007-2009</w:t>
      </w:r>
    </w:p>
    <w:tbl>
      <w:tblPr>
        <w:tblW w:w="9242" w:type="dxa"/>
        <w:tblLook w:val="01E0" w:firstRow="1" w:lastRow="1" w:firstColumn="1" w:lastColumn="1" w:noHBand="0" w:noVBand="0"/>
      </w:tblPr>
      <w:tblGrid>
        <w:gridCol w:w="2971"/>
        <w:gridCol w:w="1587"/>
        <w:gridCol w:w="1522"/>
        <w:gridCol w:w="1501"/>
        <w:gridCol w:w="1661"/>
      </w:tblGrid>
      <w:tr w:rsidR="00AE724A" w:rsidRPr="00973924" w14:paraId="7A62EC2F" w14:textId="77777777" w:rsidTr="00AE724A">
        <w:tc>
          <w:tcPr>
            <w:tcW w:w="2971" w:type="dxa"/>
            <w:tcBorders>
              <w:top w:val="single" w:sz="4" w:space="0" w:color="auto"/>
              <w:left w:val="single" w:sz="4" w:space="0" w:color="auto"/>
              <w:bottom w:val="single" w:sz="4" w:space="0" w:color="auto"/>
              <w:right w:val="single" w:sz="4" w:space="0" w:color="auto"/>
            </w:tcBorders>
          </w:tcPr>
          <w:p w14:paraId="15B3026C" w14:textId="77777777" w:rsidR="00AE724A" w:rsidRPr="00973924" w:rsidRDefault="00AE724A" w:rsidP="00A6568A">
            <w:pPr>
              <w:pBdr>
                <w:left w:val="single" w:sz="18" w:space="1" w:color="auto"/>
              </w:pBdr>
              <w:shd w:val="pct10" w:color="auto" w:fill="auto"/>
              <w:autoSpaceDE w:val="0"/>
              <w:autoSpaceDN w:val="0"/>
              <w:spacing w:after="120" w:line="360" w:lineRule="auto"/>
              <w:rPr>
                <w:rFonts w:cs="Calibri"/>
                <w:b/>
                <w:noProof/>
              </w:rPr>
            </w:pPr>
          </w:p>
        </w:tc>
        <w:tc>
          <w:tcPr>
            <w:tcW w:w="1587" w:type="dxa"/>
            <w:tcBorders>
              <w:top w:val="single" w:sz="4" w:space="0" w:color="auto"/>
              <w:left w:val="single" w:sz="4" w:space="0" w:color="auto"/>
              <w:bottom w:val="single" w:sz="4" w:space="0" w:color="auto"/>
              <w:right w:val="single" w:sz="4" w:space="0" w:color="auto"/>
            </w:tcBorders>
          </w:tcPr>
          <w:p w14:paraId="0F70B238" w14:textId="77777777" w:rsidR="00AE724A" w:rsidRPr="004258DB" w:rsidRDefault="00AE724A" w:rsidP="00A6568A">
            <w:pPr>
              <w:pBdr>
                <w:left w:val="single" w:sz="18" w:space="1" w:color="auto"/>
              </w:pBdr>
              <w:shd w:val="pct10" w:color="auto" w:fill="auto"/>
              <w:autoSpaceDE w:val="0"/>
              <w:autoSpaceDN w:val="0"/>
              <w:spacing w:after="120" w:line="360" w:lineRule="auto"/>
              <w:rPr>
                <w:rFonts w:cs="Calibri"/>
                <w:b/>
                <w:noProof/>
                <w:lang w:val="en-US"/>
              </w:rPr>
            </w:pPr>
            <w:r>
              <w:rPr>
                <w:rFonts w:cs="Calibri"/>
                <w:b/>
                <w:noProof/>
                <w:lang w:val="en-US"/>
              </w:rPr>
              <w:t>Risk level (equity beta)</w:t>
            </w:r>
          </w:p>
        </w:tc>
        <w:tc>
          <w:tcPr>
            <w:tcW w:w="1522" w:type="dxa"/>
            <w:tcBorders>
              <w:top w:val="single" w:sz="4" w:space="0" w:color="auto"/>
              <w:left w:val="single" w:sz="4" w:space="0" w:color="auto"/>
              <w:bottom w:val="single" w:sz="4" w:space="0" w:color="auto"/>
              <w:right w:val="single" w:sz="4" w:space="0" w:color="auto"/>
            </w:tcBorders>
          </w:tcPr>
          <w:p w14:paraId="7171BEAB" w14:textId="77777777" w:rsidR="00AE724A" w:rsidRPr="00973924" w:rsidRDefault="00AE724A" w:rsidP="004258DB">
            <w:pPr>
              <w:pBdr>
                <w:left w:val="single" w:sz="18" w:space="1" w:color="auto"/>
              </w:pBdr>
              <w:shd w:val="pct10" w:color="auto" w:fill="auto"/>
              <w:autoSpaceDE w:val="0"/>
              <w:autoSpaceDN w:val="0"/>
              <w:spacing w:after="120" w:line="360" w:lineRule="auto"/>
              <w:rPr>
                <w:rFonts w:cs="Calibri"/>
                <w:b/>
                <w:noProof/>
              </w:rPr>
            </w:pPr>
            <w:r>
              <w:rPr>
                <w:rFonts w:cs="Calibri"/>
                <w:b/>
                <w:noProof/>
                <w:lang w:val="en-US"/>
              </w:rPr>
              <w:t>Risk level (asset beta)</w:t>
            </w:r>
          </w:p>
        </w:tc>
        <w:tc>
          <w:tcPr>
            <w:tcW w:w="1501" w:type="dxa"/>
            <w:tcBorders>
              <w:top w:val="single" w:sz="4" w:space="0" w:color="auto"/>
              <w:left w:val="single" w:sz="4" w:space="0" w:color="auto"/>
              <w:bottom w:val="single" w:sz="4" w:space="0" w:color="auto"/>
              <w:right w:val="single" w:sz="4" w:space="0" w:color="auto"/>
            </w:tcBorders>
          </w:tcPr>
          <w:p w14:paraId="33ACAC65" w14:textId="77777777" w:rsidR="00AE724A" w:rsidRDefault="00AE724A" w:rsidP="00A6568A">
            <w:pPr>
              <w:pBdr>
                <w:left w:val="single" w:sz="18" w:space="1" w:color="auto"/>
              </w:pBdr>
              <w:shd w:val="pct10" w:color="auto" w:fill="auto"/>
              <w:autoSpaceDE w:val="0"/>
              <w:autoSpaceDN w:val="0"/>
              <w:spacing w:after="120" w:line="360" w:lineRule="auto"/>
              <w:rPr>
                <w:rFonts w:cs="Calibri"/>
                <w:b/>
                <w:noProof/>
                <w:lang w:val="en-US"/>
              </w:rPr>
            </w:pPr>
            <w:r>
              <w:rPr>
                <w:rFonts w:cs="Calibri"/>
                <w:b/>
                <w:noProof/>
                <w:lang w:val="en-US"/>
              </w:rPr>
              <w:t>Other measures</w:t>
            </w:r>
          </w:p>
        </w:tc>
        <w:tc>
          <w:tcPr>
            <w:tcW w:w="1661" w:type="dxa"/>
            <w:tcBorders>
              <w:top w:val="single" w:sz="4" w:space="0" w:color="auto"/>
              <w:left w:val="single" w:sz="4" w:space="0" w:color="auto"/>
              <w:bottom w:val="single" w:sz="4" w:space="0" w:color="auto"/>
              <w:right w:val="single" w:sz="4" w:space="0" w:color="auto"/>
            </w:tcBorders>
          </w:tcPr>
          <w:p w14:paraId="025E655A" w14:textId="77777777" w:rsidR="00AE724A" w:rsidRPr="004258DB" w:rsidRDefault="00AE724A" w:rsidP="00A6568A">
            <w:pPr>
              <w:pBdr>
                <w:left w:val="single" w:sz="18" w:space="1" w:color="auto"/>
              </w:pBdr>
              <w:shd w:val="pct10" w:color="auto" w:fill="auto"/>
              <w:autoSpaceDE w:val="0"/>
              <w:autoSpaceDN w:val="0"/>
              <w:spacing w:after="120" w:line="360" w:lineRule="auto"/>
              <w:rPr>
                <w:rFonts w:cs="Calibri"/>
                <w:b/>
                <w:noProof/>
                <w:lang w:val="en-US"/>
              </w:rPr>
            </w:pPr>
            <w:r>
              <w:rPr>
                <w:rFonts w:cs="Calibri"/>
                <w:b/>
                <w:noProof/>
                <w:lang w:val="en-US"/>
              </w:rPr>
              <w:t>Gap</w:t>
            </w:r>
          </w:p>
        </w:tc>
      </w:tr>
      <w:tr w:rsidR="00AE724A" w:rsidRPr="00973924" w14:paraId="22176288" w14:textId="77777777" w:rsidTr="00181064">
        <w:tc>
          <w:tcPr>
            <w:tcW w:w="2971" w:type="dxa"/>
            <w:tcBorders>
              <w:top w:val="single" w:sz="4" w:space="0" w:color="auto"/>
              <w:left w:val="single" w:sz="4" w:space="0" w:color="auto"/>
              <w:bottom w:val="single" w:sz="4" w:space="0" w:color="auto"/>
              <w:right w:val="single" w:sz="4" w:space="0" w:color="auto"/>
            </w:tcBorders>
          </w:tcPr>
          <w:p w14:paraId="400BB3A6" w14:textId="77777777" w:rsidR="00AE724A" w:rsidRPr="004258DB" w:rsidRDefault="00AE724A" w:rsidP="00A6568A">
            <w:pPr>
              <w:pBdr>
                <w:left w:val="single" w:sz="18" w:space="1" w:color="auto"/>
              </w:pBdr>
              <w:shd w:val="pct10" w:color="auto" w:fill="auto"/>
              <w:autoSpaceDE w:val="0"/>
              <w:autoSpaceDN w:val="0"/>
              <w:spacing w:after="120"/>
              <w:rPr>
                <w:rFonts w:cs="Calibri"/>
                <w:b/>
                <w:noProof/>
                <w:lang w:val="en-US"/>
              </w:rPr>
            </w:pPr>
            <w:r>
              <w:rPr>
                <w:rFonts w:cs="Calibri"/>
                <w:b/>
                <w:noProof/>
                <w:lang w:val="en-US"/>
              </w:rPr>
              <w:t>Post – low inflation period</w:t>
            </w:r>
          </w:p>
        </w:tc>
        <w:tc>
          <w:tcPr>
            <w:tcW w:w="1587" w:type="dxa"/>
            <w:vMerge w:val="restart"/>
            <w:tcBorders>
              <w:top w:val="single" w:sz="4" w:space="0" w:color="auto"/>
              <w:left w:val="single" w:sz="4" w:space="0" w:color="auto"/>
              <w:bottom w:val="single" w:sz="4" w:space="0" w:color="auto"/>
              <w:right w:val="single" w:sz="4" w:space="0" w:color="auto"/>
            </w:tcBorders>
          </w:tcPr>
          <w:p w14:paraId="1BF7B95B" w14:textId="77777777" w:rsidR="00AE724A" w:rsidRPr="004258DB" w:rsidRDefault="00AE724A" w:rsidP="004258DB">
            <w:pPr>
              <w:pBdr>
                <w:left w:val="single" w:sz="18" w:space="1" w:color="auto"/>
              </w:pBdr>
              <w:shd w:val="pct10" w:color="auto" w:fill="auto"/>
              <w:autoSpaceDE w:val="0"/>
              <w:autoSpaceDN w:val="0"/>
              <w:spacing w:after="120"/>
              <w:rPr>
                <w:rFonts w:cs="Calibri"/>
                <w:b/>
                <w:noProof/>
                <w:lang w:val="en-US"/>
              </w:rPr>
            </w:pPr>
            <w:r w:rsidRPr="00973924">
              <w:rPr>
                <w:rFonts w:cs="Calibri"/>
                <w:b/>
                <w:noProof/>
              </w:rPr>
              <w:t xml:space="preserve">Scenario </w:t>
            </w:r>
            <w:r>
              <w:rPr>
                <w:rFonts w:cs="Calibri"/>
                <w:b/>
                <w:noProof/>
                <w:lang w:val="en-US"/>
              </w:rPr>
              <w:t>…</w:t>
            </w:r>
          </w:p>
        </w:tc>
        <w:tc>
          <w:tcPr>
            <w:tcW w:w="1522" w:type="dxa"/>
            <w:vMerge w:val="restart"/>
            <w:tcBorders>
              <w:top w:val="single" w:sz="4" w:space="0" w:color="auto"/>
              <w:left w:val="single" w:sz="4" w:space="0" w:color="auto"/>
              <w:bottom w:val="single" w:sz="4" w:space="0" w:color="auto"/>
              <w:right w:val="single" w:sz="4" w:space="0" w:color="auto"/>
            </w:tcBorders>
          </w:tcPr>
          <w:p w14:paraId="098E8791" w14:textId="77777777" w:rsidR="00AE724A" w:rsidRPr="004258DB" w:rsidRDefault="00AE724A" w:rsidP="004258DB">
            <w:pPr>
              <w:pBdr>
                <w:left w:val="single" w:sz="18" w:space="1" w:color="auto"/>
              </w:pBdr>
              <w:shd w:val="pct10" w:color="auto" w:fill="auto"/>
              <w:autoSpaceDE w:val="0"/>
              <w:autoSpaceDN w:val="0"/>
              <w:spacing w:after="120"/>
              <w:rPr>
                <w:rFonts w:cs="Calibri"/>
                <w:b/>
                <w:noProof/>
                <w:lang w:val="en-US"/>
              </w:rPr>
            </w:pPr>
            <w:r w:rsidRPr="00973924">
              <w:rPr>
                <w:rFonts w:cs="Calibri"/>
                <w:b/>
                <w:noProof/>
              </w:rPr>
              <w:t xml:space="preserve">Scenario </w:t>
            </w:r>
            <w:r>
              <w:rPr>
                <w:rFonts w:cs="Calibri"/>
                <w:b/>
                <w:noProof/>
                <w:lang w:val="en-US"/>
              </w:rPr>
              <w:t>..</w:t>
            </w:r>
          </w:p>
        </w:tc>
        <w:tc>
          <w:tcPr>
            <w:tcW w:w="1501" w:type="dxa"/>
            <w:vMerge w:val="restart"/>
            <w:tcBorders>
              <w:top w:val="single" w:sz="4" w:space="0" w:color="auto"/>
              <w:left w:val="single" w:sz="4" w:space="0" w:color="auto"/>
              <w:right w:val="single" w:sz="4" w:space="0" w:color="auto"/>
            </w:tcBorders>
          </w:tcPr>
          <w:p w14:paraId="3BF37F4C" w14:textId="77777777" w:rsidR="00AE724A" w:rsidRPr="00973924" w:rsidRDefault="00AE724A" w:rsidP="004258DB">
            <w:pPr>
              <w:pBdr>
                <w:left w:val="single" w:sz="18" w:space="1" w:color="auto"/>
              </w:pBdr>
              <w:shd w:val="pct10" w:color="auto" w:fill="auto"/>
              <w:autoSpaceDE w:val="0"/>
              <w:autoSpaceDN w:val="0"/>
              <w:spacing w:after="120"/>
              <w:rPr>
                <w:rFonts w:cs="Calibri"/>
                <w:b/>
                <w:noProof/>
              </w:rPr>
            </w:pPr>
            <w:r w:rsidRPr="00973924">
              <w:rPr>
                <w:rFonts w:cs="Calibri"/>
                <w:b/>
                <w:noProof/>
              </w:rPr>
              <w:t xml:space="preserve">Scenario </w:t>
            </w:r>
            <w:r>
              <w:rPr>
                <w:rFonts w:cs="Calibri"/>
                <w:b/>
                <w:noProof/>
                <w:lang w:val="en-US"/>
              </w:rPr>
              <w:t>..</w:t>
            </w:r>
          </w:p>
        </w:tc>
        <w:tc>
          <w:tcPr>
            <w:tcW w:w="1661" w:type="dxa"/>
            <w:vMerge w:val="restart"/>
            <w:tcBorders>
              <w:top w:val="single" w:sz="4" w:space="0" w:color="auto"/>
              <w:left w:val="single" w:sz="4" w:space="0" w:color="auto"/>
              <w:bottom w:val="single" w:sz="4" w:space="0" w:color="auto"/>
              <w:right w:val="single" w:sz="4" w:space="0" w:color="auto"/>
            </w:tcBorders>
          </w:tcPr>
          <w:p w14:paraId="0767543D" w14:textId="77777777" w:rsidR="00AE724A" w:rsidRPr="00AE724A" w:rsidRDefault="00AE724A" w:rsidP="004258DB">
            <w:pPr>
              <w:pBdr>
                <w:left w:val="single" w:sz="18" w:space="1" w:color="auto"/>
              </w:pBdr>
              <w:shd w:val="pct10" w:color="auto" w:fill="auto"/>
              <w:autoSpaceDE w:val="0"/>
              <w:autoSpaceDN w:val="0"/>
              <w:spacing w:after="120"/>
              <w:rPr>
                <w:rFonts w:cs="Calibri"/>
                <w:b/>
                <w:noProof/>
                <w:lang w:val="en-US"/>
              </w:rPr>
            </w:pPr>
            <w:r>
              <w:rPr>
                <w:rFonts w:cs="Calibri"/>
                <w:b/>
                <w:noProof/>
                <w:lang w:val="en-US"/>
              </w:rPr>
              <w:t xml:space="preserve"> </w:t>
            </w:r>
            <w:r w:rsidR="00683FB2">
              <w:rPr>
                <w:rFonts w:cs="Calibri"/>
                <w:b/>
                <w:noProof/>
                <w:lang w:val="en-US"/>
              </w:rPr>
              <w:t>Analysis</w:t>
            </w:r>
          </w:p>
        </w:tc>
      </w:tr>
      <w:tr w:rsidR="00AE724A" w:rsidRPr="00973924" w14:paraId="38FFC994" w14:textId="77777777" w:rsidTr="00AE724A">
        <w:tc>
          <w:tcPr>
            <w:tcW w:w="2971" w:type="dxa"/>
            <w:tcBorders>
              <w:top w:val="single" w:sz="4" w:space="0" w:color="auto"/>
              <w:left w:val="single" w:sz="4" w:space="0" w:color="auto"/>
              <w:bottom w:val="single" w:sz="4" w:space="0" w:color="auto"/>
              <w:right w:val="single" w:sz="4" w:space="0" w:color="auto"/>
            </w:tcBorders>
          </w:tcPr>
          <w:p w14:paraId="762BC1FC" w14:textId="77777777" w:rsidR="00AE724A" w:rsidRPr="004258DB" w:rsidRDefault="00AE724A" w:rsidP="00A6568A">
            <w:pPr>
              <w:pBdr>
                <w:left w:val="single" w:sz="18" w:space="1" w:color="auto"/>
              </w:pBdr>
              <w:shd w:val="pct10" w:color="auto" w:fill="auto"/>
              <w:autoSpaceDE w:val="0"/>
              <w:autoSpaceDN w:val="0"/>
              <w:spacing w:after="120"/>
              <w:rPr>
                <w:rFonts w:cs="Calibri"/>
                <w:b/>
                <w:noProof/>
                <w:lang w:val="en-US"/>
              </w:rPr>
            </w:pPr>
            <w:r>
              <w:rPr>
                <w:rFonts w:cs="Calibri"/>
                <w:b/>
                <w:noProof/>
                <w:lang w:val="en-US"/>
              </w:rPr>
              <w:t>Financial crisis time</w:t>
            </w:r>
          </w:p>
        </w:tc>
        <w:tc>
          <w:tcPr>
            <w:tcW w:w="1587" w:type="dxa"/>
            <w:vMerge/>
            <w:tcBorders>
              <w:top w:val="single" w:sz="4" w:space="0" w:color="auto"/>
              <w:left w:val="single" w:sz="4" w:space="0" w:color="auto"/>
              <w:bottom w:val="single" w:sz="4" w:space="0" w:color="auto"/>
              <w:right w:val="single" w:sz="4" w:space="0" w:color="auto"/>
            </w:tcBorders>
          </w:tcPr>
          <w:p w14:paraId="07BDE4CD" w14:textId="77777777" w:rsidR="00AE724A" w:rsidRPr="00973924" w:rsidRDefault="00AE724A" w:rsidP="00A6568A">
            <w:pPr>
              <w:pBdr>
                <w:left w:val="single" w:sz="18" w:space="1" w:color="auto"/>
              </w:pBdr>
              <w:shd w:val="pct10" w:color="auto" w:fill="auto"/>
              <w:autoSpaceDE w:val="0"/>
              <w:autoSpaceDN w:val="0"/>
              <w:spacing w:after="120"/>
              <w:rPr>
                <w:rFonts w:cs="Calibri"/>
                <w:b/>
                <w:noProof/>
              </w:rPr>
            </w:pPr>
          </w:p>
        </w:tc>
        <w:tc>
          <w:tcPr>
            <w:tcW w:w="1522" w:type="dxa"/>
            <w:vMerge/>
            <w:tcBorders>
              <w:left w:val="single" w:sz="4" w:space="0" w:color="auto"/>
              <w:bottom w:val="single" w:sz="4" w:space="0" w:color="auto"/>
              <w:right w:val="single" w:sz="4" w:space="0" w:color="auto"/>
            </w:tcBorders>
          </w:tcPr>
          <w:p w14:paraId="1AFF3084" w14:textId="77777777" w:rsidR="00AE724A" w:rsidRPr="00973924" w:rsidRDefault="00AE724A" w:rsidP="00A6568A">
            <w:pPr>
              <w:pBdr>
                <w:left w:val="single" w:sz="18" w:space="1" w:color="auto"/>
              </w:pBdr>
              <w:shd w:val="pct10" w:color="auto" w:fill="auto"/>
              <w:autoSpaceDE w:val="0"/>
              <w:autoSpaceDN w:val="0"/>
              <w:spacing w:after="120"/>
              <w:rPr>
                <w:rFonts w:cs="Calibri"/>
                <w:b/>
                <w:noProof/>
              </w:rPr>
            </w:pPr>
          </w:p>
        </w:tc>
        <w:tc>
          <w:tcPr>
            <w:tcW w:w="1501" w:type="dxa"/>
            <w:vMerge/>
            <w:tcBorders>
              <w:left w:val="single" w:sz="4" w:space="0" w:color="auto"/>
              <w:bottom w:val="single" w:sz="4" w:space="0" w:color="auto"/>
              <w:right w:val="single" w:sz="4" w:space="0" w:color="auto"/>
            </w:tcBorders>
          </w:tcPr>
          <w:p w14:paraId="4AF4F997" w14:textId="77777777" w:rsidR="00AE724A" w:rsidRPr="00973924" w:rsidRDefault="00AE724A" w:rsidP="00A6568A">
            <w:pPr>
              <w:pBdr>
                <w:left w:val="single" w:sz="18" w:space="1" w:color="auto"/>
              </w:pBdr>
              <w:shd w:val="pct10" w:color="auto" w:fill="auto"/>
              <w:autoSpaceDE w:val="0"/>
              <w:autoSpaceDN w:val="0"/>
              <w:spacing w:after="120"/>
              <w:rPr>
                <w:rFonts w:cs="Calibri"/>
                <w:b/>
                <w:noProof/>
              </w:rPr>
            </w:pPr>
          </w:p>
        </w:tc>
        <w:tc>
          <w:tcPr>
            <w:tcW w:w="1661" w:type="dxa"/>
            <w:vMerge/>
            <w:tcBorders>
              <w:left w:val="single" w:sz="4" w:space="0" w:color="auto"/>
              <w:bottom w:val="single" w:sz="4" w:space="0" w:color="auto"/>
              <w:right w:val="single" w:sz="4" w:space="0" w:color="auto"/>
            </w:tcBorders>
          </w:tcPr>
          <w:p w14:paraId="3317F431" w14:textId="77777777" w:rsidR="00AE724A" w:rsidRPr="00973924" w:rsidRDefault="00AE724A" w:rsidP="00A6568A">
            <w:pPr>
              <w:pBdr>
                <w:left w:val="single" w:sz="18" w:space="1" w:color="auto"/>
              </w:pBdr>
              <w:shd w:val="pct10" w:color="auto" w:fill="auto"/>
              <w:autoSpaceDE w:val="0"/>
              <w:autoSpaceDN w:val="0"/>
              <w:spacing w:after="120"/>
              <w:rPr>
                <w:rFonts w:cs="Calibri"/>
                <w:b/>
                <w:noProof/>
              </w:rPr>
            </w:pPr>
          </w:p>
        </w:tc>
      </w:tr>
    </w:tbl>
    <w:p w14:paraId="47E4FB12" w14:textId="77777777" w:rsidR="00FD6EAD" w:rsidRDefault="00FD6EAD" w:rsidP="00FD6EAD">
      <w:pPr>
        <w:autoSpaceDE w:val="0"/>
        <w:autoSpaceDN w:val="0"/>
        <w:ind w:right="-1149"/>
        <w:rPr>
          <w:rFonts w:cs="Calibri"/>
        </w:rPr>
      </w:pPr>
      <w:r w:rsidRPr="0056524D">
        <w:rPr>
          <w:rFonts w:cs="Calibri"/>
        </w:rPr>
        <w:t xml:space="preserve"> </w:t>
      </w:r>
    </w:p>
    <w:p w14:paraId="3680C63E" w14:textId="77777777" w:rsidR="00FD6EAD" w:rsidRDefault="00017C08" w:rsidP="00017C08">
      <w:pPr>
        <w:pStyle w:val="ListParagraph"/>
        <w:rPr>
          <w:lang w:val="en-US"/>
        </w:rPr>
      </w:pPr>
      <w:r>
        <w:rPr>
          <w:lang w:val="en-US"/>
        </w:rPr>
        <w:t>Table 1 – The Volatility of Market Risk (beta) of Banking Industry in the post- low inflation period 2015-2017</w:t>
      </w:r>
    </w:p>
    <w:tbl>
      <w:tblPr>
        <w:tblW w:w="9640" w:type="dxa"/>
        <w:tblInd w:w="-318" w:type="dxa"/>
        <w:tblLook w:val="04A0" w:firstRow="1" w:lastRow="0" w:firstColumn="1" w:lastColumn="0" w:noHBand="0" w:noVBand="1"/>
      </w:tblPr>
      <w:tblGrid>
        <w:gridCol w:w="1076"/>
        <w:gridCol w:w="2276"/>
        <w:gridCol w:w="1146"/>
        <w:gridCol w:w="2591"/>
        <w:gridCol w:w="2551"/>
      </w:tblGrid>
      <w:tr w:rsidR="00017C08" w:rsidRPr="00017C08" w14:paraId="5AFE8F3D" w14:textId="77777777" w:rsidTr="00017C08">
        <w:trPr>
          <w:trHeight w:val="285"/>
        </w:trPr>
        <w:tc>
          <w:tcPr>
            <w:tcW w:w="1076" w:type="dxa"/>
            <w:tcBorders>
              <w:top w:val="nil"/>
              <w:left w:val="nil"/>
              <w:bottom w:val="nil"/>
              <w:right w:val="nil"/>
            </w:tcBorders>
            <w:shd w:val="clear" w:color="000000" w:fill="FFFFFF"/>
            <w:noWrap/>
            <w:vAlign w:val="bottom"/>
            <w:hideMark/>
          </w:tcPr>
          <w:p w14:paraId="05421729" w14:textId="77777777" w:rsidR="00017C08" w:rsidRPr="00017C08" w:rsidRDefault="00017C08" w:rsidP="00017C08">
            <w:pPr>
              <w:spacing w:after="0" w:line="240" w:lineRule="auto"/>
              <w:rPr>
                <w:rFonts w:ascii="Arial" w:eastAsia="Times New Roman" w:hAnsi="Arial" w:cs="Arial"/>
                <w:color w:val="000000"/>
                <w:lang w:eastAsia="vi-VN"/>
              </w:rPr>
            </w:pPr>
            <w:r w:rsidRPr="00017C08">
              <w:rPr>
                <w:rFonts w:ascii="Arial" w:eastAsia="Times New Roman" w:hAnsi="Arial" w:cs="Arial"/>
                <w:color w:val="000000"/>
                <w:lang w:eastAsia="vi-VN"/>
              </w:rPr>
              <w:lastRenderedPageBreak/>
              <w:t> </w:t>
            </w:r>
          </w:p>
        </w:tc>
        <w:tc>
          <w:tcPr>
            <w:tcW w:w="2276" w:type="dxa"/>
            <w:tcBorders>
              <w:top w:val="nil"/>
              <w:left w:val="nil"/>
              <w:bottom w:val="nil"/>
              <w:right w:val="nil"/>
            </w:tcBorders>
            <w:shd w:val="clear" w:color="auto" w:fill="auto"/>
            <w:noWrap/>
            <w:vAlign w:val="bottom"/>
            <w:hideMark/>
          </w:tcPr>
          <w:p w14:paraId="537F432E" w14:textId="77777777" w:rsidR="00017C08" w:rsidRPr="00017C08" w:rsidRDefault="00017C08" w:rsidP="00017C08">
            <w:pPr>
              <w:spacing w:after="0" w:line="240" w:lineRule="auto"/>
              <w:rPr>
                <w:rFonts w:ascii="Arial" w:eastAsia="Times New Roman" w:hAnsi="Arial" w:cs="Arial"/>
                <w:color w:val="000000"/>
                <w:lang w:eastAsia="vi-VN"/>
              </w:rPr>
            </w:pPr>
          </w:p>
        </w:tc>
        <w:tc>
          <w:tcPr>
            <w:tcW w:w="373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44119E5" w14:textId="77777777" w:rsidR="00017C08" w:rsidRPr="00017C08" w:rsidRDefault="00017C08" w:rsidP="00017C08">
            <w:pPr>
              <w:spacing w:after="0" w:line="240" w:lineRule="auto"/>
              <w:jc w:val="center"/>
              <w:rPr>
                <w:rFonts w:ascii="Arial" w:eastAsia="Times New Roman" w:hAnsi="Arial" w:cs="Arial"/>
                <w:color w:val="000000"/>
                <w:lang w:eastAsia="vi-VN"/>
              </w:rPr>
            </w:pPr>
            <w:r w:rsidRPr="00017C08">
              <w:rPr>
                <w:rFonts w:ascii="Arial" w:eastAsia="Times New Roman" w:hAnsi="Arial" w:cs="Arial"/>
                <w:color w:val="000000"/>
                <w:lang w:eastAsia="vi-VN"/>
              </w:rPr>
              <w:t>2015-2017 (post - low inflation)</w:t>
            </w:r>
          </w:p>
        </w:tc>
        <w:tc>
          <w:tcPr>
            <w:tcW w:w="2551" w:type="dxa"/>
            <w:tcBorders>
              <w:top w:val="nil"/>
              <w:left w:val="nil"/>
              <w:bottom w:val="nil"/>
              <w:right w:val="nil"/>
            </w:tcBorders>
            <w:shd w:val="clear" w:color="auto" w:fill="auto"/>
            <w:noWrap/>
            <w:vAlign w:val="bottom"/>
            <w:hideMark/>
          </w:tcPr>
          <w:p w14:paraId="608B4C64" w14:textId="77777777" w:rsidR="00017C08" w:rsidRPr="00017C08" w:rsidRDefault="00017C08" w:rsidP="00017C08">
            <w:pPr>
              <w:spacing w:after="0" w:line="240" w:lineRule="auto"/>
              <w:rPr>
                <w:rFonts w:ascii="Arial" w:eastAsia="Times New Roman" w:hAnsi="Arial" w:cs="Arial"/>
                <w:color w:val="000000"/>
                <w:lang w:eastAsia="vi-VN"/>
              </w:rPr>
            </w:pPr>
          </w:p>
        </w:tc>
      </w:tr>
      <w:tr w:rsidR="00017C08" w:rsidRPr="00017C08" w14:paraId="6E85AA93" w14:textId="77777777" w:rsidTr="00017C08">
        <w:trPr>
          <w:trHeight w:val="285"/>
        </w:trPr>
        <w:tc>
          <w:tcPr>
            <w:tcW w:w="1076" w:type="dxa"/>
            <w:tcBorders>
              <w:top w:val="single" w:sz="4" w:space="0" w:color="auto"/>
              <w:left w:val="single" w:sz="4" w:space="0" w:color="auto"/>
              <w:bottom w:val="single" w:sz="4" w:space="0" w:color="auto"/>
              <w:right w:val="nil"/>
            </w:tcBorders>
            <w:shd w:val="clear" w:color="auto" w:fill="auto"/>
            <w:noWrap/>
            <w:vAlign w:val="bottom"/>
            <w:hideMark/>
          </w:tcPr>
          <w:p w14:paraId="72C9FB1D" w14:textId="77777777" w:rsidR="00017C08" w:rsidRPr="00017C08" w:rsidRDefault="00017C08" w:rsidP="00017C08">
            <w:pPr>
              <w:spacing w:after="0" w:line="240" w:lineRule="auto"/>
              <w:jc w:val="center"/>
              <w:rPr>
                <w:rFonts w:ascii="Arial" w:eastAsia="Times New Roman" w:hAnsi="Arial" w:cs="Arial"/>
                <w:b/>
                <w:bCs/>
                <w:sz w:val="20"/>
                <w:szCs w:val="20"/>
                <w:lang w:eastAsia="vi-VN"/>
              </w:rPr>
            </w:pPr>
            <w:r w:rsidRPr="00017C08">
              <w:rPr>
                <w:rFonts w:ascii="Arial" w:eastAsia="Times New Roman" w:hAnsi="Arial" w:cs="Arial"/>
                <w:b/>
                <w:bCs/>
                <w:sz w:val="20"/>
                <w:szCs w:val="20"/>
                <w:lang w:eastAsia="vi-VN"/>
              </w:rPr>
              <w:t>Order No.</w:t>
            </w:r>
          </w:p>
        </w:tc>
        <w:tc>
          <w:tcPr>
            <w:tcW w:w="2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36D36" w14:textId="77777777" w:rsidR="00017C08" w:rsidRPr="00017C08" w:rsidRDefault="00017C08" w:rsidP="00017C08">
            <w:pPr>
              <w:spacing w:after="0" w:line="240" w:lineRule="auto"/>
              <w:jc w:val="center"/>
              <w:rPr>
                <w:rFonts w:ascii="Arial" w:eastAsia="Times New Roman" w:hAnsi="Arial" w:cs="Arial"/>
                <w:b/>
                <w:bCs/>
                <w:sz w:val="20"/>
                <w:szCs w:val="20"/>
                <w:lang w:eastAsia="vi-VN"/>
              </w:rPr>
            </w:pPr>
            <w:r w:rsidRPr="00017C08">
              <w:rPr>
                <w:rFonts w:ascii="Arial" w:eastAsia="Times New Roman" w:hAnsi="Arial" w:cs="Arial"/>
                <w:b/>
                <w:bCs/>
                <w:sz w:val="20"/>
                <w:szCs w:val="20"/>
                <w:lang w:eastAsia="vi-VN"/>
              </w:rPr>
              <w:t>Company stock code</w:t>
            </w:r>
          </w:p>
        </w:tc>
        <w:tc>
          <w:tcPr>
            <w:tcW w:w="1146" w:type="dxa"/>
            <w:tcBorders>
              <w:top w:val="nil"/>
              <w:left w:val="nil"/>
              <w:bottom w:val="single" w:sz="4" w:space="0" w:color="auto"/>
              <w:right w:val="single" w:sz="4" w:space="0" w:color="auto"/>
            </w:tcBorders>
            <w:shd w:val="clear" w:color="auto" w:fill="auto"/>
            <w:noWrap/>
            <w:vAlign w:val="bottom"/>
            <w:hideMark/>
          </w:tcPr>
          <w:p w14:paraId="03719D31" w14:textId="77777777" w:rsidR="00017C08" w:rsidRPr="00017C08" w:rsidRDefault="00017C08" w:rsidP="00017C08">
            <w:pPr>
              <w:spacing w:after="0" w:line="240" w:lineRule="auto"/>
              <w:jc w:val="center"/>
              <w:rPr>
                <w:rFonts w:ascii="Arial" w:eastAsia="Times New Roman" w:hAnsi="Arial" w:cs="Arial"/>
                <w:b/>
                <w:bCs/>
                <w:sz w:val="20"/>
                <w:szCs w:val="20"/>
                <w:lang w:eastAsia="vi-VN"/>
              </w:rPr>
            </w:pPr>
            <w:r w:rsidRPr="00017C08">
              <w:rPr>
                <w:rFonts w:ascii="Arial" w:eastAsia="Times New Roman" w:hAnsi="Arial" w:cs="Arial"/>
                <w:b/>
                <w:bCs/>
                <w:sz w:val="20"/>
                <w:szCs w:val="20"/>
                <w:lang w:eastAsia="vi-VN"/>
              </w:rPr>
              <w:t xml:space="preserve">Equity beta </w:t>
            </w:r>
          </w:p>
        </w:tc>
        <w:tc>
          <w:tcPr>
            <w:tcW w:w="2591" w:type="dxa"/>
            <w:tcBorders>
              <w:top w:val="nil"/>
              <w:left w:val="nil"/>
              <w:bottom w:val="single" w:sz="4" w:space="0" w:color="auto"/>
              <w:right w:val="single" w:sz="4" w:space="0" w:color="auto"/>
            </w:tcBorders>
            <w:shd w:val="clear" w:color="auto" w:fill="auto"/>
            <w:noWrap/>
            <w:vAlign w:val="bottom"/>
            <w:hideMark/>
          </w:tcPr>
          <w:p w14:paraId="38A81BD8" w14:textId="77777777" w:rsidR="00017C08" w:rsidRPr="00017C08" w:rsidRDefault="00017C08" w:rsidP="00017C08">
            <w:pPr>
              <w:spacing w:after="0" w:line="240" w:lineRule="auto"/>
              <w:jc w:val="center"/>
              <w:rPr>
                <w:rFonts w:ascii="Arial" w:eastAsia="Times New Roman" w:hAnsi="Arial" w:cs="Arial"/>
                <w:b/>
                <w:bCs/>
                <w:sz w:val="20"/>
                <w:szCs w:val="20"/>
                <w:lang w:eastAsia="vi-VN"/>
              </w:rPr>
            </w:pPr>
            <w:r w:rsidRPr="00017C08">
              <w:rPr>
                <w:rFonts w:ascii="Arial" w:eastAsia="Times New Roman" w:hAnsi="Arial" w:cs="Arial"/>
                <w:b/>
                <w:bCs/>
                <w:sz w:val="20"/>
                <w:szCs w:val="20"/>
                <w:lang w:eastAsia="vi-VN"/>
              </w:rPr>
              <w:t>Asset beta (assume debt beta = 0)</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24410C68" w14:textId="77777777" w:rsidR="00017C08" w:rsidRPr="00017C08" w:rsidRDefault="00017C08" w:rsidP="00017C08">
            <w:pPr>
              <w:spacing w:after="0" w:line="240" w:lineRule="auto"/>
              <w:jc w:val="center"/>
              <w:rPr>
                <w:rFonts w:ascii="Arial" w:eastAsia="Times New Roman" w:hAnsi="Arial" w:cs="Arial"/>
                <w:b/>
                <w:bCs/>
                <w:sz w:val="20"/>
                <w:szCs w:val="20"/>
                <w:lang w:eastAsia="vi-VN"/>
              </w:rPr>
            </w:pPr>
            <w:r w:rsidRPr="00017C08">
              <w:rPr>
                <w:rFonts w:ascii="Arial" w:eastAsia="Times New Roman" w:hAnsi="Arial" w:cs="Arial"/>
                <w:b/>
                <w:bCs/>
                <w:sz w:val="20"/>
                <w:szCs w:val="20"/>
                <w:lang w:eastAsia="vi-VN"/>
              </w:rPr>
              <w:t>Note</w:t>
            </w:r>
          </w:p>
        </w:tc>
      </w:tr>
      <w:tr w:rsidR="00017C08" w:rsidRPr="00017C08" w14:paraId="29D1EE07" w14:textId="77777777" w:rsidTr="00017C08">
        <w:trPr>
          <w:trHeight w:val="315"/>
        </w:trPr>
        <w:tc>
          <w:tcPr>
            <w:tcW w:w="1076" w:type="dxa"/>
            <w:tcBorders>
              <w:top w:val="nil"/>
              <w:left w:val="single" w:sz="4" w:space="0" w:color="auto"/>
              <w:bottom w:val="nil"/>
              <w:right w:val="nil"/>
            </w:tcBorders>
            <w:shd w:val="clear" w:color="auto" w:fill="auto"/>
            <w:noWrap/>
            <w:vAlign w:val="bottom"/>
            <w:hideMark/>
          </w:tcPr>
          <w:p w14:paraId="18EDBD78" w14:textId="77777777" w:rsidR="00017C08" w:rsidRPr="00017C08" w:rsidRDefault="00017C08" w:rsidP="00017C08">
            <w:pPr>
              <w:spacing w:after="0" w:line="240" w:lineRule="auto"/>
              <w:jc w:val="center"/>
              <w:rPr>
                <w:rFonts w:ascii="Arial" w:eastAsia="Times New Roman" w:hAnsi="Arial" w:cs="Arial"/>
                <w:color w:val="000000"/>
                <w:lang w:eastAsia="vi-VN"/>
              </w:rPr>
            </w:pPr>
            <w:r w:rsidRPr="00017C08">
              <w:rPr>
                <w:rFonts w:ascii="Arial" w:eastAsia="Times New Roman" w:hAnsi="Arial" w:cs="Arial"/>
                <w:color w:val="000000"/>
                <w:lang w:eastAsia="vi-VN"/>
              </w:rPr>
              <w:t>1</w:t>
            </w:r>
          </w:p>
        </w:tc>
        <w:tc>
          <w:tcPr>
            <w:tcW w:w="2276" w:type="dxa"/>
            <w:tcBorders>
              <w:top w:val="dashed" w:sz="4" w:space="0" w:color="auto"/>
              <w:left w:val="dashed" w:sz="4" w:space="0" w:color="auto"/>
              <w:bottom w:val="dashed" w:sz="4" w:space="0" w:color="auto"/>
              <w:right w:val="dashed" w:sz="4" w:space="0" w:color="auto"/>
            </w:tcBorders>
            <w:shd w:val="clear" w:color="000000" w:fill="FFFFFF"/>
            <w:noWrap/>
            <w:vAlign w:val="bottom"/>
            <w:hideMark/>
          </w:tcPr>
          <w:p w14:paraId="738A6601" w14:textId="77777777" w:rsidR="00017C08" w:rsidRPr="00017C08" w:rsidRDefault="00017C08" w:rsidP="00017C08">
            <w:pPr>
              <w:spacing w:after="0" w:line="240" w:lineRule="auto"/>
              <w:rPr>
                <w:rFonts w:ascii="Times New Roman" w:eastAsia="Times New Roman" w:hAnsi="Times New Roman" w:cs="Times New Roman"/>
                <w:b/>
                <w:bCs/>
                <w:color w:val="000000"/>
                <w:sz w:val="24"/>
                <w:szCs w:val="24"/>
                <w:lang w:eastAsia="vi-VN"/>
              </w:rPr>
            </w:pPr>
            <w:r w:rsidRPr="00017C08">
              <w:rPr>
                <w:rFonts w:ascii="Times New Roman" w:eastAsia="Times New Roman" w:hAnsi="Times New Roman" w:cs="Times New Roman"/>
                <w:b/>
                <w:bCs/>
                <w:color w:val="000000"/>
                <w:sz w:val="24"/>
                <w:szCs w:val="24"/>
                <w:lang w:eastAsia="vi-VN"/>
              </w:rPr>
              <w:t>ACB</w:t>
            </w:r>
          </w:p>
        </w:tc>
        <w:tc>
          <w:tcPr>
            <w:tcW w:w="1146" w:type="dxa"/>
            <w:tcBorders>
              <w:top w:val="nil"/>
              <w:left w:val="single" w:sz="4" w:space="0" w:color="auto"/>
              <w:bottom w:val="dotted" w:sz="4" w:space="0" w:color="auto"/>
              <w:right w:val="single" w:sz="4" w:space="0" w:color="auto"/>
            </w:tcBorders>
            <w:shd w:val="clear" w:color="auto" w:fill="auto"/>
            <w:noWrap/>
            <w:vAlign w:val="bottom"/>
            <w:hideMark/>
          </w:tcPr>
          <w:p w14:paraId="1F782429" w14:textId="77777777" w:rsidR="00017C08" w:rsidRPr="00017C08" w:rsidRDefault="00017C08" w:rsidP="00017C08">
            <w:pPr>
              <w:spacing w:after="0" w:line="240" w:lineRule="auto"/>
              <w:jc w:val="center"/>
              <w:rPr>
                <w:rFonts w:ascii="Arial" w:eastAsia="Times New Roman" w:hAnsi="Arial" w:cs="Arial"/>
                <w:color w:val="000000"/>
                <w:lang w:eastAsia="vi-VN"/>
              </w:rPr>
            </w:pPr>
            <w:r w:rsidRPr="00017C08">
              <w:rPr>
                <w:rFonts w:ascii="Arial" w:eastAsia="Times New Roman" w:hAnsi="Arial" w:cs="Arial"/>
                <w:color w:val="000000"/>
                <w:lang w:eastAsia="vi-VN"/>
              </w:rPr>
              <w:t>0.954</w:t>
            </w:r>
          </w:p>
        </w:tc>
        <w:tc>
          <w:tcPr>
            <w:tcW w:w="2591" w:type="dxa"/>
            <w:tcBorders>
              <w:top w:val="nil"/>
              <w:left w:val="nil"/>
              <w:bottom w:val="dotted" w:sz="4" w:space="0" w:color="auto"/>
              <w:right w:val="single" w:sz="4" w:space="0" w:color="auto"/>
            </w:tcBorders>
            <w:shd w:val="clear" w:color="auto" w:fill="auto"/>
            <w:noWrap/>
            <w:vAlign w:val="bottom"/>
            <w:hideMark/>
          </w:tcPr>
          <w:p w14:paraId="5F0FECAB" w14:textId="77777777" w:rsidR="00017C08" w:rsidRPr="00017C08" w:rsidRDefault="00017C08" w:rsidP="00017C08">
            <w:pPr>
              <w:spacing w:after="0" w:line="240" w:lineRule="auto"/>
              <w:jc w:val="center"/>
              <w:rPr>
                <w:rFonts w:ascii="Arial" w:eastAsia="Times New Roman" w:hAnsi="Arial" w:cs="Arial"/>
                <w:color w:val="000000"/>
                <w:lang w:eastAsia="vi-VN"/>
              </w:rPr>
            </w:pPr>
            <w:r w:rsidRPr="00017C08">
              <w:rPr>
                <w:rFonts w:ascii="Arial" w:eastAsia="Times New Roman" w:hAnsi="Arial" w:cs="Arial"/>
                <w:color w:val="000000"/>
                <w:lang w:eastAsia="vi-VN"/>
              </w:rPr>
              <w:t>0.061</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14:paraId="00F749AC" w14:textId="77777777" w:rsidR="00017C08" w:rsidRPr="00017C08" w:rsidRDefault="00017C08" w:rsidP="00017C08">
            <w:pPr>
              <w:spacing w:after="0" w:line="240" w:lineRule="auto"/>
              <w:jc w:val="center"/>
              <w:rPr>
                <w:rFonts w:ascii="Arial" w:eastAsia="Times New Roman" w:hAnsi="Arial" w:cs="Arial"/>
                <w:color w:val="000000"/>
                <w:lang w:eastAsia="vi-VN"/>
              </w:rPr>
            </w:pPr>
            <w:r w:rsidRPr="00017C08">
              <w:rPr>
                <w:rFonts w:ascii="Arial" w:eastAsia="Times New Roman" w:hAnsi="Arial" w:cs="Arial"/>
                <w:color w:val="000000"/>
                <w:lang w:eastAsia="vi-VN"/>
              </w:rPr>
              <w:t>assume debt beta = 0; debt ratio as in F.S 2015</w:t>
            </w:r>
          </w:p>
        </w:tc>
      </w:tr>
      <w:tr w:rsidR="00017C08" w:rsidRPr="00017C08" w14:paraId="7462869F" w14:textId="77777777" w:rsidTr="00017C08">
        <w:trPr>
          <w:trHeight w:val="315"/>
        </w:trPr>
        <w:tc>
          <w:tcPr>
            <w:tcW w:w="1076" w:type="dxa"/>
            <w:tcBorders>
              <w:top w:val="nil"/>
              <w:left w:val="single" w:sz="4" w:space="0" w:color="auto"/>
              <w:bottom w:val="nil"/>
              <w:right w:val="nil"/>
            </w:tcBorders>
            <w:shd w:val="clear" w:color="auto" w:fill="auto"/>
            <w:noWrap/>
            <w:vAlign w:val="bottom"/>
            <w:hideMark/>
          </w:tcPr>
          <w:p w14:paraId="75A55244" w14:textId="77777777" w:rsidR="00017C08" w:rsidRPr="00017C08" w:rsidRDefault="00017C08" w:rsidP="00017C08">
            <w:pPr>
              <w:spacing w:after="0" w:line="240" w:lineRule="auto"/>
              <w:jc w:val="center"/>
              <w:rPr>
                <w:rFonts w:ascii="Arial" w:eastAsia="Times New Roman" w:hAnsi="Arial" w:cs="Arial"/>
                <w:color w:val="000000"/>
                <w:lang w:eastAsia="vi-VN"/>
              </w:rPr>
            </w:pPr>
            <w:r w:rsidRPr="00017C08">
              <w:rPr>
                <w:rFonts w:ascii="Arial" w:eastAsia="Times New Roman" w:hAnsi="Arial" w:cs="Arial"/>
                <w:color w:val="000000"/>
                <w:lang w:eastAsia="vi-VN"/>
              </w:rPr>
              <w:t>2</w:t>
            </w:r>
          </w:p>
        </w:tc>
        <w:tc>
          <w:tcPr>
            <w:tcW w:w="2276" w:type="dxa"/>
            <w:tcBorders>
              <w:top w:val="nil"/>
              <w:left w:val="dashed" w:sz="4" w:space="0" w:color="auto"/>
              <w:bottom w:val="dashed" w:sz="4" w:space="0" w:color="auto"/>
              <w:right w:val="dashed" w:sz="4" w:space="0" w:color="auto"/>
            </w:tcBorders>
            <w:shd w:val="clear" w:color="000000" w:fill="FFFFFF"/>
            <w:noWrap/>
            <w:vAlign w:val="bottom"/>
            <w:hideMark/>
          </w:tcPr>
          <w:p w14:paraId="6251EA3B" w14:textId="77777777" w:rsidR="00017C08" w:rsidRPr="00017C08" w:rsidRDefault="00017C08" w:rsidP="00017C08">
            <w:pPr>
              <w:spacing w:after="0" w:line="240" w:lineRule="auto"/>
              <w:rPr>
                <w:rFonts w:ascii="Times New Roman" w:eastAsia="Times New Roman" w:hAnsi="Times New Roman" w:cs="Times New Roman"/>
                <w:b/>
                <w:bCs/>
                <w:color w:val="000000"/>
                <w:sz w:val="24"/>
                <w:szCs w:val="24"/>
                <w:lang w:eastAsia="vi-VN"/>
              </w:rPr>
            </w:pPr>
            <w:r w:rsidRPr="00017C08">
              <w:rPr>
                <w:rFonts w:ascii="Times New Roman" w:eastAsia="Times New Roman" w:hAnsi="Times New Roman" w:cs="Times New Roman"/>
                <w:b/>
                <w:bCs/>
                <w:color w:val="000000"/>
                <w:sz w:val="24"/>
                <w:szCs w:val="24"/>
                <w:lang w:eastAsia="vi-VN"/>
              </w:rPr>
              <w:t>CTG</w:t>
            </w:r>
          </w:p>
        </w:tc>
        <w:tc>
          <w:tcPr>
            <w:tcW w:w="1146" w:type="dxa"/>
            <w:tcBorders>
              <w:top w:val="nil"/>
              <w:left w:val="single" w:sz="4" w:space="0" w:color="auto"/>
              <w:bottom w:val="dotted" w:sz="4" w:space="0" w:color="auto"/>
              <w:right w:val="single" w:sz="4" w:space="0" w:color="auto"/>
            </w:tcBorders>
            <w:shd w:val="clear" w:color="auto" w:fill="auto"/>
            <w:noWrap/>
            <w:vAlign w:val="bottom"/>
            <w:hideMark/>
          </w:tcPr>
          <w:p w14:paraId="7B93D4D6" w14:textId="77777777" w:rsidR="00017C08" w:rsidRPr="00017C08" w:rsidRDefault="00017C08" w:rsidP="00017C08">
            <w:pPr>
              <w:spacing w:after="0" w:line="240" w:lineRule="auto"/>
              <w:jc w:val="center"/>
              <w:rPr>
                <w:rFonts w:ascii="Arial" w:eastAsia="Times New Roman" w:hAnsi="Arial" w:cs="Arial"/>
                <w:color w:val="000000"/>
                <w:lang w:eastAsia="vi-VN"/>
              </w:rPr>
            </w:pPr>
            <w:r w:rsidRPr="00017C08">
              <w:rPr>
                <w:rFonts w:ascii="Arial" w:eastAsia="Times New Roman" w:hAnsi="Arial" w:cs="Arial"/>
                <w:color w:val="000000"/>
                <w:lang w:eastAsia="vi-VN"/>
              </w:rPr>
              <w:t>1.676</w:t>
            </w:r>
          </w:p>
        </w:tc>
        <w:tc>
          <w:tcPr>
            <w:tcW w:w="2591" w:type="dxa"/>
            <w:tcBorders>
              <w:top w:val="nil"/>
              <w:left w:val="nil"/>
              <w:bottom w:val="dotted" w:sz="4" w:space="0" w:color="auto"/>
              <w:right w:val="single" w:sz="4" w:space="0" w:color="auto"/>
            </w:tcBorders>
            <w:shd w:val="clear" w:color="auto" w:fill="auto"/>
            <w:noWrap/>
            <w:vAlign w:val="bottom"/>
            <w:hideMark/>
          </w:tcPr>
          <w:p w14:paraId="71591C29" w14:textId="77777777" w:rsidR="00017C08" w:rsidRPr="00017C08" w:rsidRDefault="00017C08" w:rsidP="00017C08">
            <w:pPr>
              <w:spacing w:after="0" w:line="240" w:lineRule="auto"/>
              <w:jc w:val="center"/>
              <w:rPr>
                <w:rFonts w:ascii="Arial" w:eastAsia="Times New Roman" w:hAnsi="Arial" w:cs="Arial"/>
                <w:color w:val="000000"/>
                <w:lang w:eastAsia="vi-VN"/>
              </w:rPr>
            </w:pPr>
            <w:r w:rsidRPr="00017C08">
              <w:rPr>
                <w:rFonts w:ascii="Arial" w:eastAsia="Times New Roman" w:hAnsi="Arial" w:cs="Arial"/>
                <w:color w:val="000000"/>
                <w:lang w:eastAsia="vi-VN"/>
              </w:rPr>
              <w:t>0.120</w:t>
            </w:r>
          </w:p>
        </w:tc>
        <w:tc>
          <w:tcPr>
            <w:tcW w:w="2551" w:type="dxa"/>
            <w:vMerge/>
            <w:tcBorders>
              <w:top w:val="nil"/>
              <w:left w:val="single" w:sz="4" w:space="0" w:color="auto"/>
              <w:bottom w:val="single" w:sz="4" w:space="0" w:color="000000"/>
              <w:right w:val="single" w:sz="4" w:space="0" w:color="auto"/>
            </w:tcBorders>
            <w:vAlign w:val="center"/>
            <w:hideMark/>
          </w:tcPr>
          <w:p w14:paraId="029A4C01" w14:textId="77777777" w:rsidR="00017C08" w:rsidRPr="00017C08" w:rsidRDefault="00017C08" w:rsidP="00017C08">
            <w:pPr>
              <w:spacing w:after="0" w:line="240" w:lineRule="auto"/>
              <w:rPr>
                <w:rFonts w:ascii="Arial" w:eastAsia="Times New Roman" w:hAnsi="Arial" w:cs="Arial"/>
                <w:color w:val="000000"/>
                <w:lang w:eastAsia="vi-VN"/>
              </w:rPr>
            </w:pPr>
          </w:p>
        </w:tc>
      </w:tr>
      <w:tr w:rsidR="00017C08" w:rsidRPr="00017C08" w14:paraId="723605AB" w14:textId="77777777" w:rsidTr="00017C08">
        <w:trPr>
          <w:trHeight w:val="315"/>
        </w:trPr>
        <w:tc>
          <w:tcPr>
            <w:tcW w:w="1076" w:type="dxa"/>
            <w:tcBorders>
              <w:top w:val="nil"/>
              <w:left w:val="single" w:sz="4" w:space="0" w:color="auto"/>
              <w:bottom w:val="nil"/>
              <w:right w:val="nil"/>
            </w:tcBorders>
            <w:shd w:val="clear" w:color="auto" w:fill="auto"/>
            <w:noWrap/>
            <w:vAlign w:val="bottom"/>
            <w:hideMark/>
          </w:tcPr>
          <w:p w14:paraId="02D36DD1" w14:textId="77777777" w:rsidR="00017C08" w:rsidRPr="00017C08" w:rsidRDefault="00017C08" w:rsidP="00017C08">
            <w:pPr>
              <w:spacing w:after="0" w:line="240" w:lineRule="auto"/>
              <w:jc w:val="center"/>
              <w:rPr>
                <w:rFonts w:ascii="Arial" w:eastAsia="Times New Roman" w:hAnsi="Arial" w:cs="Arial"/>
                <w:color w:val="000000"/>
                <w:lang w:eastAsia="vi-VN"/>
              </w:rPr>
            </w:pPr>
            <w:r w:rsidRPr="00017C08">
              <w:rPr>
                <w:rFonts w:ascii="Arial" w:eastAsia="Times New Roman" w:hAnsi="Arial" w:cs="Arial"/>
                <w:color w:val="000000"/>
                <w:lang w:eastAsia="vi-VN"/>
              </w:rPr>
              <w:t>3</w:t>
            </w:r>
          </w:p>
        </w:tc>
        <w:tc>
          <w:tcPr>
            <w:tcW w:w="2276" w:type="dxa"/>
            <w:tcBorders>
              <w:top w:val="nil"/>
              <w:left w:val="dashed" w:sz="4" w:space="0" w:color="auto"/>
              <w:bottom w:val="dashed" w:sz="4" w:space="0" w:color="auto"/>
              <w:right w:val="dashed" w:sz="4" w:space="0" w:color="auto"/>
            </w:tcBorders>
            <w:shd w:val="clear" w:color="000000" w:fill="FFFFFF"/>
            <w:noWrap/>
            <w:vAlign w:val="bottom"/>
            <w:hideMark/>
          </w:tcPr>
          <w:p w14:paraId="04288C46" w14:textId="77777777" w:rsidR="00017C08" w:rsidRPr="00017C08" w:rsidRDefault="00017C08" w:rsidP="00017C08">
            <w:pPr>
              <w:spacing w:after="0" w:line="240" w:lineRule="auto"/>
              <w:rPr>
                <w:rFonts w:ascii="Times New Roman" w:eastAsia="Times New Roman" w:hAnsi="Times New Roman" w:cs="Times New Roman"/>
                <w:b/>
                <w:bCs/>
                <w:color w:val="000000"/>
                <w:sz w:val="24"/>
                <w:szCs w:val="24"/>
                <w:lang w:eastAsia="vi-VN"/>
              </w:rPr>
            </w:pPr>
            <w:r w:rsidRPr="00017C08">
              <w:rPr>
                <w:rFonts w:ascii="Times New Roman" w:eastAsia="Times New Roman" w:hAnsi="Times New Roman" w:cs="Times New Roman"/>
                <w:b/>
                <w:bCs/>
                <w:color w:val="000000"/>
                <w:sz w:val="24"/>
                <w:szCs w:val="24"/>
                <w:lang w:eastAsia="vi-VN"/>
              </w:rPr>
              <w:t>BID</w:t>
            </w:r>
          </w:p>
        </w:tc>
        <w:tc>
          <w:tcPr>
            <w:tcW w:w="1146" w:type="dxa"/>
            <w:tcBorders>
              <w:top w:val="nil"/>
              <w:left w:val="single" w:sz="4" w:space="0" w:color="auto"/>
              <w:bottom w:val="dotted" w:sz="4" w:space="0" w:color="auto"/>
              <w:right w:val="single" w:sz="4" w:space="0" w:color="auto"/>
            </w:tcBorders>
            <w:shd w:val="clear" w:color="auto" w:fill="auto"/>
            <w:noWrap/>
            <w:vAlign w:val="bottom"/>
            <w:hideMark/>
          </w:tcPr>
          <w:p w14:paraId="229A0664" w14:textId="77777777" w:rsidR="00017C08" w:rsidRPr="00017C08" w:rsidRDefault="00017C08" w:rsidP="00017C08">
            <w:pPr>
              <w:spacing w:after="0" w:line="240" w:lineRule="auto"/>
              <w:jc w:val="center"/>
              <w:rPr>
                <w:rFonts w:ascii="Arial" w:eastAsia="Times New Roman" w:hAnsi="Arial" w:cs="Arial"/>
                <w:color w:val="000000"/>
                <w:lang w:eastAsia="vi-VN"/>
              </w:rPr>
            </w:pPr>
            <w:r w:rsidRPr="00017C08">
              <w:rPr>
                <w:rFonts w:ascii="Arial" w:eastAsia="Times New Roman" w:hAnsi="Arial" w:cs="Arial"/>
                <w:color w:val="000000"/>
                <w:lang w:eastAsia="vi-VN"/>
              </w:rPr>
              <w:t>1.346</w:t>
            </w:r>
          </w:p>
        </w:tc>
        <w:tc>
          <w:tcPr>
            <w:tcW w:w="2591" w:type="dxa"/>
            <w:tcBorders>
              <w:top w:val="nil"/>
              <w:left w:val="nil"/>
              <w:bottom w:val="dotted" w:sz="4" w:space="0" w:color="auto"/>
              <w:right w:val="single" w:sz="4" w:space="0" w:color="auto"/>
            </w:tcBorders>
            <w:shd w:val="clear" w:color="auto" w:fill="auto"/>
            <w:noWrap/>
            <w:vAlign w:val="bottom"/>
            <w:hideMark/>
          </w:tcPr>
          <w:p w14:paraId="09F3F434" w14:textId="77777777" w:rsidR="00017C08" w:rsidRPr="00017C08" w:rsidRDefault="00017C08" w:rsidP="00017C08">
            <w:pPr>
              <w:spacing w:after="0" w:line="240" w:lineRule="auto"/>
              <w:jc w:val="center"/>
              <w:rPr>
                <w:rFonts w:ascii="Arial" w:eastAsia="Times New Roman" w:hAnsi="Arial" w:cs="Arial"/>
                <w:color w:val="000000"/>
                <w:lang w:eastAsia="vi-VN"/>
              </w:rPr>
            </w:pPr>
            <w:r w:rsidRPr="00017C08">
              <w:rPr>
                <w:rFonts w:ascii="Arial" w:eastAsia="Times New Roman" w:hAnsi="Arial" w:cs="Arial"/>
                <w:color w:val="000000"/>
                <w:lang w:eastAsia="vi-VN"/>
              </w:rPr>
              <w:t>0.065</w:t>
            </w:r>
          </w:p>
        </w:tc>
        <w:tc>
          <w:tcPr>
            <w:tcW w:w="2551" w:type="dxa"/>
            <w:vMerge/>
            <w:tcBorders>
              <w:top w:val="nil"/>
              <w:left w:val="single" w:sz="4" w:space="0" w:color="auto"/>
              <w:bottom w:val="single" w:sz="4" w:space="0" w:color="000000"/>
              <w:right w:val="single" w:sz="4" w:space="0" w:color="auto"/>
            </w:tcBorders>
            <w:vAlign w:val="center"/>
            <w:hideMark/>
          </w:tcPr>
          <w:p w14:paraId="6EEC16DD" w14:textId="77777777" w:rsidR="00017C08" w:rsidRPr="00017C08" w:rsidRDefault="00017C08" w:rsidP="00017C08">
            <w:pPr>
              <w:spacing w:after="0" w:line="240" w:lineRule="auto"/>
              <w:rPr>
                <w:rFonts w:ascii="Arial" w:eastAsia="Times New Roman" w:hAnsi="Arial" w:cs="Arial"/>
                <w:color w:val="000000"/>
                <w:lang w:eastAsia="vi-VN"/>
              </w:rPr>
            </w:pPr>
          </w:p>
        </w:tc>
      </w:tr>
      <w:tr w:rsidR="00017C08" w:rsidRPr="00017C08" w14:paraId="403E0D4D" w14:textId="77777777" w:rsidTr="00017C08">
        <w:trPr>
          <w:trHeight w:val="315"/>
        </w:trPr>
        <w:tc>
          <w:tcPr>
            <w:tcW w:w="1076" w:type="dxa"/>
            <w:tcBorders>
              <w:top w:val="nil"/>
              <w:left w:val="single" w:sz="4" w:space="0" w:color="auto"/>
              <w:bottom w:val="nil"/>
              <w:right w:val="nil"/>
            </w:tcBorders>
            <w:shd w:val="clear" w:color="auto" w:fill="auto"/>
            <w:noWrap/>
            <w:vAlign w:val="bottom"/>
            <w:hideMark/>
          </w:tcPr>
          <w:p w14:paraId="1D847094" w14:textId="77777777" w:rsidR="00017C08" w:rsidRPr="00017C08" w:rsidRDefault="00017C08" w:rsidP="00017C08">
            <w:pPr>
              <w:spacing w:after="0" w:line="240" w:lineRule="auto"/>
              <w:jc w:val="center"/>
              <w:rPr>
                <w:rFonts w:ascii="Arial" w:eastAsia="Times New Roman" w:hAnsi="Arial" w:cs="Arial"/>
                <w:color w:val="000000"/>
                <w:lang w:eastAsia="vi-VN"/>
              </w:rPr>
            </w:pPr>
            <w:r w:rsidRPr="00017C08">
              <w:rPr>
                <w:rFonts w:ascii="Arial" w:eastAsia="Times New Roman" w:hAnsi="Arial" w:cs="Arial"/>
                <w:color w:val="000000"/>
                <w:lang w:eastAsia="vi-VN"/>
              </w:rPr>
              <w:t>4</w:t>
            </w:r>
          </w:p>
        </w:tc>
        <w:tc>
          <w:tcPr>
            <w:tcW w:w="2276" w:type="dxa"/>
            <w:tcBorders>
              <w:top w:val="nil"/>
              <w:left w:val="dashed" w:sz="4" w:space="0" w:color="auto"/>
              <w:bottom w:val="dashed" w:sz="4" w:space="0" w:color="auto"/>
              <w:right w:val="dashed" w:sz="4" w:space="0" w:color="auto"/>
            </w:tcBorders>
            <w:shd w:val="clear" w:color="000000" w:fill="FFFFFF"/>
            <w:noWrap/>
            <w:vAlign w:val="bottom"/>
            <w:hideMark/>
          </w:tcPr>
          <w:p w14:paraId="7CDF9030" w14:textId="77777777" w:rsidR="00017C08" w:rsidRPr="00017C08" w:rsidRDefault="00017C08" w:rsidP="00017C08">
            <w:pPr>
              <w:spacing w:after="0" w:line="240" w:lineRule="auto"/>
              <w:rPr>
                <w:rFonts w:ascii="Times New Roman" w:eastAsia="Times New Roman" w:hAnsi="Times New Roman" w:cs="Times New Roman"/>
                <w:b/>
                <w:bCs/>
                <w:color w:val="000000"/>
                <w:sz w:val="24"/>
                <w:szCs w:val="24"/>
                <w:lang w:eastAsia="vi-VN"/>
              </w:rPr>
            </w:pPr>
            <w:r w:rsidRPr="00017C08">
              <w:rPr>
                <w:rFonts w:ascii="Times New Roman" w:eastAsia="Times New Roman" w:hAnsi="Times New Roman" w:cs="Times New Roman"/>
                <w:b/>
                <w:bCs/>
                <w:color w:val="000000"/>
                <w:sz w:val="24"/>
                <w:szCs w:val="24"/>
                <w:lang w:eastAsia="vi-VN"/>
              </w:rPr>
              <w:t>MBB</w:t>
            </w:r>
          </w:p>
        </w:tc>
        <w:tc>
          <w:tcPr>
            <w:tcW w:w="1146" w:type="dxa"/>
            <w:tcBorders>
              <w:top w:val="nil"/>
              <w:left w:val="single" w:sz="4" w:space="0" w:color="auto"/>
              <w:bottom w:val="dotted" w:sz="4" w:space="0" w:color="auto"/>
              <w:right w:val="single" w:sz="4" w:space="0" w:color="auto"/>
            </w:tcBorders>
            <w:shd w:val="clear" w:color="auto" w:fill="auto"/>
            <w:noWrap/>
            <w:vAlign w:val="bottom"/>
            <w:hideMark/>
          </w:tcPr>
          <w:p w14:paraId="27AB8B02" w14:textId="77777777" w:rsidR="00017C08" w:rsidRPr="00017C08" w:rsidRDefault="00017C08" w:rsidP="00017C08">
            <w:pPr>
              <w:spacing w:after="0" w:line="240" w:lineRule="auto"/>
              <w:jc w:val="center"/>
              <w:rPr>
                <w:rFonts w:ascii="Arial" w:eastAsia="Times New Roman" w:hAnsi="Arial" w:cs="Arial"/>
                <w:color w:val="000000"/>
                <w:lang w:eastAsia="vi-VN"/>
              </w:rPr>
            </w:pPr>
            <w:r w:rsidRPr="00017C08">
              <w:rPr>
                <w:rFonts w:ascii="Arial" w:eastAsia="Times New Roman" w:hAnsi="Arial" w:cs="Arial"/>
                <w:color w:val="000000"/>
                <w:lang w:eastAsia="vi-VN"/>
              </w:rPr>
              <w:t>0.639</w:t>
            </w:r>
          </w:p>
        </w:tc>
        <w:tc>
          <w:tcPr>
            <w:tcW w:w="2591" w:type="dxa"/>
            <w:tcBorders>
              <w:top w:val="nil"/>
              <w:left w:val="nil"/>
              <w:bottom w:val="dotted" w:sz="4" w:space="0" w:color="auto"/>
              <w:right w:val="single" w:sz="4" w:space="0" w:color="auto"/>
            </w:tcBorders>
            <w:shd w:val="clear" w:color="auto" w:fill="auto"/>
            <w:noWrap/>
            <w:vAlign w:val="bottom"/>
            <w:hideMark/>
          </w:tcPr>
          <w:p w14:paraId="7B009215" w14:textId="77777777" w:rsidR="00017C08" w:rsidRPr="00017C08" w:rsidRDefault="00017C08" w:rsidP="00017C08">
            <w:pPr>
              <w:spacing w:after="0" w:line="240" w:lineRule="auto"/>
              <w:jc w:val="center"/>
              <w:rPr>
                <w:rFonts w:ascii="Arial" w:eastAsia="Times New Roman" w:hAnsi="Arial" w:cs="Arial"/>
                <w:color w:val="000000"/>
                <w:lang w:eastAsia="vi-VN"/>
              </w:rPr>
            </w:pPr>
            <w:r w:rsidRPr="00017C08">
              <w:rPr>
                <w:rFonts w:ascii="Arial" w:eastAsia="Times New Roman" w:hAnsi="Arial" w:cs="Arial"/>
                <w:color w:val="000000"/>
                <w:lang w:eastAsia="vi-VN"/>
              </w:rPr>
              <w:t>0.066</w:t>
            </w:r>
          </w:p>
        </w:tc>
        <w:tc>
          <w:tcPr>
            <w:tcW w:w="2551" w:type="dxa"/>
            <w:vMerge/>
            <w:tcBorders>
              <w:top w:val="nil"/>
              <w:left w:val="single" w:sz="4" w:space="0" w:color="auto"/>
              <w:bottom w:val="single" w:sz="4" w:space="0" w:color="000000"/>
              <w:right w:val="single" w:sz="4" w:space="0" w:color="auto"/>
            </w:tcBorders>
            <w:vAlign w:val="center"/>
            <w:hideMark/>
          </w:tcPr>
          <w:p w14:paraId="5FF11EF9" w14:textId="77777777" w:rsidR="00017C08" w:rsidRPr="00017C08" w:rsidRDefault="00017C08" w:rsidP="00017C08">
            <w:pPr>
              <w:spacing w:after="0" w:line="240" w:lineRule="auto"/>
              <w:rPr>
                <w:rFonts w:ascii="Arial" w:eastAsia="Times New Roman" w:hAnsi="Arial" w:cs="Arial"/>
                <w:color w:val="000000"/>
                <w:lang w:eastAsia="vi-VN"/>
              </w:rPr>
            </w:pPr>
          </w:p>
        </w:tc>
      </w:tr>
      <w:tr w:rsidR="00017C08" w:rsidRPr="00017C08" w14:paraId="2ED0D1CA" w14:textId="77777777" w:rsidTr="00017C08">
        <w:trPr>
          <w:trHeight w:val="315"/>
        </w:trPr>
        <w:tc>
          <w:tcPr>
            <w:tcW w:w="1076" w:type="dxa"/>
            <w:tcBorders>
              <w:top w:val="nil"/>
              <w:left w:val="single" w:sz="4" w:space="0" w:color="auto"/>
              <w:bottom w:val="nil"/>
              <w:right w:val="nil"/>
            </w:tcBorders>
            <w:shd w:val="clear" w:color="auto" w:fill="auto"/>
            <w:noWrap/>
            <w:vAlign w:val="bottom"/>
            <w:hideMark/>
          </w:tcPr>
          <w:p w14:paraId="27910A75" w14:textId="77777777" w:rsidR="00017C08" w:rsidRPr="00017C08" w:rsidRDefault="00017C08" w:rsidP="00017C08">
            <w:pPr>
              <w:spacing w:after="0" w:line="240" w:lineRule="auto"/>
              <w:jc w:val="center"/>
              <w:rPr>
                <w:rFonts w:ascii="Arial" w:eastAsia="Times New Roman" w:hAnsi="Arial" w:cs="Arial"/>
                <w:color w:val="000000"/>
                <w:lang w:eastAsia="vi-VN"/>
              </w:rPr>
            </w:pPr>
            <w:r w:rsidRPr="00017C08">
              <w:rPr>
                <w:rFonts w:ascii="Arial" w:eastAsia="Times New Roman" w:hAnsi="Arial" w:cs="Arial"/>
                <w:color w:val="000000"/>
                <w:lang w:eastAsia="vi-VN"/>
              </w:rPr>
              <w:t>5</w:t>
            </w:r>
          </w:p>
        </w:tc>
        <w:tc>
          <w:tcPr>
            <w:tcW w:w="2276" w:type="dxa"/>
            <w:tcBorders>
              <w:top w:val="nil"/>
              <w:left w:val="dashed" w:sz="4" w:space="0" w:color="auto"/>
              <w:bottom w:val="dashed" w:sz="4" w:space="0" w:color="auto"/>
              <w:right w:val="dashed" w:sz="4" w:space="0" w:color="auto"/>
            </w:tcBorders>
            <w:shd w:val="clear" w:color="000000" w:fill="FFFFFF"/>
            <w:noWrap/>
            <w:vAlign w:val="bottom"/>
            <w:hideMark/>
          </w:tcPr>
          <w:p w14:paraId="024AE8EC" w14:textId="77777777" w:rsidR="00017C08" w:rsidRPr="00017C08" w:rsidRDefault="00017C08" w:rsidP="00017C08">
            <w:pPr>
              <w:spacing w:after="0" w:line="240" w:lineRule="auto"/>
              <w:rPr>
                <w:rFonts w:ascii="Times New Roman" w:eastAsia="Times New Roman" w:hAnsi="Times New Roman" w:cs="Times New Roman"/>
                <w:b/>
                <w:bCs/>
                <w:color w:val="000000"/>
                <w:sz w:val="24"/>
                <w:szCs w:val="24"/>
                <w:lang w:eastAsia="vi-VN"/>
              </w:rPr>
            </w:pPr>
            <w:r w:rsidRPr="00017C08">
              <w:rPr>
                <w:rFonts w:ascii="Times New Roman" w:eastAsia="Times New Roman" w:hAnsi="Times New Roman" w:cs="Times New Roman"/>
                <w:b/>
                <w:bCs/>
                <w:color w:val="000000"/>
                <w:sz w:val="24"/>
                <w:szCs w:val="24"/>
                <w:lang w:eastAsia="vi-VN"/>
              </w:rPr>
              <w:t>NVB</w:t>
            </w:r>
          </w:p>
        </w:tc>
        <w:tc>
          <w:tcPr>
            <w:tcW w:w="1146" w:type="dxa"/>
            <w:tcBorders>
              <w:top w:val="nil"/>
              <w:left w:val="single" w:sz="4" w:space="0" w:color="auto"/>
              <w:bottom w:val="dotted" w:sz="4" w:space="0" w:color="auto"/>
              <w:right w:val="single" w:sz="4" w:space="0" w:color="auto"/>
            </w:tcBorders>
            <w:shd w:val="clear" w:color="auto" w:fill="auto"/>
            <w:noWrap/>
            <w:vAlign w:val="bottom"/>
            <w:hideMark/>
          </w:tcPr>
          <w:p w14:paraId="0ED664FA" w14:textId="77777777" w:rsidR="00017C08" w:rsidRPr="00017C08" w:rsidRDefault="00017C08" w:rsidP="00017C08">
            <w:pPr>
              <w:spacing w:after="0" w:line="240" w:lineRule="auto"/>
              <w:jc w:val="center"/>
              <w:rPr>
                <w:rFonts w:ascii="Arial" w:eastAsia="Times New Roman" w:hAnsi="Arial" w:cs="Arial"/>
                <w:color w:val="000000"/>
                <w:lang w:eastAsia="vi-VN"/>
              </w:rPr>
            </w:pPr>
            <w:r w:rsidRPr="00017C08">
              <w:rPr>
                <w:rFonts w:ascii="Arial" w:eastAsia="Times New Roman" w:hAnsi="Arial" w:cs="Arial"/>
                <w:color w:val="000000"/>
                <w:lang w:eastAsia="vi-VN"/>
              </w:rPr>
              <w:t>0.676</w:t>
            </w:r>
          </w:p>
        </w:tc>
        <w:tc>
          <w:tcPr>
            <w:tcW w:w="2591" w:type="dxa"/>
            <w:tcBorders>
              <w:top w:val="nil"/>
              <w:left w:val="nil"/>
              <w:bottom w:val="dotted" w:sz="4" w:space="0" w:color="auto"/>
              <w:right w:val="single" w:sz="4" w:space="0" w:color="auto"/>
            </w:tcBorders>
            <w:shd w:val="clear" w:color="auto" w:fill="auto"/>
            <w:noWrap/>
            <w:vAlign w:val="bottom"/>
            <w:hideMark/>
          </w:tcPr>
          <w:p w14:paraId="51EC89FD" w14:textId="77777777" w:rsidR="00017C08" w:rsidRPr="00017C08" w:rsidRDefault="00017C08" w:rsidP="00017C08">
            <w:pPr>
              <w:spacing w:after="0" w:line="240" w:lineRule="auto"/>
              <w:jc w:val="center"/>
              <w:rPr>
                <w:rFonts w:ascii="Arial" w:eastAsia="Times New Roman" w:hAnsi="Arial" w:cs="Arial"/>
                <w:color w:val="000000"/>
                <w:lang w:eastAsia="vi-VN"/>
              </w:rPr>
            </w:pPr>
            <w:r w:rsidRPr="00017C08">
              <w:rPr>
                <w:rFonts w:ascii="Arial" w:eastAsia="Times New Roman" w:hAnsi="Arial" w:cs="Arial"/>
                <w:color w:val="000000"/>
                <w:lang w:eastAsia="vi-VN"/>
              </w:rPr>
              <w:t>0.045</w:t>
            </w:r>
          </w:p>
        </w:tc>
        <w:tc>
          <w:tcPr>
            <w:tcW w:w="2551" w:type="dxa"/>
            <w:vMerge/>
            <w:tcBorders>
              <w:top w:val="nil"/>
              <w:left w:val="single" w:sz="4" w:space="0" w:color="auto"/>
              <w:bottom w:val="single" w:sz="4" w:space="0" w:color="000000"/>
              <w:right w:val="single" w:sz="4" w:space="0" w:color="auto"/>
            </w:tcBorders>
            <w:vAlign w:val="center"/>
            <w:hideMark/>
          </w:tcPr>
          <w:p w14:paraId="7A767E1B" w14:textId="77777777" w:rsidR="00017C08" w:rsidRPr="00017C08" w:rsidRDefault="00017C08" w:rsidP="00017C08">
            <w:pPr>
              <w:spacing w:after="0" w:line="240" w:lineRule="auto"/>
              <w:rPr>
                <w:rFonts w:ascii="Arial" w:eastAsia="Times New Roman" w:hAnsi="Arial" w:cs="Arial"/>
                <w:color w:val="000000"/>
                <w:lang w:eastAsia="vi-VN"/>
              </w:rPr>
            </w:pPr>
          </w:p>
        </w:tc>
      </w:tr>
      <w:tr w:rsidR="00017C08" w:rsidRPr="00017C08" w14:paraId="772ABA12" w14:textId="77777777" w:rsidTr="00017C08">
        <w:trPr>
          <w:trHeight w:val="315"/>
        </w:trPr>
        <w:tc>
          <w:tcPr>
            <w:tcW w:w="1076" w:type="dxa"/>
            <w:tcBorders>
              <w:top w:val="nil"/>
              <w:left w:val="single" w:sz="4" w:space="0" w:color="auto"/>
              <w:bottom w:val="nil"/>
              <w:right w:val="nil"/>
            </w:tcBorders>
            <w:shd w:val="clear" w:color="auto" w:fill="auto"/>
            <w:noWrap/>
            <w:vAlign w:val="bottom"/>
            <w:hideMark/>
          </w:tcPr>
          <w:p w14:paraId="1C0CEF27" w14:textId="77777777" w:rsidR="00017C08" w:rsidRPr="00017C08" w:rsidRDefault="00017C08" w:rsidP="00017C08">
            <w:pPr>
              <w:spacing w:after="0" w:line="240" w:lineRule="auto"/>
              <w:jc w:val="center"/>
              <w:rPr>
                <w:rFonts w:ascii="Arial" w:eastAsia="Times New Roman" w:hAnsi="Arial" w:cs="Arial"/>
                <w:color w:val="000000"/>
                <w:lang w:eastAsia="vi-VN"/>
              </w:rPr>
            </w:pPr>
            <w:r w:rsidRPr="00017C08">
              <w:rPr>
                <w:rFonts w:ascii="Arial" w:eastAsia="Times New Roman" w:hAnsi="Arial" w:cs="Arial"/>
                <w:color w:val="000000"/>
                <w:lang w:eastAsia="vi-VN"/>
              </w:rPr>
              <w:t>6</w:t>
            </w:r>
          </w:p>
        </w:tc>
        <w:tc>
          <w:tcPr>
            <w:tcW w:w="2276" w:type="dxa"/>
            <w:tcBorders>
              <w:top w:val="nil"/>
              <w:left w:val="dashed" w:sz="4" w:space="0" w:color="auto"/>
              <w:bottom w:val="dashed" w:sz="4" w:space="0" w:color="auto"/>
              <w:right w:val="dashed" w:sz="4" w:space="0" w:color="auto"/>
            </w:tcBorders>
            <w:shd w:val="clear" w:color="000000" w:fill="FFFFFF"/>
            <w:noWrap/>
            <w:vAlign w:val="bottom"/>
            <w:hideMark/>
          </w:tcPr>
          <w:p w14:paraId="373F6A8F" w14:textId="77777777" w:rsidR="00017C08" w:rsidRPr="00017C08" w:rsidRDefault="00017C08" w:rsidP="00017C08">
            <w:pPr>
              <w:spacing w:after="0" w:line="240" w:lineRule="auto"/>
              <w:rPr>
                <w:rFonts w:ascii="Times New Roman" w:eastAsia="Times New Roman" w:hAnsi="Times New Roman" w:cs="Times New Roman"/>
                <w:b/>
                <w:bCs/>
                <w:color w:val="000000"/>
                <w:sz w:val="24"/>
                <w:szCs w:val="24"/>
                <w:lang w:eastAsia="vi-VN"/>
              </w:rPr>
            </w:pPr>
            <w:r w:rsidRPr="00017C08">
              <w:rPr>
                <w:rFonts w:ascii="Times New Roman" w:eastAsia="Times New Roman" w:hAnsi="Times New Roman" w:cs="Times New Roman"/>
                <w:b/>
                <w:bCs/>
                <w:color w:val="000000"/>
                <w:sz w:val="24"/>
                <w:szCs w:val="24"/>
                <w:lang w:eastAsia="vi-VN"/>
              </w:rPr>
              <w:t>SHB</w:t>
            </w:r>
          </w:p>
        </w:tc>
        <w:tc>
          <w:tcPr>
            <w:tcW w:w="1146" w:type="dxa"/>
            <w:tcBorders>
              <w:top w:val="nil"/>
              <w:left w:val="single" w:sz="4" w:space="0" w:color="auto"/>
              <w:bottom w:val="dotted" w:sz="4" w:space="0" w:color="auto"/>
              <w:right w:val="single" w:sz="4" w:space="0" w:color="auto"/>
            </w:tcBorders>
            <w:shd w:val="clear" w:color="auto" w:fill="auto"/>
            <w:noWrap/>
            <w:vAlign w:val="bottom"/>
            <w:hideMark/>
          </w:tcPr>
          <w:p w14:paraId="16E7BD0E" w14:textId="77777777" w:rsidR="00017C08" w:rsidRPr="00017C08" w:rsidRDefault="00017C08" w:rsidP="00017C08">
            <w:pPr>
              <w:spacing w:after="0" w:line="240" w:lineRule="auto"/>
              <w:jc w:val="center"/>
              <w:rPr>
                <w:rFonts w:ascii="Arial" w:eastAsia="Times New Roman" w:hAnsi="Arial" w:cs="Arial"/>
                <w:color w:val="000000"/>
                <w:lang w:eastAsia="vi-VN"/>
              </w:rPr>
            </w:pPr>
            <w:r w:rsidRPr="00017C08">
              <w:rPr>
                <w:rFonts w:ascii="Arial" w:eastAsia="Times New Roman" w:hAnsi="Arial" w:cs="Arial"/>
                <w:color w:val="000000"/>
                <w:lang w:eastAsia="vi-VN"/>
              </w:rPr>
              <w:t>0.636</w:t>
            </w:r>
          </w:p>
        </w:tc>
        <w:tc>
          <w:tcPr>
            <w:tcW w:w="2591" w:type="dxa"/>
            <w:tcBorders>
              <w:top w:val="nil"/>
              <w:left w:val="nil"/>
              <w:bottom w:val="dotted" w:sz="4" w:space="0" w:color="auto"/>
              <w:right w:val="single" w:sz="4" w:space="0" w:color="auto"/>
            </w:tcBorders>
            <w:shd w:val="clear" w:color="auto" w:fill="auto"/>
            <w:noWrap/>
            <w:vAlign w:val="bottom"/>
            <w:hideMark/>
          </w:tcPr>
          <w:p w14:paraId="534C720A" w14:textId="77777777" w:rsidR="00017C08" w:rsidRPr="00017C08" w:rsidRDefault="00017C08" w:rsidP="00017C08">
            <w:pPr>
              <w:spacing w:after="0" w:line="240" w:lineRule="auto"/>
              <w:jc w:val="center"/>
              <w:rPr>
                <w:rFonts w:ascii="Arial" w:eastAsia="Times New Roman" w:hAnsi="Arial" w:cs="Arial"/>
                <w:color w:val="000000"/>
                <w:lang w:eastAsia="vi-VN"/>
              </w:rPr>
            </w:pPr>
            <w:r w:rsidRPr="00017C08">
              <w:rPr>
                <w:rFonts w:ascii="Arial" w:eastAsia="Times New Roman" w:hAnsi="Arial" w:cs="Arial"/>
                <w:color w:val="000000"/>
                <w:lang w:eastAsia="vi-VN"/>
              </w:rPr>
              <w:t>0.035</w:t>
            </w:r>
          </w:p>
        </w:tc>
        <w:tc>
          <w:tcPr>
            <w:tcW w:w="2551" w:type="dxa"/>
            <w:vMerge/>
            <w:tcBorders>
              <w:top w:val="nil"/>
              <w:left w:val="single" w:sz="4" w:space="0" w:color="auto"/>
              <w:bottom w:val="single" w:sz="4" w:space="0" w:color="000000"/>
              <w:right w:val="single" w:sz="4" w:space="0" w:color="auto"/>
            </w:tcBorders>
            <w:vAlign w:val="center"/>
            <w:hideMark/>
          </w:tcPr>
          <w:p w14:paraId="36BFCD10" w14:textId="77777777" w:rsidR="00017C08" w:rsidRPr="00017C08" w:rsidRDefault="00017C08" w:rsidP="00017C08">
            <w:pPr>
              <w:spacing w:after="0" w:line="240" w:lineRule="auto"/>
              <w:rPr>
                <w:rFonts w:ascii="Arial" w:eastAsia="Times New Roman" w:hAnsi="Arial" w:cs="Arial"/>
                <w:color w:val="000000"/>
                <w:lang w:eastAsia="vi-VN"/>
              </w:rPr>
            </w:pPr>
          </w:p>
        </w:tc>
      </w:tr>
      <w:tr w:rsidR="00017C08" w:rsidRPr="00017C08" w14:paraId="30F4DADC" w14:textId="77777777" w:rsidTr="00017C08">
        <w:trPr>
          <w:trHeight w:val="315"/>
        </w:trPr>
        <w:tc>
          <w:tcPr>
            <w:tcW w:w="1076" w:type="dxa"/>
            <w:tcBorders>
              <w:top w:val="nil"/>
              <w:left w:val="single" w:sz="4" w:space="0" w:color="auto"/>
              <w:bottom w:val="nil"/>
              <w:right w:val="nil"/>
            </w:tcBorders>
            <w:shd w:val="clear" w:color="auto" w:fill="auto"/>
            <w:noWrap/>
            <w:vAlign w:val="bottom"/>
            <w:hideMark/>
          </w:tcPr>
          <w:p w14:paraId="3D314DE2" w14:textId="77777777" w:rsidR="00017C08" w:rsidRPr="00017C08" w:rsidRDefault="00017C08" w:rsidP="00017C08">
            <w:pPr>
              <w:spacing w:after="0" w:line="240" w:lineRule="auto"/>
              <w:jc w:val="center"/>
              <w:rPr>
                <w:rFonts w:ascii="Arial" w:eastAsia="Times New Roman" w:hAnsi="Arial" w:cs="Arial"/>
                <w:color w:val="000000"/>
                <w:lang w:eastAsia="vi-VN"/>
              </w:rPr>
            </w:pPr>
            <w:r w:rsidRPr="00017C08">
              <w:rPr>
                <w:rFonts w:ascii="Arial" w:eastAsia="Times New Roman" w:hAnsi="Arial" w:cs="Arial"/>
                <w:color w:val="000000"/>
                <w:lang w:eastAsia="vi-VN"/>
              </w:rPr>
              <w:t>7</w:t>
            </w:r>
          </w:p>
        </w:tc>
        <w:tc>
          <w:tcPr>
            <w:tcW w:w="2276" w:type="dxa"/>
            <w:tcBorders>
              <w:top w:val="nil"/>
              <w:left w:val="dashed" w:sz="4" w:space="0" w:color="auto"/>
              <w:bottom w:val="dashed" w:sz="4" w:space="0" w:color="auto"/>
              <w:right w:val="dashed" w:sz="4" w:space="0" w:color="auto"/>
            </w:tcBorders>
            <w:shd w:val="clear" w:color="000000" w:fill="FFFFFF"/>
            <w:noWrap/>
            <w:vAlign w:val="bottom"/>
            <w:hideMark/>
          </w:tcPr>
          <w:p w14:paraId="2785AEFF" w14:textId="77777777" w:rsidR="00017C08" w:rsidRPr="00017C08" w:rsidRDefault="00017C08" w:rsidP="00017C08">
            <w:pPr>
              <w:spacing w:after="0" w:line="240" w:lineRule="auto"/>
              <w:rPr>
                <w:rFonts w:ascii="Times New Roman" w:eastAsia="Times New Roman" w:hAnsi="Times New Roman" w:cs="Times New Roman"/>
                <w:b/>
                <w:bCs/>
                <w:color w:val="000000"/>
                <w:sz w:val="24"/>
                <w:szCs w:val="24"/>
                <w:lang w:eastAsia="vi-VN"/>
              </w:rPr>
            </w:pPr>
            <w:r w:rsidRPr="00017C08">
              <w:rPr>
                <w:rFonts w:ascii="Times New Roman" w:eastAsia="Times New Roman" w:hAnsi="Times New Roman" w:cs="Times New Roman"/>
                <w:b/>
                <w:bCs/>
                <w:color w:val="000000"/>
                <w:sz w:val="24"/>
                <w:szCs w:val="24"/>
                <w:lang w:eastAsia="vi-VN"/>
              </w:rPr>
              <w:t>STB</w:t>
            </w:r>
          </w:p>
        </w:tc>
        <w:tc>
          <w:tcPr>
            <w:tcW w:w="1146" w:type="dxa"/>
            <w:tcBorders>
              <w:top w:val="nil"/>
              <w:left w:val="single" w:sz="4" w:space="0" w:color="auto"/>
              <w:bottom w:val="dotted" w:sz="4" w:space="0" w:color="auto"/>
              <w:right w:val="single" w:sz="4" w:space="0" w:color="auto"/>
            </w:tcBorders>
            <w:shd w:val="clear" w:color="auto" w:fill="auto"/>
            <w:noWrap/>
            <w:vAlign w:val="bottom"/>
            <w:hideMark/>
          </w:tcPr>
          <w:p w14:paraId="4E972296" w14:textId="77777777" w:rsidR="00017C08" w:rsidRPr="00017C08" w:rsidRDefault="00017C08" w:rsidP="00017C08">
            <w:pPr>
              <w:spacing w:after="0" w:line="240" w:lineRule="auto"/>
              <w:jc w:val="center"/>
              <w:rPr>
                <w:rFonts w:ascii="Arial" w:eastAsia="Times New Roman" w:hAnsi="Arial" w:cs="Arial"/>
                <w:color w:val="000000"/>
                <w:lang w:eastAsia="vi-VN"/>
              </w:rPr>
            </w:pPr>
            <w:r w:rsidRPr="00017C08">
              <w:rPr>
                <w:rFonts w:ascii="Arial" w:eastAsia="Times New Roman" w:hAnsi="Arial" w:cs="Arial"/>
                <w:color w:val="000000"/>
                <w:lang w:eastAsia="vi-VN"/>
              </w:rPr>
              <w:t>1.165</w:t>
            </w:r>
          </w:p>
        </w:tc>
        <w:tc>
          <w:tcPr>
            <w:tcW w:w="2591" w:type="dxa"/>
            <w:tcBorders>
              <w:top w:val="nil"/>
              <w:left w:val="nil"/>
              <w:bottom w:val="dotted" w:sz="4" w:space="0" w:color="auto"/>
              <w:right w:val="single" w:sz="4" w:space="0" w:color="auto"/>
            </w:tcBorders>
            <w:shd w:val="clear" w:color="auto" w:fill="auto"/>
            <w:noWrap/>
            <w:vAlign w:val="bottom"/>
            <w:hideMark/>
          </w:tcPr>
          <w:p w14:paraId="1716A5F1" w14:textId="77777777" w:rsidR="00017C08" w:rsidRPr="00017C08" w:rsidRDefault="00017C08" w:rsidP="00017C08">
            <w:pPr>
              <w:spacing w:after="0" w:line="240" w:lineRule="auto"/>
              <w:jc w:val="center"/>
              <w:rPr>
                <w:rFonts w:ascii="Arial" w:eastAsia="Times New Roman" w:hAnsi="Arial" w:cs="Arial"/>
                <w:color w:val="000000"/>
                <w:lang w:eastAsia="vi-VN"/>
              </w:rPr>
            </w:pPr>
            <w:r w:rsidRPr="00017C08">
              <w:rPr>
                <w:rFonts w:ascii="Arial" w:eastAsia="Times New Roman" w:hAnsi="Arial" w:cs="Arial"/>
                <w:color w:val="000000"/>
                <w:lang w:eastAsia="vi-VN"/>
              </w:rPr>
              <w:t>0.090</w:t>
            </w:r>
          </w:p>
        </w:tc>
        <w:tc>
          <w:tcPr>
            <w:tcW w:w="2551" w:type="dxa"/>
            <w:vMerge/>
            <w:tcBorders>
              <w:top w:val="nil"/>
              <w:left w:val="single" w:sz="4" w:space="0" w:color="auto"/>
              <w:bottom w:val="single" w:sz="4" w:space="0" w:color="000000"/>
              <w:right w:val="single" w:sz="4" w:space="0" w:color="auto"/>
            </w:tcBorders>
            <w:vAlign w:val="center"/>
            <w:hideMark/>
          </w:tcPr>
          <w:p w14:paraId="5AE8D309" w14:textId="77777777" w:rsidR="00017C08" w:rsidRPr="00017C08" w:rsidRDefault="00017C08" w:rsidP="00017C08">
            <w:pPr>
              <w:spacing w:after="0" w:line="240" w:lineRule="auto"/>
              <w:rPr>
                <w:rFonts w:ascii="Arial" w:eastAsia="Times New Roman" w:hAnsi="Arial" w:cs="Arial"/>
                <w:color w:val="000000"/>
                <w:lang w:eastAsia="vi-VN"/>
              </w:rPr>
            </w:pPr>
          </w:p>
        </w:tc>
      </w:tr>
      <w:tr w:rsidR="00017C08" w:rsidRPr="00017C08" w14:paraId="544E9686" w14:textId="77777777" w:rsidTr="00017C08">
        <w:trPr>
          <w:trHeight w:val="315"/>
        </w:trPr>
        <w:tc>
          <w:tcPr>
            <w:tcW w:w="1076" w:type="dxa"/>
            <w:tcBorders>
              <w:top w:val="nil"/>
              <w:left w:val="single" w:sz="4" w:space="0" w:color="auto"/>
              <w:bottom w:val="nil"/>
              <w:right w:val="nil"/>
            </w:tcBorders>
            <w:shd w:val="clear" w:color="auto" w:fill="auto"/>
            <w:noWrap/>
            <w:vAlign w:val="bottom"/>
            <w:hideMark/>
          </w:tcPr>
          <w:p w14:paraId="3C7CF48D" w14:textId="77777777" w:rsidR="00017C08" w:rsidRPr="00017C08" w:rsidRDefault="00017C08" w:rsidP="00017C08">
            <w:pPr>
              <w:spacing w:after="0" w:line="240" w:lineRule="auto"/>
              <w:jc w:val="center"/>
              <w:rPr>
                <w:rFonts w:ascii="Arial" w:eastAsia="Times New Roman" w:hAnsi="Arial" w:cs="Arial"/>
                <w:color w:val="000000"/>
                <w:lang w:eastAsia="vi-VN"/>
              </w:rPr>
            </w:pPr>
            <w:r w:rsidRPr="00017C08">
              <w:rPr>
                <w:rFonts w:ascii="Arial" w:eastAsia="Times New Roman" w:hAnsi="Arial" w:cs="Arial"/>
                <w:color w:val="000000"/>
                <w:lang w:eastAsia="vi-VN"/>
              </w:rPr>
              <w:t>8</w:t>
            </w:r>
          </w:p>
        </w:tc>
        <w:tc>
          <w:tcPr>
            <w:tcW w:w="2276" w:type="dxa"/>
            <w:tcBorders>
              <w:top w:val="nil"/>
              <w:left w:val="dashed" w:sz="4" w:space="0" w:color="auto"/>
              <w:bottom w:val="dashed" w:sz="4" w:space="0" w:color="auto"/>
              <w:right w:val="dashed" w:sz="4" w:space="0" w:color="auto"/>
            </w:tcBorders>
            <w:shd w:val="clear" w:color="000000" w:fill="FFFFFF"/>
            <w:noWrap/>
            <w:vAlign w:val="bottom"/>
            <w:hideMark/>
          </w:tcPr>
          <w:p w14:paraId="20BE9BC4" w14:textId="77777777" w:rsidR="00017C08" w:rsidRPr="00017C08" w:rsidRDefault="00017C08" w:rsidP="00017C08">
            <w:pPr>
              <w:spacing w:after="0" w:line="240" w:lineRule="auto"/>
              <w:rPr>
                <w:rFonts w:ascii="Times New Roman" w:eastAsia="Times New Roman" w:hAnsi="Times New Roman" w:cs="Times New Roman"/>
                <w:b/>
                <w:bCs/>
                <w:color w:val="000000"/>
                <w:sz w:val="24"/>
                <w:szCs w:val="24"/>
                <w:lang w:eastAsia="vi-VN"/>
              </w:rPr>
            </w:pPr>
            <w:r w:rsidRPr="00017C08">
              <w:rPr>
                <w:rFonts w:ascii="Times New Roman" w:eastAsia="Times New Roman" w:hAnsi="Times New Roman" w:cs="Times New Roman"/>
                <w:b/>
                <w:bCs/>
                <w:color w:val="000000"/>
                <w:sz w:val="24"/>
                <w:szCs w:val="24"/>
                <w:lang w:eastAsia="vi-VN"/>
              </w:rPr>
              <w:t>EIB</w:t>
            </w:r>
          </w:p>
        </w:tc>
        <w:tc>
          <w:tcPr>
            <w:tcW w:w="1146" w:type="dxa"/>
            <w:tcBorders>
              <w:top w:val="nil"/>
              <w:left w:val="single" w:sz="4" w:space="0" w:color="auto"/>
              <w:bottom w:val="dotted" w:sz="4" w:space="0" w:color="auto"/>
              <w:right w:val="single" w:sz="4" w:space="0" w:color="auto"/>
            </w:tcBorders>
            <w:shd w:val="clear" w:color="auto" w:fill="auto"/>
            <w:noWrap/>
            <w:vAlign w:val="bottom"/>
            <w:hideMark/>
          </w:tcPr>
          <w:p w14:paraId="4B6A802D" w14:textId="77777777" w:rsidR="00017C08" w:rsidRPr="00017C08" w:rsidRDefault="00017C08" w:rsidP="00017C08">
            <w:pPr>
              <w:spacing w:after="0" w:line="240" w:lineRule="auto"/>
              <w:jc w:val="center"/>
              <w:rPr>
                <w:rFonts w:ascii="Arial" w:eastAsia="Times New Roman" w:hAnsi="Arial" w:cs="Arial"/>
                <w:color w:val="000000"/>
                <w:lang w:eastAsia="vi-VN"/>
              </w:rPr>
            </w:pPr>
            <w:r w:rsidRPr="00017C08">
              <w:rPr>
                <w:rFonts w:ascii="Arial" w:eastAsia="Times New Roman" w:hAnsi="Arial" w:cs="Arial"/>
                <w:color w:val="000000"/>
                <w:lang w:eastAsia="vi-VN"/>
              </w:rPr>
              <w:t>0.824</w:t>
            </w:r>
          </w:p>
        </w:tc>
        <w:tc>
          <w:tcPr>
            <w:tcW w:w="2591" w:type="dxa"/>
            <w:tcBorders>
              <w:top w:val="nil"/>
              <w:left w:val="nil"/>
              <w:bottom w:val="dotted" w:sz="4" w:space="0" w:color="auto"/>
              <w:right w:val="single" w:sz="4" w:space="0" w:color="auto"/>
            </w:tcBorders>
            <w:shd w:val="clear" w:color="auto" w:fill="auto"/>
            <w:noWrap/>
            <w:vAlign w:val="bottom"/>
            <w:hideMark/>
          </w:tcPr>
          <w:p w14:paraId="4FC40D3F" w14:textId="77777777" w:rsidR="00017C08" w:rsidRPr="00017C08" w:rsidRDefault="00017C08" w:rsidP="00017C08">
            <w:pPr>
              <w:spacing w:after="0" w:line="240" w:lineRule="auto"/>
              <w:jc w:val="center"/>
              <w:rPr>
                <w:rFonts w:ascii="Arial" w:eastAsia="Times New Roman" w:hAnsi="Arial" w:cs="Arial"/>
                <w:color w:val="000000"/>
                <w:lang w:eastAsia="vi-VN"/>
              </w:rPr>
            </w:pPr>
            <w:r w:rsidRPr="00017C08">
              <w:rPr>
                <w:rFonts w:ascii="Arial" w:eastAsia="Times New Roman" w:hAnsi="Arial" w:cs="Arial"/>
                <w:color w:val="000000"/>
                <w:lang w:eastAsia="vi-VN"/>
              </w:rPr>
              <w:t>0.087</w:t>
            </w:r>
          </w:p>
        </w:tc>
        <w:tc>
          <w:tcPr>
            <w:tcW w:w="2551" w:type="dxa"/>
            <w:vMerge/>
            <w:tcBorders>
              <w:top w:val="nil"/>
              <w:left w:val="single" w:sz="4" w:space="0" w:color="auto"/>
              <w:bottom w:val="single" w:sz="4" w:space="0" w:color="000000"/>
              <w:right w:val="single" w:sz="4" w:space="0" w:color="auto"/>
            </w:tcBorders>
            <w:vAlign w:val="center"/>
            <w:hideMark/>
          </w:tcPr>
          <w:p w14:paraId="2F3D0DFE" w14:textId="77777777" w:rsidR="00017C08" w:rsidRPr="00017C08" w:rsidRDefault="00017C08" w:rsidP="00017C08">
            <w:pPr>
              <w:spacing w:after="0" w:line="240" w:lineRule="auto"/>
              <w:rPr>
                <w:rFonts w:ascii="Arial" w:eastAsia="Times New Roman" w:hAnsi="Arial" w:cs="Arial"/>
                <w:color w:val="000000"/>
                <w:lang w:eastAsia="vi-VN"/>
              </w:rPr>
            </w:pPr>
          </w:p>
        </w:tc>
      </w:tr>
      <w:tr w:rsidR="00017C08" w:rsidRPr="00017C08" w14:paraId="607B6C21" w14:textId="77777777" w:rsidTr="00017C08">
        <w:trPr>
          <w:trHeight w:val="315"/>
        </w:trPr>
        <w:tc>
          <w:tcPr>
            <w:tcW w:w="1076" w:type="dxa"/>
            <w:tcBorders>
              <w:top w:val="nil"/>
              <w:left w:val="single" w:sz="4" w:space="0" w:color="auto"/>
              <w:bottom w:val="single" w:sz="4" w:space="0" w:color="auto"/>
              <w:right w:val="nil"/>
            </w:tcBorders>
            <w:shd w:val="clear" w:color="auto" w:fill="auto"/>
            <w:noWrap/>
            <w:vAlign w:val="bottom"/>
            <w:hideMark/>
          </w:tcPr>
          <w:p w14:paraId="65F176EF" w14:textId="77777777" w:rsidR="00017C08" w:rsidRPr="00017C08" w:rsidRDefault="00017C08" w:rsidP="00017C08">
            <w:pPr>
              <w:spacing w:after="0" w:line="240" w:lineRule="auto"/>
              <w:jc w:val="center"/>
              <w:rPr>
                <w:rFonts w:ascii="Arial" w:eastAsia="Times New Roman" w:hAnsi="Arial" w:cs="Arial"/>
                <w:color w:val="000000"/>
                <w:lang w:eastAsia="vi-VN"/>
              </w:rPr>
            </w:pPr>
            <w:r w:rsidRPr="00017C08">
              <w:rPr>
                <w:rFonts w:ascii="Arial" w:eastAsia="Times New Roman" w:hAnsi="Arial" w:cs="Arial"/>
                <w:color w:val="000000"/>
                <w:lang w:eastAsia="vi-VN"/>
              </w:rPr>
              <w:t>9</w:t>
            </w:r>
          </w:p>
        </w:tc>
        <w:tc>
          <w:tcPr>
            <w:tcW w:w="2276" w:type="dxa"/>
            <w:tcBorders>
              <w:top w:val="nil"/>
              <w:left w:val="dashed" w:sz="4" w:space="0" w:color="auto"/>
              <w:bottom w:val="single" w:sz="4" w:space="0" w:color="auto"/>
              <w:right w:val="dashed" w:sz="4" w:space="0" w:color="auto"/>
            </w:tcBorders>
            <w:shd w:val="clear" w:color="000000" w:fill="FFFFFF"/>
            <w:noWrap/>
            <w:vAlign w:val="bottom"/>
            <w:hideMark/>
          </w:tcPr>
          <w:p w14:paraId="7B6C8A02" w14:textId="77777777" w:rsidR="00017C08" w:rsidRPr="00017C08" w:rsidRDefault="00017C08" w:rsidP="00017C08">
            <w:pPr>
              <w:spacing w:after="0" w:line="240" w:lineRule="auto"/>
              <w:rPr>
                <w:rFonts w:ascii="Times New Roman" w:eastAsia="Times New Roman" w:hAnsi="Times New Roman" w:cs="Times New Roman"/>
                <w:b/>
                <w:bCs/>
                <w:color w:val="000000"/>
                <w:sz w:val="24"/>
                <w:szCs w:val="24"/>
                <w:lang w:eastAsia="vi-VN"/>
              </w:rPr>
            </w:pPr>
            <w:r w:rsidRPr="00017C08">
              <w:rPr>
                <w:rFonts w:ascii="Times New Roman" w:eastAsia="Times New Roman" w:hAnsi="Times New Roman" w:cs="Times New Roman"/>
                <w:b/>
                <w:bCs/>
                <w:color w:val="000000"/>
                <w:sz w:val="24"/>
                <w:szCs w:val="24"/>
                <w:lang w:eastAsia="vi-VN"/>
              </w:rPr>
              <w:t>VCB</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0DF7711B" w14:textId="77777777" w:rsidR="00017C08" w:rsidRPr="00017C08" w:rsidRDefault="00017C08" w:rsidP="00017C08">
            <w:pPr>
              <w:spacing w:after="0" w:line="240" w:lineRule="auto"/>
              <w:jc w:val="center"/>
              <w:rPr>
                <w:rFonts w:ascii="Arial" w:eastAsia="Times New Roman" w:hAnsi="Arial" w:cs="Arial"/>
                <w:color w:val="000000"/>
                <w:lang w:eastAsia="vi-VN"/>
              </w:rPr>
            </w:pPr>
            <w:r w:rsidRPr="00017C08">
              <w:rPr>
                <w:rFonts w:ascii="Arial" w:eastAsia="Times New Roman" w:hAnsi="Arial" w:cs="Arial"/>
                <w:color w:val="000000"/>
                <w:lang w:eastAsia="vi-VN"/>
              </w:rPr>
              <w:t>1.393</w:t>
            </w:r>
          </w:p>
        </w:tc>
        <w:tc>
          <w:tcPr>
            <w:tcW w:w="2591" w:type="dxa"/>
            <w:tcBorders>
              <w:top w:val="nil"/>
              <w:left w:val="nil"/>
              <w:bottom w:val="single" w:sz="4" w:space="0" w:color="auto"/>
              <w:right w:val="single" w:sz="4" w:space="0" w:color="auto"/>
            </w:tcBorders>
            <w:shd w:val="clear" w:color="auto" w:fill="auto"/>
            <w:noWrap/>
            <w:vAlign w:val="bottom"/>
            <w:hideMark/>
          </w:tcPr>
          <w:p w14:paraId="68BACE61" w14:textId="77777777" w:rsidR="00017C08" w:rsidRPr="00017C08" w:rsidRDefault="00017C08" w:rsidP="00017C08">
            <w:pPr>
              <w:spacing w:after="0" w:line="240" w:lineRule="auto"/>
              <w:jc w:val="center"/>
              <w:rPr>
                <w:rFonts w:ascii="Arial" w:eastAsia="Times New Roman" w:hAnsi="Arial" w:cs="Arial"/>
                <w:color w:val="000000"/>
                <w:lang w:eastAsia="vi-VN"/>
              </w:rPr>
            </w:pPr>
            <w:r w:rsidRPr="00017C08">
              <w:rPr>
                <w:rFonts w:ascii="Arial" w:eastAsia="Times New Roman" w:hAnsi="Arial" w:cs="Arial"/>
                <w:color w:val="000000"/>
                <w:lang w:eastAsia="vi-VN"/>
              </w:rPr>
              <w:t>0.093</w:t>
            </w:r>
          </w:p>
        </w:tc>
        <w:tc>
          <w:tcPr>
            <w:tcW w:w="2551" w:type="dxa"/>
            <w:vMerge/>
            <w:tcBorders>
              <w:top w:val="nil"/>
              <w:left w:val="single" w:sz="4" w:space="0" w:color="auto"/>
              <w:bottom w:val="single" w:sz="4" w:space="0" w:color="000000"/>
              <w:right w:val="single" w:sz="4" w:space="0" w:color="auto"/>
            </w:tcBorders>
            <w:vAlign w:val="center"/>
            <w:hideMark/>
          </w:tcPr>
          <w:p w14:paraId="618C5A92" w14:textId="77777777" w:rsidR="00017C08" w:rsidRPr="00017C08" w:rsidRDefault="00017C08" w:rsidP="00017C08">
            <w:pPr>
              <w:spacing w:after="0" w:line="240" w:lineRule="auto"/>
              <w:rPr>
                <w:rFonts w:ascii="Arial" w:eastAsia="Times New Roman" w:hAnsi="Arial" w:cs="Arial"/>
                <w:color w:val="000000"/>
                <w:lang w:eastAsia="vi-VN"/>
              </w:rPr>
            </w:pPr>
          </w:p>
        </w:tc>
      </w:tr>
    </w:tbl>
    <w:p w14:paraId="79F006B3" w14:textId="77777777" w:rsidR="00017C08" w:rsidRDefault="00017C08" w:rsidP="00017C08">
      <w:pPr>
        <w:pStyle w:val="ListParagraph"/>
        <w:rPr>
          <w:lang w:val="en-US"/>
        </w:rPr>
      </w:pPr>
    </w:p>
    <w:p w14:paraId="083E03A2" w14:textId="77777777" w:rsidR="00017C08" w:rsidRDefault="00017C08" w:rsidP="00017C08">
      <w:pPr>
        <w:pStyle w:val="ListParagraph"/>
        <w:rPr>
          <w:lang w:val="en-US"/>
        </w:rPr>
      </w:pPr>
      <w:r>
        <w:rPr>
          <w:lang w:val="en-US"/>
        </w:rPr>
        <w:t>Table 2 – The Statistics of Volatility of Market Risk (beta) of Banking Industry in the post- low inflation period 2015-2017</w:t>
      </w:r>
    </w:p>
    <w:tbl>
      <w:tblPr>
        <w:tblW w:w="6800" w:type="dxa"/>
        <w:jc w:val="center"/>
        <w:tblLook w:val="04A0" w:firstRow="1" w:lastRow="0" w:firstColumn="1" w:lastColumn="0" w:noHBand="0" w:noVBand="1"/>
      </w:tblPr>
      <w:tblGrid>
        <w:gridCol w:w="2260"/>
        <w:gridCol w:w="1142"/>
        <w:gridCol w:w="3398"/>
      </w:tblGrid>
      <w:tr w:rsidR="00017C08" w:rsidRPr="00017C08" w14:paraId="0FCACA23" w14:textId="77777777" w:rsidTr="00017C08">
        <w:trPr>
          <w:trHeight w:val="285"/>
          <w:jc w:val="center"/>
        </w:trPr>
        <w:tc>
          <w:tcPr>
            <w:tcW w:w="2260" w:type="dxa"/>
            <w:tcBorders>
              <w:top w:val="dotted" w:sz="4" w:space="0" w:color="auto"/>
              <w:left w:val="single" w:sz="4" w:space="0" w:color="auto"/>
              <w:bottom w:val="single" w:sz="4" w:space="0" w:color="auto"/>
              <w:right w:val="single" w:sz="4" w:space="0" w:color="auto"/>
            </w:tcBorders>
            <w:shd w:val="clear" w:color="auto" w:fill="auto"/>
            <w:vAlign w:val="bottom"/>
            <w:hideMark/>
          </w:tcPr>
          <w:p w14:paraId="4E1E020B" w14:textId="77777777" w:rsidR="00017C08" w:rsidRPr="00017C08" w:rsidRDefault="00017C08" w:rsidP="00017C08">
            <w:pPr>
              <w:spacing w:after="0" w:line="240" w:lineRule="auto"/>
              <w:rPr>
                <w:rFonts w:ascii="Arial" w:eastAsia="Times New Roman" w:hAnsi="Arial" w:cs="Arial"/>
                <w:color w:val="0000FF"/>
                <w:u w:val="single"/>
                <w:lang w:eastAsia="vi-VN"/>
              </w:rPr>
            </w:pPr>
            <w:r w:rsidRPr="00017C08">
              <w:rPr>
                <w:rFonts w:ascii="Arial" w:eastAsia="Times New Roman" w:hAnsi="Arial" w:cs="Arial"/>
                <w:color w:val="0000FF"/>
                <w:u w:val="single"/>
                <w:lang w:eastAsia="vi-VN"/>
              </w:rPr>
              <w:t> </w:t>
            </w:r>
          </w:p>
        </w:tc>
        <w:tc>
          <w:tcPr>
            <w:tcW w:w="45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0412F91" w14:textId="77777777" w:rsidR="00017C08" w:rsidRPr="00017C08" w:rsidRDefault="00017C08" w:rsidP="00017C08">
            <w:pPr>
              <w:spacing w:after="0" w:line="240" w:lineRule="auto"/>
              <w:jc w:val="center"/>
              <w:rPr>
                <w:rFonts w:ascii="Arial" w:eastAsia="Times New Roman" w:hAnsi="Arial" w:cs="Arial"/>
                <w:color w:val="000000"/>
                <w:lang w:eastAsia="vi-VN"/>
              </w:rPr>
            </w:pPr>
            <w:r w:rsidRPr="00017C08">
              <w:rPr>
                <w:rFonts w:ascii="Arial" w:eastAsia="Times New Roman" w:hAnsi="Arial" w:cs="Arial"/>
                <w:color w:val="000000"/>
                <w:lang w:eastAsia="vi-VN"/>
              </w:rPr>
              <w:t>2015-2017 (post - low inflation)</w:t>
            </w:r>
          </w:p>
        </w:tc>
      </w:tr>
      <w:tr w:rsidR="00017C08" w:rsidRPr="00017C08" w14:paraId="1A3E2A38" w14:textId="77777777" w:rsidTr="00017C08">
        <w:trPr>
          <w:trHeight w:val="285"/>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71B948F3" w14:textId="77777777" w:rsidR="00017C08" w:rsidRPr="00017C08" w:rsidRDefault="00017C08" w:rsidP="00017C08">
            <w:pPr>
              <w:spacing w:after="0" w:line="240" w:lineRule="auto"/>
              <w:rPr>
                <w:rFonts w:ascii="Arial" w:eastAsia="Times New Roman" w:hAnsi="Arial" w:cs="Arial"/>
                <w:b/>
                <w:bCs/>
                <w:sz w:val="20"/>
                <w:szCs w:val="20"/>
                <w:lang w:eastAsia="vi-VN"/>
              </w:rPr>
            </w:pPr>
            <w:r w:rsidRPr="00017C08">
              <w:rPr>
                <w:rFonts w:ascii="Arial" w:eastAsia="Times New Roman" w:hAnsi="Arial" w:cs="Arial"/>
                <w:b/>
                <w:bCs/>
                <w:sz w:val="20"/>
                <w:szCs w:val="20"/>
                <w:lang w:eastAsia="vi-VN"/>
              </w:rPr>
              <w:t>Statistic results</w:t>
            </w:r>
          </w:p>
        </w:tc>
        <w:tc>
          <w:tcPr>
            <w:tcW w:w="1142" w:type="dxa"/>
            <w:tcBorders>
              <w:top w:val="nil"/>
              <w:left w:val="nil"/>
              <w:bottom w:val="single" w:sz="4" w:space="0" w:color="auto"/>
              <w:right w:val="single" w:sz="4" w:space="0" w:color="auto"/>
            </w:tcBorders>
            <w:shd w:val="clear" w:color="auto" w:fill="auto"/>
            <w:noWrap/>
            <w:vAlign w:val="bottom"/>
            <w:hideMark/>
          </w:tcPr>
          <w:p w14:paraId="6C3080DE" w14:textId="77777777" w:rsidR="00017C08" w:rsidRPr="00017C08" w:rsidRDefault="00017C08" w:rsidP="00017C08">
            <w:pPr>
              <w:spacing w:after="0" w:line="240" w:lineRule="auto"/>
              <w:jc w:val="center"/>
              <w:rPr>
                <w:rFonts w:ascii="Arial" w:eastAsia="Times New Roman" w:hAnsi="Arial" w:cs="Arial"/>
                <w:b/>
                <w:bCs/>
                <w:sz w:val="20"/>
                <w:szCs w:val="20"/>
                <w:lang w:eastAsia="vi-VN"/>
              </w:rPr>
            </w:pPr>
            <w:r w:rsidRPr="00017C08">
              <w:rPr>
                <w:rFonts w:ascii="Arial" w:eastAsia="Times New Roman" w:hAnsi="Arial" w:cs="Arial"/>
                <w:b/>
                <w:bCs/>
                <w:sz w:val="20"/>
                <w:szCs w:val="20"/>
                <w:lang w:eastAsia="vi-VN"/>
              </w:rPr>
              <w:t xml:space="preserve">Equity beta </w:t>
            </w:r>
          </w:p>
        </w:tc>
        <w:tc>
          <w:tcPr>
            <w:tcW w:w="3398" w:type="dxa"/>
            <w:tcBorders>
              <w:top w:val="nil"/>
              <w:left w:val="nil"/>
              <w:bottom w:val="single" w:sz="4" w:space="0" w:color="auto"/>
              <w:right w:val="single" w:sz="4" w:space="0" w:color="auto"/>
            </w:tcBorders>
            <w:shd w:val="clear" w:color="auto" w:fill="auto"/>
            <w:noWrap/>
            <w:vAlign w:val="bottom"/>
            <w:hideMark/>
          </w:tcPr>
          <w:p w14:paraId="1BCCC8C0" w14:textId="77777777" w:rsidR="00017C08" w:rsidRPr="00017C08" w:rsidRDefault="00017C08" w:rsidP="00017C08">
            <w:pPr>
              <w:spacing w:after="0" w:line="240" w:lineRule="auto"/>
              <w:jc w:val="center"/>
              <w:rPr>
                <w:rFonts w:ascii="Arial" w:eastAsia="Times New Roman" w:hAnsi="Arial" w:cs="Arial"/>
                <w:b/>
                <w:bCs/>
                <w:sz w:val="20"/>
                <w:szCs w:val="20"/>
                <w:lang w:eastAsia="vi-VN"/>
              </w:rPr>
            </w:pPr>
            <w:r w:rsidRPr="00017C08">
              <w:rPr>
                <w:rFonts w:ascii="Arial" w:eastAsia="Times New Roman" w:hAnsi="Arial" w:cs="Arial"/>
                <w:b/>
                <w:bCs/>
                <w:sz w:val="20"/>
                <w:szCs w:val="20"/>
                <w:lang w:eastAsia="vi-VN"/>
              </w:rPr>
              <w:t>Asset beta (assume debt beta = 0)</w:t>
            </w:r>
          </w:p>
        </w:tc>
      </w:tr>
      <w:tr w:rsidR="00017C08" w:rsidRPr="00017C08" w14:paraId="5C10B954" w14:textId="77777777" w:rsidTr="00017C08">
        <w:trPr>
          <w:trHeight w:val="285"/>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5DE67039" w14:textId="77777777" w:rsidR="00017C08" w:rsidRPr="00017C08" w:rsidRDefault="00017C08" w:rsidP="00017C08">
            <w:pPr>
              <w:spacing w:after="0" w:line="240" w:lineRule="auto"/>
              <w:rPr>
                <w:rFonts w:ascii="Arial" w:eastAsia="Times New Roman" w:hAnsi="Arial" w:cs="Arial"/>
                <w:color w:val="000000"/>
                <w:lang w:eastAsia="vi-VN"/>
              </w:rPr>
            </w:pPr>
            <w:r w:rsidRPr="00017C08">
              <w:rPr>
                <w:rFonts w:ascii="Arial" w:eastAsia="Times New Roman" w:hAnsi="Arial" w:cs="Arial"/>
                <w:color w:val="000000"/>
                <w:lang w:eastAsia="vi-VN"/>
              </w:rPr>
              <w:t>MAX</w:t>
            </w:r>
          </w:p>
        </w:tc>
        <w:tc>
          <w:tcPr>
            <w:tcW w:w="1142" w:type="dxa"/>
            <w:tcBorders>
              <w:top w:val="nil"/>
              <w:left w:val="nil"/>
              <w:bottom w:val="single" w:sz="4" w:space="0" w:color="auto"/>
              <w:right w:val="single" w:sz="4" w:space="0" w:color="auto"/>
            </w:tcBorders>
            <w:shd w:val="clear" w:color="auto" w:fill="auto"/>
            <w:noWrap/>
            <w:vAlign w:val="bottom"/>
            <w:hideMark/>
          </w:tcPr>
          <w:p w14:paraId="6C6C184A" w14:textId="77777777" w:rsidR="00017C08" w:rsidRPr="00017C08" w:rsidRDefault="00017C08" w:rsidP="00017C08">
            <w:pPr>
              <w:spacing w:after="0" w:line="240" w:lineRule="auto"/>
              <w:jc w:val="center"/>
              <w:rPr>
                <w:rFonts w:ascii="Arial" w:eastAsia="Times New Roman" w:hAnsi="Arial" w:cs="Arial"/>
                <w:color w:val="000000"/>
                <w:lang w:eastAsia="vi-VN"/>
              </w:rPr>
            </w:pPr>
            <w:r w:rsidRPr="00017C08">
              <w:rPr>
                <w:rFonts w:ascii="Arial" w:eastAsia="Times New Roman" w:hAnsi="Arial" w:cs="Arial"/>
                <w:color w:val="000000"/>
                <w:lang w:eastAsia="vi-VN"/>
              </w:rPr>
              <w:t>1.676</w:t>
            </w:r>
          </w:p>
        </w:tc>
        <w:tc>
          <w:tcPr>
            <w:tcW w:w="3398" w:type="dxa"/>
            <w:tcBorders>
              <w:top w:val="nil"/>
              <w:left w:val="nil"/>
              <w:bottom w:val="single" w:sz="4" w:space="0" w:color="auto"/>
              <w:right w:val="single" w:sz="4" w:space="0" w:color="auto"/>
            </w:tcBorders>
            <w:shd w:val="clear" w:color="auto" w:fill="auto"/>
            <w:noWrap/>
            <w:vAlign w:val="bottom"/>
            <w:hideMark/>
          </w:tcPr>
          <w:p w14:paraId="09ECCA12" w14:textId="77777777" w:rsidR="00017C08" w:rsidRPr="00017C08" w:rsidRDefault="00017C08" w:rsidP="00017C08">
            <w:pPr>
              <w:spacing w:after="0" w:line="240" w:lineRule="auto"/>
              <w:jc w:val="center"/>
              <w:rPr>
                <w:rFonts w:ascii="Arial" w:eastAsia="Times New Roman" w:hAnsi="Arial" w:cs="Arial"/>
                <w:color w:val="000000"/>
                <w:lang w:eastAsia="vi-VN"/>
              </w:rPr>
            </w:pPr>
            <w:r w:rsidRPr="00017C08">
              <w:rPr>
                <w:rFonts w:ascii="Arial" w:eastAsia="Times New Roman" w:hAnsi="Arial" w:cs="Arial"/>
                <w:color w:val="000000"/>
                <w:lang w:eastAsia="vi-VN"/>
              </w:rPr>
              <w:t>0.120</w:t>
            </w:r>
          </w:p>
        </w:tc>
      </w:tr>
      <w:tr w:rsidR="00017C08" w:rsidRPr="00017C08" w14:paraId="59DC51A4" w14:textId="77777777" w:rsidTr="00017C08">
        <w:trPr>
          <w:trHeight w:val="285"/>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08A2AC7A" w14:textId="77777777" w:rsidR="00017C08" w:rsidRPr="00017C08" w:rsidRDefault="00017C08" w:rsidP="00017C08">
            <w:pPr>
              <w:spacing w:after="0" w:line="240" w:lineRule="auto"/>
              <w:rPr>
                <w:rFonts w:ascii="Arial" w:eastAsia="Times New Roman" w:hAnsi="Arial" w:cs="Arial"/>
                <w:color w:val="000000"/>
                <w:lang w:eastAsia="vi-VN"/>
              </w:rPr>
            </w:pPr>
            <w:r w:rsidRPr="00017C08">
              <w:rPr>
                <w:rFonts w:ascii="Arial" w:eastAsia="Times New Roman" w:hAnsi="Arial" w:cs="Arial"/>
                <w:color w:val="000000"/>
                <w:lang w:eastAsia="vi-VN"/>
              </w:rPr>
              <w:t>MIN</w:t>
            </w:r>
          </w:p>
        </w:tc>
        <w:tc>
          <w:tcPr>
            <w:tcW w:w="1142" w:type="dxa"/>
            <w:tcBorders>
              <w:top w:val="nil"/>
              <w:left w:val="nil"/>
              <w:bottom w:val="single" w:sz="4" w:space="0" w:color="auto"/>
              <w:right w:val="single" w:sz="4" w:space="0" w:color="auto"/>
            </w:tcBorders>
            <w:shd w:val="clear" w:color="auto" w:fill="auto"/>
            <w:noWrap/>
            <w:vAlign w:val="bottom"/>
            <w:hideMark/>
          </w:tcPr>
          <w:p w14:paraId="63BF7971" w14:textId="77777777" w:rsidR="00017C08" w:rsidRPr="00017C08" w:rsidRDefault="00017C08" w:rsidP="00017C08">
            <w:pPr>
              <w:spacing w:after="0" w:line="240" w:lineRule="auto"/>
              <w:jc w:val="center"/>
              <w:rPr>
                <w:rFonts w:ascii="Arial" w:eastAsia="Times New Roman" w:hAnsi="Arial" w:cs="Arial"/>
                <w:color w:val="000000"/>
                <w:lang w:eastAsia="vi-VN"/>
              </w:rPr>
            </w:pPr>
            <w:r w:rsidRPr="00017C08">
              <w:rPr>
                <w:rFonts w:ascii="Arial" w:eastAsia="Times New Roman" w:hAnsi="Arial" w:cs="Arial"/>
                <w:color w:val="000000"/>
                <w:lang w:eastAsia="vi-VN"/>
              </w:rPr>
              <w:t>0.636</w:t>
            </w:r>
          </w:p>
        </w:tc>
        <w:tc>
          <w:tcPr>
            <w:tcW w:w="3398" w:type="dxa"/>
            <w:tcBorders>
              <w:top w:val="nil"/>
              <w:left w:val="nil"/>
              <w:bottom w:val="single" w:sz="4" w:space="0" w:color="auto"/>
              <w:right w:val="single" w:sz="4" w:space="0" w:color="auto"/>
            </w:tcBorders>
            <w:shd w:val="clear" w:color="auto" w:fill="auto"/>
            <w:noWrap/>
            <w:vAlign w:val="bottom"/>
            <w:hideMark/>
          </w:tcPr>
          <w:p w14:paraId="43A2DBF0" w14:textId="77777777" w:rsidR="00017C08" w:rsidRPr="00017C08" w:rsidRDefault="00017C08" w:rsidP="00017C08">
            <w:pPr>
              <w:spacing w:after="0" w:line="240" w:lineRule="auto"/>
              <w:jc w:val="center"/>
              <w:rPr>
                <w:rFonts w:ascii="Arial" w:eastAsia="Times New Roman" w:hAnsi="Arial" w:cs="Arial"/>
                <w:color w:val="000000"/>
                <w:lang w:eastAsia="vi-VN"/>
              </w:rPr>
            </w:pPr>
            <w:r w:rsidRPr="00017C08">
              <w:rPr>
                <w:rFonts w:ascii="Arial" w:eastAsia="Times New Roman" w:hAnsi="Arial" w:cs="Arial"/>
                <w:color w:val="000000"/>
                <w:lang w:eastAsia="vi-VN"/>
              </w:rPr>
              <w:t>0.035</w:t>
            </w:r>
          </w:p>
        </w:tc>
      </w:tr>
      <w:tr w:rsidR="00017C08" w:rsidRPr="00017C08" w14:paraId="5BA2DE6F" w14:textId="77777777" w:rsidTr="00017C08">
        <w:trPr>
          <w:trHeight w:val="285"/>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7434D70B" w14:textId="77777777" w:rsidR="00017C08" w:rsidRPr="00017C08" w:rsidRDefault="00017C08" w:rsidP="00017C08">
            <w:pPr>
              <w:spacing w:after="0" w:line="240" w:lineRule="auto"/>
              <w:rPr>
                <w:rFonts w:ascii="Arial" w:eastAsia="Times New Roman" w:hAnsi="Arial" w:cs="Arial"/>
                <w:color w:val="000000"/>
                <w:lang w:eastAsia="vi-VN"/>
              </w:rPr>
            </w:pPr>
            <w:r w:rsidRPr="00017C08">
              <w:rPr>
                <w:rFonts w:ascii="Arial" w:eastAsia="Times New Roman" w:hAnsi="Arial" w:cs="Arial"/>
                <w:color w:val="000000"/>
                <w:lang w:eastAsia="vi-VN"/>
              </w:rPr>
              <w:t>MEAN</w:t>
            </w:r>
          </w:p>
        </w:tc>
        <w:tc>
          <w:tcPr>
            <w:tcW w:w="1142" w:type="dxa"/>
            <w:tcBorders>
              <w:top w:val="nil"/>
              <w:left w:val="nil"/>
              <w:bottom w:val="single" w:sz="4" w:space="0" w:color="auto"/>
              <w:right w:val="single" w:sz="4" w:space="0" w:color="auto"/>
            </w:tcBorders>
            <w:shd w:val="clear" w:color="auto" w:fill="auto"/>
            <w:noWrap/>
            <w:vAlign w:val="bottom"/>
            <w:hideMark/>
          </w:tcPr>
          <w:p w14:paraId="2A2AB25D" w14:textId="77777777" w:rsidR="00017C08" w:rsidRPr="00017C08" w:rsidRDefault="00017C08" w:rsidP="00017C08">
            <w:pPr>
              <w:spacing w:after="0" w:line="240" w:lineRule="auto"/>
              <w:jc w:val="center"/>
              <w:rPr>
                <w:rFonts w:ascii="Arial" w:eastAsia="Times New Roman" w:hAnsi="Arial" w:cs="Arial"/>
                <w:color w:val="000000"/>
                <w:lang w:eastAsia="vi-VN"/>
              </w:rPr>
            </w:pPr>
            <w:r w:rsidRPr="00017C08">
              <w:rPr>
                <w:rFonts w:ascii="Arial" w:eastAsia="Times New Roman" w:hAnsi="Arial" w:cs="Arial"/>
                <w:color w:val="000000"/>
                <w:lang w:eastAsia="vi-VN"/>
              </w:rPr>
              <w:t>1.034</w:t>
            </w:r>
          </w:p>
        </w:tc>
        <w:tc>
          <w:tcPr>
            <w:tcW w:w="3398" w:type="dxa"/>
            <w:tcBorders>
              <w:top w:val="nil"/>
              <w:left w:val="nil"/>
              <w:bottom w:val="single" w:sz="4" w:space="0" w:color="auto"/>
              <w:right w:val="single" w:sz="4" w:space="0" w:color="auto"/>
            </w:tcBorders>
            <w:shd w:val="clear" w:color="auto" w:fill="auto"/>
            <w:noWrap/>
            <w:vAlign w:val="bottom"/>
            <w:hideMark/>
          </w:tcPr>
          <w:p w14:paraId="43096CE1" w14:textId="77777777" w:rsidR="00017C08" w:rsidRPr="00017C08" w:rsidRDefault="00017C08" w:rsidP="00017C08">
            <w:pPr>
              <w:spacing w:after="0" w:line="240" w:lineRule="auto"/>
              <w:jc w:val="center"/>
              <w:rPr>
                <w:rFonts w:ascii="Arial" w:eastAsia="Times New Roman" w:hAnsi="Arial" w:cs="Arial"/>
                <w:color w:val="000000"/>
                <w:lang w:eastAsia="vi-VN"/>
              </w:rPr>
            </w:pPr>
            <w:r w:rsidRPr="00017C08">
              <w:rPr>
                <w:rFonts w:ascii="Arial" w:eastAsia="Times New Roman" w:hAnsi="Arial" w:cs="Arial"/>
                <w:color w:val="000000"/>
                <w:lang w:eastAsia="vi-VN"/>
              </w:rPr>
              <w:t>0.073</w:t>
            </w:r>
          </w:p>
        </w:tc>
      </w:tr>
      <w:tr w:rsidR="00017C08" w:rsidRPr="00017C08" w14:paraId="20D1FA8D" w14:textId="77777777" w:rsidTr="00017C08">
        <w:trPr>
          <w:trHeight w:val="285"/>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123C3B58" w14:textId="77777777" w:rsidR="00017C08" w:rsidRPr="00017C08" w:rsidRDefault="00017C08" w:rsidP="00017C08">
            <w:pPr>
              <w:spacing w:after="0" w:line="240" w:lineRule="auto"/>
              <w:rPr>
                <w:rFonts w:ascii="Arial" w:eastAsia="Times New Roman" w:hAnsi="Arial" w:cs="Arial"/>
                <w:color w:val="000000"/>
                <w:lang w:eastAsia="vi-VN"/>
              </w:rPr>
            </w:pPr>
            <w:r w:rsidRPr="00017C08">
              <w:rPr>
                <w:rFonts w:ascii="Arial" w:eastAsia="Times New Roman" w:hAnsi="Arial" w:cs="Arial"/>
                <w:color w:val="000000"/>
                <w:lang w:eastAsia="vi-VN"/>
              </w:rPr>
              <w:t>VAR</w:t>
            </w:r>
          </w:p>
        </w:tc>
        <w:tc>
          <w:tcPr>
            <w:tcW w:w="1142" w:type="dxa"/>
            <w:tcBorders>
              <w:top w:val="nil"/>
              <w:left w:val="nil"/>
              <w:bottom w:val="single" w:sz="4" w:space="0" w:color="auto"/>
              <w:right w:val="single" w:sz="4" w:space="0" w:color="auto"/>
            </w:tcBorders>
            <w:shd w:val="clear" w:color="auto" w:fill="auto"/>
            <w:noWrap/>
            <w:vAlign w:val="bottom"/>
            <w:hideMark/>
          </w:tcPr>
          <w:p w14:paraId="2BBD4B7A" w14:textId="77777777" w:rsidR="00017C08" w:rsidRPr="00017C08" w:rsidRDefault="00017C08" w:rsidP="00017C08">
            <w:pPr>
              <w:spacing w:after="0" w:line="240" w:lineRule="auto"/>
              <w:jc w:val="center"/>
              <w:rPr>
                <w:rFonts w:ascii="Arial" w:eastAsia="Times New Roman" w:hAnsi="Arial" w:cs="Arial"/>
                <w:color w:val="000000"/>
                <w:lang w:eastAsia="vi-VN"/>
              </w:rPr>
            </w:pPr>
            <w:r w:rsidRPr="00017C08">
              <w:rPr>
                <w:rFonts w:ascii="Arial" w:eastAsia="Times New Roman" w:hAnsi="Arial" w:cs="Arial"/>
                <w:color w:val="000000"/>
                <w:lang w:eastAsia="vi-VN"/>
              </w:rPr>
              <w:t>0.1435</w:t>
            </w:r>
          </w:p>
        </w:tc>
        <w:tc>
          <w:tcPr>
            <w:tcW w:w="3398" w:type="dxa"/>
            <w:tcBorders>
              <w:top w:val="nil"/>
              <w:left w:val="nil"/>
              <w:bottom w:val="single" w:sz="4" w:space="0" w:color="auto"/>
              <w:right w:val="single" w:sz="4" w:space="0" w:color="auto"/>
            </w:tcBorders>
            <w:shd w:val="clear" w:color="auto" w:fill="auto"/>
            <w:noWrap/>
            <w:vAlign w:val="bottom"/>
            <w:hideMark/>
          </w:tcPr>
          <w:p w14:paraId="18055D1E" w14:textId="77777777" w:rsidR="00017C08" w:rsidRPr="00017C08" w:rsidRDefault="00017C08" w:rsidP="00017C08">
            <w:pPr>
              <w:spacing w:after="0" w:line="240" w:lineRule="auto"/>
              <w:jc w:val="center"/>
              <w:rPr>
                <w:rFonts w:ascii="Arial" w:eastAsia="Times New Roman" w:hAnsi="Arial" w:cs="Arial"/>
                <w:color w:val="000000"/>
                <w:lang w:eastAsia="vi-VN"/>
              </w:rPr>
            </w:pPr>
            <w:r w:rsidRPr="00017C08">
              <w:rPr>
                <w:rFonts w:ascii="Arial" w:eastAsia="Times New Roman" w:hAnsi="Arial" w:cs="Arial"/>
                <w:color w:val="000000"/>
                <w:lang w:eastAsia="vi-VN"/>
              </w:rPr>
              <w:t>0.0007</w:t>
            </w:r>
          </w:p>
        </w:tc>
      </w:tr>
      <w:tr w:rsidR="00017C08" w:rsidRPr="00017C08" w14:paraId="50E23E73" w14:textId="77777777" w:rsidTr="00017C08">
        <w:trPr>
          <w:trHeight w:val="285"/>
          <w:jc w:val="center"/>
        </w:trPr>
        <w:tc>
          <w:tcPr>
            <w:tcW w:w="68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5C4F8" w14:textId="77777777" w:rsidR="00017C08" w:rsidRPr="00017C08" w:rsidRDefault="00017C08" w:rsidP="00017C08">
            <w:pPr>
              <w:spacing w:after="0" w:line="240" w:lineRule="auto"/>
              <w:jc w:val="center"/>
              <w:rPr>
                <w:rFonts w:ascii="Arial" w:eastAsia="Times New Roman" w:hAnsi="Arial" w:cs="Arial"/>
                <w:color w:val="000000"/>
                <w:lang w:val="en-US" w:eastAsia="vi-VN"/>
              </w:rPr>
            </w:pPr>
            <w:r w:rsidRPr="00017C08">
              <w:rPr>
                <w:rFonts w:ascii="Arial" w:eastAsia="Times New Roman" w:hAnsi="Arial" w:cs="Arial"/>
                <w:color w:val="000000"/>
                <w:lang w:eastAsia="vi-VN"/>
              </w:rPr>
              <w:t>Note: Sample size : 9</w:t>
            </w:r>
            <w:r w:rsidR="00862D59">
              <w:rPr>
                <w:rFonts w:ascii="Arial" w:eastAsia="Times New Roman" w:hAnsi="Arial" w:cs="Arial"/>
                <w:color w:val="000000"/>
                <w:lang w:val="en-US" w:eastAsia="vi-VN"/>
              </w:rPr>
              <w:t xml:space="preserve"> (we just take a sample of 9 banking firms to make comparison in the below table)</w:t>
            </w:r>
          </w:p>
        </w:tc>
      </w:tr>
    </w:tbl>
    <w:p w14:paraId="1282B23F" w14:textId="77777777" w:rsidR="00017C08" w:rsidRDefault="00017C08" w:rsidP="00017C08">
      <w:pPr>
        <w:pStyle w:val="ListParagraph"/>
        <w:rPr>
          <w:lang w:val="en-US"/>
        </w:rPr>
      </w:pPr>
    </w:p>
    <w:p w14:paraId="3AFCE704" w14:textId="77777777" w:rsidR="00FD6EAD" w:rsidRDefault="00FD6EAD" w:rsidP="00FD6EAD">
      <w:pPr>
        <w:pStyle w:val="ListParagraph"/>
        <w:rPr>
          <w:lang w:val="en-US"/>
        </w:rPr>
      </w:pPr>
    </w:p>
    <w:p w14:paraId="13374CE9" w14:textId="77777777" w:rsidR="00017C08" w:rsidRDefault="00017C08" w:rsidP="00017C08">
      <w:pPr>
        <w:pStyle w:val="ListParagraph"/>
        <w:rPr>
          <w:lang w:val="en-US"/>
        </w:rPr>
      </w:pPr>
      <w:r>
        <w:rPr>
          <w:lang w:val="en-US"/>
        </w:rPr>
        <w:t>Table 3 – The Comparison of Volatility of Market Risk (beta) of Banking Industry in the post- low inflation period 2015-2017 and the financial crisis 2007-2009</w:t>
      </w:r>
    </w:p>
    <w:tbl>
      <w:tblPr>
        <w:tblW w:w="9781" w:type="dxa"/>
        <w:tblInd w:w="108" w:type="dxa"/>
        <w:tblLook w:val="04A0" w:firstRow="1" w:lastRow="0" w:firstColumn="1" w:lastColumn="0" w:noHBand="0" w:noVBand="1"/>
      </w:tblPr>
      <w:tblGrid>
        <w:gridCol w:w="1134"/>
        <w:gridCol w:w="1276"/>
        <w:gridCol w:w="1167"/>
        <w:gridCol w:w="1526"/>
        <w:gridCol w:w="992"/>
        <w:gridCol w:w="1560"/>
        <w:gridCol w:w="2126"/>
      </w:tblGrid>
      <w:tr w:rsidR="00017C08" w:rsidRPr="00017C08" w14:paraId="3F0109BC" w14:textId="77777777" w:rsidTr="00017C08">
        <w:trPr>
          <w:trHeight w:val="285"/>
        </w:trPr>
        <w:tc>
          <w:tcPr>
            <w:tcW w:w="1134" w:type="dxa"/>
            <w:tcBorders>
              <w:top w:val="nil"/>
              <w:left w:val="nil"/>
              <w:bottom w:val="nil"/>
              <w:right w:val="nil"/>
            </w:tcBorders>
            <w:shd w:val="clear" w:color="auto" w:fill="auto"/>
            <w:noWrap/>
            <w:vAlign w:val="bottom"/>
            <w:hideMark/>
          </w:tcPr>
          <w:p w14:paraId="4B8E52EC" w14:textId="77777777" w:rsidR="00017C08" w:rsidRPr="00017C08" w:rsidRDefault="00017C08" w:rsidP="00017C08">
            <w:pPr>
              <w:spacing w:after="0" w:line="240" w:lineRule="auto"/>
              <w:rPr>
                <w:rFonts w:ascii="Arial" w:eastAsia="Times New Roman" w:hAnsi="Arial" w:cs="Arial"/>
                <w:color w:val="000000"/>
                <w:lang w:eastAsia="vi-VN"/>
              </w:rPr>
            </w:pPr>
          </w:p>
        </w:tc>
        <w:tc>
          <w:tcPr>
            <w:tcW w:w="1276" w:type="dxa"/>
            <w:tcBorders>
              <w:top w:val="nil"/>
              <w:left w:val="nil"/>
              <w:bottom w:val="nil"/>
              <w:right w:val="nil"/>
            </w:tcBorders>
            <w:shd w:val="clear" w:color="auto" w:fill="auto"/>
            <w:noWrap/>
            <w:vAlign w:val="bottom"/>
            <w:hideMark/>
          </w:tcPr>
          <w:p w14:paraId="2E0FFE21" w14:textId="77777777" w:rsidR="00017C08" w:rsidRPr="00017C08" w:rsidRDefault="00017C08" w:rsidP="00017C08">
            <w:pPr>
              <w:spacing w:after="0" w:line="240" w:lineRule="auto"/>
              <w:rPr>
                <w:rFonts w:ascii="Arial" w:eastAsia="Times New Roman" w:hAnsi="Arial" w:cs="Arial"/>
                <w:color w:val="000000"/>
                <w:lang w:eastAsia="vi-VN"/>
              </w:rPr>
            </w:pPr>
          </w:p>
        </w:tc>
        <w:tc>
          <w:tcPr>
            <w:tcW w:w="269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694FC06" w14:textId="77777777" w:rsidR="00017C08" w:rsidRPr="00017C08" w:rsidRDefault="00017C08" w:rsidP="00017C08">
            <w:pPr>
              <w:spacing w:after="0" w:line="240" w:lineRule="auto"/>
              <w:jc w:val="center"/>
              <w:rPr>
                <w:rFonts w:ascii="Arial" w:eastAsia="Times New Roman" w:hAnsi="Arial" w:cs="Arial"/>
                <w:color w:val="000000"/>
                <w:lang w:eastAsia="vi-VN"/>
              </w:rPr>
            </w:pPr>
            <w:r w:rsidRPr="00017C08">
              <w:rPr>
                <w:rFonts w:ascii="Arial" w:eastAsia="Times New Roman" w:hAnsi="Arial" w:cs="Arial"/>
                <w:color w:val="000000"/>
                <w:lang w:eastAsia="vi-VN"/>
              </w:rPr>
              <w:t>2007-2009 (financial crisis)</w:t>
            </w:r>
          </w:p>
        </w:tc>
        <w:tc>
          <w:tcPr>
            <w:tcW w:w="255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C954953" w14:textId="77777777" w:rsidR="00017C08" w:rsidRPr="00017C08" w:rsidRDefault="00017C08" w:rsidP="00017C08">
            <w:pPr>
              <w:spacing w:after="0" w:line="240" w:lineRule="auto"/>
              <w:jc w:val="center"/>
              <w:rPr>
                <w:rFonts w:ascii="Arial" w:eastAsia="Times New Roman" w:hAnsi="Arial" w:cs="Arial"/>
                <w:color w:val="000000"/>
                <w:lang w:eastAsia="vi-VN"/>
              </w:rPr>
            </w:pPr>
            <w:r w:rsidRPr="00017C08">
              <w:rPr>
                <w:rFonts w:ascii="Arial" w:eastAsia="Times New Roman" w:hAnsi="Arial" w:cs="Arial"/>
                <w:color w:val="000000"/>
                <w:lang w:eastAsia="vi-VN"/>
              </w:rPr>
              <w:t>2015-2017 (post - low inflation)</w:t>
            </w:r>
          </w:p>
        </w:tc>
        <w:tc>
          <w:tcPr>
            <w:tcW w:w="2126" w:type="dxa"/>
            <w:tcBorders>
              <w:top w:val="nil"/>
              <w:left w:val="nil"/>
              <w:bottom w:val="nil"/>
              <w:right w:val="nil"/>
            </w:tcBorders>
            <w:shd w:val="clear" w:color="auto" w:fill="auto"/>
            <w:noWrap/>
            <w:vAlign w:val="bottom"/>
            <w:hideMark/>
          </w:tcPr>
          <w:p w14:paraId="562AB225" w14:textId="77777777" w:rsidR="00017C08" w:rsidRPr="00017C08" w:rsidRDefault="00017C08" w:rsidP="00017C08">
            <w:pPr>
              <w:spacing w:after="0" w:line="240" w:lineRule="auto"/>
              <w:rPr>
                <w:rFonts w:ascii="Arial" w:eastAsia="Times New Roman" w:hAnsi="Arial" w:cs="Arial"/>
                <w:color w:val="000000"/>
                <w:lang w:eastAsia="vi-VN"/>
              </w:rPr>
            </w:pPr>
          </w:p>
        </w:tc>
      </w:tr>
      <w:tr w:rsidR="00017C08" w:rsidRPr="00017C08" w14:paraId="6FC7B3D0" w14:textId="77777777" w:rsidTr="00017C08">
        <w:trPr>
          <w:trHeight w:val="28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F5866" w14:textId="77777777" w:rsidR="00017C08" w:rsidRPr="00017C08" w:rsidRDefault="00017C08" w:rsidP="00017C08">
            <w:pPr>
              <w:spacing w:after="0" w:line="240" w:lineRule="auto"/>
              <w:jc w:val="center"/>
              <w:rPr>
                <w:rFonts w:ascii="Arial" w:eastAsia="Times New Roman" w:hAnsi="Arial" w:cs="Arial"/>
                <w:b/>
                <w:bCs/>
                <w:sz w:val="20"/>
                <w:szCs w:val="20"/>
                <w:lang w:eastAsia="vi-VN"/>
              </w:rPr>
            </w:pPr>
            <w:r w:rsidRPr="00017C08">
              <w:rPr>
                <w:rFonts w:ascii="Arial" w:eastAsia="Times New Roman" w:hAnsi="Arial" w:cs="Arial"/>
                <w:b/>
                <w:bCs/>
                <w:sz w:val="20"/>
                <w:szCs w:val="20"/>
                <w:lang w:eastAsia="vi-VN"/>
              </w:rPr>
              <w:t>Order No.</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44F1880" w14:textId="77777777" w:rsidR="00017C08" w:rsidRPr="00017C08" w:rsidRDefault="00017C08" w:rsidP="00017C08">
            <w:pPr>
              <w:spacing w:after="0" w:line="240" w:lineRule="auto"/>
              <w:jc w:val="center"/>
              <w:rPr>
                <w:rFonts w:ascii="Arial" w:eastAsia="Times New Roman" w:hAnsi="Arial" w:cs="Arial"/>
                <w:b/>
                <w:bCs/>
                <w:sz w:val="20"/>
                <w:szCs w:val="20"/>
                <w:lang w:eastAsia="vi-VN"/>
              </w:rPr>
            </w:pPr>
            <w:r w:rsidRPr="00017C08">
              <w:rPr>
                <w:rFonts w:ascii="Arial" w:eastAsia="Times New Roman" w:hAnsi="Arial" w:cs="Arial"/>
                <w:b/>
                <w:bCs/>
                <w:sz w:val="20"/>
                <w:szCs w:val="20"/>
                <w:lang w:eastAsia="vi-VN"/>
              </w:rPr>
              <w:t>Company stock code</w:t>
            </w:r>
          </w:p>
        </w:tc>
        <w:tc>
          <w:tcPr>
            <w:tcW w:w="1167" w:type="dxa"/>
            <w:tcBorders>
              <w:top w:val="nil"/>
              <w:left w:val="nil"/>
              <w:bottom w:val="single" w:sz="4" w:space="0" w:color="auto"/>
              <w:right w:val="single" w:sz="4" w:space="0" w:color="auto"/>
            </w:tcBorders>
            <w:shd w:val="clear" w:color="auto" w:fill="auto"/>
            <w:noWrap/>
            <w:vAlign w:val="bottom"/>
            <w:hideMark/>
          </w:tcPr>
          <w:p w14:paraId="696B9900" w14:textId="77777777" w:rsidR="00017C08" w:rsidRPr="00017C08" w:rsidRDefault="00017C08" w:rsidP="00017C08">
            <w:pPr>
              <w:spacing w:after="0" w:line="240" w:lineRule="auto"/>
              <w:jc w:val="center"/>
              <w:rPr>
                <w:rFonts w:ascii="Arial" w:eastAsia="Times New Roman" w:hAnsi="Arial" w:cs="Arial"/>
                <w:b/>
                <w:bCs/>
                <w:sz w:val="20"/>
                <w:szCs w:val="20"/>
                <w:lang w:eastAsia="vi-VN"/>
              </w:rPr>
            </w:pPr>
            <w:r w:rsidRPr="00017C08">
              <w:rPr>
                <w:rFonts w:ascii="Arial" w:eastAsia="Times New Roman" w:hAnsi="Arial" w:cs="Arial"/>
                <w:b/>
                <w:bCs/>
                <w:sz w:val="20"/>
                <w:szCs w:val="20"/>
                <w:lang w:eastAsia="vi-VN"/>
              </w:rPr>
              <w:t xml:space="preserve">Equity beta </w:t>
            </w:r>
          </w:p>
        </w:tc>
        <w:tc>
          <w:tcPr>
            <w:tcW w:w="1526" w:type="dxa"/>
            <w:tcBorders>
              <w:top w:val="nil"/>
              <w:left w:val="nil"/>
              <w:bottom w:val="single" w:sz="4" w:space="0" w:color="auto"/>
              <w:right w:val="single" w:sz="4" w:space="0" w:color="auto"/>
            </w:tcBorders>
            <w:shd w:val="clear" w:color="auto" w:fill="auto"/>
            <w:noWrap/>
            <w:vAlign w:val="bottom"/>
            <w:hideMark/>
          </w:tcPr>
          <w:p w14:paraId="5FD97F2C" w14:textId="77777777" w:rsidR="00017C08" w:rsidRPr="00017C08" w:rsidRDefault="00017C08" w:rsidP="00017C08">
            <w:pPr>
              <w:spacing w:after="0" w:line="240" w:lineRule="auto"/>
              <w:jc w:val="center"/>
              <w:rPr>
                <w:rFonts w:ascii="Arial" w:eastAsia="Times New Roman" w:hAnsi="Arial" w:cs="Arial"/>
                <w:b/>
                <w:bCs/>
                <w:sz w:val="20"/>
                <w:szCs w:val="20"/>
                <w:lang w:eastAsia="vi-VN"/>
              </w:rPr>
            </w:pPr>
            <w:r w:rsidRPr="00017C08">
              <w:rPr>
                <w:rFonts w:ascii="Arial" w:eastAsia="Times New Roman" w:hAnsi="Arial" w:cs="Arial"/>
                <w:b/>
                <w:bCs/>
                <w:sz w:val="20"/>
                <w:szCs w:val="20"/>
                <w:lang w:eastAsia="vi-VN"/>
              </w:rPr>
              <w:t>Asset beta (assume debt beta = 0)</w:t>
            </w:r>
          </w:p>
        </w:tc>
        <w:tc>
          <w:tcPr>
            <w:tcW w:w="992" w:type="dxa"/>
            <w:tcBorders>
              <w:top w:val="nil"/>
              <w:left w:val="nil"/>
              <w:bottom w:val="single" w:sz="4" w:space="0" w:color="auto"/>
              <w:right w:val="single" w:sz="4" w:space="0" w:color="auto"/>
            </w:tcBorders>
            <w:shd w:val="clear" w:color="auto" w:fill="auto"/>
            <w:noWrap/>
            <w:vAlign w:val="bottom"/>
            <w:hideMark/>
          </w:tcPr>
          <w:p w14:paraId="35F0A396" w14:textId="77777777" w:rsidR="00017C08" w:rsidRPr="00017C08" w:rsidRDefault="00017C08" w:rsidP="00017C08">
            <w:pPr>
              <w:spacing w:after="0" w:line="240" w:lineRule="auto"/>
              <w:jc w:val="center"/>
              <w:rPr>
                <w:rFonts w:ascii="Arial" w:eastAsia="Times New Roman" w:hAnsi="Arial" w:cs="Arial"/>
                <w:b/>
                <w:bCs/>
                <w:sz w:val="20"/>
                <w:szCs w:val="20"/>
                <w:lang w:eastAsia="vi-VN"/>
              </w:rPr>
            </w:pPr>
            <w:r w:rsidRPr="00017C08">
              <w:rPr>
                <w:rFonts w:ascii="Arial" w:eastAsia="Times New Roman" w:hAnsi="Arial" w:cs="Arial"/>
                <w:b/>
                <w:bCs/>
                <w:sz w:val="20"/>
                <w:szCs w:val="20"/>
                <w:lang w:eastAsia="vi-VN"/>
              </w:rPr>
              <w:t xml:space="preserve">Equity beta </w:t>
            </w:r>
          </w:p>
        </w:tc>
        <w:tc>
          <w:tcPr>
            <w:tcW w:w="1560" w:type="dxa"/>
            <w:tcBorders>
              <w:top w:val="nil"/>
              <w:left w:val="nil"/>
              <w:bottom w:val="single" w:sz="4" w:space="0" w:color="auto"/>
              <w:right w:val="single" w:sz="4" w:space="0" w:color="auto"/>
            </w:tcBorders>
            <w:shd w:val="clear" w:color="auto" w:fill="auto"/>
            <w:noWrap/>
            <w:vAlign w:val="bottom"/>
            <w:hideMark/>
          </w:tcPr>
          <w:p w14:paraId="6BC07AD8" w14:textId="77777777" w:rsidR="00017C08" w:rsidRPr="00017C08" w:rsidRDefault="00017C08" w:rsidP="00017C08">
            <w:pPr>
              <w:spacing w:after="0" w:line="240" w:lineRule="auto"/>
              <w:jc w:val="center"/>
              <w:rPr>
                <w:rFonts w:ascii="Arial" w:eastAsia="Times New Roman" w:hAnsi="Arial" w:cs="Arial"/>
                <w:b/>
                <w:bCs/>
                <w:sz w:val="20"/>
                <w:szCs w:val="20"/>
                <w:lang w:eastAsia="vi-VN"/>
              </w:rPr>
            </w:pPr>
            <w:r w:rsidRPr="00017C08">
              <w:rPr>
                <w:rFonts w:ascii="Arial" w:eastAsia="Times New Roman" w:hAnsi="Arial" w:cs="Arial"/>
                <w:b/>
                <w:bCs/>
                <w:sz w:val="20"/>
                <w:szCs w:val="20"/>
                <w:lang w:eastAsia="vi-VN"/>
              </w:rPr>
              <w:t>Asset beta (assume debt beta = 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5235AA00" w14:textId="77777777" w:rsidR="00017C08" w:rsidRPr="00017C08" w:rsidRDefault="00017C08" w:rsidP="00017C08">
            <w:pPr>
              <w:spacing w:after="0" w:line="240" w:lineRule="auto"/>
              <w:jc w:val="center"/>
              <w:rPr>
                <w:rFonts w:ascii="Arial" w:eastAsia="Times New Roman" w:hAnsi="Arial" w:cs="Arial"/>
                <w:b/>
                <w:bCs/>
                <w:sz w:val="20"/>
                <w:szCs w:val="20"/>
                <w:lang w:eastAsia="vi-VN"/>
              </w:rPr>
            </w:pPr>
            <w:r w:rsidRPr="00017C08">
              <w:rPr>
                <w:rFonts w:ascii="Arial" w:eastAsia="Times New Roman" w:hAnsi="Arial" w:cs="Arial"/>
                <w:b/>
                <w:bCs/>
                <w:sz w:val="20"/>
                <w:szCs w:val="20"/>
                <w:lang w:eastAsia="vi-VN"/>
              </w:rPr>
              <w:t>Note</w:t>
            </w:r>
          </w:p>
        </w:tc>
      </w:tr>
      <w:tr w:rsidR="00017C08" w:rsidRPr="00017C08" w14:paraId="471BCE33" w14:textId="77777777" w:rsidTr="00017C0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B4A2F64" w14:textId="77777777" w:rsidR="00017C08" w:rsidRPr="00017C08" w:rsidRDefault="00017C08" w:rsidP="00017C08">
            <w:pPr>
              <w:spacing w:after="0" w:line="240" w:lineRule="auto"/>
              <w:jc w:val="center"/>
              <w:rPr>
                <w:rFonts w:ascii="Arial" w:eastAsia="Times New Roman" w:hAnsi="Arial" w:cs="Arial"/>
                <w:color w:val="000000"/>
                <w:lang w:eastAsia="vi-VN"/>
              </w:rPr>
            </w:pPr>
            <w:r w:rsidRPr="00017C08">
              <w:rPr>
                <w:rFonts w:ascii="Arial" w:eastAsia="Times New Roman" w:hAnsi="Arial" w:cs="Arial"/>
                <w:color w:val="000000"/>
                <w:lang w:eastAsia="vi-VN"/>
              </w:rPr>
              <w:t>1</w:t>
            </w:r>
          </w:p>
        </w:tc>
        <w:tc>
          <w:tcPr>
            <w:tcW w:w="1276" w:type="dxa"/>
            <w:tcBorders>
              <w:top w:val="nil"/>
              <w:left w:val="nil"/>
              <w:bottom w:val="single" w:sz="4" w:space="0" w:color="auto"/>
              <w:right w:val="single" w:sz="4" w:space="0" w:color="auto"/>
            </w:tcBorders>
            <w:shd w:val="clear" w:color="000000" w:fill="FFFFFF"/>
            <w:noWrap/>
            <w:vAlign w:val="bottom"/>
            <w:hideMark/>
          </w:tcPr>
          <w:p w14:paraId="480900D8" w14:textId="77777777" w:rsidR="00017C08" w:rsidRPr="00017C08" w:rsidRDefault="00017C08" w:rsidP="00017C08">
            <w:pPr>
              <w:spacing w:after="0" w:line="240" w:lineRule="auto"/>
              <w:rPr>
                <w:rFonts w:ascii="Times New Roman" w:eastAsia="Times New Roman" w:hAnsi="Times New Roman" w:cs="Times New Roman"/>
                <w:b/>
                <w:bCs/>
                <w:color w:val="000000"/>
                <w:sz w:val="24"/>
                <w:szCs w:val="24"/>
                <w:lang w:eastAsia="vi-VN"/>
              </w:rPr>
            </w:pPr>
            <w:r w:rsidRPr="00017C08">
              <w:rPr>
                <w:rFonts w:ascii="Times New Roman" w:eastAsia="Times New Roman" w:hAnsi="Times New Roman" w:cs="Times New Roman"/>
                <w:b/>
                <w:bCs/>
                <w:color w:val="000000"/>
                <w:sz w:val="24"/>
                <w:szCs w:val="24"/>
                <w:lang w:eastAsia="vi-VN"/>
              </w:rPr>
              <w:t>ACB</w:t>
            </w:r>
          </w:p>
        </w:tc>
        <w:tc>
          <w:tcPr>
            <w:tcW w:w="1167" w:type="dxa"/>
            <w:tcBorders>
              <w:top w:val="nil"/>
              <w:left w:val="nil"/>
              <w:bottom w:val="single" w:sz="4" w:space="0" w:color="auto"/>
              <w:right w:val="single" w:sz="4" w:space="0" w:color="auto"/>
            </w:tcBorders>
            <w:shd w:val="clear" w:color="auto" w:fill="auto"/>
            <w:noWrap/>
            <w:vAlign w:val="bottom"/>
            <w:hideMark/>
          </w:tcPr>
          <w:p w14:paraId="1C723F6E" w14:textId="77777777" w:rsidR="00017C08" w:rsidRPr="00017C08" w:rsidRDefault="00017C08" w:rsidP="00017C08">
            <w:pPr>
              <w:spacing w:after="0" w:line="240" w:lineRule="auto"/>
              <w:jc w:val="center"/>
              <w:rPr>
                <w:rFonts w:ascii="Arial" w:eastAsia="Times New Roman" w:hAnsi="Arial" w:cs="Arial"/>
                <w:color w:val="000000"/>
                <w:sz w:val="20"/>
                <w:szCs w:val="20"/>
                <w:lang w:eastAsia="vi-VN"/>
              </w:rPr>
            </w:pPr>
            <w:r w:rsidRPr="00017C08">
              <w:rPr>
                <w:rFonts w:ascii="Arial" w:eastAsia="Times New Roman" w:hAnsi="Arial" w:cs="Arial"/>
                <w:color w:val="000000"/>
                <w:sz w:val="20"/>
                <w:szCs w:val="20"/>
                <w:lang w:eastAsia="vi-VN"/>
              </w:rPr>
              <w:t>0.85</w:t>
            </w:r>
          </w:p>
        </w:tc>
        <w:tc>
          <w:tcPr>
            <w:tcW w:w="1526" w:type="dxa"/>
            <w:tcBorders>
              <w:top w:val="nil"/>
              <w:left w:val="nil"/>
              <w:bottom w:val="single" w:sz="4" w:space="0" w:color="auto"/>
              <w:right w:val="single" w:sz="4" w:space="0" w:color="auto"/>
            </w:tcBorders>
            <w:shd w:val="clear" w:color="auto" w:fill="auto"/>
            <w:noWrap/>
            <w:vAlign w:val="bottom"/>
            <w:hideMark/>
          </w:tcPr>
          <w:p w14:paraId="65F81415" w14:textId="77777777" w:rsidR="00017C08" w:rsidRPr="00017C08" w:rsidRDefault="00017C08" w:rsidP="00017C08">
            <w:pPr>
              <w:spacing w:after="0" w:line="240" w:lineRule="auto"/>
              <w:jc w:val="center"/>
              <w:rPr>
                <w:rFonts w:ascii="Arial" w:eastAsia="Times New Roman" w:hAnsi="Arial" w:cs="Arial"/>
                <w:color w:val="000000"/>
                <w:sz w:val="20"/>
                <w:szCs w:val="20"/>
                <w:lang w:eastAsia="vi-VN"/>
              </w:rPr>
            </w:pPr>
            <w:r w:rsidRPr="00017C08">
              <w:rPr>
                <w:rFonts w:ascii="Arial" w:eastAsia="Times New Roman" w:hAnsi="Arial" w:cs="Arial"/>
                <w:color w:val="000000"/>
                <w:sz w:val="20"/>
                <w:szCs w:val="20"/>
                <w:lang w:eastAsia="vi-VN"/>
              </w:rPr>
              <w:t>0.083</w:t>
            </w:r>
          </w:p>
        </w:tc>
        <w:tc>
          <w:tcPr>
            <w:tcW w:w="992" w:type="dxa"/>
            <w:tcBorders>
              <w:top w:val="nil"/>
              <w:left w:val="nil"/>
              <w:bottom w:val="single" w:sz="4" w:space="0" w:color="auto"/>
              <w:right w:val="single" w:sz="4" w:space="0" w:color="auto"/>
            </w:tcBorders>
            <w:shd w:val="clear" w:color="auto" w:fill="auto"/>
            <w:noWrap/>
            <w:vAlign w:val="bottom"/>
            <w:hideMark/>
          </w:tcPr>
          <w:p w14:paraId="79276183" w14:textId="77777777" w:rsidR="00017C08" w:rsidRPr="00017C08" w:rsidRDefault="00017C08" w:rsidP="00017C08">
            <w:pPr>
              <w:spacing w:after="0" w:line="240" w:lineRule="auto"/>
              <w:jc w:val="right"/>
              <w:rPr>
                <w:rFonts w:ascii="Arial" w:eastAsia="Times New Roman" w:hAnsi="Arial" w:cs="Arial"/>
                <w:color w:val="000000"/>
                <w:lang w:eastAsia="vi-VN"/>
              </w:rPr>
            </w:pPr>
            <w:r w:rsidRPr="00017C08">
              <w:rPr>
                <w:rFonts w:ascii="Arial" w:eastAsia="Times New Roman" w:hAnsi="Arial" w:cs="Arial"/>
                <w:color w:val="000000"/>
                <w:lang w:eastAsia="vi-VN"/>
              </w:rPr>
              <w:t>0.954</w:t>
            </w:r>
          </w:p>
        </w:tc>
        <w:tc>
          <w:tcPr>
            <w:tcW w:w="1560" w:type="dxa"/>
            <w:tcBorders>
              <w:top w:val="nil"/>
              <w:left w:val="nil"/>
              <w:bottom w:val="single" w:sz="4" w:space="0" w:color="auto"/>
              <w:right w:val="single" w:sz="4" w:space="0" w:color="auto"/>
            </w:tcBorders>
            <w:shd w:val="clear" w:color="auto" w:fill="auto"/>
            <w:noWrap/>
            <w:vAlign w:val="bottom"/>
            <w:hideMark/>
          </w:tcPr>
          <w:p w14:paraId="76D4D067" w14:textId="77777777" w:rsidR="00017C08" w:rsidRPr="00017C08" w:rsidRDefault="00017C08" w:rsidP="00017C08">
            <w:pPr>
              <w:spacing w:after="0" w:line="240" w:lineRule="auto"/>
              <w:jc w:val="right"/>
              <w:rPr>
                <w:rFonts w:ascii="Arial" w:eastAsia="Times New Roman" w:hAnsi="Arial" w:cs="Arial"/>
                <w:color w:val="000000"/>
                <w:lang w:eastAsia="vi-VN"/>
              </w:rPr>
            </w:pPr>
            <w:r w:rsidRPr="00017C08">
              <w:rPr>
                <w:rFonts w:ascii="Arial" w:eastAsia="Times New Roman" w:hAnsi="Arial" w:cs="Arial"/>
                <w:color w:val="000000"/>
                <w:lang w:eastAsia="vi-VN"/>
              </w:rPr>
              <w:t>0.061</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14:paraId="5D4BFC52" w14:textId="77777777" w:rsidR="00017C08" w:rsidRPr="00017C08" w:rsidRDefault="00017C08" w:rsidP="00017C08">
            <w:pPr>
              <w:spacing w:after="0" w:line="240" w:lineRule="auto"/>
              <w:jc w:val="center"/>
              <w:rPr>
                <w:rFonts w:ascii="Arial" w:eastAsia="Times New Roman" w:hAnsi="Arial" w:cs="Arial"/>
                <w:color w:val="000000"/>
                <w:lang w:eastAsia="vi-VN"/>
              </w:rPr>
            </w:pPr>
            <w:r w:rsidRPr="00017C08">
              <w:rPr>
                <w:rFonts w:ascii="Arial" w:eastAsia="Times New Roman" w:hAnsi="Arial" w:cs="Arial"/>
                <w:color w:val="000000"/>
                <w:lang w:eastAsia="vi-VN"/>
              </w:rPr>
              <w:t>assume debt beta = 0; debt ratio as in F.S 2015 and 2008</w:t>
            </w:r>
          </w:p>
        </w:tc>
      </w:tr>
      <w:tr w:rsidR="00017C08" w:rsidRPr="00017C08" w14:paraId="64AB4E31" w14:textId="77777777" w:rsidTr="00017C0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0C25066" w14:textId="77777777" w:rsidR="00017C08" w:rsidRPr="00017C08" w:rsidRDefault="00017C08" w:rsidP="00017C08">
            <w:pPr>
              <w:spacing w:after="0" w:line="240" w:lineRule="auto"/>
              <w:jc w:val="center"/>
              <w:rPr>
                <w:rFonts w:ascii="Arial" w:eastAsia="Times New Roman" w:hAnsi="Arial" w:cs="Arial"/>
                <w:color w:val="000000"/>
                <w:lang w:eastAsia="vi-VN"/>
              </w:rPr>
            </w:pPr>
            <w:r w:rsidRPr="00017C08">
              <w:rPr>
                <w:rFonts w:ascii="Arial" w:eastAsia="Times New Roman" w:hAnsi="Arial" w:cs="Arial"/>
                <w:color w:val="000000"/>
                <w:lang w:eastAsia="vi-VN"/>
              </w:rPr>
              <w:t>2</w:t>
            </w:r>
          </w:p>
        </w:tc>
        <w:tc>
          <w:tcPr>
            <w:tcW w:w="1276" w:type="dxa"/>
            <w:tcBorders>
              <w:top w:val="nil"/>
              <w:left w:val="nil"/>
              <w:bottom w:val="single" w:sz="4" w:space="0" w:color="auto"/>
              <w:right w:val="single" w:sz="4" w:space="0" w:color="auto"/>
            </w:tcBorders>
            <w:shd w:val="clear" w:color="000000" w:fill="FFFFFF"/>
            <w:noWrap/>
            <w:vAlign w:val="bottom"/>
            <w:hideMark/>
          </w:tcPr>
          <w:p w14:paraId="099312AE" w14:textId="77777777" w:rsidR="00017C08" w:rsidRPr="00017C08" w:rsidRDefault="00017C08" w:rsidP="00017C08">
            <w:pPr>
              <w:spacing w:after="0" w:line="240" w:lineRule="auto"/>
              <w:rPr>
                <w:rFonts w:ascii="Times New Roman" w:eastAsia="Times New Roman" w:hAnsi="Times New Roman" w:cs="Times New Roman"/>
                <w:b/>
                <w:bCs/>
                <w:color w:val="000000"/>
                <w:sz w:val="24"/>
                <w:szCs w:val="24"/>
                <w:lang w:eastAsia="vi-VN"/>
              </w:rPr>
            </w:pPr>
            <w:r w:rsidRPr="00017C08">
              <w:rPr>
                <w:rFonts w:ascii="Times New Roman" w:eastAsia="Times New Roman" w:hAnsi="Times New Roman" w:cs="Times New Roman"/>
                <w:b/>
                <w:bCs/>
                <w:color w:val="000000"/>
                <w:sz w:val="24"/>
                <w:szCs w:val="24"/>
                <w:lang w:eastAsia="vi-VN"/>
              </w:rPr>
              <w:t>CTG</w:t>
            </w:r>
          </w:p>
        </w:tc>
        <w:tc>
          <w:tcPr>
            <w:tcW w:w="1167" w:type="dxa"/>
            <w:tcBorders>
              <w:top w:val="nil"/>
              <w:left w:val="nil"/>
              <w:bottom w:val="single" w:sz="4" w:space="0" w:color="auto"/>
              <w:right w:val="single" w:sz="4" w:space="0" w:color="auto"/>
            </w:tcBorders>
            <w:shd w:val="clear" w:color="auto" w:fill="auto"/>
            <w:noWrap/>
            <w:vAlign w:val="bottom"/>
            <w:hideMark/>
          </w:tcPr>
          <w:p w14:paraId="6A404479" w14:textId="77777777" w:rsidR="00017C08" w:rsidRPr="00017C08" w:rsidRDefault="00017C08" w:rsidP="00017C08">
            <w:pPr>
              <w:spacing w:after="0" w:line="240" w:lineRule="auto"/>
              <w:jc w:val="center"/>
              <w:rPr>
                <w:rFonts w:ascii="Arial" w:eastAsia="Times New Roman" w:hAnsi="Arial" w:cs="Arial"/>
                <w:color w:val="000000"/>
                <w:sz w:val="20"/>
                <w:szCs w:val="20"/>
                <w:lang w:eastAsia="vi-VN"/>
              </w:rPr>
            </w:pPr>
            <w:r w:rsidRPr="00017C08">
              <w:rPr>
                <w:rFonts w:ascii="Arial" w:eastAsia="Times New Roman" w:hAnsi="Arial" w:cs="Arial"/>
                <w:color w:val="000000"/>
                <w:sz w:val="20"/>
                <w:szCs w:val="20"/>
                <w:lang w:eastAsia="vi-VN"/>
              </w:rPr>
              <w:t>0.415</w:t>
            </w:r>
          </w:p>
        </w:tc>
        <w:tc>
          <w:tcPr>
            <w:tcW w:w="1526" w:type="dxa"/>
            <w:tcBorders>
              <w:top w:val="nil"/>
              <w:left w:val="nil"/>
              <w:bottom w:val="single" w:sz="4" w:space="0" w:color="auto"/>
              <w:right w:val="single" w:sz="4" w:space="0" w:color="auto"/>
            </w:tcBorders>
            <w:shd w:val="clear" w:color="auto" w:fill="auto"/>
            <w:noWrap/>
            <w:vAlign w:val="bottom"/>
            <w:hideMark/>
          </w:tcPr>
          <w:p w14:paraId="3E8FB6B1" w14:textId="77777777" w:rsidR="00017C08" w:rsidRPr="00017C08" w:rsidRDefault="00017C08" w:rsidP="00017C08">
            <w:pPr>
              <w:spacing w:after="0" w:line="240" w:lineRule="auto"/>
              <w:jc w:val="center"/>
              <w:rPr>
                <w:rFonts w:ascii="Arial" w:eastAsia="Times New Roman" w:hAnsi="Arial" w:cs="Arial"/>
                <w:color w:val="000000"/>
                <w:sz w:val="20"/>
                <w:szCs w:val="20"/>
                <w:lang w:eastAsia="vi-VN"/>
              </w:rPr>
            </w:pPr>
            <w:r w:rsidRPr="00017C08">
              <w:rPr>
                <w:rFonts w:ascii="Arial" w:eastAsia="Times New Roman" w:hAnsi="Arial" w:cs="Arial"/>
                <w:color w:val="000000"/>
                <w:sz w:val="20"/>
                <w:szCs w:val="20"/>
                <w:lang w:eastAsia="vi-VN"/>
              </w:rPr>
              <w:t>0.024</w:t>
            </w:r>
          </w:p>
        </w:tc>
        <w:tc>
          <w:tcPr>
            <w:tcW w:w="992" w:type="dxa"/>
            <w:tcBorders>
              <w:top w:val="nil"/>
              <w:left w:val="nil"/>
              <w:bottom w:val="single" w:sz="4" w:space="0" w:color="auto"/>
              <w:right w:val="single" w:sz="4" w:space="0" w:color="auto"/>
            </w:tcBorders>
            <w:shd w:val="clear" w:color="auto" w:fill="auto"/>
            <w:noWrap/>
            <w:vAlign w:val="bottom"/>
            <w:hideMark/>
          </w:tcPr>
          <w:p w14:paraId="2A606AE3" w14:textId="77777777" w:rsidR="00017C08" w:rsidRPr="00017C08" w:rsidRDefault="00017C08" w:rsidP="00017C08">
            <w:pPr>
              <w:spacing w:after="0" w:line="240" w:lineRule="auto"/>
              <w:jc w:val="right"/>
              <w:rPr>
                <w:rFonts w:ascii="Arial" w:eastAsia="Times New Roman" w:hAnsi="Arial" w:cs="Arial"/>
                <w:color w:val="000000"/>
                <w:lang w:eastAsia="vi-VN"/>
              </w:rPr>
            </w:pPr>
            <w:r w:rsidRPr="00017C08">
              <w:rPr>
                <w:rFonts w:ascii="Arial" w:eastAsia="Times New Roman" w:hAnsi="Arial" w:cs="Arial"/>
                <w:color w:val="000000"/>
                <w:lang w:eastAsia="vi-VN"/>
              </w:rPr>
              <w:t>1.676</w:t>
            </w:r>
          </w:p>
        </w:tc>
        <w:tc>
          <w:tcPr>
            <w:tcW w:w="1560" w:type="dxa"/>
            <w:tcBorders>
              <w:top w:val="nil"/>
              <w:left w:val="nil"/>
              <w:bottom w:val="single" w:sz="4" w:space="0" w:color="auto"/>
              <w:right w:val="single" w:sz="4" w:space="0" w:color="auto"/>
            </w:tcBorders>
            <w:shd w:val="clear" w:color="auto" w:fill="auto"/>
            <w:noWrap/>
            <w:vAlign w:val="bottom"/>
            <w:hideMark/>
          </w:tcPr>
          <w:p w14:paraId="4FF13DFC" w14:textId="77777777" w:rsidR="00017C08" w:rsidRPr="00017C08" w:rsidRDefault="00017C08" w:rsidP="00017C08">
            <w:pPr>
              <w:spacing w:after="0" w:line="240" w:lineRule="auto"/>
              <w:jc w:val="right"/>
              <w:rPr>
                <w:rFonts w:ascii="Arial" w:eastAsia="Times New Roman" w:hAnsi="Arial" w:cs="Arial"/>
                <w:color w:val="000000"/>
                <w:lang w:eastAsia="vi-VN"/>
              </w:rPr>
            </w:pPr>
            <w:r w:rsidRPr="00017C08">
              <w:rPr>
                <w:rFonts w:ascii="Arial" w:eastAsia="Times New Roman" w:hAnsi="Arial" w:cs="Arial"/>
                <w:color w:val="000000"/>
                <w:lang w:eastAsia="vi-VN"/>
              </w:rPr>
              <w:t>0.120</w:t>
            </w:r>
          </w:p>
        </w:tc>
        <w:tc>
          <w:tcPr>
            <w:tcW w:w="2126" w:type="dxa"/>
            <w:vMerge/>
            <w:tcBorders>
              <w:top w:val="nil"/>
              <w:left w:val="single" w:sz="4" w:space="0" w:color="auto"/>
              <w:bottom w:val="single" w:sz="4" w:space="0" w:color="auto"/>
              <w:right w:val="single" w:sz="4" w:space="0" w:color="auto"/>
            </w:tcBorders>
            <w:vAlign w:val="center"/>
            <w:hideMark/>
          </w:tcPr>
          <w:p w14:paraId="74E3DD3C" w14:textId="77777777" w:rsidR="00017C08" w:rsidRPr="00017C08" w:rsidRDefault="00017C08" w:rsidP="00017C08">
            <w:pPr>
              <w:spacing w:after="0" w:line="240" w:lineRule="auto"/>
              <w:rPr>
                <w:rFonts w:ascii="Arial" w:eastAsia="Times New Roman" w:hAnsi="Arial" w:cs="Arial"/>
                <w:color w:val="000000"/>
                <w:lang w:eastAsia="vi-VN"/>
              </w:rPr>
            </w:pPr>
          </w:p>
        </w:tc>
      </w:tr>
      <w:tr w:rsidR="00017C08" w:rsidRPr="00017C08" w14:paraId="5E904503" w14:textId="77777777" w:rsidTr="00017C0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AE39056" w14:textId="77777777" w:rsidR="00017C08" w:rsidRPr="00017C08" w:rsidRDefault="00017C08" w:rsidP="00017C08">
            <w:pPr>
              <w:spacing w:after="0" w:line="240" w:lineRule="auto"/>
              <w:jc w:val="center"/>
              <w:rPr>
                <w:rFonts w:ascii="Arial" w:eastAsia="Times New Roman" w:hAnsi="Arial" w:cs="Arial"/>
                <w:color w:val="000000"/>
                <w:lang w:eastAsia="vi-VN"/>
              </w:rPr>
            </w:pPr>
            <w:r w:rsidRPr="00017C08">
              <w:rPr>
                <w:rFonts w:ascii="Arial" w:eastAsia="Times New Roman" w:hAnsi="Arial" w:cs="Arial"/>
                <w:color w:val="000000"/>
                <w:lang w:eastAsia="vi-VN"/>
              </w:rPr>
              <w:t>3</w:t>
            </w:r>
          </w:p>
        </w:tc>
        <w:tc>
          <w:tcPr>
            <w:tcW w:w="1276" w:type="dxa"/>
            <w:tcBorders>
              <w:top w:val="nil"/>
              <w:left w:val="nil"/>
              <w:bottom w:val="single" w:sz="4" w:space="0" w:color="auto"/>
              <w:right w:val="single" w:sz="4" w:space="0" w:color="auto"/>
            </w:tcBorders>
            <w:shd w:val="clear" w:color="000000" w:fill="FFFFFF"/>
            <w:noWrap/>
            <w:vAlign w:val="bottom"/>
            <w:hideMark/>
          </w:tcPr>
          <w:p w14:paraId="2724E140" w14:textId="77777777" w:rsidR="00017C08" w:rsidRPr="00017C08" w:rsidRDefault="00017C08" w:rsidP="00017C08">
            <w:pPr>
              <w:spacing w:after="0" w:line="240" w:lineRule="auto"/>
              <w:rPr>
                <w:rFonts w:ascii="Times New Roman" w:eastAsia="Times New Roman" w:hAnsi="Times New Roman" w:cs="Times New Roman"/>
                <w:b/>
                <w:bCs/>
                <w:color w:val="000000"/>
                <w:sz w:val="24"/>
                <w:szCs w:val="24"/>
                <w:lang w:eastAsia="vi-VN"/>
              </w:rPr>
            </w:pPr>
            <w:r w:rsidRPr="00017C08">
              <w:rPr>
                <w:rFonts w:ascii="Times New Roman" w:eastAsia="Times New Roman" w:hAnsi="Times New Roman" w:cs="Times New Roman"/>
                <w:b/>
                <w:bCs/>
                <w:color w:val="000000"/>
                <w:sz w:val="24"/>
                <w:szCs w:val="24"/>
                <w:lang w:eastAsia="vi-VN"/>
              </w:rPr>
              <w:t>BID</w:t>
            </w:r>
          </w:p>
        </w:tc>
        <w:tc>
          <w:tcPr>
            <w:tcW w:w="1167" w:type="dxa"/>
            <w:tcBorders>
              <w:top w:val="nil"/>
              <w:left w:val="nil"/>
              <w:bottom w:val="single" w:sz="4" w:space="0" w:color="auto"/>
              <w:right w:val="single" w:sz="4" w:space="0" w:color="auto"/>
            </w:tcBorders>
            <w:shd w:val="clear" w:color="auto" w:fill="auto"/>
            <w:noWrap/>
            <w:vAlign w:val="bottom"/>
            <w:hideMark/>
          </w:tcPr>
          <w:p w14:paraId="4CE21BF5" w14:textId="77777777" w:rsidR="00017C08" w:rsidRPr="00017C08" w:rsidRDefault="00017C08" w:rsidP="00017C08">
            <w:pPr>
              <w:spacing w:after="0" w:line="240" w:lineRule="auto"/>
              <w:rPr>
                <w:rFonts w:ascii="Arial" w:eastAsia="Times New Roman" w:hAnsi="Arial" w:cs="Arial"/>
                <w:color w:val="000000"/>
                <w:lang w:eastAsia="vi-VN"/>
              </w:rPr>
            </w:pPr>
            <w:r w:rsidRPr="00017C08">
              <w:rPr>
                <w:rFonts w:ascii="Arial" w:eastAsia="Times New Roman" w:hAnsi="Arial" w:cs="Arial"/>
                <w:color w:val="000000"/>
                <w:lang w:eastAsia="vi-VN"/>
              </w:rPr>
              <w:t> </w:t>
            </w:r>
          </w:p>
        </w:tc>
        <w:tc>
          <w:tcPr>
            <w:tcW w:w="1526" w:type="dxa"/>
            <w:tcBorders>
              <w:top w:val="nil"/>
              <w:left w:val="nil"/>
              <w:bottom w:val="single" w:sz="4" w:space="0" w:color="auto"/>
              <w:right w:val="single" w:sz="4" w:space="0" w:color="auto"/>
            </w:tcBorders>
            <w:shd w:val="clear" w:color="auto" w:fill="auto"/>
            <w:noWrap/>
            <w:vAlign w:val="bottom"/>
            <w:hideMark/>
          </w:tcPr>
          <w:p w14:paraId="19575954" w14:textId="77777777" w:rsidR="00017C08" w:rsidRPr="00017C08" w:rsidRDefault="00017C08" w:rsidP="00017C08">
            <w:pPr>
              <w:spacing w:after="0" w:line="240" w:lineRule="auto"/>
              <w:rPr>
                <w:rFonts w:ascii="Arial" w:eastAsia="Times New Roman" w:hAnsi="Arial" w:cs="Arial"/>
                <w:color w:val="000000"/>
                <w:lang w:eastAsia="vi-VN"/>
              </w:rPr>
            </w:pPr>
            <w:r w:rsidRPr="00017C08">
              <w:rPr>
                <w:rFonts w:ascii="Arial" w:eastAsia="Times New Roman" w:hAnsi="Arial" w:cs="Arial"/>
                <w:color w:val="000000"/>
                <w:lang w:eastAsia="vi-VN"/>
              </w:rPr>
              <w:t> </w:t>
            </w:r>
          </w:p>
        </w:tc>
        <w:tc>
          <w:tcPr>
            <w:tcW w:w="992" w:type="dxa"/>
            <w:tcBorders>
              <w:top w:val="nil"/>
              <w:left w:val="nil"/>
              <w:bottom w:val="single" w:sz="4" w:space="0" w:color="auto"/>
              <w:right w:val="single" w:sz="4" w:space="0" w:color="auto"/>
            </w:tcBorders>
            <w:shd w:val="clear" w:color="auto" w:fill="auto"/>
            <w:noWrap/>
            <w:vAlign w:val="bottom"/>
            <w:hideMark/>
          </w:tcPr>
          <w:p w14:paraId="470A9E64" w14:textId="77777777" w:rsidR="00017C08" w:rsidRPr="00017C08" w:rsidRDefault="00017C08" w:rsidP="00017C08">
            <w:pPr>
              <w:spacing w:after="0" w:line="240" w:lineRule="auto"/>
              <w:jc w:val="right"/>
              <w:rPr>
                <w:rFonts w:ascii="Arial" w:eastAsia="Times New Roman" w:hAnsi="Arial" w:cs="Arial"/>
                <w:color w:val="000000"/>
                <w:lang w:eastAsia="vi-VN"/>
              </w:rPr>
            </w:pPr>
            <w:r w:rsidRPr="00017C08">
              <w:rPr>
                <w:rFonts w:ascii="Arial" w:eastAsia="Times New Roman" w:hAnsi="Arial" w:cs="Arial"/>
                <w:color w:val="000000"/>
                <w:lang w:eastAsia="vi-VN"/>
              </w:rPr>
              <w:t>1.346</w:t>
            </w:r>
          </w:p>
        </w:tc>
        <w:tc>
          <w:tcPr>
            <w:tcW w:w="1560" w:type="dxa"/>
            <w:tcBorders>
              <w:top w:val="nil"/>
              <w:left w:val="nil"/>
              <w:bottom w:val="single" w:sz="4" w:space="0" w:color="auto"/>
              <w:right w:val="single" w:sz="4" w:space="0" w:color="auto"/>
            </w:tcBorders>
            <w:shd w:val="clear" w:color="auto" w:fill="auto"/>
            <w:noWrap/>
            <w:vAlign w:val="bottom"/>
            <w:hideMark/>
          </w:tcPr>
          <w:p w14:paraId="7D6B48FA" w14:textId="77777777" w:rsidR="00017C08" w:rsidRPr="00017C08" w:rsidRDefault="00017C08" w:rsidP="00017C08">
            <w:pPr>
              <w:spacing w:after="0" w:line="240" w:lineRule="auto"/>
              <w:jc w:val="right"/>
              <w:rPr>
                <w:rFonts w:ascii="Arial" w:eastAsia="Times New Roman" w:hAnsi="Arial" w:cs="Arial"/>
                <w:color w:val="000000"/>
                <w:lang w:eastAsia="vi-VN"/>
              </w:rPr>
            </w:pPr>
            <w:r w:rsidRPr="00017C08">
              <w:rPr>
                <w:rFonts w:ascii="Arial" w:eastAsia="Times New Roman" w:hAnsi="Arial" w:cs="Arial"/>
                <w:color w:val="000000"/>
                <w:lang w:eastAsia="vi-VN"/>
              </w:rPr>
              <w:t>0.065</w:t>
            </w:r>
          </w:p>
        </w:tc>
        <w:tc>
          <w:tcPr>
            <w:tcW w:w="2126" w:type="dxa"/>
            <w:vMerge/>
            <w:tcBorders>
              <w:top w:val="nil"/>
              <w:left w:val="single" w:sz="4" w:space="0" w:color="auto"/>
              <w:bottom w:val="single" w:sz="4" w:space="0" w:color="auto"/>
              <w:right w:val="single" w:sz="4" w:space="0" w:color="auto"/>
            </w:tcBorders>
            <w:vAlign w:val="center"/>
            <w:hideMark/>
          </w:tcPr>
          <w:p w14:paraId="17DB992E" w14:textId="77777777" w:rsidR="00017C08" w:rsidRPr="00017C08" w:rsidRDefault="00017C08" w:rsidP="00017C08">
            <w:pPr>
              <w:spacing w:after="0" w:line="240" w:lineRule="auto"/>
              <w:rPr>
                <w:rFonts w:ascii="Arial" w:eastAsia="Times New Roman" w:hAnsi="Arial" w:cs="Arial"/>
                <w:color w:val="000000"/>
                <w:lang w:eastAsia="vi-VN"/>
              </w:rPr>
            </w:pPr>
          </w:p>
        </w:tc>
      </w:tr>
      <w:tr w:rsidR="00017C08" w:rsidRPr="00017C08" w14:paraId="55ED2352" w14:textId="77777777" w:rsidTr="00017C0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FB472FB" w14:textId="77777777" w:rsidR="00017C08" w:rsidRPr="00017C08" w:rsidRDefault="00017C08" w:rsidP="00017C08">
            <w:pPr>
              <w:spacing w:after="0" w:line="240" w:lineRule="auto"/>
              <w:jc w:val="center"/>
              <w:rPr>
                <w:rFonts w:ascii="Arial" w:eastAsia="Times New Roman" w:hAnsi="Arial" w:cs="Arial"/>
                <w:color w:val="000000"/>
                <w:lang w:eastAsia="vi-VN"/>
              </w:rPr>
            </w:pPr>
            <w:r w:rsidRPr="00017C08">
              <w:rPr>
                <w:rFonts w:ascii="Arial" w:eastAsia="Times New Roman" w:hAnsi="Arial" w:cs="Arial"/>
                <w:color w:val="000000"/>
                <w:lang w:eastAsia="vi-VN"/>
              </w:rPr>
              <w:t>4</w:t>
            </w:r>
          </w:p>
        </w:tc>
        <w:tc>
          <w:tcPr>
            <w:tcW w:w="1276" w:type="dxa"/>
            <w:tcBorders>
              <w:top w:val="nil"/>
              <w:left w:val="nil"/>
              <w:bottom w:val="single" w:sz="4" w:space="0" w:color="auto"/>
              <w:right w:val="single" w:sz="4" w:space="0" w:color="auto"/>
            </w:tcBorders>
            <w:shd w:val="clear" w:color="000000" w:fill="FFFFFF"/>
            <w:noWrap/>
            <w:vAlign w:val="bottom"/>
            <w:hideMark/>
          </w:tcPr>
          <w:p w14:paraId="28AC00CB" w14:textId="77777777" w:rsidR="00017C08" w:rsidRPr="00017C08" w:rsidRDefault="00017C08" w:rsidP="00017C08">
            <w:pPr>
              <w:spacing w:after="0" w:line="240" w:lineRule="auto"/>
              <w:rPr>
                <w:rFonts w:ascii="Times New Roman" w:eastAsia="Times New Roman" w:hAnsi="Times New Roman" w:cs="Times New Roman"/>
                <w:b/>
                <w:bCs/>
                <w:color w:val="000000"/>
                <w:sz w:val="24"/>
                <w:szCs w:val="24"/>
                <w:lang w:eastAsia="vi-VN"/>
              </w:rPr>
            </w:pPr>
            <w:r w:rsidRPr="00017C08">
              <w:rPr>
                <w:rFonts w:ascii="Times New Roman" w:eastAsia="Times New Roman" w:hAnsi="Times New Roman" w:cs="Times New Roman"/>
                <w:b/>
                <w:bCs/>
                <w:color w:val="000000"/>
                <w:sz w:val="24"/>
                <w:szCs w:val="24"/>
                <w:lang w:eastAsia="vi-VN"/>
              </w:rPr>
              <w:t>MBB</w:t>
            </w:r>
          </w:p>
        </w:tc>
        <w:tc>
          <w:tcPr>
            <w:tcW w:w="1167" w:type="dxa"/>
            <w:tcBorders>
              <w:top w:val="nil"/>
              <w:left w:val="nil"/>
              <w:bottom w:val="single" w:sz="4" w:space="0" w:color="auto"/>
              <w:right w:val="single" w:sz="4" w:space="0" w:color="auto"/>
            </w:tcBorders>
            <w:shd w:val="clear" w:color="auto" w:fill="auto"/>
            <w:noWrap/>
            <w:vAlign w:val="bottom"/>
            <w:hideMark/>
          </w:tcPr>
          <w:p w14:paraId="69A73E04" w14:textId="77777777" w:rsidR="00017C08" w:rsidRPr="00017C08" w:rsidRDefault="00017C08" w:rsidP="00017C08">
            <w:pPr>
              <w:spacing w:after="0" w:line="240" w:lineRule="auto"/>
              <w:jc w:val="center"/>
              <w:rPr>
                <w:rFonts w:ascii="Arial" w:eastAsia="Times New Roman" w:hAnsi="Arial" w:cs="Arial"/>
                <w:color w:val="000000"/>
                <w:sz w:val="20"/>
                <w:szCs w:val="20"/>
                <w:lang w:eastAsia="vi-VN"/>
              </w:rPr>
            </w:pPr>
            <w:r w:rsidRPr="00017C08">
              <w:rPr>
                <w:rFonts w:ascii="Arial" w:eastAsia="Times New Roman" w:hAnsi="Arial" w:cs="Arial"/>
                <w:color w:val="000000"/>
                <w:sz w:val="20"/>
                <w:szCs w:val="20"/>
                <w:lang w:eastAsia="vi-VN"/>
              </w:rPr>
              <w:t>0.081</w:t>
            </w:r>
          </w:p>
        </w:tc>
        <w:tc>
          <w:tcPr>
            <w:tcW w:w="1526" w:type="dxa"/>
            <w:tcBorders>
              <w:top w:val="nil"/>
              <w:left w:val="nil"/>
              <w:bottom w:val="single" w:sz="4" w:space="0" w:color="auto"/>
              <w:right w:val="single" w:sz="4" w:space="0" w:color="auto"/>
            </w:tcBorders>
            <w:shd w:val="clear" w:color="auto" w:fill="auto"/>
            <w:noWrap/>
            <w:vAlign w:val="bottom"/>
            <w:hideMark/>
          </w:tcPr>
          <w:p w14:paraId="50030A3A" w14:textId="77777777" w:rsidR="00017C08" w:rsidRPr="00017C08" w:rsidRDefault="00017C08" w:rsidP="00017C08">
            <w:pPr>
              <w:spacing w:after="0" w:line="240" w:lineRule="auto"/>
              <w:jc w:val="center"/>
              <w:rPr>
                <w:rFonts w:ascii="Arial" w:eastAsia="Times New Roman" w:hAnsi="Arial" w:cs="Arial"/>
                <w:color w:val="000000"/>
                <w:sz w:val="20"/>
                <w:szCs w:val="20"/>
                <w:lang w:eastAsia="vi-VN"/>
              </w:rPr>
            </w:pPr>
            <w:r w:rsidRPr="00017C08">
              <w:rPr>
                <w:rFonts w:ascii="Arial" w:eastAsia="Times New Roman" w:hAnsi="Arial" w:cs="Arial"/>
                <w:color w:val="000000"/>
                <w:sz w:val="20"/>
                <w:szCs w:val="20"/>
                <w:lang w:eastAsia="vi-VN"/>
              </w:rPr>
              <w:t>0.009</w:t>
            </w:r>
          </w:p>
        </w:tc>
        <w:tc>
          <w:tcPr>
            <w:tcW w:w="992" w:type="dxa"/>
            <w:tcBorders>
              <w:top w:val="nil"/>
              <w:left w:val="nil"/>
              <w:bottom w:val="single" w:sz="4" w:space="0" w:color="auto"/>
              <w:right w:val="single" w:sz="4" w:space="0" w:color="auto"/>
            </w:tcBorders>
            <w:shd w:val="clear" w:color="auto" w:fill="auto"/>
            <w:noWrap/>
            <w:vAlign w:val="bottom"/>
            <w:hideMark/>
          </w:tcPr>
          <w:p w14:paraId="1FAC26B1" w14:textId="77777777" w:rsidR="00017C08" w:rsidRPr="00017C08" w:rsidRDefault="00017C08" w:rsidP="00017C08">
            <w:pPr>
              <w:spacing w:after="0" w:line="240" w:lineRule="auto"/>
              <w:jc w:val="right"/>
              <w:rPr>
                <w:rFonts w:ascii="Arial" w:eastAsia="Times New Roman" w:hAnsi="Arial" w:cs="Arial"/>
                <w:color w:val="000000"/>
                <w:lang w:eastAsia="vi-VN"/>
              </w:rPr>
            </w:pPr>
            <w:r w:rsidRPr="00017C08">
              <w:rPr>
                <w:rFonts w:ascii="Arial" w:eastAsia="Times New Roman" w:hAnsi="Arial" w:cs="Arial"/>
                <w:color w:val="000000"/>
                <w:lang w:eastAsia="vi-VN"/>
              </w:rPr>
              <w:t>0.639</w:t>
            </w:r>
          </w:p>
        </w:tc>
        <w:tc>
          <w:tcPr>
            <w:tcW w:w="1560" w:type="dxa"/>
            <w:tcBorders>
              <w:top w:val="nil"/>
              <w:left w:val="nil"/>
              <w:bottom w:val="single" w:sz="4" w:space="0" w:color="auto"/>
              <w:right w:val="single" w:sz="4" w:space="0" w:color="auto"/>
            </w:tcBorders>
            <w:shd w:val="clear" w:color="auto" w:fill="auto"/>
            <w:noWrap/>
            <w:vAlign w:val="bottom"/>
            <w:hideMark/>
          </w:tcPr>
          <w:p w14:paraId="2A55230D" w14:textId="77777777" w:rsidR="00017C08" w:rsidRPr="00017C08" w:rsidRDefault="00017C08" w:rsidP="00017C08">
            <w:pPr>
              <w:spacing w:after="0" w:line="240" w:lineRule="auto"/>
              <w:jc w:val="right"/>
              <w:rPr>
                <w:rFonts w:ascii="Arial" w:eastAsia="Times New Roman" w:hAnsi="Arial" w:cs="Arial"/>
                <w:color w:val="000000"/>
                <w:lang w:eastAsia="vi-VN"/>
              </w:rPr>
            </w:pPr>
            <w:r w:rsidRPr="00017C08">
              <w:rPr>
                <w:rFonts w:ascii="Arial" w:eastAsia="Times New Roman" w:hAnsi="Arial" w:cs="Arial"/>
                <w:color w:val="000000"/>
                <w:lang w:eastAsia="vi-VN"/>
              </w:rPr>
              <w:t>0.066</w:t>
            </w:r>
          </w:p>
        </w:tc>
        <w:tc>
          <w:tcPr>
            <w:tcW w:w="2126" w:type="dxa"/>
            <w:vMerge/>
            <w:tcBorders>
              <w:top w:val="nil"/>
              <w:left w:val="single" w:sz="4" w:space="0" w:color="auto"/>
              <w:bottom w:val="single" w:sz="4" w:space="0" w:color="auto"/>
              <w:right w:val="single" w:sz="4" w:space="0" w:color="auto"/>
            </w:tcBorders>
            <w:vAlign w:val="center"/>
            <w:hideMark/>
          </w:tcPr>
          <w:p w14:paraId="1F2E7FE4" w14:textId="77777777" w:rsidR="00017C08" w:rsidRPr="00017C08" w:rsidRDefault="00017C08" w:rsidP="00017C08">
            <w:pPr>
              <w:spacing w:after="0" w:line="240" w:lineRule="auto"/>
              <w:rPr>
                <w:rFonts w:ascii="Arial" w:eastAsia="Times New Roman" w:hAnsi="Arial" w:cs="Arial"/>
                <w:color w:val="000000"/>
                <w:lang w:eastAsia="vi-VN"/>
              </w:rPr>
            </w:pPr>
          </w:p>
        </w:tc>
      </w:tr>
      <w:tr w:rsidR="00017C08" w:rsidRPr="00017C08" w14:paraId="0C0FEEB2" w14:textId="77777777" w:rsidTr="00017C0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570E44C" w14:textId="77777777" w:rsidR="00017C08" w:rsidRPr="00017C08" w:rsidRDefault="00017C08" w:rsidP="00017C08">
            <w:pPr>
              <w:spacing w:after="0" w:line="240" w:lineRule="auto"/>
              <w:jc w:val="center"/>
              <w:rPr>
                <w:rFonts w:ascii="Arial" w:eastAsia="Times New Roman" w:hAnsi="Arial" w:cs="Arial"/>
                <w:color w:val="000000"/>
                <w:lang w:eastAsia="vi-VN"/>
              </w:rPr>
            </w:pPr>
            <w:r w:rsidRPr="00017C08">
              <w:rPr>
                <w:rFonts w:ascii="Arial" w:eastAsia="Times New Roman" w:hAnsi="Arial" w:cs="Arial"/>
                <w:color w:val="000000"/>
                <w:lang w:eastAsia="vi-VN"/>
              </w:rPr>
              <w:t>5</w:t>
            </w:r>
          </w:p>
        </w:tc>
        <w:tc>
          <w:tcPr>
            <w:tcW w:w="1276" w:type="dxa"/>
            <w:tcBorders>
              <w:top w:val="nil"/>
              <w:left w:val="nil"/>
              <w:bottom w:val="single" w:sz="4" w:space="0" w:color="auto"/>
              <w:right w:val="single" w:sz="4" w:space="0" w:color="auto"/>
            </w:tcBorders>
            <w:shd w:val="clear" w:color="000000" w:fill="FFFFFF"/>
            <w:noWrap/>
            <w:vAlign w:val="bottom"/>
            <w:hideMark/>
          </w:tcPr>
          <w:p w14:paraId="56F2F37A" w14:textId="77777777" w:rsidR="00017C08" w:rsidRPr="00017C08" w:rsidRDefault="00017C08" w:rsidP="00017C08">
            <w:pPr>
              <w:spacing w:after="0" w:line="240" w:lineRule="auto"/>
              <w:rPr>
                <w:rFonts w:ascii="Times New Roman" w:eastAsia="Times New Roman" w:hAnsi="Times New Roman" w:cs="Times New Roman"/>
                <w:b/>
                <w:bCs/>
                <w:color w:val="000000"/>
                <w:sz w:val="24"/>
                <w:szCs w:val="24"/>
                <w:lang w:eastAsia="vi-VN"/>
              </w:rPr>
            </w:pPr>
            <w:r w:rsidRPr="00017C08">
              <w:rPr>
                <w:rFonts w:ascii="Times New Roman" w:eastAsia="Times New Roman" w:hAnsi="Times New Roman" w:cs="Times New Roman"/>
                <w:b/>
                <w:bCs/>
                <w:color w:val="000000"/>
                <w:sz w:val="24"/>
                <w:szCs w:val="24"/>
                <w:lang w:eastAsia="vi-VN"/>
              </w:rPr>
              <w:t>NVB</w:t>
            </w:r>
          </w:p>
        </w:tc>
        <w:tc>
          <w:tcPr>
            <w:tcW w:w="1167" w:type="dxa"/>
            <w:tcBorders>
              <w:top w:val="nil"/>
              <w:left w:val="nil"/>
              <w:bottom w:val="single" w:sz="4" w:space="0" w:color="auto"/>
              <w:right w:val="single" w:sz="4" w:space="0" w:color="auto"/>
            </w:tcBorders>
            <w:shd w:val="clear" w:color="auto" w:fill="auto"/>
            <w:noWrap/>
            <w:vAlign w:val="bottom"/>
            <w:hideMark/>
          </w:tcPr>
          <w:p w14:paraId="41736E2E" w14:textId="77777777" w:rsidR="00017C08" w:rsidRPr="00017C08" w:rsidRDefault="00017C08" w:rsidP="00017C08">
            <w:pPr>
              <w:spacing w:after="0" w:line="240" w:lineRule="auto"/>
              <w:jc w:val="center"/>
              <w:rPr>
                <w:rFonts w:ascii="Arial" w:eastAsia="Times New Roman" w:hAnsi="Arial" w:cs="Arial"/>
                <w:color w:val="000000"/>
                <w:sz w:val="20"/>
                <w:szCs w:val="20"/>
                <w:lang w:eastAsia="vi-VN"/>
              </w:rPr>
            </w:pPr>
            <w:r w:rsidRPr="00017C08">
              <w:rPr>
                <w:rFonts w:ascii="Arial" w:eastAsia="Times New Roman" w:hAnsi="Arial" w:cs="Arial"/>
                <w:color w:val="000000"/>
                <w:sz w:val="20"/>
                <w:szCs w:val="20"/>
                <w:lang w:eastAsia="vi-VN"/>
              </w:rPr>
              <w:t>0.021</w:t>
            </w:r>
          </w:p>
        </w:tc>
        <w:tc>
          <w:tcPr>
            <w:tcW w:w="1526" w:type="dxa"/>
            <w:tcBorders>
              <w:top w:val="nil"/>
              <w:left w:val="nil"/>
              <w:bottom w:val="single" w:sz="4" w:space="0" w:color="auto"/>
              <w:right w:val="single" w:sz="4" w:space="0" w:color="auto"/>
            </w:tcBorders>
            <w:shd w:val="clear" w:color="auto" w:fill="auto"/>
            <w:noWrap/>
            <w:vAlign w:val="bottom"/>
            <w:hideMark/>
          </w:tcPr>
          <w:p w14:paraId="0456B2E8" w14:textId="77777777" w:rsidR="00017C08" w:rsidRPr="00017C08" w:rsidRDefault="00017C08" w:rsidP="00017C08">
            <w:pPr>
              <w:spacing w:after="0" w:line="240" w:lineRule="auto"/>
              <w:jc w:val="center"/>
              <w:rPr>
                <w:rFonts w:ascii="Arial" w:eastAsia="Times New Roman" w:hAnsi="Arial" w:cs="Arial"/>
                <w:color w:val="000000"/>
                <w:sz w:val="20"/>
                <w:szCs w:val="20"/>
                <w:lang w:eastAsia="vi-VN"/>
              </w:rPr>
            </w:pPr>
            <w:r w:rsidRPr="00017C08">
              <w:rPr>
                <w:rFonts w:ascii="Arial" w:eastAsia="Times New Roman" w:hAnsi="Arial" w:cs="Arial"/>
                <w:color w:val="000000"/>
                <w:sz w:val="20"/>
                <w:szCs w:val="20"/>
                <w:lang w:eastAsia="vi-VN"/>
              </w:rPr>
              <w:t>0.003</w:t>
            </w:r>
          </w:p>
        </w:tc>
        <w:tc>
          <w:tcPr>
            <w:tcW w:w="992" w:type="dxa"/>
            <w:tcBorders>
              <w:top w:val="nil"/>
              <w:left w:val="nil"/>
              <w:bottom w:val="single" w:sz="4" w:space="0" w:color="auto"/>
              <w:right w:val="single" w:sz="4" w:space="0" w:color="auto"/>
            </w:tcBorders>
            <w:shd w:val="clear" w:color="auto" w:fill="auto"/>
            <w:noWrap/>
            <w:vAlign w:val="bottom"/>
            <w:hideMark/>
          </w:tcPr>
          <w:p w14:paraId="0D1A19BE" w14:textId="77777777" w:rsidR="00017C08" w:rsidRPr="00017C08" w:rsidRDefault="00017C08" w:rsidP="00017C08">
            <w:pPr>
              <w:spacing w:after="0" w:line="240" w:lineRule="auto"/>
              <w:jc w:val="right"/>
              <w:rPr>
                <w:rFonts w:ascii="Arial" w:eastAsia="Times New Roman" w:hAnsi="Arial" w:cs="Arial"/>
                <w:color w:val="000000"/>
                <w:lang w:eastAsia="vi-VN"/>
              </w:rPr>
            </w:pPr>
            <w:r w:rsidRPr="00017C08">
              <w:rPr>
                <w:rFonts w:ascii="Arial" w:eastAsia="Times New Roman" w:hAnsi="Arial" w:cs="Arial"/>
                <w:color w:val="000000"/>
                <w:lang w:eastAsia="vi-VN"/>
              </w:rPr>
              <w:t>0.676</w:t>
            </w:r>
          </w:p>
        </w:tc>
        <w:tc>
          <w:tcPr>
            <w:tcW w:w="1560" w:type="dxa"/>
            <w:tcBorders>
              <w:top w:val="nil"/>
              <w:left w:val="nil"/>
              <w:bottom w:val="single" w:sz="4" w:space="0" w:color="auto"/>
              <w:right w:val="single" w:sz="4" w:space="0" w:color="auto"/>
            </w:tcBorders>
            <w:shd w:val="clear" w:color="auto" w:fill="auto"/>
            <w:noWrap/>
            <w:vAlign w:val="bottom"/>
            <w:hideMark/>
          </w:tcPr>
          <w:p w14:paraId="3D5A4EFD" w14:textId="77777777" w:rsidR="00017C08" w:rsidRPr="00017C08" w:rsidRDefault="00017C08" w:rsidP="00017C08">
            <w:pPr>
              <w:spacing w:after="0" w:line="240" w:lineRule="auto"/>
              <w:jc w:val="right"/>
              <w:rPr>
                <w:rFonts w:ascii="Arial" w:eastAsia="Times New Roman" w:hAnsi="Arial" w:cs="Arial"/>
                <w:color w:val="000000"/>
                <w:lang w:eastAsia="vi-VN"/>
              </w:rPr>
            </w:pPr>
            <w:r w:rsidRPr="00017C08">
              <w:rPr>
                <w:rFonts w:ascii="Arial" w:eastAsia="Times New Roman" w:hAnsi="Arial" w:cs="Arial"/>
                <w:color w:val="000000"/>
                <w:lang w:eastAsia="vi-VN"/>
              </w:rPr>
              <w:t>0.045</w:t>
            </w:r>
          </w:p>
        </w:tc>
        <w:tc>
          <w:tcPr>
            <w:tcW w:w="2126" w:type="dxa"/>
            <w:vMerge/>
            <w:tcBorders>
              <w:top w:val="nil"/>
              <w:left w:val="single" w:sz="4" w:space="0" w:color="auto"/>
              <w:bottom w:val="single" w:sz="4" w:space="0" w:color="auto"/>
              <w:right w:val="single" w:sz="4" w:space="0" w:color="auto"/>
            </w:tcBorders>
            <w:vAlign w:val="center"/>
            <w:hideMark/>
          </w:tcPr>
          <w:p w14:paraId="4C9505E5" w14:textId="77777777" w:rsidR="00017C08" w:rsidRPr="00017C08" w:rsidRDefault="00017C08" w:rsidP="00017C08">
            <w:pPr>
              <w:spacing w:after="0" w:line="240" w:lineRule="auto"/>
              <w:rPr>
                <w:rFonts w:ascii="Arial" w:eastAsia="Times New Roman" w:hAnsi="Arial" w:cs="Arial"/>
                <w:color w:val="000000"/>
                <w:lang w:eastAsia="vi-VN"/>
              </w:rPr>
            </w:pPr>
          </w:p>
        </w:tc>
      </w:tr>
      <w:tr w:rsidR="00017C08" w:rsidRPr="00017C08" w14:paraId="26EF3D72" w14:textId="77777777" w:rsidTr="00017C0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A44E799" w14:textId="77777777" w:rsidR="00017C08" w:rsidRPr="00017C08" w:rsidRDefault="00017C08" w:rsidP="00017C08">
            <w:pPr>
              <w:spacing w:after="0" w:line="240" w:lineRule="auto"/>
              <w:jc w:val="center"/>
              <w:rPr>
                <w:rFonts w:ascii="Arial" w:eastAsia="Times New Roman" w:hAnsi="Arial" w:cs="Arial"/>
                <w:color w:val="000000"/>
                <w:lang w:eastAsia="vi-VN"/>
              </w:rPr>
            </w:pPr>
            <w:r w:rsidRPr="00017C08">
              <w:rPr>
                <w:rFonts w:ascii="Arial" w:eastAsia="Times New Roman" w:hAnsi="Arial" w:cs="Arial"/>
                <w:color w:val="000000"/>
                <w:lang w:eastAsia="vi-VN"/>
              </w:rPr>
              <w:t>6</w:t>
            </w:r>
          </w:p>
        </w:tc>
        <w:tc>
          <w:tcPr>
            <w:tcW w:w="1276" w:type="dxa"/>
            <w:tcBorders>
              <w:top w:val="nil"/>
              <w:left w:val="nil"/>
              <w:bottom w:val="single" w:sz="4" w:space="0" w:color="auto"/>
              <w:right w:val="single" w:sz="4" w:space="0" w:color="auto"/>
            </w:tcBorders>
            <w:shd w:val="clear" w:color="000000" w:fill="FFFFFF"/>
            <w:noWrap/>
            <w:vAlign w:val="bottom"/>
            <w:hideMark/>
          </w:tcPr>
          <w:p w14:paraId="2075B69F" w14:textId="77777777" w:rsidR="00017C08" w:rsidRPr="00017C08" w:rsidRDefault="00017C08" w:rsidP="00017C08">
            <w:pPr>
              <w:spacing w:after="0" w:line="240" w:lineRule="auto"/>
              <w:rPr>
                <w:rFonts w:ascii="Times New Roman" w:eastAsia="Times New Roman" w:hAnsi="Times New Roman" w:cs="Times New Roman"/>
                <w:b/>
                <w:bCs/>
                <w:color w:val="000000"/>
                <w:sz w:val="24"/>
                <w:szCs w:val="24"/>
                <w:lang w:eastAsia="vi-VN"/>
              </w:rPr>
            </w:pPr>
            <w:r w:rsidRPr="00017C08">
              <w:rPr>
                <w:rFonts w:ascii="Times New Roman" w:eastAsia="Times New Roman" w:hAnsi="Times New Roman" w:cs="Times New Roman"/>
                <w:b/>
                <w:bCs/>
                <w:color w:val="000000"/>
                <w:sz w:val="24"/>
                <w:szCs w:val="24"/>
                <w:lang w:eastAsia="vi-VN"/>
              </w:rPr>
              <w:t>SHB</w:t>
            </w:r>
          </w:p>
        </w:tc>
        <w:tc>
          <w:tcPr>
            <w:tcW w:w="1167" w:type="dxa"/>
            <w:tcBorders>
              <w:top w:val="nil"/>
              <w:left w:val="nil"/>
              <w:bottom w:val="single" w:sz="4" w:space="0" w:color="auto"/>
              <w:right w:val="single" w:sz="4" w:space="0" w:color="auto"/>
            </w:tcBorders>
            <w:shd w:val="clear" w:color="auto" w:fill="auto"/>
            <w:noWrap/>
            <w:vAlign w:val="bottom"/>
            <w:hideMark/>
          </w:tcPr>
          <w:p w14:paraId="5EEBA3AA" w14:textId="77777777" w:rsidR="00017C08" w:rsidRPr="00017C08" w:rsidRDefault="00017C08" w:rsidP="00017C08">
            <w:pPr>
              <w:spacing w:after="0" w:line="240" w:lineRule="auto"/>
              <w:jc w:val="center"/>
              <w:rPr>
                <w:rFonts w:ascii="Arial" w:eastAsia="Times New Roman" w:hAnsi="Arial" w:cs="Arial"/>
                <w:color w:val="000000"/>
                <w:sz w:val="20"/>
                <w:szCs w:val="20"/>
                <w:lang w:eastAsia="vi-VN"/>
              </w:rPr>
            </w:pPr>
            <w:r w:rsidRPr="00017C08">
              <w:rPr>
                <w:rFonts w:ascii="Arial" w:eastAsia="Times New Roman" w:hAnsi="Arial" w:cs="Arial"/>
                <w:color w:val="000000"/>
                <w:sz w:val="20"/>
                <w:szCs w:val="20"/>
                <w:lang w:eastAsia="vi-VN"/>
              </w:rPr>
              <w:t>1.011</w:t>
            </w:r>
          </w:p>
        </w:tc>
        <w:tc>
          <w:tcPr>
            <w:tcW w:w="1526" w:type="dxa"/>
            <w:tcBorders>
              <w:top w:val="nil"/>
              <w:left w:val="nil"/>
              <w:bottom w:val="single" w:sz="4" w:space="0" w:color="auto"/>
              <w:right w:val="single" w:sz="4" w:space="0" w:color="auto"/>
            </w:tcBorders>
            <w:shd w:val="clear" w:color="auto" w:fill="auto"/>
            <w:noWrap/>
            <w:vAlign w:val="bottom"/>
            <w:hideMark/>
          </w:tcPr>
          <w:p w14:paraId="10F2898D" w14:textId="77777777" w:rsidR="00017C08" w:rsidRPr="00017C08" w:rsidRDefault="00017C08" w:rsidP="00017C08">
            <w:pPr>
              <w:spacing w:after="0" w:line="240" w:lineRule="auto"/>
              <w:jc w:val="center"/>
              <w:rPr>
                <w:rFonts w:ascii="Arial" w:eastAsia="Times New Roman" w:hAnsi="Arial" w:cs="Arial"/>
                <w:color w:val="000000"/>
                <w:sz w:val="20"/>
                <w:szCs w:val="20"/>
                <w:lang w:eastAsia="vi-VN"/>
              </w:rPr>
            </w:pPr>
            <w:r w:rsidRPr="00017C08">
              <w:rPr>
                <w:rFonts w:ascii="Arial" w:eastAsia="Times New Roman" w:hAnsi="Arial" w:cs="Arial"/>
                <w:color w:val="000000"/>
                <w:sz w:val="20"/>
                <w:szCs w:val="20"/>
                <w:lang w:eastAsia="vi-VN"/>
              </w:rPr>
              <w:t>0.113</w:t>
            </w:r>
          </w:p>
        </w:tc>
        <w:tc>
          <w:tcPr>
            <w:tcW w:w="992" w:type="dxa"/>
            <w:tcBorders>
              <w:top w:val="nil"/>
              <w:left w:val="nil"/>
              <w:bottom w:val="single" w:sz="4" w:space="0" w:color="auto"/>
              <w:right w:val="single" w:sz="4" w:space="0" w:color="auto"/>
            </w:tcBorders>
            <w:shd w:val="clear" w:color="auto" w:fill="auto"/>
            <w:noWrap/>
            <w:vAlign w:val="bottom"/>
            <w:hideMark/>
          </w:tcPr>
          <w:p w14:paraId="4393A311" w14:textId="77777777" w:rsidR="00017C08" w:rsidRPr="00017C08" w:rsidRDefault="00017C08" w:rsidP="00017C08">
            <w:pPr>
              <w:spacing w:after="0" w:line="240" w:lineRule="auto"/>
              <w:jc w:val="right"/>
              <w:rPr>
                <w:rFonts w:ascii="Arial" w:eastAsia="Times New Roman" w:hAnsi="Arial" w:cs="Arial"/>
                <w:color w:val="000000"/>
                <w:lang w:eastAsia="vi-VN"/>
              </w:rPr>
            </w:pPr>
            <w:r w:rsidRPr="00017C08">
              <w:rPr>
                <w:rFonts w:ascii="Arial" w:eastAsia="Times New Roman" w:hAnsi="Arial" w:cs="Arial"/>
                <w:color w:val="000000"/>
                <w:lang w:eastAsia="vi-VN"/>
              </w:rPr>
              <w:t>0.636</w:t>
            </w:r>
          </w:p>
        </w:tc>
        <w:tc>
          <w:tcPr>
            <w:tcW w:w="1560" w:type="dxa"/>
            <w:tcBorders>
              <w:top w:val="nil"/>
              <w:left w:val="nil"/>
              <w:bottom w:val="single" w:sz="4" w:space="0" w:color="auto"/>
              <w:right w:val="single" w:sz="4" w:space="0" w:color="auto"/>
            </w:tcBorders>
            <w:shd w:val="clear" w:color="auto" w:fill="auto"/>
            <w:noWrap/>
            <w:vAlign w:val="bottom"/>
            <w:hideMark/>
          </w:tcPr>
          <w:p w14:paraId="11E38989" w14:textId="77777777" w:rsidR="00017C08" w:rsidRPr="00017C08" w:rsidRDefault="00017C08" w:rsidP="00017C08">
            <w:pPr>
              <w:spacing w:after="0" w:line="240" w:lineRule="auto"/>
              <w:jc w:val="right"/>
              <w:rPr>
                <w:rFonts w:ascii="Arial" w:eastAsia="Times New Roman" w:hAnsi="Arial" w:cs="Arial"/>
                <w:color w:val="000000"/>
                <w:lang w:eastAsia="vi-VN"/>
              </w:rPr>
            </w:pPr>
            <w:r w:rsidRPr="00017C08">
              <w:rPr>
                <w:rFonts w:ascii="Arial" w:eastAsia="Times New Roman" w:hAnsi="Arial" w:cs="Arial"/>
                <w:color w:val="000000"/>
                <w:lang w:eastAsia="vi-VN"/>
              </w:rPr>
              <w:t>0.035</w:t>
            </w:r>
          </w:p>
        </w:tc>
        <w:tc>
          <w:tcPr>
            <w:tcW w:w="2126" w:type="dxa"/>
            <w:vMerge/>
            <w:tcBorders>
              <w:top w:val="nil"/>
              <w:left w:val="single" w:sz="4" w:space="0" w:color="auto"/>
              <w:bottom w:val="single" w:sz="4" w:space="0" w:color="auto"/>
              <w:right w:val="single" w:sz="4" w:space="0" w:color="auto"/>
            </w:tcBorders>
            <w:vAlign w:val="center"/>
            <w:hideMark/>
          </w:tcPr>
          <w:p w14:paraId="612015BF" w14:textId="77777777" w:rsidR="00017C08" w:rsidRPr="00017C08" w:rsidRDefault="00017C08" w:rsidP="00017C08">
            <w:pPr>
              <w:spacing w:after="0" w:line="240" w:lineRule="auto"/>
              <w:rPr>
                <w:rFonts w:ascii="Arial" w:eastAsia="Times New Roman" w:hAnsi="Arial" w:cs="Arial"/>
                <w:color w:val="000000"/>
                <w:lang w:eastAsia="vi-VN"/>
              </w:rPr>
            </w:pPr>
          </w:p>
        </w:tc>
      </w:tr>
      <w:tr w:rsidR="00017C08" w:rsidRPr="00017C08" w14:paraId="0745F7C1" w14:textId="77777777" w:rsidTr="00017C0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314F7F6" w14:textId="77777777" w:rsidR="00017C08" w:rsidRPr="00017C08" w:rsidRDefault="00017C08" w:rsidP="00017C08">
            <w:pPr>
              <w:spacing w:after="0" w:line="240" w:lineRule="auto"/>
              <w:jc w:val="center"/>
              <w:rPr>
                <w:rFonts w:ascii="Arial" w:eastAsia="Times New Roman" w:hAnsi="Arial" w:cs="Arial"/>
                <w:color w:val="000000"/>
                <w:lang w:eastAsia="vi-VN"/>
              </w:rPr>
            </w:pPr>
            <w:r w:rsidRPr="00017C08">
              <w:rPr>
                <w:rFonts w:ascii="Arial" w:eastAsia="Times New Roman" w:hAnsi="Arial" w:cs="Arial"/>
                <w:color w:val="000000"/>
                <w:lang w:eastAsia="vi-VN"/>
              </w:rPr>
              <w:t>7</w:t>
            </w:r>
          </w:p>
        </w:tc>
        <w:tc>
          <w:tcPr>
            <w:tcW w:w="1276" w:type="dxa"/>
            <w:tcBorders>
              <w:top w:val="nil"/>
              <w:left w:val="nil"/>
              <w:bottom w:val="single" w:sz="4" w:space="0" w:color="auto"/>
              <w:right w:val="single" w:sz="4" w:space="0" w:color="auto"/>
            </w:tcBorders>
            <w:shd w:val="clear" w:color="000000" w:fill="FFFFFF"/>
            <w:noWrap/>
            <w:vAlign w:val="bottom"/>
            <w:hideMark/>
          </w:tcPr>
          <w:p w14:paraId="16795F07" w14:textId="77777777" w:rsidR="00017C08" w:rsidRPr="00017C08" w:rsidRDefault="00017C08" w:rsidP="00017C08">
            <w:pPr>
              <w:spacing w:after="0" w:line="240" w:lineRule="auto"/>
              <w:rPr>
                <w:rFonts w:ascii="Times New Roman" w:eastAsia="Times New Roman" w:hAnsi="Times New Roman" w:cs="Times New Roman"/>
                <w:b/>
                <w:bCs/>
                <w:color w:val="000000"/>
                <w:sz w:val="24"/>
                <w:szCs w:val="24"/>
                <w:lang w:eastAsia="vi-VN"/>
              </w:rPr>
            </w:pPr>
            <w:r w:rsidRPr="00017C08">
              <w:rPr>
                <w:rFonts w:ascii="Times New Roman" w:eastAsia="Times New Roman" w:hAnsi="Times New Roman" w:cs="Times New Roman"/>
                <w:b/>
                <w:bCs/>
                <w:color w:val="000000"/>
                <w:sz w:val="24"/>
                <w:szCs w:val="24"/>
                <w:lang w:eastAsia="vi-VN"/>
              </w:rPr>
              <w:t>STB</w:t>
            </w:r>
          </w:p>
        </w:tc>
        <w:tc>
          <w:tcPr>
            <w:tcW w:w="1167" w:type="dxa"/>
            <w:tcBorders>
              <w:top w:val="nil"/>
              <w:left w:val="nil"/>
              <w:bottom w:val="single" w:sz="4" w:space="0" w:color="auto"/>
              <w:right w:val="single" w:sz="4" w:space="0" w:color="auto"/>
            </w:tcBorders>
            <w:shd w:val="clear" w:color="auto" w:fill="auto"/>
            <w:noWrap/>
            <w:vAlign w:val="bottom"/>
            <w:hideMark/>
          </w:tcPr>
          <w:p w14:paraId="493F4E08" w14:textId="77777777" w:rsidR="00017C08" w:rsidRPr="00017C08" w:rsidRDefault="00017C08" w:rsidP="00017C08">
            <w:pPr>
              <w:spacing w:after="0" w:line="240" w:lineRule="auto"/>
              <w:jc w:val="center"/>
              <w:rPr>
                <w:rFonts w:ascii="Arial" w:eastAsia="Times New Roman" w:hAnsi="Arial" w:cs="Arial"/>
                <w:color w:val="000000"/>
                <w:sz w:val="20"/>
                <w:szCs w:val="20"/>
                <w:lang w:eastAsia="vi-VN"/>
              </w:rPr>
            </w:pPr>
            <w:r w:rsidRPr="00017C08">
              <w:rPr>
                <w:rFonts w:ascii="Arial" w:eastAsia="Times New Roman" w:hAnsi="Arial" w:cs="Arial"/>
                <w:color w:val="000000"/>
                <w:sz w:val="20"/>
                <w:szCs w:val="20"/>
                <w:lang w:eastAsia="vi-VN"/>
              </w:rPr>
              <w:t>0.826</w:t>
            </w:r>
          </w:p>
        </w:tc>
        <w:tc>
          <w:tcPr>
            <w:tcW w:w="1526" w:type="dxa"/>
            <w:tcBorders>
              <w:top w:val="nil"/>
              <w:left w:val="nil"/>
              <w:bottom w:val="single" w:sz="4" w:space="0" w:color="auto"/>
              <w:right w:val="single" w:sz="4" w:space="0" w:color="auto"/>
            </w:tcBorders>
            <w:shd w:val="clear" w:color="auto" w:fill="auto"/>
            <w:noWrap/>
            <w:vAlign w:val="bottom"/>
            <w:hideMark/>
          </w:tcPr>
          <w:p w14:paraId="1CA1757B" w14:textId="77777777" w:rsidR="00017C08" w:rsidRPr="00017C08" w:rsidRDefault="00017C08" w:rsidP="00017C08">
            <w:pPr>
              <w:spacing w:after="0" w:line="240" w:lineRule="auto"/>
              <w:jc w:val="center"/>
              <w:rPr>
                <w:rFonts w:ascii="Arial" w:eastAsia="Times New Roman" w:hAnsi="Arial" w:cs="Arial"/>
                <w:color w:val="000000"/>
                <w:sz w:val="20"/>
                <w:szCs w:val="20"/>
                <w:lang w:eastAsia="vi-VN"/>
              </w:rPr>
            </w:pPr>
            <w:r w:rsidRPr="00017C08">
              <w:rPr>
                <w:rFonts w:ascii="Arial" w:eastAsia="Times New Roman" w:hAnsi="Arial" w:cs="Arial"/>
                <w:color w:val="000000"/>
                <w:sz w:val="20"/>
                <w:szCs w:val="20"/>
                <w:lang w:eastAsia="vi-VN"/>
              </w:rPr>
              <w:t>0.089</w:t>
            </w:r>
          </w:p>
        </w:tc>
        <w:tc>
          <w:tcPr>
            <w:tcW w:w="992" w:type="dxa"/>
            <w:tcBorders>
              <w:top w:val="nil"/>
              <w:left w:val="nil"/>
              <w:bottom w:val="single" w:sz="4" w:space="0" w:color="auto"/>
              <w:right w:val="single" w:sz="4" w:space="0" w:color="auto"/>
            </w:tcBorders>
            <w:shd w:val="clear" w:color="auto" w:fill="auto"/>
            <w:noWrap/>
            <w:vAlign w:val="bottom"/>
            <w:hideMark/>
          </w:tcPr>
          <w:p w14:paraId="7924AAB9" w14:textId="77777777" w:rsidR="00017C08" w:rsidRPr="00017C08" w:rsidRDefault="00017C08" w:rsidP="00017C08">
            <w:pPr>
              <w:spacing w:after="0" w:line="240" w:lineRule="auto"/>
              <w:jc w:val="right"/>
              <w:rPr>
                <w:rFonts w:ascii="Arial" w:eastAsia="Times New Roman" w:hAnsi="Arial" w:cs="Arial"/>
                <w:color w:val="000000"/>
                <w:lang w:eastAsia="vi-VN"/>
              </w:rPr>
            </w:pPr>
            <w:r w:rsidRPr="00017C08">
              <w:rPr>
                <w:rFonts w:ascii="Arial" w:eastAsia="Times New Roman" w:hAnsi="Arial" w:cs="Arial"/>
                <w:color w:val="000000"/>
                <w:lang w:eastAsia="vi-VN"/>
              </w:rPr>
              <w:t>1.165</w:t>
            </w:r>
          </w:p>
        </w:tc>
        <w:tc>
          <w:tcPr>
            <w:tcW w:w="1560" w:type="dxa"/>
            <w:tcBorders>
              <w:top w:val="nil"/>
              <w:left w:val="nil"/>
              <w:bottom w:val="single" w:sz="4" w:space="0" w:color="auto"/>
              <w:right w:val="single" w:sz="4" w:space="0" w:color="auto"/>
            </w:tcBorders>
            <w:shd w:val="clear" w:color="auto" w:fill="auto"/>
            <w:noWrap/>
            <w:vAlign w:val="bottom"/>
            <w:hideMark/>
          </w:tcPr>
          <w:p w14:paraId="0EB68082" w14:textId="77777777" w:rsidR="00017C08" w:rsidRPr="00017C08" w:rsidRDefault="00017C08" w:rsidP="00017C08">
            <w:pPr>
              <w:spacing w:after="0" w:line="240" w:lineRule="auto"/>
              <w:jc w:val="right"/>
              <w:rPr>
                <w:rFonts w:ascii="Arial" w:eastAsia="Times New Roman" w:hAnsi="Arial" w:cs="Arial"/>
                <w:color w:val="000000"/>
                <w:lang w:eastAsia="vi-VN"/>
              </w:rPr>
            </w:pPr>
            <w:r w:rsidRPr="00017C08">
              <w:rPr>
                <w:rFonts w:ascii="Arial" w:eastAsia="Times New Roman" w:hAnsi="Arial" w:cs="Arial"/>
                <w:color w:val="000000"/>
                <w:lang w:eastAsia="vi-VN"/>
              </w:rPr>
              <w:t>0.090</w:t>
            </w:r>
          </w:p>
        </w:tc>
        <w:tc>
          <w:tcPr>
            <w:tcW w:w="2126" w:type="dxa"/>
            <w:vMerge/>
            <w:tcBorders>
              <w:top w:val="nil"/>
              <w:left w:val="single" w:sz="4" w:space="0" w:color="auto"/>
              <w:bottom w:val="single" w:sz="4" w:space="0" w:color="auto"/>
              <w:right w:val="single" w:sz="4" w:space="0" w:color="auto"/>
            </w:tcBorders>
            <w:vAlign w:val="center"/>
            <w:hideMark/>
          </w:tcPr>
          <w:p w14:paraId="0A6CB41A" w14:textId="77777777" w:rsidR="00017C08" w:rsidRPr="00017C08" w:rsidRDefault="00017C08" w:rsidP="00017C08">
            <w:pPr>
              <w:spacing w:after="0" w:line="240" w:lineRule="auto"/>
              <w:rPr>
                <w:rFonts w:ascii="Arial" w:eastAsia="Times New Roman" w:hAnsi="Arial" w:cs="Arial"/>
                <w:color w:val="000000"/>
                <w:lang w:eastAsia="vi-VN"/>
              </w:rPr>
            </w:pPr>
          </w:p>
        </w:tc>
      </w:tr>
      <w:tr w:rsidR="00017C08" w:rsidRPr="00017C08" w14:paraId="7F7804CB" w14:textId="77777777" w:rsidTr="00017C0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23E6455" w14:textId="77777777" w:rsidR="00017C08" w:rsidRPr="00017C08" w:rsidRDefault="00017C08" w:rsidP="00017C08">
            <w:pPr>
              <w:spacing w:after="0" w:line="240" w:lineRule="auto"/>
              <w:jc w:val="center"/>
              <w:rPr>
                <w:rFonts w:ascii="Arial" w:eastAsia="Times New Roman" w:hAnsi="Arial" w:cs="Arial"/>
                <w:color w:val="000000"/>
                <w:lang w:eastAsia="vi-VN"/>
              </w:rPr>
            </w:pPr>
            <w:r w:rsidRPr="00017C08">
              <w:rPr>
                <w:rFonts w:ascii="Arial" w:eastAsia="Times New Roman" w:hAnsi="Arial" w:cs="Arial"/>
                <w:color w:val="000000"/>
                <w:lang w:eastAsia="vi-VN"/>
              </w:rPr>
              <w:t>8</w:t>
            </w:r>
          </w:p>
        </w:tc>
        <w:tc>
          <w:tcPr>
            <w:tcW w:w="1276" w:type="dxa"/>
            <w:tcBorders>
              <w:top w:val="nil"/>
              <w:left w:val="nil"/>
              <w:bottom w:val="single" w:sz="4" w:space="0" w:color="auto"/>
              <w:right w:val="single" w:sz="4" w:space="0" w:color="auto"/>
            </w:tcBorders>
            <w:shd w:val="clear" w:color="000000" w:fill="FFFFFF"/>
            <w:noWrap/>
            <w:vAlign w:val="bottom"/>
            <w:hideMark/>
          </w:tcPr>
          <w:p w14:paraId="4E9BD3B7" w14:textId="77777777" w:rsidR="00017C08" w:rsidRPr="00017C08" w:rsidRDefault="00017C08" w:rsidP="00017C08">
            <w:pPr>
              <w:spacing w:after="0" w:line="240" w:lineRule="auto"/>
              <w:rPr>
                <w:rFonts w:ascii="Times New Roman" w:eastAsia="Times New Roman" w:hAnsi="Times New Roman" w:cs="Times New Roman"/>
                <w:b/>
                <w:bCs/>
                <w:color w:val="000000"/>
                <w:sz w:val="24"/>
                <w:szCs w:val="24"/>
                <w:lang w:eastAsia="vi-VN"/>
              </w:rPr>
            </w:pPr>
            <w:r w:rsidRPr="00017C08">
              <w:rPr>
                <w:rFonts w:ascii="Times New Roman" w:eastAsia="Times New Roman" w:hAnsi="Times New Roman" w:cs="Times New Roman"/>
                <w:b/>
                <w:bCs/>
                <w:color w:val="000000"/>
                <w:sz w:val="24"/>
                <w:szCs w:val="24"/>
                <w:lang w:eastAsia="vi-VN"/>
              </w:rPr>
              <w:t>EIB</w:t>
            </w:r>
          </w:p>
        </w:tc>
        <w:tc>
          <w:tcPr>
            <w:tcW w:w="1167" w:type="dxa"/>
            <w:tcBorders>
              <w:top w:val="nil"/>
              <w:left w:val="nil"/>
              <w:bottom w:val="single" w:sz="4" w:space="0" w:color="auto"/>
              <w:right w:val="single" w:sz="4" w:space="0" w:color="auto"/>
            </w:tcBorders>
            <w:shd w:val="clear" w:color="auto" w:fill="auto"/>
            <w:noWrap/>
            <w:vAlign w:val="bottom"/>
            <w:hideMark/>
          </w:tcPr>
          <w:p w14:paraId="4B15EE38" w14:textId="77777777" w:rsidR="00017C08" w:rsidRPr="00017C08" w:rsidRDefault="00017C08" w:rsidP="00017C08">
            <w:pPr>
              <w:spacing w:after="0" w:line="240" w:lineRule="auto"/>
              <w:jc w:val="center"/>
              <w:rPr>
                <w:rFonts w:ascii="Arial" w:eastAsia="Times New Roman" w:hAnsi="Arial" w:cs="Arial"/>
                <w:color w:val="000000"/>
                <w:sz w:val="20"/>
                <w:szCs w:val="20"/>
                <w:lang w:eastAsia="vi-VN"/>
              </w:rPr>
            </w:pPr>
            <w:r w:rsidRPr="00017C08">
              <w:rPr>
                <w:rFonts w:ascii="Arial" w:eastAsia="Times New Roman" w:hAnsi="Arial" w:cs="Arial"/>
                <w:color w:val="000000"/>
                <w:sz w:val="20"/>
                <w:szCs w:val="20"/>
                <w:lang w:eastAsia="vi-VN"/>
              </w:rPr>
              <w:t>0.629</w:t>
            </w:r>
          </w:p>
        </w:tc>
        <w:tc>
          <w:tcPr>
            <w:tcW w:w="1526" w:type="dxa"/>
            <w:tcBorders>
              <w:top w:val="nil"/>
              <w:left w:val="nil"/>
              <w:bottom w:val="single" w:sz="4" w:space="0" w:color="auto"/>
              <w:right w:val="single" w:sz="4" w:space="0" w:color="auto"/>
            </w:tcBorders>
            <w:shd w:val="clear" w:color="auto" w:fill="auto"/>
            <w:noWrap/>
            <w:vAlign w:val="bottom"/>
            <w:hideMark/>
          </w:tcPr>
          <w:p w14:paraId="2360B2E9" w14:textId="77777777" w:rsidR="00017C08" w:rsidRPr="00017C08" w:rsidRDefault="00017C08" w:rsidP="00017C08">
            <w:pPr>
              <w:spacing w:after="0" w:line="240" w:lineRule="auto"/>
              <w:jc w:val="center"/>
              <w:rPr>
                <w:rFonts w:ascii="Arial" w:eastAsia="Times New Roman" w:hAnsi="Arial" w:cs="Arial"/>
                <w:color w:val="000000"/>
                <w:sz w:val="20"/>
                <w:szCs w:val="20"/>
                <w:lang w:eastAsia="vi-VN"/>
              </w:rPr>
            </w:pPr>
            <w:r w:rsidRPr="00017C08">
              <w:rPr>
                <w:rFonts w:ascii="Arial" w:eastAsia="Times New Roman" w:hAnsi="Arial" w:cs="Arial"/>
                <w:color w:val="000000"/>
                <w:sz w:val="20"/>
                <w:szCs w:val="20"/>
                <w:lang w:eastAsia="vi-VN"/>
              </w:rPr>
              <w:t>0.145</w:t>
            </w:r>
          </w:p>
        </w:tc>
        <w:tc>
          <w:tcPr>
            <w:tcW w:w="992" w:type="dxa"/>
            <w:tcBorders>
              <w:top w:val="nil"/>
              <w:left w:val="nil"/>
              <w:bottom w:val="single" w:sz="4" w:space="0" w:color="auto"/>
              <w:right w:val="single" w:sz="4" w:space="0" w:color="auto"/>
            </w:tcBorders>
            <w:shd w:val="clear" w:color="auto" w:fill="auto"/>
            <w:noWrap/>
            <w:vAlign w:val="bottom"/>
            <w:hideMark/>
          </w:tcPr>
          <w:p w14:paraId="4FBC62F2" w14:textId="77777777" w:rsidR="00017C08" w:rsidRPr="00017C08" w:rsidRDefault="00017C08" w:rsidP="00017C08">
            <w:pPr>
              <w:spacing w:after="0" w:line="240" w:lineRule="auto"/>
              <w:jc w:val="right"/>
              <w:rPr>
                <w:rFonts w:ascii="Arial" w:eastAsia="Times New Roman" w:hAnsi="Arial" w:cs="Arial"/>
                <w:color w:val="000000"/>
                <w:lang w:eastAsia="vi-VN"/>
              </w:rPr>
            </w:pPr>
            <w:r w:rsidRPr="00017C08">
              <w:rPr>
                <w:rFonts w:ascii="Arial" w:eastAsia="Times New Roman" w:hAnsi="Arial" w:cs="Arial"/>
                <w:color w:val="000000"/>
                <w:lang w:eastAsia="vi-VN"/>
              </w:rPr>
              <w:t>0.824</w:t>
            </w:r>
          </w:p>
        </w:tc>
        <w:tc>
          <w:tcPr>
            <w:tcW w:w="1560" w:type="dxa"/>
            <w:tcBorders>
              <w:top w:val="nil"/>
              <w:left w:val="nil"/>
              <w:bottom w:val="single" w:sz="4" w:space="0" w:color="auto"/>
              <w:right w:val="single" w:sz="4" w:space="0" w:color="auto"/>
            </w:tcBorders>
            <w:shd w:val="clear" w:color="auto" w:fill="auto"/>
            <w:noWrap/>
            <w:vAlign w:val="bottom"/>
            <w:hideMark/>
          </w:tcPr>
          <w:p w14:paraId="092CB0A3" w14:textId="77777777" w:rsidR="00017C08" w:rsidRPr="00017C08" w:rsidRDefault="00017C08" w:rsidP="00017C08">
            <w:pPr>
              <w:spacing w:after="0" w:line="240" w:lineRule="auto"/>
              <w:jc w:val="right"/>
              <w:rPr>
                <w:rFonts w:ascii="Arial" w:eastAsia="Times New Roman" w:hAnsi="Arial" w:cs="Arial"/>
                <w:color w:val="000000"/>
                <w:lang w:eastAsia="vi-VN"/>
              </w:rPr>
            </w:pPr>
            <w:r w:rsidRPr="00017C08">
              <w:rPr>
                <w:rFonts w:ascii="Arial" w:eastAsia="Times New Roman" w:hAnsi="Arial" w:cs="Arial"/>
                <w:color w:val="000000"/>
                <w:lang w:eastAsia="vi-VN"/>
              </w:rPr>
              <w:t>0.087</w:t>
            </w:r>
          </w:p>
        </w:tc>
        <w:tc>
          <w:tcPr>
            <w:tcW w:w="2126" w:type="dxa"/>
            <w:vMerge/>
            <w:tcBorders>
              <w:top w:val="nil"/>
              <w:left w:val="single" w:sz="4" w:space="0" w:color="auto"/>
              <w:bottom w:val="single" w:sz="4" w:space="0" w:color="auto"/>
              <w:right w:val="single" w:sz="4" w:space="0" w:color="auto"/>
            </w:tcBorders>
            <w:vAlign w:val="center"/>
            <w:hideMark/>
          </w:tcPr>
          <w:p w14:paraId="12812513" w14:textId="77777777" w:rsidR="00017C08" w:rsidRPr="00017C08" w:rsidRDefault="00017C08" w:rsidP="00017C08">
            <w:pPr>
              <w:spacing w:after="0" w:line="240" w:lineRule="auto"/>
              <w:rPr>
                <w:rFonts w:ascii="Arial" w:eastAsia="Times New Roman" w:hAnsi="Arial" w:cs="Arial"/>
                <w:color w:val="000000"/>
                <w:lang w:eastAsia="vi-VN"/>
              </w:rPr>
            </w:pPr>
          </w:p>
        </w:tc>
      </w:tr>
      <w:tr w:rsidR="00017C08" w:rsidRPr="00017C08" w14:paraId="6F926859" w14:textId="77777777" w:rsidTr="00017C0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A5CD71C" w14:textId="77777777" w:rsidR="00017C08" w:rsidRPr="00017C08" w:rsidRDefault="00017C08" w:rsidP="00017C08">
            <w:pPr>
              <w:spacing w:after="0" w:line="240" w:lineRule="auto"/>
              <w:jc w:val="center"/>
              <w:rPr>
                <w:rFonts w:ascii="Arial" w:eastAsia="Times New Roman" w:hAnsi="Arial" w:cs="Arial"/>
                <w:color w:val="000000"/>
                <w:lang w:eastAsia="vi-VN"/>
              </w:rPr>
            </w:pPr>
            <w:r w:rsidRPr="00017C08">
              <w:rPr>
                <w:rFonts w:ascii="Arial" w:eastAsia="Times New Roman" w:hAnsi="Arial" w:cs="Arial"/>
                <w:color w:val="000000"/>
                <w:lang w:eastAsia="vi-VN"/>
              </w:rPr>
              <w:t>9</w:t>
            </w:r>
          </w:p>
        </w:tc>
        <w:tc>
          <w:tcPr>
            <w:tcW w:w="1276" w:type="dxa"/>
            <w:tcBorders>
              <w:top w:val="nil"/>
              <w:left w:val="nil"/>
              <w:bottom w:val="single" w:sz="4" w:space="0" w:color="auto"/>
              <w:right w:val="single" w:sz="4" w:space="0" w:color="auto"/>
            </w:tcBorders>
            <w:shd w:val="clear" w:color="000000" w:fill="FFFFFF"/>
            <w:noWrap/>
            <w:vAlign w:val="bottom"/>
            <w:hideMark/>
          </w:tcPr>
          <w:p w14:paraId="16B50E4A" w14:textId="77777777" w:rsidR="00017C08" w:rsidRPr="00017C08" w:rsidRDefault="00017C08" w:rsidP="00017C08">
            <w:pPr>
              <w:spacing w:after="0" w:line="240" w:lineRule="auto"/>
              <w:rPr>
                <w:rFonts w:ascii="Times New Roman" w:eastAsia="Times New Roman" w:hAnsi="Times New Roman" w:cs="Times New Roman"/>
                <w:b/>
                <w:bCs/>
                <w:color w:val="000000"/>
                <w:sz w:val="24"/>
                <w:szCs w:val="24"/>
                <w:lang w:eastAsia="vi-VN"/>
              </w:rPr>
            </w:pPr>
            <w:r w:rsidRPr="00017C08">
              <w:rPr>
                <w:rFonts w:ascii="Times New Roman" w:eastAsia="Times New Roman" w:hAnsi="Times New Roman" w:cs="Times New Roman"/>
                <w:b/>
                <w:bCs/>
                <w:color w:val="000000"/>
                <w:sz w:val="24"/>
                <w:szCs w:val="24"/>
                <w:lang w:eastAsia="vi-VN"/>
              </w:rPr>
              <w:t>VCB</w:t>
            </w:r>
          </w:p>
        </w:tc>
        <w:tc>
          <w:tcPr>
            <w:tcW w:w="1167" w:type="dxa"/>
            <w:tcBorders>
              <w:top w:val="nil"/>
              <w:left w:val="nil"/>
              <w:bottom w:val="single" w:sz="4" w:space="0" w:color="auto"/>
              <w:right w:val="single" w:sz="4" w:space="0" w:color="auto"/>
            </w:tcBorders>
            <w:shd w:val="clear" w:color="auto" w:fill="auto"/>
            <w:noWrap/>
            <w:vAlign w:val="bottom"/>
            <w:hideMark/>
          </w:tcPr>
          <w:p w14:paraId="3AF1DA71" w14:textId="77777777" w:rsidR="00017C08" w:rsidRPr="00017C08" w:rsidRDefault="00017C08" w:rsidP="00017C08">
            <w:pPr>
              <w:spacing w:after="0" w:line="240" w:lineRule="auto"/>
              <w:jc w:val="center"/>
              <w:rPr>
                <w:rFonts w:ascii="Arial" w:eastAsia="Times New Roman" w:hAnsi="Arial" w:cs="Arial"/>
                <w:color w:val="000000"/>
                <w:sz w:val="20"/>
                <w:szCs w:val="20"/>
                <w:lang w:eastAsia="vi-VN"/>
              </w:rPr>
            </w:pPr>
            <w:r w:rsidRPr="00017C08">
              <w:rPr>
                <w:rFonts w:ascii="Arial" w:eastAsia="Times New Roman" w:hAnsi="Arial" w:cs="Arial"/>
                <w:color w:val="000000"/>
                <w:sz w:val="20"/>
                <w:szCs w:val="20"/>
                <w:lang w:eastAsia="vi-VN"/>
              </w:rPr>
              <w:t>0.473</w:t>
            </w:r>
          </w:p>
        </w:tc>
        <w:tc>
          <w:tcPr>
            <w:tcW w:w="1526" w:type="dxa"/>
            <w:tcBorders>
              <w:top w:val="nil"/>
              <w:left w:val="nil"/>
              <w:bottom w:val="single" w:sz="4" w:space="0" w:color="auto"/>
              <w:right w:val="single" w:sz="4" w:space="0" w:color="auto"/>
            </w:tcBorders>
            <w:shd w:val="clear" w:color="auto" w:fill="auto"/>
            <w:noWrap/>
            <w:vAlign w:val="bottom"/>
            <w:hideMark/>
          </w:tcPr>
          <w:p w14:paraId="6B55E54F" w14:textId="77777777" w:rsidR="00017C08" w:rsidRPr="00017C08" w:rsidRDefault="00017C08" w:rsidP="00017C08">
            <w:pPr>
              <w:spacing w:after="0" w:line="240" w:lineRule="auto"/>
              <w:jc w:val="center"/>
              <w:rPr>
                <w:rFonts w:ascii="Arial" w:eastAsia="Times New Roman" w:hAnsi="Arial" w:cs="Arial"/>
                <w:color w:val="000000"/>
                <w:sz w:val="20"/>
                <w:szCs w:val="20"/>
                <w:lang w:eastAsia="vi-VN"/>
              </w:rPr>
            </w:pPr>
            <w:r w:rsidRPr="00017C08">
              <w:rPr>
                <w:rFonts w:ascii="Arial" w:eastAsia="Times New Roman" w:hAnsi="Arial" w:cs="Arial"/>
                <w:color w:val="000000"/>
                <w:sz w:val="20"/>
                <w:szCs w:val="20"/>
                <w:lang w:eastAsia="vi-VN"/>
              </w:rPr>
              <w:t>0.03</w:t>
            </w:r>
          </w:p>
        </w:tc>
        <w:tc>
          <w:tcPr>
            <w:tcW w:w="992" w:type="dxa"/>
            <w:tcBorders>
              <w:top w:val="nil"/>
              <w:left w:val="nil"/>
              <w:bottom w:val="single" w:sz="4" w:space="0" w:color="auto"/>
              <w:right w:val="single" w:sz="4" w:space="0" w:color="auto"/>
            </w:tcBorders>
            <w:shd w:val="clear" w:color="auto" w:fill="auto"/>
            <w:noWrap/>
            <w:vAlign w:val="bottom"/>
            <w:hideMark/>
          </w:tcPr>
          <w:p w14:paraId="594AF3BF" w14:textId="77777777" w:rsidR="00017C08" w:rsidRPr="00017C08" w:rsidRDefault="00017C08" w:rsidP="00017C08">
            <w:pPr>
              <w:spacing w:after="0" w:line="240" w:lineRule="auto"/>
              <w:jc w:val="right"/>
              <w:rPr>
                <w:rFonts w:ascii="Arial" w:eastAsia="Times New Roman" w:hAnsi="Arial" w:cs="Arial"/>
                <w:color w:val="000000"/>
                <w:lang w:eastAsia="vi-VN"/>
              </w:rPr>
            </w:pPr>
            <w:r w:rsidRPr="00017C08">
              <w:rPr>
                <w:rFonts w:ascii="Arial" w:eastAsia="Times New Roman" w:hAnsi="Arial" w:cs="Arial"/>
                <w:color w:val="000000"/>
                <w:lang w:eastAsia="vi-VN"/>
              </w:rPr>
              <w:t>1.393</w:t>
            </w:r>
          </w:p>
        </w:tc>
        <w:tc>
          <w:tcPr>
            <w:tcW w:w="1560" w:type="dxa"/>
            <w:tcBorders>
              <w:top w:val="nil"/>
              <w:left w:val="nil"/>
              <w:bottom w:val="single" w:sz="4" w:space="0" w:color="auto"/>
              <w:right w:val="single" w:sz="4" w:space="0" w:color="auto"/>
            </w:tcBorders>
            <w:shd w:val="clear" w:color="auto" w:fill="auto"/>
            <w:noWrap/>
            <w:vAlign w:val="bottom"/>
            <w:hideMark/>
          </w:tcPr>
          <w:p w14:paraId="2B75BD88" w14:textId="77777777" w:rsidR="00017C08" w:rsidRPr="00017C08" w:rsidRDefault="00017C08" w:rsidP="00017C08">
            <w:pPr>
              <w:spacing w:after="0" w:line="240" w:lineRule="auto"/>
              <w:jc w:val="right"/>
              <w:rPr>
                <w:rFonts w:ascii="Arial" w:eastAsia="Times New Roman" w:hAnsi="Arial" w:cs="Arial"/>
                <w:color w:val="000000"/>
                <w:lang w:eastAsia="vi-VN"/>
              </w:rPr>
            </w:pPr>
            <w:r w:rsidRPr="00017C08">
              <w:rPr>
                <w:rFonts w:ascii="Arial" w:eastAsia="Times New Roman" w:hAnsi="Arial" w:cs="Arial"/>
                <w:color w:val="000000"/>
                <w:lang w:eastAsia="vi-VN"/>
              </w:rPr>
              <w:t>0.093</w:t>
            </w:r>
          </w:p>
        </w:tc>
        <w:tc>
          <w:tcPr>
            <w:tcW w:w="2126" w:type="dxa"/>
            <w:vMerge/>
            <w:tcBorders>
              <w:top w:val="nil"/>
              <w:left w:val="single" w:sz="4" w:space="0" w:color="auto"/>
              <w:bottom w:val="single" w:sz="4" w:space="0" w:color="auto"/>
              <w:right w:val="single" w:sz="4" w:space="0" w:color="auto"/>
            </w:tcBorders>
            <w:vAlign w:val="center"/>
            <w:hideMark/>
          </w:tcPr>
          <w:p w14:paraId="5EF4C765" w14:textId="77777777" w:rsidR="00017C08" w:rsidRPr="00017C08" w:rsidRDefault="00017C08" w:rsidP="00017C08">
            <w:pPr>
              <w:spacing w:after="0" w:line="240" w:lineRule="auto"/>
              <w:rPr>
                <w:rFonts w:ascii="Arial" w:eastAsia="Times New Roman" w:hAnsi="Arial" w:cs="Arial"/>
                <w:color w:val="000000"/>
                <w:lang w:eastAsia="vi-VN"/>
              </w:rPr>
            </w:pPr>
          </w:p>
        </w:tc>
      </w:tr>
    </w:tbl>
    <w:p w14:paraId="5EBA056F" w14:textId="77777777" w:rsidR="00017C08" w:rsidRDefault="00017C08" w:rsidP="00017C08">
      <w:pPr>
        <w:pStyle w:val="ListParagraph"/>
        <w:rPr>
          <w:lang w:val="en-US"/>
        </w:rPr>
      </w:pPr>
    </w:p>
    <w:p w14:paraId="216F4AC5" w14:textId="77777777" w:rsidR="00017C08" w:rsidRDefault="00017C08" w:rsidP="00FD6EAD">
      <w:pPr>
        <w:pStyle w:val="ListParagraph"/>
        <w:rPr>
          <w:lang w:val="en-US"/>
        </w:rPr>
      </w:pPr>
    </w:p>
    <w:p w14:paraId="45941A11" w14:textId="77777777" w:rsidR="00017C08" w:rsidRDefault="00017C08" w:rsidP="00017C08">
      <w:pPr>
        <w:pStyle w:val="ListParagraph"/>
        <w:rPr>
          <w:lang w:val="en-US"/>
        </w:rPr>
      </w:pPr>
      <w:r>
        <w:rPr>
          <w:lang w:val="en-US"/>
        </w:rPr>
        <w:t xml:space="preserve">Table 4 – The </w:t>
      </w:r>
      <w:r w:rsidR="001E4705">
        <w:rPr>
          <w:lang w:val="en-US"/>
        </w:rPr>
        <w:t xml:space="preserve">Difference between </w:t>
      </w:r>
      <w:r>
        <w:rPr>
          <w:lang w:val="en-US"/>
        </w:rPr>
        <w:t>Volatility of Market Risk (beta) of Banking Industry in the post- low inflation period 2015-2017</w:t>
      </w:r>
      <w:r w:rsidR="001E4705">
        <w:rPr>
          <w:lang w:val="en-US"/>
        </w:rPr>
        <w:t xml:space="preserve"> and the financial crisis 2007-2009</w:t>
      </w:r>
    </w:p>
    <w:tbl>
      <w:tblPr>
        <w:tblW w:w="9360" w:type="dxa"/>
        <w:tblInd w:w="108" w:type="dxa"/>
        <w:tblLook w:val="04A0" w:firstRow="1" w:lastRow="0" w:firstColumn="1" w:lastColumn="0" w:noHBand="0" w:noVBand="1"/>
      </w:tblPr>
      <w:tblGrid>
        <w:gridCol w:w="2156"/>
        <w:gridCol w:w="1880"/>
        <w:gridCol w:w="1012"/>
        <w:gridCol w:w="3010"/>
        <w:gridCol w:w="1302"/>
      </w:tblGrid>
      <w:tr w:rsidR="001E4705" w:rsidRPr="001E4705" w14:paraId="0A9DAC68" w14:textId="77777777" w:rsidTr="001E4705">
        <w:trPr>
          <w:trHeight w:val="285"/>
        </w:trPr>
        <w:tc>
          <w:tcPr>
            <w:tcW w:w="2156" w:type="dxa"/>
            <w:tcBorders>
              <w:top w:val="nil"/>
              <w:left w:val="nil"/>
              <w:bottom w:val="nil"/>
              <w:right w:val="nil"/>
            </w:tcBorders>
            <w:shd w:val="clear" w:color="auto" w:fill="auto"/>
            <w:noWrap/>
            <w:vAlign w:val="bottom"/>
            <w:hideMark/>
          </w:tcPr>
          <w:p w14:paraId="5DB8E859" w14:textId="77777777" w:rsidR="001E4705" w:rsidRPr="001E4705" w:rsidRDefault="001E4705" w:rsidP="001E4705">
            <w:pPr>
              <w:spacing w:after="0" w:line="240" w:lineRule="auto"/>
              <w:rPr>
                <w:rFonts w:ascii="Arial" w:eastAsia="Times New Roman" w:hAnsi="Arial" w:cs="Arial"/>
                <w:color w:val="000000"/>
                <w:lang w:eastAsia="vi-VN"/>
              </w:rPr>
            </w:pPr>
          </w:p>
        </w:tc>
        <w:tc>
          <w:tcPr>
            <w:tcW w:w="1880" w:type="dxa"/>
            <w:tcBorders>
              <w:top w:val="nil"/>
              <w:left w:val="nil"/>
              <w:bottom w:val="nil"/>
              <w:right w:val="nil"/>
            </w:tcBorders>
            <w:shd w:val="clear" w:color="auto" w:fill="auto"/>
            <w:noWrap/>
            <w:vAlign w:val="bottom"/>
            <w:hideMark/>
          </w:tcPr>
          <w:p w14:paraId="19B686EF" w14:textId="77777777" w:rsidR="001E4705" w:rsidRPr="001E4705" w:rsidRDefault="001E4705" w:rsidP="001E4705">
            <w:pPr>
              <w:spacing w:after="0" w:line="240" w:lineRule="auto"/>
              <w:rPr>
                <w:rFonts w:ascii="Arial" w:eastAsia="Times New Roman" w:hAnsi="Arial" w:cs="Arial"/>
                <w:color w:val="000000"/>
                <w:lang w:eastAsia="vi-VN"/>
              </w:rPr>
            </w:pPr>
          </w:p>
        </w:tc>
        <w:tc>
          <w:tcPr>
            <w:tcW w:w="40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3482F" w14:textId="77777777" w:rsidR="001E4705" w:rsidRPr="001E4705" w:rsidRDefault="001E4705" w:rsidP="001E4705">
            <w:pPr>
              <w:spacing w:after="0" w:line="240" w:lineRule="auto"/>
              <w:jc w:val="center"/>
              <w:rPr>
                <w:rFonts w:ascii="Arial" w:eastAsia="Times New Roman" w:hAnsi="Arial" w:cs="Arial"/>
                <w:color w:val="000000"/>
                <w:lang w:eastAsia="vi-VN"/>
              </w:rPr>
            </w:pPr>
            <w:r w:rsidRPr="001E4705">
              <w:rPr>
                <w:rFonts w:ascii="Arial" w:eastAsia="Times New Roman" w:hAnsi="Arial" w:cs="Arial"/>
                <w:color w:val="000000"/>
                <w:lang w:eastAsia="vi-VN"/>
              </w:rPr>
              <w:t>GAP (+/-) 2015-17 compared to 2007-09</w:t>
            </w:r>
          </w:p>
        </w:tc>
        <w:tc>
          <w:tcPr>
            <w:tcW w:w="1302" w:type="dxa"/>
            <w:tcBorders>
              <w:top w:val="nil"/>
              <w:left w:val="nil"/>
              <w:bottom w:val="nil"/>
              <w:right w:val="nil"/>
            </w:tcBorders>
            <w:shd w:val="clear" w:color="auto" w:fill="auto"/>
            <w:noWrap/>
            <w:vAlign w:val="bottom"/>
            <w:hideMark/>
          </w:tcPr>
          <w:p w14:paraId="1DD4DFE2" w14:textId="77777777" w:rsidR="001E4705" w:rsidRPr="001E4705" w:rsidRDefault="001E4705" w:rsidP="001E4705">
            <w:pPr>
              <w:spacing w:after="0" w:line="240" w:lineRule="auto"/>
              <w:rPr>
                <w:rFonts w:ascii="Arial" w:eastAsia="Times New Roman" w:hAnsi="Arial" w:cs="Arial"/>
                <w:color w:val="000000"/>
                <w:lang w:eastAsia="vi-VN"/>
              </w:rPr>
            </w:pPr>
          </w:p>
        </w:tc>
      </w:tr>
      <w:tr w:rsidR="001E4705" w:rsidRPr="001E4705" w14:paraId="42997BD1" w14:textId="77777777" w:rsidTr="001E4705">
        <w:trPr>
          <w:trHeight w:val="285"/>
        </w:trPr>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BDA4F" w14:textId="77777777" w:rsidR="001E4705" w:rsidRPr="001E4705" w:rsidRDefault="001E4705" w:rsidP="001E4705">
            <w:pPr>
              <w:spacing w:after="0" w:line="240" w:lineRule="auto"/>
              <w:jc w:val="center"/>
              <w:rPr>
                <w:rFonts w:ascii="Arial" w:eastAsia="Times New Roman" w:hAnsi="Arial" w:cs="Arial"/>
                <w:b/>
                <w:bCs/>
                <w:sz w:val="20"/>
                <w:szCs w:val="20"/>
                <w:lang w:eastAsia="vi-VN"/>
              </w:rPr>
            </w:pPr>
            <w:r w:rsidRPr="001E4705">
              <w:rPr>
                <w:rFonts w:ascii="Arial" w:eastAsia="Times New Roman" w:hAnsi="Arial" w:cs="Arial"/>
                <w:b/>
                <w:bCs/>
                <w:sz w:val="20"/>
                <w:szCs w:val="20"/>
                <w:lang w:eastAsia="vi-VN"/>
              </w:rPr>
              <w:t>Order No.</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14:paraId="3C23024F" w14:textId="77777777" w:rsidR="001E4705" w:rsidRPr="001E4705" w:rsidRDefault="001E4705" w:rsidP="001E4705">
            <w:pPr>
              <w:spacing w:after="0" w:line="240" w:lineRule="auto"/>
              <w:jc w:val="center"/>
              <w:rPr>
                <w:rFonts w:ascii="Arial" w:eastAsia="Times New Roman" w:hAnsi="Arial" w:cs="Arial"/>
                <w:b/>
                <w:bCs/>
                <w:sz w:val="20"/>
                <w:szCs w:val="20"/>
                <w:lang w:eastAsia="vi-VN"/>
              </w:rPr>
            </w:pPr>
            <w:r w:rsidRPr="001E4705">
              <w:rPr>
                <w:rFonts w:ascii="Arial" w:eastAsia="Times New Roman" w:hAnsi="Arial" w:cs="Arial"/>
                <w:b/>
                <w:bCs/>
                <w:sz w:val="20"/>
                <w:szCs w:val="20"/>
                <w:lang w:eastAsia="vi-VN"/>
              </w:rPr>
              <w:t>Company stock code</w:t>
            </w:r>
          </w:p>
        </w:tc>
        <w:tc>
          <w:tcPr>
            <w:tcW w:w="1012" w:type="dxa"/>
            <w:tcBorders>
              <w:top w:val="nil"/>
              <w:left w:val="nil"/>
              <w:bottom w:val="single" w:sz="4" w:space="0" w:color="auto"/>
              <w:right w:val="single" w:sz="4" w:space="0" w:color="auto"/>
            </w:tcBorders>
            <w:shd w:val="clear" w:color="auto" w:fill="auto"/>
            <w:noWrap/>
            <w:vAlign w:val="bottom"/>
            <w:hideMark/>
          </w:tcPr>
          <w:p w14:paraId="261C62F9" w14:textId="77777777" w:rsidR="001E4705" w:rsidRPr="001E4705" w:rsidRDefault="001E4705" w:rsidP="001E4705">
            <w:pPr>
              <w:spacing w:after="0" w:line="240" w:lineRule="auto"/>
              <w:jc w:val="center"/>
              <w:rPr>
                <w:rFonts w:ascii="Arial" w:eastAsia="Times New Roman" w:hAnsi="Arial" w:cs="Arial"/>
                <w:b/>
                <w:bCs/>
                <w:sz w:val="20"/>
                <w:szCs w:val="20"/>
                <w:lang w:eastAsia="vi-VN"/>
              </w:rPr>
            </w:pPr>
            <w:r w:rsidRPr="001E4705">
              <w:rPr>
                <w:rFonts w:ascii="Arial" w:eastAsia="Times New Roman" w:hAnsi="Arial" w:cs="Arial"/>
                <w:b/>
                <w:bCs/>
                <w:sz w:val="20"/>
                <w:szCs w:val="20"/>
                <w:lang w:eastAsia="vi-VN"/>
              </w:rPr>
              <w:t xml:space="preserve">Equity beta </w:t>
            </w:r>
          </w:p>
        </w:tc>
        <w:tc>
          <w:tcPr>
            <w:tcW w:w="3010" w:type="dxa"/>
            <w:tcBorders>
              <w:top w:val="nil"/>
              <w:left w:val="nil"/>
              <w:bottom w:val="single" w:sz="4" w:space="0" w:color="auto"/>
              <w:right w:val="single" w:sz="4" w:space="0" w:color="auto"/>
            </w:tcBorders>
            <w:shd w:val="clear" w:color="auto" w:fill="auto"/>
            <w:noWrap/>
            <w:vAlign w:val="bottom"/>
            <w:hideMark/>
          </w:tcPr>
          <w:p w14:paraId="2A0DAEDE" w14:textId="77777777" w:rsidR="001E4705" w:rsidRPr="001E4705" w:rsidRDefault="001E4705" w:rsidP="001E4705">
            <w:pPr>
              <w:spacing w:after="0" w:line="240" w:lineRule="auto"/>
              <w:jc w:val="center"/>
              <w:rPr>
                <w:rFonts w:ascii="Arial" w:eastAsia="Times New Roman" w:hAnsi="Arial" w:cs="Arial"/>
                <w:b/>
                <w:bCs/>
                <w:sz w:val="20"/>
                <w:szCs w:val="20"/>
                <w:lang w:eastAsia="vi-VN"/>
              </w:rPr>
            </w:pPr>
            <w:r w:rsidRPr="001E4705">
              <w:rPr>
                <w:rFonts w:ascii="Arial" w:eastAsia="Times New Roman" w:hAnsi="Arial" w:cs="Arial"/>
                <w:b/>
                <w:bCs/>
                <w:sz w:val="20"/>
                <w:szCs w:val="20"/>
                <w:lang w:eastAsia="vi-VN"/>
              </w:rPr>
              <w:t>Asset beta (assume debt beta = 0)</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14:paraId="69FA4E44" w14:textId="77777777" w:rsidR="001E4705" w:rsidRPr="001E4705" w:rsidRDefault="001E4705" w:rsidP="001E4705">
            <w:pPr>
              <w:spacing w:after="0" w:line="240" w:lineRule="auto"/>
              <w:jc w:val="center"/>
              <w:rPr>
                <w:rFonts w:ascii="Arial" w:eastAsia="Times New Roman" w:hAnsi="Arial" w:cs="Arial"/>
                <w:b/>
                <w:bCs/>
                <w:sz w:val="20"/>
                <w:szCs w:val="20"/>
                <w:lang w:eastAsia="vi-VN"/>
              </w:rPr>
            </w:pPr>
            <w:r w:rsidRPr="001E4705">
              <w:rPr>
                <w:rFonts w:ascii="Arial" w:eastAsia="Times New Roman" w:hAnsi="Arial" w:cs="Arial"/>
                <w:b/>
                <w:bCs/>
                <w:sz w:val="20"/>
                <w:szCs w:val="20"/>
                <w:lang w:eastAsia="vi-VN"/>
              </w:rPr>
              <w:t>Note</w:t>
            </w:r>
          </w:p>
        </w:tc>
      </w:tr>
      <w:tr w:rsidR="001E4705" w:rsidRPr="001E4705" w14:paraId="38F69E0B" w14:textId="77777777" w:rsidTr="001E4705">
        <w:trPr>
          <w:trHeight w:val="315"/>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14:paraId="152FD719" w14:textId="77777777" w:rsidR="001E4705" w:rsidRPr="001E4705" w:rsidRDefault="001E4705" w:rsidP="001E4705">
            <w:pPr>
              <w:spacing w:after="0" w:line="240" w:lineRule="auto"/>
              <w:jc w:val="center"/>
              <w:rPr>
                <w:rFonts w:ascii="Arial" w:eastAsia="Times New Roman" w:hAnsi="Arial" w:cs="Arial"/>
                <w:color w:val="000000"/>
                <w:lang w:eastAsia="vi-VN"/>
              </w:rPr>
            </w:pPr>
            <w:r w:rsidRPr="001E4705">
              <w:rPr>
                <w:rFonts w:ascii="Arial" w:eastAsia="Times New Roman" w:hAnsi="Arial" w:cs="Arial"/>
                <w:color w:val="000000"/>
                <w:lang w:eastAsia="vi-VN"/>
              </w:rPr>
              <w:t>1</w:t>
            </w:r>
          </w:p>
        </w:tc>
        <w:tc>
          <w:tcPr>
            <w:tcW w:w="1880" w:type="dxa"/>
            <w:tcBorders>
              <w:top w:val="nil"/>
              <w:left w:val="nil"/>
              <w:bottom w:val="single" w:sz="4" w:space="0" w:color="auto"/>
              <w:right w:val="single" w:sz="4" w:space="0" w:color="auto"/>
            </w:tcBorders>
            <w:shd w:val="clear" w:color="000000" w:fill="FFFFFF"/>
            <w:noWrap/>
            <w:vAlign w:val="bottom"/>
            <w:hideMark/>
          </w:tcPr>
          <w:p w14:paraId="675B8936" w14:textId="77777777" w:rsidR="001E4705" w:rsidRPr="001E4705" w:rsidRDefault="001E4705" w:rsidP="001E4705">
            <w:pPr>
              <w:spacing w:after="0" w:line="240" w:lineRule="auto"/>
              <w:rPr>
                <w:rFonts w:ascii="Times New Roman" w:eastAsia="Times New Roman" w:hAnsi="Times New Roman" w:cs="Times New Roman"/>
                <w:b/>
                <w:bCs/>
                <w:color w:val="000000"/>
                <w:sz w:val="24"/>
                <w:szCs w:val="24"/>
                <w:lang w:eastAsia="vi-VN"/>
              </w:rPr>
            </w:pPr>
            <w:r w:rsidRPr="001E4705">
              <w:rPr>
                <w:rFonts w:ascii="Times New Roman" w:eastAsia="Times New Roman" w:hAnsi="Times New Roman" w:cs="Times New Roman"/>
                <w:b/>
                <w:bCs/>
                <w:color w:val="000000"/>
                <w:sz w:val="24"/>
                <w:szCs w:val="24"/>
                <w:lang w:eastAsia="vi-VN"/>
              </w:rPr>
              <w:t>ACB</w:t>
            </w:r>
          </w:p>
        </w:tc>
        <w:tc>
          <w:tcPr>
            <w:tcW w:w="1012" w:type="dxa"/>
            <w:tcBorders>
              <w:top w:val="nil"/>
              <w:left w:val="nil"/>
              <w:bottom w:val="single" w:sz="4" w:space="0" w:color="auto"/>
              <w:right w:val="single" w:sz="4" w:space="0" w:color="auto"/>
            </w:tcBorders>
            <w:shd w:val="clear" w:color="auto" w:fill="auto"/>
            <w:noWrap/>
            <w:vAlign w:val="bottom"/>
            <w:hideMark/>
          </w:tcPr>
          <w:p w14:paraId="3DABC01F" w14:textId="77777777" w:rsidR="001E4705" w:rsidRPr="001E4705" w:rsidRDefault="001E4705" w:rsidP="001E4705">
            <w:pPr>
              <w:spacing w:after="0" w:line="240" w:lineRule="auto"/>
              <w:jc w:val="center"/>
              <w:rPr>
                <w:rFonts w:ascii="Arial" w:eastAsia="Times New Roman" w:hAnsi="Arial" w:cs="Arial"/>
                <w:color w:val="000000"/>
                <w:sz w:val="20"/>
                <w:szCs w:val="20"/>
                <w:lang w:eastAsia="vi-VN"/>
              </w:rPr>
            </w:pPr>
            <w:r w:rsidRPr="001E4705">
              <w:rPr>
                <w:rFonts w:ascii="Arial" w:eastAsia="Times New Roman" w:hAnsi="Arial" w:cs="Arial"/>
                <w:color w:val="000000"/>
                <w:sz w:val="20"/>
                <w:szCs w:val="20"/>
                <w:lang w:eastAsia="vi-VN"/>
              </w:rPr>
              <w:t>0.104</w:t>
            </w:r>
          </w:p>
        </w:tc>
        <w:tc>
          <w:tcPr>
            <w:tcW w:w="3010" w:type="dxa"/>
            <w:tcBorders>
              <w:top w:val="nil"/>
              <w:left w:val="nil"/>
              <w:bottom w:val="single" w:sz="4" w:space="0" w:color="auto"/>
              <w:right w:val="single" w:sz="4" w:space="0" w:color="auto"/>
            </w:tcBorders>
            <w:shd w:val="clear" w:color="auto" w:fill="auto"/>
            <w:noWrap/>
            <w:vAlign w:val="bottom"/>
            <w:hideMark/>
          </w:tcPr>
          <w:p w14:paraId="00F6477F" w14:textId="77777777" w:rsidR="001E4705" w:rsidRPr="001E4705" w:rsidRDefault="001E4705" w:rsidP="001E4705">
            <w:pPr>
              <w:spacing w:after="0" w:line="240" w:lineRule="auto"/>
              <w:jc w:val="center"/>
              <w:rPr>
                <w:rFonts w:ascii="Arial" w:eastAsia="Times New Roman" w:hAnsi="Arial" w:cs="Arial"/>
                <w:color w:val="000000"/>
                <w:sz w:val="20"/>
                <w:szCs w:val="20"/>
                <w:lang w:eastAsia="vi-VN"/>
              </w:rPr>
            </w:pPr>
            <w:r w:rsidRPr="001E4705">
              <w:rPr>
                <w:rFonts w:ascii="Arial" w:eastAsia="Times New Roman" w:hAnsi="Arial" w:cs="Arial"/>
                <w:color w:val="000000"/>
                <w:sz w:val="20"/>
                <w:szCs w:val="20"/>
                <w:lang w:eastAsia="vi-VN"/>
              </w:rPr>
              <w:t>-0.022</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03218BA3" w14:textId="77777777" w:rsidR="001E4705" w:rsidRPr="001E4705" w:rsidRDefault="001E4705" w:rsidP="001E4705">
            <w:pPr>
              <w:spacing w:after="0" w:line="240" w:lineRule="auto"/>
              <w:jc w:val="center"/>
              <w:rPr>
                <w:rFonts w:ascii="Arial" w:eastAsia="Times New Roman" w:hAnsi="Arial" w:cs="Arial"/>
                <w:color w:val="000000"/>
                <w:lang w:eastAsia="vi-VN"/>
              </w:rPr>
            </w:pPr>
            <w:r w:rsidRPr="001E4705">
              <w:rPr>
                <w:rFonts w:ascii="Arial" w:eastAsia="Times New Roman" w:hAnsi="Arial" w:cs="Arial"/>
                <w:color w:val="000000"/>
                <w:lang w:eastAsia="vi-VN"/>
              </w:rPr>
              <w:t>values (2015-17) minus (-) 2007-09</w:t>
            </w:r>
          </w:p>
        </w:tc>
      </w:tr>
      <w:tr w:rsidR="001E4705" w:rsidRPr="001E4705" w14:paraId="069430AE" w14:textId="77777777" w:rsidTr="001E4705">
        <w:trPr>
          <w:trHeight w:val="315"/>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14:paraId="6819E951" w14:textId="77777777" w:rsidR="001E4705" w:rsidRPr="001E4705" w:rsidRDefault="001E4705" w:rsidP="001E4705">
            <w:pPr>
              <w:spacing w:after="0" w:line="240" w:lineRule="auto"/>
              <w:jc w:val="center"/>
              <w:rPr>
                <w:rFonts w:ascii="Arial" w:eastAsia="Times New Roman" w:hAnsi="Arial" w:cs="Arial"/>
                <w:color w:val="000000"/>
                <w:lang w:eastAsia="vi-VN"/>
              </w:rPr>
            </w:pPr>
            <w:r w:rsidRPr="001E4705">
              <w:rPr>
                <w:rFonts w:ascii="Arial" w:eastAsia="Times New Roman" w:hAnsi="Arial" w:cs="Arial"/>
                <w:color w:val="000000"/>
                <w:lang w:eastAsia="vi-VN"/>
              </w:rPr>
              <w:t>2</w:t>
            </w:r>
          </w:p>
        </w:tc>
        <w:tc>
          <w:tcPr>
            <w:tcW w:w="1880" w:type="dxa"/>
            <w:tcBorders>
              <w:top w:val="nil"/>
              <w:left w:val="nil"/>
              <w:bottom w:val="single" w:sz="4" w:space="0" w:color="auto"/>
              <w:right w:val="single" w:sz="4" w:space="0" w:color="auto"/>
            </w:tcBorders>
            <w:shd w:val="clear" w:color="000000" w:fill="FFFFFF"/>
            <w:noWrap/>
            <w:vAlign w:val="bottom"/>
            <w:hideMark/>
          </w:tcPr>
          <w:p w14:paraId="4518A76F" w14:textId="77777777" w:rsidR="001E4705" w:rsidRPr="001E4705" w:rsidRDefault="001E4705" w:rsidP="001E4705">
            <w:pPr>
              <w:spacing w:after="0" w:line="240" w:lineRule="auto"/>
              <w:rPr>
                <w:rFonts w:ascii="Times New Roman" w:eastAsia="Times New Roman" w:hAnsi="Times New Roman" w:cs="Times New Roman"/>
                <w:b/>
                <w:bCs/>
                <w:color w:val="000000"/>
                <w:sz w:val="24"/>
                <w:szCs w:val="24"/>
                <w:lang w:eastAsia="vi-VN"/>
              </w:rPr>
            </w:pPr>
            <w:r w:rsidRPr="001E4705">
              <w:rPr>
                <w:rFonts w:ascii="Times New Roman" w:eastAsia="Times New Roman" w:hAnsi="Times New Roman" w:cs="Times New Roman"/>
                <w:b/>
                <w:bCs/>
                <w:color w:val="000000"/>
                <w:sz w:val="24"/>
                <w:szCs w:val="24"/>
                <w:lang w:eastAsia="vi-VN"/>
              </w:rPr>
              <w:t>CTG</w:t>
            </w:r>
          </w:p>
        </w:tc>
        <w:tc>
          <w:tcPr>
            <w:tcW w:w="1012" w:type="dxa"/>
            <w:tcBorders>
              <w:top w:val="nil"/>
              <w:left w:val="nil"/>
              <w:bottom w:val="single" w:sz="4" w:space="0" w:color="auto"/>
              <w:right w:val="single" w:sz="4" w:space="0" w:color="auto"/>
            </w:tcBorders>
            <w:shd w:val="clear" w:color="auto" w:fill="auto"/>
            <w:noWrap/>
            <w:vAlign w:val="bottom"/>
            <w:hideMark/>
          </w:tcPr>
          <w:p w14:paraId="5DDC3373" w14:textId="77777777" w:rsidR="001E4705" w:rsidRPr="001E4705" w:rsidRDefault="001E4705" w:rsidP="001E4705">
            <w:pPr>
              <w:spacing w:after="0" w:line="240" w:lineRule="auto"/>
              <w:jc w:val="center"/>
              <w:rPr>
                <w:rFonts w:ascii="Arial" w:eastAsia="Times New Roman" w:hAnsi="Arial" w:cs="Arial"/>
                <w:color w:val="000000"/>
                <w:sz w:val="20"/>
                <w:szCs w:val="20"/>
                <w:lang w:eastAsia="vi-VN"/>
              </w:rPr>
            </w:pPr>
            <w:r w:rsidRPr="001E4705">
              <w:rPr>
                <w:rFonts w:ascii="Arial" w:eastAsia="Times New Roman" w:hAnsi="Arial" w:cs="Arial"/>
                <w:color w:val="000000"/>
                <w:sz w:val="20"/>
                <w:szCs w:val="20"/>
                <w:lang w:eastAsia="vi-VN"/>
              </w:rPr>
              <w:t>1.261</w:t>
            </w:r>
          </w:p>
        </w:tc>
        <w:tc>
          <w:tcPr>
            <w:tcW w:w="3010" w:type="dxa"/>
            <w:tcBorders>
              <w:top w:val="nil"/>
              <w:left w:val="nil"/>
              <w:bottom w:val="single" w:sz="4" w:space="0" w:color="auto"/>
              <w:right w:val="single" w:sz="4" w:space="0" w:color="auto"/>
            </w:tcBorders>
            <w:shd w:val="clear" w:color="auto" w:fill="auto"/>
            <w:noWrap/>
            <w:vAlign w:val="bottom"/>
            <w:hideMark/>
          </w:tcPr>
          <w:p w14:paraId="63AEB2B8" w14:textId="77777777" w:rsidR="001E4705" w:rsidRPr="001E4705" w:rsidRDefault="001E4705" w:rsidP="001E4705">
            <w:pPr>
              <w:spacing w:after="0" w:line="240" w:lineRule="auto"/>
              <w:jc w:val="center"/>
              <w:rPr>
                <w:rFonts w:ascii="Arial" w:eastAsia="Times New Roman" w:hAnsi="Arial" w:cs="Arial"/>
                <w:color w:val="000000"/>
                <w:sz w:val="20"/>
                <w:szCs w:val="20"/>
                <w:lang w:eastAsia="vi-VN"/>
              </w:rPr>
            </w:pPr>
            <w:r w:rsidRPr="001E4705">
              <w:rPr>
                <w:rFonts w:ascii="Arial" w:eastAsia="Times New Roman" w:hAnsi="Arial" w:cs="Arial"/>
                <w:color w:val="000000"/>
                <w:sz w:val="20"/>
                <w:szCs w:val="20"/>
                <w:lang w:eastAsia="vi-VN"/>
              </w:rPr>
              <w:t>0.096</w:t>
            </w:r>
          </w:p>
        </w:tc>
        <w:tc>
          <w:tcPr>
            <w:tcW w:w="1302" w:type="dxa"/>
            <w:vMerge/>
            <w:tcBorders>
              <w:top w:val="nil"/>
              <w:left w:val="single" w:sz="4" w:space="0" w:color="auto"/>
              <w:bottom w:val="single" w:sz="4" w:space="0" w:color="auto"/>
              <w:right w:val="single" w:sz="4" w:space="0" w:color="auto"/>
            </w:tcBorders>
            <w:vAlign w:val="center"/>
            <w:hideMark/>
          </w:tcPr>
          <w:p w14:paraId="400B24EB" w14:textId="77777777" w:rsidR="001E4705" w:rsidRPr="001E4705" w:rsidRDefault="001E4705" w:rsidP="001E4705">
            <w:pPr>
              <w:spacing w:after="0" w:line="240" w:lineRule="auto"/>
              <w:rPr>
                <w:rFonts w:ascii="Arial" w:eastAsia="Times New Roman" w:hAnsi="Arial" w:cs="Arial"/>
                <w:color w:val="000000"/>
                <w:lang w:eastAsia="vi-VN"/>
              </w:rPr>
            </w:pPr>
          </w:p>
        </w:tc>
      </w:tr>
      <w:tr w:rsidR="001E4705" w:rsidRPr="001E4705" w14:paraId="2194028F" w14:textId="77777777" w:rsidTr="001E4705">
        <w:trPr>
          <w:trHeight w:val="315"/>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14:paraId="7E1C2680" w14:textId="77777777" w:rsidR="001E4705" w:rsidRPr="001E4705" w:rsidRDefault="001E4705" w:rsidP="001E4705">
            <w:pPr>
              <w:spacing w:after="0" w:line="240" w:lineRule="auto"/>
              <w:jc w:val="center"/>
              <w:rPr>
                <w:rFonts w:ascii="Arial" w:eastAsia="Times New Roman" w:hAnsi="Arial" w:cs="Arial"/>
                <w:color w:val="000000"/>
                <w:lang w:eastAsia="vi-VN"/>
              </w:rPr>
            </w:pPr>
            <w:r w:rsidRPr="001E4705">
              <w:rPr>
                <w:rFonts w:ascii="Arial" w:eastAsia="Times New Roman" w:hAnsi="Arial" w:cs="Arial"/>
                <w:color w:val="000000"/>
                <w:lang w:eastAsia="vi-VN"/>
              </w:rPr>
              <w:t>3</w:t>
            </w:r>
          </w:p>
        </w:tc>
        <w:tc>
          <w:tcPr>
            <w:tcW w:w="1880" w:type="dxa"/>
            <w:tcBorders>
              <w:top w:val="nil"/>
              <w:left w:val="nil"/>
              <w:bottom w:val="single" w:sz="4" w:space="0" w:color="auto"/>
              <w:right w:val="single" w:sz="4" w:space="0" w:color="auto"/>
            </w:tcBorders>
            <w:shd w:val="clear" w:color="000000" w:fill="FFFFFF"/>
            <w:noWrap/>
            <w:vAlign w:val="bottom"/>
            <w:hideMark/>
          </w:tcPr>
          <w:p w14:paraId="18FDEB8C" w14:textId="77777777" w:rsidR="001E4705" w:rsidRPr="001E4705" w:rsidRDefault="001E4705" w:rsidP="001E4705">
            <w:pPr>
              <w:spacing w:after="0" w:line="240" w:lineRule="auto"/>
              <w:rPr>
                <w:rFonts w:ascii="Times New Roman" w:eastAsia="Times New Roman" w:hAnsi="Times New Roman" w:cs="Times New Roman"/>
                <w:b/>
                <w:bCs/>
                <w:color w:val="000000"/>
                <w:sz w:val="24"/>
                <w:szCs w:val="24"/>
                <w:lang w:eastAsia="vi-VN"/>
              </w:rPr>
            </w:pPr>
            <w:r w:rsidRPr="001E4705">
              <w:rPr>
                <w:rFonts w:ascii="Times New Roman" w:eastAsia="Times New Roman" w:hAnsi="Times New Roman" w:cs="Times New Roman"/>
                <w:b/>
                <w:bCs/>
                <w:color w:val="000000"/>
                <w:sz w:val="24"/>
                <w:szCs w:val="24"/>
                <w:lang w:eastAsia="vi-VN"/>
              </w:rPr>
              <w:t>BID</w:t>
            </w:r>
          </w:p>
        </w:tc>
        <w:tc>
          <w:tcPr>
            <w:tcW w:w="1012" w:type="dxa"/>
            <w:tcBorders>
              <w:top w:val="nil"/>
              <w:left w:val="nil"/>
              <w:bottom w:val="single" w:sz="4" w:space="0" w:color="auto"/>
              <w:right w:val="single" w:sz="4" w:space="0" w:color="auto"/>
            </w:tcBorders>
            <w:shd w:val="clear" w:color="auto" w:fill="auto"/>
            <w:noWrap/>
            <w:vAlign w:val="bottom"/>
            <w:hideMark/>
          </w:tcPr>
          <w:p w14:paraId="604214D4" w14:textId="77777777" w:rsidR="001E4705" w:rsidRPr="001E4705" w:rsidRDefault="001E4705" w:rsidP="001E4705">
            <w:pPr>
              <w:spacing w:after="0" w:line="240" w:lineRule="auto"/>
              <w:jc w:val="center"/>
              <w:rPr>
                <w:rFonts w:ascii="Arial" w:eastAsia="Times New Roman" w:hAnsi="Arial" w:cs="Arial"/>
                <w:color w:val="000000"/>
                <w:sz w:val="20"/>
                <w:szCs w:val="20"/>
                <w:lang w:eastAsia="vi-VN"/>
              </w:rPr>
            </w:pPr>
            <w:r w:rsidRPr="001E4705">
              <w:rPr>
                <w:rFonts w:ascii="Arial" w:eastAsia="Times New Roman" w:hAnsi="Arial" w:cs="Arial"/>
                <w:color w:val="000000"/>
                <w:sz w:val="20"/>
                <w:szCs w:val="20"/>
                <w:lang w:eastAsia="vi-VN"/>
              </w:rPr>
              <w:t>1.346</w:t>
            </w:r>
          </w:p>
        </w:tc>
        <w:tc>
          <w:tcPr>
            <w:tcW w:w="3010" w:type="dxa"/>
            <w:tcBorders>
              <w:top w:val="nil"/>
              <w:left w:val="nil"/>
              <w:bottom w:val="single" w:sz="4" w:space="0" w:color="auto"/>
              <w:right w:val="single" w:sz="4" w:space="0" w:color="auto"/>
            </w:tcBorders>
            <w:shd w:val="clear" w:color="auto" w:fill="auto"/>
            <w:noWrap/>
            <w:vAlign w:val="bottom"/>
            <w:hideMark/>
          </w:tcPr>
          <w:p w14:paraId="6225E0FB" w14:textId="77777777" w:rsidR="001E4705" w:rsidRPr="001E4705" w:rsidRDefault="001E4705" w:rsidP="001E4705">
            <w:pPr>
              <w:spacing w:after="0" w:line="240" w:lineRule="auto"/>
              <w:jc w:val="center"/>
              <w:rPr>
                <w:rFonts w:ascii="Arial" w:eastAsia="Times New Roman" w:hAnsi="Arial" w:cs="Arial"/>
                <w:color w:val="000000"/>
                <w:sz w:val="20"/>
                <w:szCs w:val="20"/>
                <w:lang w:eastAsia="vi-VN"/>
              </w:rPr>
            </w:pPr>
            <w:r w:rsidRPr="001E4705">
              <w:rPr>
                <w:rFonts w:ascii="Arial" w:eastAsia="Times New Roman" w:hAnsi="Arial" w:cs="Arial"/>
                <w:color w:val="000000"/>
                <w:sz w:val="20"/>
                <w:szCs w:val="20"/>
                <w:lang w:eastAsia="vi-VN"/>
              </w:rPr>
              <w:t>0.065</w:t>
            </w:r>
          </w:p>
        </w:tc>
        <w:tc>
          <w:tcPr>
            <w:tcW w:w="1302" w:type="dxa"/>
            <w:vMerge/>
            <w:tcBorders>
              <w:top w:val="nil"/>
              <w:left w:val="single" w:sz="4" w:space="0" w:color="auto"/>
              <w:bottom w:val="single" w:sz="4" w:space="0" w:color="auto"/>
              <w:right w:val="single" w:sz="4" w:space="0" w:color="auto"/>
            </w:tcBorders>
            <w:vAlign w:val="center"/>
            <w:hideMark/>
          </w:tcPr>
          <w:p w14:paraId="6234E076" w14:textId="77777777" w:rsidR="001E4705" w:rsidRPr="001E4705" w:rsidRDefault="001E4705" w:rsidP="001E4705">
            <w:pPr>
              <w:spacing w:after="0" w:line="240" w:lineRule="auto"/>
              <w:rPr>
                <w:rFonts w:ascii="Arial" w:eastAsia="Times New Roman" w:hAnsi="Arial" w:cs="Arial"/>
                <w:color w:val="000000"/>
                <w:lang w:eastAsia="vi-VN"/>
              </w:rPr>
            </w:pPr>
          </w:p>
        </w:tc>
      </w:tr>
      <w:tr w:rsidR="001E4705" w:rsidRPr="001E4705" w14:paraId="2157C736" w14:textId="77777777" w:rsidTr="001E4705">
        <w:trPr>
          <w:trHeight w:val="315"/>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14:paraId="4632ECCF" w14:textId="77777777" w:rsidR="001E4705" w:rsidRPr="001E4705" w:rsidRDefault="001E4705" w:rsidP="001E4705">
            <w:pPr>
              <w:spacing w:after="0" w:line="240" w:lineRule="auto"/>
              <w:jc w:val="center"/>
              <w:rPr>
                <w:rFonts w:ascii="Arial" w:eastAsia="Times New Roman" w:hAnsi="Arial" w:cs="Arial"/>
                <w:color w:val="000000"/>
                <w:lang w:eastAsia="vi-VN"/>
              </w:rPr>
            </w:pPr>
            <w:r w:rsidRPr="001E4705">
              <w:rPr>
                <w:rFonts w:ascii="Arial" w:eastAsia="Times New Roman" w:hAnsi="Arial" w:cs="Arial"/>
                <w:color w:val="000000"/>
                <w:lang w:eastAsia="vi-VN"/>
              </w:rPr>
              <w:t>4</w:t>
            </w:r>
          </w:p>
        </w:tc>
        <w:tc>
          <w:tcPr>
            <w:tcW w:w="1880" w:type="dxa"/>
            <w:tcBorders>
              <w:top w:val="nil"/>
              <w:left w:val="nil"/>
              <w:bottom w:val="single" w:sz="4" w:space="0" w:color="auto"/>
              <w:right w:val="single" w:sz="4" w:space="0" w:color="auto"/>
            </w:tcBorders>
            <w:shd w:val="clear" w:color="000000" w:fill="FFFFFF"/>
            <w:noWrap/>
            <w:vAlign w:val="bottom"/>
            <w:hideMark/>
          </w:tcPr>
          <w:p w14:paraId="2AB39844" w14:textId="77777777" w:rsidR="001E4705" w:rsidRPr="001E4705" w:rsidRDefault="001E4705" w:rsidP="001E4705">
            <w:pPr>
              <w:spacing w:after="0" w:line="240" w:lineRule="auto"/>
              <w:rPr>
                <w:rFonts w:ascii="Times New Roman" w:eastAsia="Times New Roman" w:hAnsi="Times New Roman" w:cs="Times New Roman"/>
                <w:b/>
                <w:bCs/>
                <w:color w:val="000000"/>
                <w:sz w:val="24"/>
                <w:szCs w:val="24"/>
                <w:lang w:eastAsia="vi-VN"/>
              </w:rPr>
            </w:pPr>
            <w:r w:rsidRPr="001E4705">
              <w:rPr>
                <w:rFonts w:ascii="Times New Roman" w:eastAsia="Times New Roman" w:hAnsi="Times New Roman" w:cs="Times New Roman"/>
                <w:b/>
                <w:bCs/>
                <w:color w:val="000000"/>
                <w:sz w:val="24"/>
                <w:szCs w:val="24"/>
                <w:lang w:eastAsia="vi-VN"/>
              </w:rPr>
              <w:t>MBB</w:t>
            </w:r>
          </w:p>
        </w:tc>
        <w:tc>
          <w:tcPr>
            <w:tcW w:w="1012" w:type="dxa"/>
            <w:tcBorders>
              <w:top w:val="nil"/>
              <w:left w:val="nil"/>
              <w:bottom w:val="single" w:sz="4" w:space="0" w:color="auto"/>
              <w:right w:val="single" w:sz="4" w:space="0" w:color="auto"/>
            </w:tcBorders>
            <w:shd w:val="clear" w:color="auto" w:fill="auto"/>
            <w:noWrap/>
            <w:vAlign w:val="bottom"/>
            <w:hideMark/>
          </w:tcPr>
          <w:p w14:paraId="46E54517" w14:textId="77777777" w:rsidR="001E4705" w:rsidRPr="001E4705" w:rsidRDefault="001E4705" w:rsidP="001E4705">
            <w:pPr>
              <w:spacing w:after="0" w:line="240" w:lineRule="auto"/>
              <w:jc w:val="center"/>
              <w:rPr>
                <w:rFonts w:ascii="Arial" w:eastAsia="Times New Roman" w:hAnsi="Arial" w:cs="Arial"/>
                <w:color w:val="000000"/>
                <w:sz w:val="20"/>
                <w:szCs w:val="20"/>
                <w:lang w:eastAsia="vi-VN"/>
              </w:rPr>
            </w:pPr>
            <w:r w:rsidRPr="001E4705">
              <w:rPr>
                <w:rFonts w:ascii="Arial" w:eastAsia="Times New Roman" w:hAnsi="Arial" w:cs="Arial"/>
                <w:color w:val="000000"/>
                <w:sz w:val="20"/>
                <w:szCs w:val="20"/>
                <w:lang w:eastAsia="vi-VN"/>
              </w:rPr>
              <w:t>0.558</w:t>
            </w:r>
          </w:p>
        </w:tc>
        <w:tc>
          <w:tcPr>
            <w:tcW w:w="3010" w:type="dxa"/>
            <w:tcBorders>
              <w:top w:val="nil"/>
              <w:left w:val="nil"/>
              <w:bottom w:val="single" w:sz="4" w:space="0" w:color="auto"/>
              <w:right w:val="single" w:sz="4" w:space="0" w:color="auto"/>
            </w:tcBorders>
            <w:shd w:val="clear" w:color="auto" w:fill="auto"/>
            <w:noWrap/>
            <w:vAlign w:val="bottom"/>
            <w:hideMark/>
          </w:tcPr>
          <w:p w14:paraId="64985BC5" w14:textId="77777777" w:rsidR="001E4705" w:rsidRPr="001E4705" w:rsidRDefault="001E4705" w:rsidP="001E4705">
            <w:pPr>
              <w:spacing w:after="0" w:line="240" w:lineRule="auto"/>
              <w:jc w:val="center"/>
              <w:rPr>
                <w:rFonts w:ascii="Arial" w:eastAsia="Times New Roman" w:hAnsi="Arial" w:cs="Arial"/>
                <w:color w:val="000000"/>
                <w:sz w:val="20"/>
                <w:szCs w:val="20"/>
                <w:lang w:eastAsia="vi-VN"/>
              </w:rPr>
            </w:pPr>
            <w:r w:rsidRPr="001E4705">
              <w:rPr>
                <w:rFonts w:ascii="Arial" w:eastAsia="Times New Roman" w:hAnsi="Arial" w:cs="Arial"/>
                <w:color w:val="000000"/>
                <w:sz w:val="20"/>
                <w:szCs w:val="20"/>
                <w:lang w:eastAsia="vi-VN"/>
              </w:rPr>
              <w:t>0.057</w:t>
            </w:r>
          </w:p>
        </w:tc>
        <w:tc>
          <w:tcPr>
            <w:tcW w:w="1302" w:type="dxa"/>
            <w:vMerge/>
            <w:tcBorders>
              <w:top w:val="nil"/>
              <w:left w:val="single" w:sz="4" w:space="0" w:color="auto"/>
              <w:bottom w:val="single" w:sz="4" w:space="0" w:color="auto"/>
              <w:right w:val="single" w:sz="4" w:space="0" w:color="auto"/>
            </w:tcBorders>
            <w:vAlign w:val="center"/>
            <w:hideMark/>
          </w:tcPr>
          <w:p w14:paraId="44057B4B" w14:textId="77777777" w:rsidR="001E4705" w:rsidRPr="001E4705" w:rsidRDefault="001E4705" w:rsidP="001E4705">
            <w:pPr>
              <w:spacing w:after="0" w:line="240" w:lineRule="auto"/>
              <w:rPr>
                <w:rFonts w:ascii="Arial" w:eastAsia="Times New Roman" w:hAnsi="Arial" w:cs="Arial"/>
                <w:color w:val="000000"/>
                <w:lang w:eastAsia="vi-VN"/>
              </w:rPr>
            </w:pPr>
          </w:p>
        </w:tc>
      </w:tr>
      <w:tr w:rsidR="001E4705" w:rsidRPr="001E4705" w14:paraId="5442ECC0" w14:textId="77777777" w:rsidTr="001E4705">
        <w:trPr>
          <w:trHeight w:val="315"/>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14:paraId="3F8229B9" w14:textId="77777777" w:rsidR="001E4705" w:rsidRPr="001E4705" w:rsidRDefault="001E4705" w:rsidP="001E4705">
            <w:pPr>
              <w:spacing w:after="0" w:line="240" w:lineRule="auto"/>
              <w:jc w:val="center"/>
              <w:rPr>
                <w:rFonts w:ascii="Arial" w:eastAsia="Times New Roman" w:hAnsi="Arial" w:cs="Arial"/>
                <w:color w:val="000000"/>
                <w:lang w:eastAsia="vi-VN"/>
              </w:rPr>
            </w:pPr>
            <w:r w:rsidRPr="001E4705">
              <w:rPr>
                <w:rFonts w:ascii="Arial" w:eastAsia="Times New Roman" w:hAnsi="Arial" w:cs="Arial"/>
                <w:color w:val="000000"/>
                <w:lang w:eastAsia="vi-VN"/>
              </w:rPr>
              <w:t>5</w:t>
            </w:r>
          </w:p>
        </w:tc>
        <w:tc>
          <w:tcPr>
            <w:tcW w:w="1880" w:type="dxa"/>
            <w:tcBorders>
              <w:top w:val="nil"/>
              <w:left w:val="nil"/>
              <w:bottom w:val="single" w:sz="4" w:space="0" w:color="auto"/>
              <w:right w:val="single" w:sz="4" w:space="0" w:color="auto"/>
            </w:tcBorders>
            <w:shd w:val="clear" w:color="000000" w:fill="FFFFFF"/>
            <w:noWrap/>
            <w:vAlign w:val="bottom"/>
            <w:hideMark/>
          </w:tcPr>
          <w:p w14:paraId="7F878681" w14:textId="77777777" w:rsidR="001E4705" w:rsidRPr="001E4705" w:rsidRDefault="001E4705" w:rsidP="001E4705">
            <w:pPr>
              <w:spacing w:after="0" w:line="240" w:lineRule="auto"/>
              <w:rPr>
                <w:rFonts w:ascii="Times New Roman" w:eastAsia="Times New Roman" w:hAnsi="Times New Roman" w:cs="Times New Roman"/>
                <w:b/>
                <w:bCs/>
                <w:color w:val="000000"/>
                <w:sz w:val="24"/>
                <w:szCs w:val="24"/>
                <w:lang w:eastAsia="vi-VN"/>
              </w:rPr>
            </w:pPr>
            <w:r w:rsidRPr="001E4705">
              <w:rPr>
                <w:rFonts w:ascii="Times New Roman" w:eastAsia="Times New Roman" w:hAnsi="Times New Roman" w:cs="Times New Roman"/>
                <w:b/>
                <w:bCs/>
                <w:color w:val="000000"/>
                <w:sz w:val="24"/>
                <w:szCs w:val="24"/>
                <w:lang w:eastAsia="vi-VN"/>
              </w:rPr>
              <w:t>NVB</w:t>
            </w:r>
          </w:p>
        </w:tc>
        <w:tc>
          <w:tcPr>
            <w:tcW w:w="1012" w:type="dxa"/>
            <w:tcBorders>
              <w:top w:val="nil"/>
              <w:left w:val="nil"/>
              <w:bottom w:val="single" w:sz="4" w:space="0" w:color="auto"/>
              <w:right w:val="single" w:sz="4" w:space="0" w:color="auto"/>
            </w:tcBorders>
            <w:shd w:val="clear" w:color="auto" w:fill="auto"/>
            <w:noWrap/>
            <w:vAlign w:val="bottom"/>
            <w:hideMark/>
          </w:tcPr>
          <w:p w14:paraId="0D3FFD13" w14:textId="77777777" w:rsidR="001E4705" w:rsidRPr="001E4705" w:rsidRDefault="001E4705" w:rsidP="001E4705">
            <w:pPr>
              <w:spacing w:after="0" w:line="240" w:lineRule="auto"/>
              <w:jc w:val="center"/>
              <w:rPr>
                <w:rFonts w:ascii="Arial" w:eastAsia="Times New Roman" w:hAnsi="Arial" w:cs="Arial"/>
                <w:color w:val="000000"/>
                <w:sz w:val="20"/>
                <w:szCs w:val="20"/>
                <w:lang w:eastAsia="vi-VN"/>
              </w:rPr>
            </w:pPr>
            <w:r w:rsidRPr="001E4705">
              <w:rPr>
                <w:rFonts w:ascii="Arial" w:eastAsia="Times New Roman" w:hAnsi="Arial" w:cs="Arial"/>
                <w:color w:val="000000"/>
                <w:sz w:val="20"/>
                <w:szCs w:val="20"/>
                <w:lang w:eastAsia="vi-VN"/>
              </w:rPr>
              <w:t>0.655</w:t>
            </w:r>
          </w:p>
        </w:tc>
        <w:tc>
          <w:tcPr>
            <w:tcW w:w="3010" w:type="dxa"/>
            <w:tcBorders>
              <w:top w:val="nil"/>
              <w:left w:val="nil"/>
              <w:bottom w:val="single" w:sz="4" w:space="0" w:color="auto"/>
              <w:right w:val="single" w:sz="4" w:space="0" w:color="auto"/>
            </w:tcBorders>
            <w:shd w:val="clear" w:color="auto" w:fill="auto"/>
            <w:noWrap/>
            <w:vAlign w:val="bottom"/>
            <w:hideMark/>
          </w:tcPr>
          <w:p w14:paraId="6ADC7F44" w14:textId="77777777" w:rsidR="001E4705" w:rsidRPr="001E4705" w:rsidRDefault="001E4705" w:rsidP="001E4705">
            <w:pPr>
              <w:spacing w:after="0" w:line="240" w:lineRule="auto"/>
              <w:jc w:val="center"/>
              <w:rPr>
                <w:rFonts w:ascii="Arial" w:eastAsia="Times New Roman" w:hAnsi="Arial" w:cs="Arial"/>
                <w:color w:val="000000"/>
                <w:sz w:val="20"/>
                <w:szCs w:val="20"/>
                <w:lang w:eastAsia="vi-VN"/>
              </w:rPr>
            </w:pPr>
            <w:r w:rsidRPr="001E4705">
              <w:rPr>
                <w:rFonts w:ascii="Arial" w:eastAsia="Times New Roman" w:hAnsi="Arial" w:cs="Arial"/>
                <w:color w:val="000000"/>
                <w:sz w:val="20"/>
                <w:szCs w:val="20"/>
                <w:lang w:eastAsia="vi-VN"/>
              </w:rPr>
              <w:t>0.042</w:t>
            </w:r>
          </w:p>
        </w:tc>
        <w:tc>
          <w:tcPr>
            <w:tcW w:w="1302" w:type="dxa"/>
            <w:vMerge/>
            <w:tcBorders>
              <w:top w:val="nil"/>
              <w:left w:val="single" w:sz="4" w:space="0" w:color="auto"/>
              <w:bottom w:val="single" w:sz="4" w:space="0" w:color="auto"/>
              <w:right w:val="single" w:sz="4" w:space="0" w:color="auto"/>
            </w:tcBorders>
            <w:vAlign w:val="center"/>
            <w:hideMark/>
          </w:tcPr>
          <w:p w14:paraId="280B4AD7" w14:textId="77777777" w:rsidR="001E4705" w:rsidRPr="001E4705" w:rsidRDefault="001E4705" w:rsidP="001E4705">
            <w:pPr>
              <w:spacing w:after="0" w:line="240" w:lineRule="auto"/>
              <w:rPr>
                <w:rFonts w:ascii="Arial" w:eastAsia="Times New Roman" w:hAnsi="Arial" w:cs="Arial"/>
                <w:color w:val="000000"/>
                <w:lang w:eastAsia="vi-VN"/>
              </w:rPr>
            </w:pPr>
          </w:p>
        </w:tc>
      </w:tr>
      <w:tr w:rsidR="001E4705" w:rsidRPr="001E4705" w14:paraId="39864BEC" w14:textId="77777777" w:rsidTr="001E4705">
        <w:trPr>
          <w:trHeight w:val="315"/>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14:paraId="26816901" w14:textId="77777777" w:rsidR="001E4705" w:rsidRPr="001E4705" w:rsidRDefault="001E4705" w:rsidP="001E4705">
            <w:pPr>
              <w:spacing w:after="0" w:line="240" w:lineRule="auto"/>
              <w:jc w:val="center"/>
              <w:rPr>
                <w:rFonts w:ascii="Arial" w:eastAsia="Times New Roman" w:hAnsi="Arial" w:cs="Arial"/>
                <w:color w:val="000000"/>
                <w:lang w:eastAsia="vi-VN"/>
              </w:rPr>
            </w:pPr>
            <w:r w:rsidRPr="001E4705">
              <w:rPr>
                <w:rFonts w:ascii="Arial" w:eastAsia="Times New Roman" w:hAnsi="Arial" w:cs="Arial"/>
                <w:color w:val="000000"/>
                <w:lang w:eastAsia="vi-VN"/>
              </w:rPr>
              <w:t>6</w:t>
            </w:r>
          </w:p>
        </w:tc>
        <w:tc>
          <w:tcPr>
            <w:tcW w:w="1880" w:type="dxa"/>
            <w:tcBorders>
              <w:top w:val="nil"/>
              <w:left w:val="nil"/>
              <w:bottom w:val="single" w:sz="4" w:space="0" w:color="auto"/>
              <w:right w:val="single" w:sz="4" w:space="0" w:color="auto"/>
            </w:tcBorders>
            <w:shd w:val="clear" w:color="000000" w:fill="FFFFFF"/>
            <w:noWrap/>
            <w:vAlign w:val="bottom"/>
            <w:hideMark/>
          </w:tcPr>
          <w:p w14:paraId="4DA60A61" w14:textId="77777777" w:rsidR="001E4705" w:rsidRPr="001E4705" w:rsidRDefault="001E4705" w:rsidP="001E4705">
            <w:pPr>
              <w:spacing w:after="0" w:line="240" w:lineRule="auto"/>
              <w:rPr>
                <w:rFonts w:ascii="Times New Roman" w:eastAsia="Times New Roman" w:hAnsi="Times New Roman" w:cs="Times New Roman"/>
                <w:b/>
                <w:bCs/>
                <w:color w:val="000000"/>
                <w:sz w:val="24"/>
                <w:szCs w:val="24"/>
                <w:lang w:eastAsia="vi-VN"/>
              </w:rPr>
            </w:pPr>
            <w:r w:rsidRPr="001E4705">
              <w:rPr>
                <w:rFonts w:ascii="Times New Roman" w:eastAsia="Times New Roman" w:hAnsi="Times New Roman" w:cs="Times New Roman"/>
                <w:b/>
                <w:bCs/>
                <w:color w:val="000000"/>
                <w:sz w:val="24"/>
                <w:szCs w:val="24"/>
                <w:lang w:eastAsia="vi-VN"/>
              </w:rPr>
              <w:t>SHB</w:t>
            </w:r>
          </w:p>
        </w:tc>
        <w:tc>
          <w:tcPr>
            <w:tcW w:w="1012" w:type="dxa"/>
            <w:tcBorders>
              <w:top w:val="nil"/>
              <w:left w:val="nil"/>
              <w:bottom w:val="single" w:sz="4" w:space="0" w:color="auto"/>
              <w:right w:val="single" w:sz="4" w:space="0" w:color="auto"/>
            </w:tcBorders>
            <w:shd w:val="clear" w:color="auto" w:fill="auto"/>
            <w:noWrap/>
            <w:vAlign w:val="bottom"/>
            <w:hideMark/>
          </w:tcPr>
          <w:p w14:paraId="75E8FBDC" w14:textId="77777777" w:rsidR="001E4705" w:rsidRPr="001E4705" w:rsidRDefault="001E4705" w:rsidP="001E4705">
            <w:pPr>
              <w:spacing w:after="0" w:line="240" w:lineRule="auto"/>
              <w:jc w:val="center"/>
              <w:rPr>
                <w:rFonts w:ascii="Arial" w:eastAsia="Times New Roman" w:hAnsi="Arial" w:cs="Arial"/>
                <w:color w:val="000000"/>
                <w:sz w:val="20"/>
                <w:szCs w:val="20"/>
                <w:lang w:eastAsia="vi-VN"/>
              </w:rPr>
            </w:pPr>
            <w:r w:rsidRPr="001E4705">
              <w:rPr>
                <w:rFonts w:ascii="Arial" w:eastAsia="Times New Roman" w:hAnsi="Arial" w:cs="Arial"/>
                <w:color w:val="000000"/>
                <w:sz w:val="20"/>
                <w:szCs w:val="20"/>
                <w:lang w:eastAsia="vi-VN"/>
              </w:rPr>
              <w:t>-0.375</w:t>
            </w:r>
          </w:p>
        </w:tc>
        <w:tc>
          <w:tcPr>
            <w:tcW w:w="3010" w:type="dxa"/>
            <w:tcBorders>
              <w:top w:val="nil"/>
              <w:left w:val="nil"/>
              <w:bottom w:val="single" w:sz="4" w:space="0" w:color="auto"/>
              <w:right w:val="single" w:sz="4" w:space="0" w:color="auto"/>
            </w:tcBorders>
            <w:shd w:val="clear" w:color="auto" w:fill="auto"/>
            <w:noWrap/>
            <w:vAlign w:val="bottom"/>
            <w:hideMark/>
          </w:tcPr>
          <w:p w14:paraId="061311D9" w14:textId="77777777" w:rsidR="001E4705" w:rsidRPr="001E4705" w:rsidRDefault="001E4705" w:rsidP="001E4705">
            <w:pPr>
              <w:spacing w:after="0" w:line="240" w:lineRule="auto"/>
              <w:jc w:val="center"/>
              <w:rPr>
                <w:rFonts w:ascii="Arial" w:eastAsia="Times New Roman" w:hAnsi="Arial" w:cs="Arial"/>
                <w:color w:val="000000"/>
                <w:sz w:val="20"/>
                <w:szCs w:val="20"/>
                <w:lang w:eastAsia="vi-VN"/>
              </w:rPr>
            </w:pPr>
            <w:r w:rsidRPr="001E4705">
              <w:rPr>
                <w:rFonts w:ascii="Arial" w:eastAsia="Times New Roman" w:hAnsi="Arial" w:cs="Arial"/>
                <w:color w:val="000000"/>
                <w:sz w:val="20"/>
                <w:szCs w:val="20"/>
                <w:lang w:eastAsia="vi-VN"/>
              </w:rPr>
              <w:t>-0.078</w:t>
            </w:r>
          </w:p>
        </w:tc>
        <w:tc>
          <w:tcPr>
            <w:tcW w:w="1302" w:type="dxa"/>
            <w:vMerge/>
            <w:tcBorders>
              <w:top w:val="nil"/>
              <w:left w:val="single" w:sz="4" w:space="0" w:color="auto"/>
              <w:bottom w:val="single" w:sz="4" w:space="0" w:color="auto"/>
              <w:right w:val="single" w:sz="4" w:space="0" w:color="auto"/>
            </w:tcBorders>
            <w:vAlign w:val="center"/>
            <w:hideMark/>
          </w:tcPr>
          <w:p w14:paraId="24A06D1A" w14:textId="77777777" w:rsidR="001E4705" w:rsidRPr="001E4705" w:rsidRDefault="001E4705" w:rsidP="001E4705">
            <w:pPr>
              <w:spacing w:after="0" w:line="240" w:lineRule="auto"/>
              <w:rPr>
                <w:rFonts w:ascii="Arial" w:eastAsia="Times New Roman" w:hAnsi="Arial" w:cs="Arial"/>
                <w:color w:val="000000"/>
                <w:lang w:eastAsia="vi-VN"/>
              </w:rPr>
            </w:pPr>
          </w:p>
        </w:tc>
      </w:tr>
      <w:tr w:rsidR="001E4705" w:rsidRPr="001E4705" w14:paraId="273FDDA2" w14:textId="77777777" w:rsidTr="001E4705">
        <w:trPr>
          <w:trHeight w:val="315"/>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14:paraId="701B6F87" w14:textId="77777777" w:rsidR="001E4705" w:rsidRPr="001E4705" w:rsidRDefault="001E4705" w:rsidP="001E4705">
            <w:pPr>
              <w:spacing w:after="0" w:line="240" w:lineRule="auto"/>
              <w:jc w:val="center"/>
              <w:rPr>
                <w:rFonts w:ascii="Arial" w:eastAsia="Times New Roman" w:hAnsi="Arial" w:cs="Arial"/>
                <w:color w:val="000000"/>
                <w:lang w:eastAsia="vi-VN"/>
              </w:rPr>
            </w:pPr>
            <w:r w:rsidRPr="001E4705">
              <w:rPr>
                <w:rFonts w:ascii="Arial" w:eastAsia="Times New Roman" w:hAnsi="Arial" w:cs="Arial"/>
                <w:color w:val="000000"/>
                <w:lang w:eastAsia="vi-VN"/>
              </w:rPr>
              <w:t>7</w:t>
            </w:r>
          </w:p>
        </w:tc>
        <w:tc>
          <w:tcPr>
            <w:tcW w:w="1880" w:type="dxa"/>
            <w:tcBorders>
              <w:top w:val="nil"/>
              <w:left w:val="nil"/>
              <w:bottom w:val="single" w:sz="4" w:space="0" w:color="auto"/>
              <w:right w:val="single" w:sz="4" w:space="0" w:color="auto"/>
            </w:tcBorders>
            <w:shd w:val="clear" w:color="000000" w:fill="FFFFFF"/>
            <w:noWrap/>
            <w:vAlign w:val="bottom"/>
            <w:hideMark/>
          </w:tcPr>
          <w:p w14:paraId="6792833B" w14:textId="77777777" w:rsidR="001E4705" w:rsidRPr="001E4705" w:rsidRDefault="001E4705" w:rsidP="001E4705">
            <w:pPr>
              <w:spacing w:after="0" w:line="240" w:lineRule="auto"/>
              <w:rPr>
                <w:rFonts w:ascii="Times New Roman" w:eastAsia="Times New Roman" w:hAnsi="Times New Roman" w:cs="Times New Roman"/>
                <w:b/>
                <w:bCs/>
                <w:color w:val="000000"/>
                <w:sz w:val="24"/>
                <w:szCs w:val="24"/>
                <w:lang w:eastAsia="vi-VN"/>
              </w:rPr>
            </w:pPr>
            <w:r w:rsidRPr="001E4705">
              <w:rPr>
                <w:rFonts w:ascii="Times New Roman" w:eastAsia="Times New Roman" w:hAnsi="Times New Roman" w:cs="Times New Roman"/>
                <w:b/>
                <w:bCs/>
                <w:color w:val="000000"/>
                <w:sz w:val="24"/>
                <w:szCs w:val="24"/>
                <w:lang w:eastAsia="vi-VN"/>
              </w:rPr>
              <w:t>STB</w:t>
            </w:r>
          </w:p>
        </w:tc>
        <w:tc>
          <w:tcPr>
            <w:tcW w:w="1012" w:type="dxa"/>
            <w:tcBorders>
              <w:top w:val="nil"/>
              <w:left w:val="nil"/>
              <w:bottom w:val="single" w:sz="4" w:space="0" w:color="auto"/>
              <w:right w:val="single" w:sz="4" w:space="0" w:color="auto"/>
            </w:tcBorders>
            <w:shd w:val="clear" w:color="auto" w:fill="auto"/>
            <w:noWrap/>
            <w:vAlign w:val="bottom"/>
            <w:hideMark/>
          </w:tcPr>
          <w:p w14:paraId="7AC14B91" w14:textId="77777777" w:rsidR="001E4705" w:rsidRPr="001E4705" w:rsidRDefault="001E4705" w:rsidP="001E4705">
            <w:pPr>
              <w:spacing w:after="0" w:line="240" w:lineRule="auto"/>
              <w:jc w:val="center"/>
              <w:rPr>
                <w:rFonts w:ascii="Arial" w:eastAsia="Times New Roman" w:hAnsi="Arial" w:cs="Arial"/>
                <w:color w:val="000000"/>
                <w:sz w:val="20"/>
                <w:szCs w:val="20"/>
                <w:lang w:eastAsia="vi-VN"/>
              </w:rPr>
            </w:pPr>
            <w:r w:rsidRPr="001E4705">
              <w:rPr>
                <w:rFonts w:ascii="Arial" w:eastAsia="Times New Roman" w:hAnsi="Arial" w:cs="Arial"/>
                <w:color w:val="000000"/>
                <w:sz w:val="20"/>
                <w:szCs w:val="20"/>
                <w:lang w:eastAsia="vi-VN"/>
              </w:rPr>
              <w:t>0.339</w:t>
            </w:r>
          </w:p>
        </w:tc>
        <w:tc>
          <w:tcPr>
            <w:tcW w:w="3010" w:type="dxa"/>
            <w:tcBorders>
              <w:top w:val="nil"/>
              <w:left w:val="nil"/>
              <w:bottom w:val="single" w:sz="4" w:space="0" w:color="auto"/>
              <w:right w:val="single" w:sz="4" w:space="0" w:color="auto"/>
            </w:tcBorders>
            <w:shd w:val="clear" w:color="auto" w:fill="auto"/>
            <w:noWrap/>
            <w:vAlign w:val="bottom"/>
            <w:hideMark/>
          </w:tcPr>
          <w:p w14:paraId="647CF169" w14:textId="77777777" w:rsidR="001E4705" w:rsidRPr="001E4705" w:rsidRDefault="001E4705" w:rsidP="001E4705">
            <w:pPr>
              <w:spacing w:after="0" w:line="240" w:lineRule="auto"/>
              <w:jc w:val="center"/>
              <w:rPr>
                <w:rFonts w:ascii="Arial" w:eastAsia="Times New Roman" w:hAnsi="Arial" w:cs="Arial"/>
                <w:color w:val="000000"/>
                <w:sz w:val="20"/>
                <w:szCs w:val="20"/>
                <w:lang w:eastAsia="vi-VN"/>
              </w:rPr>
            </w:pPr>
            <w:r w:rsidRPr="001E4705">
              <w:rPr>
                <w:rFonts w:ascii="Arial" w:eastAsia="Times New Roman" w:hAnsi="Arial" w:cs="Arial"/>
                <w:color w:val="000000"/>
                <w:sz w:val="20"/>
                <w:szCs w:val="20"/>
                <w:lang w:eastAsia="vi-VN"/>
              </w:rPr>
              <w:t>0.001</w:t>
            </w:r>
          </w:p>
        </w:tc>
        <w:tc>
          <w:tcPr>
            <w:tcW w:w="1302" w:type="dxa"/>
            <w:vMerge/>
            <w:tcBorders>
              <w:top w:val="nil"/>
              <w:left w:val="single" w:sz="4" w:space="0" w:color="auto"/>
              <w:bottom w:val="single" w:sz="4" w:space="0" w:color="auto"/>
              <w:right w:val="single" w:sz="4" w:space="0" w:color="auto"/>
            </w:tcBorders>
            <w:vAlign w:val="center"/>
            <w:hideMark/>
          </w:tcPr>
          <w:p w14:paraId="28462D2D" w14:textId="77777777" w:rsidR="001E4705" w:rsidRPr="001E4705" w:rsidRDefault="001E4705" w:rsidP="001E4705">
            <w:pPr>
              <w:spacing w:after="0" w:line="240" w:lineRule="auto"/>
              <w:rPr>
                <w:rFonts w:ascii="Arial" w:eastAsia="Times New Roman" w:hAnsi="Arial" w:cs="Arial"/>
                <w:color w:val="000000"/>
                <w:lang w:eastAsia="vi-VN"/>
              </w:rPr>
            </w:pPr>
          </w:p>
        </w:tc>
      </w:tr>
      <w:tr w:rsidR="001E4705" w:rsidRPr="001E4705" w14:paraId="06D0ADA0" w14:textId="77777777" w:rsidTr="001E4705">
        <w:trPr>
          <w:trHeight w:val="315"/>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14:paraId="582651DD" w14:textId="77777777" w:rsidR="001E4705" w:rsidRPr="001E4705" w:rsidRDefault="001E4705" w:rsidP="001E4705">
            <w:pPr>
              <w:spacing w:after="0" w:line="240" w:lineRule="auto"/>
              <w:jc w:val="center"/>
              <w:rPr>
                <w:rFonts w:ascii="Arial" w:eastAsia="Times New Roman" w:hAnsi="Arial" w:cs="Arial"/>
                <w:color w:val="000000"/>
                <w:lang w:eastAsia="vi-VN"/>
              </w:rPr>
            </w:pPr>
            <w:r w:rsidRPr="001E4705">
              <w:rPr>
                <w:rFonts w:ascii="Arial" w:eastAsia="Times New Roman" w:hAnsi="Arial" w:cs="Arial"/>
                <w:color w:val="000000"/>
                <w:lang w:eastAsia="vi-VN"/>
              </w:rPr>
              <w:t>8</w:t>
            </w:r>
          </w:p>
        </w:tc>
        <w:tc>
          <w:tcPr>
            <w:tcW w:w="1880" w:type="dxa"/>
            <w:tcBorders>
              <w:top w:val="nil"/>
              <w:left w:val="nil"/>
              <w:bottom w:val="single" w:sz="4" w:space="0" w:color="auto"/>
              <w:right w:val="single" w:sz="4" w:space="0" w:color="auto"/>
            </w:tcBorders>
            <w:shd w:val="clear" w:color="000000" w:fill="FFFFFF"/>
            <w:noWrap/>
            <w:vAlign w:val="bottom"/>
            <w:hideMark/>
          </w:tcPr>
          <w:p w14:paraId="511F6619" w14:textId="77777777" w:rsidR="001E4705" w:rsidRPr="001E4705" w:rsidRDefault="001E4705" w:rsidP="001E4705">
            <w:pPr>
              <w:spacing w:after="0" w:line="240" w:lineRule="auto"/>
              <w:rPr>
                <w:rFonts w:ascii="Times New Roman" w:eastAsia="Times New Roman" w:hAnsi="Times New Roman" w:cs="Times New Roman"/>
                <w:b/>
                <w:bCs/>
                <w:color w:val="000000"/>
                <w:sz w:val="24"/>
                <w:szCs w:val="24"/>
                <w:lang w:eastAsia="vi-VN"/>
              </w:rPr>
            </w:pPr>
            <w:r w:rsidRPr="001E4705">
              <w:rPr>
                <w:rFonts w:ascii="Times New Roman" w:eastAsia="Times New Roman" w:hAnsi="Times New Roman" w:cs="Times New Roman"/>
                <w:b/>
                <w:bCs/>
                <w:color w:val="000000"/>
                <w:sz w:val="24"/>
                <w:szCs w:val="24"/>
                <w:lang w:eastAsia="vi-VN"/>
              </w:rPr>
              <w:t>EIB</w:t>
            </w:r>
          </w:p>
        </w:tc>
        <w:tc>
          <w:tcPr>
            <w:tcW w:w="1012" w:type="dxa"/>
            <w:tcBorders>
              <w:top w:val="nil"/>
              <w:left w:val="nil"/>
              <w:bottom w:val="single" w:sz="4" w:space="0" w:color="auto"/>
              <w:right w:val="single" w:sz="4" w:space="0" w:color="auto"/>
            </w:tcBorders>
            <w:shd w:val="clear" w:color="auto" w:fill="auto"/>
            <w:noWrap/>
            <w:vAlign w:val="bottom"/>
            <w:hideMark/>
          </w:tcPr>
          <w:p w14:paraId="3C9CAC9E" w14:textId="77777777" w:rsidR="001E4705" w:rsidRPr="001E4705" w:rsidRDefault="001E4705" w:rsidP="001E4705">
            <w:pPr>
              <w:spacing w:after="0" w:line="240" w:lineRule="auto"/>
              <w:jc w:val="center"/>
              <w:rPr>
                <w:rFonts w:ascii="Arial" w:eastAsia="Times New Roman" w:hAnsi="Arial" w:cs="Arial"/>
                <w:color w:val="000000"/>
                <w:sz w:val="20"/>
                <w:szCs w:val="20"/>
                <w:lang w:eastAsia="vi-VN"/>
              </w:rPr>
            </w:pPr>
            <w:r w:rsidRPr="001E4705">
              <w:rPr>
                <w:rFonts w:ascii="Arial" w:eastAsia="Times New Roman" w:hAnsi="Arial" w:cs="Arial"/>
                <w:color w:val="000000"/>
                <w:sz w:val="20"/>
                <w:szCs w:val="20"/>
                <w:lang w:eastAsia="vi-VN"/>
              </w:rPr>
              <w:t>0.195</w:t>
            </w:r>
          </w:p>
        </w:tc>
        <w:tc>
          <w:tcPr>
            <w:tcW w:w="3010" w:type="dxa"/>
            <w:tcBorders>
              <w:top w:val="nil"/>
              <w:left w:val="nil"/>
              <w:bottom w:val="single" w:sz="4" w:space="0" w:color="auto"/>
              <w:right w:val="single" w:sz="4" w:space="0" w:color="auto"/>
            </w:tcBorders>
            <w:shd w:val="clear" w:color="auto" w:fill="auto"/>
            <w:noWrap/>
            <w:vAlign w:val="bottom"/>
            <w:hideMark/>
          </w:tcPr>
          <w:p w14:paraId="6196F393" w14:textId="77777777" w:rsidR="001E4705" w:rsidRPr="001E4705" w:rsidRDefault="001E4705" w:rsidP="001E4705">
            <w:pPr>
              <w:spacing w:after="0" w:line="240" w:lineRule="auto"/>
              <w:jc w:val="center"/>
              <w:rPr>
                <w:rFonts w:ascii="Arial" w:eastAsia="Times New Roman" w:hAnsi="Arial" w:cs="Arial"/>
                <w:color w:val="000000"/>
                <w:sz w:val="20"/>
                <w:szCs w:val="20"/>
                <w:lang w:eastAsia="vi-VN"/>
              </w:rPr>
            </w:pPr>
            <w:r w:rsidRPr="001E4705">
              <w:rPr>
                <w:rFonts w:ascii="Arial" w:eastAsia="Times New Roman" w:hAnsi="Arial" w:cs="Arial"/>
                <w:color w:val="000000"/>
                <w:sz w:val="20"/>
                <w:szCs w:val="20"/>
                <w:lang w:eastAsia="vi-VN"/>
              </w:rPr>
              <w:t>-0.058</w:t>
            </w:r>
          </w:p>
        </w:tc>
        <w:tc>
          <w:tcPr>
            <w:tcW w:w="1302" w:type="dxa"/>
            <w:vMerge/>
            <w:tcBorders>
              <w:top w:val="nil"/>
              <w:left w:val="single" w:sz="4" w:space="0" w:color="auto"/>
              <w:bottom w:val="single" w:sz="4" w:space="0" w:color="auto"/>
              <w:right w:val="single" w:sz="4" w:space="0" w:color="auto"/>
            </w:tcBorders>
            <w:vAlign w:val="center"/>
            <w:hideMark/>
          </w:tcPr>
          <w:p w14:paraId="770B47DC" w14:textId="77777777" w:rsidR="001E4705" w:rsidRPr="001E4705" w:rsidRDefault="001E4705" w:rsidP="001E4705">
            <w:pPr>
              <w:spacing w:after="0" w:line="240" w:lineRule="auto"/>
              <w:rPr>
                <w:rFonts w:ascii="Arial" w:eastAsia="Times New Roman" w:hAnsi="Arial" w:cs="Arial"/>
                <w:color w:val="000000"/>
                <w:lang w:eastAsia="vi-VN"/>
              </w:rPr>
            </w:pPr>
          </w:p>
        </w:tc>
      </w:tr>
      <w:tr w:rsidR="001E4705" w:rsidRPr="001E4705" w14:paraId="581CAA0A" w14:textId="77777777" w:rsidTr="001E4705">
        <w:trPr>
          <w:trHeight w:val="315"/>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14:paraId="0EA1796B" w14:textId="77777777" w:rsidR="001E4705" w:rsidRPr="001E4705" w:rsidRDefault="001E4705" w:rsidP="001E4705">
            <w:pPr>
              <w:spacing w:after="0" w:line="240" w:lineRule="auto"/>
              <w:jc w:val="center"/>
              <w:rPr>
                <w:rFonts w:ascii="Arial" w:eastAsia="Times New Roman" w:hAnsi="Arial" w:cs="Arial"/>
                <w:color w:val="000000"/>
                <w:lang w:eastAsia="vi-VN"/>
              </w:rPr>
            </w:pPr>
            <w:r w:rsidRPr="001E4705">
              <w:rPr>
                <w:rFonts w:ascii="Arial" w:eastAsia="Times New Roman" w:hAnsi="Arial" w:cs="Arial"/>
                <w:color w:val="000000"/>
                <w:lang w:eastAsia="vi-VN"/>
              </w:rPr>
              <w:t>9</w:t>
            </w:r>
          </w:p>
        </w:tc>
        <w:tc>
          <w:tcPr>
            <w:tcW w:w="1880" w:type="dxa"/>
            <w:tcBorders>
              <w:top w:val="nil"/>
              <w:left w:val="nil"/>
              <w:bottom w:val="single" w:sz="4" w:space="0" w:color="auto"/>
              <w:right w:val="single" w:sz="4" w:space="0" w:color="auto"/>
            </w:tcBorders>
            <w:shd w:val="clear" w:color="000000" w:fill="FFFFFF"/>
            <w:noWrap/>
            <w:vAlign w:val="bottom"/>
            <w:hideMark/>
          </w:tcPr>
          <w:p w14:paraId="63BBAA60" w14:textId="77777777" w:rsidR="001E4705" w:rsidRPr="001E4705" w:rsidRDefault="001E4705" w:rsidP="001E4705">
            <w:pPr>
              <w:spacing w:after="0" w:line="240" w:lineRule="auto"/>
              <w:rPr>
                <w:rFonts w:ascii="Times New Roman" w:eastAsia="Times New Roman" w:hAnsi="Times New Roman" w:cs="Times New Roman"/>
                <w:b/>
                <w:bCs/>
                <w:color w:val="000000"/>
                <w:sz w:val="24"/>
                <w:szCs w:val="24"/>
                <w:lang w:eastAsia="vi-VN"/>
              </w:rPr>
            </w:pPr>
            <w:r w:rsidRPr="001E4705">
              <w:rPr>
                <w:rFonts w:ascii="Times New Roman" w:eastAsia="Times New Roman" w:hAnsi="Times New Roman" w:cs="Times New Roman"/>
                <w:b/>
                <w:bCs/>
                <w:color w:val="000000"/>
                <w:sz w:val="24"/>
                <w:szCs w:val="24"/>
                <w:lang w:eastAsia="vi-VN"/>
              </w:rPr>
              <w:t>VCB</w:t>
            </w:r>
          </w:p>
        </w:tc>
        <w:tc>
          <w:tcPr>
            <w:tcW w:w="1012" w:type="dxa"/>
            <w:tcBorders>
              <w:top w:val="nil"/>
              <w:left w:val="nil"/>
              <w:bottom w:val="single" w:sz="4" w:space="0" w:color="auto"/>
              <w:right w:val="single" w:sz="4" w:space="0" w:color="auto"/>
            </w:tcBorders>
            <w:shd w:val="clear" w:color="auto" w:fill="auto"/>
            <w:noWrap/>
            <w:vAlign w:val="bottom"/>
            <w:hideMark/>
          </w:tcPr>
          <w:p w14:paraId="31842108" w14:textId="77777777" w:rsidR="001E4705" w:rsidRPr="001E4705" w:rsidRDefault="001E4705" w:rsidP="001E4705">
            <w:pPr>
              <w:spacing w:after="0" w:line="240" w:lineRule="auto"/>
              <w:jc w:val="center"/>
              <w:rPr>
                <w:rFonts w:ascii="Arial" w:eastAsia="Times New Roman" w:hAnsi="Arial" w:cs="Arial"/>
                <w:color w:val="000000"/>
                <w:sz w:val="20"/>
                <w:szCs w:val="20"/>
                <w:lang w:eastAsia="vi-VN"/>
              </w:rPr>
            </w:pPr>
            <w:r w:rsidRPr="001E4705">
              <w:rPr>
                <w:rFonts w:ascii="Arial" w:eastAsia="Times New Roman" w:hAnsi="Arial" w:cs="Arial"/>
                <w:color w:val="000000"/>
                <w:sz w:val="20"/>
                <w:szCs w:val="20"/>
                <w:lang w:eastAsia="vi-VN"/>
              </w:rPr>
              <w:t>0.920</w:t>
            </w:r>
          </w:p>
        </w:tc>
        <w:tc>
          <w:tcPr>
            <w:tcW w:w="3010" w:type="dxa"/>
            <w:tcBorders>
              <w:top w:val="nil"/>
              <w:left w:val="nil"/>
              <w:bottom w:val="single" w:sz="4" w:space="0" w:color="auto"/>
              <w:right w:val="single" w:sz="4" w:space="0" w:color="auto"/>
            </w:tcBorders>
            <w:shd w:val="clear" w:color="auto" w:fill="auto"/>
            <w:noWrap/>
            <w:vAlign w:val="bottom"/>
            <w:hideMark/>
          </w:tcPr>
          <w:p w14:paraId="34F408EC" w14:textId="77777777" w:rsidR="001E4705" w:rsidRPr="001E4705" w:rsidRDefault="001E4705" w:rsidP="001E4705">
            <w:pPr>
              <w:spacing w:after="0" w:line="240" w:lineRule="auto"/>
              <w:jc w:val="center"/>
              <w:rPr>
                <w:rFonts w:ascii="Arial" w:eastAsia="Times New Roman" w:hAnsi="Arial" w:cs="Arial"/>
                <w:color w:val="000000"/>
                <w:sz w:val="20"/>
                <w:szCs w:val="20"/>
                <w:lang w:eastAsia="vi-VN"/>
              </w:rPr>
            </w:pPr>
            <w:r w:rsidRPr="001E4705">
              <w:rPr>
                <w:rFonts w:ascii="Arial" w:eastAsia="Times New Roman" w:hAnsi="Arial" w:cs="Arial"/>
                <w:color w:val="000000"/>
                <w:sz w:val="20"/>
                <w:szCs w:val="20"/>
                <w:lang w:eastAsia="vi-VN"/>
              </w:rPr>
              <w:t>0.063</w:t>
            </w:r>
          </w:p>
        </w:tc>
        <w:tc>
          <w:tcPr>
            <w:tcW w:w="1302" w:type="dxa"/>
            <w:vMerge/>
            <w:tcBorders>
              <w:top w:val="nil"/>
              <w:left w:val="single" w:sz="4" w:space="0" w:color="auto"/>
              <w:bottom w:val="single" w:sz="4" w:space="0" w:color="auto"/>
              <w:right w:val="single" w:sz="4" w:space="0" w:color="auto"/>
            </w:tcBorders>
            <w:vAlign w:val="center"/>
            <w:hideMark/>
          </w:tcPr>
          <w:p w14:paraId="1107177C" w14:textId="77777777" w:rsidR="001E4705" w:rsidRPr="001E4705" w:rsidRDefault="001E4705" w:rsidP="001E4705">
            <w:pPr>
              <w:spacing w:after="0" w:line="240" w:lineRule="auto"/>
              <w:rPr>
                <w:rFonts w:ascii="Arial" w:eastAsia="Times New Roman" w:hAnsi="Arial" w:cs="Arial"/>
                <w:color w:val="000000"/>
                <w:lang w:eastAsia="vi-VN"/>
              </w:rPr>
            </w:pPr>
          </w:p>
        </w:tc>
      </w:tr>
    </w:tbl>
    <w:p w14:paraId="5EB43219" w14:textId="77777777" w:rsidR="001E4705" w:rsidRDefault="001E4705" w:rsidP="00017C08">
      <w:pPr>
        <w:pStyle w:val="ListParagraph"/>
        <w:rPr>
          <w:lang w:val="en-US"/>
        </w:rPr>
      </w:pPr>
    </w:p>
    <w:p w14:paraId="41F2DB93" w14:textId="77777777" w:rsidR="001E4705" w:rsidRDefault="001E4705" w:rsidP="001E4705">
      <w:pPr>
        <w:pStyle w:val="ListParagraph"/>
        <w:rPr>
          <w:lang w:val="en-US"/>
        </w:rPr>
      </w:pPr>
      <w:r>
        <w:rPr>
          <w:lang w:val="en-US"/>
        </w:rPr>
        <w:t xml:space="preserve">Table 5 – </w:t>
      </w:r>
      <w:r w:rsidR="00112691">
        <w:rPr>
          <w:lang w:val="en-US"/>
        </w:rPr>
        <w:t>Statistics of</w:t>
      </w:r>
      <w:r>
        <w:rPr>
          <w:lang w:val="en-US"/>
        </w:rPr>
        <w:t xml:space="preserve"> Volatility of Market Risk (beta) of Banking Industry in the post- low inflation period 2015-2017 </w:t>
      </w:r>
      <w:r w:rsidR="00112691">
        <w:rPr>
          <w:lang w:val="en-US"/>
        </w:rPr>
        <w:t>compared to those in</w:t>
      </w:r>
      <w:r>
        <w:rPr>
          <w:lang w:val="en-US"/>
        </w:rPr>
        <w:t xml:space="preserve"> the financial crisis 2007-2009</w:t>
      </w:r>
    </w:p>
    <w:tbl>
      <w:tblPr>
        <w:tblW w:w="9645" w:type="dxa"/>
        <w:tblInd w:w="103" w:type="dxa"/>
        <w:tblLook w:val="04A0" w:firstRow="1" w:lastRow="0" w:firstColumn="1" w:lastColumn="0" w:noHBand="0" w:noVBand="1"/>
      </w:tblPr>
      <w:tblGrid>
        <w:gridCol w:w="1281"/>
        <w:gridCol w:w="1167"/>
        <w:gridCol w:w="1810"/>
        <w:gridCol w:w="1167"/>
        <w:gridCol w:w="1526"/>
        <w:gridCol w:w="1167"/>
        <w:gridCol w:w="1527"/>
      </w:tblGrid>
      <w:tr w:rsidR="005D599F" w:rsidRPr="005D599F" w14:paraId="2613B5B6" w14:textId="77777777" w:rsidTr="005D599F">
        <w:trPr>
          <w:trHeight w:val="285"/>
        </w:trPr>
        <w:tc>
          <w:tcPr>
            <w:tcW w:w="1281" w:type="dxa"/>
            <w:tcBorders>
              <w:top w:val="dotted" w:sz="4" w:space="0" w:color="auto"/>
              <w:left w:val="single" w:sz="4" w:space="0" w:color="auto"/>
              <w:bottom w:val="single" w:sz="4" w:space="0" w:color="auto"/>
              <w:right w:val="single" w:sz="4" w:space="0" w:color="auto"/>
            </w:tcBorders>
            <w:shd w:val="clear" w:color="auto" w:fill="auto"/>
            <w:vAlign w:val="bottom"/>
            <w:hideMark/>
          </w:tcPr>
          <w:p w14:paraId="1CDE5EDC" w14:textId="77777777" w:rsidR="005D599F" w:rsidRPr="005D599F" w:rsidRDefault="005D599F" w:rsidP="005D599F">
            <w:pPr>
              <w:spacing w:after="0" w:line="240" w:lineRule="auto"/>
              <w:rPr>
                <w:rFonts w:ascii="Arial" w:eastAsia="Times New Roman" w:hAnsi="Arial" w:cs="Arial"/>
                <w:color w:val="0000FF"/>
                <w:u w:val="single"/>
                <w:lang w:eastAsia="vi-VN"/>
              </w:rPr>
            </w:pPr>
            <w:r w:rsidRPr="005D599F">
              <w:rPr>
                <w:rFonts w:ascii="Arial" w:eastAsia="Times New Roman" w:hAnsi="Arial" w:cs="Arial"/>
                <w:color w:val="0000FF"/>
                <w:u w:val="single"/>
                <w:lang w:eastAsia="vi-VN"/>
              </w:rPr>
              <w:t> </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19E9EA34" w14:textId="77777777" w:rsidR="005D599F" w:rsidRPr="005D599F" w:rsidRDefault="005D599F" w:rsidP="005D599F">
            <w:pPr>
              <w:spacing w:after="0" w:line="240" w:lineRule="auto"/>
              <w:jc w:val="center"/>
              <w:rPr>
                <w:rFonts w:ascii="Arial" w:eastAsia="Times New Roman" w:hAnsi="Arial" w:cs="Arial"/>
                <w:color w:val="000000"/>
                <w:lang w:eastAsia="vi-VN"/>
              </w:rPr>
            </w:pPr>
            <w:r w:rsidRPr="005D599F">
              <w:rPr>
                <w:rFonts w:ascii="Arial" w:eastAsia="Times New Roman" w:hAnsi="Arial" w:cs="Arial"/>
                <w:color w:val="000000"/>
                <w:lang w:eastAsia="vi-VN"/>
              </w:rPr>
              <w:t>2007-2009 (crisis)</w:t>
            </w:r>
          </w:p>
        </w:tc>
        <w:tc>
          <w:tcPr>
            <w:tcW w:w="26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3DCA7CEC" w14:textId="77777777" w:rsidR="005D599F" w:rsidRPr="005D599F" w:rsidRDefault="005D599F" w:rsidP="005D599F">
            <w:pPr>
              <w:spacing w:after="0" w:line="240" w:lineRule="auto"/>
              <w:jc w:val="center"/>
              <w:rPr>
                <w:rFonts w:ascii="Arial" w:eastAsia="Times New Roman" w:hAnsi="Arial" w:cs="Arial"/>
                <w:color w:val="000000"/>
                <w:lang w:eastAsia="vi-VN"/>
              </w:rPr>
            </w:pPr>
            <w:r w:rsidRPr="005D599F">
              <w:rPr>
                <w:rFonts w:ascii="Arial" w:eastAsia="Times New Roman" w:hAnsi="Arial" w:cs="Arial"/>
                <w:color w:val="000000"/>
                <w:lang w:eastAsia="vi-VN"/>
              </w:rPr>
              <w:t>2015-2017 (post - low inflation)</w:t>
            </w:r>
          </w:p>
        </w:tc>
        <w:tc>
          <w:tcPr>
            <w:tcW w:w="269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C272DC6" w14:textId="77777777" w:rsidR="005D599F" w:rsidRPr="005D599F" w:rsidRDefault="005D599F" w:rsidP="005D599F">
            <w:pPr>
              <w:spacing w:after="0" w:line="240" w:lineRule="auto"/>
              <w:jc w:val="center"/>
              <w:rPr>
                <w:rFonts w:ascii="Arial" w:eastAsia="Times New Roman" w:hAnsi="Arial" w:cs="Arial"/>
                <w:color w:val="000000"/>
                <w:lang w:eastAsia="vi-VN"/>
              </w:rPr>
            </w:pPr>
            <w:r w:rsidRPr="005D599F">
              <w:rPr>
                <w:rFonts w:ascii="Arial" w:eastAsia="Times New Roman" w:hAnsi="Arial" w:cs="Arial"/>
                <w:color w:val="000000"/>
                <w:lang w:eastAsia="vi-VN"/>
              </w:rPr>
              <w:t>GAP (+/-) 2015-17 compared to 2007-09</w:t>
            </w:r>
          </w:p>
        </w:tc>
      </w:tr>
      <w:tr w:rsidR="005D599F" w:rsidRPr="005D599F" w14:paraId="4B212D1C" w14:textId="77777777" w:rsidTr="005D599F">
        <w:trPr>
          <w:trHeight w:val="285"/>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5D2EC41B" w14:textId="77777777" w:rsidR="005D599F" w:rsidRPr="005D599F" w:rsidRDefault="005D599F" w:rsidP="005D599F">
            <w:pPr>
              <w:spacing w:after="0" w:line="240" w:lineRule="auto"/>
              <w:rPr>
                <w:rFonts w:ascii="Arial" w:eastAsia="Times New Roman" w:hAnsi="Arial" w:cs="Arial"/>
                <w:b/>
                <w:bCs/>
                <w:sz w:val="20"/>
                <w:szCs w:val="20"/>
                <w:lang w:eastAsia="vi-VN"/>
              </w:rPr>
            </w:pPr>
            <w:r w:rsidRPr="005D599F">
              <w:rPr>
                <w:rFonts w:ascii="Arial" w:eastAsia="Times New Roman" w:hAnsi="Arial" w:cs="Arial"/>
                <w:b/>
                <w:bCs/>
                <w:sz w:val="20"/>
                <w:szCs w:val="20"/>
                <w:lang w:eastAsia="vi-VN"/>
              </w:rPr>
              <w:t>Statistic results</w:t>
            </w:r>
          </w:p>
        </w:tc>
        <w:tc>
          <w:tcPr>
            <w:tcW w:w="1167" w:type="dxa"/>
            <w:tcBorders>
              <w:top w:val="nil"/>
              <w:left w:val="nil"/>
              <w:bottom w:val="single" w:sz="4" w:space="0" w:color="auto"/>
              <w:right w:val="single" w:sz="4" w:space="0" w:color="auto"/>
            </w:tcBorders>
            <w:shd w:val="clear" w:color="auto" w:fill="auto"/>
            <w:noWrap/>
            <w:vAlign w:val="bottom"/>
            <w:hideMark/>
          </w:tcPr>
          <w:p w14:paraId="66263A77" w14:textId="77777777" w:rsidR="005D599F" w:rsidRPr="005D599F" w:rsidRDefault="005D599F" w:rsidP="005D599F">
            <w:pPr>
              <w:spacing w:after="0" w:line="240" w:lineRule="auto"/>
              <w:jc w:val="center"/>
              <w:rPr>
                <w:rFonts w:ascii="Arial" w:eastAsia="Times New Roman" w:hAnsi="Arial" w:cs="Arial"/>
                <w:b/>
                <w:bCs/>
                <w:sz w:val="20"/>
                <w:szCs w:val="20"/>
                <w:lang w:eastAsia="vi-VN"/>
              </w:rPr>
            </w:pPr>
            <w:r w:rsidRPr="005D599F">
              <w:rPr>
                <w:rFonts w:ascii="Arial" w:eastAsia="Times New Roman" w:hAnsi="Arial" w:cs="Arial"/>
                <w:b/>
                <w:bCs/>
                <w:sz w:val="20"/>
                <w:szCs w:val="20"/>
                <w:lang w:eastAsia="vi-VN"/>
              </w:rPr>
              <w:t xml:space="preserve">Equity beta </w:t>
            </w:r>
          </w:p>
        </w:tc>
        <w:tc>
          <w:tcPr>
            <w:tcW w:w="1810" w:type="dxa"/>
            <w:tcBorders>
              <w:top w:val="nil"/>
              <w:left w:val="nil"/>
              <w:bottom w:val="single" w:sz="4" w:space="0" w:color="auto"/>
              <w:right w:val="single" w:sz="4" w:space="0" w:color="auto"/>
            </w:tcBorders>
            <w:shd w:val="clear" w:color="auto" w:fill="auto"/>
            <w:noWrap/>
            <w:vAlign w:val="bottom"/>
            <w:hideMark/>
          </w:tcPr>
          <w:p w14:paraId="639DCE54" w14:textId="77777777" w:rsidR="005D599F" w:rsidRPr="005D599F" w:rsidRDefault="005D599F" w:rsidP="005D599F">
            <w:pPr>
              <w:spacing w:after="0" w:line="240" w:lineRule="auto"/>
              <w:jc w:val="center"/>
              <w:rPr>
                <w:rFonts w:ascii="Arial" w:eastAsia="Times New Roman" w:hAnsi="Arial" w:cs="Arial"/>
                <w:b/>
                <w:bCs/>
                <w:sz w:val="20"/>
                <w:szCs w:val="20"/>
                <w:lang w:eastAsia="vi-VN"/>
              </w:rPr>
            </w:pPr>
            <w:r w:rsidRPr="005D599F">
              <w:rPr>
                <w:rFonts w:ascii="Arial" w:eastAsia="Times New Roman" w:hAnsi="Arial" w:cs="Arial"/>
                <w:b/>
                <w:bCs/>
                <w:sz w:val="20"/>
                <w:szCs w:val="20"/>
                <w:lang w:eastAsia="vi-VN"/>
              </w:rPr>
              <w:t>Asset beta (assume debt beta = 0)</w:t>
            </w:r>
          </w:p>
        </w:tc>
        <w:tc>
          <w:tcPr>
            <w:tcW w:w="1167" w:type="dxa"/>
            <w:tcBorders>
              <w:top w:val="nil"/>
              <w:left w:val="nil"/>
              <w:bottom w:val="single" w:sz="4" w:space="0" w:color="auto"/>
              <w:right w:val="single" w:sz="4" w:space="0" w:color="auto"/>
            </w:tcBorders>
            <w:shd w:val="clear" w:color="auto" w:fill="auto"/>
            <w:noWrap/>
            <w:vAlign w:val="bottom"/>
            <w:hideMark/>
          </w:tcPr>
          <w:p w14:paraId="38016A52" w14:textId="77777777" w:rsidR="005D599F" w:rsidRPr="005D599F" w:rsidRDefault="005D599F" w:rsidP="005D599F">
            <w:pPr>
              <w:spacing w:after="0" w:line="240" w:lineRule="auto"/>
              <w:jc w:val="center"/>
              <w:rPr>
                <w:rFonts w:ascii="Arial" w:eastAsia="Times New Roman" w:hAnsi="Arial" w:cs="Arial"/>
                <w:b/>
                <w:bCs/>
                <w:sz w:val="20"/>
                <w:szCs w:val="20"/>
                <w:lang w:eastAsia="vi-VN"/>
              </w:rPr>
            </w:pPr>
            <w:r w:rsidRPr="005D599F">
              <w:rPr>
                <w:rFonts w:ascii="Arial" w:eastAsia="Times New Roman" w:hAnsi="Arial" w:cs="Arial"/>
                <w:b/>
                <w:bCs/>
                <w:sz w:val="20"/>
                <w:szCs w:val="20"/>
                <w:lang w:eastAsia="vi-VN"/>
              </w:rPr>
              <w:t xml:space="preserve">Equity beta </w:t>
            </w:r>
          </w:p>
        </w:tc>
        <w:tc>
          <w:tcPr>
            <w:tcW w:w="1526" w:type="dxa"/>
            <w:tcBorders>
              <w:top w:val="nil"/>
              <w:left w:val="nil"/>
              <w:bottom w:val="single" w:sz="4" w:space="0" w:color="auto"/>
              <w:right w:val="single" w:sz="4" w:space="0" w:color="auto"/>
            </w:tcBorders>
            <w:shd w:val="clear" w:color="auto" w:fill="auto"/>
            <w:noWrap/>
            <w:vAlign w:val="bottom"/>
            <w:hideMark/>
          </w:tcPr>
          <w:p w14:paraId="2958A4A8" w14:textId="77777777" w:rsidR="005D599F" w:rsidRPr="005D599F" w:rsidRDefault="005D599F" w:rsidP="005D599F">
            <w:pPr>
              <w:spacing w:after="0" w:line="240" w:lineRule="auto"/>
              <w:jc w:val="center"/>
              <w:rPr>
                <w:rFonts w:ascii="Arial" w:eastAsia="Times New Roman" w:hAnsi="Arial" w:cs="Arial"/>
                <w:b/>
                <w:bCs/>
                <w:sz w:val="20"/>
                <w:szCs w:val="20"/>
                <w:lang w:eastAsia="vi-VN"/>
              </w:rPr>
            </w:pPr>
            <w:r w:rsidRPr="005D599F">
              <w:rPr>
                <w:rFonts w:ascii="Arial" w:eastAsia="Times New Roman" w:hAnsi="Arial" w:cs="Arial"/>
                <w:b/>
                <w:bCs/>
                <w:sz w:val="20"/>
                <w:szCs w:val="20"/>
                <w:lang w:eastAsia="vi-VN"/>
              </w:rPr>
              <w:t>Asset beta (assume debt beta = 0)</w:t>
            </w:r>
          </w:p>
        </w:tc>
        <w:tc>
          <w:tcPr>
            <w:tcW w:w="1167" w:type="dxa"/>
            <w:tcBorders>
              <w:top w:val="nil"/>
              <w:left w:val="nil"/>
              <w:bottom w:val="single" w:sz="4" w:space="0" w:color="auto"/>
              <w:right w:val="single" w:sz="4" w:space="0" w:color="auto"/>
            </w:tcBorders>
            <w:shd w:val="clear" w:color="auto" w:fill="auto"/>
            <w:noWrap/>
            <w:vAlign w:val="bottom"/>
            <w:hideMark/>
          </w:tcPr>
          <w:p w14:paraId="48B184D7" w14:textId="77777777" w:rsidR="005D599F" w:rsidRPr="005D599F" w:rsidRDefault="005D599F" w:rsidP="005D599F">
            <w:pPr>
              <w:spacing w:after="0" w:line="240" w:lineRule="auto"/>
              <w:jc w:val="center"/>
              <w:rPr>
                <w:rFonts w:ascii="Arial" w:eastAsia="Times New Roman" w:hAnsi="Arial" w:cs="Arial"/>
                <w:b/>
                <w:bCs/>
                <w:sz w:val="20"/>
                <w:szCs w:val="20"/>
                <w:lang w:eastAsia="vi-VN"/>
              </w:rPr>
            </w:pPr>
            <w:r w:rsidRPr="005D599F">
              <w:rPr>
                <w:rFonts w:ascii="Arial" w:eastAsia="Times New Roman" w:hAnsi="Arial" w:cs="Arial"/>
                <w:b/>
                <w:bCs/>
                <w:sz w:val="20"/>
                <w:szCs w:val="20"/>
                <w:lang w:eastAsia="vi-VN"/>
              </w:rPr>
              <w:t xml:space="preserve">Equity beta </w:t>
            </w:r>
          </w:p>
        </w:tc>
        <w:tc>
          <w:tcPr>
            <w:tcW w:w="1527" w:type="dxa"/>
            <w:tcBorders>
              <w:top w:val="nil"/>
              <w:left w:val="nil"/>
              <w:bottom w:val="single" w:sz="4" w:space="0" w:color="auto"/>
              <w:right w:val="single" w:sz="4" w:space="0" w:color="auto"/>
            </w:tcBorders>
            <w:shd w:val="clear" w:color="auto" w:fill="auto"/>
            <w:noWrap/>
            <w:vAlign w:val="bottom"/>
            <w:hideMark/>
          </w:tcPr>
          <w:p w14:paraId="5D4214B4" w14:textId="77777777" w:rsidR="005D599F" w:rsidRPr="005D599F" w:rsidRDefault="005D599F" w:rsidP="005D599F">
            <w:pPr>
              <w:spacing w:after="0" w:line="240" w:lineRule="auto"/>
              <w:jc w:val="center"/>
              <w:rPr>
                <w:rFonts w:ascii="Arial" w:eastAsia="Times New Roman" w:hAnsi="Arial" w:cs="Arial"/>
                <w:b/>
                <w:bCs/>
                <w:sz w:val="20"/>
                <w:szCs w:val="20"/>
                <w:lang w:eastAsia="vi-VN"/>
              </w:rPr>
            </w:pPr>
            <w:r w:rsidRPr="005D599F">
              <w:rPr>
                <w:rFonts w:ascii="Arial" w:eastAsia="Times New Roman" w:hAnsi="Arial" w:cs="Arial"/>
                <w:b/>
                <w:bCs/>
                <w:sz w:val="20"/>
                <w:szCs w:val="20"/>
                <w:lang w:eastAsia="vi-VN"/>
              </w:rPr>
              <w:t>Asset beta (assume debt beta = 0)</w:t>
            </w:r>
          </w:p>
        </w:tc>
      </w:tr>
      <w:tr w:rsidR="005D599F" w:rsidRPr="005D599F" w14:paraId="1BED4580" w14:textId="77777777" w:rsidTr="005D599F">
        <w:trPr>
          <w:trHeight w:val="285"/>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52CC5E57" w14:textId="77777777" w:rsidR="005D599F" w:rsidRPr="005D599F" w:rsidRDefault="005D599F" w:rsidP="005D599F">
            <w:pPr>
              <w:spacing w:after="0" w:line="240" w:lineRule="auto"/>
              <w:rPr>
                <w:rFonts w:ascii="Arial" w:eastAsia="Times New Roman" w:hAnsi="Arial" w:cs="Arial"/>
                <w:color w:val="000000"/>
                <w:lang w:eastAsia="vi-VN"/>
              </w:rPr>
            </w:pPr>
            <w:r w:rsidRPr="005D599F">
              <w:rPr>
                <w:rFonts w:ascii="Arial" w:eastAsia="Times New Roman" w:hAnsi="Arial" w:cs="Arial"/>
                <w:color w:val="000000"/>
                <w:lang w:eastAsia="vi-VN"/>
              </w:rPr>
              <w:t>MAX</w:t>
            </w:r>
          </w:p>
        </w:tc>
        <w:tc>
          <w:tcPr>
            <w:tcW w:w="1167" w:type="dxa"/>
            <w:tcBorders>
              <w:top w:val="nil"/>
              <w:left w:val="nil"/>
              <w:bottom w:val="single" w:sz="4" w:space="0" w:color="auto"/>
              <w:right w:val="single" w:sz="4" w:space="0" w:color="auto"/>
            </w:tcBorders>
            <w:shd w:val="clear" w:color="auto" w:fill="auto"/>
            <w:noWrap/>
            <w:vAlign w:val="bottom"/>
            <w:hideMark/>
          </w:tcPr>
          <w:p w14:paraId="054C2147" w14:textId="77777777" w:rsidR="005D599F" w:rsidRPr="005D599F" w:rsidRDefault="005D599F" w:rsidP="005D599F">
            <w:pPr>
              <w:spacing w:after="0" w:line="240" w:lineRule="auto"/>
              <w:jc w:val="center"/>
              <w:rPr>
                <w:rFonts w:ascii="Arial" w:eastAsia="Times New Roman" w:hAnsi="Arial" w:cs="Arial"/>
                <w:color w:val="000000"/>
                <w:lang w:eastAsia="vi-VN"/>
              </w:rPr>
            </w:pPr>
            <w:r w:rsidRPr="005D599F">
              <w:rPr>
                <w:rFonts w:ascii="Arial" w:eastAsia="Times New Roman" w:hAnsi="Arial" w:cs="Arial"/>
                <w:color w:val="000000"/>
                <w:lang w:eastAsia="vi-VN"/>
              </w:rPr>
              <w:t>1.011</w:t>
            </w:r>
          </w:p>
        </w:tc>
        <w:tc>
          <w:tcPr>
            <w:tcW w:w="1810" w:type="dxa"/>
            <w:tcBorders>
              <w:top w:val="nil"/>
              <w:left w:val="nil"/>
              <w:bottom w:val="single" w:sz="4" w:space="0" w:color="auto"/>
              <w:right w:val="single" w:sz="4" w:space="0" w:color="auto"/>
            </w:tcBorders>
            <w:shd w:val="clear" w:color="auto" w:fill="auto"/>
            <w:noWrap/>
            <w:vAlign w:val="bottom"/>
            <w:hideMark/>
          </w:tcPr>
          <w:p w14:paraId="54A542F6" w14:textId="77777777" w:rsidR="005D599F" w:rsidRPr="005D599F" w:rsidRDefault="005D599F" w:rsidP="005D599F">
            <w:pPr>
              <w:spacing w:after="0" w:line="240" w:lineRule="auto"/>
              <w:jc w:val="center"/>
              <w:rPr>
                <w:rFonts w:ascii="Arial" w:eastAsia="Times New Roman" w:hAnsi="Arial" w:cs="Arial"/>
                <w:color w:val="000000"/>
                <w:lang w:eastAsia="vi-VN"/>
              </w:rPr>
            </w:pPr>
            <w:r w:rsidRPr="005D599F">
              <w:rPr>
                <w:rFonts w:ascii="Arial" w:eastAsia="Times New Roman" w:hAnsi="Arial" w:cs="Arial"/>
                <w:color w:val="000000"/>
                <w:lang w:eastAsia="vi-VN"/>
              </w:rPr>
              <w:t>0.145</w:t>
            </w:r>
          </w:p>
        </w:tc>
        <w:tc>
          <w:tcPr>
            <w:tcW w:w="1167" w:type="dxa"/>
            <w:tcBorders>
              <w:top w:val="nil"/>
              <w:left w:val="nil"/>
              <w:bottom w:val="single" w:sz="4" w:space="0" w:color="auto"/>
              <w:right w:val="single" w:sz="4" w:space="0" w:color="auto"/>
            </w:tcBorders>
            <w:shd w:val="clear" w:color="auto" w:fill="auto"/>
            <w:noWrap/>
            <w:vAlign w:val="bottom"/>
            <w:hideMark/>
          </w:tcPr>
          <w:p w14:paraId="6306AA9C" w14:textId="77777777" w:rsidR="005D599F" w:rsidRPr="005D599F" w:rsidRDefault="005D599F" w:rsidP="005D599F">
            <w:pPr>
              <w:spacing w:after="0" w:line="240" w:lineRule="auto"/>
              <w:jc w:val="right"/>
              <w:rPr>
                <w:rFonts w:ascii="Arial" w:eastAsia="Times New Roman" w:hAnsi="Arial" w:cs="Arial"/>
                <w:color w:val="000000"/>
                <w:lang w:eastAsia="vi-VN"/>
              </w:rPr>
            </w:pPr>
            <w:r w:rsidRPr="005D599F">
              <w:rPr>
                <w:rFonts w:ascii="Arial" w:eastAsia="Times New Roman" w:hAnsi="Arial" w:cs="Arial"/>
                <w:color w:val="000000"/>
                <w:lang w:eastAsia="vi-VN"/>
              </w:rPr>
              <w:t>1.676</w:t>
            </w:r>
          </w:p>
        </w:tc>
        <w:tc>
          <w:tcPr>
            <w:tcW w:w="1526" w:type="dxa"/>
            <w:tcBorders>
              <w:top w:val="nil"/>
              <w:left w:val="nil"/>
              <w:bottom w:val="single" w:sz="4" w:space="0" w:color="auto"/>
              <w:right w:val="single" w:sz="4" w:space="0" w:color="auto"/>
            </w:tcBorders>
            <w:shd w:val="clear" w:color="auto" w:fill="auto"/>
            <w:noWrap/>
            <w:vAlign w:val="bottom"/>
            <w:hideMark/>
          </w:tcPr>
          <w:p w14:paraId="11CC1B4F" w14:textId="77777777" w:rsidR="005D599F" w:rsidRPr="005D599F" w:rsidRDefault="005D599F" w:rsidP="005D599F">
            <w:pPr>
              <w:spacing w:after="0" w:line="240" w:lineRule="auto"/>
              <w:jc w:val="right"/>
              <w:rPr>
                <w:rFonts w:ascii="Arial" w:eastAsia="Times New Roman" w:hAnsi="Arial" w:cs="Arial"/>
                <w:color w:val="000000"/>
                <w:lang w:eastAsia="vi-VN"/>
              </w:rPr>
            </w:pPr>
            <w:r w:rsidRPr="005D599F">
              <w:rPr>
                <w:rFonts w:ascii="Arial" w:eastAsia="Times New Roman" w:hAnsi="Arial" w:cs="Arial"/>
                <w:color w:val="000000"/>
                <w:lang w:eastAsia="vi-VN"/>
              </w:rPr>
              <w:t>0.120</w:t>
            </w:r>
          </w:p>
        </w:tc>
        <w:tc>
          <w:tcPr>
            <w:tcW w:w="1167" w:type="dxa"/>
            <w:tcBorders>
              <w:top w:val="nil"/>
              <w:left w:val="nil"/>
              <w:bottom w:val="single" w:sz="4" w:space="0" w:color="auto"/>
              <w:right w:val="single" w:sz="4" w:space="0" w:color="auto"/>
            </w:tcBorders>
            <w:shd w:val="clear" w:color="auto" w:fill="auto"/>
            <w:noWrap/>
            <w:vAlign w:val="bottom"/>
            <w:hideMark/>
          </w:tcPr>
          <w:p w14:paraId="5E406A1B" w14:textId="77777777" w:rsidR="005D599F" w:rsidRPr="005D599F" w:rsidRDefault="005D599F" w:rsidP="005D599F">
            <w:pPr>
              <w:spacing w:after="0" w:line="240" w:lineRule="auto"/>
              <w:jc w:val="right"/>
              <w:rPr>
                <w:rFonts w:ascii="Arial" w:eastAsia="Times New Roman" w:hAnsi="Arial" w:cs="Arial"/>
                <w:color w:val="000000"/>
                <w:lang w:eastAsia="vi-VN"/>
              </w:rPr>
            </w:pPr>
            <w:r w:rsidRPr="005D599F">
              <w:rPr>
                <w:rFonts w:ascii="Arial" w:eastAsia="Times New Roman" w:hAnsi="Arial" w:cs="Arial"/>
                <w:color w:val="000000"/>
                <w:lang w:eastAsia="vi-VN"/>
              </w:rPr>
              <w:t>0.665</w:t>
            </w:r>
          </w:p>
        </w:tc>
        <w:tc>
          <w:tcPr>
            <w:tcW w:w="1527" w:type="dxa"/>
            <w:tcBorders>
              <w:top w:val="nil"/>
              <w:left w:val="nil"/>
              <w:bottom w:val="single" w:sz="4" w:space="0" w:color="auto"/>
              <w:right w:val="single" w:sz="4" w:space="0" w:color="auto"/>
            </w:tcBorders>
            <w:shd w:val="clear" w:color="auto" w:fill="auto"/>
            <w:noWrap/>
            <w:vAlign w:val="bottom"/>
            <w:hideMark/>
          </w:tcPr>
          <w:p w14:paraId="683387CA" w14:textId="77777777" w:rsidR="005D599F" w:rsidRPr="005D599F" w:rsidRDefault="005D599F" w:rsidP="005D599F">
            <w:pPr>
              <w:spacing w:after="0" w:line="240" w:lineRule="auto"/>
              <w:jc w:val="right"/>
              <w:rPr>
                <w:rFonts w:ascii="Arial" w:eastAsia="Times New Roman" w:hAnsi="Arial" w:cs="Arial"/>
                <w:color w:val="000000"/>
                <w:lang w:eastAsia="vi-VN"/>
              </w:rPr>
            </w:pPr>
            <w:r w:rsidRPr="005D599F">
              <w:rPr>
                <w:rFonts w:ascii="Arial" w:eastAsia="Times New Roman" w:hAnsi="Arial" w:cs="Arial"/>
                <w:color w:val="000000"/>
                <w:lang w:eastAsia="vi-VN"/>
              </w:rPr>
              <w:t>-0.025</w:t>
            </w:r>
          </w:p>
        </w:tc>
      </w:tr>
      <w:tr w:rsidR="005D599F" w:rsidRPr="005D599F" w14:paraId="1CDB17C0" w14:textId="77777777" w:rsidTr="005D599F">
        <w:trPr>
          <w:trHeight w:val="285"/>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788FEF4D" w14:textId="77777777" w:rsidR="005D599F" w:rsidRPr="005D599F" w:rsidRDefault="005D599F" w:rsidP="005D599F">
            <w:pPr>
              <w:spacing w:after="0" w:line="240" w:lineRule="auto"/>
              <w:rPr>
                <w:rFonts w:ascii="Arial" w:eastAsia="Times New Roman" w:hAnsi="Arial" w:cs="Arial"/>
                <w:color w:val="000000"/>
                <w:lang w:eastAsia="vi-VN"/>
              </w:rPr>
            </w:pPr>
            <w:r w:rsidRPr="005D599F">
              <w:rPr>
                <w:rFonts w:ascii="Arial" w:eastAsia="Times New Roman" w:hAnsi="Arial" w:cs="Arial"/>
                <w:color w:val="000000"/>
                <w:lang w:eastAsia="vi-VN"/>
              </w:rPr>
              <w:t>MIN</w:t>
            </w:r>
          </w:p>
        </w:tc>
        <w:tc>
          <w:tcPr>
            <w:tcW w:w="1167" w:type="dxa"/>
            <w:tcBorders>
              <w:top w:val="nil"/>
              <w:left w:val="nil"/>
              <w:bottom w:val="single" w:sz="4" w:space="0" w:color="auto"/>
              <w:right w:val="single" w:sz="4" w:space="0" w:color="auto"/>
            </w:tcBorders>
            <w:shd w:val="clear" w:color="auto" w:fill="auto"/>
            <w:noWrap/>
            <w:vAlign w:val="bottom"/>
            <w:hideMark/>
          </w:tcPr>
          <w:p w14:paraId="44DC58D4" w14:textId="77777777" w:rsidR="005D599F" w:rsidRPr="005D599F" w:rsidRDefault="005D599F" w:rsidP="005D599F">
            <w:pPr>
              <w:spacing w:after="0" w:line="240" w:lineRule="auto"/>
              <w:jc w:val="center"/>
              <w:rPr>
                <w:rFonts w:ascii="Arial" w:eastAsia="Times New Roman" w:hAnsi="Arial" w:cs="Arial"/>
                <w:color w:val="000000"/>
                <w:lang w:eastAsia="vi-VN"/>
              </w:rPr>
            </w:pPr>
            <w:r w:rsidRPr="005D599F">
              <w:rPr>
                <w:rFonts w:ascii="Arial" w:eastAsia="Times New Roman" w:hAnsi="Arial" w:cs="Arial"/>
                <w:color w:val="000000"/>
                <w:lang w:eastAsia="vi-VN"/>
              </w:rPr>
              <w:t>0.021</w:t>
            </w:r>
          </w:p>
        </w:tc>
        <w:tc>
          <w:tcPr>
            <w:tcW w:w="1810" w:type="dxa"/>
            <w:tcBorders>
              <w:top w:val="nil"/>
              <w:left w:val="nil"/>
              <w:bottom w:val="single" w:sz="4" w:space="0" w:color="auto"/>
              <w:right w:val="single" w:sz="4" w:space="0" w:color="auto"/>
            </w:tcBorders>
            <w:shd w:val="clear" w:color="auto" w:fill="auto"/>
            <w:noWrap/>
            <w:vAlign w:val="bottom"/>
            <w:hideMark/>
          </w:tcPr>
          <w:p w14:paraId="5448A098" w14:textId="77777777" w:rsidR="005D599F" w:rsidRPr="005D599F" w:rsidRDefault="005D599F" w:rsidP="005D599F">
            <w:pPr>
              <w:spacing w:after="0" w:line="240" w:lineRule="auto"/>
              <w:jc w:val="center"/>
              <w:rPr>
                <w:rFonts w:ascii="Arial" w:eastAsia="Times New Roman" w:hAnsi="Arial" w:cs="Arial"/>
                <w:color w:val="000000"/>
                <w:lang w:eastAsia="vi-VN"/>
              </w:rPr>
            </w:pPr>
            <w:r w:rsidRPr="005D599F">
              <w:rPr>
                <w:rFonts w:ascii="Arial" w:eastAsia="Times New Roman" w:hAnsi="Arial" w:cs="Arial"/>
                <w:color w:val="000000"/>
                <w:lang w:eastAsia="vi-VN"/>
              </w:rPr>
              <w:t>0.003</w:t>
            </w:r>
          </w:p>
        </w:tc>
        <w:tc>
          <w:tcPr>
            <w:tcW w:w="1167" w:type="dxa"/>
            <w:tcBorders>
              <w:top w:val="nil"/>
              <w:left w:val="nil"/>
              <w:bottom w:val="single" w:sz="4" w:space="0" w:color="auto"/>
              <w:right w:val="single" w:sz="4" w:space="0" w:color="auto"/>
            </w:tcBorders>
            <w:shd w:val="clear" w:color="auto" w:fill="auto"/>
            <w:noWrap/>
            <w:vAlign w:val="bottom"/>
            <w:hideMark/>
          </w:tcPr>
          <w:p w14:paraId="0145D06C" w14:textId="77777777" w:rsidR="005D599F" w:rsidRPr="005D599F" w:rsidRDefault="005D599F" w:rsidP="005D599F">
            <w:pPr>
              <w:spacing w:after="0" w:line="240" w:lineRule="auto"/>
              <w:jc w:val="right"/>
              <w:rPr>
                <w:rFonts w:ascii="Arial" w:eastAsia="Times New Roman" w:hAnsi="Arial" w:cs="Arial"/>
                <w:color w:val="000000"/>
                <w:lang w:eastAsia="vi-VN"/>
              </w:rPr>
            </w:pPr>
            <w:r w:rsidRPr="005D599F">
              <w:rPr>
                <w:rFonts w:ascii="Arial" w:eastAsia="Times New Roman" w:hAnsi="Arial" w:cs="Arial"/>
                <w:color w:val="000000"/>
                <w:lang w:eastAsia="vi-VN"/>
              </w:rPr>
              <w:t>0.636</w:t>
            </w:r>
          </w:p>
        </w:tc>
        <w:tc>
          <w:tcPr>
            <w:tcW w:w="1526" w:type="dxa"/>
            <w:tcBorders>
              <w:top w:val="nil"/>
              <w:left w:val="nil"/>
              <w:bottom w:val="single" w:sz="4" w:space="0" w:color="auto"/>
              <w:right w:val="single" w:sz="4" w:space="0" w:color="auto"/>
            </w:tcBorders>
            <w:shd w:val="clear" w:color="auto" w:fill="auto"/>
            <w:noWrap/>
            <w:vAlign w:val="bottom"/>
            <w:hideMark/>
          </w:tcPr>
          <w:p w14:paraId="6E59739B" w14:textId="77777777" w:rsidR="005D599F" w:rsidRPr="005D599F" w:rsidRDefault="005D599F" w:rsidP="005D599F">
            <w:pPr>
              <w:spacing w:after="0" w:line="240" w:lineRule="auto"/>
              <w:jc w:val="right"/>
              <w:rPr>
                <w:rFonts w:ascii="Arial" w:eastAsia="Times New Roman" w:hAnsi="Arial" w:cs="Arial"/>
                <w:color w:val="000000"/>
                <w:lang w:eastAsia="vi-VN"/>
              </w:rPr>
            </w:pPr>
            <w:r w:rsidRPr="005D599F">
              <w:rPr>
                <w:rFonts w:ascii="Arial" w:eastAsia="Times New Roman" w:hAnsi="Arial" w:cs="Arial"/>
                <w:color w:val="000000"/>
                <w:lang w:eastAsia="vi-VN"/>
              </w:rPr>
              <w:t>0.035</w:t>
            </w:r>
          </w:p>
        </w:tc>
        <w:tc>
          <w:tcPr>
            <w:tcW w:w="1167" w:type="dxa"/>
            <w:tcBorders>
              <w:top w:val="nil"/>
              <w:left w:val="nil"/>
              <w:bottom w:val="single" w:sz="4" w:space="0" w:color="auto"/>
              <w:right w:val="single" w:sz="4" w:space="0" w:color="auto"/>
            </w:tcBorders>
            <w:shd w:val="clear" w:color="auto" w:fill="auto"/>
            <w:noWrap/>
            <w:vAlign w:val="bottom"/>
            <w:hideMark/>
          </w:tcPr>
          <w:p w14:paraId="78B5003C" w14:textId="77777777" w:rsidR="005D599F" w:rsidRPr="005D599F" w:rsidRDefault="005D599F" w:rsidP="005D599F">
            <w:pPr>
              <w:spacing w:after="0" w:line="240" w:lineRule="auto"/>
              <w:jc w:val="right"/>
              <w:rPr>
                <w:rFonts w:ascii="Arial" w:eastAsia="Times New Roman" w:hAnsi="Arial" w:cs="Arial"/>
                <w:color w:val="000000"/>
                <w:lang w:eastAsia="vi-VN"/>
              </w:rPr>
            </w:pPr>
            <w:r w:rsidRPr="005D599F">
              <w:rPr>
                <w:rFonts w:ascii="Arial" w:eastAsia="Times New Roman" w:hAnsi="Arial" w:cs="Arial"/>
                <w:color w:val="000000"/>
                <w:lang w:eastAsia="vi-VN"/>
              </w:rPr>
              <w:t>0.615</w:t>
            </w:r>
          </w:p>
        </w:tc>
        <w:tc>
          <w:tcPr>
            <w:tcW w:w="1527" w:type="dxa"/>
            <w:tcBorders>
              <w:top w:val="nil"/>
              <w:left w:val="nil"/>
              <w:bottom w:val="single" w:sz="4" w:space="0" w:color="auto"/>
              <w:right w:val="single" w:sz="4" w:space="0" w:color="auto"/>
            </w:tcBorders>
            <w:shd w:val="clear" w:color="auto" w:fill="auto"/>
            <w:noWrap/>
            <w:vAlign w:val="bottom"/>
            <w:hideMark/>
          </w:tcPr>
          <w:p w14:paraId="52D6FE00" w14:textId="77777777" w:rsidR="005D599F" w:rsidRPr="005D599F" w:rsidRDefault="005D599F" w:rsidP="005D599F">
            <w:pPr>
              <w:spacing w:after="0" w:line="240" w:lineRule="auto"/>
              <w:jc w:val="right"/>
              <w:rPr>
                <w:rFonts w:ascii="Arial" w:eastAsia="Times New Roman" w:hAnsi="Arial" w:cs="Arial"/>
                <w:color w:val="000000"/>
                <w:lang w:eastAsia="vi-VN"/>
              </w:rPr>
            </w:pPr>
            <w:r w:rsidRPr="005D599F">
              <w:rPr>
                <w:rFonts w:ascii="Arial" w:eastAsia="Times New Roman" w:hAnsi="Arial" w:cs="Arial"/>
                <w:color w:val="000000"/>
                <w:lang w:eastAsia="vi-VN"/>
              </w:rPr>
              <w:t>0.032</w:t>
            </w:r>
          </w:p>
        </w:tc>
      </w:tr>
      <w:tr w:rsidR="005D599F" w:rsidRPr="005D599F" w14:paraId="4A454079" w14:textId="77777777" w:rsidTr="005D599F">
        <w:trPr>
          <w:trHeight w:val="285"/>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1C2ADABF" w14:textId="77777777" w:rsidR="005D599F" w:rsidRPr="005D599F" w:rsidRDefault="005D599F" w:rsidP="005D599F">
            <w:pPr>
              <w:spacing w:after="0" w:line="240" w:lineRule="auto"/>
              <w:rPr>
                <w:rFonts w:ascii="Arial" w:eastAsia="Times New Roman" w:hAnsi="Arial" w:cs="Arial"/>
                <w:color w:val="000000"/>
                <w:lang w:eastAsia="vi-VN"/>
              </w:rPr>
            </w:pPr>
            <w:r w:rsidRPr="005D599F">
              <w:rPr>
                <w:rFonts w:ascii="Arial" w:eastAsia="Times New Roman" w:hAnsi="Arial" w:cs="Arial"/>
                <w:color w:val="000000"/>
                <w:lang w:eastAsia="vi-VN"/>
              </w:rPr>
              <w:t>MEAN</w:t>
            </w:r>
          </w:p>
        </w:tc>
        <w:tc>
          <w:tcPr>
            <w:tcW w:w="1167" w:type="dxa"/>
            <w:tcBorders>
              <w:top w:val="nil"/>
              <w:left w:val="nil"/>
              <w:bottom w:val="single" w:sz="4" w:space="0" w:color="auto"/>
              <w:right w:val="single" w:sz="4" w:space="0" w:color="auto"/>
            </w:tcBorders>
            <w:shd w:val="clear" w:color="auto" w:fill="auto"/>
            <w:noWrap/>
            <w:vAlign w:val="bottom"/>
            <w:hideMark/>
          </w:tcPr>
          <w:p w14:paraId="33169B7E" w14:textId="77777777" w:rsidR="005D599F" w:rsidRPr="005D599F" w:rsidRDefault="005D599F" w:rsidP="005D599F">
            <w:pPr>
              <w:spacing w:after="0" w:line="240" w:lineRule="auto"/>
              <w:jc w:val="center"/>
              <w:rPr>
                <w:rFonts w:ascii="Arial" w:eastAsia="Times New Roman" w:hAnsi="Arial" w:cs="Arial"/>
                <w:color w:val="000000"/>
                <w:lang w:eastAsia="vi-VN"/>
              </w:rPr>
            </w:pPr>
            <w:r w:rsidRPr="005D599F">
              <w:rPr>
                <w:rFonts w:ascii="Arial" w:eastAsia="Times New Roman" w:hAnsi="Arial" w:cs="Arial"/>
                <w:color w:val="000000"/>
                <w:lang w:eastAsia="vi-VN"/>
              </w:rPr>
              <w:t>0.538</w:t>
            </w:r>
          </w:p>
        </w:tc>
        <w:tc>
          <w:tcPr>
            <w:tcW w:w="1810" w:type="dxa"/>
            <w:tcBorders>
              <w:top w:val="nil"/>
              <w:left w:val="nil"/>
              <w:bottom w:val="single" w:sz="4" w:space="0" w:color="auto"/>
              <w:right w:val="single" w:sz="4" w:space="0" w:color="auto"/>
            </w:tcBorders>
            <w:shd w:val="clear" w:color="auto" w:fill="auto"/>
            <w:noWrap/>
            <w:vAlign w:val="bottom"/>
            <w:hideMark/>
          </w:tcPr>
          <w:p w14:paraId="0557FCE8" w14:textId="77777777" w:rsidR="005D599F" w:rsidRPr="005D599F" w:rsidRDefault="005D599F" w:rsidP="005D599F">
            <w:pPr>
              <w:spacing w:after="0" w:line="240" w:lineRule="auto"/>
              <w:jc w:val="center"/>
              <w:rPr>
                <w:rFonts w:ascii="Arial" w:eastAsia="Times New Roman" w:hAnsi="Arial" w:cs="Arial"/>
                <w:color w:val="000000"/>
                <w:lang w:eastAsia="vi-VN"/>
              </w:rPr>
            </w:pPr>
            <w:r w:rsidRPr="005D599F">
              <w:rPr>
                <w:rFonts w:ascii="Arial" w:eastAsia="Times New Roman" w:hAnsi="Arial" w:cs="Arial"/>
                <w:color w:val="000000"/>
                <w:lang w:eastAsia="vi-VN"/>
              </w:rPr>
              <w:t>0.062</w:t>
            </w:r>
          </w:p>
        </w:tc>
        <w:tc>
          <w:tcPr>
            <w:tcW w:w="1167" w:type="dxa"/>
            <w:tcBorders>
              <w:top w:val="nil"/>
              <w:left w:val="nil"/>
              <w:bottom w:val="single" w:sz="4" w:space="0" w:color="auto"/>
              <w:right w:val="single" w:sz="4" w:space="0" w:color="auto"/>
            </w:tcBorders>
            <w:shd w:val="clear" w:color="auto" w:fill="auto"/>
            <w:noWrap/>
            <w:vAlign w:val="bottom"/>
            <w:hideMark/>
          </w:tcPr>
          <w:p w14:paraId="1B8DF260" w14:textId="77777777" w:rsidR="005D599F" w:rsidRPr="005D599F" w:rsidRDefault="005D599F" w:rsidP="005D599F">
            <w:pPr>
              <w:spacing w:after="0" w:line="240" w:lineRule="auto"/>
              <w:jc w:val="right"/>
              <w:rPr>
                <w:rFonts w:ascii="Arial" w:eastAsia="Times New Roman" w:hAnsi="Arial" w:cs="Arial"/>
                <w:color w:val="000000"/>
                <w:lang w:eastAsia="vi-VN"/>
              </w:rPr>
            </w:pPr>
            <w:r w:rsidRPr="005D599F">
              <w:rPr>
                <w:rFonts w:ascii="Arial" w:eastAsia="Times New Roman" w:hAnsi="Arial" w:cs="Arial"/>
                <w:color w:val="000000"/>
                <w:lang w:eastAsia="vi-VN"/>
              </w:rPr>
              <w:t>1.034</w:t>
            </w:r>
          </w:p>
        </w:tc>
        <w:tc>
          <w:tcPr>
            <w:tcW w:w="1526" w:type="dxa"/>
            <w:tcBorders>
              <w:top w:val="nil"/>
              <w:left w:val="nil"/>
              <w:bottom w:val="single" w:sz="4" w:space="0" w:color="auto"/>
              <w:right w:val="single" w:sz="4" w:space="0" w:color="auto"/>
            </w:tcBorders>
            <w:shd w:val="clear" w:color="auto" w:fill="auto"/>
            <w:noWrap/>
            <w:vAlign w:val="bottom"/>
            <w:hideMark/>
          </w:tcPr>
          <w:p w14:paraId="2F981927" w14:textId="77777777" w:rsidR="005D599F" w:rsidRPr="005D599F" w:rsidRDefault="005D599F" w:rsidP="005D599F">
            <w:pPr>
              <w:spacing w:after="0" w:line="240" w:lineRule="auto"/>
              <w:jc w:val="right"/>
              <w:rPr>
                <w:rFonts w:ascii="Arial" w:eastAsia="Times New Roman" w:hAnsi="Arial" w:cs="Arial"/>
                <w:color w:val="000000"/>
                <w:lang w:eastAsia="vi-VN"/>
              </w:rPr>
            </w:pPr>
            <w:r w:rsidRPr="005D599F">
              <w:rPr>
                <w:rFonts w:ascii="Arial" w:eastAsia="Times New Roman" w:hAnsi="Arial" w:cs="Arial"/>
                <w:color w:val="000000"/>
                <w:lang w:eastAsia="vi-VN"/>
              </w:rPr>
              <w:t>0.073</w:t>
            </w:r>
          </w:p>
        </w:tc>
        <w:tc>
          <w:tcPr>
            <w:tcW w:w="1167" w:type="dxa"/>
            <w:tcBorders>
              <w:top w:val="nil"/>
              <w:left w:val="nil"/>
              <w:bottom w:val="single" w:sz="4" w:space="0" w:color="auto"/>
              <w:right w:val="single" w:sz="4" w:space="0" w:color="auto"/>
            </w:tcBorders>
            <w:shd w:val="clear" w:color="auto" w:fill="auto"/>
            <w:noWrap/>
            <w:vAlign w:val="bottom"/>
            <w:hideMark/>
          </w:tcPr>
          <w:p w14:paraId="7909C38F" w14:textId="77777777" w:rsidR="005D599F" w:rsidRPr="005D599F" w:rsidRDefault="005D599F" w:rsidP="005D599F">
            <w:pPr>
              <w:spacing w:after="0" w:line="240" w:lineRule="auto"/>
              <w:jc w:val="right"/>
              <w:rPr>
                <w:rFonts w:ascii="Arial" w:eastAsia="Times New Roman" w:hAnsi="Arial" w:cs="Arial"/>
                <w:color w:val="000000"/>
                <w:lang w:eastAsia="vi-VN"/>
              </w:rPr>
            </w:pPr>
            <w:r w:rsidRPr="005D599F">
              <w:rPr>
                <w:rFonts w:ascii="Arial" w:eastAsia="Times New Roman" w:hAnsi="Arial" w:cs="Arial"/>
                <w:color w:val="000000"/>
                <w:lang w:eastAsia="vi-VN"/>
              </w:rPr>
              <w:t>0.496</w:t>
            </w:r>
          </w:p>
        </w:tc>
        <w:tc>
          <w:tcPr>
            <w:tcW w:w="1527" w:type="dxa"/>
            <w:tcBorders>
              <w:top w:val="nil"/>
              <w:left w:val="nil"/>
              <w:bottom w:val="single" w:sz="4" w:space="0" w:color="auto"/>
              <w:right w:val="single" w:sz="4" w:space="0" w:color="auto"/>
            </w:tcBorders>
            <w:shd w:val="clear" w:color="auto" w:fill="auto"/>
            <w:noWrap/>
            <w:vAlign w:val="bottom"/>
            <w:hideMark/>
          </w:tcPr>
          <w:p w14:paraId="06A02F5A" w14:textId="77777777" w:rsidR="005D599F" w:rsidRPr="005D599F" w:rsidRDefault="005D599F" w:rsidP="005D599F">
            <w:pPr>
              <w:spacing w:after="0" w:line="240" w:lineRule="auto"/>
              <w:jc w:val="right"/>
              <w:rPr>
                <w:rFonts w:ascii="Arial" w:eastAsia="Times New Roman" w:hAnsi="Arial" w:cs="Arial"/>
                <w:color w:val="000000"/>
                <w:lang w:eastAsia="vi-VN"/>
              </w:rPr>
            </w:pPr>
            <w:r w:rsidRPr="005D599F">
              <w:rPr>
                <w:rFonts w:ascii="Arial" w:eastAsia="Times New Roman" w:hAnsi="Arial" w:cs="Arial"/>
                <w:color w:val="000000"/>
                <w:lang w:eastAsia="vi-VN"/>
              </w:rPr>
              <w:t>0.011</w:t>
            </w:r>
          </w:p>
        </w:tc>
      </w:tr>
      <w:tr w:rsidR="005D599F" w:rsidRPr="005D599F" w14:paraId="5582D260" w14:textId="77777777" w:rsidTr="005D599F">
        <w:trPr>
          <w:trHeight w:val="285"/>
        </w:trPr>
        <w:tc>
          <w:tcPr>
            <w:tcW w:w="1281" w:type="dxa"/>
            <w:tcBorders>
              <w:top w:val="nil"/>
              <w:left w:val="single" w:sz="4" w:space="0" w:color="auto"/>
              <w:bottom w:val="nil"/>
              <w:right w:val="single" w:sz="4" w:space="0" w:color="auto"/>
            </w:tcBorders>
            <w:shd w:val="clear" w:color="auto" w:fill="auto"/>
            <w:noWrap/>
            <w:vAlign w:val="bottom"/>
            <w:hideMark/>
          </w:tcPr>
          <w:p w14:paraId="5DC7454F" w14:textId="77777777" w:rsidR="005D599F" w:rsidRPr="005D599F" w:rsidRDefault="005D599F" w:rsidP="005D599F">
            <w:pPr>
              <w:spacing w:after="0" w:line="240" w:lineRule="auto"/>
              <w:rPr>
                <w:rFonts w:ascii="Arial" w:eastAsia="Times New Roman" w:hAnsi="Arial" w:cs="Arial"/>
                <w:color w:val="000000"/>
                <w:lang w:eastAsia="vi-VN"/>
              </w:rPr>
            </w:pPr>
            <w:r w:rsidRPr="005D599F">
              <w:rPr>
                <w:rFonts w:ascii="Arial" w:eastAsia="Times New Roman" w:hAnsi="Arial" w:cs="Arial"/>
                <w:color w:val="000000"/>
                <w:lang w:eastAsia="vi-VN"/>
              </w:rPr>
              <w:t>VAR</w:t>
            </w:r>
          </w:p>
        </w:tc>
        <w:tc>
          <w:tcPr>
            <w:tcW w:w="1167" w:type="dxa"/>
            <w:tcBorders>
              <w:top w:val="nil"/>
              <w:left w:val="nil"/>
              <w:bottom w:val="nil"/>
              <w:right w:val="single" w:sz="4" w:space="0" w:color="auto"/>
            </w:tcBorders>
            <w:shd w:val="clear" w:color="auto" w:fill="auto"/>
            <w:noWrap/>
            <w:vAlign w:val="bottom"/>
            <w:hideMark/>
          </w:tcPr>
          <w:p w14:paraId="40BAE25B" w14:textId="77777777" w:rsidR="005D599F" w:rsidRPr="005D599F" w:rsidRDefault="005D599F" w:rsidP="005D599F">
            <w:pPr>
              <w:spacing w:after="0" w:line="240" w:lineRule="auto"/>
              <w:jc w:val="center"/>
              <w:rPr>
                <w:rFonts w:ascii="Arial" w:eastAsia="Times New Roman" w:hAnsi="Arial" w:cs="Arial"/>
                <w:color w:val="000000"/>
                <w:lang w:eastAsia="vi-VN"/>
              </w:rPr>
            </w:pPr>
            <w:r w:rsidRPr="005D599F">
              <w:rPr>
                <w:rFonts w:ascii="Arial" w:eastAsia="Times New Roman" w:hAnsi="Arial" w:cs="Arial"/>
                <w:color w:val="000000"/>
                <w:lang w:eastAsia="vi-VN"/>
              </w:rPr>
              <w:t>0.1297</w:t>
            </w:r>
          </w:p>
        </w:tc>
        <w:tc>
          <w:tcPr>
            <w:tcW w:w="1810" w:type="dxa"/>
            <w:tcBorders>
              <w:top w:val="nil"/>
              <w:left w:val="nil"/>
              <w:bottom w:val="nil"/>
              <w:right w:val="single" w:sz="4" w:space="0" w:color="auto"/>
            </w:tcBorders>
            <w:shd w:val="clear" w:color="auto" w:fill="auto"/>
            <w:noWrap/>
            <w:vAlign w:val="bottom"/>
            <w:hideMark/>
          </w:tcPr>
          <w:p w14:paraId="5C8AA429" w14:textId="77777777" w:rsidR="005D599F" w:rsidRPr="005D599F" w:rsidRDefault="005D599F" w:rsidP="005D599F">
            <w:pPr>
              <w:spacing w:after="0" w:line="240" w:lineRule="auto"/>
              <w:jc w:val="center"/>
              <w:rPr>
                <w:rFonts w:ascii="Arial" w:eastAsia="Times New Roman" w:hAnsi="Arial" w:cs="Arial"/>
                <w:color w:val="000000"/>
                <w:lang w:eastAsia="vi-VN"/>
              </w:rPr>
            </w:pPr>
            <w:r w:rsidRPr="005D599F">
              <w:rPr>
                <w:rFonts w:ascii="Arial" w:eastAsia="Times New Roman" w:hAnsi="Arial" w:cs="Arial"/>
                <w:color w:val="000000"/>
                <w:lang w:eastAsia="vi-VN"/>
              </w:rPr>
              <w:t>0.0028</w:t>
            </w:r>
          </w:p>
        </w:tc>
        <w:tc>
          <w:tcPr>
            <w:tcW w:w="1167" w:type="dxa"/>
            <w:tcBorders>
              <w:top w:val="nil"/>
              <w:left w:val="nil"/>
              <w:bottom w:val="nil"/>
              <w:right w:val="single" w:sz="4" w:space="0" w:color="auto"/>
            </w:tcBorders>
            <w:shd w:val="clear" w:color="auto" w:fill="auto"/>
            <w:noWrap/>
            <w:vAlign w:val="bottom"/>
            <w:hideMark/>
          </w:tcPr>
          <w:p w14:paraId="4DC89056" w14:textId="77777777" w:rsidR="005D599F" w:rsidRPr="005D599F" w:rsidRDefault="005D599F" w:rsidP="005D599F">
            <w:pPr>
              <w:spacing w:after="0" w:line="240" w:lineRule="auto"/>
              <w:jc w:val="right"/>
              <w:rPr>
                <w:rFonts w:ascii="Arial" w:eastAsia="Times New Roman" w:hAnsi="Arial" w:cs="Arial"/>
                <w:color w:val="000000"/>
                <w:lang w:eastAsia="vi-VN"/>
              </w:rPr>
            </w:pPr>
            <w:r w:rsidRPr="005D599F">
              <w:rPr>
                <w:rFonts w:ascii="Arial" w:eastAsia="Times New Roman" w:hAnsi="Arial" w:cs="Arial"/>
                <w:color w:val="000000"/>
                <w:lang w:eastAsia="vi-VN"/>
              </w:rPr>
              <w:t>0.143</w:t>
            </w:r>
          </w:p>
        </w:tc>
        <w:tc>
          <w:tcPr>
            <w:tcW w:w="1526" w:type="dxa"/>
            <w:tcBorders>
              <w:top w:val="nil"/>
              <w:left w:val="nil"/>
              <w:bottom w:val="nil"/>
              <w:right w:val="single" w:sz="4" w:space="0" w:color="auto"/>
            </w:tcBorders>
            <w:shd w:val="clear" w:color="auto" w:fill="auto"/>
            <w:noWrap/>
            <w:vAlign w:val="bottom"/>
            <w:hideMark/>
          </w:tcPr>
          <w:p w14:paraId="22560C1C" w14:textId="77777777" w:rsidR="005D599F" w:rsidRPr="005D599F" w:rsidRDefault="005D599F" w:rsidP="005D599F">
            <w:pPr>
              <w:spacing w:after="0" w:line="240" w:lineRule="auto"/>
              <w:jc w:val="right"/>
              <w:rPr>
                <w:rFonts w:ascii="Arial" w:eastAsia="Times New Roman" w:hAnsi="Arial" w:cs="Arial"/>
                <w:color w:val="000000"/>
                <w:lang w:eastAsia="vi-VN"/>
              </w:rPr>
            </w:pPr>
            <w:r w:rsidRPr="005D599F">
              <w:rPr>
                <w:rFonts w:ascii="Arial" w:eastAsia="Times New Roman" w:hAnsi="Arial" w:cs="Arial"/>
                <w:color w:val="000000"/>
                <w:lang w:eastAsia="vi-VN"/>
              </w:rPr>
              <w:t>0.001</w:t>
            </w:r>
          </w:p>
        </w:tc>
        <w:tc>
          <w:tcPr>
            <w:tcW w:w="1167" w:type="dxa"/>
            <w:tcBorders>
              <w:top w:val="nil"/>
              <w:left w:val="nil"/>
              <w:bottom w:val="single" w:sz="4" w:space="0" w:color="auto"/>
              <w:right w:val="single" w:sz="4" w:space="0" w:color="auto"/>
            </w:tcBorders>
            <w:shd w:val="clear" w:color="auto" w:fill="auto"/>
            <w:noWrap/>
            <w:vAlign w:val="bottom"/>
            <w:hideMark/>
          </w:tcPr>
          <w:p w14:paraId="5A1B51FB" w14:textId="77777777" w:rsidR="005D599F" w:rsidRPr="005D599F" w:rsidRDefault="005D599F" w:rsidP="005D599F">
            <w:pPr>
              <w:spacing w:after="0" w:line="240" w:lineRule="auto"/>
              <w:jc w:val="right"/>
              <w:rPr>
                <w:rFonts w:ascii="Arial" w:eastAsia="Times New Roman" w:hAnsi="Arial" w:cs="Arial"/>
                <w:color w:val="000000"/>
                <w:lang w:eastAsia="vi-VN"/>
              </w:rPr>
            </w:pPr>
            <w:r w:rsidRPr="005D599F">
              <w:rPr>
                <w:rFonts w:ascii="Arial" w:eastAsia="Times New Roman" w:hAnsi="Arial" w:cs="Arial"/>
                <w:color w:val="000000"/>
                <w:lang w:eastAsia="vi-VN"/>
              </w:rPr>
              <w:t>0.014</w:t>
            </w:r>
          </w:p>
        </w:tc>
        <w:tc>
          <w:tcPr>
            <w:tcW w:w="1527" w:type="dxa"/>
            <w:tcBorders>
              <w:top w:val="nil"/>
              <w:left w:val="nil"/>
              <w:bottom w:val="single" w:sz="4" w:space="0" w:color="auto"/>
              <w:right w:val="single" w:sz="4" w:space="0" w:color="auto"/>
            </w:tcBorders>
            <w:shd w:val="clear" w:color="auto" w:fill="auto"/>
            <w:noWrap/>
            <w:vAlign w:val="bottom"/>
            <w:hideMark/>
          </w:tcPr>
          <w:p w14:paraId="6524F2C8" w14:textId="77777777" w:rsidR="005D599F" w:rsidRPr="005D599F" w:rsidRDefault="005D599F" w:rsidP="005D599F">
            <w:pPr>
              <w:spacing w:after="0" w:line="240" w:lineRule="auto"/>
              <w:jc w:val="right"/>
              <w:rPr>
                <w:rFonts w:ascii="Arial" w:eastAsia="Times New Roman" w:hAnsi="Arial" w:cs="Arial"/>
                <w:color w:val="000000"/>
                <w:lang w:eastAsia="vi-VN"/>
              </w:rPr>
            </w:pPr>
            <w:r w:rsidRPr="005D599F">
              <w:rPr>
                <w:rFonts w:ascii="Arial" w:eastAsia="Times New Roman" w:hAnsi="Arial" w:cs="Arial"/>
                <w:color w:val="000000"/>
                <w:lang w:eastAsia="vi-VN"/>
              </w:rPr>
              <w:t>-0.002</w:t>
            </w:r>
          </w:p>
        </w:tc>
      </w:tr>
      <w:tr w:rsidR="005D599F" w:rsidRPr="005D599F" w14:paraId="64B617A9" w14:textId="77777777" w:rsidTr="005D599F">
        <w:trPr>
          <w:trHeight w:val="285"/>
        </w:trPr>
        <w:tc>
          <w:tcPr>
            <w:tcW w:w="964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D800C" w14:textId="77777777" w:rsidR="005D599F" w:rsidRPr="005D599F" w:rsidRDefault="005D599F" w:rsidP="005D599F">
            <w:pPr>
              <w:spacing w:after="0" w:line="240" w:lineRule="auto"/>
              <w:jc w:val="center"/>
              <w:rPr>
                <w:rFonts w:ascii="Arial" w:eastAsia="Times New Roman" w:hAnsi="Arial" w:cs="Arial"/>
                <w:color w:val="000000"/>
                <w:lang w:eastAsia="vi-VN"/>
              </w:rPr>
            </w:pPr>
            <w:r w:rsidRPr="005D599F">
              <w:rPr>
                <w:rFonts w:ascii="Arial" w:eastAsia="Times New Roman" w:hAnsi="Arial" w:cs="Arial"/>
                <w:color w:val="000000"/>
                <w:lang w:eastAsia="vi-VN"/>
              </w:rPr>
              <w:t>Note: Sample size : 9</w:t>
            </w:r>
          </w:p>
        </w:tc>
      </w:tr>
    </w:tbl>
    <w:p w14:paraId="38B69D4A" w14:textId="77777777" w:rsidR="00017C08" w:rsidRDefault="00017C08" w:rsidP="00FD6EAD">
      <w:pPr>
        <w:pStyle w:val="ListParagraph"/>
        <w:rPr>
          <w:lang w:val="en-US"/>
        </w:rPr>
      </w:pPr>
    </w:p>
    <w:p w14:paraId="50BCF321" w14:textId="77777777" w:rsidR="00017C08" w:rsidRDefault="00017C08" w:rsidP="00FD6EAD">
      <w:pPr>
        <w:pStyle w:val="ListParagraph"/>
        <w:rPr>
          <w:lang w:val="en-US"/>
        </w:rPr>
      </w:pPr>
      <w:r>
        <w:rPr>
          <w:lang w:val="en-US"/>
        </w:rPr>
        <w:t>Based on the above calculation result table, we analyze data as follows:</w:t>
      </w:r>
    </w:p>
    <w:p w14:paraId="7BC80B42" w14:textId="77777777" w:rsidR="004258DB" w:rsidRDefault="004258DB" w:rsidP="00FD6EAD">
      <w:pPr>
        <w:pStyle w:val="ListParagraph"/>
        <w:rPr>
          <w:lang w:val="en-US"/>
        </w:rPr>
      </w:pPr>
      <w:r>
        <w:rPr>
          <w:lang w:val="en-US"/>
        </w:rPr>
        <w:t>Firstly,</w:t>
      </w:r>
      <w:r w:rsidR="00FE075E">
        <w:rPr>
          <w:lang w:val="en-US"/>
        </w:rPr>
        <w:t xml:space="preserve"> we see in the table 1 that more banks (5 over 9 banks) have equity beta values lower (&lt;) than 1, which means risk level acceptable. </w:t>
      </w:r>
    </w:p>
    <w:p w14:paraId="4464CDC0" w14:textId="77777777" w:rsidR="004258DB" w:rsidRDefault="004258DB" w:rsidP="00FD6EAD">
      <w:pPr>
        <w:pStyle w:val="ListParagraph"/>
        <w:rPr>
          <w:lang w:val="en-US"/>
        </w:rPr>
      </w:pPr>
      <w:r>
        <w:rPr>
          <w:lang w:val="en-US"/>
        </w:rPr>
        <w:t xml:space="preserve">And table 2 </w:t>
      </w:r>
      <w:r w:rsidR="00593380">
        <w:rPr>
          <w:lang w:val="en-US"/>
        </w:rPr>
        <w:t xml:space="preserve">provides evidence for us to see that equity beta mean of the sample is 1.034, just little higher than (&gt;) 1. It is acceptable. </w:t>
      </w:r>
    </w:p>
    <w:p w14:paraId="6A361271" w14:textId="77777777" w:rsidR="00DC698A" w:rsidRDefault="00DC698A" w:rsidP="00FD6EAD">
      <w:pPr>
        <w:pStyle w:val="ListParagraph"/>
        <w:rPr>
          <w:lang w:val="en-US"/>
        </w:rPr>
      </w:pPr>
      <w:r>
        <w:rPr>
          <w:lang w:val="en-US"/>
        </w:rPr>
        <w:t xml:space="preserve">Then, looking at the table 3, we recognize that there are up to 4 banks with equity beta values &gt; 1 </w:t>
      </w:r>
      <w:r w:rsidR="00F90B8B">
        <w:rPr>
          <w:lang w:val="en-US"/>
        </w:rPr>
        <w:t xml:space="preserve">9CTG, STB, VCB, BIDV) </w:t>
      </w:r>
      <w:r>
        <w:rPr>
          <w:lang w:val="en-US"/>
        </w:rPr>
        <w:t xml:space="preserve">in the post-low inflation period 2015-17, compared to only </w:t>
      </w:r>
      <w:r w:rsidR="00F90B8B">
        <w:rPr>
          <w:lang w:val="en-US"/>
        </w:rPr>
        <w:t>1</w:t>
      </w:r>
      <w:r>
        <w:rPr>
          <w:lang w:val="en-US"/>
        </w:rPr>
        <w:t xml:space="preserve"> bank</w:t>
      </w:r>
      <w:r w:rsidR="00F90B8B">
        <w:rPr>
          <w:lang w:val="en-US"/>
        </w:rPr>
        <w:t xml:space="preserve"> (SHB)</w:t>
      </w:r>
      <w:r>
        <w:rPr>
          <w:lang w:val="en-US"/>
        </w:rPr>
        <w:t xml:space="preserve"> with equity beta values &gt; 1 in the financial crisis 2007-2009.</w:t>
      </w:r>
    </w:p>
    <w:p w14:paraId="376E7522" w14:textId="77777777" w:rsidR="00017C08" w:rsidRDefault="00321849" w:rsidP="00FD6EAD">
      <w:pPr>
        <w:pStyle w:val="ListParagraph"/>
        <w:rPr>
          <w:lang w:val="en-US"/>
        </w:rPr>
      </w:pPr>
      <w:r>
        <w:rPr>
          <w:lang w:val="en-US"/>
        </w:rPr>
        <w:t>Next, table 4 shows that most of the equity and asset beta values in the post- low inflation period are higher (&gt;) than those in the financial crisis 2007-2009.</w:t>
      </w:r>
      <w:r w:rsidR="00D91525">
        <w:rPr>
          <w:lang w:val="en-US"/>
        </w:rPr>
        <w:t xml:space="preserve"> Esp. the figures represent the risk level of all state-owned banks (now becoming JSCs: BID, VCB and CTG) higher during the post-low inflation period, whereas risk level of some commercial banks (ACB, SHB, EIB) are lower during the post-low inflation time.</w:t>
      </w:r>
    </w:p>
    <w:p w14:paraId="23906B66" w14:textId="77777777" w:rsidR="00307BE1" w:rsidRDefault="00307BE1" w:rsidP="00FD6EAD">
      <w:pPr>
        <w:pStyle w:val="ListParagraph"/>
        <w:rPr>
          <w:lang w:val="en-US"/>
        </w:rPr>
      </w:pPr>
      <w:r>
        <w:rPr>
          <w:lang w:val="en-US"/>
        </w:rPr>
        <w:t>Furthermore, table 5 tells us all statistics of equity beta in the post-inflation period 2015-2017 are higher (&gt;) than those in the financial crisis 2007-2009, whereas asset beta max and asset beta var are slower (&lt;) than those in the financial crisis 2007-2009.</w:t>
      </w:r>
    </w:p>
    <w:p w14:paraId="7674FDEB" w14:textId="77777777" w:rsidR="00017C08" w:rsidRDefault="00017C08" w:rsidP="00FD6EAD">
      <w:pPr>
        <w:pStyle w:val="ListParagraph"/>
        <w:rPr>
          <w:lang w:val="en-US"/>
        </w:rPr>
      </w:pPr>
      <w:r>
        <w:rPr>
          <w:lang w:val="en-US"/>
        </w:rPr>
        <w:t>In addition to, looking at the below chart 1- , we can find out</w:t>
      </w:r>
      <w:r w:rsidR="00F141AE">
        <w:rPr>
          <w:lang w:val="en-US"/>
        </w:rPr>
        <w:t>:</w:t>
      </w:r>
    </w:p>
    <w:p w14:paraId="013E26B9" w14:textId="77777777" w:rsidR="001E4705" w:rsidRDefault="00307BE1" w:rsidP="00FD6EAD">
      <w:pPr>
        <w:pStyle w:val="ListParagraph"/>
        <w:rPr>
          <w:lang w:val="en-US"/>
        </w:rPr>
      </w:pPr>
      <w:r>
        <w:rPr>
          <w:lang w:val="en-US"/>
        </w:rPr>
        <w:lastRenderedPageBreak/>
        <w:t>Values of equity beta max and equity beta mean in the post-low inflation 2015-2017 are much higher (&gt;) than those in the crisis 2007-2009 while asset beta max and asset beta mean are just little higher (&gt;) than those in the financial crisis 2007-2009.</w:t>
      </w:r>
      <w:r w:rsidR="003E58DC">
        <w:rPr>
          <w:lang w:val="en-US"/>
        </w:rPr>
        <w:t xml:space="preserve"> It means that the level of risk in the post – low inflation period 2015-17 is hi</w:t>
      </w:r>
      <w:r w:rsidR="00572DD1">
        <w:rPr>
          <w:lang w:val="en-US"/>
        </w:rPr>
        <w:t>gher in general and in average. Although the fluctuation in risk level measured by asset beta var is lower during the post-low inflation time.</w:t>
      </w:r>
    </w:p>
    <w:p w14:paraId="48602E8B" w14:textId="77777777" w:rsidR="001E4705" w:rsidRDefault="001E4705" w:rsidP="00FD6EAD">
      <w:pPr>
        <w:pStyle w:val="ListParagraph"/>
        <w:rPr>
          <w:lang w:val="en-US"/>
        </w:rPr>
      </w:pPr>
    </w:p>
    <w:p w14:paraId="2CE67233" w14:textId="77777777" w:rsidR="001E4705" w:rsidRDefault="001E4705" w:rsidP="00FD6EAD">
      <w:pPr>
        <w:pStyle w:val="ListParagraph"/>
        <w:rPr>
          <w:lang w:val="en-US"/>
        </w:rPr>
      </w:pPr>
      <w:r>
        <w:rPr>
          <w:lang w:val="en-US"/>
        </w:rPr>
        <w:t>Chart 1 – Statistics of Market risk (beta) in VN banking industry in the post – low inflation period 2015-2017 compared to the financial crisis 2007-2009</w:t>
      </w:r>
    </w:p>
    <w:p w14:paraId="1FB7DC74" w14:textId="77777777" w:rsidR="001E4705" w:rsidRDefault="001E4705" w:rsidP="00FD6EAD">
      <w:pPr>
        <w:pStyle w:val="ListParagraph"/>
        <w:rPr>
          <w:lang w:val="en-US"/>
        </w:rPr>
      </w:pPr>
    </w:p>
    <w:p w14:paraId="6B912461" w14:textId="77777777" w:rsidR="001E4705" w:rsidRDefault="001E4705" w:rsidP="00FD6EAD">
      <w:pPr>
        <w:pStyle w:val="ListParagraph"/>
        <w:rPr>
          <w:lang w:val="en-US"/>
        </w:rPr>
      </w:pPr>
      <w:r w:rsidRPr="001E4705">
        <w:rPr>
          <w:noProof/>
          <w:lang w:eastAsia="vi-VN"/>
        </w:rPr>
        <w:drawing>
          <wp:inline distT="0" distB="0" distL="0" distR="0" wp14:anchorId="71157424" wp14:editId="5F1584A2">
            <wp:extent cx="5324475" cy="3362325"/>
            <wp:effectExtent l="19050" t="0" r="9525"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A2DA010" w14:textId="77777777" w:rsidR="001E4705" w:rsidRDefault="001E4705" w:rsidP="00FD6EAD">
      <w:pPr>
        <w:pStyle w:val="ListParagraph"/>
        <w:rPr>
          <w:lang w:val="en-US"/>
        </w:rPr>
      </w:pPr>
    </w:p>
    <w:p w14:paraId="0362655A" w14:textId="77777777" w:rsidR="00B20104" w:rsidRPr="00B20104" w:rsidRDefault="00B20104" w:rsidP="00B20104">
      <w:pPr>
        <w:autoSpaceDE w:val="0"/>
        <w:autoSpaceDN w:val="0"/>
        <w:spacing w:after="120"/>
        <w:ind w:right="-1151"/>
        <w:rPr>
          <w:b/>
          <w:bCs/>
          <w:lang w:val="en-US"/>
        </w:rPr>
      </w:pPr>
      <w:r>
        <w:rPr>
          <w:b/>
          <w:bCs/>
        </w:rPr>
        <w:t>4</w:t>
      </w:r>
      <w:r w:rsidRPr="000312E7">
        <w:rPr>
          <w:b/>
          <w:bCs/>
        </w:rPr>
        <w:t xml:space="preserve">. </w:t>
      </w:r>
      <w:r>
        <w:rPr>
          <w:b/>
          <w:bCs/>
          <w:lang w:val="en-US"/>
        </w:rPr>
        <w:t>Discussion</w:t>
      </w:r>
      <w:r w:rsidR="001D7EF9">
        <w:rPr>
          <w:b/>
          <w:bCs/>
          <w:lang w:val="en-US"/>
        </w:rPr>
        <w:t xml:space="preserve"> for further researches</w:t>
      </w:r>
    </w:p>
    <w:p w14:paraId="70D6D182" w14:textId="77777777" w:rsidR="00B20104" w:rsidRPr="001D7EF9" w:rsidRDefault="001D7EF9" w:rsidP="00B20104">
      <w:pPr>
        <w:spacing w:line="240" w:lineRule="auto"/>
        <w:ind w:right="-120"/>
        <w:rPr>
          <w:lang w:val="en-US"/>
        </w:rPr>
      </w:pPr>
      <w:r>
        <w:rPr>
          <w:lang w:val="en-US"/>
        </w:rPr>
        <w:t>We can continue to analyze risk factors behind the risk scene (risk increasing as above analysis) in order to recommend suitable policies and plans to control market risk better.</w:t>
      </w:r>
    </w:p>
    <w:p w14:paraId="7C3061AF" w14:textId="77777777" w:rsidR="00FD6EAD" w:rsidRPr="000312E7" w:rsidRDefault="00B20104" w:rsidP="00FD6EAD">
      <w:pPr>
        <w:autoSpaceDE w:val="0"/>
        <w:autoSpaceDN w:val="0"/>
        <w:spacing w:after="120"/>
        <w:ind w:right="-1151"/>
        <w:rPr>
          <w:b/>
          <w:bCs/>
        </w:rPr>
      </w:pPr>
      <w:r>
        <w:rPr>
          <w:b/>
          <w:bCs/>
          <w:lang w:val="en-US"/>
        </w:rPr>
        <w:t>5</w:t>
      </w:r>
      <w:r w:rsidR="00FD6EAD" w:rsidRPr="000312E7">
        <w:rPr>
          <w:b/>
          <w:bCs/>
        </w:rPr>
        <w:t>. Conclusion and Policy suggestion</w:t>
      </w:r>
    </w:p>
    <w:p w14:paraId="67206158" w14:textId="77777777" w:rsidR="00FD6EAD" w:rsidRDefault="00FD6EAD" w:rsidP="00FD6EAD">
      <w:pPr>
        <w:spacing w:line="240" w:lineRule="auto"/>
        <w:ind w:right="-120"/>
        <w:rPr>
          <w:lang w:val="en-US"/>
        </w:rPr>
      </w:pPr>
      <w:r w:rsidRPr="000312E7">
        <w:t xml:space="preserve">In general, </w:t>
      </w:r>
      <w:r>
        <w:t xml:space="preserve">bank system in Vietnam has been contributing significantly to the economic development and GDP growth rate of more than 6-7% in recent years. </w:t>
      </w:r>
      <w:r>
        <w:rPr>
          <w:lang w:val="en-US"/>
        </w:rPr>
        <w:t xml:space="preserve"> </w:t>
      </w:r>
      <w:r w:rsidR="00250223">
        <w:rPr>
          <w:lang w:val="en-US"/>
        </w:rPr>
        <w:t xml:space="preserve">The above analysis </w:t>
      </w:r>
      <w:proofErr w:type="gramStart"/>
      <w:r w:rsidR="00250223">
        <w:rPr>
          <w:lang w:val="en-US"/>
        </w:rPr>
        <w:t>show</w:t>
      </w:r>
      <w:proofErr w:type="gramEnd"/>
      <w:r w:rsidR="004713FE">
        <w:rPr>
          <w:lang w:val="en-US"/>
        </w:rPr>
        <w:t xml:space="preserve"> us</w:t>
      </w:r>
      <w:r w:rsidR="00250223">
        <w:rPr>
          <w:lang w:val="en-US"/>
        </w:rPr>
        <w:t xml:space="preserve"> that</w:t>
      </w:r>
      <w:r w:rsidR="009F3581">
        <w:rPr>
          <w:lang w:val="en-US"/>
        </w:rPr>
        <w:t xml:space="preserve"> most of risk measures (equity beta max, mean and var) are increasing during the post-low inflation period</w:t>
      </w:r>
      <w:r w:rsidR="004C55E8">
        <w:rPr>
          <w:lang w:val="en-US"/>
        </w:rPr>
        <w:t>. Banks and bank system in Vietnam need to continue increase their corporate governance system, structure and mechanisms, as well as their competitive advantage</w:t>
      </w:r>
      <w:r w:rsidR="00A31CA6">
        <w:rPr>
          <w:lang w:val="en-US"/>
        </w:rPr>
        <w:t xml:space="preserve"> to control risk better</w:t>
      </w:r>
      <w:r w:rsidR="004C55E8">
        <w:rPr>
          <w:lang w:val="en-US"/>
        </w:rPr>
        <w:t xml:space="preserve">. </w:t>
      </w:r>
    </w:p>
    <w:p w14:paraId="60436706" w14:textId="0994AAC2" w:rsidR="00887672" w:rsidRDefault="00887672" w:rsidP="00FD6EAD">
      <w:pPr>
        <w:spacing w:line="240" w:lineRule="auto"/>
        <w:ind w:right="-120"/>
        <w:rPr>
          <w:lang w:val="en-US"/>
        </w:rPr>
      </w:pPr>
      <w:r>
        <w:rPr>
          <w:lang w:val="en-US"/>
        </w:rPr>
        <w:t>This research paper provide</w:t>
      </w:r>
      <w:r w:rsidR="00617650">
        <w:rPr>
          <w:lang w:val="en-US"/>
        </w:rPr>
        <w:t>s</w:t>
      </w:r>
      <w:r>
        <w:rPr>
          <w:lang w:val="en-US"/>
        </w:rPr>
        <w:t xml:space="preserve"> evidence that</w:t>
      </w:r>
      <w:r w:rsidR="00014C48">
        <w:rPr>
          <w:lang w:val="en-US"/>
        </w:rPr>
        <w:t xml:space="preserve"> the</w:t>
      </w:r>
      <w:r w:rsidR="00317B89">
        <w:rPr>
          <w:lang w:val="en-US"/>
        </w:rPr>
        <w:t xml:space="preserve"> market</w:t>
      </w:r>
      <w:r w:rsidR="00014C48">
        <w:rPr>
          <w:lang w:val="en-US"/>
        </w:rPr>
        <w:t xml:space="preserve"> risk potential might be higher in 2015-2017 </w:t>
      </w:r>
      <w:r w:rsidR="00D60C07">
        <w:rPr>
          <w:lang w:val="en-US"/>
        </w:rPr>
        <w:t xml:space="preserve">post-low inflation </w:t>
      </w:r>
      <w:r w:rsidR="00014C48">
        <w:rPr>
          <w:lang w:val="en-US"/>
        </w:rPr>
        <w:t>period</w:t>
      </w:r>
      <w:r w:rsidR="000F4FCF">
        <w:rPr>
          <w:lang w:val="en-US"/>
        </w:rPr>
        <w:t xml:space="preserve"> (looking again chart 1 – equity beta mean values)</w:t>
      </w:r>
      <w:r w:rsidR="00014C48">
        <w:rPr>
          <w:lang w:val="en-US"/>
        </w:rPr>
        <w:t>, while t</w:t>
      </w:r>
      <w:r w:rsidR="00A11B1F">
        <w:rPr>
          <w:lang w:val="en-US"/>
        </w:rPr>
        <w:t>he Exhibit 3</w:t>
      </w:r>
      <w:r>
        <w:rPr>
          <w:lang w:val="en-US"/>
        </w:rPr>
        <w:t xml:space="preserve"> also suggests that</w:t>
      </w:r>
      <w:r w:rsidR="00A11B1F">
        <w:rPr>
          <w:lang w:val="en-US"/>
        </w:rPr>
        <w:t xml:space="preserve"> the credit growth rate increased in 2016 and slightly decrease in later years (2017-2018)</w:t>
      </w:r>
      <w:r w:rsidR="00014C48">
        <w:rPr>
          <w:lang w:val="en-US"/>
        </w:rPr>
        <w:t xml:space="preserve">. </w:t>
      </w:r>
      <w:r w:rsidR="005B6F76">
        <w:rPr>
          <w:lang w:val="en-US"/>
        </w:rPr>
        <w:t>It means that the local economy is trying to control credit growth reasonably</w:t>
      </w:r>
      <w:r w:rsidR="002F65DF">
        <w:rPr>
          <w:lang w:val="en-US"/>
        </w:rPr>
        <w:t>, however we need to analyze risk factors more carefully to reduce more market risk</w:t>
      </w:r>
      <w:r w:rsidR="005B6F76">
        <w:rPr>
          <w:lang w:val="en-US"/>
        </w:rPr>
        <w:t xml:space="preserve">. </w:t>
      </w:r>
    </w:p>
    <w:p w14:paraId="4989D0CE" w14:textId="2170C824" w:rsidR="00357012" w:rsidRPr="00BF7474" w:rsidRDefault="00357012" w:rsidP="00357012">
      <w:pPr>
        <w:spacing w:line="240" w:lineRule="auto"/>
        <w:ind w:right="-120"/>
        <w:rPr>
          <w:rFonts w:cs="Calibri"/>
          <w:color w:val="000000"/>
          <w:lang w:val="en-US" w:bidi="th-TH"/>
        </w:rPr>
      </w:pPr>
      <w:r>
        <w:rPr>
          <w:lang w:val="en-US"/>
        </w:rPr>
        <w:lastRenderedPageBreak/>
        <w:t xml:space="preserve">Looking at the above chart 1, the result </w:t>
      </w:r>
      <w:r>
        <w:rPr>
          <w:lang w:val="en-US"/>
        </w:rPr>
        <w:t>supports</w:t>
      </w:r>
      <w:r>
        <w:rPr>
          <w:lang w:val="en-US"/>
        </w:rPr>
        <w:t xml:space="preserve"> the hypothesis </w:t>
      </w:r>
      <w:r>
        <w:rPr>
          <w:lang w:val="en-US"/>
        </w:rPr>
        <w:t>3</w:t>
      </w:r>
      <w:r>
        <w:rPr>
          <w:lang w:val="en-US"/>
        </w:rPr>
        <w:t xml:space="preserve"> mentioning that </w:t>
      </w:r>
      <w:r w:rsidRPr="004571F0">
        <w:rPr>
          <w:rFonts w:cs="Calibri"/>
          <w:color w:val="000000"/>
          <w:lang w:bidi="th-TH"/>
        </w:rPr>
        <w:t xml:space="preserve">the mean of equity and asset beta values of these listed </w:t>
      </w:r>
      <w:r>
        <w:rPr>
          <w:rFonts w:cs="Calibri"/>
          <w:color w:val="000000"/>
          <w:lang w:val="en-US" w:bidi="th-TH"/>
        </w:rPr>
        <w:t>banks</w:t>
      </w:r>
      <w:r w:rsidRPr="004571F0">
        <w:rPr>
          <w:rFonts w:cs="Calibri"/>
          <w:color w:val="000000"/>
          <w:lang w:bidi="th-TH"/>
        </w:rPr>
        <w:t xml:space="preserve"> tend to impose a </w:t>
      </w:r>
      <w:r>
        <w:rPr>
          <w:rFonts w:cs="Calibri"/>
          <w:color w:val="000000"/>
          <w:lang w:val="en-US" w:bidi="th-TH"/>
        </w:rPr>
        <w:t xml:space="preserve">little </w:t>
      </w:r>
      <w:proofErr w:type="gramStart"/>
      <w:r w:rsidRPr="004571F0">
        <w:rPr>
          <w:rFonts w:cs="Calibri"/>
          <w:color w:val="000000"/>
          <w:lang w:bidi="th-TH"/>
        </w:rPr>
        <w:t>high risk</w:t>
      </w:r>
      <w:proofErr w:type="gramEnd"/>
      <w:r w:rsidRPr="004571F0">
        <w:rPr>
          <w:rFonts w:cs="Calibri"/>
          <w:color w:val="000000"/>
          <w:lang w:bidi="th-TH"/>
        </w:rPr>
        <w:t xml:space="preserve"> level, i.e., beta should higher than (&gt;) 1</w:t>
      </w:r>
      <w:r>
        <w:rPr>
          <w:rFonts w:cs="Calibri"/>
          <w:color w:val="000000"/>
          <w:lang w:val="en-US" w:bidi="th-TH"/>
        </w:rPr>
        <w:t>. Because the equity beta mean is lower in the financial crisis period, it also rejects the hypothesis 1 saying that comparing two (2) periods, during</w:t>
      </w:r>
      <w:r w:rsidRPr="00EA1CE8">
        <w:rPr>
          <w:rFonts w:cs="Calibri"/>
          <w:color w:val="000000"/>
          <w:lang w:bidi="th-TH"/>
        </w:rPr>
        <w:t xml:space="preserve"> the financial crisis impact, the beta or risk level of listed companies in </w:t>
      </w:r>
      <w:r>
        <w:rPr>
          <w:rFonts w:cs="Calibri"/>
          <w:color w:val="000000"/>
          <w:lang w:val="en-US" w:bidi="th-TH"/>
        </w:rPr>
        <w:t>banking</w:t>
      </w:r>
      <w:r>
        <w:rPr>
          <w:rFonts w:cs="Calibri"/>
          <w:color w:val="000000"/>
          <w:lang w:val="en-US" w:bidi="th-TH"/>
        </w:rPr>
        <w:t xml:space="preserve"> industry</w:t>
      </w:r>
      <w:r w:rsidRPr="00EA1CE8">
        <w:rPr>
          <w:rFonts w:cs="Calibri"/>
          <w:color w:val="000000"/>
          <w:lang w:bidi="th-TH"/>
        </w:rPr>
        <w:t xml:space="preserve"> will relatively higher than those in the </w:t>
      </w:r>
      <w:r>
        <w:rPr>
          <w:rFonts w:cs="Calibri"/>
          <w:color w:val="000000"/>
          <w:lang w:val="en-US" w:bidi="th-TH"/>
        </w:rPr>
        <w:t>post-low inflation environment</w:t>
      </w:r>
      <w:r w:rsidRPr="00EA1CE8">
        <w:rPr>
          <w:rFonts w:cs="Calibri"/>
          <w:color w:val="000000"/>
          <w:lang w:bidi="th-TH"/>
        </w:rPr>
        <w:t>.</w:t>
      </w:r>
      <w:r>
        <w:rPr>
          <w:rFonts w:cs="Calibri"/>
          <w:color w:val="000000"/>
          <w:lang w:val="en-US" w:bidi="th-TH"/>
        </w:rPr>
        <w:t xml:space="preserve"> Additionally, the above result rejects the hypothesis 2 stating that b</w:t>
      </w:r>
      <w:r w:rsidRPr="00EA1CE8">
        <w:rPr>
          <w:rFonts w:cs="Calibri"/>
          <w:color w:val="000000"/>
          <w:lang w:bidi="th-TH"/>
        </w:rPr>
        <w:t xml:space="preserve">ecause Viet Nam is an emerging and immature financial market and the stock market still in the recovering stage, there will be a large disperse distribution in beta values estimated in the </w:t>
      </w:r>
      <w:r>
        <w:rPr>
          <w:rFonts w:cs="Calibri"/>
          <w:color w:val="000000"/>
          <w:lang w:val="en-US" w:bidi="th-TH"/>
        </w:rPr>
        <w:t>insurance industry</w:t>
      </w:r>
      <w:r w:rsidRPr="00EA1CE8">
        <w:rPr>
          <w:rFonts w:cs="Calibri"/>
          <w:color w:val="000000"/>
          <w:lang w:bidi="th-TH"/>
        </w:rPr>
        <w:t>.</w:t>
      </w:r>
    </w:p>
    <w:p w14:paraId="14D44D44" w14:textId="77777777" w:rsidR="00413DC9" w:rsidRDefault="00756C3A" w:rsidP="00FD6EAD">
      <w:pPr>
        <w:spacing w:line="240" w:lineRule="auto"/>
        <w:ind w:right="-120"/>
        <w:rPr>
          <w:lang w:val="en-US"/>
        </w:rPr>
      </w:pPr>
      <w:r>
        <w:rPr>
          <w:lang w:val="en-US"/>
        </w:rPr>
        <w:t>Last but not least, a</w:t>
      </w:r>
      <w:r w:rsidR="00413DC9">
        <w:rPr>
          <w:lang w:val="en-US"/>
        </w:rPr>
        <w:t xml:space="preserve">s it generates the warning that the risk level might be higher in the post-low inflation period, the government and relevant bodies such as Ministry of Finance and State Bank of Vietnam </w:t>
      </w:r>
      <w:r w:rsidR="001A6EB9">
        <w:rPr>
          <w:lang w:val="en-US"/>
        </w:rPr>
        <w:t>need to consider proper policies</w:t>
      </w:r>
      <w:r w:rsidR="00272B55">
        <w:rPr>
          <w:lang w:val="en-US"/>
        </w:rPr>
        <w:t xml:space="preserve"> (including a combination of fiscal, monetary</w:t>
      </w:r>
      <w:r w:rsidR="009A27AF">
        <w:rPr>
          <w:lang w:val="en-US"/>
        </w:rPr>
        <w:t>, exchange rate</w:t>
      </w:r>
      <w:r w:rsidR="00272B55">
        <w:rPr>
          <w:lang w:val="en-US"/>
        </w:rPr>
        <w:t xml:space="preserve"> and price control policies)</w:t>
      </w:r>
      <w:r w:rsidR="001A6EB9">
        <w:rPr>
          <w:lang w:val="en-US"/>
        </w:rPr>
        <w:t xml:space="preserve"> aiming to reduce the risk a</w:t>
      </w:r>
      <w:r w:rsidR="008530AC">
        <w:rPr>
          <w:lang w:val="en-US"/>
        </w:rPr>
        <w:t xml:space="preserve">nd hence, help the bank system </w:t>
      </w:r>
      <w:r w:rsidR="009C63E3">
        <w:rPr>
          <w:lang w:val="en-US"/>
        </w:rPr>
        <w:t>as well as</w:t>
      </w:r>
      <w:r w:rsidR="001A6EB9">
        <w:rPr>
          <w:lang w:val="en-US"/>
        </w:rPr>
        <w:t xml:space="preserve"> the whole economy </w:t>
      </w:r>
      <w:r w:rsidR="009C63E3">
        <w:rPr>
          <w:lang w:val="en-US"/>
        </w:rPr>
        <w:t xml:space="preserve">become </w:t>
      </w:r>
      <w:r w:rsidR="001A6EB9">
        <w:rPr>
          <w:lang w:val="en-US"/>
        </w:rPr>
        <w:t>more stable</w:t>
      </w:r>
      <w:r w:rsidR="00717CB2">
        <w:rPr>
          <w:lang w:val="en-US"/>
        </w:rPr>
        <w:t xml:space="preserve"> in next development stage</w:t>
      </w:r>
      <w:r w:rsidR="001A6EB9">
        <w:rPr>
          <w:lang w:val="en-US"/>
        </w:rPr>
        <w:t xml:space="preserve">. </w:t>
      </w:r>
    </w:p>
    <w:p w14:paraId="2FA4D563" w14:textId="77777777" w:rsidR="00D46AB9" w:rsidRPr="00FD6EAD" w:rsidRDefault="00D46AB9" w:rsidP="00FD6EAD">
      <w:pPr>
        <w:spacing w:line="240" w:lineRule="auto"/>
        <w:ind w:right="-120"/>
        <w:rPr>
          <w:lang w:val="en-US"/>
        </w:rPr>
      </w:pPr>
      <w:r>
        <w:rPr>
          <w:lang w:val="en-US"/>
        </w:rPr>
        <w:t>Finally, this study opens some new directions for further researches in risk control policies</w:t>
      </w:r>
      <w:r w:rsidR="00135B68">
        <w:rPr>
          <w:lang w:val="en-US"/>
        </w:rPr>
        <w:t xml:space="preserve"> in bank system as well as in the whole economy</w:t>
      </w:r>
      <w:r>
        <w:rPr>
          <w:lang w:val="en-US"/>
        </w:rPr>
        <w:t>.</w:t>
      </w:r>
    </w:p>
    <w:p w14:paraId="619B0CD5" w14:textId="77777777" w:rsidR="00FD6EAD" w:rsidRPr="000312E7" w:rsidRDefault="00FD6EAD" w:rsidP="00FD6EAD">
      <w:pPr>
        <w:spacing w:after="40"/>
        <w:ind w:right="-1149"/>
        <w:rPr>
          <w:b/>
        </w:rPr>
      </w:pPr>
    </w:p>
    <w:p w14:paraId="1448275D" w14:textId="77777777" w:rsidR="00FD6EAD" w:rsidRPr="00B83844" w:rsidRDefault="00FD6EAD" w:rsidP="00FD6EAD">
      <w:pPr>
        <w:spacing w:after="40"/>
        <w:ind w:right="-1149"/>
        <w:rPr>
          <w:b/>
          <w:sz w:val="20"/>
        </w:rPr>
      </w:pPr>
      <w:r w:rsidRPr="00B83844">
        <w:rPr>
          <w:b/>
          <w:sz w:val="20"/>
        </w:rPr>
        <w:t>ACKNOWLEDGEMENTS</w:t>
      </w:r>
      <w:r>
        <w:rPr>
          <w:b/>
          <w:sz w:val="20"/>
        </w:rPr>
        <w:t xml:space="preserve"> </w:t>
      </w:r>
    </w:p>
    <w:p w14:paraId="2F1AE86A" w14:textId="77777777" w:rsidR="00FD6EAD" w:rsidRPr="00AD324E" w:rsidRDefault="00FD6EAD" w:rsidP="00FD6EAD">
      <w:pPr>
        <w:spacing w:line="240" w:lineRule="auto"/>
        <w:ind w:right="-120"/>
        <w:rPr>
          <w:b/>
          <w:bCs/>
          <w:sz w:val="20"/>
        </w:rPr>
      </w:pPr>
      <w:r w:rsidRPr="00AD324E">
        <w:rPr>
          <w:rFonts w:cs="Browallia New"/>
          <w:sz w:val="20"/>
        </w:rPr>
        <w:t>I would like to take this opportunity to express my warm thanks to</w:t>
      </w:r>
      <w:r>
        <w:rPr>
          <w:rFonts w:cs="Browallia New"/>
          <w:sz w:val="20"/>
        </w:rPr>
        <w:t xml:space="preserve"> Board of Editors and Colleagues at Citibank –HCMC, SCB and BIDV-HCMC, </w:t>
      </w:r>
      <w:r w:rsidRPr="00AD324E">
        <w:rPr>
          <w:rFonts w:cs="Browallia New"/>
          <w:sz w:val="20"/>
        </w:rPr>
        <w:t xml:space="preserve">Dr. Chen and Dr. Yu Hai-Chin at </w:t>
      </w:r>
      <w:smartTag w:uri="urn:schemas-microsoft-com:office:smarttags" w:element="place">
        <w:smartTag w:uri="urn:schemas-microsoft-com:office:smarttags" w:element="PlaceName">
          <w:r>
            <w:rPr>
              <w:rFonts w:cs="Browallia New"/>
              <w:sz w:val="20"/>
            </w:rPr>
            <w:t>C</w:t>
          </w:r>
          <w:r w:rsidRPr="00AD324E">
            <w:rPr>
              <w:rFonts w:cs="Browallia New"/>
              <w:sz w:val="20"/>
            </w:rPr>
            <w:t>hung</w:t>
          </w:r>
        </w:smartTag>
        <w:r w:rsidRPr="00AD324E">
          <w:rPr>
            <w:rFonts w:cs="Browallia New"/>
            <w:sz w:val="20"/>
          </w:rPr>
          <w:t xml:space="preserve"> </w:t>
        </w:r>
        <w:smartTag w:uri="urn:schemas-microsoft-com:office:smarttags" w:element="PlaceName">
          <w:r w:rsidRPr="00AD324E">
            <w:rPr>
              <w:rFonts w:cs="Browallia New"/>
              <w:sz w:val="20"/>
            </w:rPr>
            <w:t>Yuan</w:t>
          </w:r>
        </w:smartTag>
        <w:r w:rsidRPr="00AD324E">
          <w:rPr>
            <w:rFonts w:cs="Browallia New"/>
            <w:sz w:val="20"/>
          </w:rPr>
          <w:t xml:space="preserve"> </w:t>
        </w:r>
        <w:smartTag w:uri="urn:schemas-microsoft-com:office:smarttags" w:element="PlaceName">
          <w:r w:rsidRPr="00AD324E">
            <w:rPr>
              <w:rFonts w:cs="Browallia New"/>
              <w:sz w:val="20"/>
            </w:rPr>
            <w:t>Christian</w:t>
          </w:r>
        </w:smartTag>
        <w:r w:rsidRPr="00AD324E">
          <w:rPr>
            <w:rFonts w:cs="Browallia New"/>
            <w:sz w:val="20"/>
          </w:rPr>
          <w:t xml:space="preserve"> </w:t>
        </w:r>
        <w:smartTag w:uri="urn:schemas-microsoft-com:office:smarttags" w:element="PlaceName">
          <w:r w:rsidRPr="00AD324E">
            <w:rPr>
              <w:rFonts w:cs="Browallia New"/>
              <w:sz w:val="20"/>
            </w:rPr>
            <w:t>University</w:t>
          </w:r>
        </w:smartTag>
      </w:smartTag>
      <w:r w:rsidRPr="00AD324E">
        <w:rPr>
          <w:rFonts w:cs="Browallia New"/>
          <w:sz w:val="20"/>
        </w:rPr>
        <w:t xml:space="preserve"> for class lectures, also Dr Chet Borucki, Dr Jay and my ex-Corporate Governance sensei, Dr. Shingo Takahashi at International University of Japan. My sincere thanks are for the editorial office, for their work during my research. Also, my warm thanks are for Dr. Ngo Huong, Dr. Ho Dieu, Dr. Ly H. Anh, Dr Nguyen V. Phuc</w:t>
      </w:r>
      <w:r>
        <w:rPr>
          <w:rFonts w:cs="Browallia New"/>
          <w:sz w:val="20"/>
        </w:rPr>
        <w:t>, Dr Le Si Dong</w:t>
      </w:r>
      <w:r w:rsidRPr="00AD324E">
        <w:rPr>
          <w:rFonts w:cs="Browallia New"/>
          <w:sz w:val="20"/>
        </w:rPr>
        <w:t xml:space="preserve"> and my lecturers at </w:t>
      </w:r>
      <w:smartTag w:uri="urn:schemas-microsoft-com:office:smarttags" w:element="PlaceName">
        <w:r w:rsidRPr="00AD324E">
          <w:rPr>
            <w:rFonts w:cs="Browallia New"/>
            <w:sz w:val="20"/>
          </w:rPr>
          <w:t>Banking</w:t>
        </w:r>
      </w:smartTag>
      <w:r w:rsidRPr="00AD324E">
        <w:rPr>
          <w:rFonts w:cs="Browallia New"/>
          <w:sz w:val="20"/>
        </w:rPr>
        <w:t xml:space="preserve"> </w:t>
      </w:r>
      <w:smartTag w:uri="urn:schemas-microsoft-com:office:smarttags" w:element="PlaceType">
        <w:r w:rsidRPr="00AD324E">
          <w:rPr>
            <w:rFonts w:cs="Browallia New"/>
            <w:sz w:val="20"/>
          </w:rPr>
          <w:t>University</w:t>
        </w:r>
      </w:smartTag>
      <w:r w:rsidRPr="00AD324E">
        <w:rPr>
          <w:rFonts w:cs="Browallia New"/>
          <w:sz w:val="20"/>
        </w:rPr>
        <w:t xml:space="preserve"> – H</w:t>
      </w:r>
      <w:r>
        <w:rPr>
          <w:rFonts w:cs="Browallia New"/>
          <w:sz w:val="20"/>
        </w:rPr>
        <w:t>CMC</w:t>
      </w:r>
      <w:r w:rsidRPr="00AD324E">
        <w:rPr>
          <w:rFonts w:cs="Browallia New"/>
          <w:sz w:val="20"/>
        </w:rPr>
        <w:t xml:space="preserve">, </w:t>
      </w:r>
      <w:smartTag w:uri="urn:schemas-microsoft-com:office:smarttags" w:element="country-region">
        <w:smartTag w:uri="urn:schemas-microsoft-com:office:smarttags" w:element="place">
          <w:r w:rsidRPr="00AD324E">
            <w:rPr>
              <w:rFonts w:cs="Browallia New"/>
              <w:sz w:val="20"/>
            </w:rPr>
            <w:t>Viet Nam</w:t>
          </w:r>
        </w:smartTag>
      </w:smartTag>
      <w:r w:rsidRPr="00AD324E">
        <w:rPr>
          <w:rFonts w:cs="Browallia New"/>
          <w:sz w:val="20"/>
        </w:rPr>
        <w:t xml:space="preserve"> for their help.</w:t>
      </w:r>
    </w:p>
    <w:p w14:paraId="3652E4E1" w14:textId="77777777" w:rsidR="00FD6EAD" w:rsidRPr="004C1C76" w:rsidRDefault="00FD6EAD" w:rsidP="00FD6EAD">
      <w:pPr>
        <w:spacing w:line="240" w:lineRule="auto"/>
        <w:ind w:right="-120"/>
        <w:rPr>
          <w:sz w:val="20"/>
          <w:lang w:val="en-US"/>
        </w:rPr>
      </w:pPr>
      <w:r w:rsidRPr="00AD324E">
        <w:rPr>
          <w:sz w:val="20"/>
        </w:rPr>
        <w:t>Lastly, thank you very much for my family, colleagues, and brother</w:t>
      </w:r>
      <w:r w:rsidR="00565B97">
        <w:rPr>
          <w:sz w:val="20"/>
          <w:lang w:val="en-US"/>
        </w:rPr>
        <w:t xml:space="preserve"> </w:t>
      </w:r>
      <w:r w:rsidRPr="00AD324E">
        <w:rPr>
          <w:sz w:val="20"/>
        </w:rPr>
        <w:t xml:space="preserve">in assisting convenient conditions for my research paper. </w:t>
      </w:r>
    </w:p>
    <w:p w14:paraId="25235253" w14:textId="77777777" w:rsidR="001C646B" w:rsidRDefault="001C646B" w:rsidP="00FD6EAD">
      <w:pPr>
        <w:pStyle w:val="ListParagraph"/>
        <w:rPr>
          <w:color w:val="000000"/>
          <w:szCs w:val="24"/>
          <w:lang w:val="en-US"/>
        </w:rPr>
      </w:pPr>
    </w:p>
    <w:p w14:paraId="5719F1AC" w14:textId="77777777" w:rsidR="001C646B" w:rsidRDefault="001C646B" w:rsidP="00FD6EAD">
      <w:pPr>
        <w:pStyle w:val="ListParagraph"/>
        <w:rPr>
          <w:color w:val="000000"/>
          <w:szCs w:val="24"/>
          <w:lang w:val="en-US"/>
        </w:rPr>
      </w:pPr>
    </w:p>
    <w:p w14:paraId="1959442E" w14:textId="77777777" w:rsidR="00B25CDF" w:rsidRDefault="00B25CDF">
      <w:pPr>
        <w:rPr>
          <w:b/>
          <w:color w:val="000000"/>
          <w:sz w:val="30"/>
          <w:szCs w:val="30"/>
        </w:rPr>
      </w:pPr>
      <w:r>
        <w:rPr>
          <w:b/>
          <w:color w:val="000000"/>
          <w:sz w:val="30"/>
          <w:szCs w:val="30"/>
        </w:rPr>
        <w:br w:type="page"/>
      </w:r>
    </w:p>
    <w:p w14:paraId="10995362" w14:textId="77777777" w:rsidR="001C646B" w:rsidRDefault="001C646B" w:rsidP="001C646B">
      <w:pPr>
        <w:autoSpaceDE w:val="0"/>
        <w:autoSpaceDN w:val="0"/>
        <w:spacing w:line="240" w:lineRule="auto"/>
        <w:textAlignment w:val="bottom"/>
        <w:rPr>
          <w:b/>
          <w:color w:val="000000"/>
          <w:sz w:val="30"/>
          <w:szCs w:val="30"/>
        </w:rPr>
      </w:pPr>
      <w:r w:rsidRPr="000574E9">
        <w:rPr>
          <w:b/>
          <w:color w:val="000000"/>
          <w:sz w:val="30"/>
          <w:szCs w:val="30"/>
        </w:rPr>
        <w:lastRenderedPageBreak/>
        <w:t>References</w:t>
      </w:r>
    </w:p>
    <w:p w14:paraId="652092B1" w14:textId="77777777" w:rsidR="001C646B" w:rsidRDefault="001C646B" w:rsidP="001C646B">
      <w:pPr>
        <w:autoSpaceDE w:val="0"/>
        <w:autoSpaceDN w:val="0"/>
        <w:spacing w:line="240" w:lineRule="auto"/>
        <w:textAlignment w:val="bottom"/>
        <w:rPr>
          <w:b/>
          <w:color w:val="000000"/>
          <w:sz w:val="30"/>
          <w:szCs w:val="30"/>
        </w:rPr>
      </w:pPr>
    </w:p>
    <w:p w14:paraId="2DA88411" w14:textId="77777777" w:rsidR="001C646B" w:rsidRPr="00D54FCE" w:rsidRDefault="001C646B" w:rsidP="001C646B">
      <w:pPr>
        <w:numPr>
          <w:ilvl w:val="0"/>
          <w:numId w:val="3"/>
        </w:numPr>
        <w:spacing w:after="120" w:line="240" w:lineRule="auto"/>
        <w:rPr>
          <w:szCs w:val="24"/>
        </w:rPr>
      </w:pPr>
      <w:r w:rsidRPr="00D54FCE">
        <w:rPr>
          <w:szCs w:val="24"/>
          <w:lang w:eastAsia="ja-JP" w:bidi="th-TH"/>
        </w:rPr>
        <w:t xml:space="preserve">Allen, F., and Gale, D., (1992), Stock Price Manipulation, </w:t>
      </w:r>
      <w:r w:rsidRPr="00D54FCE">
        <w:rPr>
          <w:i/>
          <w:iCs/>
          <w:szCs w:val="24"/>
          <w:lang w:eastAsia="ja-JP" w:bidi="th-TH"/>
        </w:rPr>
        <w:t>Review of Financial Studies.</w:t>
      </w:r>
    </w:p>
    <w:p w14:paraId="34DF4C01" w14:textId="77777777" w:rsidR="001C646B" w:rsidRPr="00D54FCE" w:rsidRDefault="001C646B" w:rsidP="001C646B">
      <w:pPr>
        <w:numPr>
          <w:ilvl w:val="0"/>
          <w:numId w:val="3"/>
        </w:numPr>
        <w:autoSpaceDE w:val="0"/>
        <w:autoSpaceDN w:val="0"/>
        <w:adjustRightInd w:val="0"/>
        <w:spacing w:after="0" w:line="240" w:lineRule="auto"/>
        <w:rPr>
          <w:rFonts w:eastAsia="Batang"/>
          <w:szCs w:val="24"/>
          <w:lang w:eastAsia="ja-JP" w:bidi="th-TH"/>
        </w:rPr>
      </w:pPr>
      <w:r w:rsidRPr="00D54FCE">
        <w:rPr>
          <w:rFonts w:eastAsia="Batang"/>
          <w:szCs w:val="24"/>
          <w:lang w:eastAsia="ja-JP" w:bidi="th-TH"/>
        </w:rPr>
        <w:t>Basu, Devraj., Streme, Alexander., (2007), CAPM and Time-Varying Beta: The Cross-Section of Expected Returns,</w:t>
      </w:r>
      <w:r w:rsidRPr="00D54FCE">
        <w:rPr>
          <w:rFonts w:eastAsia="Batang"/>
          <w:i/>
          <w:iCs/>
          <w:szCs w:val="24"/>
          <w:lang w:eastAsia="ja-JP" w:bidi="th-TH"/>
        </w:rPr>
        <w:t xml:space="preserve"> SSRN Working paper series</w:t>
      </w:r>
    </w:p>
    <w:p w14:paraId="7573954E" w14:textId="77777777" w:rsidR="001C646B" w:rsidRPr="00D54FCE" w:rsidRDefault="001C646B" w:rsidP="001C646B">
      <w:pPr>
        <w:numPr>
          <w:ilvl w:val="0"/>
          <w:numId w:val="3"/>
        </w:numPr>
        <w:spacing w:after="120" w:line="240" w:lineRule="auto"/>
        <w:rPr>
          <w:szCs w:val="24"/>
        </w:rPr>
      </w:pPr>
      <w:r w:rsidRPr="00D54FCE">
        <w:rPr>
          <w:rFonts w:cs="TimesNewRomanPSMT"/>
          <w:szCs w:val="24"/>
          <w:lang w:eastAsia="ja-JP" w:bidi="th-TH"/>
        </w:rPr>
        <w:t xml:space="preserve">Chatterjea, Arkadev., Jerian, Joseph A., and Jarrow, Robert A., (2001), Market Manipulation and Corporate Finance: A new Perspectives, </w:t>
      </w:r>
      <w:r w:rsidRPr="00D54FCE">
        <w:rPr>
          <w:rFonts w:cs="TimesNewRomanPSMT"/>
          <w:i/>
          <w:iCs/>
          <w:szCs w:val="24"/>
          <w:lang w:eastAsia="ja-JP" w:bidi="th-TH"/>
        </w:rPr>
        <w:t>1994 Annual Meeting Review</w:t>
      </w:r>
      <w:r w:rsidRPr="00D54FCE">
        <w:rPr>
          <w:rFonts w:cs="TimesNewRomanPSMT"/>
          <w:szCs w:val="24"/>
          <w:lang w:eastAsia="ja-JP" w:bidi="th-TH"/>
        </w:rPr>
        <w:t>, SouthWestern Finance Association, Texas, USA.</w:t>
      </w:r>
    </w:p>
    <w:p w14:paraId="6E33D475" w14:textId="77777777" w:rsidR="001C646B" w:rsidRPr="00D54FCE" w:rsidRDefault="001C646B" w:rsidP="001C646B">
      <w:pPr>
        <w:numPr>
          <w:ilvl w:val="0"/>
          <w:numId w:val="3"/>
        </w:numPr>
        <w:autoSpaceDE w:val="0"/>
        <w:autoSpaceDN w:val="0"/>
        <w:adjustRightInd w:val="0"/>
        <w:spacing w:after="0" w:line="240" w:lineRule="auto"/>
        <w:rPr>
          <w:rFonts w:eastAsia="Batang"/>
          <w:szCs w:val="24"/>
          <w:lang w:eastAsia="ja-JP" w:bidi="th-TH"/>
        </w:rPr>
      </w:pPr>
      <w:r w:rsidRPr="00D54FCE">
        <w:rPr>
          <w:rFonts w:eastAsia="Batang"/>
          <w:szCs w:val="24"/>
          <w:lang w:eastAsia="ja-JP" w:bidi="th-TH"/>
        </w:rPr>
        <w:t>DeGennaro, Ramon P., Kim, Sangphill., (2003), The CAPM and Beta in an Imperfect Market,</w:t>
      </w:r>
      <w:r w:rsidRPr="00D54FCE">
        <w:rPr>
          <w:rFonts w:eastAsia="Batang"/>
          <w:i/>
          <w:iCs/>
          <w:szCs w:val="24"/>
          <w:lang w:eastAsia="ja-JP" w:bidi="th-TH"/>
        </w:rPr>
        <w:t xml:space="preserve"> SSRN Working paper series</w:t>
      </w:r>
    </w:p>
    <w:p w14:paraId="556A87E9" w14:textId="77777777" w:rsidR="001C646B" w:rsidRPr="00D54FCE" w:rsidRDefault="001C646B" w:rsidP="001C646B">
      <w:pPr>
        <w:numPr>
          <w:ilvl w:val="0"/>
          <w:numId w:val="3"/>
        </w:numPr>
        <w:autoSpaceDE w:val="0"/>
        <w:autoSpaceDN w:val="0"/>
        <w:adjustRightInd w:val="0"/>
        <w:spacing w:after="0" w:line="240" w:lineRule="auto"/>
        <w:rPr>
          <w:rFonts w:eastAsia="Batang"/>
          <w:szCs w:val="24"/>
          <w:lang w:eastAsia="ja-JP" w:bidi="th-TH"/>
        </w:rPr>
      </w:pPr>
      <w:r w:rsidRPr="00D54FCE">
        <w:rPr>
          <w:rFonts w:eastAsia="Batang"/>
          <w:szCs w:val="24"/>
          <w:lang w:eastAsia="ja-JP" w:bidi="th-TH"/>
        </w:rPr>
        <w:t xml:space="preserve">Emilios, A., (2015), </w:t>
      </w:r>
      <w:r w:rsidRPr="00D54FCE">
        <w:t xml:space="preserve">Bank Leverage Ratios and Financial Stability: A Micro- and Macroprudential Perspective, </w:t>
      </w:r>
      <w:r w:rsidRPr="00D54FCE">
        <w:rPr>
          <w:i/>
        </w:rPr>
        <w:t xml:space="preserve">Working Paper No.849, </w:t>
      </w:r>
      <w:r w:rsidRPr="00D54FCE">
        <w:t>Levy Economics Institute</w:t>
      </w:r>
    </w:p>
    <w:p w14:paraId="72ECD5C6" w14:textId="77777777" w:rsidR="001C646B" w:rsidRPr="00D54FCE" w:rsidRDefault="001C646B" w:rsidP="001C646B">
      <w:pPr>
        <w:numPr>
          <w:ilvl w:val="0"/>
          <w:numId w:val="3"/>
        </w:numPr>
        <w:autoSpaceDE w:val="0"/>
        <w:autoSpaceDN w:val="0"/>
        <w:adjustRightInd w:val="0"/>
        <w:spacing w:after="0" w:line="240" w:lineRule="auto"/>
        <w:rPr>
          <w:rFonts w:eastAsia="Batang"/>
          <w:szCs w:val="24"/>
          <w:lang w:eastAsia="ja-JP" w:bidi="th-TH"/>
        </w:rPr>
      </w:pPr>
      <w:r w:rsidRPr="00D54FCE">
        <w:rPr>
          <w:rFonts w:eastAsia="Batang"/>
          <w:szCs w:val="24"/>
          <w:lang w:eastAsia="ja-JP" w:bidi="th-TH"/>
        </w:rPr>
        <w:t>Galagedera, D.U.A., (2007)</w:t>
      </w:r>
      <w:r w:rsidRPr="00D54FCE">
        <w:rPr>
          <w:rFonts w:eastAsia="Batang"/>
          <w:i/>
          <w:iCs/>
          <w:szCs w:val="24"/>
          <w:lang w:eastAsia="ja-JP" w:bidi="th-TH"/>
        </w:rPr>
        <w:t xml:space="preserve">, </w:t>
      </w:r>
      <w:r w:rsidRPr="00D54FCE">
        <w:rPr>
          <w:color w:val="000000"/>
          <w:szCs w:val="24"/>
        </w:rPr>
        <w:t xml:space="preserve">An alternative perspective on the relationship between downside beta and CAPM beta, </w:t>
      </w:r>
      <w:r w:rsidRPr="00D54FCE">
        <w:rPr>
          <w:i/>
          <w:iCs/>
          <w:color w:val="000000"/>
          <w:szCs w:val="24"/>
        </w:rPr>
        <w:t>Emerging Markets Review</w:t>
      </w:r>
    </w:p>
    <w:p w14:paraId="02D20EDC" w14:textId="77777777" w:rsidR="001C646B" w:rsidRPr="00D54FCE" w:rsidRDefault="001C646B" w:rsidP="001C646B">
      <w:pPr>
        <w:numPr>
          <w:ilvl w:val="0"/>
          <w:numId w:val="3"/>
        </w:numPr>
        <w:spacing w:after="120" w:line="240" w:lineRule="auto"/>
        <w:rPr>
          <w:szCs w:val="24"/>
        </w:rPr>
      </w:pPr>
      <w:r w:rsidRPr="00D54FCE">
        <w:rPr>
          <w:szCs w:val="24"/>
        </w:rPr>
        <w:t xml:space="preserve">Gunarathna, V., (2016), </w:t>
      </w:r>
      <w:r w:rsidRPr="00D54FCE">
        <w:t>How does Financial Leverage Affect Financial Risk? An Empirical Study in Sri Lanka, Amity Journal of Finance, 1(1), 57-66.</w:t>
      </w:r>
    </w:p>
    <w:p w14:paraId="4F90C033" w14:textId="77777777" w:rsidR="001C646B" w:rsidRPr="00D54FCE" w:rsidRDefault="001C646B" w:rsidP="001C646B">
      <w:pPr>
        <w:numPr>
          <w:ilvl w:val="0"/>
          <w:numId w:val="3"/>
        </w:numPr>
        <w:spacing w:after="120" w:line="240" w:lineRule="auto"/>
        <w:rPr>
          <w:szCs w:val="24"/>
        </w:rPr>
      </w:pPr>
      <w:r w:rsidRPr="00D54FCE">
        <w:rPr>
          <w:szCs w:val="24"/>
          <w:lang w:eastAsia="ja-JP" w:bidi="th-TH"/>
        </w:rPr>
        <w:t xml:space="preserve">Khwaja, Asim Ijaz., Mian, Atif., (2005), </w:t>
      </w:r>
      <w:r w:rsidRPr="00D54FCE">
        <w:rPr>
          <w:rFonts w:cs="AdvTimes"/>
          <w:szCs w:val="24"/>
          <w:lang w:eastAsia="ja-JP" w:bidi="th-TH"/>
        </w:rPr>
        <w:t>Unchecked intermediaries:Price manipulation in an emerging stock market</w:t>
      </w:r>
      <w:r w:rsidRPr="00D54FCE">
        <w:rPr>
          <w:szCs w:val="24"/>
          <w:lang w:eastAsia="ja-JP" w:bidi="th-TH"/>
        </w:rPr>
        <w:t xml:space="preserve">, </w:t>
      </w:r>
      <w:r w:rsidRPr="00D54FCE">
        <w:rPr>
          <w:i/>
          <w:iCs/>
          <w:szCs w:val="24"/>
          <w:lang w:eastAsia="ja-JP" w:bidi="th-TH"/>
        </w:rPr>
        <w:t>Journal of Financial Economics</w:t>
      </w:r>
      <w:r w:rsidRPr="00D54FCE">
        <w:rPr>
          <w:szCs w:val="24"/>
          <w:lang w:eastAsia="ja-JP" w:bidi="th-TH"/>
        </w:rPr>
        <w:t xml:space="preserve"> 78, 243 – 241</w:t>
      </w:r>
    </w:p>
    <w:p w14:paraId="7F2A39CB" w14:textId="77777777" w:rsidR="001C646B" w:rsidRPr="00D54FCE" w:rsidRDefault="001C646B" w:rsidP="001C646B">
      <w:pPr>
        <w:numPr>
          <w:ilvl w:val="0"/>
          <w:numId w:val="3"/>
        </w:numPr>
        <w:spacing w:after="120" w:line="240" w:lineRule="auto"/>
        <w:rPr>
          <w:szCs w:val="24"/>
        </w:rPr>
      </w:pPr>
      <w:r w:rsidRPr="00D54FCE">
        <w:rPr>
          <w:szCs w:val="24"/>
          <w:lang w:eastAsia="ja-JP" w:bidi="th-TH"/>
        </w:rPr>
        <w:t>Martin, K., and Sweder, V.W., (2012),</w:t>
      </w:r>
      <w:r w:rsidRPr="00D54FCE">
        <w:t xml:space="preserve"> On Risk, leverage and banks: Do highly leveraged banks take on excessive risk?, </w:t>
      </w:r>
      <w:r w:rsidRPr="00D54FCE">
        <w:rPr>
          <w:i/>
        </w:rPr>
        <w:t>Discussion Paper TI 12-022/2/DSF31</w:t>
      </w:r>
      <w:r w:rsidRPr="00D54FCE">
        <w:t>, Tinbergen Institute</w:t>
      </w:r>
      <w:r w:rsidRPr="00D54FCE">
        <w:rPr>
          <w:szCs w:val="24"/>
          <w:lang w:eastAsia="ja-JP" w:bidi="th-TH"/>
        </w:rPr>
        <w:t xml:space="preserve"> </w:t>
      </w:r>
    </w:p>
    <w:p w14:paraId="11F82CB7" w14:textId="77777777" w:rsidR="001C646B" w:rsidRPr="00D54FCE" w:rsidRDefault="001C646B" w:rsidP="001C646B">
      <w:pPr>
        <w:numPr>
          <w:ilvl w:val="0"/>
          <w:numId w:val="3"/>
        </w:numPr>
        <w:autoSpaceDE w:val="0"/>
        <w:autoSpaceDN w:val="0"/>
        <w:adjustRightInd w:val="0"/>
        <w:spacing w:after="0" w:line="240" w:lineRule="auto"/>
        <w:rPr>
          <w:rFonts w:eastAsia="Batang"/>
          <w:szCs w:val="24"/>
          <w:lang w:eastAsia="ja-JP" w:bidi="th-TH"/>
        </w:rPr>
      </w:pPr>
      <w:r w:rsidRPr="00D54FCE">
        <w:rPr>
          <w:color w:val="000000"/>
          <w:szCs w:val="24"/>
        </w:rPr>
        <w:t xml:space="preserve">Rahman, Dima., (2013), Are Banking Systems Increasingly Fragile? Investigating Financial Institutions’ CDS Return Extreme Co-Movements, </w:t>
      </w:r>
      <w:r w:rsidRPr="00D54FCE">
        <w:rPr>
          <w:i/>
          <w:iCs/>
          <w:color w:val="000000"/>
          <w:szCs w:val="24"/>
        </w:rPr>
        <w:t>Quantitative Finance</w:t>
      </w:r>
    </w:p>
    <w:p w14:paraId="78D827A4" w14:textId="77777777" w:rsidR="001C646B" w:rsidRPr="00D54FCE" w:rsidRDefault="001C646B" w:rsidP="001C646B">
      <w:pPr>
        <w:numPr>
          <w:ilvl w:val="0"/>
          <w:numId w:val="3"/>
        </w:numPr>
        <w:autoSpaceDE w:val="0"/>
        <w:autoSpaceDN w:val="0"/>
        <w:adjustRightInd w:val="0"/>
        <w:spacing w:after="0" w:line="240" w:lineRule="auto"/>
        <w:rPr>
          <w:rFonts w:eastAsia="Batang"/>
          <w:szCs w:val="24"/>
          <w:lang w:eastAsia="ja-JP" w:bidi="th-TH"/>
        </w:rPr>
      </w:pPr>
      <w:r w:rsidRPr="00D54FCE">
        <w:rPr>
          <w:color w:val="000000"/>
          <w:szCs w:val="24"/>
        </w:rPr>
        <w:t xml:space="preserve">Siller, Thomas., (2013), Measuring Marginal Risk Contributions in Credit Portfolios, </w:t>
      </w:r>
      <w:r w:rsidRPr="00D54FCE">
        <w:rPr>
          <w:i/>
          <w:iCs/>
          <w:color w:val="000000"/>
          <w:szCs w:val="24"/>
        </w:rPr>
        <w:t>Quantitative Finance</w:t>
      </w:r>
    </w:p>
    <w:p w14:paraId="1775C381" w14:textId="77777777" w:rsidR="001C646B" w:rsidRPr="00D54FCE" w:rsidRDefault="001C646B" w:rsidP="001C646B">
      <w:pPr>
        <w:autoSpaceDE w:val="0"/>
        <w:autoSpaceDN w:val="0"/>
        <w:ind w:left="360"/>
        <w:rPr>
          <w:rFonts w:eastAsia="Batang"/>
          <w:i/>
          <w:iCs/>
          <w:szCs w:val="24"/>
          <w:lang w:eastAsia="ja-JP" w:bidi="th-TH"/>
        </w:rPr>
      </w:pPr>
    </w:p>
    <w:p w14:paraId="1BD9E855" w14:textId="77777777" w:rsidR="001C646B" w:rsidRPr="00D54FCE" w:rsidRDefault="001C646B" w:rsidP="001C646B">
      <w:pPr>
        <w:autoSpaceDE w:val="0"/>
        <w:autoSpaceDN w:val="0"/>
        <w:rPr>
          <w:rFonts w:eastAsia="Batang"/>
          <w:szCs w:val="24"/>
          <w:lang w:eastAsia="ja-JP" w:bidi="th-TH"/>
        </w:rPr>
      </w:pPr>
      <w:r w:rsidRPr="00D54FCE">
        <w:rPr>
          <w:rFonts w:eastAsia="Batang"/>
          <w:szCs w:val="24"/>
          <w:lang w:eastAsia="ja-JP" w:bidi="th-TH"/>
        </w:rPr>
        <w:t>Research</w:t>
      </w:r>
    </w:p>
    <w:p w14:paraId="11B2CEC3" w14:textId="77777777" w:rsidR="001C646B" w:rsidRPr="00D54FCE" w:rsidRDefault="001C646B" w:rsidP="001C646B">
      <w:pPr>
        <w:numPr>
          <w:ilvl w:val="0"/>
          <w:numId w:val="3"/>
        </w:numPr>
        <w:autoSpaceDE w:val="0"/>
        <w:autoSpaceDN w:val="0"/>
        <w:adjustRightInd w:val="0"/>
        <w:spacing w:after="0" w:line="240" w:lineRule="auto"/>
        <w:rPr>
          <w:rFonts w:eastAsia="Batang"/>
          <w:szCs w:val="24"/>
          <w:lang w:eastAsia="ja-JP" w:bidi="th-TH"/>
        </w:rPr>
      </w:pPr>
      <w:r w:rsidRPr="00D54FCE">
        <w:rPr>
          <w:rFonts w:eastAsia="Batang"/>
          <w:szCs w:val="24"/>
          <w:lang w:eastAsia="ja-JP" w:bidi="th-TH"/>
        </w:rPr>
        <w:t xml:space="preserve">Ang, A., Chen, J., (2007), CAPM Over the Long Run: 1926-2001, </w:t>
      </w:r>
      <w:r w:rsidRPr="00D54FCE">
        <w:rPr>
          <w:rFonts w:eastAsia="Batang"/>
          <w:i/>
          <w:iCs/>
          <w:szCs w:val="24"/>
          <w:lang w:eastAsia="ja-JP" w:bidi="th-TH"/>
        </w:rPr>
        <w:t>Journal of Empirical Finance</w:t>
      </w:r>
    </w:p>
    <w:p w14:paraId="13B2C611" w14:textId="77777777" w:rsidR="001C646B" w:rsidRPr="00D54FCE" w:rsidRDefault="001C646B" w:rsidP="001C646B">
      <w:pPr>
        <w:numPr>
          <w:ilvl w:val="0"/>
          <w:numId w:val="3"/>
        </w:numPr>
        <w:autoSpaceDE w:val="0"/>
        <w:autoSpaceDN w:val="0"/>
        <w:adjustRightInd w:val="0"/>
        <w:spacing w:after="0" w:line="240" w:lineRule="auto"/>
        <w:rPr>
          <w:rFonts w:eastAsia="Batang"/>
          <w:szCs w:val="24"/>
          <w:lang w:eastAsia="ja-JP" w:bidi="th-TH"/>
        </w:rPr>
      </w:pPr>
      <w:r w:rsidRPr="00D54FCE">
        <w:rPr>
          <w:rFonts w:eastAsia="Batang"/>
          <w:i/>
          <w:iCs/>
          <w:szCs w:val="24"/>
          <w:lang w:eastAsia="ja-JP" w:bidi="th-TH"/>
        </w:rPr>
        <w:t xml:space="preserve">ADB and </w:t>
      </w:r>
      <w:smartTag w:uri="urn:schemas-microsoft-com:office:smarttags" w:element="country-region">
        <w:smartTag w:uri="urn:schemas-microsoft-com:office:smarttags" w:element="place">
          <w:r w:rsidRPr="00D54FCE">
            <w:rPr>
              <w:rFonts w:eastAsia="Batang"/>
              <w:i/>
              <w:iCs/>
              <w:szCs w:val="24"/>
              <w:lang w:eastAsia="ja-JP" w:bidi="th-TH"/>
            </w:rPr>
            <w:t>Viet Nam</w:t>
          </w:r>
        </w:smartTag>
      </w:smartTag>
      <w:r w:rsidRPr="00D54FCE">
        <w:rPr>
          <w:rFonts w:eastAsia="Batang"/>
          <w:i/>
          <w:iCs/>
          <w:szCs w:val="24"/>
          <w:lang w:eastAsia="ja-JP" w:bidi="th-TH"/>
        </w:rPr>
        <w:t xml:space="preserve"> Fact Sheet, </w:t>
      </w:r>
      <w:r w:rsidRPr="00D54FCE">
        <w:rPr>
          <w:rFonts w:eastAsia="Batang"/>
          <w:szCs w:val="24"/>
          <w:lang w:eastAsia="ja-JP" w:bidi="th-TH"/>
        </w:rPr>
        <w:t>2010</w:t>
      </w:r>
    </w:p>
    <w:p w14:paraId="4C6528A2" w14:textId="77777777" w:rsidR="001C646B" w:rsidRPr="00D54FCE" w:rsidRDefault="001C646B" w:rsidP="001C646B">
      <w:pPr>
        <w:ind w:left="360"/>
        <w:rPr>
          <w:szCs w:val="24"/>
        </w:rPr>
      </w:pPr>
    </w:p>
    <w:p w14:paraId="5FD49A01" w14:textId="77777777" w:rsidR="001C646B" w:rsidRPr="00D54FCE" w:rsidRDefault="001C646B" w:rsidP="001C646B">
      <w:pPr>
        <w:autoSpaceDE w:val="0"/>
        <w:autoSpaceDN w:val="0"/>
        <w:rPr>
          <w:rFonts w:eastAsia="Batang"/>
          <w:szCs w:val="24"/>
          <w:lang w:eastAsia="ja-JP" w:bidi="th-TH"/>
        </w:rPr>
      </w:pPr>
      <w:r w:rsidRPr="00D54FCE">
        <w:rPr>
          <w:rFonts w:eastAsia="Batang"/>
          <w:szCs w:val="24"/>
          <w:lang w:eastAsia="ja-JP" w:bidi="th-TH"/>
        </w:rPr>
        <w:t>Other web sources</w:t>
      </w:r>
    </w:p>
    <w:p w14:paraId="7A24F951" w14:textId="77777777" w:rsidR="001C646B" w:rsidRPr="00D54FCE" w:rsidRDefault="008D4541" w:rsidP="001C646B">
      <w:pPr>
        <w:widowControl w:val="0"/>
        <w:numPr>
          <w:ilvl w:val="0"/>
          <w:numId w:val="3"/>
        </w:numPr>
        <w:spacing w:after="0" w:line="240" w:lineRule="auto"/>
        <w:rPr>
          <w:rFonts w:eastAsia="Batang"/>
          <w:szCs w:val="24"/>
          <w:lang w:eastAsia="ja-JP" w:bidi="th-TH"/>
        </w:rPr>
      </w:pPr>
      <w:hyperlink r:id="rId8" w:history="1">
        <w:r w:rsidR="001C646B" w:rsidRPr="00D54FCE">
          <w:rPr>
            <w:rStyle w:val="Hyperlink"/>
            <w:rFonts w:eastAsia="Batang"/>
            <w:szCs w:val="24"/>
            <w:lang w:eastAsia="ja-JP" w:bidi="th-TH"/>
          </w:rPr>
          <w:t>http://www.ifc.org/ifcext/mekongpsdf.nsf/Content/PSDP22</w:t>
        </w:r>
      </w:hyperlink>
    </w:p>
    <w:p w14:paraId="777D9A46" w14:textId="77777777" w:rsidR="001C646B" w:rsidRPr="00D54FCE" w:rsidRDefault="008D4541" w:rsidP="001C646B">
      <w:pPr>
        <w:widowControl w:val="0"/>
        <w:numPr>
          <w:ilvl w:val="0"/>
          <w:numId w:val="3"/>
        </w:numPr>
        <w:spacing w:after="0" w:line="240" w:lineRule="auto"/>
        <w:rPr>
          <w:szCs w:val="24"/>
        </w:rPr>
      </w:pPr>
      <w:hyperlink r:id="rId9" w:history="1">
        <w:r w:rsidR="001C646B" w:rsidRPr="00D54FCE">
          <w:rPr>
            <w:rStyle w:val="Hyperlink"/>
            <w:rFonts w:eastAsia="Batang"/>
            <w:szCs w:val="24"/>
            <w:lang w:eastAsia="ja-JP" w:bidi="th-TH"/>
          </w:rPr>
          <w:t>http://www.construction-int.com/article/vietnam-construction-market.html</w:t>
        </w:r>
      </w:hyperlink>
    </w:p>
    <w:p w14:paraId="28946764" w14:textId="77777777" w:rsidR="001C646B" w:rsidRPr="00D54FCE" w:rsidRDefault="008D4541" w:rsidP="001C646B">
      <w:pPr>
        <w:widowControl w:val="0"/>
        <w:numPr>
          <w:ilvl w:val="0"/>
          <w:numId w:val="3"/>
        </w:numPr>
        <w:spacing w:after="0" w:line="240" w:lineRule="auto"/>
        <w:rPr>
          <w:szCs w:val="24"/>
        </w:rPr>
      </w:pPr>
      <w:hyperlink r:id="rId10" w:history="1">
        <w:r w:rsidR="001C646B" w:rsidRPr="00D54FCE">
          <w:rPr>
            <w:rStyle w:val="Hyperlink"/>
            <w:szCs w:val="24"/>
          </w:rPr>
          <w:t>http://fia.mpi.gov.vn/Default.aspx?ctl=Article&amp;MenuID=170&amp;aID=185&amp;PageSize=10&amp;Page=0</w:t>
        </w:r>
      </w:hyperlink>
    </w:p>
    <w:p w14:paraId="604F39D3" w14:textId="77777777" w:rsidR="001C646B" w:rsidRPr="00D54FCE" w:rsidRDefault="008D4541" w:rsidP="001C646B">
      <w:pPr>
        <w:widowControl w:val="0"/>
        <w:numPr>
          <w:ilvl w:val="0"/>
          <w:numId w:val="3"/>
        </w:numPr>
        <w:spacing w:after="0" w:line="240" w:lineRule="auto"/>
        <w:rPr>
          <w:szCs w:val="24"/>
        </w:rPr>
      </w:pPr>
      <w:hyperlink r:id="rId11" w:history="1">
        <w:r w:rsidR="001C646B" w:rsidRPr="00D54FCE">
          <w:rPr>
            <w:rStyle w:val="Hyperlink"/>
            <w:szCs w:val="24"/>
          </w:rPr>
          <w:t>http://kientruc.vn/tin_trong_nuoc/nganh-bat-dong-san-rui-ro-va-co-hoi/4881.html</w:t>
        </w:r>
      </w:hyperlink>
    </w:p>
    <w:p w14:paraId="5A6A2CF7" w14:textId="77777777" w:rsidR="001C646B" w:rsidRPr="00D54FCE" w:rsidRDefault="008D4541" w:rsidP="001C646B">
      <w:pPr>
        <w:widowControl w:val="0"/>
        <w:numPr>
          <w:ilvl w:val="0"/>
          <w:numId w:val="3"/>
        </w:numPr>
        <w:spacing w:after="0" w:line="240" w:lineRule="auto"/>
        <w:rPr>
          <w:szCs w:val="24"/>
        </w:rPr>
      </w:pPr>
      <w:hyperlink r:id="rId12" w:history="1">
        <w:r w:rsidR="001C646B" w:rsidRPr="00D54FCE">
          <w:rPr>
            <w:rStyle w:val="Hyperlink"/>
            <w:szCs w:val="24"/>
          </w:rPr>
          <w:t>http://www.bbc.co.uk/vietnamese/vietnam/story/2008/12/081226_vietnam_gdp_down.shtml</w:t>
        </w:r>
      </w:hyperlink>
    </w:p>
    <w:p w14:paraId="364BED5A" w14:textId="77777777" w:rsidR="001C646B" w:rsidRPr="00D54FCE" w:rsidRDefault="008D4541" w:rsidP="00FD6EAD">
      <w:pPr>
        <w:widowControl w:val="0"/>
        <w:numPr>
          <w:ilvl w:val="0"/>
          <w:numId w:val="3"/>
        </w:numPr>
        <w:spacing w:after="0" w:line="240" w:lineRule="auto"/>
      </w:pPr>
      <w:hyperlink r:id="rId13" w:history="1">
        <w:r w:rsidR="001C646B" w:rsidRPr="00D54FCE">
          <w:rPr>
            <w:rStyle w:val="Hyperlink"/>
            <w:szCs w:val="24"/>
          </w:rPr>
          <w:t>http://www.mofa.gov.vn/vi/</w:t>
        </w:r>
      </w:hyperlink>
      <w:r w:rsidR="001C646B" w:rsidRPr="00D54FCE">
        <w:rPr>
          <w:szCs w:val="24"/>
        </w:rPr>
        <w:t xml:space="preserve"> </w:t>
      </w:r>
    </w:p>
    <w:p w14:paraId="19DD6592" w14:textId="77777777" w:rsidR="00FD6EAD" w:rsidRPr="001C646B" w:rsidRDefault="008D4541" w:rsidP="00FD6EAD">
      <w:pPr>
        <w:widowControl w:val="0"/>
        <w:numPr>
          <w:ilvl w:val="0"/>
          <w:numId w:val="3"/>
        </w:numPr>
        <w:spacing w:after="0" w:line="240" w:lineRule="auto"/>
      </w:pPr>
      <w:hyperlink r:id="rId14" w:history="1">
        <w:r w:rsidR="001C646B" w:rsidRPr="00D54FCE">
          <w:rPr>
            <w:rStyle w:val="Hyperlink"/>
            <w:szCs w:val="24"/>
          </w:rPr>
          <w:t>https://www.ceicdata.com/en/indicator/vietnam/real-gdp-growth</w:t>
        </w:r>
      </w:hyperlink>
      <w:r w:rsidR="001C646B" w:rsidRPr="001C646B">
        <w:rPr>
          <w:color w:val="000000"/>
          <w:szCs w:val="24"/>
        </w:rPr>
        <w:t xml:space="preserve"> </w:t>
      </w:r>
      <w:r w:rsidR="00FD6EAD" w:rsidRPr="001C646B">
        <w:rPr>
          <w:color w:val="000000"/>
          <w:szCs w:val="24"/>
        </w:rPr>
        <w:br w:type="page"/>
      </w:r>
    </w:p>
    <w:p w14:paraId="5D8E5DA4" w14:textId="77777777" w:rsidR="00FD6EAD" w:rsidRPr="00473CA3" w:rsidRDefault="00FD6EAD">
      <w:pPr>
        <w:rPr>
          <w:b/>
          <w:lang w:val="en-US"/>
        </w:rPr>
      </w:pPr>
      <w:r w:rsidRPr="00473CA3">
        <w:rPr>
          <w:b/>
          <w:lang w:val="en-US"/>
        </w:rPr>
        <w:lastRenderedPageBreak/>
        <w:t>Exhibit</w:t>
      </w:r>
    </w:p>
    <w:p w14:paraId="39AB40FC" w14:textId="77777777" w:rsidR="00FD6EAD" w:rsidRDefault="00FD6EAD">
      <w:pPr>
        <w:rPr>
          <w:lang w:val="en-US"/>
        </w:rPr>
      </w:pPr>
      <w:r>
        <w:rPr>
          <w:lang w:val="en-US"/>
        </w:rPr>
        <w:t>Exhibit 1 – Inflation, CPI over past 10 years (2007-2017) in Vietnam</w:t>
      </w:r>
    </w:p>
    <w:p w14:paraId="79E8C64E" w14:textId="77777777" w:rsidR="00FD6EAD" w:rsidRDefault="00FD6EAD">
      <w:pPr>
        <w:rPr>
          <w:lang w:val="en-US"/>
        </w:rPr>
      </w:pPr>
    </w:p>
    <w:p w14:paraId="720C9877" w14:textId="77777777" w:rsidR="002F2F30" w:rsidRDefault="00FD6EAD">
      <w:pPr>
        <w:rPr>
          <w:lang w:val="en-US"/>
        </w:rPr>
      </w:pPr>
      <w:r>
        <w:rPr>
          <w:noProof/>
          <w:lang w:eastAsia="vi-VN"/>
        </w:rPr>
        <w:drawing>
          <wp:inline distT="0" distB="0" distL="0" distR="0" wp14:anchorId="578E28EC" wp14:editId="03C4B90F">
            <wp:extent cx="5724525" cy="32766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724525" cy="3276600"/>
                    </a:xfrm>
                    <a:prstGeom prst="rect">
                      <a:avLst/>
                    </a:prstGeom>
                    <a:noFill/>
                    <a:ln w="9525">
                      <a:noFill/>
                      <a:miter lim="800000"/>
                      <a:headEnd/>
                      <a:tailEnd/>
                    </a:ln>
                  </pic:spPr>
                </pic:pic>
              </a:graphicData>
            </a:graphic>
          </wp:inline>
        </w:drawing>
      </w:r>
    </w:p>
    <w:p w14:paraId="6842106E" w14:textId="77777777" w:rsidR="002F2F30" w:rsidRDefault="002F2F30" w:rsidP="002F2F30">
      <w:pPr>
        <w:rPr>
          <w:lang w:val="en-US"/>
        </w:rPr>
      </w:pPr>
    </w:p>
    <w:p w14:paraId="497D27E6" w14:textId="77777777" w:rsidR="002F2F30" w:rsidRDefault="002F2F30" w:rsidP="002F2F30">
      <w:pPr>
        <w:rPr>
          <w:lang w:val="en-US"/>
        </w:rPr>
      </w:pPr>
      <w:r>
        <w:rPr>
          <w:lang w:val="en-US"/>
        </w:rPr>
        <w:t>Exhibit 2 – GDP growth rate past 10 years (2007-2018) in Vietnam</w:t>
      </w:r>
    </w:p>
    <w:p w14:paraId="61707786" w14:textId="77777777" w:rsidR="00E23958" w:rsidRDefault="002F2F30" w:rsidP="002F2F30">
      <w:pPr>
        <w:tabs>
          <w:tab w:val="left" w:pos="945"/>
        </w:tabs>
        <w:rPr>
          <w:lang w:val="en-US"/>
        </w:rPr>
      </w:pPr>
      <w:r>
        <w:rPr>
          <w:noProof/>
          <w:lang w:eastAsia="vi-VN"/>
        </w:rPr>
        <w:drawing>
          <wp:inline distT="0" distB="0" distL="0" distR="0" wp14:anchorId="2CFC2754" wp14:editId="607D81CD">
            <wp:extent cx="5724525" cy="24574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5724525" cy="2457450"/>
                    </a:xfrm>
                    <a:prstGeom prst="rect">
                      <a:avLst/>
                    </a:prstGeom>
                    <a:noFill/>
                    <a:ln w="9525">
                      <a:noFill/>
                      <a:miter lim="800000"/>
                      <a:headEnd/>
                      <a:tailEnd/>
                    </a:ln>
                  </pic:spPr>
                </pic:pic>
              </a:graphicData>
            </a:graphic>
          </wp:inline>
        </w:drawing>
      </w:r>
    </w:p>
    <w:p w14:paraId="32A628C5" w14:textId="77777777" w:rsidR="002F2F30" w:rsidRDefault="00E23958" w:rsidP="00E23958">
      <w:pPr>
        <w:tabs>
          <w:tab w:val="left" w:pos="945"/>
        </w:tabs>
        <w:rPr>
          <w:lang w:val="en-US"/>
        </w:rPr>
      </w:pPr>
      <w:r>
        <w:rPr>
          <w:lang w:val="en-US"/>
        </w:rPr>
        <w:tab/>
      </w:r>
    </w:p>
    <w:p w14:paraId="2B76E648" w14:textId="77777777" w:rsidR="00501034" w:rsidRDefault="00501034">
      <w:pPr>
        <w:rPr>
          <w:lang w:val="en-US"/>
        </w:rPr>
      </w:pPr>
      <w:r>
        <w:rPr>
          <w:lang w:val="en-US"/>
        </w:rPr>
        <w:br w:type="page"/>
      </w:r>
    </w:p>
    <w:p w14:paraId="0B6D3466" w14:textId="77777777" w:rsidR="00E23958" w:rsidRDefault="00E23958" w:rsidP="00E23958">
      <w:pPr>
        <w:rPr>
          <w:lang w:val="en-US"/>
        </w:rPr>
      </w:pPr>
      <w:r>
        <w:rPr>
          <w:lang w:val="en-US"/>
        </w:rPr>
        <w:lastRenderedPageBreak/>
        <w:t>Exhibit 3 – Loan/Credit growth rate in the past years (2012-2018) in Vietnam</w:t>
      </w:r>
    </w:p>
    <w:p w14:paraId="777FD12B" w14:textId="77777777" w:rsidR="00E23958" w:rsidRDefault="00E23958" w:rsidP="00E23958">
      <w:pPr>
        <w:tabs>
          <w:tab w:val="left" w:pos="945"/>
        </w:tabs>
        <w:rPr>
          <w:lang w:val="en-US"/>
        </w:rPr>
      </w:pPr>
    </w:p>
    <w:p w14:paraId="7D884D96" w14:textId="77777777" w:rsidR="00E23958" w:rsidRPr="00E23958" w:rsidRDefault="00E23958" w:rsidP="00E23958">
      <w:pPr>
        <w:tabs>
          <w:tab w:val="left" w:pos="945"/>
        </w:tabs>
        <w:rPr>
          <w:lang w:val="en-US"/>
        </w:rPr>
      </w:pPr>
      <w:r>
        <w:rPr>
          <w:noProof/>
          <w:lang w:eastAsia="vi-VN"/>
        </w:rPr>
        <w:drawing>
          <wp:inline distT="0" distB="0" distL="0" distR="0" wp14:anchorId="49E98FD5" wp14:editId="203FA99C">
            <wp:extent cx="5724525" cy="37147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724525" cy="3714750"/>
                    </a:xfrm>
                    <a:prstGeom prst="rect">
                      <a:avLst/>
                    </a:prstGeom>
                    <a:noFill/>
                    <a:ln w="9525">
                      <a:noFill/>
                      <a:miter lim="800000"/>
                      <a:headEnd/>
                      <a:tailEnd/>
                    </a:ln>
                  </pic:spPr>
                </pic:pic>
              </a:graphicData>
            </a:graphic>
          </wp:inline>
        </w:drawing>
      </w:r>
    </w:p>
    <w:sectPr w:rsidR="00E23958" w:rsidRPr="00E23958" w:rsidSect="001771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69354" w14:textId="77777777" w:rsidR="008D4541" w:rsidRDefault="008D4541" w:rsidP="00FD6EAD">
      <w:pPr>
        <w:spacing w:after="0" w:line="240" w:lineRule="auto"/>
      </w:pPr>
      <w:r>
        <w:separator/>
      </w:r>
    </w:p>
  </w:endnote>
  <w:endnote w:type="continuationSeparator" w:id="0">
    <w:p w14:paraId="7E0B5F0B" w14:textId="77777777" w:rsidR="008D4541" w:rsidRDefault="008D4541" w:rsidP="00FD6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2AFF" w:usb1="4000ACFF" w:usb2="00000009" w:usb3="00000000" w:csb0="000001FF" w:csb1="00000000"/>
  </w:font>
  <w:font w:name="Helvetica">
    <w:panose1 w:val="020B0504020202020204"/>
    <w:charset w:val="00"/>
    <w:family w:val="swiss"/>
    <w:pitch w:val="variable"/>
    <w:sig w:usb0="20002A87" w:usb1="00000000" w:usb2="00000000" w:usb3="00000000" w:csb0="000001FF" w:csb1="00000000"/>
  </w:font>
  <w:font w:name="Browallia New">
    <w:charset w:val="DE"/>
    <w:family w:val="swiss"/>
    <w:pitch w:val="variable"/>
    <w:sig w:usb0="81000003" w:usb1="00000000" w:usb2="00000000" w:usb3="00000000" w:csb0="00010001" w:csb1="00000000"/>
  </w:font>
  <w:font w:name="TimesNewRomanPSMT">
    <w:altName w:val="Times New Roman"/>
    <w:panose1 w:val="00000000000000000000"/>
    <w:charset w:val="00"/>
    <w:family w:val="roman"/>
    <w:notTrueType/>
    <w:pitch w:val="default"/>
    <w:sig w:usb0="20000003" w:usb1="00000000" w:usb2="00000000" w:usb3="00000000" w:csb0="00000101" w:csb1="00000000"/>
  </w:font>
  <w:font w:name="AdvTimes">
    <w:altName w:val="Arial Unicode MS"/>
    <w:panose1 w:val="00000000000000000000"/>
    <w:charset w:val="A3"/>
    <w:family w:val="auto"/>
    <w:notTrueType/>
    <w:pitch w:val="default"/>
    <w:sig w:usb0="20000001" w:usb1="08070000" w:usb2="00000010" w:usb3="00000000" w:csb0="000201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81C9C" w14:textId="77777777" w:rsidR="008D4541" w:rsidRDefault="008D4541" w:rsidP="00FD6EAD">
      <w:pPr>
        <w:spacing w:after="0" w:line="240" w:lineRule="auto"/>
      </w:pPr>
      <w:r>
        <w:separator/>
      </w:r>
    </w:p>
  </w:footnote>
  <w:footnote w:type="continuationSeparator" w:id="0">
    <w:p w14:paraId="34C0EBFF" w14:textId="77777777" w:rsidR="008D4541" w:rsidRDefault="008D4541" w:rsidP="00FD6E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90F67"/>
    <w:multiLevelType w:val="singleLevel"/>
    <w:tmpl w:val="1DB4F362"/>
    <w:lvl w:ilvl="0">
      <w:start w:val="1"/>
      <w:numFmt w:val="decimal"/>
      <w:lvlText w:val="[%1]"/>
      <w:lvlJc w:val="left"/>
      <w:pPr>
        <w:tabs>
          <w:tab w:val="num" w:pos="482"/>
        </w:tabs>
        <w:ind w:left="482" w:hanging="482"/>
      </w:pPr>
      <w:rPr>
        <w:rFonts w:hint="eastAsia"/>
      </w:rPr>
    </w:lvl>
  </w:abstractNum>
  <w:abstractNum w:abstractNumId="1" w15:restartNumberingAfterBreak="0">
    <w:nsid w:val="68555345"/>
    <w:multiLevelType w:val="multilevel"/>
    <w:tmpl w:val="6A9A0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A673BE"/>
    <w:multiLevelType w:val="hybridMultilevel"/>
    <w:tmpl w:val="B06EE92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EAD"/>
    <w:rsid w:val="00014C48"/>
    <w:rsid w:val="00017C08"/>
    <w:rsid w:val="000A3A7C"/>
    <w:rsid w:val="000F4FCF"/>
    <w:rsid w:val="00112691"/>
    <w:rsid w:val="0013062D"/>
    <w:rsid w:val="00135B68"/>
    <w:rsid w:val="001416E1"/>
    <w:rsid w:val="00167EDE"/>
    <w:rsid w:val="00172820"/>
    <w:rsid w:val="0017719D"/>
    <w:rsid w:val="001A6EB9"/>
    <w:rsid w:val="001A75D2"/>
    <w:rsid w:val="001C1902"/>
    <w:rsid w:val="001C646B"/>
    <w:rsid w:val="001D0237"/>
    <w:rsid w:val="001D7EF9"/>
    <w:rsid w:val="001E4705"/>
    <w:rsid w:val="00250223"/>
    <w:rsid w:val="00251FFA"/>
    <w:rsid w:val="00272B55"/>
    <w:rsid w:val="002A3D00"/>
    <w:rsid w:val="002B7C67"/>
    <w:rsid w:val="002F2F30"/>
    <w:rsid w:val="002F65DF"/>
    <w:rsid w:val="00302D0D"/>
    <w:rsid w:val="00307BE1"/>
    <w:rsid w:val="00317B89"/>
    <w:rsid w:val="00321849"/>
    <w:rsid w:val="00325E95"/>
    <w:rsid w:val="00357012"/>
    <w:rsid w:val="003E58DC"/>
    <w:rsid w:val="00413DC9"/>
    <w:rsid w:val="004258DB"/>
    <w:rsid w:val="00454701"/>
    <w:rsid w:val="004713FE"/>
    <w:rsid w:val="00473CA3"/>
    <w:rsid w:val="004C1C76"/>
    <w:rsid w:val="004C55E8"/>
    <w:rsid w:val="004E44B4"/>
    <w:rsid w:val="00501034"/>
    <w:rsid w:val="00527166"/>
    <w:rsid w:val="00553283"/>
    <w:rsid w:val="00565B97"/>
    <w:rsid w:val="00572DD1"/>
    <w:rsid w:val="00593380"/>
    <w:rsid w:val="005A2357"/>
    <w:rsid w:val="005B6F76"/>
    <w:rsid w:val="005D599F"/>
    <w:rsid w:val="00606E86"/>
    <w:rsid w:val="00617650"/>
    <w:rsid w:val="006200E8"/>
    <w:rsid w:val="00683FB2"/>
    <w:rsid w:val="006A3134"/>
    <w:rsid w:val="006A32AB"/>
    <w:rsid w:val="006E7EBD"/>
    <w:rsid w:val="00717CB2"/>
    <w:rsid w:val="00724ED7"/>
    <w:rsid w:val="00756C3A"/>
    <w:rsid w:val="00760CEF"/>
    <w:rsid w:val="007648CD"/>
    <w:rsid w:val="00787571"/>
    <w:rsid w:val="007E2840"/>
    <w:rsid w:val="007F0AEC"/>
    <w:rsid w:val="007F42DD"/>
    <w:rsid w:val="00810219"/>
    <w:rsid w:val="008530AC"/>
    <w:rsid w:val="00862D59"/>
    <w:rsid w:val="00866CF2"/>
    <w:rsid w:val="00887672"/>
    <w:rsid w:val="008B66BC"/>
    <w:rsid w:val="008D4541"/>
    <w:rsid w:val="00940F9A"/>
    <w:rsid w:val="00942F3B"/>
    <w:rsid w:val="0095698B"/>
    <w:rsid w:val="00956A3B"/>
    <w:rsid w:val="009A27AF"/>
    <w:rsid w:val="009C63E3"/>
    <w:rsid w:val="009F3581"/>
    <w:rsid w:val="009F3C7F"/>
    <w:rsid w:val="00A11B1F"/>
    <w:rsid w:val="00A142A5"/>
    <w:rsid w:val="00A31CA6"/>
    <w:rsid w:val="00A96804"/>
    <w:rsid w:val="00AE724A"/>
    <w:rsid w:val="00B20104"/>
    <w:rsid w:val="00B20834"/>
    <w:rsid w:val="00B25166"/>
    <w:rsid w:val="00B25CDF"/>
    <w:rsid w:val="00BB062D"/>
    <w:rsid w:val="00C224B5"/>
    <w:rsid w:val="00C31423"/>
    <w:rsid w:val="00CC6C94"/>
    <w:rsid w:val="00D023F5"/>
    <w:rsid w:val="00D14072"/>
    <w:rsid w:val="00D46AB9"/>
    <w:rsid w:val="00D47627"/>
    <w:rsid w:val="00D54FCE"/>
    <w:rsid w:val="00D60C07"/>
    <w:rsid w:val="00D7240E"/>
    <w:rsid w:val="00D91525"/>
    <w:rsid w:val="00DA4A0F"/>
    <w:rsid w:val="00DC698A"/>
    <w:rsid w:val="00E040FF"/>
    <w:rsid w:val="00E23958"/>
    <w:rsid w:val="00E5495C"/>
    <w:rsid w:val="00E64FDC"/>
    <w:rsid w:val="00EA6A6D"/>
    <w:rsid w:val="00ED0EE0"/>
    <w:rsid w:val="00EE0CFA"/>
    <w:rsid w:val="00F141AE"/>
    <w:rsid w:val="00F2304B"/>
    <w:rsid w:val="00F46C7A"/>
    <w:rsid w:val="00F569F9"/>
    <w:rsid w:val="00F90B8B"/>
    <w:rsid w:val="00FC0F97"/>
    <w:rsid w:val="00FD6EAD"/>
    <w:rsid w:val="00FE075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PlaceName"/>
  <w:shapeDefaults>
    <o:shapedefaults v:ext="edit" spidmax="1026"/>
    <o:shapelayout v:ext="edit">
      <o:idmap v:ext="edit" data="1"/>
    </o:shapelayout>
  </w:shapeDefaults>
  <w:decimalSymbol w:val="."/>
  <w:listSeparator w:val=","/>
  <w14:docId w14:val="01BD11C1"/>
  <w15:docId w15:val="{408FF2D3-D39D-41CD-A782-57C59E275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1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EAD"/>
    <w:rPr>
      <w:rFonts w:ascii="Tahoma" w:hAnsi="Tahoma" w:cs="Tahoma"/>
      <w:sz w:val="16"/>
      <w:szCs w:val="16"/>
    </w:rPr>
  </w:style>
  <w:style w:type="character" w:styleId="Hyperlink">
    <w:name w:val="Hyperlink"/>
    <w:basedOn w:val="DefaultParagraphFont"/>
    <w:rsid w:val="00FD6EAD"/>
    <w:rPr>
      <w:color w:val="0000FF"/>
      <w:u w:val="single"/>
    </w:rPr>
  </w:style>
  <w:style w:type="paragraph" w:styleId="FootnoteText">
    <w:name w:val="footnote text"/>
    <w:basedOn w:val="Normal"/>
    <w:link w:val="FootnoteTextChar"/>
    <w:semiHidden/>
    <w:rsid w:val="00FD6EAD"/>
    <w:pPr>
      <w:widowControl w:val="0"/>
      <w:adjustRightInd w:val="0"/>
      <w:snapToGrid w:val="0"/>
      <w:spacing w:after="0" w:line="480" w:lineRule="auto"/>
      <w:textAlignment w:val="baseline"/>
    </w:pPr>
    <w:rPr>
      <w:rFonts w:ascii="Times New Roman" w:eastAsia="PMingLiU" w:hAnsi="Times New Roman" w:cs="Times New Roman"/>
      <w:sz w:val="20"/>
      <w:szCs w:val="20"/>
      <w:lang w:val="en-US" w:eastAsia="zh-TW"/>
    </w:rPr>
  </w:style>
  <w:style w:type="character" w:customStyle="1" w:styleId="FootnoteTextChar">
    <w:name w:val="Footnote Text Char"/>
    <w:basedOn w:val="DefaultParagraphFont"/>
    <w:link w:val="FootnoteText"/>
    <w:semiHidden/>
    <w:rsid w:val="00FD6EAD"/>
    <w:rPr>
      <w:rFonts w:ascii="Times New Roman" w:eastAsia="PMingLiU" w:hAnsi="Times New Roman" w:cs="Times New Roman"/>
      <w:sz w:val="20"/>
      <w:szCs w:val="20"/>
      <w:lang w:val="en-US" w:eastAsia="zh-TW"/>
    </w:rPr>
  </w:style>
  <w:style w:type="character" w:styleId="FootnoteReference">
    <w:name w:val="footnote reference"/>
    <w:basedOn w:val="DefaultParagraphFont"/>
    <w:semiHidden/>
    <w:rsid w:val="00FD6EAD"/>
    <w:rPr>
      <w:vertAlign w:val="superscript"/>
    </w:rPr>
  </w:style>
  <w:style w:type="paragraph" w:styleId="NormalWeb">
    <w:name w:val="Normal (Web)"/>
    <w:basedOn w:val="Normal"/>
    <w:rsid w:val="00FD6EAD"/>
    <w:pPr>
      <w:spacing w:before="100" w:beforeAutospacing="1" w:after="100" w:afterAutospacing="1" w:line="240" w:lineRule="auto"/>
    </w:pPr>
    <w:rPr>
      <w:rFonts w:ascii="Times New Roman" w:eastAsia="Batang" w:hAnsi="Times New Roman" w:cs="Times New Roman"/>
      <w:sz w:val="24"/>
      <w:szCs w:val="24"/>
      <w:lang w:eastAsia="ja-JP" w:bidi="th-TH"/>
    </w:rPr>
  </w:style>
  <w:style w:type="paragraph" w:styleId="ListParagraph">
    <w:name w:val="List Paragraph"/>
    <w:basedOn w:val="Normal"/>
    <w:uiPriority w:val="34"/>
    <w:qFormat/>
    <w:rsid w:val="00FD6EAD"/>
    <w:pPr>
      <w:ind w:left="720"/>
      <w:contextualSpacing/>
    </w:pPr>
  </w:style>
  <w:style w:type="paragraph" w:styleId="Caption">
    <w:name w:val="caption"/>
    <w:basedOn w:val="Normal"/>
    <w:next w:val="Normal"/>
    <w:qFormat/>
    <w:rsid w:val="00FD6EAD"/>
    <w:pPr>
      <w:widowControl w:val="0"/>
      <w:adjustRightInd w:val="0"/>
      <w:spacing w:before="120" w:after="120" w:line="480" w:lineRule="auto"/>
      <w:jc w:val="both"/>
      <w:textAlignment w:val="baseline"/>
    </w:pPr>
    <w:rPr>
      <w:rFonts w:ascii="Times New Roman" w:eastAsia="PMingLiU" w:hAnsi="Times New Roman" w:cs="Times New Roman"/>
      <w:sz w:val="24"/>
      <w:szCs w:val="20"/>
      <w:lang w:val="en-US" w:eastAsia="zh-TW"/>
    </w:rPr>
  </w:style>
  <w:style w:type="character" w:customStyle="1" w:styleId="apple-converted-space">
    <w:name w:val="apple-converted-space"/>
    <w:basedOn w:val="DefaultParagraphFont"/>
    <w:rsid w:val="00454701"/>
  </w:style>
  <w:style w:type="paragraph" w:styleId="HTMLPreformatted">
    <w:name w:val="HTML Preformatted"/>
    <w:basedOn w:val="Normal"/>
    <w:link w:val="HTMLPreformattedChar"/>
    <w:uiPriority w:val="99"/>
    <w:unhideWhenUsed/>
    <w:rsid w:val="00FC0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vi-VN"/>
    </w:rPr>
  </w:style>
  <w:style w:type="character" w:customStyle="1" w:styleId="HTMLPreformattedChar">
    <w:name w:val="HTML Preformatted Char"/>
    <w:basedOn w:val="DefaultParagraphFont"/>
    <w:link w:val="HTMLPreformatted"/>
    <w:uiPriority w:val="99"/>
    <w:rsid w:val="00FC0F97"/>
    <w:rPr>
      <w:rFonts w:ascii="Courier New" w:eastAsia="Times New Roman" w:hAnsi="Courier New" w:cs="Courier New"/>
      <w:sz w:val="20"/>
      <w:szCs w:val="20"/>
      <w:lang w:eastAsia="vi-VN"/>
    </w:rPr>
  </w:style>
  <w:style w:type="character" w:styleId="Emphasis">
    <w:name w:val="Emphasis"/>
    <w:basedOn w:val="DefaultParagraphFont"/>
    <w:uiPriority w:val="20"/>
    <w:qFormat/>
    <w:rsid w:val="003570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56824">
      <w:bodyDiv w:val="1"/>
      <w:marLeft w:val="0"/>
      <w:marRight w:val="0"/>
      <w:marTop w:val="0"/>
      <w:marBottom w:val="0"/>
      <w:divBdr>
        <w:top w:val="none" w:sz="0" w:space="0" w:color="auto"/>
        <w:left w:val="none" w:sz="0" w:space="0" w:color="auto"/>
        <w:bottom w:val="none" w:sz="0" w:space="0" w:color="auto"/>
        <w:right w:val="none" w:sz="0" w:space="0" w:color="auto"/>
      </w:divBdr>
    </w:div>
    <w:div w:id="253439400">
      <w:bodyDiv w:val="1"/>
      <w:marLeft w:val="0"/>
      <w:marRight w:val="0"/>
      <w:marTop w:val="0"/>
      <w:marBottom w:val="0"/>
      <w:divBdr>
        <w:top w:val="none" w:sz="0" w:space="0" w:color="auto"/>
        <w:left w:val="none" w:sz="0" w:space="0" w:color="auto"/>
        <w:bottom w:val="none" w:sz="0" w:space="0" w:color="auto"/>
        <w:right w:val="none" w:sz="0" w:space="0" w:color="auto"/>
      </w:divBdr>
    </w:div>
    <w:div w:id="885483252">
      <w:bodyDiv w:val="1"/>
      <w:marLeft w:val="0"/>
      <w:marRight w:val="0"/>
      <w:marTop w:val="0"/>
      <w:marBottom w:val="0"/>
      <w:divBdr>
        <w:top w:val="none" w:sz="0" w:space="0" w:color="auto"/>
        <w:left w:val="none" w:sz="0" w:space="0" w:color="auto"/>
        <w:bottom w:val="none" w:sz="0" w:space="0" w:color="auto"/>
        <w:right w:val="none" w:sz="0" w:space="0" w:color="auto"/>
      </w:divBdr>
    </w:div>
    <w:div w:id="1056900017">
      <w:bodyDiv w:val="1"/>
      <w:marLeft w:val="0"/>
      <w:marRight w:val="0"/>
      <w:marTop w:val="0"/>
      <w:marBottom w:val="0"/>
      <w:divBdr>
        <w:top w:val="none" w:sz="0" w:space="0" w:color="auto"/>
        <w:left w:val="none" w:sz="0" w:space="0" w:color="auto"/>
        <w:bottom w:val="none" w:sz="0" w:space="0" w:color="auto"/>
        <w:right w:val="none" w:sz="0" w:space="0" w:color="auto"/>
      </w:divBdr>
    </w:div>
    <w:div w:id="1401488416">
      <w:bodyDiv w:val="1"/>
      <w:marLeft w:val="0"/>
      <w:marRight w:val="0"/>
      <w:marTop w:val="0"/>
      <w:marBottom w:val="0"/>
      <w:divBdr>
        <w:top w:val="none" w:sz="0" w:space="0" w:color="auto"/>
        <w:left w:val="none" w:sz="0" w:space="0" w:color="auto"/>
        <w:bottom w:val="none" w:sz="0" w:space="0" w:color="auto"/>
        <w:right w:val="none" w:sz="0" w:space="0" w:color="auto"/>
      </w:divBdr>
    </w:div>
    <w:div w:id="1662730635">
      <w:bodyDiv w:val="1"/>
      <w:marLeft w:val="0"/>
      <w:marRight w:val="0"/>
      <w:marTop w:val="0"/>
      <w:marBottom w:val="0"/>
      <w:divBdr>
        <w:top w:val="none" w:sz="0" w:space="0" w:color="auto"/>
        <w:left w:val="none" w:sz="0" w:space="0" w:color="auto"/>
        <w:bottom w:val="none" w:sz="0" w:space="0" w:color="auto"/>
        <w:right w:val="none" w:sz="0" w:space="0" w:color="auto"/>
      </w:divBdr>
    </w:div>
    <w:div w:id="172760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fc.org/ifcext/mekongpsdf.nsf/Content/PSDP22" TargetMode="External"/><Relationship Id="rId13" Type="http://schemas.openxmlformats.org/officeDocument/2006/relationships/hyperlink" Target="http://www.mofa.gov.vn/v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www.bbc.co.uk/vietnamese/vietnam/story/2008/12/081226_vietnam_gdp_down.shtml"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ientruc.vn/tin_trong_nuoc/nganh-bat-dong-san-rui-ro-va-co-hoi/4881.html"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fia.mpi.gov.vn/Default.aspx?ctl=Article&amp;MenuID=170&amp;aID=185&amp;PageSize=10&amp;Page=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truction-int.com/article/vietnam-construction-market.html" TargetMode="External"/><Relationship Id="rId14" Type="http://schemas.openxmlformats.org/officeDocument/2006/relationships/hyperlink" Target="https://www.ceicdata.com/en/indicator/vietnam/real-gdp-growth"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Huy\Phong%20van%202018\Ban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Sheet1!$H$207</c:f>
              <c:strCache>
                <c:ptCount val="1"/>
                <c:pt idx="0">
                  <c:v>2007-2009 (crisis)</c:v>
                </c:pt>
              </c:strCache>
            </c:strRef>
          </c:tx>
          <c:invertIfNegative val="0"/>
          <c:dLbls>
            <c:dLbl>
              <c:idx val="1"/>
              <c:layout>
                <c:manualLayout>
                  <c:x val="0"/>
                  <c:y val="-1.88857412653446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A45-4FD6-BCA1-E8CA8F1D3E49}"/>
                </c:ext>
              </c:extLst>
            </c:dLbl>
            <c:dLbl>
              <c:idx val="3"/>
              <c:layout>
                <c:manualLayout>
                  <c:x val="-2.3852116875372692E-3"/>
                  <c:y val="-3.39943342776204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A45-4FD6-BCA1-E8CA8F1D3E49}"/>
                </c:ext>
              </c:extLst>
            </c:dLbl>
            <c:dLbl>
              <c:idx val="4"/>
              <c:layout>
                <c:manualLayout>
                  <c:x val="-9.5408467501490873E-3"/>
                  <c:y val="-3.39943342776204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A45-4FD6-BCA1-E8CA8F1D3E49}"/>
                </c:ext>
              </c:extLst>
            </c:dLbl>
            <c:dLbl>
              <c:idx val="5"/>
              <c:layout>
                <c:manualLayout>
                  <c:x val="7.1556350626118094E-3"/>
                  <c:y val="-3.39943342776204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A45-4FD6-BCA1-E8CA8F1D3E4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Sheet1!$I$206:$N$206</c:f>
              <c:strCache>
                <c:ptCount val="6"/>
                <c:pt idx="0">
                  <c:v>Equity Beta Max</c:v>
                </c:pt>
                <c:pt idx="1">
                  <c:v>Asset Beta Max</c:v>
                </c:pt>
                <c:pt idx="2">
                  <c:v>Equity Beta Mean</c:v>
                </c:pt>
                <c:pt idx="3">
                  <c:v>Asset Beta Mean</c:v>
                </c:pt>
                <c:pt idx="4">
                  <c:v>Equity Beta VAR</c:v>
                </c:pt>
                <c:pt idx="5">
                  <c:v>Asset Beta VAR</c:v>
                </c:pt>
              </c:strCache>
            </c:strRef>
          </c:cat>
          <c:val>
            <c:numRef>
              <c:f>Sheet1!$I$207:$N$207</c:f>
              <c:numCache>
                <c:formatCode>0.000</c:formatCode>
                <c:ptCount val="6"/>
                <c:pt idx="0">
                  <c:v>1.0109999999999992</c:v>
                </c:pt>
                <c:pt idx="1">
                  <c:v>0.14500000000000007</c:v>
                </c:pt>
                <c:pt idx="2">
                  <c:v>0.53825000000000001</c:v>
                </c:pt>
                <c:pt idx="3">
                  <c:v>6.2000000000000027E-2</c:v>
                </c:pt>
                <c:pt idx="4" formatCode="0.0000">
                  <c:v>0.12968421428571417</c:v>
                </c:pt>
                <c:pt idx="5" formatCode="0.0000">
                  <c:v>2.7740000000000004E-3</c:v>
                </c:pt>
              </c:numCache>
            </c:numRef>
          </c:val>
          <c:extLst>
            <c:ext xmlns:c16="http://schemas.microsoft.com/office/drawing/2014/chart" uri="{C3380CC4-5D6E-409C-BE32-E72D297353CC}">
              <c16:uniqueId val="{00000004-6A45-4FD6-BCA1-E8CA8F1D3E49}"/>
            </c:ext>
          </c:extLst>
        </c:ser>
        <c:ser>
          <c:idx val="1"/>
          <c:order val="1"/>
          <c:tx>
            <c:strRef>
              <c:f>Sheet1!$H$208</c:f>
              <c:strCache>
                <c:ptCount val="1"/>
                <c:pt idx="0">
                  <c:v>2015-2017 (post-low inflation)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Sheet1!$I$206:$N$206</c:f>
              <c:strCache>
                <c:ptCount val="6"/>
                <c:pt idx="0">
                  <c:v>Equity Beta Max</c:v>
                </c:pt>
                <c:pt idx="1">
                  <c:v>Asset Beta Max</c:v>
                </c:pt>
                <c:pt idx="2">
                  <c:v>Equity Beta Mean</c:v>
                </c:pt>
                <c:pt idx="3">
                  <c:v>Asset Beta Mean</c:v>
                </c:pt>
                <c:pt idx="4">
                  <c:v>Equity Beta VAR</c:v>
                </c:pt>
                <c:pt idx="5">
                  <c:v>Asset Beta VAR</c:v>
                </c:pt>
              </c:strCache>
            </c:strRef>
          </c:cat>
          <c:val>
            <c:numRef>
              <c:f>Sheet1!$I$208:$N$208</c:f>
              <c:numCache>
                <c:formatCode>0.000</c:formatCode>
                <c:ptCount val="6"/>
                <c:pt idx="0">
                  <c:v>1.6757741939330766</c:v>
                </c:pt>
                <c:pt idx="1">
                  <c:v>0.12014469993372029</c:v>
                </c:pt>
                <c:pt idx="2">
                  <c:v>1.034301971092312</c:v>
                </c:pt>
                <c:pt idx="3">
                  <c:v>7.3425867522013119E-2</c:v>
                </c:pt>
                <c:pt idx="4">
                  <c:v>0.14349594284018796</c:v>
                </c:pt>
                <c:pt idx="5">
                  <c:v>6.9974293216625699E-4</c:v>
                </c:pt>
              </c:numCache>
            </c:numRef>
          </c:val>
          <c:extLst>
            <c:ext xmlns:c16="http://schemas.microsoft.com/office/drawing/2014/chart" uri="{C3380CC4-5D6E-409C-BE32-E72D297353CC}">
              <c16:uniqueId val="{00000005-6A45-4FD6-BCA1-E8CA8F1D3E49}"/>
            </c:ext>
          </c:extLst>
        </c:ser>
        <c:dLbls>
          <c:showLegendKey val="0"/>
          <c:showVal val="0"/>
          <c:showCatName val="0"/>
          <c:showSerName val="0"/>
          <c:showPercent val="0"/>
          <c:showBubbleSize val="0"/>
        </c:dLbls>
        <c:gapWidth val="150"/>
        <c:shape val="box"/>
        <c:axId val="325948928"/>
        <c:axId val="325950464"/>
        <c:axId val="0"/>
      </c:bar3DChart>
      <c:catAx>
        <c:axId val="325948928"/>
        <c:scaling>
          <c:orientation val="minMax"/>
        </c:scaling>
        <c:delete val="0"/>
        <c:axPos val="b"/>
        <c:numFmt formatCode="General" sourceLinked="0"/>
        <c:majorTickMark val="out"/>
        <c:minorTickMark val="none"/>
        <c:tickLblPos val="nextTo"/>
        <c:crossAx val="325950464"/>
        <c:crosses val="autoZero"/>
        <c:auto val="1"/>
        <c:lblAlgn val="ctr"/>
        <c:lblOffset val="100"/>
        <c:noMultiLvlLbl val="0"/>
      </c:catAx>
      <c:valAx>
        <c:axId val="325950464"/>
        <c:scaling>
          <c:orientation val="minMax"/>
        </c:scaling>
        <c:delete val="0"/>
        <c:axPos val="l"/>
        <c:majorGridlines/>
        <c:numFmt formatCode="0.000" sourceLinked="1"/>
        <c:majorTickMark val="out"/>
        <c:minorTickMark val="none"/>
        <c:tickLblPos val="nextTo"/>
        <c:crossAx val="32594892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3184</Words>
  <Characters>18155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Dinh Tai</dc:creator>
  <cp:lastModifiedBy>DinhHuy DinhHuy</cp:lastModifiedBy>
  <cp:revision>2</cp:revision>
  <cp:lastPrinted>2019-05-28T02:07:00Z</cp:lastPrinted>
  <dcterms:created xsi:type="dcterms:W3CDTF">2019-06-27T10:06:00Z</dcterms:created>
  <dcterms:modified xsi:type="dcterms:W3CDTF">2019-06-27T10:06:00Z</dcterms:modified>
</cp:coreProperties>
</file>