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4776" w:rsidRPr="00D26360" w:rsidRDefault="00E74776">
      <w:pPr>
        <w:pStyle w:val="BodyText"/>
        <w:spacing w:line="240" w:lineRule="auto"/>
        <w:rPr>
          <w:rFonts w:ascii="Times New Roman" w:hAnsi="Times New Roman"/>
          <w:b w:val="0"/>
          <w:caps/>
          <w:sz w:val="36"/>
          <w:szCs w:val="36"/>
        </w:rPr>
      </w:pPr>
    </w:p>
    <w:p w:rsidR="00E74776" w:rsidRPr="00D26360" w:rsidRDefault="00E74776">
      <w:pPr>
        <w:pStyle w:val="BodyText"/>
        <w:spacing w:line="240" w:lineRule="auto"/>
        <w:rPr>
          <w:rFonts w:ascii="Times New Roman" w:hAnsi="Times New Roman"/>
          <w:b w:val="0"/>
          <w:caps/>
          <w:sz w:val="36"/>
          <w:szCs w:val="36"/>
        </w:rPr>
      </w:pPr>
    </w:p>
    <w:p w:rsidR="00E74776" w:rsidRPr="00D26360" w:rsidRDefault="009F6C70">
      <w:pPr>
        <w:pStyle w:val="BodyText"/>
        <w:spacing w:line="240" w:lineRule="auto"/>
        <w:rPr>
          <w:rFonts w:ascii="Times New Roman" w:hAnsi="Times New Roman"/>
          <w:sz w:val="36"/>
          <w:szCs w:val="36"/>
          <w:lang w:val="bg-BG"/>
        </w:rPr>
      </w:pPr>
      <w:r w:rsidRPr="00D26360">
        <w:rPr>
          <w:rFonts w:ascii="Times New Roman" w:hAnsi="Times New Roman"/>
          <w:sz w:val="36"/>
          <w:szCs w:val="36"/>
          <w:lang w:val="bg-BG"/>
        </w:rPr>
        <w:t>New Tectonic Activity within Zagros – Taurus belt: A case study from north Iraq using Region Shuttle Radar Topography Mission (SRTM)</w:t>
      </w:r>
    </w:p>
    <w:p w:rsidR="00E74776" w:rsidRPr="00D26360" w:rsidRDefault="00E74776">
      <w:pPr>
        <w:widowControl/>
        <w:autoSpaceDE w:val="0"/>
        <w:autoSpaceDN w:val="0"/>
        <w:spacing w:line="240" w:lineRule="auto"/>
        <w:jc w:val="center"/>
        <w:textAlignment w:val="bottom"/>
        <w:rPr>
          <w:b/>
          <w:szCs w:val="24"/>
        </w:rPr>
      </w:pPr>
    </w:p>
    <w:p w:rsidR="00E74776" w:rsidRPr="00D26360" w:rsidRDefault="009F6C70" w:rsidP="009F6C70">
      <w:pPr>
        <w:widowControl/>
        <w:autoSpaceDE w:val="0"/>
        <w:autoSpaceDN w:val="0"/>
        <w:spacing w:line="240" w:lineRule="auto"/>
        <w:jc w:val="center"/>
        <w:textAlignment w:val="bottom"/>
        <w:rPr>
          <w:b/>
          <w:szCs w:val="24"/>
        </w:rPr>
      </w:pPr>
      <w:r w:rsidRPr="00D26360">
        <w:rPr>
          <w:b/>
          <w:szCs w:val="24"/>
        </w:rPr>
        <w:t xml:space="preserve">Ziyad Elias </w:t>
      </w:r>
      <w:r w:rsidR="00884246" w:rsidRPr="00D26360">
        <w:rPr>
          <w:rStyle w:val="FootnoteReference"/>
          <w:b/>
          <w:szCs w:val="24"/>
        </w:rPr>
        <w:footnoteReference w:id="1"/>
      </w:r>
      <w:r w:rsidR="00A31F3C" w:rsidRPr="00D26360">
        <w:rPr>
          <w:b/>
          <w:szCs w:val="24"/>
        </w:rPr>
        <w:t>,</w:t>
      </w:r>
      <w:r w:rsidRPr="00D26360">
        <w:t xml:space="preserve"> </w:t>
      </w:r>
      <w:proofErr w:type="spellStart"/>
      <w:r w:rsidRPr="00D26360">
        <w:rPr>
          <w:b/>
          <w:szCs w:val="24"/>
        </w:rPr>
        <w:t>Varoujan</w:t>
      </w:r>
      <w:proofErr w:type="spellEnd"/>
      <w:r w:rsidRPr="00D26360">
        <w:rPr>
          <w:b/>
          <w:szCs w:val="24"/>
        </w:rPr>
        <w:t xml:space="preserve"> K. </w:t>
      </w:r>
      <w:proofErr w:type="spellStart"/>
      <w:r w:rsidRPr="00D26360">
        <w:rPr>
          <w:b/>
          <w:szCs w:val="24"/>
        </w:rPr>
        <w:t>Sissakian</w:t>
      </w:r>
      <w:proofErr w:type="spellEnd"/>
      <w:r w:rsidRPr="00D26360">
        <w:rPr>
          <w:rStyle w:val="FootnoteReference"/>
          <w:b/>
          <w:szCs w:val="24"/>
          <w:vertAlign w:val="baseline"/>
        </w:rPr>
        <w:t xml:space="preserve"> </w:t>
      </w:r>
      <w:r w:rsidR="00884246" w:rsidRPr="00D26360">
        <w:rPr>
          <w:rStyle w:val="FootnoteReference"/>
          <w:b/>
          <w:szCs w:val="24"/>
        </w:rPr>
        <w:footnoteReference w:id="2"/>
      </w:r>
      <w:r w:rsidR="00A31F3C" w:rsidRPr="00D26360">
        <w:rPr>
          <w:b/>
          <w:szCs w:val="24"/>
        </w:rPr>
        <w:t xml:space="preserve"> and </w:t>
      </w:r>
      <w:r w:rsidRPr="00D26360">
        <w:rPr>
          <w:b/>
          <w:szCs w:val="24"/>
        </w:rPr>
        <w:t xml:space="preserve">Nadhir Al-Ansari </w:t>
      </w:r>
      <w:r w:rsidR="00884246" w:rsidRPr="00D26360">
        <w:rPr>
          <w:rStyle w:val="FootnoteReference"/>
          <w:b/>
          <w:szCs w:val="24"/>
        </w:rPr>
        <w:footnoteReference w:id="3"/>
      </w:r>
    </w:p>
    <w:p w:rsidR="00E74776" w:rsidRPr="00D26360" w:rsidRDefault="00E74776">
      <w:pPr>
        <w:widowControl/>
        <w:autoSpaceDE w:val="0"/>
        <w:autoSpaceDN w:val="0"/>
        <w:spacing w:line="240" w:lineRule="auto"/>
        <w:jc w:val="center"/>
        <w:textAlignment w:val="bottom"/>
        <w:rPr>
          <w:b/>
          <w:szCs w:val="24"/>
        </w:rPr>
      </w:pPr>
    </w:p>
    <w:p w:rsidR="0077016D" w:rsidRPr="00D26360" w:rsidRDefault="0077016D" w:rsidP="0077016D">
      <w:pPr>
        <w:widowControl/>
        <w:autoSpaceDE w:val="0"/>
        <w:autoSpaceDN w:val="0"/>
        <w:spacing w:line="240" w:lineRule="auto"/>
        <w:textAlignment w:val="bottom"/>
        <w:rPr>
          <w:szCs w:val="24"/>
        </w:rPr>
      </w:pPr>
    </w:p>
    <w:p w:rsidR="00E74776" w:rsidRPr="00D26360" w:rsidRDefault="00E74776">
      <w:pPr>
        <w:widowControl/>
        <w:autoSpaceDE w:val="0"/>
        <w:autoSpaceDN w:val="0"/>
        <w:spacing w:line="240" w:lineRule="auto"/>
        <w:jc w:val="center"/>
        <w:textAlignment w:val="bottom"/>
        <w:rPr>
          <w:b/>
          <w:sz w:val="26"/>
          <w:szCs w:val="26"/>
        </w:rPr>
      </w:pPr>
      <w:r w:rsidRPr="00D26360">
        <w:rPr>
          <w:b/>
          <w:sz w:val="26"/>
          <w:szCs w:val="26"/>
        </w:rPr>
        <w:t>Abstract</w:t>
      </w:r>
    </w:p>
    <w:p w:rsidR="0077016D" w:rsidRPr="00D26360" w:rsidRDefault="0077016D">
      <w:pPr>
        <w:widowControl/>
        <w:autoSpaceDE w:val="0"/>
        <w:autoSpaceDN w:val="0"/>
        <w:spacing w:line="240" w:lineRule="auto"/>
        <w:jc w:val="center"/>
        <w:textAlignment w:val="bottom"/>
        <w:rPr>
          <w:b/>
          <w:szCs w:val="24"/>
        </w:rPr>
      </w:pPr>
    </w:p>
    <w:p w:rsidR="00E74776" w:rsidRPr="00D26360" w:rsidRDefault="009F6C70" w:rsidP="009F6C70">
      <w:pPr>
        <w:spacing w:line="240" w:lineRule="auto"/>
        <w:rPr>
          <w:szCs w:val="24"/>
        </w:rPr>
      </w:pPr>
      <w:r w:rsidRPr="00D26360">
        <w:rPr>
          <w:szCs w:val="24"/>
        </w:rPr>
        <w:t xml:space="preserve">This work investigates fold growth and drainage evolution of the </w:t>
      </w:r>
      <w:proofErr w:type="spellStart"/>
      <w:r w:rsidRPr="00D26360">
        <w:rPr>
          <w:szCs w:val="24"/>
        </w:rPr>
        <w:t>Duhok</w:t>
      </w:r>
      <w:proofErr w:type="spellEnd"/>
      <w:r w:rsidRPr="00D26360">
        <w:rPr>
          <w:szCs w:val="24"/>
        </w:rPr>
        <w:t xml:space="preserve"> – Al-</w:t>
      </w:r>
      <w:proofErr w:type="spellStart"/>
      <w:r w:rsidRPr="00D26360">
        <w:rPr>
          <w:szCs w:val="24"/>
        </w:rPr>
        <w:t>Qosh</w:t>
      </w:r>
      <w:proofErr w:type="spellEnd"/>
      <w:r w:rsidRPr="00D26360">
        <w:rPr>
          <w:szCs w:val="24"/>
        </w:rPr>
        <w:t xml:space="preserve"> and </w:t>
      </w:r>
      <w:proofErr w:type="spellStart"/>
      <w:r w:rsidRPr="00D26360">
        <w:rPr>
          <w:szCs w:val="24"/>
        </w:rPr>
        <w:t>Duhkan</w:t>
      </w:r>
      <w:proofErr w:type="spellEnd"/>
      <w:r w:rsidRPr="00D26360">
        <w:rPr>
          <w:szCs w:val="24"/>
        </w:rPr>
        <w:t xml:space="preserve"> anticlines (Iraqi Kurdistan region) by means of structural and tectonic geomorphology using a geological map and SRTM remote sensing data (digital elevation model and satellite images). The implementation of geomorphic indicator will help understanding the mechanism between growth of fold and drainage pattern and also concluding the tectonic evolution in the study site. Fault has an impact on the width of the folds and also on the drainage basin in the study area. The Aspect ratio indicates that the folds in the study area are formed by thrust-cored or forced and buckling. The tributaries of the drainage basin are characterized by drainage parallel to the fold crest on the fold hinge, with less asymmetric and asymmetric forked networks. Perfect symmetry index (FSI) is represented by Al-</w:t>
      </w:r>
      <w:proofErr w:type="spellStart"/>
      <w:r w:rsidRPr="00D26360">
        <w:rPr>
          <w:szCs w:val="24"/>
        </w:rPr>
        <w:t>Qosh</w:t>
      </w:r>
      <w:proofErr w:type="spellEnd"/>
      <w:r w:rsidRPr="00D26360">
        <w:rPr>
          <w:szCs w:val="24"/>
        </w:rPr>
        <w:t xml:space="preserve"> fold. Higher value of front sinuosity can be in the first uplift fold and later exposed to erosion by stream basin on the limbs of folds for long time. The spacing ratio and basin shape show basin maturity.</w:t>
      </w:r>
    </w:p>
    <w:p w:rsidR="009F6C70" w:rsidRPr="00D26360" w:rsidRDefault="009F6C70" w:rsidP="009F6C70">
      <w:pPr>
        <w:spacing w:line="360" w:lineRule="auto"/>
        <w:ind w:left="1" w:hanging="1"/>
        <w:rPr>
          <w:b/>
          <w:szCs w:val="24"/>
        </w:rPr>
      </w:pPr>
    </w:p>
    <w:p w:rsidR="00E74776" w:rsidRPr="00D26360" w:rsidRDefault="00A31F3C" w:rsidP="009F6C70">
      <w:pPr>
        <w:spacing w:line="360" w:lineRule="auto"/>
        <w:ind w:left="1" w:hanging="1"/>
        <w:rPr>
          <w:bCs/>
          <w:iCs/>
          <w:szCs w:val="24"/>
        </w:rPr>
      </w:pPr>
      <w:r w:rsidRPr="00D26360">
        <w:rPr>
          <w:b/>
          <w:szCs w:val="24"/>
        </w:rPr>
        <w:t xml:space="preserve">Keywords: </w:t>
      </w:r>
      <w:r w:rsidR="009F6C70" w:rsidRPr="00D26360">
        <w:rPr>
          <w:szCs w:val="24"/>
        </w:rPr>
        <w:t xml:space="preserve">Geomorphic indices; SRTM; High Folded Zone; tectonic activity; fault system, Iraqi  </w:t>
      </w:r>
    </w:p>
    <w:p w:rsidR="00E74776" w:rsidRPr="00D26360" w:rsidRDefault="00E74776">
      <w:pPr>
        <w:spacing w:line="240" w:lineRule="auto"/>
        <w:ind w:left="1104" w:hangingChars="460" w:hanging="1104"/>
        <w:rPr>
          <w:bCs/>
          <w:iCs/>
          <w:szCs w:val="24"/>
        </w:rPr>
      </w:pPr>
    </w:p>
    <w:p w:rsidR="009F6C70" w:rsidRPr="00D26360" w:rsidRDefault="009F6C70" w:rsidP="00034661">
      <w:pPr>
        <w:spacing w:line="360" w:lineRule="auto"/>
        <w:rPr>
          <w:b/>
          <w:sz w:val="30"/>
          <w:szCs w:val="30"/>
        </w:rPr>
      </w:pPr>
    </w:p>
    <w:p w:rsidR="00034661" w:rsidRPr="00D26360" w:rsidRDefault="00F03418" w:rsidP="00034661">
      <w:pPr>
        <w:spacing w:line="360" w:lineRule="auto"/>
        <w:rPr>
          <w:b/>
          <w:sz w:val="30"/>
          <w:szCs w:val="30"/>
        </w:rPr>
      </w:pPr>
      <w:proofErr w:type="gramStart"/>
      <w:r w:rsidRPr="00D26360">
        <w:rPr>
          <w:b/>
          <w:sz w:val="30"/>
          <w:szCs w:val="30"/>
        </w:rPr>
        <w:t xml:space="preserve">1 </w:t>
      </w:r>
      <w:r w:rsidR="00B85B16" w:rsidRPr="00D26360">
        <w:rPr>
          <w:b/>
          <w:sz w:val="30"/>
          <w:szCs w:val="30"/>
        </w:rPr>
        <w:t xml:space="preserve"> </w:t>
      </w:r>
      <w:r w:rsidRPr="00D26360">
        <w:rPr>
          <w:b/>
          <w:sz w:val="30"/>
          <w:szCs w:val="30"/>
        </w:rPr>
        <w:t>Introduction</w:t>
      </w:r>
      <w:proofErr w:type="gramEnd"/>
      <w:r w:rsidR="00034661" w:rsidRPr="00D26360">
        <w:rPr>
          <w:b/>
          <w:sz w:val="30"/>
          <w:szCs w:val="30"/>
        </w:rPr>
        <w:t xml:space="preserve"> </w:t>
      </w:r>
    </w:p>
    <w:p w:rsidR="009F6C70" w:rsidRPr="00D26360" w:rsidRDefault="009F6C70" w:rsidP="009F6C70">
      <w:pPr>
        <w:pStyle w:val="Heading1"/>
        <w:rPr>
          <w:bCs w:val="0"/>
          <w:color w:val="auto"/>
          <w:szCs w:val="20"/>
        </w:rPr>
      </w:pPr>
      <w:r w:rsidRPr="00D26360">
        <w:rPr>
          <w:bCs w:val="0"/>
          <w:color w:val="auto"/>
          <w:szCs w:val="20"/>
        </w:rPr>
        <w:t>The Zagros Fold and Thrust Belt is orogenic belt and is a seismically active, which extends over 1800 km from Northern Iraq to the Strait of Hormuz in Iran. The Zagros Mountains started to form as a result of the collision between the Eurasian and Arabian Plates, whose convergence began in the Late Cretaceous and was the last of a series of extensional–convergent events within the extensive Alpine –Himalayan orogenic system [1,2].</w:t>
      </w:r>
    </w:p>
    <w:p w:rsidR="009F6C70" w:rsidRPr="00D26360" w:rsidRDefault="009F6C70" w:rsidP="009F6C70">
      <w:pPr>
        <w:pStyle w:val="Heading1"/>
        <w:rPr>
          <w:bCs w:val="0"/>
          <w:color w:val="auto"/>
          <w:szCs w:val="20"/>
        </w:rPr>
      </w:pPr>
      <w:r w:rsidRPr="00D26360">
        <w:rPr>
          <w:bCs w:val="0"/>
          <w:color w:val="auto"/>
          <w:szCs w:val="20"/>
        </w:rPr>
        <w:t>A central question in tectonic geomorphology is what are the major implications for the regional geology? What is the limitation? The Drainage systems adapt to changes in the surface slope, recording fold growth and evolution [3,4,5,6</w:t>
      </w:r>
      <w:proofErr w:type="gramStart"/>
      <w:r w:rsidRPr="00D26360">
        <w:rPr>
          <w:bCs w:val="0"/>
          <w:color w:val="auto"/>
          <w:szCs w:val="20"/>
        </w:rPr>
        <w:t>] .</w:t>
      </w:r>
      <w:proofErr w:type="gramEnd"/>
      <w:r w:rsidRPr="00D26360">
        <w:rPr>
          <w:bCs w:val="0"/>
          <w:color w:val="auto"/>
          <w:szCs w:val="20"/>
        </w:rPr>
        <w:t xml:space="preserve"> Therefore, the drainage basin is a good indicator of the land form organization; it is adjustment to growth of fold. Structural patterns in the fold can be seen from statistical analyses patterns [7]. </w:t>
      </w:r>
    </w:p>
    <w:p w:rsidR="009F6C70" w:rsidRPr="00D26360" w:rsidRDefault="009F6C70" w:rsidP="009F6C70">
      <w:pPr>
        <w:pStyle w:val="Heading1"/>
        <w:rPr>
          <w:bCs w:val="0"/>
          <w:color w:val="auto"/>
          <w:szCs w:val="20"/>
        </w:rPr>
      </w:pPr>
      <w:r w:rsidRPr="00D26360">
        <w:rPr>
          <w:bCs w:val="0"/>
          <w:color w:val="auto"/>
          <w:szCs w:val="20"/>
        </w:rPr>
        <w:t xml:space="preserve">Recent studies on global scale described and classified the zones of the active tectonism using geomorphic </w:t>
      </w:r>
      <w:r w:rsidR="00DA0CB6" w:rsidRPr="00D26360">
        <w:rPr>
          <w:bCs w:val="0"/>
          <w:color w:val="auto"/>
          <w:szCs w:val="20"/>
        </w:rPr>
        <w:t>parameters [</w:t>
      </w:r>
      <w:r w:rsidRPr="00D26360">
        <w:rPr>
          <w:bCs w:val="0"/>
          <w:color w:val="auto"/>
          <w:szCs w:val="20"/>
        </w:rPr>
        <w:t xml:space="preserve">8,9,10] in the Zagros Mountain at Iran Islamic Republic, and a few studies about the Zagros Mountain, in Iraq Republic; moreover, they recognized the relation between fold growth and drainage basin [11,12]. </w:t>
      </w:r>
    </w:p>
    <w:p w:rsidR="009F6C70" w:rsidRPr="00D26360" w:rsidRDefault="009F6C70" w:rsidP="009F6C70">
      <w:pPr>
        <w:pStyle w:val="Heading1"/>
        <w:rPr>
          <w:bCs w:val="0"/>
          <w:color w:val="auto"/>
          <w:szCs w:val="20"/>
        </w:rPr>
      </w:pPr>
      <w:r w:rsidRPr="00D26360">
        <w:rPr>
          <w:bCs w:val="0"/>
          <w:color w:val="auto"/>
          <w:szCs w:val="20"/>
        </w:rPr>
        <w:t xml:space="preserve">The study site covers </w:t>
      </w:r>
      <w:proofErr w:type="spellStart"/>
      <w:r w:rsidRPr="00D26360">
        <w:rPr>
          <w:bCs w:val="0"/>
          <w:color w:val="auto"/>
          <w:szCs w:val="20"/>
        </w:rPr>
        <w:t>Dohuk</w:t>
      </w:r>
      <w:proofErr w:type="spellEnd"/>
      <w:r w:rsidRPr="00D26360">
        <w:rPr>
          <w:bCs w:val="0"/>
          <w:color w:val="auto"/>
          <w:szCs w:val="20"/>
        </w:rPr>
        <w:t xml:space="preserve">, </w:t>
      </w:r>
      <w:proofErr w:type="spellStart"/>
      <w:r w:rsidRPr="00D26360">
        <w:rPr>
          <w:bCs w:val="0"/>
          <w:color w:val="auto"/>
          <w:szCs w:val="20"/>
        </w:rPr>
        <w:t>Duhkan</w:t>
      </w:r>
      <w:proofErr w:type="spellEnd"/>
      <w:r w:rsidRPr="00D26360">
        <w:rPr>
          <w:bCs w:val="0"/>
          <w:color w:val="auto"/>
          <w:szCs w:val="20"/>
        </w:rPr>
        <w:t xml:space="preserve"> and Al-</w:t>
      </w:r>
      <w:proofErr w:type="spellStart"/>
      <w:r w:rsidRPr="00D26360">
        <w:rPr>
          <w:bCs w:val="0"/>
          <w:color w:val="auto"/>
          <w:szCs w:val="20"/>
        </w:rPr>
        <w:t>Qosh</w:t>
      </w:r>
      <w:proofErr w:type="spellEnd"/>
      <w:r w:rsidRPr="00D26360">
        <w:rPr>
          <w:bCs w:val="0"/>
          <w:color w:val="auto"/>
          <w:szCs w:val="20"/>
        </w:rPr>
        <w:t xml:space="preserve"> mountains located in </w:t>
      </w:r>
      <w:proofErr w:type="spellStart"/>
      <w:r w:rsidRPr="00D26360">
        <w:rPr>
          <w:bCs w:val="0"/>
          <w:color w:val="auto"/>
          <w:szCs w:val="20"/>
        </w:rPr>
        <w:t>Dohuk</w:t>
      </w:r>
      <w:proofErr w:type="spellEnd"/>
      <w:r w:rsidRPr="00D26360">
        <w:rPr>
          <w:bCs w:val="0"/>
          <w:color w:val="auto"/>
          <w:szCs w:val="20"/>
        </w:rPr>
        <w:t xml:space="preserve"> Governorate north Iraq, </w:t>
      </w:r>
      <w:proofErr w:type="spellStart"/>
      <w:r w:rsidRPr="00D26360">
        <w:rPr>
          <w:bCs w:val="0"/>
          <w:color w:val="auto"/>
          <w:szCs w:val="20"/>
        </w:rPr>
        <w:t>Dohuk</w:t>
      </w:r>
      <w:proofErr w:type="spellEnd"/>
      <w:r w:rsidRPr="00D26360">
        <w:rPr>
          <w:bCs w:val="0"/>
          <w:color w:val="auto"/>
          <w:szCs w:val="20"/>
        </w:rPr>
        <w:t xml:space="preserve"> River is crossing the west limb of </w:t>
      </w:r>
      <w:proofErr w:type="spellStart"/>
      <w:r w:rsidRPr="00D26360">
        <w:rPr>
          <w:bCs w:val="0"/>
          <w:color w:val="auto"/>
          <w:szCs w:val="20"/>
        </w:rPr>
        <w:t>Dohuk</w:t>
      </w:r>
      <w:proofErr w:type="spellEnd"/>
      <w:r w:rsidRPr="00D26360">
        <w:rPr>
          <w:bCs w:val="0"/>
          <w:color w:val="auto"/>
          <w:szCs w:val="20"/>
        </w:rPr>
        <w:t xml:space="preserve"> Mountain, while </w:t>
      </w:r>
      <w:proofErr w:type="spellStart"/>
      <w:r w:rsidRPr="00D26360">
        <w:rPr>
          <w:bCs w:val="0"/>
          <w:color w:val="auto"/>
          <w:szCs w:val="20"/>
        </w:rPr>
        <w:t>Duhkan</w:t>
      </w:r>
      <w:proofErr w:type="spellEnd"/>
      <w:r w:rsidRPr="00D26360">
        <w:rPr>
          <w:bCs w:val="0"/>
          <w:color w:val="auto"/>
          <w:szCs w:val="20"/>
        </w:rPr>
        <w:t xml:space="preserve"> River crosses the </w:t>
      </w:r>
      <w:proofErr w:type="spellStart"/>
      <w:r w:rsidRPr="00D26360">
        <w:rPr>
          <w:bCs w:val="0"/>
          <w:color w:val="auto"/>
          <w:szCs w:val="20"/>
        </w:rPr>
        <w:t>Duhkan</w:t>
      </w:r>
      <w:proofErr w:type="spellEnd"/>
      <w:r w:rsidRPr="00D26360">
        <w:rPr>
          <w:bCs w:val="0"/>
          <w:color w:val="auto"/>
          <w:szCs w:val="20"/>
        </w:rPr>
        <w:t xml:space="preserve"> Mountain (Fig.1). </w:t>
      </w:r>
    </w:p>
    <w:p w:rsidR="00F03418" w:rsidRPr="00D26360" w:rsidRDefault="009F6C70" w:rsidP="009F6C70">
      <w:pPr>
        <w:pStyle w:val="Heading1"/>
        <w:rPr>
          <w:color w:val="auto"/>
        </w:rPr>
      </w:pPr>
      <w:r w:rsidRPr="00D26360">
        <w:rPr>
          <w:bCs w:val="0"/>
          <w:color w:val="auto"/>
          <w:szCs w:val="20"/>
        </w:rPr>
        <w:t xml:space="preserve">The aim of this paper is to identify the relationship between fold growth and drainage basin and then evaluate the drainage basin in the </w:t>
      </w:r>
      <w:proofErr w:type="spellStart"/>
      <w:r w:rsidRPr="00D26360">
        <w:rPr>
          <w:bCs w:val="0"/>
          <w:color w:val="auto"/>
          <w:szCs w:val="20"/>
        </w:rPr>
        <w:t>Duhok</w:t>
      </w:r>
      <w:proofErr w:type="spellEnd"/>
      <w:r w:rsidRPr="00D26360">
        <w:rPr>
          <w:bCs w:val="0"/>
          <w:color w:val="auto"/>
          <w:szCs w:val="20"/>
        </w:rPr>
        <w:t>- AL-</w:t>
      </w:r>
      <w:proofErr w:type="spellStart"/>
      <w:r w:rsidRPr="00D26360">
        <w:rPr>
          <w:bCs w:val="0"/>
          <w:color w:val="auto"/>
          <w:szCs w:val="20"/>
        </w:rPr>
        <w:t>Qosh</w:t>
      </w:r>
      <w:proofErr w:type="spellEnd"/>
      <w:r w:rsidRPr="00D26360">
        <w:rPr>
          <w:bCs w:val="0"/>
          <w:color w:val="auto"/>
          <w:szCs w:val="20"/>
        </w:rPr>
        <w:t xml:space="preserve"> and </w:t>
      </w:r>
      <w:proofErr w:type="spellStart"/>
      <w:r w:rsidRPr="00D26360">
        <w:rPr>
          <w:bCs w:val="0"/>
          <w:color w:val="auto"/>
          <w:szCs w:val="20"/>
        </w:rPr>
        <w:t>Duhkan</w:t>
      </w:r>
      <w:proofErr w:type="spellEnd"/>
      <w:r w:rsidRPr="00D26360">
        <w:rPr>
          <w:bCs w:val="0"/>
          <w:color w:val="auto"/>
          <w:szCs w:val="20"/>
        </w:rPr>
        <w:t xml:space="preserve"> folds. Using geomorphic indicator will help understanding the mechanism between growth of fold and drainage pattern and also concluding the tectonic evolution in the study site. Geomorphologic indicator was used to analyze and draw maps in the study site.</w:t>
      </w:r>
    </w:p>
    <w:p w:rsidR="00DA0CB6" w:rsidRPr="00D26360" w:rsidRDefault="00DA0CB6" w:rsidP="00DA0CB6">
      <w:pPr>
        <w:spacing w:line="240" w:lineRule="auto"/>
        <w:rPr>
          <w:b/>
          <w:sz w:val="30"/>
          <w:szCs w:val="30"/>
        </w:rPr>
      </w:pPr>
      <w:proofErr w:type="gramStart"/>
      <w:r w:rsidRPr="00D26360">
        <w:rPr>
          <w:b/>
          <w:sz w:val="30"/>
          <w:szCs w:val="30"/>
        </w:rPr>
        <w:t>2  Data</w:t>
      </w:r>
      <w:proofErr w:type="gramEnd"/>
      <w:r w:rsidRPr="00D26360">
        <w:rPr>
          <w:b/>
          <w:sz w:val="30"/>
          <w:szCs w:val="30"/>
        </w:rPr>
        <w:t xml:space="preserve"> Used</w:t>
      </w:r>
    </w:p>
    <w:p w:rsidR="00DA0CB6" w:rsidRPr="00D26360" w:rsidRDefault="00DA0CB6" w:rsidP="00DA0CB6">
      <w:pPr>
        <w:spacing w:line="240" w:lineRule="auto"/>
        <w:rPr>
          <w:b/>
          <w:sz w:val="28"/>
          <w:szCs w:val="28"/>
        </w:rPr>
      </w:pPr>
    </w:p>
    <w:p w:rsidR="00DA0CB6" w:rsidRPr="00D26360" w:rsidRDefault="00DA0CB6" w:rsidP="00DA0CB6">
      <w:pPr>
        <w:spacing w:line="240" w:lineRule="auto"/>
        <w:ind w:firstLine="720"/>
        <w:rPr>
          <w:szCs w:val="24"/>
        </w:rPr>
      </w:pPr>
      <w:r w:rsidRPr="00D26360">
        <w:rPr>
          <w:szCs w:val="24"/>
        </w:rPr>
        <w:t>Remote sensing data, which include Land sat satellite image (</w:t>
      </w:r>
      <w:r w:rsidRPr="00D26360">
        <w:rPr>
          <w:rFonts w:asciiTheme="majorBidi" w:hAnsiTheme="majorBidi" w:cstheme="majorBidi"/>
          <w:szCs w:val="24"/>
        </w:rPr>
        <w:t>consisting of            4 spectral bands</w:t>
      </w:r>
      <w:r w:rsidRPr="00D26360">
        <w:rPr>
          <w:szCs w:val="24"/>
        </w:rPr>
        <w:t>) and Digital Elevation Models (SRTM 90 meters), were used to calculate geomorphic indices of folds that may help categorizing them and detecting geomorphic criteria that indicate the fold growth.</w:t>
      </w:r>
      <w:r w:rsidRPr="00D26360">
        <w:rPr>
          <w:rFonts w:asciiTheme="majorBidi" w:hAnsiTheme="majorBidi" w:cstheme="majorBidi"/>
          <w:szCs w:val="24"/>
        </w:rPr>
        <w:t xml:space="preserve"> Satellite images were used to delimit fold shapes and to mark locations and diversions of the stream network. T</w:t>
      </w:r>
      <w:r w:rsidRPr="00D26360">
        <w:rPr>
          <w:rFonts w:asciiTheme="majorBidi" w:hAnsiTheme="majorBidi" w:cstheme="majorBidi"/>
          <w:szCs w:val="24"/>
          <w:lang w:bidi="ar-IQ"/>
        </w:rPr>
        <w:t>wo programs were used for completing the aims of this study, Arc GIS and River tools. Arc GIS program is used for calculating the geomorphic parameters of folds; using satellite image for the space ratio, and SRTM for calculating the front fold sinuosity. River tools program is used for calculating drainage basin on the limb of folds (from water divided to the break of slope of fold).</w:t>
      </w:r>
      <w:r w:rsidRPr="00D26360">
        <w:rPr>
          <w:szCs w:val="24"/>
        </w:rPr>
        <w:t xml:space="preserve"> Drawing drainage basin and calculating </w:t>
      </w:r>
      <w:r w:rsidRPr="00D26360">
        <w:rPr>
          <w:szCs w:val="24"/>
        </w:rPr>
        <w:lastRenderedPageBreak/>
        <w:t xml:space="preserve">geomorphic parameters were obtained by Arc GIS software. </w:t>
      </w:r>
    </w:p>
    <w:p w:rsidR="0077016D" w:rsidRPr="00D26360" w:rsidRDefault="0077016D">
      <w:pPr>
        <w:spacing w:line="240" w:lineRule="auto"/>
        <w:rPr>
          <w:szCs w:val="24"/>
        </w:rPr>
      </w:pPr>
    </w:p>
    <w:p w:rsidR="009F6C70" w:rsidRPr="00D26360" w:rsidRDefault="009F6C70" w:rsidP="00DA0CB6">
      <w:pPr>
        <w:spacing w:line="240" w:lineRule="auto"/>
        <w:jc w:val="center"/>
        <w:rPr>
          <w:szCs w:val="24"/>
        </w:rPr>
      </w:pPr>
      <w:r w:rsidRPr="00D26360">
        <w:rPr>
          <w:noProof/>
          <w:szCs w:val="24"/>
          <w:lang w:val="sv-SE" w:eastAsia="sv-SE"/>
        </w:rPr>
        <w:drawing>
          <wp:inline distT="0" distB="0" distL="0" distR="0" wp14:anchorId="66D34C16" wp14:editId="531AE2F3">
            <wp:extent cx="4342223" cy="6310184"/>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48618" cy="6319477"/>
                    </a:xfrm>
                    <a:prstGeom prst="rect">
                      <a:avLst/>
                    </a:prstGeom>
                    <a:noFill/>
                    <a:ln>
                      <a:noFill/>
                    </a:ln>
                  </pic:spPr>
                </pic:pic>
              </a:graphicData>
            </a:graphic>
          </wp:inline>
        </w:drawing>
      </w:r>
    </w:p>
    <w:p w:rsidR="009F6C70" w:rsidRPr="00D26360" w:rsidRDefault="009F6C70">
      <w:pPr>
        <w:spacing w:line="240" w:lineRule="auto"/>
        <w:rPr>
          <w:szCs w:val="24"/>
        </w:rPr>
      </w:pPr>
    </w:p>
    <w:p w:rsidR="009F6C70" w:rsidRPr="00D26360" w:rsidRDefault="009F6C70" w:rsidP="009F6C70">
      <w:pPr>
        <w:pStyle w:val="NoSpacing"/>
        <w:spacing w:line="276" w:lineRule="auto"/>
        <w:jc w:val="center"/>
        <w:rPr>
          <w:lang w:val="en-US"/>
        </w:rPr>
      </w:pPr>
      <w:r w:rsidRPr="00D26360">
        <w:rPr>
          <w:rFonts w:asciiTheme="majorBidi" w:hAnsiTheme="majorBidi" w:cstheme="majorBidi"/>
          <w:sz w:val="24"/>
          <w:szCs w:val="24"/>
          <w:lang w:val="en-US"/>
        </w:rPr>
        <w:t xml:space="preserve">Fig. 1: </w:t>
      </w:r>
      <w:proofErr w:type="gramStart"/>
      <w:r w:rsidRPr="00D26360">
        <w:rPr>
          <w:rFonts w:asciiTheme="majorBidi" w:hAnsiTheme="majorBidi" w:cstheme="majorBidi"/>
          <w:sz w:val="24"/>
          <w:szCs w:val="24"/>
          <w:lang w:val="en-US"/>
        </w:rPr>
        <w:t>( A</w:t>
      </w:r>
      <w:proofErr w:type="gramEnd"/>
      <w:r w:rsidRPr="00D26360">
        <w:rPr>
          <w:rFonts w:asciiTheme="majorBidi" w:hAnsiTheme="majorBidi" w:cstheme="majorBidi"/>
          <w:sz w:val="24"/>
          <w:szCs w:val="24"/>
          <w:lang w:val="en-US"/>
        </w:rPr>
        <w:t>) Location of the study site in the Iraq, ( B) Satellite image (2D) shown the mountains in the study site by NASA 2015</w:t>
      </w:r>
    </w:p>
    <w:p w:rsidR="009F6C70" w:rsidRPr="00D26360" w:rsidRDefault="009F6C70">
      <w:pPr>
        <w:spacing w:line="240" w:lineRule="auto"/>
        <w:rPr>
          <w:szCs w:val="24"/>
        </w:rPr>
      </w:pPr>
    </w:p>
    <w:p w:rsidR="009F6C70" w:rsidRPr="00D26360" w:rsidRDefault="009F6C70">
      <w:pPr>
        <w:spacing w:line="240" w:lineRule="auto"/>
        <w:rPr>
          <w:szCs w:val="24"/>
        </w:rPr>
      </w:pPr>
    </w:p>
    <w:p w:rsidR="00DA0CB6" w:rsidRPr="00D26360" w:rsidRDefault="00DA0CB6">
      <w:pPr>
        <w:spacing w:line="240" w:lineRule="auto"/>
        <w:rPr>
          <w:szCs w:val="24"/>
        </w:rPr>
      </w:pPr>
    </w:p>
    <w:p w:rsidR="00DA0CB6" w:rsidRPr="00D26360" w:rsidRDefault="00DA0CB6">
      <w:pPr>
        <w:spacing w:line="240" w:lineRule="auto"/>
        <w:rPr>
          <w:szCs w:val="24"/>
        </w:rPr>
      </w:pPr>
    </w:p>
    <w:p w:rsidR="000375F9" w:rsidRPr="00D26360" w:rsidRDefault="000375F9">
      <w:pPr>
        <w:spacing w:line="240" w:lineRule="auto"/>
        <w:rPr>
          <w:szCs w:val="24"/>
        </w:rPr>
      </w:pPr>
    </w:p>
    <w:p w:rsidR="00F03418" w:rsidRPr="00D26360" w:rsidRDefault="00F03418" w:rsidP="00F03418">
      <w:pPr>
        <w:spacing w:line="240" w:lineRule="auto"/>
        <w:rPr>
          <w:b/>
          <w:sz w:val="28"/>
          <w:szCs w:val="28"/>
        </w:rPr>
      </w:pPr>
    </w:p>
    <w:p w:rsidR="00F03418" w:rsidRPr="00D26360" w:rsidRDefault="00F03418" w:rsidP="00DA0CB6">
      <w:pPr>
        <w:spacing w:line="360" w:lineRule="auto"/>
        <w:rPr>
          <w:b/>
          <w:sz w:val="30"/>
          <w:szCs w:val="30"/>
        </w:rPr>
      </w:pPr>
      <w:proofErr w:type="gramStart"/>
      <w:r w:rsidRPr="00D26360">
        <w:rPr>
          <w:b/>
          <w:sz w:val="30"/>
          <w:szCs w:val="30"/>
        </w:rPr>
        <w:t xml:space="preserve">3 </w:t>
      </w:r>
      <w:r w:rsidR="00827E9C" w:rsidRPr="00D26360">
        <w:rPr>
          <w:b/>
          <w:sz w:val="30"/>
          <w:szCs w:val="30"/>
        </w:rPr>
        <w:t xml:space="preserve"> </w:t>
      </w:r>
      <w:r w:rsidR="00DA0CB6" w:rsidRPr="00D26360">
        <w:rPr>
          <w:b/>
          <w:sz w:val="30"/>
          <w:szCs w:val="30"/>
        </w:rPr>
        <w:t>Geological</w:t>
      </w:r>
      <w:proofErr w:type="gramEnd"/>
      <w:r w:rsidR="00DA0CB6" w:rsidRPr="00D26360">
        <w:rPr>
          <w:b/>
          <w:sz w:val="30"/>
          <w:szCs w:val="30"/>
        </w:rPr>
        <w:t xml:space="preserve"> and Tectonic Roller of the Study Site</w:t>
      </w:r>
    </w:p>
    <w:p w:rsidR="00DA0CB6" w:rsidRPr="00D26360" w:rsidRDefault="00DA0CB6" w:rsidP="00DA0CB6">
      <w:pPr>
        <w:spacing w:line="240" w:lineRule="auto"/>
        <w:ind w:firstLine="482"/>
        <w:rPr>
          <w:szCs w:val="24"/>
        </w:rPr>
      </w:pPr>
      <w:r w:rsidRPr="00D26360">
        <w:rPr>
          <w:szCs w:val="24"/>
        </w:rPr>
        <w:t>Zagros Mountain has resulted from the convergence between the Arabian and Eurasian Plates (Fig.2). The study area is located in the southeastern part of the Zagros High Folded Zone in the Iraqi Kurdistan Region (Fig.2 A). The structural map of the northern part of the Zagros orogeny can be divided into two principal zones, 1) the High Folded Zone, between the Main Zagros Thrust and the Mountain Front Flexure, and 2) the Lower Folded Zone, between the Mountain Front Flexure and the Zagros Deformation Front (Fig.2 B).</w:t>
      </w:r>
    </w:p>
    <w:p w:rsidR="00DA0CB6" w:rsidRPr="00D26360" w:rsidRDefault="00DA0CB6" w:rsidP="00DA0CB6">
      <w:pPr>
        <w:spacing w:line="240" w:lineRule="auto"/>
        <w:ind w:firstLine="482"/>
        <w:rPr>
          <w:szCs w:val="24"/>
        </w:rPr>
      </w:pPr>
      <w:r w:rsidRPr="00D26360">
        <w:rPr>
          <w:noProof/>
          <w:szCs w:val="24"/>
          <w:lang w:val="sv-SE" w:eastAsia="sv-SE"/>
        </w:rPr>
        <w:drawing>
          <wp:inline distT="0" distB="0" distL="0" distR="0" wp14:anchorId="498160E3" wp14:editId="036ED1CA">
            <wp:extent cx="5054600" cy="33348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4600" cy="3334878"/>
                    </a:xfrm>
                    <a:prstGeom prst="rect">
                      <a:avLst/>
                    </a:prstGeom>
                    <a:noFill/>
                    <a:ln>
                      <a:noFill/>
                    </a:ln>
                  </pic:spPr>
                </pic:pic>
              </a:graphicData>
            </a:graphic>
          </wp:inline>
        </w:drawing>
      </w:r>
    </w:p>
    <w:p w:rsidR="00DA0CB6" w:rsidRPr="00D26360" w:rsidRDefault="00DA0CB6" w:rsidP="00DA0CB6">
      <w:pPr>
        <w:spacing w:line="240" w:lineRule="auto"/>
        <w:ind w:firstLine="482"/>
        <w:rPr>
          <w:szCs w:val="24"/>
        </w:rPr>
      </w:pPr>
      <w:r w:rsidRPr="00D26360">
        <w:rPr>
          <w:szCs w:val="24"/>
        </w:rPr>
        <w:t xml:space="preserve">Fig.2: location of the Iraqi Kurdistan in the Middle East A; Study site in the higher folded zone, B; Structural map of the main folded zones </w:t>
      </w:r>
      <w:r w:rsidRPr="00D26360">
        <w:rPr>
          <w:rFonts w:asciiTheme="majorBidi" w:hAnsiTheme="majorBidi" w:cstheme="majorBidi"/>
          <w:szCs w:val="24"/>
        </w:rPr>
        <w:t xml:space="preserve">(Modified after </w:t>
      </w:r>
      <w:r w:rsidRPr="00D26360">
        <w:rPr>
          <w:rFonts w:asciiTheme="majorBidi" w:hAnsiTheme="majorBidi" w:cstheme="majorBidi"/>
          <w:szCs w:val="24"/>
          <w:lang w:val="it-IT"/>
        </w:rPr>
        <w:t>[12]).</w:t>
      </w:r>
    </w:p>
    <w:p w:rsidR="00DA0CB6" w:rsidRPr="00D26360" w:rsidRDefault="00DA0CB6" w:rsidP="00DA0CB6">
      <w:pPr>
        <w:spacing w:line="240" w:lineRule="auto"/>
        <w:ind w:firstLine="482"/>
        <w:rPr>
          <w:szCs w:val="24"/>
        </w:rPr>
      </w:pPr>
    </w:p>
    <w:p w:rsidR="00DA0CB6" w:rsidRPr="00D26360" w:rsidRDefault="00DA0CB6" w:rsidP="00DA0CB6">
      <w:pPr>
        <w:spacing w:line="240" w:lineRule="auto"/>
        <w:rPr>
          <w:szCs w:val="24"/>
        </w:rPr>
      </w:pPr>
      <w:r w:rsidRPr="00D26360">
        <w:rPr>
          <w:szCs w:val="24"/>
        </w:rPr>
        <w:t xml:space="preserve"> </w:t>
      </w:r>
      <w:r w:rsidRPr="00D26360">
        <w:rPr>
          <w:szCs w:val="24"/>
        </w:rPr>
        <w:tab/>
        <w:t>Recently, the Zagros Thrust – Fold Belt in Kurdistan Region has become a region of interest and scholars started to address the structural development of Kurdistan [13,14,15,16</w:t>
      </w:r>
      <w:proofErr w:type="gramStart"/>
      <w:r w:rsidRPr="00D26360">
        <w:rPr>
          <w:szCs w:val="24"/>
        </w:rPr>
        <w:t>] .</w:t>
      </w:r>
      <w:proofErr w:type="gramEnd"/>
      <w:r w:rsidRPr="00D26360">
        <w:rPr>
          <w:szCs w:val="24"/>
        </w:rPr>
        <w:t xml:space="preserve"> According to Figure (3), there are three systems of faults in the Iraqi Kurdistan Region. The first of these faults is the set of N-trending basement faults that formed from EW directed shortening during the </w:t>
      </w:r>
      <w:proofErr w:type="spellStart"/>
      <w:r w:rsidRPr="00D26360">
        <w:rPr>
          <w:szCs w:val="24"/>
        </w:rPr>
        <w:t>Nabitah</w:t>
      </w:r>
      <w:proofErr w:type="spellEnd"/>
      <w:r w:rsidRPr="00D26360">
        <w:rPr>
          <w:szCs w:val="24"/>
        </w:rPr>
        <w:t xml:space="preserve"> Orogeny (680 – 640 Ma), these faults are conspicuous in the basement of southern and western Iraq and are less obvious in northern Iraq [17, 18</w:t>
      </w:r>
      <w:proofErr w:type="gramStart"/>
      <w:r w:rsidRPr="00D26360">
        <w:rPr>
          <w:szCs w:val="24"/>
        </w:rPr>
        <w:t>] .</w:t>
      </w:r>
      <w:proofErr w:type="gramEnd"/>
      <w:r w:rsidRPr="00D26360">
        <w:rPr>
          <w:szCs w:val="24"/>
        </w:rPr>
        <w:t xml:space="preserve"> One well-known fault within this trend is the </w:t>
      </w:r>
      <w:proofErr w:type="spellStart"/>
      <w:r w:rsidRPr="00D26360">
        <w:rPr>
          <w:szCs w:val="24"/>
        </w:rPr>
        <w:t>Kazerun</w:t>
      </w:r>
      <w:proofErr w:type="spellEnd"/>
      <w:r w:rsidRPr="00D26360">
        <w:rPr>
          <w:szCs w:val="24"/>
        </w:rPr>
        <w:t xml:space="preserve"> Fault in Iran, which separates the Fars Zone </w:t>
      </w:r>
      <w:r w:rsidRPr="00D26360">
        <w:rPr>
          <w:szCs w:val="24"/>
        </w:rPr>
        <w:lastRenderedPageBreak/>
        <w:t xml:space="preserve">from the </w:t>
      </w:r>
      <w:proofErr w:type="spellStart"/>
      <w:r w:rsidRPr="00D26360">
        <w:rPr>
          <w:szCs w:val="24"/>
        </w:rPr>
        <w:t>Dezful</w:t>
      </w:r>
      <w:proofErr w:type="spellEnd"/>
      <w:r w:rsidRPr="00D26360">
        <w:rPr>
          <w:szCs w:val="24"/>
        </w:rPr>
        <w:t xml:space="preserve"> Embayment [8, 19</w:t>
      </w:r>
      <w:proofErr w:type="gramStart"/>
      <w:r w:rsidRPr="00D26360">
        <w:rPr>
          <w:szCs w:val="24"/>
        </w:rPr>
        <w:t>] .</w:t>
      </w:r>
      <w:proofErr w:type="gramEnd"/>
      <w:r w:rsidRPr="00D26360">
        <w:rPr>
          <w:szCs w:val="24"/>
        </w:rPr>
        <w:t xml:space="preserve"> In addition, the presence of N-trending lines of salt diapers within the Gulf Region further implies that this system has been reactivated in both pre-Cretaceous and Miocene deformation events [20].</w:t>
      </w:r>
    </w:p>
    <w:p w:rsidR="00DA0CB6" w:rsidRPr="00D26360" w:rsidRDefault="00DA0CB6" w:rsidP="00E74603">
      <w:pPr>
        <w:spacing w:line="240" w:lineRule="auto"/>
        <w:ind w:firstLine="482"/>
        <w:rPr>
          <w:szCs w:val="24"/>
        </w:rPr>
      </w:pPr>
      <w:r w:rsidRPr="00D26360">
        <w:rPr>
          <w:szCs w:val="24"/>
        </w:rPr>
        <w:t>A second trend is oriented NW and belongs to the Najd Fault System, which formed from NW-SE directed extension during the Najd rifting event (610–520 Ma) [17]. This trend is parallel to the present day Zagros trend and thus may have influenced the locations of major deformation zones. Major zone-bounding thrust faults; such as the Main Zagros Thrust (Fig. 2) are interpreted to be the surface expressions of reactivated basement faults from this system [13,17, 2</w:t>
      </w:r>
      <w:r w:rsidR="00E74603" w:rsidRPr="00D26360">
        <w:rPr>
          <w:szCs w:val="24"/>
        </w:rPr>
        <w:t>2</w:t>
      </w:r>
      <w:r w:rsidRPr="00D26360">
        <w:rPr>
          <w:szCs w:val="24"/>
        </w:rPr>
        <w:t xml:space="preserve">]. Lastly, there is the NE- SW trending Transversal Fault System, seen prominently in northern Iraq. This fault system may be related to the Najd Fault System, and is therefore interpreted as Late Proterozoic [17]. </w:t>
      </w:r>
    </w:p>
    <w:p w:rsidR="00DA0CB6" w:rsidRPr="00D26360" w:rsidRDefault="00DA0CB6" w:rsidP="00DA0CB6">
      <w:pPr>
        <w:spacing w:line="240" w:lineRule="auto"/>
        <w:ind w:firstLine="482"/>
        <w:rPr>
          <w:szCs w:val="24"/>
        </w:rPr>
      </w:pPr>
      <w:r w:rsidRPr="00D26360">
        <w:rPr>
          <w:noProof/>
          <w:szCs w:val="24"/>
          <w:lang w:val="sv-SE" w:eastAsia="sv-SE"/>
        </w:rPr>
        <w:drawing>
          <wp:inline distT="0" distB="0" distL="0" distR="0" wp14:anchorId="4D72E662" wp14:editId="4BFD19B0">
            <wp:extent cx="4683201" cy="2902102"/>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1812" cy="2907438"/>
                    </a:xfrm>
                    <a:prstGeom prst="rect">
                      <a:avLst/>
                    </a:prstGeom>
                    <a:noFill/>
                    <a:ln>
                      <a:noFill/>
                    </a:ln>
                  </pic:spPr>
                </pic:pic>
              </a:graphicData>
            </a:graphic>
          </wp:inline>
        </w:drawing>
      </w:r>
    </w:p>
    <w:p w:rsidR="00DA0CB6" w:rsidRPr="00D26360" w:rsidRDefault="00DA0CB6" w:rsidP="00DA0CB6">
      <w:pPr>
        <w:spacing w:line="240" w:lineRule="auto"/>
        <w:ind w:firstLine="482"/>
        <w:rPr>
          <w:szCs w:val="24"/>
        </w:rPr>
      </w:pPr>
    </w:p>
    <w:p w:rsidR="003B0142" w:rsidRPr="00D26360" w:rsidRDefault="003B0142" w:rsidP="00E74603">
      <w:pPr>
        <w:autoSpaceDE w:val="0"/>
        <w:autoSpaceDN w:val="0"/>
        <w:spacing w:line="240" w:lineRule="auto"/>
        <w:jc w:val="center"/>
      </w:pPr>
      <w:r w:rsidRPr="00D26360">
        <w:rPr>
          <w:rFonts w:asciiTheme="majorBidi" w:hAnsiTheme="majorBidi" w:cstheme="majorBidi"/>
          <w:szCs w:val="24"/>
        </w:rPr>
        <w:t xml:space="preserve">Fig. 3: Basement fault map of northern Iraq, showing the three main fault systems (Transversal, Najd and </w:t>
      </w:r>
      <w:proofErr w:type="spellStart"/>
      <w:r w:rsidRPr="00D26360">
        <w:rPr>
          <w:rFonts w:asciiTheme="majorBidi" w:hAnsiTheme="majorBidi" w:cstheme="majorBidi"/>
          <w:szCs w:val="24"/>
        </w:rPr>
        <w:t>Nabitah</w:t>
      </w:r>
      <w:proofErr w:type="spellEnd"/>
      <w:r w:rsidRPr="00D26360">
        <w:rPr>
          <w:rFonts w:asciiTheme="majorBidi" w:hAnsiTheme="majorBidi" w:cstheme="majorBidi"/>
          <w:szCs w:val="24"/>
        </w:rPr>
        <w:t>) as well as other faults, which have been mapped but not formally named or assigned to the main systems and location of the study site. (Modified after [</w:t>
      </w:r>
      <w:r w:rsidR="00E74603" w:rsidRPr="00D26360">
        <w:rPr>
          <w:rFonts w:asciiTheme="majorBidi" w:hAnsiTheme="majorBidi" w:cstheme="majorBidi"/>
          <w:szCs w:val="24"/>
        </w:rPr>
        <w:t>21</w:t>
      </w:r>
      <w:r w:rsidRPr="00D26360">
        <w:rPr>
          <w:rFonts w:asciiTheme="majorBidi" w:hAnsiTheme="majorBidi" w:cstheme="majorBidi"/>
          <w:szCs w:val="24"/>
        </w:rPr>
        <w:t>]).</w:t>
      </w:r>
    </w:p>
    <w:p w:rsidR="00DA0CB6" w:rsidRPr="00D26360" w:rsidRDefault="00DA0CB6" w:rsidP="00DA0CB6">
      <w:pPr>
        <w:spacing w:line="240" w:lineRule="auto"/>
        <w:ind w:firstLine="482"/>
        <w:rPr>
          <w:szCs w:val="24"/>
        </w:rPr>
      </w:pPr>
      <w:proofErr w:type="spellStart"/>
      <w:r w:rsidRPr="00D26360">
        <w:rPr>
          <w:szCs w:val="24"/>
        </w:rPr>
        <w:t>Nabitah</w:t>
      </w:r>
      <w:proofErr w:type="spellEnd"/>
      <w:r w:rsidRPr="00D26360">
        <w:rPr>
          <w:szCs w:val="24"/>
        </w:rPr>
        <w:t xml:space="preserve">, Transversal and other faults cross the folds in the study area from the southwest to the northeast changing the width of these folds (Fig.4). Transversal fault changes the width of </w:t>
      </w:r>
      <w:proofErr w:type="spellStart"/>
      <w:r w:rsidRPr="00D26360">
        <w:rPr>
          <w:szCs w:val="24"/>
        </w:rPr>
        <w:t>Dohuk</w:t>
      </w:r>
      <w:proofErr w:type="spellEnd"/>
      <w:r w:rsidRPr="00D26360">
        <w:rPr>
          <w:szCs w:val="24"/>
        </w:rPr>
        <w:t xml:space="preserve"> fold in the west and middle parts. </w:t>
      </w:r>
      <w:proofErr w:type="spellStart"/>
      <w:r w:rsidRPr="00D26360">
        <w:rPr>
          <w:szCs w:val="24"/>
        </w:rPr>
        <w:t>Nabitah</w:t>
      </w:r>
      <w:proofErr w:type="spellEnd"/>
      <w:r w:rsidRPr="00D26360">
        <w:rPr>
          <w:szCs w:val="24"/>
        </w:rPr>
        <w:t xml:space="preserve"> fault crosses the middle parts of </w:t>
      </w:r>
      <w:proofErr w:type="spellStart"/>
      <w:r w:rsidRPr="00D26360">
        <w:rPr>
          <w:szCs w:val="24"/>
        </w:rPr>
        <w:t>Duhkan</w:t>
      </w:r>
      <w:proofErr w:type="spellEnd"/>
      <w:r w:rsidRPr="00D26360">
        <w:rPr>
          <w:szCs w:val="24"/>
        </w:rPr>
        <w:t xml:space="preserve"> folds and other fault divide the </w:t>
      </w:r>
      <w:proofErr w:type="spellStart"/>
      <w:r w:rsidRPr="00D26360">
        <w:rPr>
          <w:szCs w:val="24"/>
        </w:rPr>
        <w:t>Duhkan</w:t>
      </w:r>
      <w:proofErr w:type="spellEnd"/>
      <w:r w:rsidRPr="00D26360">
        <w:rPr>
          <w:szCs w:val="24"/>
        </w:rPr>
        <w:t xml:space="preserve"> and Al-</w:t>
      </w:r>
      <w:proofErr w:type="spellStart"/>
      <w:r w:rsidRPr="00D26360">
        <w:rPr>
          <w:szCs w:val="24"/>
        </w:rPr>
        <w:t>Qoh</w:t>
      </w:r>
      <w:proofErr w:type="spellEnd"/>
      <w:r w:rsidRPr="00D26360">
        <w:rPr>
          <w:szCs w:val="24"/>
        </w:rPr>
        <w:t xml:space="preserve"> folds. These faults may have been reactivated as a transpersonal structure, creating a topographic step or a pronounced change in thickness, which affected the foreland-ward propagation of the High Folded Zone. Changes in the width of folds may be geomorphic indictors of the fold and drainage basin. Because the drainage basin is a good geomorphic indicator of the land form organization; it is adjustment to growth of fold.</w:t>
      </w:r>
    </w:p>
    <w:p w:rsidR="00DA0CB6" w:rsidRPr="00D26360" w:rsidRDefault="00DA0CB6" w:rsidP="00DA0CB6">
      <w:pPr>
        <w:spacing w:line="240" w:lineRule="auto"/>
        <w:ind w:firstLine="482"/>
        <w:rPr>
          <w:szCs w:val="24"/>
        </w:rPr>
      </w:pPr>
      <w:r w:rsidRPr="00D26360">
        <w:rPr>
          <w:szCs w:val="24"/>
        </w:rPr>
        <w:lastRenderedPageBreak/>
        <w:t xml:space="preserve">The geological formations of the study area are called </w:t>
      </w:r>
      <w:proofErr w:type="spellStart"/>
      <w:r w:rsidRPr="00D26360">
        <w:rPr>
          <w:szCs w:val="24"/>
        </w:rPr>
        <w:t>Aqra-Bekhme</w:t>
      </w:r>
      <w:proofErr w:type="spellEnd"/>
      <w:r w:rsidRPr="00D26360">
        <w:rPr>
          <w:szCs w:val="24"/>
        </w:rPr>
        <w:t xml:space="preserve">, </w:t>
      </w:r>
      <w:proofErr w:type="spellStart"/>
      <w:r w:rsidRPr="00D26360">
        <w:rPr>
          <w:szCs w:val="24"/>
        </w:rPr>
        <w:t>Shiranish</w:t>
      </w:r>
      <w:proofErr w:type="spellEnd"/>
      <w:r w:rsidRPr="00D26360">
        <w:rPr>
          <w:szCs w:val="24"/>
        </w:rPr>
        <w:t xml:space="preserve">, </w:t>
      </w:r>
      <w:proofErr w:type="spellStart"/>
      <w:r w:rsidRPr="00D26360">
        <w:rPr>
          <w:szCs w:val="24"/>
        </w:rPr>
        <w:t>Kholosh</w:t>
      </w:r>
      <w:proofErr w:type="spellEnd"/>
      <w:r w:rsidRPr="00D26360">
        <w:rPr>
          <w:szCs w:val="24"/>
        </w:rPr>
        <w:t xml:space="preserve">, </w:t>
      </w:r>
      <w:proofErr w:type="spellStart"/>
      <w:r w:rsidRPr="00D26360">
        <w:rPr>
          <w:szCs w:val="24"/>
        </w:rPr>
        <w:t>Khurmala</w:t>
      </w:r>
      <w:proofErr w:type="spellEnd"/>
      <w:r w:rsidRPr="00D26360">
        <w:rPr>
          <w:szCs w:val="24"/>
        </w:rPr>
        <w:t xml:space="preserve">, </w:t>
      </w:r>
      <w:proofErr w:type="spellStart"/>
      <w:r w:rsidRPr="00D26360">
        <w:rPr>
          <w:szCs w:val="24"/>
        </w:rPr>
        <w:t>Gercus</w:t>
      </w:r>
      <w:proofErr w:type="spellEnd"/>
      <w:r w:rsidRPr="00D26360">
        <w:rPr>
          <w:szCs w:val="24"/>
        </w:rPr>
        <w:t xml:space="preserve">, Pila </w:t>
      </w:r>
      <w:proofErr w:type="spellStart"/>
      <w:r w:rsidRPr="00D26360">
        <w:rPr>
          <w:szCs w:val="24"/>
        </w:rPr>
        <w:t>Spi</w:t>
      </w:r>
      <w:proofErr w:type="spellEnd"/>
      <w:r w:rsidRPr="00D26360">
        <w:rPr>
          <w:szCs w:val="24"/>
        </w:rPr>
        <w:t xml:space="preserve">, Fatha, </w:t>
      </w:r>
      <w:proofErr w:type="spellStart"/>
      <w:r w:rsidRPr="00D26360">
        <w:rPr>
          <w:szCs w:val="24"/>
        </w:rPr>
        <w:t>Injana</w:t>
      </w:r>
      <w:proofErr w:type="spellEnd"/>
      <w:r w:rsidRPr="00D26360">
        <w:rPr>
          <w:szCs w:val="24"/>
        </w:rPr>
        <w:t xml:space="preserve">, </w:t>
      </w:r>
      <w:proofErr w:type="spellStart"/>
      <w:r w:rsidRPr="00D26360">
        <w:rPr>
          <w:szCs w:val="24"/>
        </w:rPr>
        <w:t>Mukdadiya</w:t>
      </w:r>
      <w:proofErr w:type="spellEnd"/>
      <w:r w:rsidRPr="00D26360">
        <w:rPr>
          <w:szCs w:val="24"/>
        </w:rPr>
        <w:t xml:space="preserve"> and Bai Hassan formations and Quaternary sediments (Fig.5).</w:t>
      </w:r>
    </w:p>
    <w:p w:rsidR="009A6DA1" w:rsidRPr="00D26360" w:rsidRDefault="003B0142" w:rsidP="003B0142">
      <w:pPr>
        <w:spacing w:line="360" w:lineRule="auto"/>
        <w:jc w:val="center"/>
        <w:rPr>
          <w:szCs w:val="24"/>
        </w:rPr>
      </w:pPr>
      <w:r w:rsidRPr="00D26360">
        <w:rPr>
          <w:noProof/>
          <w:szCs w:val="24"/>
          <w:lang w:val="sv-SE" w:eastAsia="sv-SE"/>
        </w:rPr>
        <w:drawing>
          <wp:inline distT="0" distB="0" distL="0" distR="0" wp14:anchorId="47CF57D8" wp14:editId="7869CA50">
            <wp:extent cx="3902479" cy="3072284"/>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4545" cy="3089656"/>
                    </a:xfrm>
                    <a:prstGeom prst="rect">
                      <a:avLst/>
                    </a:prstGeom>
                    <a:noFill/>
                    <a:ln>
                      <a:noFill/>
                    </a:ln>
                  </pic:spPr>
                </pic:pic>
              </a:graphicData>
            </a:graphic>
          </wp:inline>
        </w:drawing>
      </w:r>
    </w:p>
    <w:p w:rsidR="003B0142" w:rsidRPr="00D26360" w:rsidRDefault="003B0142" w:rsidP="00E74603">
      <w:pPr>
        <w:jc w:val="center"/>
        <w:rPr>
          <w:rFonts w:asciiTheme="majorBidi" w:hAnsiTheme="majorBidi" w:cstheme="majorBidi"/>
          <w:szCs w:val="24"/>
        </w:rPr>
      </w:pPr>
      <w:r w:rsidRPr="00D26360">
        <w:rPr>
          <w:rFonts w:asciiTheme="majorBidi" w:hAnsiTheme="majorBidi" w:cstheme="majorBidi"/>
          <w:szCs w:val="24"/>
        </w:rPr>
        <w:t>Fig. 4: System of faults in the study area, base map form</w:t>
      </w:r>
      <w:r w:rsidRPr="00D26360">
        <w:rPr>
          <w:rFonts w:asciiTheme="majorBidi" w:hAnsiTheme="majorBidi" w:cstheme="majorBidi"/>
          <w:sz w:val="20"/>
        </w:rPr>
        <w:t xml:space="preserve"> </w:t>
      </w:r>
      <w:r w:rsidRPr="00D26360">
        <w:rPr>
          <w:rFonts w:asciiTheme="majorBidi" w:hAnsiTheme="majorBidi" w:cstheme="majorBidi"/>
          <w:szCs w:val="24"/>
        </w:rPr>
        <w:t>[</w:t>
      </w:r>
      <w:r w:rsidR="00E74603" w:rsidRPr="00D26360">
        <w:rPr>
          <w:rFonts w:asciiTheme="majorBidi" w:hAnsiTheme="majorBidi" w:cstheme="majorBidi"/>
          <w:szCs w:val="24"/>
        </w:rPr>
        <w:t>21</w:t>
      </w:r>
      <w:r w:rsidRPr="00D26360">
        <w:rPr>
          <w:rFonts w:asciiTheme="majorBidi" w:hAnsiTheme="majorBidi" w:cstheme="majorBidi"/>
          <w:szCs w:val="24"/>
        </w:rPr>
        <w:t>].</w:t>
      </w:r>
    </w:p>
    <w:p w:rsidR="003B0142" w:rsidRPr="00D26360" w:rsidRDefault="003B0142" w:rsidP="003B0142">
      <w:pPr>
        <w:jc w:val="center"/>
        <w:rPr>
          <w:rFonts w:asciiTheme="majorBidi" w:hAnsiTheme="majorBidi" w:cstheme="majorBidi"/>
          <w:szCs w:val="24"/>
        </w:rPr>
      </w:pPr>
      <w:r w:rsidRPr="00D26360">
        <w:rPr>
          <w:rFonts w:asciiTheme="majorBidi" w:hAnsiTheme="majorBidi" w:cstheme="majorBidi"/>
          <w:noProof/>
          <w:szCs w:val="24"/>
          <w:lang w:val="sv-SE" w:eastAsia="sv-SE"/>
        </w:rPr>
        <w:drawing>
          <wp:inline distT="0" distB="0" distL="0" distR="0" wp14:anchorId="0D835EE5" wp14:editId="03DC262D">
            <wp:extent cx="4518921" cy="31242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9328" cy="3152145"/>
                    </a:xfrm>
                    <a:prstGeom prst="rect">
                      <a:avLst/>
                    </a:prstGeom>
                    <a:noFill/>
                    <a:ln>
                      <a:noFill/>
                    </a:ln>
                  </pic:spPr>
                </pic:pic>
              </a:graphicData>
            </a:graphic>
          </wp:inline>
        </w:drawing>
      </w:r>
    </w:p>
    <w:p w:rsidR="003B0142" w:rsidRPr="00D26360" w:rsidRDefault="003B0142" w:rsidP="00E74603">
      <w:pPr>
        <w:widowControl/>
        <w:kinsoku w:val="0"/>
        <w:overflowPunct w:val="0"/>
        <w:autoSpaceDE w:val="0"/>
        <w:autoSpaceDN w:val="0"/>
        <w:spacing w:line="266" w:lineRule="exact"/>
        <w:ind w:left="40"/>
        <w:jc w:val="left"/>
        <w:textAlignment w:val="auto"/>
        <w:rPr>
          <w:szCs w:val="24"/>
          <w:lang w:eastAsia="el-GR"/>
        </w:rPr>
      </w:pPr>
      <w:r w:rsidRPr="00D26360">
        <w:rPr>
          <w:szCs w:val="24"/>
          <w:lang w:eastAsia="el-GR"/>
        </w:rPr>
        <w:t>Fig.5 Geological map of the regional area including study site (</w:t>
      </w:r>
      <w:r w:rsidR="00D26360" w:rsidRPr="00D26360">
        <w:rPr>
          <w:szCs w:val="24"/>
          <w:lang w:eastAsia="el-GR"/>
        </w:rPr>
        <w:t>after [</w:t>
      </w:r>
      <w:r w:rsidR="00E74603" w:rsidRPr="00D26360">
        <w:rPr>
          <w:szCs w:val="24"/>
          <w:lang w:eastAsia="el-GR"/>
        </w:rPr>
        <w:t>23]</w:t>
      </w:r>
      <w:r w:rsidRPr="00D26360">
        <w:rPr>
          <w:szCs w:val="24"/>
          <w:lang w:eastAsia="el-GR"/>
        </w:rPr>
        <w:t>)</w:t>
      </w:r>
    </w:p>
    <w:p w:rsidR="000375F9" w:rsidRPr="00D26360" w:rsidRDefault="000375F9" w:rsidP="009A6DA1">
      <w:pPr>
        <w:spacing w:line="240" w:lineRule="auto"/>
        <w:rPr>
          <w:szCs w:val="24"/>
        </w:rPr>
      </w:pPr>
    </w:p>
    <w:p w:rsidR="000375F9" w:rsidRPr="00D26360" w:rsidRDefault="000375F9" w:rsidP="009A6DA1">
      <w:pPr>
        <w:spacing w:line="240" w:lineRule="auto"/>
        <w:rPr>
          <w:szCs w:val="24"/>
        </w:rPr>
      </w:pPr>
    </w:p>
    <w:p w:rsidR="000375F9" w:rsidRPr="00D26360" w:rsidRDefault="000375F9" w:rsidP="009A6DA1">
      <w:pPr>
        <w:spacing w:line="240" w:lineRule="auto"/>
        <w:rPr>
          <w:szCs w:val="24"/>
        </w:rPr>
      </w:pPr>
    </w:p>
    <w:p w:rsidR="00827E9C" w:rsidRPr="00D26360" w:rsidRDefault="009A6DA1" w:rsidP="00E74603">
      <w:pPr>
        <w:spacing w:line="240" w:lineRule="auto"/>
        <w:rPr>
          <w:b/>
          <w:sz w:val="30"/>
          <w:szCs w:val="30"/>
        </w:rPr>
      </w:pPr>
      <w:proofErr w:type="gramStart"/>
      <w:r w:rsidRPr="00D26360">
        <w:rPr>
          <w:b/>
          <w:sz w:val="30"/>
          <w:szCs w:val="30"/>
        </w:rPr>
        <w:t>4</w:t>
      </w:r>
      <w:r w:rsidR="00827E9C" w:rsidRPr="00D26360">
        <w:rPr>
          <w:b/>
          <w:sz w:val="30"/>
          <w:szCs w:val="30"/>
        </w:rPr>
        <w:t xml:space="preserve">  </w:t>
      </w:r>
      <w:r w:rsidR="00E74603" w:rsidRPr="00D26360">
        <w:rPr>
          <w:b/>
          <w:sz w:val="30"/>
          <w:szCs w:val="30"/>
        </w:rPr>
        <w:t>Geomorphologic</w:t>
      </w:r>
      <w:proofErr w:type="gramEnd"/>
      <w:r w:rsidR="00E74603" w:rsidRPr="00D26360">
        <w:rPr>
          <w:b/>
          <w:sz w:val="30"/>
          <w:szCs w:val="30"/>
        </w:rPr>
        <w:t xml:space="preserve"> Parameters</w:t>
      </w:r>
    </w:p>
    <w:p w:rsidR="00827E9C" w:rsidRPr="00D26360" w:rsidRDefault="00827E9C" w:rsidP="00827E9C">
      <w:pPr>
        <w:spacing w:line="240" w:lineRule="auto"/>
        <w:rPr>
          <w:szCs w:val="24"/>
        </w:rPr>
      </w:pPr>
    </w:p>
    <w:p w:rsidR="00E74603" w:rsidRPr="00D26360" w:rsidRDefault="00E74603" w:rsidP="00E74603">
      <w:pPr>
        <w:autoSpaceDE w:val="0"/>
        <w:autoSpaceDN w:val="0"/>
        <w:spacing w:line="240" w:lineRule="auto"/>
        <w:ind w:firstLine="720"/>
        <w:rPr>
          <w:rFonts w:asciiTheme="majorBidi" w:hAnsiTheme="majorBidi" w:cstheme="majorBidi"/>
          <w:szCs w:val="24"/>
        </w:rPr>
      </w:pPr>
      <w:r w:rsidRPr="00D26360">
        <w:rPr>
          <w:rFonts w:asciiTheme="majorBidi" w:hAnsiTheme="majorBidi" w:cstheme="majorBidi"/>
          <w:szCs w:val="24"/>
        </w:rPr>
        <w:t>Geomorphic parameters used in this study to characterize the tectonic activity and basin maturity of certain regions are aspect ratio (AR), fold symmetry index (FSI), fold front sinuosity, the spacing ratio (R), and the basin elongation ratio (</w:t>
      </w:r>
      <w:proofErr w:type="spellStart"/>
      <w:r w:rsidRPr="00D26360">
        <w:rPr>
          <w:rFonts w:asciiTheme="majorBidi" w:hAnsiTheme="majorBidi" w:cstheme="majorBidi"/>
          <w:szCs w:val="24"/>
        </w:rPr>
        <w:t>Bs</w:t>
      </w:r>
      <w:proofErr w:type="spellEnd"/>
      <w:r w:rsidRPr="00D26360">
        <w:rPr>
          <w:rFonts w:asciiTheme="majorBidi" w:hAnsiTheme="majorBidi" w:cstheme="majorBidi"/>
          <w:szCs w:val="24"/>
        </w:rPr>
        <w:t>).</w:t>
      </w:r>
    </w:p>
    <w:p w:rsidR="00E74603" w:rsidRPr="00D26360" w:rsidRDefault="00E74603" w:rsidP="00E74603">
      <w:pPr>
        <w:autoSpaceDE w:val="0"/>
        <w:autoSpaceDN w:val="0"/>
        <w:spacing w:line="240" w:lineRule="auto"/>
        <w:rPr>
          <w:rFonts w:asciiTheme="majorBidi" w:hAnsiTheme="majorBidi" w:cstheme="majorBidi"/>
          <w:szCs w:val="24"/>
        </w:rPr>
      </w:pPr>
      <w:r w:rsidRPr="00D26360">
        <w:rPr>
          <w:rFonts w:asciiTheme="majorBidi" w:hAnsiTheme="majorBidi" w:cstheme="majorBidi"/>
          <w:szCs w:val="24"/>
        </w:rPr>
        <w:t xml:space="preserve">Aspect ratio (AR), fold symmetry index (FSI), fold front sinuosity is calculated as shown in Figure (6). </w:t>
      </w:r>
      <w:r w:rsidRPr="00D26360">
        <w:rPr>
          <w:szCs w:val="24"/>
        </w:rPr>
        <w:t xml:space="preserve"> </w:t>
      </w:r>
      <w:r w:rsidRPr="00D26360">
        <w:rPr>
          <w:rFonts w:asciiTheme="majorBidi" w:hAnsiTheme="majorBidi" w:cstheme="majorBidi"/>
          <w:szCs w:val="24"/>
        </w:rPr>
        <w:t>The aspect ratio is the ratio of the fold hinge length to the width of fold or half wavelength [24].</w:t>
      </w:r>
    </w:p>
    <w:p w:rsidR="00E25B8E" w:rsidRPr="00D26360" w:rsidRDefault="00E25B8E">
      <w:pPr>
        <w:spacing w:line="240" w:lineRule="auto"/>
        <w:rPr>
          <w:szCs w:val="24"/>
        </w:rPr>
      </w:pPr>
    </w:p>
    <w:p w:rsidR="003760E0" w:rsidRPr="00D26360" w:rsidRDefault="00E25B8E" w:rsidP="00E74603">
      <w:pPr>
        <w:spacing w:line="240" w:lineRule="auto"/>
        <w:rPr>
          <w:szCs w:val="24"/>
        </w:rPr>
      </w:pPr>
      <w:r w:rsidRPr="00D26360">
        <w:rPr>
          <w:szCs w:val="24"/>
        </w:rPr>
        <w:t xml:space="preserve">                    </w:t>
      </w:r>
      <w:r w:rsidR="00E74603" w:rsidRPr="00D26360">
        <w:rPr>
          <w:noProof/>
          <w:szCs w:val="24"/>
          <w:lang w:val="sv-SE" w:eastAsia="sv-SE"/>
        </w:rPr>
        <w:drawing>
          <wp:inline distT="0" distB="0" distL="0" distR="0" wp14:anchorId="2FB13B8E" wp14:editId="3D467AB2">
            <wp:extent cx="5054600" cy="12020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4600" cy="1202036"/>
                    </a:xfrm>
                    <a:prstGeom prst="rect">
                      <a:avLst/>
                    </a:prstGeom>
                    <a:noFill/>
                    <a:ln>
                      <a:noFill/>
                    </a:ln>
                  </pic:spPr>
                </pic:pic>
              </a:graphicData>
            </a:graphic>
          </wp:inline>
        </w:drawing>
      </w:r>
    </w:p>
    <w:p w:rsidR="00303353" w:rsidRPr="00D26360" w:rsidRDefault="00303353">
      <w:pPr>
        <w:spacing w:line="240" w:lineRule="auto"/>
        <w:rPr>
          <w:szCs w:val="24"/>
        </w:rPr>
      </w:pPr>
    </w:p>
    <w:p w:rsidR="009F30B1" w:rsidRPr="00D26360" w:rsidRDefault="009F30B1">
      <w:pPr>
        <w:spacing w:line="240" w:lineRule="auto"/>
        <w:rPr>
          <w:szCs w:val="24"/>
        </w:rPr>
      </w:pPr>
    </w:p>
    <w:p w:rsidR="00E74603" w:rsidRPr="00D26360" w:rsidRDefault="00E74603" w:rsidP="00E74603">
      <w:pPr>
        <w:spacing w:line="240" w:lineRule="auto"/>
        <w:rPr>
          <w:szCs w:val="24"/>
        </w:rPr>
      </w:pPr>
      <w:r w:rsidRPr="00D26360">
        <w:rPr>
          <w:szCs w:val="24"/>
        </w:rPr>
        <w:t xml:space="preserve">Fig. 6 Measurements for calculating the fold indices described in the text: (a) Aspect Ratio (AR) = length of hinge line (L) divided by width of the fold (W); (b) Fold Symmetry Index (FSI) = width of forelimb (S) divided by half of fold width (W), with forelimb and </w:t>
      </w:r>
      <w:proofErr w:type="spellStart"/>
      <w:r w:rsidRPr="00D26360">
        <w:rPr>
          <w:szCs w:val="24"/>
        </w:rPr>
        <w:t>backlimb</w:t>
      </w:r>
      <w:proofErr w:type="spellEnd"/>
      <w:r w:rsidRPr="00D26360">
        <w:rPr>
          <w:szCs w:val="24"/>
        </w:rPr>
        <w:t xml:space="preserve"> labeled; and (c) Fold Front Sinuosity (FFS) = length of</w:t>
      </w:r>
    </w:p>
    <w:p w:rsidR="00E25B8E" w:rsidRPr="00D26360" w:rsidRDefault="00E74603" w:rsidP="00E74603">
      <w:pPr>
        <w:spacing w:line="240" w:lineRule="auto"/>
        <w:jc w:val="center"/>
        <w:rPr>
          <w:szCs w:val="24"/>
        </w:rPr>
      </w:pPr>
      <w:r w:rsidRPr="00D26360">
        <w:rPr>
          <w:szCs w:val="24"/>
        </w:rPr>
        <w:t>the fold front (FS) divided by fold length (L). Figures are adapted after [10].</w:t>
      </w:r>
    </w:p>
    <w:p w:rsidR="003760E0" w:rsidRPr="00D26360" w:rsidRDefault="003760E0">
      <w:pPr>
        <w:spacing w:line="240" w:lineRule="auto"/>
        <w:rPr>
          <w:szCs w:val="24"/>
        </w:rPr>
      </w:pPr>
    </w:p>
    <w:p w:rsidR="00D203EF" w:rsidRPr="00D26360" w:rsidRDefault="00D203EF" w:rsidP="00D203EF">
      <w:pPr>
        <w:spacing w:line="240" w:lineRule="auto"/>
        <w:ind w:firstLine="482"/>
        <w:rPr>
          <w:szCs w:val="24"/>
        </w:rPr>
      </w:pPr>
      <w:r w:rsidRPr="00D26360">
        <w:rPr>
          <w:szCs w:val="24"/>
        </w:rPr>
        <w:t xml:space="preserve">The fold symmetry index (FSI) equals the width of the forelimb of the fold, divided by half-width of the fold [10]. If the fore limb is the shortest, then the FSI will be less than 1.0. For a hinterland-verging structure, the FSI will be greater than 1.0. A value of 1.0 indicates a perfectly symmetrical fold. These indices are typically used together, to estimate whether a fold is likely to be thrust-cored or </w:t>
      </w:r>
      <w:proofErr w:type="gramStart"/>
      <w:r w:rsidRPr="00D26360">
        <w:rPr>
          <w:szCs w:val="24"/>
        </w:rPr>
        <w:t>not[</w:t>
      </w:r>
      <w:proofErr w:type="gramEnd"/>
      <w:r w:rsidRPr="00D26360">
        <w:rPr>
          <w:szCs w:val="24"/>
        </w:rPr>
        <w:t>25]. A low aspect ratio (&lt; 10) and near-perfect symmetry (FSI close to 1.0) indicate that a fold formed by buckling, rather than by some forcing member, whereas a high aspect ratio (&gt; 10) and pronounced asymmetry typically indicate a thrust-cored or forced fold [8,9,10].</w:t>
      </w:r>
    </w:p>
    <w:p w:rsidR="00D203EF" w:rsidRPr="00D26360" w:rsidRDefault="00D203EF" w:rsidP="00D203EF">
      <w:pPr>
        <w:spacing w:line="240" w:lineRule="auto"/>
        <w:ind w:firstLine="482"/>
        <w:rPr>
          <w:szCs w:val="24"/>
        </w:rPr>
      </w:pPr>
      <w:r w:rsidRPr="00D26360">
        <w:rPr>
          <w:noProof/>
          <w:sz w:val="23"/>
          <w:szCs w:val="23"/>
          <w:lang w:val="sv-SE" w:eastAsia="sv-SE"/>
        </w:rPr>
        <mc:AlternateContent>
          <mc:Choice Requires="wps">
            <w:drawing>
              <wp:anchor distT="0" distB="0" distL="114300" distR="114300" simplePos="0" relativeHeight="251659264" behindDoc="0" locked="0" layoutInCell="1" allowOverlap="1" wp14:anchorId="53DDDCC6" wp14:editId="016B772B">
                <wp:simplePos x="0" y="0"/>
                <wp:positionH relativeFrom="column">
                  <wp:posOffset>3558746</wp:posOffset>
                </wp:positionH>
                <wp:positionV relativeFrom="paragraph">
                  <wp:posOffset>128098</wp:posOffset>
                </wp:positionV>
                <wp:extent cx="993775" cy="24574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03EF" w:rsidRDefault="00D203EF" w:rsidP="00D203EF">
                            <w:r w:rsidRPr="004C11D2">
                              <w:rPr>
                                <w:color w:val="000000"/>
                                <w:sz w:val="23"/>
                                <w:szCs w:val="23"/>
                              </w:rPr>
                              <w:t>R = W / 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DDDCC6" id="_x0000_t202" coordsize="21600,21600" o:spt="202" path="m,l,21600r21600,l21600,xe">
                <v:stroke joinstyle="miter"/>
                <v:path gradientshapeok="t" o:connecttype="rect"/>
              </v:shapetype>
              <v:shape id="Text Box 7" o:spid="_x0000_s1026" type="#_x0000_t202" style="position:absolute;left:0;text-align:left;margin-left:280.2pt;margin-top:10.1pt;width:78.25pt;height:1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" filled="f" stroked="f">
                <v:textbox>
                  <w:txbxContent>
                    <w:p w:rsidR="00D203EF" w:rsidRDefault="00D203EF" w:rsidP="00D203EF">
                      <w:r w:rsidRPr="004C11D2">
                        <w:rPr>
                          <w:color w:val="000000"/>
                          <w:sz w:val="23"/>
                          <w:szCs w:val="23"/>
                        </w:rPr>
                        <w:t>R = W / S,</w:t>
                      </w:r>
                    </w:p>
                  </w:txbxContent>
                </v:textbox>
              </v:shape>
            </w:pict>
          </mc:Fallback>
        </mc:AlternateContent>
      </w:r>
      <w:r w:rsidRPr="00D26360">
        <w:rPr>
          <w:szCs w:val="24"/>
        </w:rPr>
        <w:t>The spacing ratio (R) and the basin elongation ratio (</w:t>
      </w:r>
      <w:proofErr w:type="spellStart"/>
      <w:r w:rsidRPr="00D26360">
        <w:rPr>
          <w:szCs w:val="24"/>
        </w:rPr>
        <w:t>Bs</w:t>
      </w:r>
      <w:proofErr w:type="spellEnd"/>
      <w:r w:rsidRPr="00D26360">
        <w:rPr>
          <w:szCs w:val="24"/>
        </w:rPr>
        <w:t>) index are calculated as shown in Figure (7). The Spacing ratio is expressed as:</w:t>
      </w:r>
    </w:p>
    <w:p w:rsidR="00D203EF" w:rsidRPr="00D26360" w:rsidRDefault="00D203EF" w:rsidP="00D203EF">
      <w:pPr>
        <w:spacing w:line="240" w:lineRule="auto"/>
        <w:ind w:firstLine="482"/>
        <w:rPr>
          <w:szCs w:val="24"/>
        </w:rPr>
      </w:pPr>
    </w:p>
    <w:p w:rsidR="00D203EF" w:rsidRPr="00D26360" w:rsidRDefault="00D203EF" w:rsidP="00D203EF">
      <w:pPr>
        <w:spacing w:line="240" w:lineRule="auto"/>
        <w:rPr>
          <w:szCs w:val="24"/>
        </w:rPr>
      </w:pPr>
    </w:p>
    <w:p w:rsidR="00D203EF" w:rsidRPr="00D26360" w:rsidRDefault="00D203EF" w:rsidP="00D203EF">
      <w:pPr>
        <w:spacing w:line="240" w:lineRule="auto"/>
        <w:rPr>
          <w:szCs w:val="24"/>
        </w:rPr>
      </w:pPr>
      <w:r w:rsidRPr="00D26360">
        <w:rPr>
          <w:szCs w:val="24"/>
        </w:rPr>
        <w:t xml:space="preserve">where W is the half-width, measured from the mouth of the basin to the main drainage divide perpendicular to the mountain front, and S is the spacing between </w:t>
      </w:r>
      <w:r w:rsidRPr="00D26360">
        <w:rPr>
          <w:szCs w:val="24"/>
        </w:rPr>
        <w:lastRenderedPageBreak/>
        <w:t xml:space="preserve">the two mouths (Fig. 7a). For this study drainage networks include only 29 sub </w:t>
      </w:r>
      <w:r w:rsidRPr="00D26360">
        <w:rPr>
          <w:noProof/>
          <w:sz w:val="23"/>
          <w:szCs w:val="23"/>
          <w:lang w:val="sv-SE" w:eastAsia="sv-SE"/>
        </w:rPr>
        <mc:AlternateContent>
          <mc:Choice Requires="wps">
            <w:drawing>
              <wp:anchor distT="0" distB="0" distL="114300" distR="114300" simplePos="0" relativeHeight="251661312" behindDoc="0" locked="0" layoutInCell="1" allowOverlap="1" wp14:anchorId="12C75AEE" wp14:editId="04F819AF">
                <wp:simplePos x="0" y="0"/>
                <wp:positionH relativeFrom="column">
                  <wp:posOffset>123568</wp:posOffset>
                </wp:positionH>
                <wp:positionV relativeFrom="paragraph">
                  <wp:posOffset>275745</wp:posOffset>
                </wp:positionV>
                <wp:extent cx="1054100" cy="37846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03EF" w:rsidRPr="00C36F2C" w:rsidRDefault="00D203EF" w:rsidP="00D203EF">
                            <w:pPr>
                              <w:autoSpaceDE w:val="0"/>
                              <w:autoSpaceDN w:val="0"/>
                              <w:spacing w:line="240" w:lineRule="auto"/>
                              <w:rPr>
                                <w:color w:val="000000"/>
                                <w:szCs w:val="24"/>
                              </w:rPr>
                            </w:pPr>
                            <w:proofErr w:type="spellStart"/>
                            <w:r w:rsidRPr="00C36F2C">
                              <w:rPr>
                                <w:color w:val="000000"/>
                                <w:szCs w:val="24"/>
                              </w:rPr>
                              <w:t>Bs</w:t>
                            </w:r>
                            <w:proofErr w:type="spellEnd"/>
                            <w:r w:rsidRPr="00C36F2C">
                              <w:rPr>
                                <w:color w:val="000000"/>
                                <w:szCs w:val="24"/>
                              </w:rPr>
                              <w:t xml:space="preserve"> = </w:t>
                            </w:r>
                            <w:proofErr w:type="spellStart"/>
                            <w:r w:rsidRPr="00C36F2C">
                              <w:rPr>
                                <w:color w:val="000000"/>
                                <w:szCs w:val="24"/>
                              </w:rPr>
                              <w:t>Bl</w:t>
                            </w:r>
                            <w:proofErr w:type="spellEnd"/>
                            <w:r w:rsidRPr="00C36F2C">
                              <w:rPr>
                                <w:color w:val="000000"/>
                                <w:szCs w:val="24"/>
                              </w:rPr>
                              <w:t xml:space="preserve"> / </w:t>
                            </w:r>
                            <w:proofErr w:type="spellStart"/>
                            <w:r w:rsidRPr="00C36F2C">
                              <w:rPr>
                                <w:color w:val="000000"/>
                                <w:szCs w:val="24"/>
                              </w:rPr>
                              <w:t>Bw</w:t>
                            </w:r>
                            <w:proofErr w:type="spellEnd"/>
                            <w:r w:rsidRPr="00C36F2C">
                              <w:rPr>
                                <w:color w:val="000000"/>
                                <w:szCs w:val="24"/>
                              </w:rPr>
                              <w:t xml:space="preserve">, </w:t>
                            </w:r>
                          </w:p>
                          <w:p w:rsidR="00D203EF" w:rsidRPr="00C36F2C" w:rsidRDefault="00D203EF" w:rsidP="00D203EF">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75AEE" id="Text Box 8" o:spid="_x0000_s1027" type="#_x0000_t202" style="position:absolute;left:0;text-align:left;margin-left:9.75pt;margin-top:21.7pt;width:83pt;height:2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YaitwIAAMA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" filled="f" stroked="f">
                <v:textbox>
                  <w:txbxContent>
                    <w:p w:rsidR="00D203EF" w:rsidRPr="00C36F2C" w:rsidRDefault="00D203EF" w:rsidP="00D203EF">
                      <w:pPr>
                        <w:autoSpaceDE w:val="0"/>
                        <w:autoSpaceDN w:val="0"/>
                        <w:spacing w:line="240" w:lineRule="auto"/>
                        <w:rPr>
                          <w:color w:val="000000"/>
                          <w:szCs w:val="24"/>
                        </w:rPr>
                      </w:pPr>
                      <w:r w:rsidRPr="00C36F2C">
                        <w:rPr>
                          <w:color w:val="000000"/>
                          <w:szCs w:val="24"/>
                        </w:rPr>
                        <w:t xml:space="preserve">Bs = Bl / Bw, </w:t>
                      </w:r>
                    </w:p>
                    <w:p w:rsidR="00D203EF" w:rsidRPr="00C36F2C" w:rsidRDefault="00D203EF" w:rsidP="00D203EF">
                      <w:pPr>
                        <w:rPr>
                          <w:szCs w:val="24"/>
                        </w:rPr>
                      </w:pPr>
                    </w:p>
                  </w:txbxContent>
                </v:textbox>
              </v:shape>
            </w:pict>
          </mc:Fallback>
        </mc:AlternateContent>
      </w:r>
      <w:r w:rsidRPr="00D26360">
        <w:rPr>
          <w:szCs w:val="24"/>
        </w:rPr>
        <w:t>basins along the fold of the anticlines.  The basin elongation ratio (</w:t>
      </w:r>
      <w:proofErr w:type="spellStart"/>
      <w:r w:rsidRPr="00D26360">
        <w:rPr>
          <w:szCs w:val="24"/>
        </w:rPr>
        <w:t>Bs</w:t>
      </w:r>
      <w:proofErr w:type="spellEnd"/>
      <w:r w:rsidRPr="00D26360">
        <w:rPr>
          <w:szCs w:val="24"/>
        </w:rPr>
        <w:t xml:space="preserve">) is expressed as: </w:t>
      </w:r>
    </w:p>
    <w:p w:rsidR="00D203EF" w:rsidRPr="00D26360" w:rsidRDefault="00D203EF" w:rsidP="00D203EF">
      <w:pPr>
        <w:spacing w:line="240" w:lineRule="auto"/>
        <w:rPr>
          <w:szCs w:val="24"/>
        </w:rPr>
      </w:pPr>
      <w:r w:rsidRPr="00D26360">
        <w:rPr>
          <w:szCs w:val="24"/>
        </w:rPr>
        <w:t>where (B1) is the length of the basin from its mouth to the most distal point and (</w:t>
      </w:r>
      <w:proofErr w:type="spellStart"/>
      <w:proofErr w:type="gramStart"/>
      <w:r w:rsidRPr="00D26360">
        <w:rPr>
          <w:szCs w:val="24"/>
        </w:rPr>
        <w:t>Bw</w:t>
      </w:r>
      <w:proofErr w:type="spellEnd"/>
      <w:r w:rsidRPr="00D26360">
        <w:rPr>
          <w:szCs w:val="24"/>
        </w:rPr>
        <w:t xml:space="preserve"> )</w:t>
      </w:r>
      <w:proofErr w:type="gramEnd"/>
      <w:r w:rsidRPr="00D26360">
        <w:rPr>
          <w:szCs w:val="24"/>
        </w:rPr>
        <w:t xml:space="preserve"> is the width of the basin (Fig. 7 b and c).</w:t>
      </w:r>
    </w:p>
    <w:p w:rsidR="00D203EF" w:rsidRPr="00D26360" w:rsidRDefault="00D203EF" w:rsidP="00D203EF">
      <w:pPr>
        <w:spacing w:line="240" w:lineRule="auto"/>
        <w:rPr>
          <w:szCs w:val="24"/>
        </w:rPr>
      </w:pPr>
    </w:p>
    <w:p w:rsidR="009A1C0D" w:rsidRPr="00D26360" w:rsidRDefault="00D203EF">
      <w:pPr>
        <w:spacing w:line="240" w:lineRule="auto"/>
        <w:rPr>
          <w:szCs w:val="24"/>
        </w:rPr>
      </w:pPr>
      <w:r w:rsidRPr="00D26360">
        <w:rPr>
          <w:noProof/>
          <w:szCs w:val="24"/>
          <w:lang w:val="sv-SE" w:eastAsia="sv-SE"/>
        </w:rPr>
        <w:drawing>
          <wp:inline distT="0" distB="0" distL="0" distR="0" wp14:anchorId="3CFDF68D" wp14:editId="75E8423E">
            <wp:extent cx="5054600" cy="188851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4600" cy="1888517"/>
                    </a:xfrm>
                    <a:prstGeom prst="rect">
                      <a:avLst/>
                    </a:prstGeom>
                    <a:noFill/>
                    <a:ln>
                      <a:noFill/>
                    </a:ln>
                  </pic:spPr>
                </pic:pic>
              </a:graphicData>
            </a:graphic>
          </wp:inline>
        </w:drawing>
      </w:r>
    </w:p>
    <w:p w:rsidR="00D203EF" w:rsidRPr="00D26360" w:rsidRDefault="00D203EF" w:rsidP="00AE7258">
      <w:pPr>
        <w:spacing w:line="240" w:lineRule="auto"/>
        <w:rPr>
          <w:szCs w:val="24"/>
        </w:rPr>
      </w:pPr>
      <w:r w:rsidRPr="00D26360">
        <w:rPr>
          <w:szCs w:val="24"/>
        </w:rPr>
        <w:t xml:space="preserve">Fig.7: a; Two mountainous catchments. W is the </w:t>
      </w:r>
      <w:r w:rsidR="00D26360" w:rsidRPr="00D26360">
        <w:rPr>
          <w:szCs w:val="24"/>
        </w:rPr>
        <w:t>half width</w:t>
      </w:r>
      <w:r w:rsidRPr="00D26360">
        <w:rPr>
          <w:szCs w:val="24"/>
        </w:rPr>
        <w:t xml:space="preserve"> a drainage basin, defined as the distance from the mountain front to the main drainage divide and S is the distance between the outlets of two catchments (modified </w:t>
      </w:r>
      <w:r w:rsidR="00D26360" w:rsidRPr="00D26360">
        <w:rPr>
          <w:szCs w:val="24"/>
        </w:rPr>
        <w:t>by [</w:t>
      </w:r>
      <w:r w:rsidRPr="00D26360">
        <w:rPr>
          <w:szCs w:val="24"/>
        </w:rPr>
        <w:t xml:space="preserve">11]). B; Drainage basin where </w:t>
      </w:r>
      <w:proofErr w:type="spellStart"/>
      <w:r w:rsidRPr="00D26360">
        <w:rPr>
          <w:szCs w:val="24"/>
        </w:rPr>
        <w:t>Bl</w:t>
      </w:r>
      <w:proofErr w:type="spellEnd"/>
      <w:r w:rsidRPr="00D26360">
        <w:rPr>
          <w:szCs w:val="24"/>
        </w:rPr>
        <w:t xml:space="preserve"> is a straight line between the mouth </w:t>
      </w:r>
      <w:proofErr w:type="spellStart"/>
      <w:r w:rsidRPr="00D26360">
        <w:rPr>
          <w:szCs w:val="24"/>
        </w:rPr>
        <w:t>ofthe</w:t>
      </w:r>
      <w:proofErr w:type="spellEnd"/>
      <w:r w:rsidRPr="00D26360">
        <w:rPr>
          <w:szCs w:val="24"/>
        </w:rPr>
        <w:t xml:space="preserve"> basin and the most distal point on the drainage divide and </w:t>
      </w:r>
      <w:proofErr w:type="spellStart"/>
      <w:r w:rsidRPr="00D26360">
        <w:rPr>
          <w:szCs w:val="24"/>
        </w:rPr>
        <w:t>Bw</w:t>
      </w:r>
      <w:proofErr w:type="spellEnd"/>
      <w:r w:rsidRPr="00D26360">
        <w:rPr>
          <w:szCs w:val="24"/>
        </w:rPr>
        <w:t xml:space="preserve"> is a straight line perpendicular.</w:t>
      </w:r>
    </w:p>
    <w:p w:rsidR="00D203EF" w:rsidRPr="00D26360" w:rsidRDefault="00D203EF">
      <w:pPr>
        <w:spacing w:line="240" w:lineRule="auto"/>
        <w:rPr>
          <w:szCs w:val="24"/>
        </w:rPr>
      </w:pPr>
    </w:p>
    <w:p w:rsidR="009A1C0D" w:rsidRPr="00D26360" w:rsidRDefault="009A6DA1" w:rsidP="00AE7258">
      <w:pPr>
        <w:spacing w:line="240" w:lineRule="auto"/>
        <w:rPr>
          <w:b/>
          <w:sz w:val="30"/>
          <w:szCs w:val="30"/>
        </w:rPr>
      </w:pPr>
      <w:proofErr w:type="gramStart"/>
      <w:r w:rsidRPr="00D26360">
        <w:rPr>
          <w:b/>
          <w:sz w:val="30"/>
          <w:szCs w:val="30"/>
        </w:rPr>
        <w:t>5</w:t>
      </w:r>
      <w:r w:rsidR="009A1C0D" w:rsidRPr="00D26360">
        <w:rPr>
          <w:b/>
          <w:sz w:val="30"/>
          <w:szCs w:val="30"/>
        </w:rPr>
        <w:t xml:space="preserve">  </w:t>
      </w:r>
      <w:r w:rsidR="00AE7258" w:rsidRPr="00D26360">
        <w:rPr>
          <w:b/>
          <w:sz w:val="30"/>
          <w:szCs w:val="30"/>
        </w:rPr>
        <w:t>Results</w:t>
      </w:r>
      <w:proofErr w:type="gramEnd"/>
    </w:p>
    <w:p w:rsidR="00AE7258" w:rsidRPr="00D26360" w:rsidRDefault="00AE7258" w:rsidP="00AE7258">
      <w:pPr>
        <w:spacing w:line="240" w:lineRule="auto"/>
        <w:ind w:firstLine="482"/>
        <w:rPr>
          <w:szCs w:val="24"/>
        </w:rPr>
      </w:pPr>
      <w:r w:rsidRPr="00D26360">
        <w:rPr>
          <w:szCs w:val="24"/>
        </w:rPr>
        <w:t xml:space="preserve">Geomorphologic indicator of aspect ratio and fold asymmetry are shown in Figure (8 </w:t>
      </w:r>
      <w:proofErr w:type="gramStart"/>
      <w:r w:rsidRPr="00D26360">
        <w:rPr>
          <w:szCs w:val="24"/>
        </w:rPr>
        <w:t>a</w:t>
      </w:r>
      <w:proofErr w:type="gramEnd"/>
      <w:r w:rsidRPr="00D26360">
        <w:rPr>
          <w:szCs w:val="24"/>
        </w:rPr>
        <w:t xml:space="preserve"> and b). Aspect ratio has been registered as 16, 6 and 2.3 for </w:t>
      </w:r>
      <w:proofErr w:type="spellStart"/>
      <w:r w:rsidRPr="00D26360">
        <w:rPr>
          <w:szCs w:val="24"/>
        </w:rPr>
        <w:t>Duhok</w:t>
      </w:r>
      <w:proofErr w:type="spellEnd"/>
      <w:r w:rsidRPr="00D26360">
        <w:rPr>
          <w:szCs w:val="24"/>
        </w:rPr>
        <w:t>, Al-</w:t>
      </w:r>
      <w:proofErr w:type="spellStart"/>
      <w:r w:rsidRPr="00D26360">
        <w:rPr>
          <w:szCs w:val="24"/>
        </w:rPr>
        <w:t>Qosh</w:t>
      </w:r>
      <w:proofErr w:type="spellEnd"/>
      <w:r w:rsidRPr="00D26360">
        <w:rPr>
          <w:szCs w:val="24"/>
        </w:rPr>
        <w:t xml:space="preserve"> and </w:t>
      </w:r>
      <w:proofErr w:type="spellStart"/>
      <w:r w:rsidRPr="00D26360">
        <w:rPr>
          <w:szCs w:val="24"/>
        </w:rPr>
        <w:t>Duhkan</w:t>
      </w:r>
      <w:proofErr w:type="spellEnd"/>
      <w:r w:rsidRPr="00D26360">
        <w:rPr>
          <w:szCs w:val="24"/>
        </w:rPr>
        <w:t xml:space="preserve"> folds, respectively. Thus the formed folds in the study area are of thrust-cored or forced fold in </w:t>
      </w:r>
      <w:proofErr w:type="spellStart"/>
      <w:r w:rsidRPr="00D26360">
        <w:rPr>
          <w:szCs w:val="24"/>
        </w:rPr>
        <w:t>Dohuk</w:t>
      </w:r>
      <w:proofErr w:type="spellEnd"/>
      <w:r w:rsidRPr="00D26360">
        <w:rPr>
          <w:szCs w:val="24"/>
        </w:rPr>
        <w:t xml:space="preserve"> fold and buckling in Al-</w:t>
      </w:r>
      <w:proofErr w:type="spellStart"/>
      <w:r w:rsidRPr="00D26360">
        <w:rPr>
          <w:szCs w:val="24"/>
        </w:rPr>
        <w:t>Qosh</w:t>
      </w:r>
      <w:proofErr w:type="spellEnd"/>
      <w:r w:rsidRPr="00D26360">
        <w:rPr>
          <w:szCs w:val="24"/>
        </w:rPr>
        <w:t xml:space="preserve"> and </w:t>
      </w:r>
      <w:proofErr w:type="spellStart"/>
      <w:r w:rsidRPr="00D26360">
        <w:rPr>
          <w:szCs w:val="24"/>
        </w:rPr>
        <w:t>Duhkan</w:t>
      </w:r>
      <w:proofErr w:type="spellEnd"/>
      <w:r w:rsidRPr="00D26360">
        <w:rPr>
          <w:szCs w:val="24"/>
        </w:rPr>
        <w:t xml:space="preserve"> folds. Fold symmetry index proved that the presence of perfectly symmetrical fold in Al-quash and near-perfect symmetry in </w:t>
      </w:r>
      <w:proofErr w:type="spellStart"/>
      <w:r w:rsidRPr="00D26360">
        <w:rPr>
          <w:szCs w:val="24"/>
        </w:rPr>
        <w:t>Dohuk</w:t>
      </w:r>
      <w:proofErr w:type="spellEnd"/>
      <w:r w:rsidRPr="00D26360">
        <w:rPr>
          <w:szCs w:val="24"/>
        </w:rPr>
        <w:t xml:space="preserve"> and </w:t>
      </w:r>
      <w:proofErr w:type="spellStart"/>
      <w:r w:rsidRPr="00D26360">
        <w:rPr>
          <w:szCs w:val="24"/>
        </w:rPr>
        <w:t>Duhkan</w:t>
      </w:r>
      <w:proofErr w:type="spellEnd"/>
      <w:r w:rsidRPr="00D26360">
        <w:rPr>
          <w:szCs w:val="24"/>
        </w:rPr>
        <w:t>.</w:t>
      </w:r>
    </w:p>
    <w:p w:rsidR="009A1C0D" w:rsidRPr="00D26360" w:rsidRDefault="009A1C0D" w:rsidP="009A1C0D">
      <w:pPr>
        <w:spacing w:line="240" w:lineRule="auto"/>
        <w:rPr>
          <w:szCs w:val="24"/>
        </w:rPr>
      </w:pPr>
    </w:p>
    <w:p w:rsidR="009A1C0D" w:rsidRPr="00D26360" w:rsidRDefault="00AE7258" w:rsidP="009A1C0D">
      <w:pPr>
        <w:spacing w:line="240" w:lineRule="auto"/>
        <w:rPr>
          <w:szCs w:val="24"/>
        </w:rPr>
      </w:pPr>
      <w:r w:rsidRPr="00D26360">
        <w:rPr>
          <w:noProof/>
          <w:szCs w:val="24"/>
          <w:lang w:val="sv-SE" w:eastAsia="sv-SE"/>
        </w:rPr>
        <w:drawing>
          <wp:inline distT="0" distB="0" distL="0" distR="0" wp14:anchorId="6A4243E6" wp14:editId="0B33C6AB">
            <wp:extent cx="5054600" cy="147017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4600" cy="1470174"/>
                    </a:xfrm>
                    <a:prstGeom prst="rect">
                      <a:avLst/>
                    </a:prstGeom>
                    <a:noFill/>
                    <a:ln>
                      <a:noFill/>
                    </a:ln>
                  </pic:spPr>
                </pic:pic>
              </a:graphicData>
            </a:graphic>
          </wp:inline>
        </w:drawing>
      </w:r>
    </w:p>
    <w:p w:rsidR="00AE7258" w:rsidRPr="00D26360" w:rsidRDefault="00AE7258" w:rsidP="009A1C0D">
      <w:pPr>
        <w:spacing w:line="240" w:lineRule="auto"/>
        <w:rPr>
          <w:szCs w:val="24"/>
        </w:rPr>
      </w:pPr>
    </w:p>
    <w:p w:rsidR="009A1C0D" w:rsidRPr="00D26360" w:rsidRDefault="00AE7258" w:rsidP="00AE7258">
      <w:pPr>
        <w:spacing w:line="240" w:lineRule="auto"/>
        <w:jc w:val="center"/>
        <w:rPr>
          <w:szCs w:val="24"/>
        </w:rPr>
      </w:pPr>
      <w:r w:rsidRPr="00D26360">
        <w:rPr>
          <w:szCs w:val="24"/>
        </w:rPr>
        <w:t>Fig.8.Geomorphic parameters for measurement (AR) and (FSI) Fold index</w:t>
      </w:r>
    </w:p>
    <w:p w:rsidR="009A1C0D" w:rsidRPr="00D26360" w:rsidRDefault="00AE7258" w:rsidP="00AE7258">
      <w:pPr>
        <w:spacing w:line="240" w:lineRule="auto"/>
        <w:ind w:firstLine="482"/>
        <w:rPr>
          <w:szCs w:val="24"/>
        </w:rPr>
      </w:pPr>
      <w:r w:rsidRPr="00D26360">
        <w:rPr>
          <w:szCs w:val="24"/>
        </w:rPr>
        <w:t xml:space="preserve">Geomorphic index of the fold front sinuosity in the study site is shown in </w:t>
      </w:r>
      <w:r w:rsidRPr="00D26360">
        <w:rPr>
          <w:szCs w:val="24"/>
        </w:rPr>
        <w:lastRenderedPageBreak/>
        <w:t>Figure (9). Higher values of front sinuosity can be found in firstly uplifted fold and exposed for erosion for long time.  According to Table (1), the values of fold sinuosity vary from 1.6 in Al-</w:t>
      </w:r>
      <w:proofErr w:type="spellStart"/>
      <w:r w:rsidRPr="00D26360">
        <w:rPr>
          <w:szCs w:val="24"/>
        </w:rPr>
        <w:t>Qosh</w:t>
      </w:r>
      <w:proofErr w:type="spellEnd"/>
      <w:r w:rsidRPr="00D26360">
        <w:rPr>
          <w:szCs w:val="24"/>
        </w:rPr>
        <w:t xml:space="preserve"> fold, 1.2 in </w:t>
      </w:r>
      <w:proofErr w:type="spellStart"/>
      <w:r w:rsidRPr="00D26360">
        <w:rPr>
          <w:szCs w:val="24"/>
        </w:rPr>
        <w:t>Duhkan</w:t>
      </w:r>
      <w:proofErr w:type="spellEnd"/>
      <w:r w:rsidRPr="00D26360">
        <w:rPr>
          <w:szCs w:val="24"/>
        </w:rPr>
        <w:t xml:space="preserve"> fold and 0.9 in </w:t>
      </w:r>
      <w:proofErr w:type="spellStart"/>
      <w:r w:rsidRPr="00D26360">
        <w:rPr>
          <w:szCs w:val="24"/>
        </w:rPr>
        <w:t>Dohuk</w:t>
      </w:r>
      <w:proofErr w:type="spellEnd"/>
      <w:r w:rsidRPr="00D26360">
        <w:rPr>
          <w:szCs w:val="24"/>
        </w:rPr>
        <w:t xml:space="preserve"> fold. The Fold front sinuosity may change from one fold to another. The south eastern end of Al-</w:t>
      </w:r>
      <w:proofErr w:type="spellStart"/>
      <w:r w:rsidRPr="00D26360">
        <w:rPr>
          <w:szCs w:val="24"/>
        </w:rPr>
        <w:t>Qosh</w:t>
      </w:r>
      <w:proofErr w:type="spellEnd"/>
      <w:r w:rsidRPr="00D26360">
        <w:rPr>
          <w:szCs w:val="24"/>
        </w:rPr>
        <w:t xml:space="preserve"> fold and north western end of </w:t>
      </w:r>
      <w:proofErr w:type="spellStart"/>
      <w:r w:rsidRPr="00D26360">
        <w:rPr>
          <w:szCs w:val="24"/>
        </w:rPr>
        <w:t>Dohuk</w:t>
      </w:r>
      <w:proofErr w:type="spellEnd"/>
      <w:r w:rsidRPr="00D26360">
        <w:rPr>
          <w:szCs w:val="24"/>
        </w:rPr>
        <w:t xml:space="preserve"> exhibit higher fold front sinuosity than the north western halves. The south eastern part of the Al-</w:t>
      </w:r>
      <w:proofErr w:type="spellStart"/>
      <w:r w:rsidRPr="00D26360">
        <w:rPr>
          <w:szCs w:val="24"/>
        </w:rPr>
        <w:t>Qosh</w:t>
      </w:r>
      <w:proofErr w:type="spellEnd"/>
      <w:r w:rsidRPr="00D26360">
        <w:rPr>
          <w:szCs w:val="24"/>
        </w:rPr>
        <w:t xml:space="preserve"> is also more sinuous than its other parts. The north western part of </w:t>
      </w:r>
      <w:proofErr w:type="spellStart"/>
      <w:r w:rsidRPr="00D26360">
        <w:rPr>
          <w:szCs w:val="24"/>
        </w:rPr>
        <w:t>Duhkan</w:t>
      </w:r>
      <w:proofErr w:type="spellEnd"/>
      <w:r w:rsidRPr="00D26360">
        <w:rPr>
          <w:szCs w:val="24"/>
        </w:rPr>
        <w:t xml:space="preserve"> is more sinuous and the half part of </w:t>
      </w:r>
      <w:proofErr w:type="spellStart"/>
      <w:r w:rsidRPr="00D26360">
        <w:rPr>
          <w:szCs w:val="24"/>
        </w:rPr>
        <w:t>Dohuk</w:t>
      </w:r>
      <w:proofErr w:type="spellEnd"/>
      <w:r w:rsidRPr="00D26360">
        <w:rPr>
          <w:szCs w:val="24"/>
        </w:rPr>
        <w:t xml:space="preserve"> is more sinuous than the other parts (Fig.8).</w:t>
      </w:r>
    </w:p>
    <w:p w:rsidR="00AE7258" w:rsidRPr="00D26360" w:rsidRDefault="00AE7258" w:rsidP="009A1C0D">
      <w:pPr>
        <w:spacing w:line="240" w:lineRule="auto"/>
        <w:rPr>
          <w:b/>
          <w:sz w:val="26"/>
          <w:szCs w:val="26"/>
        </w:rPr>
      </w:pPr>
      <w:r w:rsidRPr="00D26360">
        <w:rPr>
          <w:b/>
          <w:noProof/>
          <w:sz w:val="26"/>
          <w:szCs w:val="26"/>
          <w:lang w:val="sv-SE" w:eastAsia="sv-SE"/>
        </w:rPr>
        <w:drawing>
          <wp:inline distT="0" distB="0" distL="0" distR="0" wp14:anchorId="5C59481D" wp14:editId="68307100">
            <wp:extent cx="5054600" cy="26345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4600" cy="2634517"/>
                    </a:xfrm>
                    <a:prstGeom prst="rect">
                      <a:avLst/>
                    </a:prstGeom>
                    <a:noFill/>
                    <a:ln>
                      <a:noFill/>
                    </a:ln>
                  </pic:spPr>
                </pic:pic>
              </a:graphicData>
            </a:graphic>
          </wp:inline>
        </w:drawing>
      </w:r>
    </w:p>
    <w:p w:rsidR="00AE7258" w:rsidRPr="00D26360" w:rsidRDefault="00AE7258" w:rsidP="009A1C0D">
      <w:pPr>
        <w:spacing w:line="240" w:lineRule="auto"/>
        <w:rPr>
          <w:b/>
          <w:sz w:val="26"/>
          <w:szCs w:val="26"/>
        </w:rPr>
      </w:pPr>
    </w:p>
    <w:p w:rsidR="009A1C0D" w:rsidRPr="00D26360" w:rsidRDefault="00AE7258" w:rsidP="00AE7258">
      <w:pPr>
        <w:spacing w:line="240" w:lineRule="auto"/>
        <w:jc w:val="center"/>
        <w:rPr>
          <w:bCs/>
          <w:szCs w:val="24"/>
        </w:rPr>
      </w:pPr>
      <w:r w:rsidRPr="00D26360">
        <w:rPr>
          <w:bCs/>
          <w:sz w:val="26"/>
          <w:szCs w:val="26"/>
        </w:rPr>
        <w:t>Fig.9 SRTM image shown fold front sinuosity</w:t>
      </w:r>
    </w:p>
    <w:p w:rsidR="00AE7258" w:rsidRPr="00D26360" w:rsidRDefault="00AE7258">
      <w:pPr>
        <w:widowControl/>
        <w:autoSpaceDE w:val="0"/>
        <w:autoSpaceDN w:val="0"/>
        <w:spacing w:line="240" w:lineRule="auto"/>
        <w:textAlignment w:val="bottom"/>
        <w:rPr>
          <w:b/>
          <w:sz w:val="30"/>
          <w:szCs w:val="30"/>
        </w:rPr>
      </w:pPr>
    </w:p>
    <w:p w:rsidR="00AE7258" w:rsidRPr="00D26360" w:rsidRDefault="00AE7258" w:rsidP="00AE7258">
      <w:pPr>
        <w:widowControl/>
        <w:autoSpaceDE w:val="0"/>
        <w:autoSpaceDN w:val="0"/>
        <w:spacing w:line="240" w:lineRule="auto"/>
        <w:ind w:firstLine="482"/>
        <w:textAlignment w:val="bottom"/>
        <w:rPr>
          <w:szCs w:val="24"/>
        </w:rPr>
      </w:pPr>
      <w:r w:rsidRPr="00D26360">
        <w:rPr>
          <w:szCs w:val="24"/>
        </w:rPr>
        <w:t>Classified tributaries of the drainage basin into three types (Fig.10) are pronounced in wider and lengthier folds. Sub parallel tributary is responded to the fold hinge in the western and eastern limbs of the folds. Less symmetric and asymmetric tributaries are located in different parts of the folds. The Spacing ratios (R), elongation ratio (</w:t>
      </w:r>
      <w:proofErr w:type="spellStart"/>
      <w:r w:rsidRPr="00D26360">
        <w:rPr>
          <w:szCs w:val="24"/>
        </w:rPr>
        <w:t>Bs</w:t>
      </w:r>
      <w:proofErr w:type="spellEnd"/>
      <w:r w:rsidRPr="00D26360">
        <w:rPr>
          <w:szCs w:val="24"/>
        </w:rPr>
        <w:t xml:space="preserve">), sinuosity and slope of the studied folds are shown in Tables (2-4). Difference in the shape and area of the sub basins (Fig.11) gave higher sinuosity and wider channel along the studied folds with different slopes. The spacing ratios (R) indicate that drainage basin in the </w:t>
      </w:r>
      <w:proofErr w:type="spellStart"/>
      <w:r w:rsidRPr="00D26360">
        <w:rPr>
          <w:szCs w:val="24"/>
        </w:rPr>
        <w:t>Dohuk</w:t>
      </w:r>
      <w:proofErr w:type="spellEnd"/>
      <w:r w:rsidRPr="00D26360">
        <w:rPr>
          <w:szCs w:val="24"/>
        </w:rPr>
        <w:t xml:space="preserve"> fold range between 2.52 in sub basin (4) to 5.69 in the sub basin (5), and indicate high rates of tectonic activity, while lower spacing ratios indicate lower rates of active tectonics. Valley basin shape (BS) ranges in value from low in sub basin (1) to high in sub basin (2).</w:t>
      </w:r>
    </w:p>
    <w:p w:rsidR="00AE7258" w:rsidRPr="00D26360" w:rsidRDefault="00AE7258">
      <w:pPr>
        <w:widowControl/>
        <w:autoSpaceDE w:val="0"/>
        <w:autoSpaceDN w:val="0"/>
        <w:spacing w:line="240" w:lineRule="auto"/>
        <w:textAlignment w:val="bottom"/>
        <w:rPr>
          <w:bCs/>
          <w:sz w:val="30"/>
          <w:szCs w:val="30"/>
        </w:rPr>
      </w:pPr>
      <w:r w:rsidRPr="00D26360">
        <w:rPr>
          <w:bCs/>
          <w:noProof/>
          <w:sz w:val="30"/>
          <w:szCs w:val="30"/>
          <w:lang w:val="sv-SE" w:eastAsia="sv-SE"/>
        </w:rPr>
        <w:lastRenderedPageBreak/>
        <w:drawing>
          <wp:inline distT="0" distB="0" distL="0" distR="0" wp14:anchorId="256BFF7E" wp14:editId="3B354D3B">
            <wp:extent cx="5054600" cy="29361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4600" cy="2936182"/>
                    </a:xfrm>
                    <a:prstGeom prst="rect">
                      <a:avLst/>
                    </a:prstGeom>
                    <a:noFill/>
                    <a:ln>
                      <a:noFill/>
                    </a:ln>
                  </pic:spPr>
                </pic:pic>
              </a:graphicData>
            </a:graphic>
          </wp:inline>
        </w:drawing>
      </w:r>
    </w:p>
    <w:p w:rsidR="00AE7258" w:rsidRPr="00D26360" w:rsidRDefault="00AE7258" w:rsidP="00AE7258">
      <w:pPr>
        <w:pStyle w:val="BodyText"/>
        <w:kinsoku w:val="0"/>
        <w:overflowPunct w:val="0"/>
        <w:rPr>
          <w:rFonts w:ascii="Times New Roman" w:hAnsi="Times New Roman"/>
          <w:b w:val="0"/>
          <w:sz w:val="24"/>
          <w:szCs w:val="24"/>
        </w:rPr>
      </w:pPr>
      <w:r w:rsidRPr="00D26360">
        <w:rPr>
          <w:rFonts w:ascii="Times New Roman" w:hAnsi="Times New Roman"/>
          <w:b w:val="0"/>
          <w:sz w:val="24"/>
          <w:szCs w:val="24"/>
        </w:rPr>
        <w:t>Fig.10 Response tributary to Fold growth and fold front sinuosity (Break of slope)</w:t>
      </w:r>
    </w:p>
    <w:p w:rsidR="00AE7258" w:rsidRPr="00D26360" w:rsidRDefault="00AE7258">
      <w:pPr>
        <w:widowControl/>
        <w:autoSpaceDE w:val="0"/>
        <w:autoSpaceDN w:val="0"/>
        <w:spacing w:line="240" w:lineRule="auto"/>
        <w:textAlignment w:val="bottom"/>
        <w:rPr>
          <w:szCs w:val="24"/>
        </w:rPr>
      </w:pPr>
      <w:r w:rsidRPr="00D26360">
        <w:rPr>
          <w:noProof/>
          <w:szCs w:val="24"/>
          <w:lang w:val="sv-SE" w:eastAsia="sv-SE"/>
        </w:rPr>
        <w:drawing>
          <wp:inline distT="0" distB="0" distL="0" distR="0" wp14:anchorId="06E09CB7" wp14:editId="71E8C882">
            <wp:extent cx="5054600" cy="270119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54600" cy="2701195"/>
                    </a:xfrm>
                    <a:prstGeom prst="rect">
                      <a:avLst/>
                    </a:prstGeom>
                    <a:noFill/>
                    <a:ln>
                      <a:noFill/>
                    </a:ln>
                  </pic:spPr>
                </pic:pic>
              </a:graphicData>
            </a:graphic>
          </wp:inline>
        </w:drawing>
      </w:r>
    </w:p>
    <w:p w:rsidR="00AE7258" w:rsidRPr="00D26360" w:rsidRDefault="00AE7258" w:rsidP="00AE7258">
      <w:pPr>
        <w:pStyle w:val="BodyText"/>
        <w:kinsoku w:val="0"/>
        <w:overflowPunct w:val="0"/>
        <w:rPr>
          <w:rFonts w:ascii="Times New Roman" w:hAnsi="Times New Roman"/>
          <w:b w:val="0"/>
          <w:sz w:val="24"/>
          <w:szCs w:val="24"/>
        </w:rPr>
      </w:pPr>
      <w:r w:rsidRPr="00D26360">
        <w:rPr>
          <w:rFonts w:ascii="Times New Roman" w:hAnsi="Times New Roman"/>
          <w:b w:val="0"/>
          <w:sz w:val="24"/>
          <w:szCs w:val="24"/>
        </w:rPr>
        <w:t>Fig.11 sub basins in the study site</w:t>
      </w:r>
    </w:p>
    <w:p w:rsidR="00AE7258" w:rsidRPr="00D26360" w:rsidRDefault="00AE7258">
      <w:pPr>
        <w:widowControl/>
        <w:autoSpaceDE w:val="0"/>
        <w:autoSpaceDN w:val="0"/>
        <w:spacing w:line="240" w:lineRule="auto"/>
        <w:textAlignment w:val="bottom"/>
        <w:rPr>
          <w:szCs w:val="24"/>
        </w:rPr>
      </w:pPr>
    </w:p>
    <w:p w:rsidR="00AE7258" w:rsidRPr="00D26360" w:rsidRDefault="00AE7258">
      <w:pPr>
        <w:widowControl/>
        <w:autoSpaceDE w:val="0"/>
        <w:autoSpaceDN w:val="0"/>
        <w:spacing w:line="240" w:lineRule="auto"/>
        <w:textAlignment w:val="bottom"/>
        <w:rPr>
          <w:szCs w:val="24"/>
        </w:rPr>
      </w:pPr>
    </w:p>
    <w:p w:rsidR="00AE7258" w:rsidRPr="00D26360" w:rsidRDefault="00AE7258" w:rsidP="00AE7258">
      <w:pPr>
        <w:widowControl/>
        <w:autoSpaceDE w:val="0"/>
        <w:autoSpaceDN w:val="0"/>
        <w:spacing w:line="240" w:lineRule="auto"/>
        <w:ind w:firstLine="482"/>
        <w:textAlignment w:val="bottom"/>
        <w:rPr>
          <w:szCs w:val="24"/>
        </w:rPr>
      </w:pPr>
      <w:r w:rsidRPr="00D26360">
        <w:rPr>
          <w:szCs w:val="24"/>
        </w:rPr>
        <w:t>The spacing (R) ratios in drainage basin of Al-</w:t>
      </w:r>
      <w:proofErr w:type="spellStart"/>
      <w:r w:rsidRPr="00D26360">
        <w:rPr>
          <w:szCs w:val="24"/>
        </w:rPr>
        <w:t>Qosh</w:t>
      </w:r>
      <w:proofErr w:type="spellEnd"/>
      <w:r w:rsidRPr="00D26360">
        <w:rPr>
          <w:szCs w:val="24"/>
        </w:rPr>
        <w:t xml:space="preserve"> and </w:t>
      </w:r>
      <w:proofErr w:type="spellStart"/>
      <w:r w:rsidRPr="00D26360">
        <w:rPr>
          <w:szCs w:val="24"/>
        </w:rPr>
        <w:t>Duhkan</w:t>
      </w:r>
      <w:proofErr w:type="spellEnd"/>
      <w:r w:rsidRPr="00D26360">
        <w:rPr>
          <w:szCs w:val="24"/>
        </w:rPr>
        <w:t xml:space="preserve"> folds range between 3.42 in sub basin (5) to 10.78 in sun basin (2) and 3.02 in sub basin (1) to 5.81 in sub basin (3) respectively in Al-</w:t>
      </w:r>
      <w:proofErr w:type="spellStart"/>
      <w:r w:rsidRPr="00D26360">
        <w:rPr>
          <w:szCs w:val="24"/>
        </w:rPr>
        <w:t>Qosh</w:t>
      </w:r>
      <w:proofErr w:type="spellEnd"/>
      <w:r w:rsidRPr="00D26360">
        <w:rPr>
          <w:szCs w:val="24"/>
        </w:rPr>
        <w:t xml:space="preserve"> and </w:t>
      </w:r>
      <w:proofErr w:type="spellStart"/>
      <w:r w:rsidRPr="00D26360">
        <w:rPr>
          <w:szCs w:val="24"/>
        </w:rPr>
        <w:t>Duhkan</w:t>
      </w:r>
      <w:proofErr w:type="spellEnd"/>
      <w:r w:rsidRPr="00D26360">
        <w:rPr>
          <w:szCs w:val="24"/>
        </w:rPr>
        <w:t xml:space="preserve"> folds (Tables 3 and 4) indicating high rates of tectonic activity, while lower spacing ratios indicate lower rates of tectonic activity. Valley basin shape (BS) ranges from low in sub basin (4) to high in sub basin (1) in Al-</w:t>
      </w:r>
      <w:proofErr w:type="spellStart"/>
      <w:r w:rsidRPr="00D26360">
        <w:rPr>
          <w:szCs w:val="24"/>
        </w:rPr>
        <w:t>Qosh</w:t>
      </w:r>
      <w:proofErr w:type="spellEnd"/>
      <w:r w:rsidRPr="00D26360">
        <w:rPr>
          <w:szCs w:val="24"/>
        </w:rPr>
        <w:t xml:space="preserve"> fold and in sub basin (5) to high in sub basin (4).</w:t>
      </w:r>
    </w:p>
    <w:p w:rsidR="00AE7258" w:rsidRPr="00D26360" w:rsidRDefault="00AE7258" w:rsidP="00AE7258">
      <w:pPr>
        <w:widowControl/>
        <w:autoSpaceDE w:val="0"/>
        <w:autoSpaceDN w:val="0"/>
        <w:spacing w:line="240" w:lineRule="auto"/>
        <w:textAlignment w:val="bottom"/>
        <w:rPr>
          <w:szCs w:val="24"/>
        </w:rPr>
      </w:pPr>
      <w:r w:rsidRPr="00D26360">
        <w:rPr>
          <w:szCs w:val="24"/>
        </w:rPr>
        <w:lastRenderedPageBreak/>
        <w:t>The major implications of the fault in study area are:</w:t>
      </w:r>
    </w:p>
    <w:p w:rsidR="00AE7258" w:rsidRPr="00D26360" w:rsidRDefault="00AE7258" w:rsidP="00AE7258">
      <w:pPr>
        <w:widowControl/>
        <w:autoSpaceDE w:val="0"/>
        <w:autoSpaceDN w:val="0"/>
        <w:spacing w:line="240" w:lineRule="auto"/>
        <w:textAlignment w:val="bottom"/>
        <w:rPr>
          <w:szCs w:val="24"/>
        </w:rPr>
      </w:pPr>
      <w:r w:rsidRPr="00D26360">
        <w:rPr>
          <w:szCs w:val="24"/>
        </w:rPr>
        <w:t>1-</w:t>
      </w:r>
      <w:r w:rsidRPr="00D26360">
        <w:rPr>
          <w:szCs w:val="24"/>
        </w:rPr>
        <w:tab/>
        <w:t xml:space="preserve">Changes the width of the west and middle parts of the </w:t>
      </w:r>
      <w:proofErr w:type="spellStart"/>
      <w:r w:rsidRPr="00D26360">
        <w:rPr>
          <w:szCs w:val="24"/>
        </w:rPr>
        <w:t>Dohuk</w:t>
      </w:r>
      <w:proofErr w:type="spellEnd"/>
      <w:r w:rsidRPr="00D26360">
        <w:rPr>
          <w:szCs w:val="24"/>
        </w:rPr>
        <w:t xml:space="preserve"> fold.</w:t>
      </w:r>
    </w:p>
    <w:p w:rsidR="00AE7258" w:rsidRPr="00D26360" w:rsidRDefault="00AE7258" w:rsidP="00AE7258">
      <w:pPr>
        <w:widowControl/>
        <w:autoSpaceDE w:val="0"/>
        <w:autoSpaceDN w:val="0"/>
        <w:spacing w:line="240" w:lineRule="auto"/>
        <w:textAlignment w:val="bottom"/>
        <w:rPr>
          <w:szCs w:val="24"/>
        </w:rPr>
      </w:pPr>
      <w:r w:rsidRPr="00D26360">
        <w:rPr>
          <w:szCs w:val="24"/>
        </w:rPr>
        <w:t>2-</w:t>
      </w:r>
      <w:r w:rsidRPr="00D26360">
        <w:rPr>
          <w:szCs w:val="24"/>
        </w:rPr>
        <w:tab/>
        <w:t xml:space="preserve">Crossed the middle part of the </w:t>
      </w:r>
      <w:proofErr w:type="spellStart"/>
      <w:r w:rsidRPr="00D26360">
        <w:rPr>
          <w:szCs w:val="24"/>
        </w:rPr>
        <w:t>Duhkan</w:t>
      </w:r>
      <w:proofErr w:type="spellEnd"/>
      <w:r w:rsidRPr="00D26360">
        <w:rPr>
          <w:szCs w:val="24"/>
        </w:rPr>
        <w:t xml:space="preserve"> fold and divides the </w:t>
      </w:r>
      <w:proofErr w:type="spellStart"/>
      <w:r w:rsidRPr="00D26360">
        <w:rPr>
          <w:szCs w:val="24"/>
        </w:rPr>
        <w:t>Duhkan</w:t>
      </w:r>
      <w:proofErr w:type="spellEnd"/>
      <w:r w:rsidRPr="00D26360">
        <w:rPr>
          <w:szCs w:val="24"/>
        </w:rPr>
        <w:t xml:space="preserve"> and Al-</w:t>
      </w:r>
      <w:proofErr w:type="spellStart"/>
      <w:r w:rsidRPr="00D26360">
        <w:rPr>
          <w:szCs w:val="24"/>
        </w:rPr>
        <w:t>Qosh</w:t>
      </w:r>
      <w:proofErr w:type="spellEnd"/>
      <w:r w:rsidRPr="00D26360">
        <w:rPr>
          <w:szCs w:val="24"/>
        </w:rPr>
        <w:t xml:space="preserve"> folds. </w:t>
      </w:r>
    </w:p>
    <w:p w:rsidR="00AE7258" w:rsidRPr="00D26360" w:rsidRDefault="00AE7258" w:rsidP="00AE7258">
      <w:pPr>
        <w:widowControl/>
        <w:autoSpaceDE w:val="0"/>
        <w:autoSpaceDN w:val="0"/>
        <w:spacing w:line="240" w:lineRule="auto"/>
        <w:textAlignment w:val="bottom"/>
        <w:rPr>
          <w:szCs w:val="24"/>
        </w:rPr>
      </w:pPr>
      <w:r w:rsidRPr="00D26360">
        <w:rPr>
          <w:szCs w:val="24"/>
        </w:rPr>
        <w:t>3-</w:t>
      </w:r>
      <w:r w:rsidRPr="00D26360">
        <w:rPr>
          <w:szCs w:val="24"/>
        </w:rPr>
        <w:tab/>
        <w:t>Creating a topographic step or a pronounced change in width of the folds.</w:t>
      </w:r>
    </w:p>
    <w:p w:rsidR="00AE7258" w:rsidRPr="00D26360" w:rsidRDefault="00AE7258" w:rsidP="00AE7258">
      <w:pPr>
        <w:widowControl/>
        <w:autoSpaceDE w:val="0"/>
        <w:autoSpaceDN w:val="0"/>
        <w:spacing w:line="240" w:lineRule="auto"/>
        <w:textAlignment w:val="bottom"/>
        <w:rPr>
          <w:szCs w:val="24"/>
        </w:rPr>
      </w:pPr>
      <w:r w:rsidRPr="00D26360">
        <w:rPr>
          <w:szCs w:val="24"/>
        </w:rPr>
        <w:t>4-</w:t>
      </w:r>
      <w:r w:rsidRPr="00D26360">
        <w:rPr>
          <w:szCs w:val="24"/>
        </w:rPr>
        <w:tab/>
        <w:t>It has an impact on the drainage basin; this impact is shown in the high tectonic activity of the region and a low maturity of the drainage sub basins.</w:t>
      </w:r>
    </w:p>
    <w:p w:rsidR="00AE7258" w:rsidRPr="00D26360" w:rsidRDefault="00AE7258" w:rsidP="00AE7258">
      <w:pPr>
        <w:widowControl/>
        <w:autoSpaceDE w:val="0"/>
        <w:autoSpaceDN w:val="0"/>
        <w:spacing w:line="240" w:lineRule="auto"/>
        <w:textAlignment w:val="bottom"/>
        <w:rPr>
          <w:szCs w:val="24"/>
        </w:rPr>
      </w:pPr>
      <w:r w:rsidRPr="00D26360">
        <w:rPr>
          <w:szCs w:val="24"/>
        </w:rPr>
        <w:t>5-</w:t>
      </w:r>
      <w:r w:rsidRPr="00D26360">
        <w:rPr>
          <w:szCs w:val="24"/>
        </w:rPr>
        <w:tab/>
        <w:t>Adjustment of the drainage basin to the fold and fault in the case study is by sub parallel tributary in the fold hinge and less symmetric and asymmetric tributaries in different parts of the range.</w:t>
      </w:r>
    </w:p>
    <w:p w:rsidR="00AE7258" w:rsidRPr="00D26360" w:rsidRDefault="00AE7258" w:rsidP="00AE7258">
      <w:pPr>
        <w:widowControl/>
        <w:autoSpaceDE w:val="0"/>
        <w:autoSpaceDN w:val="0"/>
        <w:spacing w:line="240" w:lineRule="auto"/>
        <w:textAlignment w:val="bottom"/>
        <w:rPr>
          <w:szCs w:val="24"/>
        </w:rPr>
      </w:pPr>
    </w:p>
    <w:p w:rsidR="00AE7258" w:rsidRPr="00D26360" w:rsidRDefault="00AE7258" w:rsidP="00AE7258">
      <w:pPr>
        <w:spacing w:line="240" w:lineRule="auto"/>
        <w:rPr>
          <w:b/>
          <w:sz w:val="30"/>
          <w:szCs w:val="30"/>
        </w:rPr>
      </w:pPr>
      <w:r w:rsidRPr="00D26360">
        <w:rPr>
          <w:b/>
          <w:sz w:val="30"/>
          <w:szCs w:val="30"/>
        </w:rPr>
        <w:t>6 Discussion</w:t>
      </w:r>
    </w:p>
    <w:p w:rsidR="00AE7258" w:rsidRPr="00D26360" w:rsidRDefault="00AE7258" w:rsidP="00AE7258">
      <w:pPr>
        <w:widowControl/>
        <w:autoSpaceDE w:val="0"/>
        <w:autoSpaceDN w:val="0"/>
        <w:spacing w:line="240" w:lineRule="auto"/>
        <w:ind w:firstLine="482"/>
        <w:textAlignment w:val="bottom"/>
        <w:rPr>
          <w:szCs w:val="24"/>
        </w:rPr>
      </w:pPr>
      <w:r w:rsidRPr="00D26360">
        <w:rPr>
          <w:szCs w:val="24"/>
        </w:rPr>
        <w:t xml:space="preserve">Geomorphologic indicators are used in this study for evaluation of the fold growth and drainage basin in </w:t>
      </w:r>
      <w:proofErr w:type="spellStart"/>
      <w:r w:rsidRPr="00D26360">
        <w:rPr>
          <w:szCs w:val="24"/>
        </w:rPr>
        <w:t>Dohuk</w:t>
      </w:r>
      <w:proofErr w:type="spellEnd"/>
      <w:r w:rsidRPr="00D26360">
        <w:rPr>
          <w:szCs w:val="24"/>
        </w:rPr>
        <w:t>, Al-</w:t>
      </w:r>
      <w:proofErr w:type="spellStart"/>
      <w:r w:rsidRPr="00D26360">
        <w:rPr>
          <w:szCs w:val="24"/>
        </w:rPr>
        <w:t>Qosh</w:t>
      </w:r>
      <w:proofErr w:type="spellEnd"/>
      <w:r w:rsidRPr="00D26360">
        <w:rPr>
          <w:szCs w:val="24"/>
        </w:rPr>
        <w:t xml:space="preserve"> and </w:t>
      </w:r>
      <w:proofErr w:type="spellStart"/>
      <w:r w:rsidRPr="00D26360">
        <w:rPr>
          <w:szCs w:val="24"/>
        </w:rPr>
        <w:t>Duhkan</w:t>
      </w:r>
      <w:proofErr w:type="spellEnd"/>
      <w:r w:rsidRPr="00D26360">
        <w:rPr>
          <w:szCs w:val="24"/>
        </w:rPr>
        <w:t xml:space="preserve"> folds. The drainage patterns are divided in to three parts along the fold. The first part is tributary run sub parallel, the second part </w:t>
      </w:r>
      <w:r w:rsidR="00514B9C" w:rsidRPr="00D26360">
        <w:rPr>
          <w:szCs w:val="24"/>
        </w:rPr>
        <w:t>is less</w:t>
      </w:r>
      <w:r w:rsidRPr="00D26360">
        <w:rPr>
          <w:szCs w:val="24"/>
        </w:rPr>
        <w:t xml:space="preserve"> asymmetry and third parts is asymmetry. The change in the width of the fold is caused by fold growth and its impact on the drainage pattern. These impacts led to the development of drainage tributary form asymmetry to sub parallel in response to the growth of folds and fold front sinuosity. More fold front sinuosity is in the eastern plunge of the fold, is casing by fold growth. So the drainage tributaries in the eastern plunge of the fold are follow the slope and run almost sub parallel to the fold axis. The less fold front sinuosity is in the </w:t>
      </w:r>
      <w:proofErr w:type="spellStart"/>
      <w:r w:rsidRPr="00D26360">
        <w:rPr>
          <w:szCs w:val="24"/>
        </w:rPr>
        <w:t>centre</w:t>
      </w:r>
      <w:proofErr w:type="spellEnd"/>
      <w:r w:rsidRPr="00D26360">
        <w:rPr>
          <w:szCs w:val="24"/>
        </w:rPr>
        <w:t xml:space="preserve"> part of the fold and the drainage tributaries are response by asymmetry and less asymmetry.  </w:t>
      </w:r>
    </w:p>
    <w:p w:rsidR="00AE7258" w:rsidRPr="00D26360" w:rsidRDefault="00AE7258">
      <w:pPr>
        <w:widowControl/>
        <w:autoSpaceDE w:val="0"/>
        <w:autoSpaceDN w:val="0"/>
        <w:spacing w:line="240" w:lineRule="auto"/>
        <w:textAlignment w:val="bottom"/>
        <w:rPr>
          <w:szCs w:val="24"/>
        </w:rPr>
      </w:pPr>
    </w:p>
    <w:p w:rsidR="00AE7258" w:rsidRPr="00D26360" w:rsidRDefault="00AE7258" w:rsidP="00514B9C">
      <w:pPr>
        <w:spacing w:line="240" w:lineRule="auto"/>
        <w:rPr>
          <w:b/>
          <w:sz w:val="30"/>
          <w:szCs w:val="30"/>
        </w:rPr>
      </w:pPr>
      <w:r w:rsidRPr="00D26360">
        <w:rPr>
          <w:b/>
          <w:sz w:val="30"/>
          <w:szCs w:val="30"/>
        </w:rPr>
        <w:t>7 Conclusions</w:t>
      </w:r>
    </w:p>
    <w:p w:rsidR="00514B9C" w:rsidRPr="00D26360" w:rsidRDefault="00514B9C" w:rsidP="00514B9C">
      <w:pPr>
        <w:spacing w:line="240" w:lineRule="auto"/>
        <w:ind w:firstLine="482"/>
        <w:rPr>
          <w:szCs w:val="24"/>
        </w:rPr>
      </w:pPr>
      <w:r w:rsidRPr="00D26360">
        <w:rPr>
          <w:szCs w:val="24"/>
        </w:rPr>
        <w:t xml:space="preserve">Variability of the tectonic activity and evaluation of the drainage basin in </w:t>
      </w:r>
      <w:proofErr w:type="spellStart"/>
      <w:r w:rsidRPr="00D26360">
        <w:rPr>
          <w:szCs w:val="24"/>
        </w:rPr>
        <w:t>Dohuk</w:t>
      </w:r>
      <w:proofErr w:type="spellEnd"/>
      <w:r w:rsidRPr="00D26360">
        <w:rPr>
          <w:szCs w:val="24"/>
        </w:rPr>
        <w:t>, Al-</w:t>
      </w:r>
      <w:proofErr w:type="spellStart"/>
      <w:r w:rsidRPr="00D26360">
        <w:rPr>
          <w:szCs w:val="24"/>
        </w:rPr>
        <w:t>Qosh</w:t>
      </w:r>
      <w:proofErr w:type="spellEnd"/>
      <w:r w:rsidRPr="00D26360">
        <w:rPr>
          <w:szCs w:val="24"/>
        </w:rPr>
        <w:t xml:space="preserve"> and </w:t>
      </w:r>
      <w:proofErr w:type="spellStart"/>
      <w:r w:rsidRPr="00D26360">
        <w:rPr>
          <w:szCs w:val="24"/>
        </w:rPr>
        <w:t>Duhkan</w:t>
      </w:r>
      <w:proofErr w:type="spellEnd"/>
      <w:r w:rsidRPr="00D26360">
        <w:rPr>
          <w:szCs w:val="24"/>
        </w:rPr>
        <w:t xml:space="preserve"> folds are addressed. Different shapes and areas of sub basins occur in wider folds. The Aspect ratio of the study area formed is a thrust-cored or forced fold in </w:t>
      </w:r>
      <w:proofErr w:type="spellStart"/>
      <w:r w:rsidRPr="00D26360">
        <w:rPr>
          <w:szCs w:val="24"/>
        </w:rPr>
        <w:t>Dohuk</w:t>
      </w:r>
      <w:proofErr w:type="spellEnd"/>
      <w:r w:rsidRPr="00D26360">
        <w:rPr>
          <w:szCs w:val="24"/>
        </w:rPr>
        <w:t xml:space="preserve"> fold and buckling in Al-</w:t>
      </w:r>
      <w:proofErr w:type="spellStart"/>
      <w:r w:rsidRPr="00D26360">
        <w:rPr>
          <w:szCs w:val="24"/>
        </w:rPr>
        <w:t>Qosh</w:t>
      </w:r>
      <w:proofErr w:type="spellEnd"/>
      <w:r w:rsidRPr="00D26360">
        <w:rPr>
          <w:szCs w:val="24"/>
        </w:rPr>
        <w:t xml:space="preserve"> and </w:t>
      </w:r>
      <w:proofErr w:type="spellStart"/>
      <w:r w:rsidRPr="00D26360">
        <w:rPr>
          <w:szCs w:val="24"/>
        </w:rPr>
        <w:t>Duhkan</w:t>
      </w:r>
      <w:proofErr w:type="spellEnd"/>
      <w:r w:rsidRPr="00D26360">
        <w:rPr>
          <w:szCs w:val="24"/>
        </w:rPr>
        <w:t xml:space="preserve"> folds. The Fold symmetry index yielded perfectly symmetrical fold in Al-</w:t>
      </w:r>
      <w:proofErr w:type="spellStart"/>
      <w:r w:rsidRPr="00D26360">
        <w:rPr>
          <w:szCs w:val="24"/>
        </w:rPr>
        <w:t>Qosh</w:t>
      </w:r>
      <w:proofErr w:type="spellEnd"/>
      <w:r w:rsidRPr="00D26360">
        <w:rPr>
          <w:szCs w:val="24"/>
        </w:rPr>
        <w:t xml:space="preserve"> fold and near-perfect symmetry in </w:t>
      </w:r>
      <w:proofErr w:type="spellStart"/>
      <w:r w:rsidRPr="00D26360">
        <w:rPr>
          <w:szCs w:val="24"/>
        </w:rPr>
        <w:t>Dohuk</w:t>
      </w:r>
      <w:proofErr w:type="spellEnd"/>
      <w:r w:rsidRPr="00D26360">
        <w:rPr>
          <w:szCs w:val="24"/>
        </w:rPr>
        <w:t xml:space="preserve"> and </w:t>
      </w:r>
      <w:proofErr w:type="spellStart"/>
      <w:r w:rsidRPr="00D26360">
        <w:rPr>
          <w:szCs w:val="24"/>
        </w:rPr>
        <w:t>Duhkan</w:t>
      </w:r>
      <w:proofErr w:type="spellEnd"/>
      <w:r w:rsidRPr="00D26360">
        <w:rPr>
          <w:szCs w:val="24"/>
        </w:rPr>
        <w:t xml:space="preserve"> folds. The Fold front sinuosity is higher in southeastern end of Al-</w:t>
      </w:r>
      <w:proofErr w:type="spellStart"/>
      <w:r w:rsidRPr="00D26360">
        <w:rPr>
          <w:szCs w:val="24"/>
        </w:rPr>
        <w:t>Qosh</w:t>
      </w:r>
      <w:proofErr w:type="spellEnd"/>
      <w:r w:rsidRPr="00D26360">
        <w:rPr>
          <w:szCs w:val="24"/>
        </w:rPr>
        <w:t xml:space="preserve"> fold, and north eastern end of </w:t>
      </w:r>
      <w:proofErr w:type="spellStart"/>
      <w:r w:rsidRPr="00D26360">
        <w:rPr>
          <w:szCs w:val="24"/>
        </w:rPr>
        <w:t>Dohuk</w:t>
      </w:r>
      <w:proofErr w:type="spellEnd"/>
      <w:r w:rsidRPr="00D26360">
        <w:rPr>
          <w:szCs w:val="24"/>
        </w:rPr>
        <w:t xml:space="preserve"> fold exhibiting higher fold front sinuosity than the north western halves. The south eastern part of Al-</w:t>
      </w:r>
      <w:proofErr w:type="spellStart"/>
      <w:r w:rsidRPr="00D26360">
        <w:rPr>
          <w:szCs w:val="24"/>
        </w:rPr>
        <w:t>Qosh</w:t>
      </w:r>
      <w:proofErr w:type="spellEnd"/>
      <w:r w:rsidRPr="00D26360">
        <w:rPr>
          <w:szCs w:val="24"/>
        </w:rPr>
        <w:t xml:space="preserve"> fold also is more sinuous than the other parts. The south western part of </w:t>
      </w:r>
      <w:proofErr w:type="spellStart"/>
      <w:r w:rsidRPr="00D26360">
        <w:rPr>
          <w:szCs w:val="24"/>
        </w:rPr>
        <w:t>Duhkan</w:t>
      </w:r>
      <w:proofErr w:type="spellEnd"/>
      <w:r w:rsidRPr="00D26360">
        <w:rPr>
          <w:szCs w:val="24"/>
        </w:rPr>
        <w:t xml:space="preserve"> fold is sinuous more than other parts and the central part of </w:t>
      </w:r>
      <w:proofErr w:type="spellStart"/>
      <w:r w:rsidRPr="00D26360">
        <w:rPr>
          <w:szCs w:val="24"/>
        </w:rPr>
        <w:t>Dohuk</w:t>
      </w:r>
      <w:proofErr w:type="spellEnd"/>
      <w:r w:rsidRPr="00D26360">
        <w:rPr>
          <w:szCs w:val="24"/>
        </w:rPr>
        <w:t xml:space="preserve"> is more sinuous than the other parts.</w:t>
      </w:r>
    </w:p>
    <w:p w:rsidR="00AE7258" w:rsidRPr="00D26360" w:rsidRDefault="00AE7258" w:rsidP="00514B9C">
      <w:pPr>
        <w:spacing w:line="240" w:lineRule="auto"/>
        <w:rPr>
          <w:szCs w:val="24"/>
        </w:rPr>
      </w:pPr>
    </w:p>
    <w:p w:rsidR="00E74776" w:rsidRPr="00D26360" w:rsidRDefault="00E74776">
      <w:pPr>
        <w:widowControl/>
        <w:autoSpaceDE w:val="0"/>
        <w:autoSpaceDN w:val="0"/>
        <w:spacing w:line="240" w:lineRule="auto"/>
        <w:textAlignment w:val="bottom"/>
        <w:rPr>
          <w:b/>
          <w:caps/>
          <w:sz w:val="30"/>
          <w:szCs w:val="30"/>
        </w:rPr>
      </w:pPr>
      <w:r w:rsidRPr="00D26360">
        <w:rPr>
          <w:b/>
          <w:sz w:val="30"/>
          <w:szCs w:val="30"/>
        </w:rPr>
        <w:t>References</w:t>
      </w:r>
    </w:p>
    <w:p w:rsidR="00E74776" w:rsidRPr="00D26360" w:rsidRDefault="00E74776">
      <w:pPr>
        <w:widowControl/>
        <w:autoSpaceDE w:val="0"/>
        <w:autoSpaceDN w:val="0"/>
        <w:spacing w:line="240" w:lineRule="auto"/>
        <w:textAlignment w:val="bottom"/>
        <w:rPr>
          <w:rFonts w:eastAsia="DFKai-SB"/>
          <w:bCs/>
          <w:iCs/>
          <w:szCs w:val="24"/>
        </w:rPr>
      </w:pPr>
    </w:p>
    <w:p w:rsidR="002D7A5D" w:rsidRPr="00D26360" w:rsidRDefault="002D7A5D" w:rsidP="002D7A5D">
      <w:pPr>
        <w:tabs>
          <w:tab w:val="left" w:pos="6422"/>
        </w:tabs>
        <w:spacing w:line="240" w:lineRule="auto"/>
        <w:rPr>
          <w:rFonts w:asciiTheme="majorBidi" w:hAnsiTheme="majorBidi" w:cstheme="majorBidi"/>
          <w:b/>
          <w:bCs/>
          <w:szCs w:val="24"/>
        </w:rPr>
      </w:pPr>
    </w:p>
    <w:p w:rsidR="002D7A5D" w:rsidRPr="00D26360" w:rsidRDefault="002D7A5D" w:rsidP="002D7A5D">
      <w:pPr>
        <w:autoSpaceDE w:val="0"/>
        <w:autoSpaceDN w:val="0"/>
        <w:spacing w:line="240" w:lineRule="auto"/>
        <w:ind w:left="720" w:hanging="720"/>
        <w:rPr>
          <w:rFonts w:asciiTheme="majorBidi" w:hAnsiTheme="majorBidi" w:cstheme="majorBidi"/>
          <w:szCs w:val="24"/>
        </w:rPr>
      </w:pPr>
      <w:r w:rsidRPr="00D26360">
        <w:rPr>
          <w:rFonts w:asciiTheme="majorBidi" w:hAnsiTheme="majorBidi" w:cstheme="majorBidi"/>
          <w:szCs w:val="24"/>
        </w:rPr>
        <w:t xml:space="preserve">[1] Dewey, J., F., Pitman, W.C., Ryan, W., B., F., </w:t>
      </w:r>
      <w:proofErr w:type="spellStart"/>
      <w:r w:rsidRPr="00D26360">
        <w:rPr>
          <w:rFonts w:asciiTheme="majorBidi" w:hAnsiTheme="majorBidi" w:cstheme="majorBidi"/>
          <w:szCs w:val="24"/>
        </w:rPr>
        <w:t>Bonnin</w:t>
      </w:r>
      <w:proofErr w:type="spellEnd"/>
      <w:r w:rsidRPr="00D26360">
        <w:rPr>
          <w:rFonts w:asciiTheme="majorBidi" w:hAnsiTheme="majorBidi" w:cstheme="majorBidi"/>
          <w:szCs w:val="24"/>
        </w:rPr>
        <w:t xml:space="preserve">, J., 1973, Plate Tectonics and the Evolution of the Alpine System. Geological Society of America </w:t>
      </w:r>
      <w:r w:rsidRPr="00D26360">
        <w:rPr>
          <w:rFonts w:asciiTheme="majorBidi" w:hAnsiTheme="majorBidi" w:cstheme="majorBidi"/>
          <w:szCs w:val="24"/>
        </w:rPr>
        <w:lastRenderedPageBreak/>
        <w:t>Bulletin journal, 84</w:t>
      </w:r>
      <w:r w:rsidRPr="00D26360">
        <w:rPr>
          <w:rFonts w:asciiTheme="majorBidi" w:hAnsiTheme="majorBidi" w:cstheme="majorBidi"/>
          <w:b/>
          <w:bCs/>
          <w:szCs w:val="24"/>
        </w:rPr>
        <w:t xml:space="preserve">, </w:t>
      </w:r>
      <w:r w:rsidRPr="00D26360">
        <w:rPr>
          <w:rFonts w:asciiTheme="majorBidi" w:hAnsiTheme="majorBidi" w:cstheme="majorBidi"/>
          <w:szCs w:val="24"/>
        </w:rPr>
        <w:t>3137-3180.</w:t>
      </w:r>
    </w:p>
    <w:p w:rsidR="002D7A5D" w:rsidRPr="00D26360" w:rsidRDefault="002D7A5D" w:rsidP="002D7A5D">
      <w:pPr>
        <w:autoSpaceDE w:val="0"/>
        <w:autoSpaceDN w:val="0"/>
        <w:spacing w:line="240" w:lineRule="auto"/>
        <w:ind w:left="720" w:hanging="720"/>
        <w:rPr>
          <w:rFonts w:asciiTheme="majorBidi" w:hAnsiTheme="majorBidi" w:cstheme="majorBidi"/>
          <w:szCs w:val="24"/>
        </w:rPr>
      </w:pPr>
      <w:r w:rsidRPr="00D26360">
        <w:rPr>
          <w:rFonts w:asciiTheme="majorBidi" w:hAnsiTheme="majorBidi" w:cstheme="majorBidi"/>
          <w:szCs w:val="24"/>
        </w:rPr>
        <w:t xml:space="preserve">[2] </w:t>
      </w:r>
      <w:proofErr w:type="spellStart"/>
      <w:r w:rsidRPr="00D26360">
        <w:rPr>
          <w:rFonts w:asciiTheme="majorBidi" w:hAnsiTheme="majorBidi" w:cstheme="majorBidi"/>
          <w:szCs w:val="24"/>
        </w:rPr>
        <w:t>Dercourt</w:t>
      </w:r>
      <w:proofErr w:type="spellEnd"/>
      <w:r w:rsidRPr="00D26360">
        <w:rPr>
          <w:rFonts w:asciiTheme="majorBidi" w:hAnsiTheme="majorBidi" w:cstheme="majorBidi"/>
          <w:szCs w:val="24"/>
        </w:rPr>
        <w:t xml:space="preserve">, J., </w:t>
      </w:r>
      <w:proofErr w:type="spellStart"/>
      <w:r w:rsidRPr="00D26360">
        <w:rPr>
          <w:rFonts w:asciiTheme="majorBidi" w:hAnsiTheme="majorBidi" w:cstheme="majorBidi"/>
          <w:szCs w:val="24"/>
        </w:rPr>
        <w:t>Zoneshain</w:t>
      </w:r>
      <w:proofErr w:type="spellEnd"/>
      <w:r w:rsidRPr="00D26360">
        <w:rPr>
          <w:rFonts w:asciiTheme="majorBidi" w:hAnsiTheme="majorBidi" w:cstheme="majorBidi"/>
          <w:szCs w:val="24"/>
        </w:rPr>
        <w:t xml:space="preserve">, L.P., </w:t>
      </w:r>
      <w:proofErr w:type="spellStart"/>
      <w:r w:rsidRPr="00D26360">
        <w:rPr>
          <w:rFonts w:asciiTheme="majorBidi" w:hAnsiTheme="majorBidi" w:cstheme="majorBidi"/>
          <w:szCs w:val="24"/>
        </w:rPr>
        <w:t>Ricou</w:t>
      </w:r>
      <w:proofErr w:type="spellEnd"/>
      <w:r w:rsidRPr="00D26360">
        <w:rPr>
          <w:rFonts w:asciiTheme="majorBidi" w:hAnsiTheme="majorBidi" w:cstheme="majorBidi"/>
          <w:szCs w:val="24"/>
        </w:rPr>
        <w:t xml:space="preserve">, L.-E., </w:t>
      </w:r>
      <w:proofErr w:type="spellStart"/>
      <w:r w:rsidRPr="00D26360">
        <w:rPr>
          <w:rFonts w:asciiTheme="majorBidi" w:hAnsiTheme="majorBidi" w:cstheme="majorBidi"/>
          <w:szCs w:val="24"/>
        </w:rPr>
        <w:t>Kazmi</w:t>
      </w:r>
      <w:proofErr w:type="spellEnd"/>
      <w:r w:rsidRPr="00D26360">
        <w:rPr>
          <w:rFonts w:asciiTheme="majorBidi" w:hAnsiTheme="majorBidi" w:cstheme="majorBidi"/>
          <w:szCs w:val="24"/>
        </w:rPr>
        <w:t xml:space="preserve">, V.G., LE </w:t>
      </w:r>
      <w:proofErr w:type="spellStart"/>
      <w:r w:rsidRPr="00D26360">
        <w:rPr>
          <w:rFonts w:asciiTheme="majorBidi" w:hAnsiTheme="majorBidi" w:cstheme="majorBidi"/>
          <w:szCs w:val="24"/>
        </w:rPr>
        <w:t>Pichon</w:t>
      </w:r>
      <w:proofErr w:type="spellEnd"/>
      <w:r w:rsidRPr="00D26360">
        <w:rPr>
          <w:rFonts w:asciiTheme="majorBidi" w:hAnsiTheme="majorBidi" w:cstheme="majorBidi"/>
          <w:szCs w:val="24"/>
        </w:rPr>
        <w:t xml:space="preserve">, X., </w:t>
      </w:r>
      <w:proofErr w:type="spellStart"/>
      <w:r w:rsidRPr="00D26360">
        <w:rPr>
          <w:rFonts w:asciiTheme="majorBidi" w:hAnsiTheme="majorBidi" w:cstheme="majorBidi"/>
          <w:szCs w:val="24"/>
        </w:rPr>
        <w:t>Knipper</w:t>
      </w:r>
      <w:proofErr w:type="spellEnd"/>
      <w:r w:rsidRPr="00D26360">
        <w:rPr>
          <w:rFonts w:asciiTheme="majorBidi" w:hAnsiTheme="majorBidi" w:cstheme="majorBidi"/>
          <w:szCs w:val="24"/>
        </w:rPr>
        <w:t xml:space="preserve">, A.L., </w:t>
      </w:r>
      <w:proofErr w:type="spellStart"/>
      <w:r w:rsidRPr="00D26360">
        <w:rPr>
          <w:rFonts w:asciiTheme="majorBidi" w:hAnsiTheme="majorBidi" w:cstheme="majorBidi"/>
          <w:szCs w:val="24"/>
        </w:rPr>
        <w:t>Grandjacquet</w:t>
      </w:r>
      <w:proofErr w:type="spellEnd"/>
      <w:r w:rsidRPr="00D26360">
        <w:rPr>
          <w:rFonts w:asciiTheme="majorBidi" w:hAnsiTheme="majorBidi" w:cstheme="majorBidi"/>
          <w:szCs w:val="24"/>
        </w:rPr>
        <w:t xml:space="preserve">, T, C., </w:t>
      </w:r>
      <w:proofErr w:type="spellStart"/>
      <w:r w:rsidRPr="00D26360">
        <w:rPr>
          <w:rFonts w:asciiTheme="majorBidi" w:hAnsiTheme="majorBidi" w:cstheme="majorBidi"/>
          <w:szCs w:val="24"/>
        </w:rPr>
        <w:t>Sbortshikov</w:t>
      </w:r>
      <w:proofErr w:type="spellEnd"/>
      <w:r w:rsidRPr="00D26360">
        <w:rPr>
          <w:rFonts w:asciiTheme="majorBidi" w:hAnsiTheme="majorBidi" w:cstheme="majorBidi"/>
          <w:szCs w:val="24"/>
        </w:rPr>
        <w:t xml:space="preserve">, I.M., </w:t>
      </w:r>
      <w:proofErr w:type="spellStart"/>
      <w:r w:rsidRPr="00D26360">
        <w:rPr>
          <w:rFonts w:asciiTheme="majorBidi" w:hAnsiTheme="majorBidi" w:cstheme="majorBidi"/>
          <w:szCs w:val="24"/>
        </w:rPr>
        <w:t>Geyssant</w:t>
      </w:r>
      <w:proofErr w:type="spellEnd"/>
      <w:r w:rsidRPr="00D26360">
        <w:rPr>
          <w:rFonts w:asciiTheme="majorBidi" w:hAnsiTheme="majorBidi" w:cstheme="majorBidi"/>
          <w:szCs w:val="24"/>
        </w:rPr>
        <w:t xml:space="preserve">, J., </w:t>
      </w:r>
      <w:proofErr w:type="spellStart"/>
      <w:r w:rsidRPr="00D26360">
        <w:rPr>
          <w:rFonts w:asciiTheme="majorBidi" w:hAnsiTheme="majorBidi" w:cstheme="majorBidi"/>
          <w:szCs w:val="24"/>
        </w:rPr>
        <w:t>Lepvrier</w:t>
      </w:r>
      <w:proofErr w:type="spellEnd"/>
      <w:r w:rsidRPr="00D26360">
        <w:rPr>
          <w:rFonts w:asciiTheme="majorBidi" w:hAnsiTheme="majorBidi" w:cstheme="majorBidi"/>
          <w:szCs w:val="24"/>
        </w:rPr>
        <w:t xml:space="preserve">, C., </w:t>
      </w:r>
      <w:proofErr w:type="spellStart"/>
      <w:r w:rsidRPr="00D26360">
        <w:rPr>
          <w:rFonts w:asciiTheme="majorBidi" w:hAnsiTheme="majorBidi" w:cstheme="majorBidi"/>
          <w:szCs w:val="24"/>
        </w:rPr>
        <w:t>Pechersky</w:t>
      </w:r>
      <w:proofErr w:type="spellEnd"/>
      <w:r w:rsidRPr="00D26360">
        <w:rPr>
          <w:rFonts w:asciiTheme="majorBidi" w:hAnsiTheme="majorBidi" w:cstheme="majorBidi"/>
          <w:szCs w:val="24"/>
        </w:rPr>
        <w:t xml:space="preserve">, D.H., </w:t>
      </w:r>
      <w:proofErr w:type="spellStart"/>
      <w:r w:rsidRPr="00D26360">
        <w:rPr>
          <w:rFonts w:asciiTheme="majorBidi" w:hAnsiTheme="majorBidi" w:cstheme="majorBidi"/>
          <w:szCs w:val="24"/>
        </w:rPr>
        <w:t>Boulin</w:t>
      </w:r>
      <w:proofErr w:type="spellEnd"/>
      <w:r w:rsidRPr="00D26360">
        <w:rPr>
          <w:rFonts w:asciiTheme="majorBidi" w:hAnsiTheme="majorBidi" w:cstheme="majorBidi"/>
          <w:szCs w:val="24"/>
        </w:rPr>
        <w:t xml:space="preserve">, J., </w:t>
      </w:r>
      <w:proofErr w:type="spellStart"/>
      <w:r w:rsidRPr="00D26360">
        <w:rPr>
          <w:rFonts w:asciiTheme="majorBidi" w:hAnsiTheme="majorBidi" w:cstheme="majorBidi"/>
          <w:szCs w:val="24"/>
        </w:rPr>
        <w:t>Sibuet</w:t>
      </w:r>
      <w:proofErr w:type="spellEnd"/>
      <w:r w:rsidRPr="00D26360">
        <w:rPr>
          <w:rFonts w:asciiTheme="majorBidi" w:hAnsiTheme="majorBidi" w:cstheme="majorBidi"/>
          <w:szCs w:val="24"/>
        </w:rPr>
        <w:t xml:space="preserve">, J.-C., </w:t>
      </w:r>
      <w:proofErr w:type="spellStart"/>
      <w:r w:rsidRPr="00D26360">
        <w:rPr>
          <w:rFonts w:asciiTheme="majorBidi" w:hAnsiTheme="majorBidi" w:cstheme="majorBidi"/>
          <w:szCs w:val="24"/>
        </w:rPr>
        <w:t>Savostin</w:t>
      </w:r>
      <w:proofErr w:type="spellEnd"/>
      <w:r w:rsidRPr="00D26360">
        <w:rPr>
          <w:rFonts w:asciiTheme="majorBidi" w:hAnsiTheme="majorBidi" w:cstheme="majorBidi"/>
          <w:szCs w:val="24"/>
        </w:rPr>
        <w:t xml:space="preserve">, L.A., </w:t>
      </w:r>
      <w:proofErr w:type="spellStart"/>
      <w:r w:rsidRPr="00D26360">
        <w:rPr>
          <w:rFonts w:asciiTheme="majorBidi" w:hAnsiTheme="majorBidi" w:cstheme="majorBidi"/>
          <w:szCs w:val="24"/>
        </w:rPr>
        <w:t>Sorokhtin</w:t>
      </w:r>
      <w:proofErr w:type="spellEnd"/>
      <w:r w:rsidRPr="00D26360">
        <w:rPr>
          <w:rFonts w:asciiTheme="majorBidi" w:hAnsiTheme="majorBidi" w:cstheme="majorBidi"/>
          <w:szCs w:val="24"/>
        </w:rPr>
        <w:t xml:space="preserve">, O., </w:t>
      </w:r>
      <w:proofErr w:type="spellStart"/>
      <w:r w:rsidRPr="00D26360">
        <w:rPr>
          <w:rFonts w:asciiTheme="majorBidi" w:hAnsiTheme="majorBidi" w:cstheme="majorBidi"/>
          <w:szCs w:val="24"/>
        </w:rPr>
        <w:t>Westphal</w:t>
      </w:r>
      <w:proofErr w:type="spellEnd"/>
      <w:r w:rsidRPr="00D26360">
        <w:rPr>
          <w:rFonts w:asciiTheme="majorBidi" w:hAnsiTheme="majorBidi" w:cstheme="majorBidi"/>
          <w:szCs w:val="24"/>
        </w:rPr>
        <w:t xml:space="preserve">, M., </w:t>
      </w:r>
      <w:proofErr w:type="spellStart"/>
      <w:r w:rsidRPr="00D26360">
        <w:rPr>
          <w:rFonts w:asciiTheme="majorBidi" w:hAnsiTheme="majorBidi" w:cstheme="majorBidi"/>
          <w:szCs w:val="24"/>
        </w:rPr>
        <w:t>Bazhenov</w:t>
      </w:r>
      <w:proofErr w:type="spellEnd"/>
      <w:r w:rsidRPr="00D26360">
        <w:rPr>
          <w:rFonts w:asciiTheme="majorBidi" w:hAnsiTheme="majorBidi" w:cstheme="majorBidi"/>
          <w:szCs w:val="24"/>
        </w:rPr>
        <w:t xml:space="preserve">, M.L., Lauer, J.P., </w:t>
      </w:r>
      <w:proofErr w:type="spellStart"/>
      <w:r w:rsidRPr="00D26360">
        <w:rPr>
          <w:rFonts w:asciiTheme="majorBidi" w:hAnsiTheme="majorBidi" w:cstheme="majorBidi"/>
          <w:szCs w:val="24"/>
        </w:rPr>
        <w:t>Biju</w:t>
      </w:r>
      <w:proofErr w:type="spellEnd"/>
      <w:r w:rsidRPr="00D26360">
        <w:rPr>
          <w:rFonts w:asciiTheme="majorBidi" w:hAnsiTheme="majorBidi" w:cstheme="majorBidi"/>
          <w:szCs w:val="24"/>
        </w:rPr>
        <w:t xml:space="preserve">-Duval, B., 1986. Geological Evolution of the Tethys Belt from the Atlantic to the Pamirs since the </w:t>
      </w:r>
      <w:proofErr w:type="spellStart"/>
      <w:r w:rsidRPr="00D26360">
        <w:rPr>
          <w:rFonts w:asciiTheme="majorBidi" w:hAnsiTheme="majorBidi" w:cstheme="majorBidi"/>
          <w:szCs w:val="24"/>
        </w:rPr>
        <w:t>Lias</w:t>
      </w:r>
      <w:proofErr w:type="spellEnd"/>
      <w:r w:rsidRPr="00D26360">
        <w:rPr>
          <w:rFonts w:asciiTheme="majorBidi" w:hAnsiTheme="majorBidi" w:cstheme="majorBidi"/>
          <w:szCs w:val="24"/>
        </w:rPr>
        <w:t xml:space="preserve">. Tectonophysics </w:t>
      </w:r>
      <w:proofErr w:type="spellStart"/>
      <w:proofErr w:type="gramStart"/>
      <w:r w:rsidRPr="00D26360">
        <w:rPr>
          <w:rFonts w:asciiTheme="majorBidi" w:hAnsiTheme="majorBidi" w:cstheme="majorBidi"/>
          <w:szCs w:val="24"/>
        </w:rPr>
        <w:t>journal,Vo</w:t>
      </w:r>
      <w:proofErr w:type="spellEnd"/>
      <w:proofErr w:type="gramEnd"/>
      <w:r w:rsidRPr="00D26360">
        <w:rPr>
          <w:rFonts w:asciiTheme="majorBidi" w:hAnsiTheme="majorBidi" w:cstheme="majorBidi"/>
          <w:szCs w:val="24"/>
        </w:rPr>
        <w:t xml:space="preserve"> 1-4,P. 241-315.</w:t>
      </w:r>
    </w:p>
    <w:p w:rsidR="002D7A5D" w:rsidRPr="00D26360" w:rsidRDefault="002D7A5D" w:rsidP="002D7A5D">
      <w:pPr>
        <w:autoSpaceDE w:val="0"/>
        <w:autoSpaceDN w:val="0"/>
        <w:spacing w:line="240" w:lineRule="auto"/>
        <w:ind w:left="720" w:hanging="720"/>
        <w:rPr>
          <w:rFonts w:asciiTheme="majorBidi" w:hAnsiTheme="majorBidi" w:cstheme="majorBidi"/>
          <w:szCs w:val="24"/>
        </w:rPr>
      </w:pPr>
      <w:r w:rsidRPr="00D26360">
        <w:rPr>
          <w:rFonts w:asciiTheme="majorBidi" w:hAnsiTheme="majorBidi" w:cstheme="majorBidi"/>
          <w:szCs w:val="24"/>
        </w:rPr>
        <w:t xml:space="preserve">[3] Jackson, J., Norris, R., </w:t>
      </w:r>
      <w:proofErr w:type="spellStart"/>
      <w:r w:rsidRPr="00D26360">
        <w:rPr>
          <w:rFonts w:asciiTheme="majorBidi" w:hAnsiTheme="majorBidi" w:cstheme="majorBidi"/>
          <w:szCs w:val="24"/>
        </w:rPr>
        <w:t>Youngson</w:t>
      </w:r>
      <w:proofErr w:type="spellEnd"/>
      <w:r w:rsidRPr="00D26360">
        <w:rPr>
          <w:rFonts w:asciiTheme="majorBidi" w:hAnsiTheme="majorBidi" w:cstheme="majorBidi"/>
          <w:szCs w:val="24"/>
        </w:rPr>
        <w:t>, J., 1996. The structural evolution of active fault and fold systems in central Otago, New Zealand: Evidence revealed by drainage patterns, Journal of Structural Geology, 18, 2-3, 217-234.</w:t>
      </w:r>
    </w:p>
    <w:p w:rsidR="002D7A5D" w:rsidRPr="00D26360" w:rsidRDefault="002D7A5D" w:rsidP="002D7A5D">
      <w:pPr>
        <w:autoSpaceDE w:val="0"/>
        <w:autoSpaceDN w:val="0"/>
        <w:spacing w:line="240" w:lineRule="auto"/>
        <w:ind w:left="720" w:hanging="720"/>
        <w:rPr>
          <w:rFonts w:asciiTheme="majorBidi" w:hAnsiTheme="majorBidi" w:cstheme="majorBidi"/>
          <w:szCs w:val="24"/>
        </w:rPr>
      </w:pPr>
      <w:r w:rsidRPr="00D26360">
        <w:rPr>
          <w:rFonts w:asciiTheme="majorBidi" w:hAnsiTheme="majorBidi" w:cstheme="majorBidi"/>
          <w:szCs w:val="24"/>
        </w:rPr>
        <w:t xml:space="preserve">[4] Holbrook, J., </w:t>
      </w:r>
      <w:proofErr w:type="spellStart"/>
      <w:r w:rsidRPr="00D26360">
        <w:rPr>
          <w:rFonts w:asciiTheme="majorBidi" w:hAnsiTheme="majorBidi" w:cstheme="majorBidi"/>
          <w:szCs w:val="24"/>
        </w:rPr>
        <w:t>Schumm</w:t>
      </w:r>
      <w:proofErr w:type="spellEnd"/>
      <w:r w:rsidRPr="00D26360">
        <w:rPr>
          <w:rFonts w:asciiTheme="majorBidi" w:hAnsiTheme="majorBidi" w:cstheme="majorBidi"/>
          <w:szCs w:val="24"/>
        </w:rPr>
        <w:t xml:space="preserve">, S., A., 1999.Geomorphic and sedimentary response of rivers to tectonic deformation: a brief review and critique of a tool for </w:t>
      </w:r>
      <w:proofErr w:type="spellStart"/>
      <w:r w:rsidRPr="00D26360">
        <w:rPr>
          <w:rFonts w:asciiTheme="majorBidi" w:hAnsiTheme="majorBidi" w:cstheme="majorBidi"/>
          <w:szCs w:val="24"/>
        </w:rPr>
        <w:t>recogniszing</w:t>
      </w:r>
      <w:proofErr w:type="spellEnd"/>
      <w:r w:rsidRPr="00D26360">
        <w:rPr>
          <w:rFonts w:asciiTheme="majorBidi" w:hAnsiTheme="majorBidi" w:cstheme="majorBidi"/>
          <w:szCs w:val="24"/>
        </w:rPr>
        <w:t xml:space="preserve"> subtle </w:t>
      </w:r>
      <w:proofErr w:type="spellStart"/>
      <w:r w:rsidRPr="00D26360">
        <w:rPr>
          <w:rFonts w:asciiTheme="majorBidi" w:hAnsiTheme="majorBidi" w:cstheme="majorBidi"/>
          <w:szCs w:val="24"/>
        </w:rPr>
        <w:t>epeirogenic</w:t>
      </w:r>
      <w:proofErr w:type="spellEnd"/>
      <w:r w:rsidRPr="00D26360">
        <w:rPr>
          <w:rFonts w:asciiTheme="majorBidi" w:hAnsiTheme="majorBidi" w:cstheme="majorBidi"/>
          <w:szCs w:val="24"/>
        </w:rPr>
        <w:t xml:space="preserve"> deformation in modern and ancient settings, Tectonophysics journal, 305, 287-306.</w:t>
      </w:r>
    </w:p>
    <w:p w:rsidR="002D7A5D" w:rsidRPr="00D26360" w:rsidRDefault="002D7A5D" w:rsidP="002D7A5D">
      <w:pPr>
        <w:autoSpaceDE w:val="0"/>
        <w:autoSpaceDN w:val="0"/>
        <w:spacing w:line="240" w:lineRule="auto"/>
        <w:ind w:left="720" w:hanging="720"/>
        <w:rPr>
          <w:rFonts w:asciiTheme="majorBidi" w:hAnsiTheme="majorBidi" w:cstheme="majorBidi"/>
          <w:szCs w:val="24"/>
        </w:rPr>
      </w:pPr>
      <w:r w:rsidRPr="00D26360">
        <w:rPr>
          <w:rFonts w:asciiTheme="majorBidi" w:hAnsiTheme="majorBidi" w:cstheme="majorBidi"/>
          <w:szCs w:val="24"/>
          <w:lang w:val="it-IT"/>
        </w:rPr>
        <w:t xml:space="preserve">[5] Keller, E.A., L. Gurrola , T., E., Tierney, 1999. </w:t>
      </w:r>
      <w:r w:rsidRPr="00D26360">
        <w:rPr>
          <w:rFonts w:asciiTheme="majorBidi" w:hAnsiTheme="majorBidi" w:cstheme="majorBidi"/>
          <w:szCs w:val="24"/>
        </w:rPr>
        <w:t>Geomorphic criteria to determine direction of lateral propagation of reverse faulting and folding. Geology journal, v. 27, p. 515-518.</w:t>
      </w:r>
    </w:p>
    <w:p w:rsidR="002D7A5D" w:rsidRPr="00D26360" w:rsidRDefault="002D7A5D" w:rsidP="002D7A5D">
      <w:pPr>
        <w:autoSpaceDE w:val="0"/>
        <w:autoSpaceDN w:val="0"/>
        <w:spacing w:line="240" w:lineRule="auto"/>
        <w:ind w:left="720" w:hanging="720"/>
        <w:rPr>
          <w:rFonts w:asciiTheme="majorBidi" w:hAnsiTheme="majorBidi" w:cstheme="majorBidi"/>
          <w:szCs w:val="24"/>
        </w:rPr>
      </w:pPr>
      <w:r w:rsidRPr="00D26360">
        <w:rPr>
          <w:rFonts w:asciiTheme="majorBidi" w:hAnsiTheme="majorBidi" w:cstheme="majorBidi"/>
          <w:szCs w:val="24"/>
        </w:rPr>
        <w:t xml:space="preserve">[6] Ramsey, L.A., R.T. </w:t>
      </w:r>
      <w:r w:rsidR="00800112" w:rsidRPr="00D26360">
        <w:rPr>
          <w:rFonts w:asciiTheme="majorBidi" w:hAnsiTheme="majorBidi" w:cstheme="majorBidi"/>
          <w:szCs w:val="24"/>
        </w:rPr>
        <w:t>Walker,</w:t>
      </w:r>
      <w:r w:rsidRPr="00D26360">
        <w:rPr>
          <w:rFonts w:asciiTheme="majorBidi" w:hAnsiTheme="majorBidi" w:cstheme="majorBidi"/>
          <w:szCs w:val="24"/>
        </w:rPr>
        <w:t xml:space="preserve"> J., </w:t>
      </w:r>
      <w:r w:rsidR="00800112" w:rsidRPr="00D26360">
        <w:rPr>
          <w:rFonts w:asciiTheme="majorBidi" w:hAnsiTheme="majorBidi" w:cstheme="majorBidi"/>
          <w:szCs w:val="24"/>
        </w:rPr>
        <w:t>Jackson, 2008</w:t>
      </w:r>
      <w:r w:rsidRPr="00D26360">
        <w:rPr>
          <w:rFonts w:asciiTheme="majorBidi" w:hAnsiTheme="majorBidi" w:cstheme="majorBidi"/>
          <w:szCs w:val="24"/>
        </w:rPr>
        <w:t>. Fold evolution and drainage development in the Zagros Mountains of Fars province, SE Iran. Basin Research journal, v. 20, p. 23-48.</w:t>
      </w:r>
    </w:p>
    <w:p w:rsidR="002D7A5D" w:rsidRPr="00D26360" w:rsidRDefault="002D7A5D" w:rsidP="002D7A5D">
      <w:pPr>
        <w:autoSpaceDE w:val="0"/>
        <w:autoSpaceDN w:val="0"/>
        <w:spacing w:line="240" w:lineRule="auto"/>
        <w:ind w:left="720" w:hanging="720"/>
        <w:rPr>
          <w:rFonts w:asciiTheme="majorBidi" w:hAnsiTheme="majorBidi" w:cstheme="majorBidi"/>
          <w:szCs w:val="24"/>
        </w:rPr>
      </w:pPr>
      <w:r w:rsidRPr="00D26360">
        <w:rPr>
          <w:rFonts w:asciiTheme="majorBidi" w:hAnsiTheme="majorBidi" w:cstheme="majorBidi"/>
          <w:szCs w:val="24"/>
        </w:rPr>
        <w:t xml:space="preserve">[7] </w:t>
      </w:r>
      <w:proofErr w:type="spellStart"/>
      <w:r w:rsidRPr="00D26360">
        <w:rPr>
          <w:rFonts w:asciiTheme="majorBidi" w:hAnsiTheme="majorBidi" w:cstheme="majorBidi"/>
          <w:szCs w:val="24"/>
        </w:rPr>
        <w:t>Cudennec</w:t>
      </w:r>
      <w:proofErr w:type="spellEnd"/>
      <w:r w:rsidRPr="00D26360">
        <w:rPr>
          <w:rFonts w:asciiTheme="majorBidi" w:hAnsiTheme="majorBidi" w:cstheme="majorBidi"/>
          <w:szCs w:val="24"/>
        </w:rPr>
        <w:t xml:space="preserve">, C., Fouad, Y., 2006. Structural patterns in river network organization at both infra- and supra-basin levels: the case of a granitic relief, Earth Surface Processes and Landforms </w:t>
      </w:r>
      <w:r w:rsidR="00800112" w:rsidRPr="00D26360">
        <w:rPr>
          <w:rFonts w:asciiTheme="majorBidi" w:hAnsiTheme="majorBidi" w:cstheme="majorBidi"/>
          <w:szCs w:val="24"/>
        </w:rPr>
        <w:t>journal,</w:t>
      </w:r>
      <w:r w:rsidRPr="00D26360">
        <w:rPr>
          <w:rFonts w:asciiTheme="majorBidi" w:hAnsiTheme="majorBidi" w:cstheme="majorBidi"/>
          <w:szCs w:val="24"/>
        </w:rPr>
        <w:t xml:space="preserve"> Vo 31, P. 369-381.</w:t>
      </w:r>
    </w:p>
    <w:p w:rsidR="002D7A5D" w:rsidRPr="00D26360" w:rsidRDefault="002D7A5D" w:rsidP="002D7A5D">
      <w:pPr>
        <w:autoSpaceDE w:val="0"/>
        <w:autoSpaceDN w:val="0"/>
        <w:spacing w:line="240" w:lineRule="auto"/>
        <w:ind w:left="720" w:hanging="720"/>
        <w:rPr>
          <w:rFonts w:asciiTheme="majorBidi" w:hAnsiTheme="majorBidi" w:cstheme="majorBidi"/>
          <w:szCs w:val="24"/>
        </w:rPr>
      </w:pPr>
      <w:r w:rsidRPr="00D26360">
        <w:rPr>
          <w:rFonts w:asciiTheme="majorBidi" w:hAnsiTheme="majorBidi" w:cstheme="majorBidi"/>
          <w:szCs w:val="24"/>
          <w:lang w:val="sv-SE"/>
        </w:rPr>
        <w:t xml:space="preserve">[8] </w:t>
      </w:r>
      <w:proofErr w:type="spellStart"/>
      <w:r w:rsidRPr="00D26360">
        <w:rPr>
          <w:rFonts w:asciiTheme="majorBidi" w:hAnsiTheme="majorBidi" w:cstheme="majorBidi"/>
          <w:szCs w:val="24"/>
          <w:lang w:val="sv-SE"/>
        </w:rPr>
        <w:t>Sattarzadeh</w:t>
      </w:r>
      <w:proofErr w:type="spellEnd"/>
      <w:r w:rsidRPr="00D26360">
        <w:rPr>
          <w:rFonts w:asciiTheme="majorBidi" w:hAnsiTheme="majorBidi" w:cstheme="majorBidi"/>
          <w:szCs w:val="24"/>
          <w:lang w:val="sv-SE"/>
        </w:rPr>
        <w:t xml:space="preserve">, Y., J. </w:t>
      </w:r>
      <w:r w:rsidR="00800112" w:rsidRPr="00D26360">
        <w:rPr>
          <w:rFonts w:asciiTheme="majorBidi" w:hAnsiTheme="majorBidi" w:cstheme="majorBidi"/>
          <w:szCs w:val="24"/>
          <w:lang w:val="sv-SE"/>
        </w:rPr>
        <w:t>Cosgrove, C</w:t>
      </w:r>
      <w:r w:rsidRPr="00D26360">
        <w:rPr>
          <w:rFonts w:asciiTheme="majorBidi" w:hAnsiTheme="majorBidi" w:cstheme="majorBidi"/>
          <w:szCs w:val="24"/>
          <w:lang w:val="sv-SE"/>
        </w:rPr>
        <w:t>., Vita-</w:t>
      </w:r>
      <w:proofErr w:type="spellStart"/>
      <w:r w:rsidR="00800112" w:rsidRPr="00D26360">
        <w:rPr>
          <w:rFonts w:asciiTheme="majorBidi" w:hAnsiTheme="majorBidi" w:cstheme="majorBidi"/>
          <w:szCs w:val="24"/>
          <w:lang w:val="sv-SE"/>
        </w:rPr>
        <w:t>Finzi</w:t>
      </w:r>
      <w:proofErr w:type="spellEnd"/>
      <w:r w:rsidR="00800112" w:rsidRPr="00D26360">
        <w:rPr>
          <w:rFonts w:asciiTheme="majorBidi" w:hAnsiTheme="majorBidi" w:cstheme="majorBidi"/>
          <w:szCs w:val="24"/>
          <w:lang w:val="sv-SE"/>
        </w:rPr>
        <w:t>, 2000</w:t>
      </w:r>
      <w:r w:rsidRPr="00D26360">
        <w:rPr>
          <w:rFonts w:asciiTheme="majorBidi" w:hAnsiTheme="majorBidi" w:cstheme="majorBidi"/>
          <w:szCs w:val="24"/>
          <w:lang w:val="sv-SE"/>
        </w:rPr>
        <w:t xml:space="preserve">. </w:t>
      </w:r>
      <w:r w:rsidRPr="00D26360">
        <w:rPr>
          <w:rFonts w:asciiTheme="majorBidi" w:hAnsiTheme="majorBidi" w:cstheme="majorBidi"/>
          <w:szCs w:val="24"/>
        </w:rPr>
        <w:t xml:space="preserve">The interplay of faulting and folding during the evolution of the Zagros deformation belt. In J.W. </w:t>
      </w:r>
      <w:r w:rsidR="00800112" w:rsidRPr="00D26360">
        <w:rPr>
          <w:rFonts w:asciiTheme="majorBidi" w:hAnsiTheme="majorBidi" w:cstheme="majorBidi"/>
          <w:szCs w:val="24"/>
        </w:rPr>
        <w:t>Cosgrove,</w:t>
      </w:r>
      <w:r w:rsidRPr="00D26360">
        <w:rPr>
          <w:rFonts w:asciiTheme="majorBidi" w:hAnsiTheme="majorBidi" w:cstheme="majorBidi"/>
          <w:szCs w:val="24"/>
        </w:rPr>
        <w:t xml:space="preserve"> M.S. Ameen (Eds.), Forced Fold </w:t>
      </w:r>
      <w:r w:rsidR="00800112" w:rsidRPr="00D26360">
        <w:rPr>
          <w:rFonts w:asciiTheme="majorBidi" w:hAnsiTheme="majorBidi" w:cstheme="majorBidi"/>
          <w:szCs w:val="24"/>
        </w:rPr>
        <w:t>Sand</w:t>
      </w:r>
      <w:r w:rsidRPr="00D26360">
        <w:rPr>
          <w:rFonts w:asciiTheme="majorBidi" w:hAnsiTheme="majorBidi" w:cstheme="majorBidi"/>
          <w:szCs w:val="24"/>
        </w:rPr>
        <w:t xml:space="preserve"> Fractures. Geological Society </w:t>
      </w:r>
      <w:r w:rsidR="00800112" w:rsidRPr="00D26360">
        <w:rPr>
          <w:rFonts w:asciiTheme="majorBidi" w:hAnsiTheme="majorBidi" w:cstheme="majorBidi"/>
          <w:szCs w:val="24"/>
        </w:rPr>
        <w:t>journal,</w:t>
      </w:r>
      <w:r w:rsidRPr="00D26360">
        <w:rPr>
          <w:rFonts w:asciiTheme="majorBidi" w:hAnsiTheme="majorBidi" w:cstheme="majorBidi"/>
          <w:szCs w:val="24"/>
        </w:rPr>
        <w:t xml:space="preserve"> London, Special Publication no. 169, p. 187-196.</w:t>
      </w:r>
    </w:p>
    <w:p w:rsidR="002D7A5D" w:rsidRPr="00D26360" w:rsidRDefault="002D7A5D" w:rsidP="002D7A5D">
      <w:pPr>
        <w:autoSpaceDE w:val="0"/>
        <w:autoSpaceDN w:val="0"/>
        <w:spacing w:line="240" w:lineRule="auto"/>
        <w:ind w:left="720" w:hanging="720"/>
        <w:rPr>
          <w:rFonts w:asciiTheme="majorBidi" w:hAnsiTheme="majorBidi" w:cstheme="majorBidi"/>
          <w:szCs w:val="24"/>
        </w:rPr>
      </w:pPr>
      <w:r w:rsidRPr="00D26360">
        <w:rPr>
          <w:rFonts w:asciiTheme="majorBidi" w:hAnsiTheme="majorBidi" w:cstheme="majorBidi"/>
          <w:szCs w:val="24"/>
        </w:rPr>
        <w:t xml:space="preserve">[9] Blanc, E.J.P., M.B. </w:t>
      </w:r>
      <w:r w:rsidR="00800112" w:rsidRPr="00D26360">
        <w:rPr>
          <w:rFonts w:asciiTheme="majorBidi" w:hAnsiTheme="majorBidi" w:cstheme="majorBidi"/>
          <w:szCs w:val="24"/>
        </w:rPr>
        <w:t>Allen,</w:t>
      </w:r>
      <w:r w:rsidRPr="00D26360">
        <w:rPr>
          <w:rFonts w:asciiTheme="majorBidi" w:hAnsiTheme="majorBidi" w:cstheme="majorBidi"/>
          <w:szCs w:val="24"/>
        </w:rPr>
        <w:t xml:space="preserve"> S.  </w:t>
      </w:r>
      <w:proofErr w:type="spellStart"/>
      <w:proofErr w:type="gramStart"/>
      <w:r w:rsidRPr="00D26360">
        <w:rPr>
          <w:rFonts w:asciiTheme="majorBidi" w:hAnsiTheme="majorBidi" w:cstheme="majorBidi"/>
          <w:szCs w:val="24"/>
        </w:rPr>
        <w:t>Inger</w:t>
      </w:r>
      <w:proofErr w:type="spellEnd"/>
      <w:r w:rsidRPr="00D26360">
        <w:rPr>
          <w:rFonts w:asciiTheme="majorBidi" w:hAnsiTheme="majorBidi" w:cstheme="majorBidi"/>
          <w:szCs w:val="24"/>
        </w:rPr>
        <w:t xml:space="preserve"> ,</w:t>
      </w:r>
      <w:proofErr w:type="gramEnd"/>
      <w:r w:rsidRPr="00D26360">
        <w:rPr>
          <w:rFonts w:asciiTheme="majorBidi" w:hAnsiTheme="majorBidi" w:cstheme="majorBidi"/>
          <w:szCs w:val="24"/>
        </w:rPr>
        <w:t xml:space="preserve">  H., </w:t>
      </w:r>
      <w:proofErr w:type="spellStart"/>
      <w:r w:rsidRPr="00D26360">
        <w:rPr>
          <w:rFonts w:asciiTheme="majorBidi" w:hAnsiTheme="majorBidi" w:cstheme="majorBidi"/>
          <w:szCs w:val="24"/>
        </w:rPr>
        <w:t>Hassani</w:t>
      </w:r>
      <w:proofErr w:type="spellEnd"/>
      <w:r w:rsidRPr="00D26360">
        <w:rPr>
          <w:rFonts w:asciiTheme="majorBidi" w:hAnsiTheme="majorBidi" w:cstheme="majorBidi"/>
          <w:szCs w:val="24"/>
        </w:rPr>
        <w:t xml:space="preserve">,  2003. Structural styles in the Zagros Simple Folded </w:t>
      </w:r>
      <w:r w:rsidR="00800112" w:rsidRPr="00D26360">
        <w:rPr>
          <w:rFonts w:asciiTheme="majorBidi" w:hAnsiTheme="majorBidi" w:cstheme="majorBidi"/>
          <w:szCs w:val="24"/>
        </w:rPr>
        <w:t>Zone, Iran</w:t>
      </w:r>
      <w:r w:rsidRPr="00D26360">
        <w:rPr>
          <w:rFonts w:asciiTheme="majorBidi" w:hAnsiTheme="majorBidi" w:cstheme="majorBidi"/>
          <w:szCs w:val="24"/>
        </w:rPr>
        <w:t>. Journal of the Geological Society, London, V. 160, P. 401-412.</w:t>
      </w:r>
    </w:p>
    <w:p w:rsidR="002D7A5D" w:rsidRPr="00D26360" w:rsidRDefault="002D7A5D" w:rsidP="002D7A5D">
      <w:pPr>
        <w:autoSpaceDE w:val="0"/>
        <w:autoSpaceDN w:val="0"/>
        <w:spacing w:line="240" w:lineRule="auto"/>
        <w:ind w:left="720" w:hanging="720"/>
        <w:rPr>
          <w:rFonts w:asciiTheme="majorBidi" w:hAnsiTheme="majorBidi" w:cstheme="majorBidi"/>
          <w:szCs w:val="24"/>
        </w:rPr>
      </w:pPr>
      <w:r w:rsidRPr="00D26360">
        <w:rPr>
          <w:rFonts w:asciiTheme="majorBidi" w:hAnsiTheme="majorBidi" w:cstheme="majorBidi"/>
          <w:szCs w:val="24"/>
        </w:rPr>
        <w:t xml:space="preserve">[10] Burberry, C.M., J.W. </w:t>
      </w:r>
      <w:r w:rsidR="00800112" w:rsidRPr="00D26360">
        <w:rPr>
          <w:rFonts w:asciiTheme="majorBidi" w:hAnsiTheme="majorBidi" w:cstheme="majorBidi"/>
          <w:szCs w:val="24"/>
        </w:rPr>
        <w:t>Cosgrove, J.</w:t>
      </w:r>
      <w:r w:rsidRPr="00D26360">
        <w:rPr>
          <w:rFonts w:asciiTheme="majorBidi" w:hAnsiTheme="majorBidi" w:cstheme="majorBidi"/>
          <w:szCs w:val="24"/>
        </w:rPr>
        <w:t xml:space="preserve">, G., Liu, 2010. A study of fold characteristics and deformation style using the evolution of the land surface: Zagros Simply Folded Belt, Iran. In P. </w:t>
      </w:r>
      <w:proofErr w:type="spellStart"/>
      <w:r w:rsidRPr="00D26360">
        <w:rPr>
          <w:rFonts w:asciiTheme="majorBidi" w:hAnsiTheme="majorBidi" w:cstheme="majorBidi"/>
          <w:szCs w:val="24"/>
        </w:rPr>
        <w:t>Leturmyand</w:t>
      </w:r>
      <w:proofErr w:type="spellEnd"/>
      <w:r w:rsidRPr="00D26360">
        <w:rPr>
          <w:rFonts w:asciiTheme="majorBidi" w:hAnsiTheme="majorBidi" w:cstheme="majorBidi"/>
          <w:szCs w:val="24"/>
        </w:rPr>
        <w:t xml:space="preserve"> C. Robin (</w:t>
      </w:r>
      <w:proofErr w:type="spellStart"/>
      <w:r w:rsidRPr="00D26360">
        <w:rPr>
          <w:rFonts w:asciiTheme="majorBidi" w:hAnsiTheme="majorBidi" w:cstheme="majorBidi"/>
          <w:szCs w:val="24"/>
        </w:rPr>
        <w:t>Eds</w:t>
      </w:r>
      <w:proofErr w:type="spellEnd"/>
      <w:r w:rsidRPr="00D26360">
        <w:rPr>
          <w:rFonts w:asciiTheme="majorBidi" w:hAnsiTheme="majorBidi" w:cstheme="majorBidi"/>
          <w:szCs w:val="24"/>
        </w:rPr>
        <w:t xml:space="preserve">), Tectonic and Stratigraphic Evolution of Zagros and </w:t>
      </w:r>
      <w:proofErr w:type="spellStart"/>
      <w:r w:rsidRPr="00D26360">
        <w:rPr>
          <w:rFonts w:asciiTheme="majorBidi" w:hAnsiTheme="majorBidi" w:cstheme="majorBidi"/>
          <w:szCs w:val="24"/>
        </w:rPr>
        <w:t>Makran</w:t>
      </w:r>
      <w:proofErr w:type="spellEnd"/>
      <w:r w:rsidRPr="00D26360">
        <w:rPr>
          <w:rFonts w:asciiTheme="majorBidi" w:hAnsiTheme="majorBidi" w:cstheme="majorBidi"/>
          <w:szCs w:val="24"/>
        </w:rPr>
        <w:t xml:space="preserve"> during </w:t>
      </w:r>
      <w:proofErr w:type="spellStart"/>
      <w:r w:rsidRPr="00D26360">
        <w:rPr>
          <w:rFonts w:asciiTheme="majorBidi" w:hAnsiTheme="majorBidi" w:cstheme="majorBidi"/>
          <w:szCs w:val="24"/>
        </w:rPr>
        <w:t>theMesozoic</w:t>
      </w:r>
      <w:proofErr w:type="spellEnd"/>
      <w:r w:rsidRPr="00D26360">
        <w:rPr>
          <w:rFonts w:asciiTheme="majorBidi" w:hAnsiTheme="majorBidi" w:cstheme="majorBidi"/>
          <w:szCs w:val="24"/>
        </w:rPr>
        <w:t xml:space="preserve">–Cenozoic. Geological Society </w:t>
      </w:r>
      <w:r w:rsidR="00800112" w:rsidRPr="00D26360">
        <w:rPr>
          <w:rFonts w:asciiTheme="majorBidi" w:hAnsiTheme="majorBidi" w:cstheme="majorBidi"/>
          <w:szCs w:val="24"/>
        </w:rPr>
        <w:t>journal,</w:t>
      </w:r>
      <w:r w:rsidRPr="00D26360">
        <w:rPr>
          <w:rFonts w:asciiTheme="majorBidi" w:hAnsiTheme="majorBidi" w:cstheme="majorBidi"/>
          <w:szCs w:val="24"/>
        </w:rPr>
        <w:t xml:space="preserve"> London, Special Publication no. 330, p. 139-154.</w:t>
      </w:r>
    </w:p>
    <w:p w:rsidR="002D7A5D" w:rsidRPr="00D26360" w:rsidRDefault="002D7A5D" w:rsidP="002D7A5D">
      <w:pPr>
        <w:autoSpaceDE w:val="0"/>
        <w:autoSpaceDN w:val="0"/>
        <w:spacing w:line="240" w:lineRule="auto"/>
        <w:ind w:left="720" w:hanging="720"/>
        <w:rPr>
          <w:rFonts w:asciiTheme="majorBidi" w:hAnsiTheme="majorBidi" w:cstheme="majorBidi"/>
          <w:szCs w:val="24"/>
        </w:rPr>
      </w:pPr>
      <w:r w:rsidRPr="00D26360">
        <w:rPr>
          <w:rFonts w:asciiTheme="majorBidi" w:hAnsiTheme="majorBidi" w:cstheme="majorBidi"/>
          <w:szCs w:val="24"/>
        </w:rPr>
        <w:t xml:space="preserve">[11] </w:t>
      </w:r>
      <w:proofErr w:type="spellStart"/>
      <w:r w:rsidRPr="00D26360">
        <w:rPr>
          <w:rFonts w:asciiTheme="majorBidi" w:hAnsiTheme="majorBidi" w:cstheme="majorBidi"/>
          <w:szCs w:val="24"/>
        </w:rPr>
        <w:t>Bretis</w:t>
      </w:r>
      <w:proofErr w:type="spellEnd"/>
      <w:r w:rsidRPr="00D26360">
        <w:rPr>
          <w:rFonts w:asciiTheme="majorBidi" w:hAnsiTheme="majorBidi" w:cstheme="majorBidi"/>
          <w:szCs w:val="24"/>
        </w:rPr>
        <w:t>, B.</w:t>
      </w:r>
      <w:proofErr w:type="gramStart"/>
      <w:r w:rsidRPr="00D26360">
        <w:rPr>
          <w:rFonts w:asciiTheme="majorBidi" w:hAnsiTheme="majorBidi" w:cstheme="majorBidi"/>
          <w:szCs w:val="24"/>
        </w:rPr>
        <w:t xml:space="preserve">, </w:t>
      </w:r>
      <w:r w:rsidRPr="00D26360">
        <w:t xml:space="preserve"> </w:t>
      </w:r>
      <w:proofErr w:type="spellStart"/>
      <w:r w:rsidRPr="00D26360">
        <w:rPr>
          <w:rFonts w:asciiTheme="majorBidi" w:hAnsiTheme="majorBidi" w:cstheme="majorBidi"/>
          <w:szCs w:val="24"/>
        </w:rPr>
        <w:t>Bartl</w:t>
      </w:r>
      <w:proofErr w:type="spellEnd"/>
      <w:proofErr w:type="gramEnd"/>
      <w:r w:rsidRPr="00D26360">
        <w:rPr>
          <w:rFonts w:asciiTheme="majorBidi" w:hAnsiTheme="majorBidi" w:cstheme="majorBidi"/>
          <w:szCs w:val="24"/>
        </w:rPr>
        <w:t xml:space="preserve">, </w:t>
      </w:r>
      <w:r w:rsidRPr="00D26360">
        <w:rPr>
          <w:rFonts w:asciiTheme="majorBidi" w:hAnsiTheme="majorBidi" w:cstheme="majorBidi"/>
        </w:rPr>
        <w:t>N</w:t>
      </w:r>
      <w:r w:rsidRPr="00D26360">
        <w:rPr>
          <w:rFonts w:asciiTheme="majorBidi" w:hAnsiTheme="majorBidi" w:cstheme="majorBidi"/>
          <w:szCs w:val="24"/>
        </w:rPr>
        <w:t>.</w:t>
      </w:r>
      <w:r w:rsidRPr="00D26360">
        <w:rPr>
          <w:rFonts w:asciiTheme="majorBidi" w:hAnsiTheme="majorBidi" w:cstheme="majorBidi"/>
        </w:rPr>
        <w:t>,</w:t>
      </w:r>
      <w:r w:rsidRPr="00D26360">
        <w:rPr>
          <w:sz w:val="28"/>
          <w:szCs w:val="28"/>
        </w:rPr>
        <w:t xml:space="preserve"> </w:t>
      </w:r>
      <w:r w:rsidRPr="00D26360">
        <w:rPr>
          <w:rFonts w:asciiTheme="majorBidi" w:hAnsiTheme="majorBidi" w:cstheme="majorBidi"/>
          <w:szCs w:val="24"/>
        </w:rPr>
        <w:t xml:space="preserve">2010 Quantification of fold growth ( </w:t>
      </w:r>
      <w:proofErr w:type="spellStart"/>
      <w:r w:rsidRPr="00D26360">
        <w:rPr>
          <w:rFonts w:asciiTheme="majorBidi" w:hAnsiTheme="majorBidi" w:cstheme="majorBidi"/>
          <w:szCs w:val="24"/>
        </w:rPr>
        <w:t>Permam</w:t>
      </w:r>
      <w:proofErr w:type="spellEnd"/>
      <w:r w:rsidRPr="00D26360">
        <w:rPr>
          <w:rFonts w:asciiTheme="majorBidi" w:hAnsiTheme="majorBidi" w:cstheme="majorBidi"/>
          <w:szCs w:val="24"/>
        </w:rPr>
        <w:t xml:space="preserve">-, </w:t>
      </w:r>
      <w:proofErr w:type="spellStart"/>
      <w:r w:rsidRPr="00D26360">
        <w:rPr>
          <w:rFonts w:asciiTheme="majorBidi" w:hAnsiTheme="majorBidi" w:cstheme="majorBidi"/>
          <w:szCs w:val="24"/>
        </w:rPr>
        <w:t>Bana</w:t>
      </w:r>
      <w:proofErr w:type="spellEnd"/>
      <w:r w:rsidRPr="00D26360">
        <w:rPr>
          <w:rFonts w:asciiTheme="majorBidi" w:hAnsiTheme="majorBidi" w:cstheme="majorBidi"/>
          <w:szCs w:val="24"/>
        </w:rPr>
        <w:t xml:space="preserve"> </w:t>
      </w:r>
      <w:proofErr w:type="spellStart"/>
      <w:r w:rsidRPr="00D26360">
        <w:rPr>
          <w:rFonts w:asciiTheme="majorBidi" w:hAnsiTheme="majorBidi" w:cstheme="majorBidi"/>
          <w:szCs w:val="24"/>
        </w:rPr>
        <w:t>Bawi</w:t>
      </w:r>
      <w:proofErr w:type="spellEnd"/>
      <w:r w:rsidRPr="00D26360">
        <w:rPr>
          <w:rFonts w:asciiTheme="majorBidi" w:hAnsiTheme="majorBidi" w:cstheme="majorBidi"/>
          <w:szCs w:val="24"/>
        </w:rPr>
        <w:t xml:space="preserve">- and </w:t>
      </w:r>
      <w:proofErr w:type="spellStart"/>
      <w:r w:rsidRPr="00D26360">
        <w:rPr>
          <w:rFonts w:asciiTheme="majorBidi" w:hAnsiTheme="majorBidi" w:cstheme="majorBidi"/>
          <w:szCs w:val="24"/>
        </w:rPr>
        <w:t>Safeen</w:t>
      </w:r>
      <w:proofErr w:type="spellEnd"/>
      <w:r w:rsidRPr="00D26360">
        <w:rPr>
          <w:rFonts w:asciiTheme="majorBidi" w:hAnsiTheme="majorBidi" w:cstheme="majorBidi"/>
          <w:szCs w:val="24"/>
        </w:rPr>
        <w:t xml:space="preserve"> Anticlines, NE Iraq) master thesis</w:t>
      </w:r>
      <w:r w:rsidRPr="00D26360">
        <w:rPr>
          <w:rFonts w:asciiTheme="majorBidi" w:hAnsiTheme="majorBidi" w:cstheme="majorBidi"/>
        </w:rPr>
        <w:t>,</w:t>
      </w:r>
      <w:r w:rsidRPr="00D26360">
        <w:rPr>
          <w:rFonts w:asciiTheme="majorBidi" w:hAnsiTheme="majorBidi" w:cstheme="majorBidi"/>
          <w:szCs w:val="24"/>
        </w:rPr>
        <w:t xml:space="preserve"> Vienne University.</w:t>
      </w:r>
      <w:r w:rsidRPr="00D26360">
        <w:rPr>
          <w:rFonts w:asciiTheme="majorBidi" w:hAnsiTheme="majorBidi" w:cstheme="majorBidi"/>
        </w:rPr>
        <w:t xml:space="preserve"> </w:t>
      </w:r>
      <w:r w:rsidRPr="00D26360">
        <w:rPr>
          <w:rFonts w:asciiTheme="majorBidi" w:hAnsiTheme="majorBidi" w:cstheme="majorBidi"/>
          <w:szCs w:val="24"/>
        </w:rPr>
        <w:t>P. 92.</w:t>
      </w:r>
    </w:p>
    <w:p w:rsidR="002D7A5D" w:rsidRPr="00D26360" w:rsidRDefault="002D7A5D" w:rsidP="002D7A5D">
      <w:pPr>
        <w:spacing w:line="240" w:lineRule="auto"/>
        <w:ind w:left="720" w:hanging="720"/>
      </w:pPr>
      <w:r w:rsidRPr="00D26360">
        <w:rPr>
          <w:rFonts w:asciiTheme="majorBidi" w:hAnsiTheme="majorBidi" w:cstheme="majorBidi"/>
          <w:szCs w:val="24"/>
          <w:lang w:val="it-IT"/>
        </w:rPr>
        <w:t xml:space="preserve">[12] Zebari, M.,M., Burberry, C.,  M., 2015. </w:t>
      </w:r>
      <w:r w:rsidRPr="00D26360">
        <w:rPr>
          <w:rFonts w:asciiTheme="majorBidi" w:hAnsiTheme="majorBidi" w:cstheme="majorBidi"/>
          <w:szCs w:val="24"/>
        </w:rPr>
        <w:t>4-D evolution of anticlines and implications for hydrocarbon exploration within the Zagros Fold-Thrust Belt, Kurdistan Region, Iraq, Geo Arabia journal, v. 20, no. 1, p. 161-188 Gulf Petro Link, Bahrain</w:t>
      </w:r>
    </w:p>
    <w:p w:rsidR="002D7A5D" w:rsidRPr="00D26360" w:rsidRDefault="002D7A5D" w:rsidP="002D7A5D">
      <w:pPr>
        <w:autoSpaceDE w:val="0"/>
        <w:autoSpaceDN w:val="0"/>
        <w:spacing w:line="240" w:lineRule="auto"/>
        <w:ind w:left="720" w:hanging="720"/>
        <w:rPr>
          <w:rFonts w:asciiTheme="majorBidi" w:hAnsiTheme="majorBidi" w:cstheme="majorBidi"/>
          <w:szCs w:val="24"/>
        </w:rPr>
      </w:pPr>
    </w:p>
    <w:p w:rsidR="002D7A5D" w:rsidRPr="00D26360" w:rsidRDefault="002D7A5D" w:rsidP="002D7A5D">
      <w:pPr>
        <w:autoSpaceDE w:val="0"/>
        <w:autoSpaceDN w:val="0"/>
        <w:spacing w:line="240" w:lineRule="auto"/>
        <w:ind w:left="720" w:hanging="720"/>
        <w:rPr>
          <w:rFonts w:ascii="Palatino-Roman" w:cs="Palatino-Roman"/>
          <w:szCs w:val="24"/>
        </w:rPr>
      </w:pPr>
    </w:p>
    <w:p w:rsidR="002D7A5D" w:rsidRPr="00D26360" w:rsidRDefault="002D7A5D" w:rsidP="002D7A5D">
      <w:pPr>
        <w:autoSpaceDE w:val="0"/>
        <w:autoSpaceDN w:val="0"/>
        <w:spacing w:line="240" w:lineRule="auto"/>
        <w:ind w:left="720" w:hanging="720"/>
        <w:rPr>
          <w:rFonts w:ascii="Palatino-Roman" w:cs="Palatino-Roman"/>
          <w:szCs w:val="24"/>
          <w:lang w:val="sv-SE"/>
        </w:rPr>
      </w:pPr>
      <w:r w:rsidRPr="00D26360">
        <w:rPr>
          <w:rFonts w:ascii="Palatino-Roman" w:cs="Palatino-Roman"/>
          <w:szCs w:val="24"/>
        </w:rPr>
        <w:t xml:space="preserve">[13] de Vera, J., J. </w:t>
      </w:r>
      <w:proofErr w:type="spellStart"/>
      <w:r w:rsidRPr="00D26360">
        <w:rPr>
          <w:rFonts w:ascii="Palatino-Roman" w:cs="Palatino-Roman"/>
          <w:szCs w:val="24"/>
        </w:rPr>
        <w:t>Gines</w:t>
      </w:r>
      <w:proofErr w:type="spellEnd"/>
      <w:r w:rsidRPr="00D26360">
        <w:rPr>
          <w:rFonts w:ascii="Palatino-Roman" w:cs="Palatino-Roman"/>
          <w:szCs w:val="24"/>
        </w:rPr>
        <w:t xml:space="preserve">, M. </w:t>
      </w:r>
      <w:proofErr w:type="spellStart"/>
      <w:r w:rsidRPr="00D26360">
        <w:rPr>
          <w:rFonts w:ascii="Palatino-Roman" w:cs="Palatino-Roman"/>
          <w:szCs w:val="24"/>
        </w:rPr>
        <w:t>Oehlers</w:t>
      </w:r>
      <w:proofErr w:type="spellEnd"/>
      <w:r w:rsidRPr="00D26360">
        <w:rPr>
          <w:rFonts w:ascii="Palatino-Roman" w:cs="Palatino-Roman"/>
          <w:szCs w:val="24"/>
        </w:rPr>
        <w:t xml:space="preserve">, K. </w:t>
      </w:r>
      <w:r w:rsidR="00800112" w:rsidRPr="00D26360">
        <w:rPr>
          <w:rFonts w:ascii="Palatino-Roman" w:cs="Palatino-Roman"/>
          <w:szCs w:val="24"/>
        </w:rPr>
        <w:t>McClay, J.</w:t>
      </w:r>
      <w:r w:rsidRPr="00D26360">
        <w:rPr>
          <w:rFonts w:ascii="Palatino-Roman" w:cs="Palatino-Roman"/>
          <w:szCs w:val="24"/>
        </w:rPr>
        <w:t xml:space="preserve">, </w:t>
      </w:r>
      <w:proofErr w:type="spellStart"/>
      <w:r w:rsidRPr="00D26360">
        <w:rPr>
          <w:rFonts w:ascii="Palatino-Roman" w:cs="Palatino-Roman"/>
          <w:szCs w:val="24"/>
        </w:rPr>
        <w:t>Doski</w:t>
      </w:r>
      <w:proofErr w:type="spellEnd"/>
      <w:r w:rsidRPr="00D26360">
        <w:rPr>
          <w:rFonts w:ascii="Palatino-Roman" w:cs="Palatino-Roman"/>
          <w:szCs w:val="24"/>
        </w:rPr>
        <w:t xml:space="preserve">, 2009. Structure of the Zagros fold and thrust belt in the Kurdistan Region, northern Iraq. </w:t>
      </w:r>
      <w:proofErr w:type="spellStart"/>
      <w:r w:rsidRPr="00D26360">
        <w:rPr>
          <w:rFonts w:ascii="Palatino-Roman" w:cs="Palatino-Roman"/>
          <w:szCs w:val="24"/>
          <w:lang w:val="sv-SE"/>
        </w:rPr>
        <w:t>Trabajos</w:t>
      </w:r>
      <w:proofErr w:type="spellEnd"/>
      <w:r w:rsidRPr="00D26360">
        <w:rPr>
          <w:rFonts w:ascii="Palatino-Roman" w:cs="Palatino-Roman"/>
          <w:szCs w:val="24"/>
          <w:lang w:val="sv-SE"/>
        </w:rPr>
        <w:t xml:space="preserve"> de </w:t>
      </w:r>
      <w:proofErr w:type="spellStart"/>
      <w:r w:rsidRPr="00D26360">
        <w:rPr>
          <w:rFonts w:ascii="Palatino-Roman" w:cs="Palatino-Roman"/>
          <w:szCs w:val="24"/>
          <w:lang w:val="sv-SE"/>
        </w:rPr>
        <w:t>Geologia</w:t>
      </w:r>
      <w:proofErr w:type="spellEnd"/>
      <w:r w:rsidRPr="00D26360">
        <w:rPr>
          <w:rFonts w:ascii="Palatino-Roman" w:cs="Palatino-Roman"/>
          <w:szCs w:val="24"/>
          <w:lang w:val="sv-SE"/>
        </w:rPr>
        <w:t xml:space="preserve">, </w:t>
      </w:r>
      <w:proofErr w:type="spellStart"/>
      <w:r w:rsidRPr="00D26360">
        <w:rPr>
          <w:rFonts w:ascii="Palatino-Roman" w:cs="Palatino-Roman"/>
          <w:szCs w:val="24"/>
          <w:lang w:val="sv-SE"/>
        </w:rPr>
        <w:t>Universidad</w:t>
      </w:r>
      <w:proofErr w:type="spellEnd"/>
      <w:r w:rsidRPr="00D26360">
        <w:rPr>
          <w:rFonts w:ascii="Palatino-Roman" w:cs="Palatino-Roman"/>
          <w:szCs w:val="24"/>
          <w:lang w:val="sv-SE"/>
        </w:rPr>
        <w:t xml:space="preserve"> de </w:t>
      </w:r>
      <w:proofErr w:type="spellStart"/>
      <w:proofErr w:type="gramStart"/>
      <w:r w:rsidRPr="00D26360">
        <w:rPr>
          <w:rFonts w:ascii="Palatino-Roman" w:cs="Palatino-Roman"/>
          <w:szCs w:val="24"/>
          <w:lang w:val="sv-SE"/>
        </w:rPr>
        <w:t>Oviedo,Vo</w:t>
      </w:r>
      <w:proofErr w:type="spellEnd"/>
      <w:proofErr w:type="gramEnd"/>
      <w:r w:rsidRPr="00D26360">
        <w:rPr>
          <w:rFonts w:ascii="Palatino-Roman" w:cs="Palatino-Roman"/>
          <w:szCs w:val="24"/>
          <w:lang w:val="sv-SE"/>
        </w:rPr>
        <w:t>. 29, p. 213-217.</w:t>
      </w:r>
    </w:p>
    <w:p w:rsidR="002D7A5D" w:rsidRPr="00D26360" w:rsidRDefault="002D7A5D" w:rsidP="002D7A5D">
      <w:pPr>
        <w:autoSpaceDE w:val="0"/>
        <w:autoSpaceDN w:val="0"/>
        <w:spacing w:line="240" w:lineRule="auto"/>
        <w:ind w:left="720" w:hanging="720"/>
        <w:rPr>
          <w:rFonts w:asciiTheme="majorBidi" w:hAnsiTheme="majorBidi" w:cstheme="majorBidi"/>
          <w:szCs w:val="24"/>
        </w:rPr>
      </w:pPr>
      <w:r w:rsidRPr="00D26360">
        <w:rPr>
          <w:rFonts w:asciiTheme="majorBidi" w:hAnsiTheme="majorBidi" w:cstheme="majorBidi"/>
          <w:szCs w:val="24"/>
          <w:lang w:val="sv-SE"/>
        </w:rPr>
        <w:t xml:space="preserve">[14] </w:t>
      </w:r>
      <w:proofErr w:type="spellStart"/>
      <w:r w:rsidRPr="00D26360">
        <w:rPr>
          <w:rFonts w:asciiTheme="majorBidi" w:hAnsiTheme="majorBidi" w:cstheme="majorBidi"/>
          <w:szCs w:val="24"/>
          <w:lang w:val="sv-SE"/>
        </w:rPr>
        <w:t>Bretis</w:t>
      </w:r>
      <w:proofErr w:type="spellEnd"/>
      <w:r w:rsidRPr="00D26360">
        <w:rPr>
          <w:rFonts w:asciiTheme="majorBidi" w:hAnsiTheme="majorBidi" w:cstheme="majorBidi"/>
          <w:szCs w:val="24"/>
          <w:lang w:val="sv-SE"/>
        </w:rPr>
        <w:t xml:space="preserve">, B., </w:t>
      </w:r>
      <w:proofErr w:type="spellStart"/>
      <w:r w:rsidRPr="00D26360">
        <w:rPr>
          <w:rFonts w:asciiTheme="majorBidi" w:hAnsiTheme="majorBidi" w:cstheme="majorBidi"/>
          <w:szCs w:val="24"/>
          <w:lang w:val="sv-SE"/>
        </w:rPr>
        <w:t>Bartl</w:t>
      </w:r>
      <w:proofErr w:type="spellEnd"/>
      <w:r w:rsidRPr="00D26360">
        <w:rPr>
          <w:rFonts w:asciiTheme="majorBidi" w:hAnsiTheme="majorBidi" w:cstheme="majorBidi"/>
          <w:szCs w:val="24"/>
          <w:lang w:val="sv-SE"/>
        </w:rPr>
        <w:t xml:space="preserve">, N., </w:t>
      </w:r>
      <w:proofErr w:type="spellStart"/>
      <w:r w:rsidRPr="00D26360">
        <w:rPr>
          <w:rFonts w:asciiTheme="majorBidi" w:hAnsiTheme="majorBidi" w:cstheme="majorBidi"/>
          <w:szCs w:val="24"/>
          <w:lang w:val="sv-SE"/>
        </w:rPr>
        <w:t>Grasemann</w:t>
      </w:r>
      <w:proofErr w:type="spellEnd"/>
      <w:r w:rsidRPr="00D26360">
        <w:rPr>
          <w:rFonts w:asciiTheme="majorBidi" w:hAnsiTheme="majorBidi" w:cstheme="majorBidi"/>
          <w:szCs w:val="24"/>
          <w:lang w:val="sv-SE"/>
        </w:rPr>
        <w:t xml:space="preserve">, B., 2011. </w:t>
      </w:r>
      <w:r w:rsidRPr="00D26360">
        <w:rPr>
          <w:rFonts w:asciiTheme="majorBidi" w:hAnsiTheme="majorBidi" w:cstheme="majorBidi"/>
          <w:szCs w:val="24"/>
        </w:rPr>
        <w:t xml:space="preserve">Lateral fold growth and linkage in the Zagros fold and thrust belt (Kurdistan, NE Iraq). Basin Research </w:t>
      </w:r>
      <w:r w:rsidR="00800112" w:rsidRPr="00D26360">
        <w:rPr>
          <w:rFonts w:asciiTheme="majorBidi" w:hAnsiTheme="majorBidi" w:cstheme="majorBidi"/>
          <w:szCs w:val="24"/>
        </w:rPr>
        <w:t>journal,</w:t>
      </w:r>
      <w:r w:rsidRPr="00D26360">
        <w:rPr>
          <w:rFonts w:asciiTheme="majorBidi" w:hAnsiTheme="majorBidi" w:cstheme="majorBidi"/>
          <w:szCs w:val="24"/>
        </w:rPr>
        <w:t xml:space="preserve"> Vo. 23, P. 615–630</w:t>
      </w:r>
      <w:r w:rsidRPr="00D26360">
        <w:rPr>
          <w:sz w:val="23"/>
          <w:szCs w:val="23"/>
        </w:rPr>
        <w:t>.</w:t>
      </w:r>
    </w:p>
    <w:p w:rsidR="002D7A5D" w:rsidRPr="00D26360" w:rsidRDefault="002D7A5D" w:rsidP="002D7A5D">
      <w:pPr>
        <w:autoSpaceDE w:val="0"/>
        <w:autoSpaceDN w:val="0"/>
        <w:spacing w:line="240" w:lineRule="auto"/>
        <w:ind w:left="720" w:hanging="720"/>
        <w:rPr>
          <w:rFonts w:asciiTheme="majorBidi" w:hAnsiTheme="majorBidi" w:cstheme="majorBidi"/>
          <w:szCs w:val="24"/>
        </w:rPr>
      </w:pPr>
      <w:r w:rsidRPr="00D26360">
        <w:rPr>
          <w:rFonts w:asciiTheme="majorBidi" w:hAnsiTheme="majorBidi" w:cstheme="majorBidi"/>
          <w:szCs w:val="24"/>
        </w:rPr>
        <w:t xml:space="preserve">[15] </w:t>
      </w:r>
      <w:proofErr w:type="spellStart"/>
      <w:r w:rsidRPr="00D26360">
        <w:rPr>
          <w:rFonts w:asciiTheme="majorBidi" w:hAnsiTheme="majorBidi" w:cstheme="majorBidi"/>
          <w:szCs w:val="24"/>
        </w:rPr>
        <w:t>Reif</w:t>
      </w:r>
      <w:proofErr w:type="spellEnd"/>
      <w:r w:rsidRPr="00D26360">
        <w:rPr>
          <w:rFonts w:asciiTheme="majorBidi" w:hAnsiTheme="majorBidi" w:cstheme="majorBidi"/>
          <w:szCs w:val="24"/>
        </w:rPr>
        <w:t xml:space="preserve">, D., K. Decker, B. </w:t>
      </w:r>
      <w:proofErr w:type="spellStart"/>
      <w:r w:rsidRPr="00D26360">
        <w:rPr>
          <w:rFonts w:asciiTheme="majorBidi" w:hAnsiTheme="majorBidi" w:cstheme="majorBidi"/>
          <w:szCs w:val="24"/>
        </w:rPr>
        <w:t>Grasemann</w:t>
      </w:r>
      <w:proofErr w:type="spellEnd"/>
      <w:r w:rsidRPr="00D26360">
        <w:rPr>
          <w:rFonts w:asciiTheme="majorBidi" w:hAnsiTheme="majorBidi" w:cstheme="majorBidi"/>
          <w:szCs w:val="24"/>
        </w:rPr>
        <w:t xml:space="preserve">, H., </w:t>
      </w:r>
      <w:proofErr w:type="spellStart"/>
      <w:r w:rsidRPr="00D26360">
        <w:rPr>
          <w:rFonts w:asciiTheme="majorBidi" w:hAnsiTheme="majorBidi" w:cstheme="majorBidi"/>
          <w:szCs w:val="24"/>
        </w:rPr>
        <w:t>Peresson</w:t>
      </w:r>
      <w:proofErr w:type="spellEnd"/>
      <w:r w:rsidRPr="00D26360">
        <w:rPr>
          <w:rFonts w:asciiTheme="majorBidi" w:hAnsiTheme="majorBidi" w:cstheme="majorBidi"/>
          <w:szCs w:val="24"/>
        </w:rPr>
        <w:t xml:space="preserve">, 2012. Fracture patterns in the Zagros fold-and thrust belt, Kurdistan Region of Iraq. </w:t>
      </w:r>
      <w:r w:rsidR="00800112" w:rsidRPr="00D26360">
        <w:rPr>
          <w:rFonts w:asciiTheme="majorBidi" w:hAnsiTheme="majorBidi" w:cstheme="majorBidi"/>
          <w:szCs w:val="24"/>
        </w:rPr>
        <w:t>Tectonophysics journal</w:t>
      </w:r>
      <w:r w:rsidRPr="00D26360">
        <w:rPr>
          <w:rFonts w:asciiTheme="majorBidi" w:hAnsiTheme="majorBidi" w:cstheme="majorBidi"/>
          <w:szCs w:val="24"/>
        </w:rPr>
        <w:t>, v. 576-577, p. 46-62.</w:t>
      </w:r>
    </w:p>
    <w:p w:rsidR="002D7A5D" w:rsidRPr="00D26360" w:rsidRDefault="002D7A5D" w:rsidP="002D7A5D">
      <w:pPr>
        <w:autoSpaceDE w:val="0"/>
        <w:autoSpaceDN w:val="0"/>
        <w:spacing w:line="240" w:lineRule="auto"/>
        <w:ind w:left="720" w:hanging="720"/>
        <w:rPr>
          <w:rFonts w:asciiTheme="majorBidi" w:hAnsiTheme="majorBidi" w:cstheme="majorBidi"/>
          <w:szCs w:val="24"/>
        </w:rPr>
      </w:pPr>
      <w:r w:rsidRPr="00D26360">
        <w:rPr>
          <w:rFonts w:asciiTheme="majorBidi" w:hAnsiTheme="majorBidi" w:cstheme="majorBidi"/>
          <w:szCs w:val="24"/>
        </w:rPr>
        <w:t xml:space="preserve">[16] </w:t>
      </w:r>
      <w:proofErr w:type="spellStart"/>
      <w:r w:rsidRPr="00D26360">
        <w:rPr>
          <w:rFonts w:asciiTheme="majorBidi" w:hAnsiTheme="majorBidi" w:cstheme="majorBidi"/>
          <w:szCs w:val="24"/>
        </w:rPr>
        <w:t>Frehner</w:t>
      </w:r>
      <w:proofErr w:type="spellEnd"/>
      <w:r w:rsidRPr="00D26360">
        <w:rPr>
          <w:rFonts w:asciiTheme="majorBidi" w:hAnsiTheme="majorBidi" w:cstheme="majorBidi"/>
          <w:szCs w:val="24"/>
        </w:rPr>
        <w:t xml:space="preserve">, M., D. </w:t>
      </w:r>
      <w:proofErr w:type="spellStart"/>
      <w:r w:rsidR="00800112" w:rsidRPr="00D26360">
        <w:rPr>
          <w:rFonts w:asciiTheme="majorBidi" w:hAnsiTheme="majorBidi" w:cstheme="majorBidi"/>
          <w:szCs w:val="24"/>
        </w:rPr>
        <w:t>Reif</w:t>
      </w:r>
      <w:proofErr w:type="spellEnd"/>
      <w:r w:rsidR="00800112" w:rsidRPr="00D26360">
        <w:rPr>
          <w:rFonts w:asciiTheme="majorBidi" w:hAnsiTheme="majorBidi" w:cstheme="majorBidi"/>
          <w:szCs w:val="24"/>
        </w:rPr>
        <w:t>, B.</w:t>
      </w:r>
      <w:r w:rsidRPr="00D26360">
        <w:rPr>
          <w:rFonts w:asciiTheme="majorBidi" w:hAnsiTheme="majorBidi" w:cstheme="majorBidi"/>
          <w:szCs w:val="24"/>
        </w:rPr>
        <w:t xml:space="preserve">, </w:t>
      </w:r>
      <w:proofErr w:type="spellStart"/>
      <w:r w:rsidR="00800112" w:rsidRPr="00D26360">
        <w:rPr>
          <w:rFonts w:asciiTheme="majorBidi" w:hAnsiTheme="majorBidi" w:cstheme="majorBidi"/>
          <w:szCs w:val="24"/>
        </w:rPr>
        <w:t>Grasemann</w:t>
      </w:r>
      <w:proofErr w:type="spellEnd"/>
      <w:r w:rsidR="00800112" w:rsidRPr="00D26360">
        <w:rPr>
          <w:rFonts w:asciiTheme="majorBidi" w:hAnsiTheme="majorBidi" w:cstheme="majorBidi"/>
          <w:szCs w:val="24"/>
        </w:rPr>
        <w:t>, 2012</w:t>
      </w:r>
      <w:r w:rsidRPr="00D26360">
        <w:rPr>
          <w:rFonts w:asciiTheme="majorBidi" w:hAnsiTheme="majorBidi" w:cstheme="majorBidi"/>
          <w:szCs w:val="24"/>
        </w:rPr>
        <w:t xml:space="preserve">. Mechanical versus kinematical shortening reconstructions of the Zagros High Folded Zone (Kurdistan Region of Iraq), Tectonics </w:t>
      </w:r>
      <w:r w:rsidR="00800112" w:rsidRPr="00D26360">
        <w:rPr>
          <w:rFonts w:asciiTheme="majorBidi" w:hAnsiTheme="majorBidi" w:cstheme="majorBidi"/>
          <w:szCs w:val="24"/>
        </w:rPr>
        <w:t>journal,</w:t>
      </w:r>
      <w:r w:rsidRPr="00D26360">
        <w:rPr>
          <w:rFonts w:asciiTheme="majorBidi" w:hAnsiTheme="majorBidi" w:cstheme="majorBidi"/>
          <w:szCs w:val="24"/>
        </w:rPr>
        <w:t xml:space="preserve"> v. </w:t>
      </w:r>
      <w:r w:rsidR="00800112" w:rsidRPr="00D26360">
        <w:rPr>
          <w:rFonts w:asciiTheme="majorBidi" w:hAnsiTheme="majorBidi" w:cstheme="majorBidi"/>
          <w:szCs w:val="24"/>
        </w:rPr>
        <w:t>31, no.</w:t>
      </w:r>
      <w:r w:rsidRPr="00D26360">
        <w:rPr>
          <w:rFonts w:asciiTheme="majorBidi" w:hAnsiTheme="majorBidi" w:cstheme="majorBidi"/>
          <w:szCs w:val="24"/>
        </w:rPr>
        <w:t xml:space="preserve"> 3, doi:10.1029/2011TC003010.</w:t>
      </w:r>
    </w:p>
    <w:p w:rsidR="002D7A5D" w:rsidRPr="00D26360" w:rsidRDefault="002D7A5D" w:rsidP="002D7A5D">
      <w:pPr>
        <w:autoSpaceDE w:val="0"/>
        <w:autoSpaceDN w:val="0"/>
        <w:spacing w:line="240" w:lineRule="auto"/>
        <w:ind w:left="720" w:hanging="720"/>
        <w:rPr>
          <w:rFonts w:asciiTheme="majorBidi" w:hAnsiTheme="majorBidi" w:cstheme="majorBidi"/>
          <w:szCs w:val="24"/>
        </w:rPr>
      </w:pPr>
      <w:r w:rsidRPr="00D26360">
        <w:rPr>
          <w:rFonts w:asciiTheme="majorBidi" w:hAnsiTheme="majorBidi" w:cstheme="majorBidi"/>
          <w:szCs w:val="24"/>
        </w:rPr>
        <w:t xml:space="preserve">[17] Jassim, S., Z., </w:t>
      </w:r>
      <w:r w:rsidR="00800112" w:rsidRPr="00D26360">
        <w:rPr>
          <w:rFonts w:asciiTheme="majorBidi" w:hAnsiTheme="majorBidi" w:cstheme="majorBidi"/>
          <w:szCs w:val="24"/>
        </w:rPr>
        <w:t>J., C.</w:t>
      </w:r>
      <w:r w:rsidRPr="00D26360">
        <w:rPr>
          <w:rFonts w:asciiTheme="majorBidi" w:hAnsiTheme="majorBidi" w:cstheme="majorBidi"/>
          <w:szCs w:val="24"/>
        </w:rPr>
        <w:t xml:space="preserve">, </w:t>
      </w:r>
      <w:r w:rsidR="00800112" w:rsidRPr="00D26360">
        <w:rPr>
          <w:rFonts w:asciiTheme="majorBidi" w:hAnsiTheme="majorBidi" w:cstheme="majorBidi"/>
          <w:szCs w:val="24"/>
        </w:rPr>
        <w:t>Goff, 2006</w:t>
      </w:r>
      <w:r w:rsidRPr="00D26360">
        <w:rPr>
          <w:rFonts w:asciiTheme="majorBidi" w:hAnsiTheme="majorBidi" w:cstheme="majorBidi"/>
          <w:szCs w:val="24"/>
        </w:rPr>
        <w:t>. Geology of Iraq. Dolin, Prague and Moravian Museum, Brno, Czech Republic, 341 p.</w:t>
      </w:r>
    </w:p>
    <w:p w:rsidR="002D7A5D" w:rsidRPr="00D26360" w:rsidRDefault="002D7A5D" w:rsidP="002D7A5D">
      <w:pPr>
        <w:spacing w:line="240" w:lineRule="auto"/>
        <w:ind w:left="709" w:hanging="709"/>
        <w:rPr>
          <w:rFonts w:asciiTheme="majorBidi" w:hAnsiTheme="majorBidi" w:cstheme="majorBidi"/>
          <w:szCs w:val="24"/>
        </w:rPr>
      </w:pPr>
      <w:r w:rsidRPr="00D26360">
        <w:rPr>
          <w:rFonts w:asciiTheme="majorBidi" w:hAnsiTheme="majorBidi" w:cstheme="majorBidi"/>
          <w:szCs w:val="24"/>
        </w:rPr>
        <w:t>[18] Stern, R.J.  and Johnson, P., 2010. Continental lithosphere of the Arabian Plate: A geologic, petrologic, and geophysical synthesis,</w:t>
      </w:r>
      <w:r w:rsidRPr="00D26360">
        <w:t xml:space="preserve"> </w:t>
      </w:r>
      <w:r w:rsidRPr="00D26360">
        <w:rPr>
          <w:rFonts w:asciiTheme="majorBidi" w:hAnsiTheme="majorBidi" w:cstheme="majorBidi"/>
          <w:szCs w:val="24"/>
        </w:rPr>
        <w:t>Earth-Science Reviews, 101, 29-67.</w:t>
      </w:r>
    </w:p>
    <w:p w:rsidR="002D7A5D" w:rsidRPr="00D26360" w:rsidRDefault="002D7A5D" w:rsidP="002D7A5D">
      <w:pPr>
        <w:spacing w:line="240" w:lineRule="auto"/>
        <w:ind w:left="709" w:hanging="709"/>
      </w:pPr>
      <w:r w:rsidRPr="00D26360">
        <w:rPr>
          <w:rFonts w:asciiTheme="majorBidi" w:hAnsiTheme="majorBidi" w:cstheme="majorBidi"/>
          <w:szCs w:val="24"/>
        </w:rPr>
        <w:t xml:space="preserve">[19] </w:t>
      </w:r>
      <w:proofErr w:type="spellStart"/>
      <w:r w:rsidRPr="00D26360">
        <w:rPr>
          <w:rFonts w:asciiTheme="majorBidi" w:hAnsiTheme="majorBidi" w:cstheme="majorBidi"/>
          <w:szCs w:val="24"/>
        </w:rPr>
        <w:t>Sepehr</w:t>
      </w:r>
      <w:proofErr w:type="spellEnd"/>
      <w:r w:rsidRPr="00D26360">
        <w:rPr>
          <w:rFonts w:asciiTheme="majorBidi" w:hAnsiTheme="majorBidi" w:cstheme="majorBidi"/>
          <w:szCs w:val="24"/>
        </w:rPr>
        <w:t xml:space="preserve">, M. and Cosgrove, J.W., 2005. Role of the </w:t>
      </w:r>
      <w:proofErr w:type="spellStart"/>
      <w:r w:rsidRPr="00D26360">
        <w:rPr>
          <w:rFonts w:asciiTheme="majorBidi" w:hAnsiTheme="majorBidi" w:cstheme="majorBidi"/>
          <w:szCs w:val="24"/>
        </w:rPr>
        <w:t>Kazerun</w:t>
      </w:r>
      <w:proofErr w:type="spellEnd"/>
      <w:r w:rsidRPr="00D26360">
        <w:rPr>
          <w:rFonts w:asciiTheme="majorBidi" w:hAnsiTheme="majorBidi" w:cstheme="majorBidi"/>
          <w:szCs w:val="24"/>
        </w:rPr>
        <w:t xml:space="preserve"> Fault Zone in the formation and deformation of the Zagros Fold-Thrust Belt, Iran, Tectonics, 24, 1-13.</w:t>
      </w:r>
    </w:p>
    <w:p w:rsidR="002D7A5D" w:rsidRPr="00D26360" w:rsidRDefault="002D7A5D" w:rsidP="002D7A5D">
      <w:pPr>
        <w:autoSpaceDE w:val="0"/>
        <w:autoSpaceDN w:val="0"/>
        <w:spacing w:line="240" w:lineRule="auto"/>
        <w:ind w:left="720" w:hanging="720"/>
        <w:rPr>
          <w:rFonts w:asciiTheme="majorBidi" w:hAnsiTheme="majorBidi" w:cstheme="majorBidi"/>
          <w:szCs w:val="24"/>
        </w:rPr>
      </w:pPr>
      <w:r w:rsidRPr="00D26360">
        <w:rPr>
          <w:rFonts w:asciiTheme="majorBidi" w:hAnsiTheme="majorBidi" w:cstheme="majorBidi"/>
          <w:szCs w:val="24"/>
        </w:rPr>
        <w:t xml:space="preserve">[20] </w:t>
      </w:r>
      <w:proofErr w:type="spellStart"/>
      <w:r w:rsidRPr="00D26360">
        <w:rPr>
          <w:rFonts w:asciiTheme="majorBidi" w:hAnsiTheme="majorBidi" w:cstheme="majorBidi"/>
          <w:szCs w:val="24"/>
        </w:rPr>
        <w:t>Edgell</w:t>
      </w:r>
      <w:proofErr w:type="spellEnd"/>
      <w:r w:rsidRPr="00D26360">
        <w:rPr>
          <w:rFonts w:asciiTheme="majorBidi" w:hAnsiTheme="majorBidi" w:cstheme="majorBidi"/>
          <w:szCs w:val="24"/>
        </w:rPr>
        <w:t xml:space="preserve">, H., S., 1996. Salt Tectonism in the Persian Gulf </w:t>
      </w:r>
      <w:proofErr w:type="spellStart"/>
      <w:r w:rsidRPr="00D26360">
        <w:rPr>
          <w:rFonts w:asciiTheme="majorBidi" w:hAnsiTheme="majorBidi" w:cstheme="majorBidi"/>
          <w:szCs w:val="24"/>
        </w:rPr>
        <w:t>Basin.In</w:t>
      </w:r>
      <w:proofErr w:type="spellEnd"/>
      <w:r w:rsidRPr="00D26360">
        <w:rPr>
          <w:rFonts w:asciiTheme="majorBidi" w:hAnsiTheme="majorBidi" w:cstheme="majorBidi"/>
          <w:szCs w:val="24"/>
        </w:rPr>
        <w:t xml:space="preserve"> G.I. Alsop, D.J. </w:t>
      </w:r>
      <w:r w:rsidR="00800112" w:rsidRPr="00D26360">
        <w:rPr>
          <w:rFonts w:asciiTheme="majorBidi" w:hAnsiTheme="majorBidi" w:cstheme="majorBidi"/>
          <w:szCs w:val="24"/>
        </w:rPr>
        <w:t>Blundell, I., Davison</w:t>
      </w:r>
      <w:r w:rsidRPr="00D26360">
        <w:rPr>
          <w:rFonts w:asciiTheme="majorBidi" w:hAnsiTheme="majorBidi" w:cstheme="majorBidi"/>
          <w:szCs w:val="24"/>
        </w:rPr>
        <w:t xml:space="preserve"> (Eds.), Salt Tectonics. Geological Society journal, London, Special Publication No. 100, p. 129-151.</w:t>
      </w:r>
    </w:p>
    <w:p w:rsidR="002D7A5D" w:rsidRPr="00D26360" w:rsidRDefault="002D7A5D" w:rsidP="002D7A5D">
      <w:pPr>
        <w:autoSpaceDE w:val="0"/>
        <w:autoSpaceDN w:val="0"/>
        <w:spacing w:line="240" w:lineRule="auto"/>
        <w:ind w:left="720" w:hanging="720"/>
        <w:rPr>
          <w:rFonts w:asciiTheme="majorBidi" w:hAnsiTheme="majorBidi" w:cstheme="majorBidi"/>
          <w:szCs w:val="24"/>
        </w:rPr>
      </w:pPr>
      <w:r w:rsidRPr="00D26360">
        <w:rPr>
          <w:rFonts w:asciiTheme="majorBidi" w:hAnsiTheme="majorBidi" w:cstheme="majorBidi"/>
          <w:szCs w:val="24"/>
        </w:rPr>
        <w:t xml:space="preserve">[21Burberry, C., M., 2015. </w:t>
      </w:r>
      <w:r w:rsidR="00800112" w:rsidRPr="00D26360">
        <w:rPr>
          <w:rFonts w:asciiTheme="majorBidi" w:hAnsiTheme="majorBidi" w:cstheme="majorBidi"/>
          <w:szCs w:val="24"/>
        </w:rPr>
        <w:t>The effect</w:t>
      </w:r>
      <w:r w:rsidRPr="00D26360">
        <w:rPr>
          <w:rFonts w:asciiTheme="majorBidi" w:hAnsiTheme="majorBidi" w:cstheme="majorBidi"/>
          <w:szCs w:val="24"/>
        </w:rPr>
        <w:t xml:space="preserve"> of basement fault reactivation on the Triassic-Recent geology of Kurdistan, N Iraq. Journal of Petroleum Geology, v. 38, no. 1, p. 37-58.</w:t>
      </w:r>
    </w:p>
    <w:p w:rsidR="002D7A5D" w:rsidRPr="00D26360" w:rsidRDefault="002D7A5D" w:rsidP="002D7A5D">
      <w:pPr>
        <w:autoSpaceDE w:val="0"/>
        <w:autoSpaceDN w:val="0"/>
        <w:spacing w:line="240" w:lineRule="auto"/>
        <w:ind w:left="720" w:hanging="720"/>
        <w:rPr>
          <w:rFonts w:asciiTheme="majorBidi" w:hAnsiTheme="majorBidi" w:cstheme="majorBidi"/>
          <w:szCs w:val="24"/>
        </w:rPr>
      </w:pPr>
      <w:r w:rsidRPr="00D26360">
        <w:rPr>
          <w:rFonts w:asciiTheme="majorBidi" w:hAnsiTheme="majorBidi" w:cstheme="majorBidi"/>
          <w:szCs w:val="24"/>
        </w:rPr>
        <w:t>[22] Ameen, M., S., 1992. Effect of basement tectonics on hydrocarbon generation, migration and accumulation in northern Iraq. American Association of Petroleum Geologists Bulletin journal, V. 76, P. 356-370.</w:t>
      </w:r>
    </w:p>
    <w:p w:rsidR="002D7A5D" w:rsidRPr="00D26360" w:rsidRDefault="002D7A5D" w:rsidP="002D7A5D">
      <w:pPr>
        <w:autoSpaceDE w:val="0"/>
        <w:autoSpaceDN w:val="0"/>
        <w:spacing w:line="240" w:lineRule="auto"/>
        <w:ind w:left="720" w:hanging="720"/>
        <w:rPr>
          <w:rFonts w:asciiTheme="majorBidi" w:hAnsiTheme="majorBidi" w:cstheme="majorBidi"/>
          <w:szCs w:val="24"/>
        </w:rPr>
      </w:pPr>
      <w:r w:rsidRPr="00D26360">
        <w:rPr>
          <w:rFonts w:asciiTheme="majorBidi" w:hAnsiTheme="majorBidi" w:cstheme="majorBidi"/>
          <w:szCs w:val="24"/>
        </w:rPr>
        <w:t>[23]</w:t>
      </w:r>
      <w:r w:rsidR="00D26360">
        <w:rPr>
          <w:rFonts w:asciiTheme="majorBidi" w:hAnsiTheme="majorBidi" w:cstheme="majorBidi"/>
          <w:szCs w:val="24"/>
        </w:rPr>
        <w:t xml:space="preserve"> </w:t>
      </w:r>
      <w:proofErr w:type="spellStart"/>
      <w:r w:rsidRPr="00D26360">
        <w:rPr>
          <w:rFonts w:asciiTheme="majorBidi" w:hAnsiTheme="majorBidi" w:cstheme="majorBidi"/>
          <w:szCs w:val="24"/>
        </w:rPr>
        <w:t>Sissakian</w:t>
      </w:r>
      <w:proofErr w:type="spellEnd"/>
      <w:r w:rsidRPr="00D26360">
        <w:rPr>
          <w:rFonts w:asciiTheme="majorBidi" w:hAnsiTheme="majorBidi" w:cstheme="majorBidi"/>
          <w:szCs w:val="24"/>
        </w:rPr>
        <w:t xml:space="preserve">, V.K., </w:t>
      </w:r>
      <w:proofErr w:type="spellStart"/>
      <w:r w:rsidRPr="00D26360">
        <w:rPr>
          <w:rFonts w:asciiTheme="majorBidi" w:hAnsiTheme="majorBidi" w:cstheme="majorBidi"/>
          <w:szCs w:val="24"/>
        </w:rPr>
        <w:t>Hagopian</w:t>
      </w:r>
      <w:proofErr w:type="spellEnd"/>
      <w:r w:rsidRPr="00D26360">
        <w:rPr>
          <w:rFonts w:asciiTheme="majorBidi" w:hAnsiTheme="majorBidi" w:cstheme="majorBidi"/>
          <w:szCs w:val="24"/>
        </w:rPr>
        <w:t xml:space="preserve">, D. H., Hassan, E.A., 1995. </w:t>
      </w:r>
      <w:r w:rsidRPr="00D26360">
        <w:rPr>
          <w:rFonts w:asciiTheme="majorBidi" w:hAnsiTheme="majorBidi" w:cstheme="majorBidi"/>
          <w:szCs w:val="24"/>
          <w:lang w:val="it-IT"/>
        </w:rPr>
        <w:t xml:space="preserve">Geological Map of Al-Mosul Quadrangle , scale 1:250000. </w:t>
      </w:r>
      <w:r w:rsidRPr="00D26360">
        <w:rPr>
          <w:rFonts w:asciiTheme="majorBidi" w:hAnsiTheme="majorBidi" w:cstheme="majorBidi"/>
          <w:szCs w:val="24"/>
        </w:rPr>
        <w:t xml:space="preserve">Iraq Geological Survey Publications, </w:t>
      </w:r>
      <w:r w:rsidR="00800112" w:rsidRPr="00D26360">
        <w:rPr>
          <w:rFonts w:asciiTheme="majorBidi" w:hAnsiTheme="majorBidi" w:cstheme="majorBidi"/>
          <w:szCs w:val="24"/>
        </w:rPr>
        <w:t>Bagdad,</w:t>
      </w:r>
      <w:r w:rsidRPr="00D26360">
        <w:rPr>
          <w:rFonts w:asciiTheme="majorBidi" w:hAnsiTheme="majorBidi" w:cstheme="majorBidi"/>
          <w:szCs w:val="24"/>
        </w:rPr>
        <w:t xml:space="preserve"> Iraq.</w:t>
      </w:r>
    </w:p>
    <w:p w:rsidR="002D7A5D" w:rsidRPr="00D26360" w:rsidRDefault="002D7A5D" w:rsidP="002D7A5D">
      <w:pPr>
        <w:autoSpaceDE w:val="0"/>
        <w:autoSpaceDN w:val="0"/>
        <w:spacing w:line="240" w:lineRule="auto"/>
        <w:ind w:left="720" w:hanging="720"/>
        <w:rPr>
          <w:rFonts w:asciiTheme="majorBidi" w:hAnsiTheme="majorBidi" w:cstheme="majorBidi"/>
          <w:szCs w:val="24"/>
        </w:rPr>
      </w:pPr>
      <w:r w:rsidRPr="00D26360">
        <w:rPr>
          <w:rFonts w:asciiTheme="majorBidi" w:hAnsiTheme="majorBidi" w:cstheme="majorBidi"/>
          <w:szCs w:val="24"/>
        </w:rPr>
        <w:t xml:space="preserve">[24] Cosgrove, J.W., M., S., Ameen, 2000. A comparison of the geometry, spatial organization and fracture patterns associated with forced folds and buckle folds. In J.W. Cosgrove and </w:t>
      </w:r>
      <w:proofErr w:type="spellStart"/>
      <w:r w:rsidRPr="00D26360">
        <w:rPr>
          <w:rFonts w:asciiTheme="majorBidi" w:hAnsiTheme="majorBidi" w:cstheme="majorBidi"/>
          <w:szCs w:val="24"/>
        </w:rPr>
        <w:t>M.</w:t>
      </w:r>
      <w:proofErr w:type="gramStart"/>
      <w:r w:rsidRPr="00D26360">
        <w:rPr>
          <w:rFonts w:asciiTheme="majorBidi" w:hAnsiTheme="majorBidi" w:cstheme="majorBidi"/>
          <w:szCs w:val="24"/>
        </w:rPr>
        <w:t>S.Ameen</w:t>
      </w:r>
      <w:proofErr w:type="spellEnd"/>
      <w:proofErr w:type="gramEnd"/>
      <w:r w:rsidRPr="00D26360">
        <w:rPr>
          <w:rFonts w:asciiTheme="majorBidi" w:hAnsiTheme="majorBidi" w:cstheme="majorBidi"/>
          <w:szCs w:val="24"/>
        </w:rPr>
        <w:t xml:space="preserve"> (</w:t>
      </w:r>
      <w:proofErr w:type="spellStart"/>
      <w:r w:rsidRPr="00D26360">
        <w:rPr>
          <w:rFonts w:asciiTheme="majorBidi" w:hAnsiTheme="majorBidi" w:cstheme="majorBidi"/>
          <w:szCs w:val="24"/>
        </w:rPr>
        <w:t>Eds</w:t>
      </w:r>
      <w:proofErr w:type="spellEnd"/>
      <w:r w:rsidRPr="00D26360">
        <w:rPr>
          <w:rFonts w:asciiTheme="majorBidi" w:hAnsiTheme="majorBidi" w:cstheme="majorBidi"/>
          <w:szCs w:val="24"/>
        </w:rPr>
        <w:t>), Forced Folds and Fractures. Geological Society journal, London, Special Publication No. 169, p. 7-21.</w:t>
      </w:r>
    </w:p>
    <w:p w:rsidR="002D7A5D" w:rsidRPr="00D26360" w:rsidRDefault="002D7A5D" w:rsidP="00800112">
      <w:pPr>
        <w:autoSpaceDE w:val="0"/>
        <w:autoSpaceDN w:val="0"/>
        <w:spacing w:line="240" w:lineRule="auto"/>
        <w:ind w:left="720" w:hanging="720"/>
      </w:pPr>
      <w:r w:rsidRPr="00D26360">
        <w:rPr>
          <w:rFonts w:asciiTheme="majorBidi" w:hAnsiTheme="majorBidi" w:cstheme="majorBidi"/>
          <w:szCs w:val="24"/>
        </w:rPr>
        <w:t>[25] Burbank, D.W., R., S., Anderson, 2012.Tectonic Geomorphology. Blackwell Science, Oxford, 274 p.</w:t>
      </w:r>
    </w:p>
    <w:p w:rsidR="002D7A5D" w:rsidRPr="00D26360" w:rsidRDefault="002D7A5D" w:rsidP="002D7A5D">
      <w:pPr>
        <w:spacing w:line="240" w:lineRule="auto"/>
      </w:pPr>
    </w:p>
    <w:p w:rsidR="00F537F4" w:rsidRPr="00D26360" w:rsidRDefault="00F537F4" w:rsidP="00F537F4">
      <w:pPr>
        <w:widowControl/>
        <w:autoSpaceDE w:val="0"/>
        <w:autoSpaceDN w:val="0"/>
        <w:spacing w:line="360" w:lineRule="auto"/>
        <w:textAlignment w:val="bottom"/>
        <w:rPr>
          <w:rFonts w:eastAsia="DFKai-SB"/>
          <w:szCs w:val="24"/>
        </w:rPr>
      </w:pPr>
    </w:p>
    <w:p w:rsidR="00E74776" w:rsidRPr="00D26360" w:rsidRDefault="00E74776" w:rsidP="000375F9">
      <w:pPr>
        <w:widowControl/>
        <w:autoSpaceDE w:val="0"/>
        <w:autoSpaceDN w:val="0"/>
        <w:spacing w:line="360" w:lineRule="auto"/>
        <w:textAlignment w:val="bottom"/>
        <w:rPr>
          <w:rFonts w:ascii="Century" w:eastAsia="DFKai-SB" w:hAnsi="Century"/>
          <w:b/>
          <w:szCs w:val="24"/>
        </w:rPr>
      </w:pPr>
    </w:p>
    <w:sectPr w:rsidR="00E74776" w:rsidRPr="00D26360" w:rsidSect="000375F9">
      <w:headerReference w:type="even" r:id="rId18"/>
      <w:headerReference w:type="default" r:id="rId19"/>
      <w:headerReference w:type="first" r:id="rId20"/>
      <w:pgSz w:w="10840" w:h="15060" w:code="9"/>
      <w:pgMar w:top="1440" w:right="1440" w:bottom="1440" w:left="1440" w:header="720" w:footer="720" w:gutter="0"/>
      <w:pgNumType w:start="1"/>
      <w:cols w:space="425"/>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6227" w:rsidRDefault="00CD6227">
      <w:r>
        <w:separator/>
      </w:r>
    </w:p>
  </w:endnote>
  <w:endnote w:type="continuationSeparator" w:id="0">
    <w:p w:rsidR="00CD6227" w:rsidRDefault="00CD6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ingLiU">
    <w:altName w:val="Microsoft JhengHei"/>
    <w:panose1 w:val="02010609000101010101"/>
    <w:charset w:val="88"/>
    <w:family w:val="modern"/>
    <w:pitch w:val="fixed"/>
    <w:sig w:usb0="00000000" w:usb1="28CFFCFA" w:usb2="00000016" w:usb3="00000000" w:csb0="00100001" w:csb1="00000000"/>
  </w:font>
  <w:font w:name="PMingLiU">
    <w:altName w:val="Microsoft JhengHei"/>
    <w:panose1 w:val="02010601000101010101"/>
    <w:charset w:val="88"/>
    <w:family w:val="roman"/>
    <w:pitch w:val="variable"/>
    <w:sig w:usb0="00000000"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DFKai-SB">
    <w:altName w:val="Microsoft JhengHei Light"/>
    <w:charset w:val="88"/>
    <w:family w:val="script"/>
    <w:pitch w:val="fixed"/>
    <w:sig w:usb0="00000000" w:usb1="080E0000" w:usb2="00000016" w:usb3="00000000" w:csb0="00100001" w:csb1="00000000"/>
  </w:font>
  <w:font w:name="Palatino-Roman">
    <w:altName w:val="Times New Roman"/>
    <w:panose1 w:val="00000000000000000000"/>
    <w:charset w:val="B2"/>
    <w:family w:val="roman"/>
    <w:notTrueType/>
    <w:pitch w:val="default"/>
    <w:sig w:usb0="00002001" w:usb1="00000000" w:usb2="00000000" w:usb3="00000000" w:csb0="00000040" w:csb1="00000000"/>
  </w:font>
  <w:font w:name="Century">
    <w:panose1 w:val="02040604050505020304"/>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20000003" w:usb1="00000000" w:usb2="00000000" w:usb3="00000000" w:csb0="000001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6227" w:rsidRDefault="00CD6227">
      <w:r>
        <w:separator/>
      </w:r>
    </w:p>
  </w:footnote>
  <w:footnote w:type="continuationSeparator" w:id="0">
    <w:p w:rsidR="00CD6227" w:rsidRDefault="00CD6227">
      <w:r>
        <w:continuationSeparator/>
      </w:r>
    </w:p>
  </w:footnote>
  <w:footnote w:id="1">
    <w:p w:rsidR="00884246" w:rsidRPr="000375F9" w:rsidRDefault="00884246" w:rsidP="009F6C70">
      <w:pPr>
        <w:pStyle w:val="FootnoteText"/>
        <w:spacing w:line="240" w:lineRule="auto"/>
        <w:rPr>
          <w:sz w:val="22"/>
          <w:szCs w:val="22"/>
        </w:rPr>
      </w:pPr>
      <w:r>
        <w:rPr>
          <w:rStyle w:val="FootnoteReference"/>
        </w:rPr>
        <w:footnoteRef/>
      </w:r>
      <w:r>
        <w:t xml:space="preserve"> </w:t>
      </w:r>
      <w:r w:rsidR="009F6C70" w:rsidRPr="009F6C70">
        <w:rPr>
          <w:sz w:val="22"/>
          <w:szCs w:val="22"/>
        </w:rPr>
        <w:t>Geomorphic Researcher, Celle- Germany: ziyadelias@yahoo.com</w:t>
      </w:r>
    </w:p>
  </w:footnote>
  <w:footnote w:id="2">
    <w:p w:rsidR="00884246" w:rsidRPr="000375F9" w:rsidRDefault="00884246" w:rsidP="009F6C70">
      <w:pPr>
        <w:pStyle w:val="FootnoteText"/>
        <w:spacing w:line="240" w:lineRule="auto"/>
        <w:rPr>
          <w:sz w:val="22"/>
          <w:szCs w:val="22"/>
        </w:rPr>
      </w:pPr>
      <w:r w:rsidRPr="000375F9">
        <w:rPr>
          <w:rStyle w:val="FootnoteReference"/>
          <w:sz w:val="22"/>
          <w:szCs w:val="22"/>
        </w:rPr>
        <w:footnoteRef/>
      </w:r>
      <w:r w:rsidRPr="000375F9">
        <w:rPr>
          <w:sz w:val="22"/>
          <w:szCs w:val="22"/>
        </w:rPr>
        <w:t xml:space="preserve"> </w:t>
      </w:r>
      <w:r w:rsidR="009F6C70" w:rsidRPr="009F6C70">
        <w:rPr>
          <w:sz w:val="22"/>
          <w:szCs w:val="22"/>
        </w:rPr>
        <w:t xml:space="preserve">Private </w:t>
      </w:r>
      <w:r w:rsidR="00DB22B0" w:rsidRPr="009F6C70">
        <w:rPr>
          <w:sz w:val="22"/>
          <w:szCs w:val="22"/>
        </w:rPr>
        <w:t>Consultant Geologist, Lecturer</w:t>
      </w:r>
      <w:r w:rsidR="009F6C70" w:rsidRPr="009F6C70">
        <w:rPr>
          <w:sz w:val="22"/>
          <w:szCs w:val="22"/>
        </w:rPr>
        <w:t xml:space="preserve"> in Kurdistan </w:t>
      </w:r>
      <w:bookmarkStart w:id="0" w:name="_GoBack"/>
      <w:bookmarkEnd w:id="0"/>
      <w:r w:rsidR="00DB22B0" w:rsidRPr="009F6C70">
        <w:rPr>
          <w:sz w:val="22"/>
          <w:szCs w:val="22"/>
        </w:rPr>
        <w:t xml:space="preserve">University, </w:t>
      </w:r>
      <w:proofErr w:type="spellStart"/>
      <w:r w:rsidR="00DB22B0" w:rsidRPr="009F6C70">
        <w:rPr>
          <w:sz w:val="22"/>
          <w:szCs w:val="22"/>
        </w:rPr>
        <w:t>Hewler</w:t>
      </w:r>
      <w:proofErr w:type="spellEnd"/>
      <w:r w:rsidR="009F6C70" w:rsidRPr="009F6C70">
        <w:rPr>
          <w:sz w:val="22"/>
          <w:szCs w:val="22"/>
        </w:rPr>
        <w:t>, Iraq: varoujan49@yahoo.com</w:t>
      </w:r>
    </w:p>
  </w:footnote>
  <w:footnote w:id="3">
    <w:p w:rsidR="00884246" w:rsidRPr="000375F9" w:rsidRDefault="00884246" w:rsidP="009F6C70">
      <w:pPr>
        <w:pStyle w:val="FootnoteText"/>
        <w:spacing w:line="240" w:lineRule="auto"/>
        <w:rPr>
          <w:sz w:val="22"/>
          <w:szCs w:val="22"/>
        </w:rPr>
      </w:pPr>
      <w:r w:rsidRPr="000375F9">
        <w:rPr>
          <w:rStyle w:val="FootnoteReference"/>
          <w:sz w:val="22"/>
          <w:szCs w:val="22"/>
        </w:rPr>
        <w:footnoteRef/>
      </w:r>
      <w:r w:rsidRPr="000375F9">
        <w:rPr>
          <w:sz w:val="22"/>
          <w:szCs w:val="22"/>
        </w:rPr>
        <w:t xml:space="preserve"> </w:t>
      </w:r>
      <w:r w:rsidR="009F6C70" w:rsidRPr="009F6C70">
        <w:rPr>
          <w:sz w:val="22"/>
          <w:szCs w:val="22"/>
        </w:rPr>
        <w:t xml:space="preserve">Lulea </w:t>
      </w:r>
      <w:r w:rsidR="00DB22B0" w:rsidRPr="009F6C70">
        <w:rPr>
          <w:sz w:val="22"/>
          <w:szCs w:val="22"/>
        </w:rPr>
        <w:t>University of</w:t>
      </w:r>
      <w:r w:rsidR="009F6C70" w:rsidRPr="009F6C70">
        <w:rPr>
          <w:sz w:val="22"/>
          <w:szCs w:val="22"/>
        </w:rPr>
        <w:t xml:space="preserve"> </w:t>
      </w:r>
      <w:r w:rsidR="00DB22B0" w:rsidRPr="009F6C70">
        <w:rPr>
          <w:sz w:val="22"/>
          <w:szCs w:val="22"/>
        </w:rPr>
        <w:t>Technology, Sweden</w:t>
      </w:r>
      <w:r w:rsidR="009F6C70" w:rsidRPr="009F6C70">
        <w:rPr>
          <w:sz w:val="22"/>
          <w:szCs w:val="22"/>
        </w:rPr>
        <w:t xml:space="preserve">, email:   </w:t>
      </w:r>
      <w:proofErr w:type="spellStart"/>
      <w:r w:rsidR="009F6C70" w:rsidRPr="009F6C70">
        <w:rPr>
          <w:sz w:val="22"/>
          <w:szCs w:val="22"/>
        </w:rPr>
        <w:t>nadhir.ala</w:t>
      </w:r>
      <w:proofErr w:type="spellEnd"/>
      <w:r w:rsidR="009F6C70" w:rsidRPr="009F6C70">
        <w:rPr>
          <w:sz w:val="22"/>
          <w:szCs w:val="22"/>
        </w:rPr>
        <w:t xml:space="preserve"> </w:t>
      </w:r>
      <w:proofErr w:type="spellStart"/>
      <w:r w:rsidR="009F6C70" w:rsidRPr="009F6C70">
        <w:rPr>
          <w:sz w:val="22"/>
          <w:szCs w:val="22"/>
        </w:rPr>
        <w:t>nsari</w:t>
      </w:r>
      <w:proofErr w:type="spellEnd"/>
      <w:r w:rsidR="009F6C70" w:rsidRPr="009F6C70">
        <w:rPr>
          <w:sz w:val="22"/>
          <w:szCs w:val="22"/>
        </w:rPr>
        <w:t>@ ltu.se</w:t>
      </w:r>
      <w:r w:rsidRPr="000375F9">
        <w:rPr>
          <w:sz w:val="22"/>
          <w:szCs w:val="22"/>
        </w:rPr>
        <w:t>:</w:t>
      </w:r>
    </w:p>
    <w:p w:rsidR="006C55B9" w:rsidRDefault="006C55B9" w:rsidP="00924E0E">
      <w:pPr>
        <w:pStyle w:val="FootnoteText"/>
        <w:spacing w:line="240" w:lineRule="auto"/>
      </w:pPr>
    </w:p>
    <w:p w:rsidR="006C55B9" w:rsidRPr="00A95D65" w:rsidRDefault="006C55B9" w:rsidP="006C55B9">
      <w:pPr>
        <w:pStyle w:val="BodyText"/>
        <w:spacing w:line="240" w:lineRule="auto"/>
        <w:jc w:val="left"/>
        <w:rPr>
          <w:rFonts w:ascii="Times New Roman" w:eastAsia="MS Mincho" w:hAnsi="Times New Roman"/>
          <w:b w:val="0"/>
          <w:color w:val="000000"/>
          <w:sz w:val="22"/>
          <w:szCs w:val="22"/>
          <w:lang w:eastAsia="ja-JP"/>
        </w:rPr>
      </w:pPr>
      <w:r w:rsidRPr="00A95D65">
        <w:rPr>
          <w:rFonts w:ascii="Times New Roman" w:eastAsia="MS Mincho" w:hAnsi="Times New Roman"/>
          <w:b w:val="0"/>
          <w:color w:val="000000"/>
          <w:sz w:val="22"/>
          <w:szCs w:val="22"/>
          <w:lang w:eastAsia="ja-JP"/>
        </w:rPr>
        <w:t xml:space="preserve">Article Info: </w:t>
      </w:r>
      <w:proofErr w:type="gramStart"/>
      <w:r w:rsidRPr="00A95D65">
        <w:rPr>
          <w:rFonts w:ascii="Times New Roman" w:eastAsia="MS Mincho" w:hAnsi="Times New Roman"/>
          <w:b w:val="0"/>
          <w:i/>
          <w:color w:val="000000"/>
          <w:sz w:val="22"/>
          <w:szCs w:val="22"/>
          <w:lang w:eastAsia="ja-JP"/>
        </w:rPr>
        <w:t xml:space="preserve">Received </w:t>
      </w:r>
      <w:r w:rsidRPr="00A95D65">
        <w:rPr>
          <w:rFonts w:ascii="Times New Roman" w:eastAsia="MS Mincho" w:hAnsi="Times New Roman"/>
          <w:b w:val="0"/>
          <w:color w:val="000000"/>
          <w:sz w:val="22"/>
          <w:szCs w:val="22"/>
          <w:lang w:eastAsia="ja-JP"/>
        </w:rPr>
        <w:t>:</w:t>
      </w:r>
      <w:proofErr w:type="gramEnd"/>
      <w:r w:rsidRPr="00A95D65">
        <w:rPr>
          <w:rFonts w:ascii="Times New Roman" w:eastAsia="MS Mincho" w:hAnsi="Times New Roman"/>
          <w:b w:val="0"/>
          <w:i/>
          <w:color w:val="000000"/>
          <w:sz w:val="22"/>
          <w:szCs w:val="22"/>
          <w:lang w:eastAsia="ja-JP"/>
        </w:rPr>
        <w:t xml:space="preserve"> </w:t>
      </w:r>
      <w:r w:rsidRPr="00A95D65">
        <w:rPr>
          <w:rFonts w:ascii="Times New Roman" w:eastAsia="MS Mincho" w:hAnsi="Times New Roman"/>
          <w:b w:val="0"/>
          <w:color w:val="000000"/>
          <w:sz w:val="22"/>
          <w:szCs w:val="22"/>
          <w:lang w:eastAsia="ja-JP"/>
        </w:rPr>
        <w:t>January 10, 2011</w:t>
      </w:r>
      <w:r w:rsidRPr="00A95D65">
        <w:rPr>
          <w:rFonts w:ascii="Times New Roman" w:eastAsia="MS Mincho" w:hAnsi="Times New Roman"/>
          <w:b w:val="0"/>
          <w:i/>
          <w:color w:val="000000"/>
          <w:sz w:val="22"/>
          <w:szCs w:val="22"/>
          <w:lang w:eastAsia="ja-JP"/>
        </w:rPr>
        <w:t xml:space="preserve">. Published </w:t>
      </w:r>
      <w:proofErr w:type="gramStart"/>
      <w:r w:rsidRPr="00A95D65">
        <w:rPr>
          <w:rFonts w:ascii="Times New Roman" w:eastAsia="MS Mincho" w:hAnsi="Times New Roman"/>
          <w:b w:val="0"/>
          <w:i/>
          <w:color w:val="000000"/>
          <w:sz w:val="22"/>
          <w:szCs w:val="22"/>
          <w:lang w:eastAsia="ja-JP"/>
        </w:rPr>
        <w:t>online</w:t>
      </w:r>
      <w:r w:rsidRPr="00A95D65">
        <w:rPr>
          <w:rFonts w:ascii="Times New Roman" w:eastAsia="MS Mincho" w:hAnsi="Times New Roman"/>
          <w:b w:val="0"/>
          <w:color w:val="000000"/>
          <w:sz w:val="22"/>
          <w:szCs w:val="22"/>
          <w:lang w:eastAsia="ja-JP"/>
        </w:rPr>
        <w:t xml:space="preserve"> :</w:t>
      </w:r>
      <w:proofErr w:type="gramEnd"/>
      <w:r w:rsidRPr="00A95D65">
        <w:rPr>
          <w:rFonts w:ascii="Times New Roman" w:eastAsia="MS Mincho" w:hAnsi="Times New Roman"/>
          <w:b w:val="0"/>
          <w:color w:val="000000"/>
          <w:sz w:val="22"/>
          <w:szCs w:val="22"/>
          <w:lang w:eastAsia="ja-JP"/>
        </w:rPr>
        <w:t xml:space="preserve"> July</w:t>
      </w:r>
      <w:r w:rsidR="00D4528E">
        <w:rPr>
          <w:rFonts w:ascii="Times New Roman" w:eastAsia="MS Mincho" w:hAnsi="Times New Roman"/>
          <w:b w:val="0"/>
          <w:color w:val="000000"/>
          <w:sz w:val="22"/>
          <w:szCs w:val="22"/>
          <w:lang w:eastAsia="ja-JP"/>
        </w:rPr>
        <w:t xml:space="preserve"> 17, 2012</w:t>
      </w:r>
      <w:r w:rsidRPr="00A95D65">
        <w:rPr>
          <w:rFonts w:ascii="Times New Roman" w:eastAsia="MS Mincho" w:hAnsi="Times New Roman"/>
          <w:b w:val="0"/>
          <w:color w:val="000000"/>
          <w:sz w:val="22"/>
          <w:szCs w:val="22"/>
          <w:lang w:eastAsia="ja-JP"/>
        </w:rPr>
        <w:t xml:space="preserve"> </w:t>
      </w:r>
    </w:p>
    <w:p w:rsidR="006C55B9" w:rsidRPr="00884246" w:rsidRDefault="006C55B9" w:rsidP="00924E0E">
      <w:pPr>
        <w:pStyle w:val="FootnoteText"/>
        <w:spacing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F24" w:rsidRDefault="00347F24" w:rsidP="004A218D">
    <w:pPr>
      <w:pStyle w:val="Header"/>
      <w:framePr w:wrap="around" w:vAnchor="text" w:hAnchor="margin" w:xAlign="right" w:y="1"/>
      <w:ind w:right="360" w:firstLine="360"/>
      <w:rPr>
        <w:rStyle w:val="PageNumber"/>
      </w:rPr>
    </w:pPr>
  </w:p>
  <w:p w:rsidR="00831E87" w:rsidRDefault="004A218D" w:rsidP="00831E87">
    <w:pPr>
      <w:pStyle w:val="Header"/>
      <w:ind w:right="360"/>
    </w:pPr>
    <w:r w:rsidRPr="00C15591">
      <w:rPr>
        <w:sz w:val="22"/>
        <w:szCs w:val="22"/>
      </w:rPr>
      <w:t>2</w:t>
    </w:r>
    <w:r>
      <w:t xml:space="preserve">                                            </w:t>
    </w:r>
    <w:r w:rsidR="0056424E">
      <w:t xml:space="preserve"> </w:t>
    </w:r>
  </w:p>
  <w:p w:rsidR="00347F24" w:rsidRPr="00C15591" w:rsidRDefault="00831E87" w:rsidP="00831E87">
    <w:pPr>
      <w:pStyle w:val="Header"/>
      <w:ind w:right="360"/>
      <w:rPr>
        <w:i/>
        <w:sz w:val="22"/>
        <w:szCs w:val="22"/>
      </w:rPr>
    </w:pPr>
    <w:r w:rsidRPr="00831E87">
      <w:rPr>
        <w:i/>
        <w:sz w:val="22"/>
        <w:szCs w:val="22"/>
      </w:rPr>
      <w:t xml:space="preserve">Elias </w:t>
    </w:r>
    <w:r w:rsidRPr="00831E87">
      <w:rPr>
        <w:i/>
        <w:sz w:val="22"/>
        <w:szCs w:val="22"/>
      </w:rPr>
      <w:t>Z</w:t>
    </w:r>
    <w:r>
      <w:rPr>
        <w:i/>
        <w:sz w:val="22"/>
        <w:szCs w:val="22"/>
      </w:rPr>
      <w:t>.</w:t>
    </w:r>
    <w:r w:rsidRPr="00831E87">
      <w:rPr>
        <w:i/>
        <w:sz w:val="22"/>
        <w:szCs w:val="22"/>
      </w:rPr>
      <w:t xml:space="preserve">, </w:t>
    </w:r>
    <w:proofErr w:type="spellStart"/>
    <w:r w:rsidRPr="00831E87">
      <w:rPr>
        <w:i/>
        <w:sz w:val="22"/>
        <w:szCs w:val="22"/>
      </w:rPr>
      <w:t>Sissakian</w:t>
    </w:r>
    <w:proofErr w:type="spellEnd"/>
    <w:r w:rsidRPr="00831E87">
      <w:rPr>
        <w:i/>
        <w:sz w:val="22"/>
        <w:szCs w:val="22"/>
      </w:rPr>
      <w:t xml:space="preserve"> </w:t>
    </w:r>
    <w:r>
      <w:rPr>
        <w:i/>
        <w:sz w:val="22"/>
        <w:szCs w:val="22"/>
      </w:rPr>
      <w:t>V.</w:t>
    </w:r>
    <w:r w:rsidRPr="00831E87">
      <w:rPr>
        <w:i/>
        <w:sz w:val="22"/>
        <w:szCs w:val="22"/>
      </w:rPr>
      <w:t xml:space="preserve">  and Al-Ansari </w:t>
    </w:r>
    <w:r>
      <w:rPr>
        <w:i/>
        <w:sz w:val="22"/>
        <w:szCs w:val="22"/>
      </w:rPr>
      <w:t>N.</w:t>
    </w:r>
    <w:r w:rsidRPr="00831E87">
      <w:rPr>
        <w:i/>
        <w:sz w:val="22"/>
        <w:szCs w:val="22"/>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18D" w:rsidRPr="00C15591" w:rsidRDefault="00DC034A" w:rsidP="00425D81">
    <w:pPr>
      <w:pStyle w:val="Header"/>
      <w:framePr w:wrap="around" w:vAnchor="text" w:hAnchor="margin" w:xAlign="outside" w:y="1"/>
      <w:rPr>
        <w:rStyle w:val="PageNumber"/>
        <w:sz w:val="22"/>
        <w:szCs w:val="22"/>
      </w:rPr>
    </w:pPr>
    <w:r w:rsidRPr="00C15591">
      <w:rPr>
        <w:rStyle w:val="PageNumber"/>
        <w:sz w:val="22"/>
        <w:szCs w:val="22"/>
      </w:rPr>
      <w:fldChar w:fldCharType="begin"/>
    </w:r>
    <w:r w:rsidR="004A218D" w:rsidRPr="00C15591">
      <w:rPr>
        <w:rStyle w:val="PageNumber"/>
        <w:sz w:val="22"/>
        <w:szCs w:val="22"/>
      </w:rPr>
      <w:instrText xml:space="preserve">PAGE  </w:instrText>
    </w:r>
    <w:r w:rsidRPr="00C15591">
      <w:rPr>
        <w:rStyle w:val="PageNumber"/>
        <w:sz w:val="22"/>
        <w:szCs w:val="22"/>
      </w:rPr>
      <w:fldChar w:fldCharType="separate"/>
    </w:r>
    <w:r w:rsidR="00DB22B0">
      <w:rPr>
        <w:rStyle w:val="PageNumber"/>
        <w:noProof/>
        <w:sz w:val="22"/>
        <w:szCs w:val="22"/>
      </w:rPr>
      <w:t>13</w:t>
    </w:r>
    <w:r w:rsidRPr="00C15591">
      <w:rPr>
        <w:rStyle w:val="PageNumber"/>
        <w:sz w:val="22"/>
        <w:szCs w:val="22"/>
      </w:rPr>
      <w:fldChar w:fldCharType="end"/>
    </w:r>
  </w:p>
  <w:p w:rsidR="00347F24" w:rsidRDefault="00347F24" w:rsidP="00C15591">
    <w:pPr>
      <w:pStyle w:val="Header"/>
      <w:framePr w:wrap="around" w:vAnchor="text" w:hAnchor="page" w:x="9421" w:y="-48"/>
      <w:ind w:right="360"/>
      <w:rPr>
        <w:rStyle w:val="PageNumber"/>
      </w:rPr>
    </w:pPr>
  </w:p>
  <w:p w:rsidR="00347F24" w:rsidRPr="00C15591" w:rsidRDefault="00831E87" w:rsidP="00831E87">
    <w:pPr>
      <w:pStyle w:val="Header"/>
      <w:ind w:right="360"/>
      <w:rPr>
        <w:i/>
        <w:sz w:val="22"/>
        <w:szCs w:val="22"/>
      </w:rPr>
    </w:pPr>
    <w:r w:rsidRPr="00831E87">
      <w:rPr>
        <w:i/>
        <w:sz w:val="22"/>
        <w:szCs w:val="22"/>
      </w:rPr>
      <w:t xml:space="preserve">New Tectonic Activity within Zagros – Taurus belt: A case study from north Iraq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28E" w:rsidRPr="00F503C0" w:rsidRDefault="00EE27AB" w:rsidP="00D4528E">
    <w:pPr>
      <w:autoSpaceDE w:val="0"/>
      <w:autoSpaceDN w:val="0"/>
      <w:spacing w:line="240" w:lineRule="auto"/>
      <w:jc w:val="left"/>
      <w:rPr>
        <w:rFonts w:ascii="TimesNewRomanPSMT" w:eastAsia="Times New Roman" w:hAnsi="TimesNewRomanPSMT" w:cs="TimesNewRomanPSMT"/>
        <w:i/>
        <w:szCs w:val="24"/>
        <w:lang w:val="en-GB" w:eastAsia="el-GR"/>
      </w:rPr>
    </w:pPr>
    <w:r w:rsidRPr="00EE27AB">
      <w:rPr>
        <w:rFonts w:ascii="TimesNewRomanPSMT" w:eastAsia="Times New Roman" w:hAnsi="TimesNewRomanPSMT" w:cs="TimesNewRomanPSMT"/>
        <w:i/>
        <w:sz w:val="23"/>
        <w:szCs w:val="23"/>
        <w:lang w:eastAsia="el-GR"/>
      </w:rPr>
      <w:t>Journal of Earth Sciences and Geotechnical Engineering</w:t>
    </w:r>
    <w:r w:rsidR="00D4528E" w:rsidRPr="00F503C0">
      <w:rPr>
        <w:rFonts w:ascii="TimesNewRomanPSMT" w:eastAsia="Times New Roman" w:hAnsi="TimesNewRomanPSMT" w:cs="TimesNewRomanPSMT"/>
        <w:i/>
        <w:sz w:val="23"/>
        <w:szCs w:val="23"/>
        <w:lang w:val="en-GB" w:eastAsia="el-GR"/>
      </w:rPr>
      <w:t>,</w:t>
    </w:r>
    <w:r w:rsidR="00D4528E">
      <w:rPr>
        <w:rFonts w:ascii="TimesNewRomanPSMT" w:eastAsia="Times New Roman" w:hAnsi="TimesNewRomanPSMT" w:cs="TimesNewRomanPSMT"/>
        <w:i/>
        <w:szCs w:val="24"/>
        <w:lang w:val="en-GB" w:eastAsia="el-GR"/>
      </w:rPr>
      <w:t xml:space="preserve"> </w:t>
    </w:r>
    <w:proofErr w:type="spellStart"/>
    <w:proofErr w:type="gramStart"/>
    <w:r w:rsidR="00D4528E">
      <w:rPr>
        <w:rFonts w:ascii="TimesNewRomanPSMT" w:eastAsia="Times New Roman" w:hAnsi="TimesNewRomanPSMT" w:cs="TimesNewRomanPSMT"/>
        <w:i/>
        <w:szCs w:val="24"/>
        <w:lang w:val="en-GB" w:eastAsia="el-GR"/>
      </w:rPr>
      <w:t>vol.xx</w:t>
    </w:r>
    <w:proofErr w:type="spellEnd"/>
    <w:proofErr w:type="gramEnd"/>
    <w:r w:rsidR="00D4528E">
      <w:rPr>
        <w:rFonts w:ascii="TimesNewRomanPSMT" w:eastAsia="Times New Roman" w:hAnsi="TimesNewRomanPSMT" w:cs="TimesNewRomanPSMT"/>
        <w:i/>
        <w:szCs w:val="24"/>
        <w:lang w:val="en-GB" w:eastAsia="el-GR"/>
      </w:rPr>
      <w:t>, no. xx, 201</w:t>
    </w:r>
    <w:r w:rsidR="00D4528E" w:rsidRPr="00F503C0">
      <w:rPr>
        <w:rFonts w:ascii="TimesNewRomanPSMT" w:eastAsia="Times New Roman" w:hAnsi="TimesNewRomanPSMT" w:cs="TimesNewRomanPSMT"/>
        <w:i/>
        <w:szCs w:val="24"/>
        <w:lang w:val="en-GB" w:eastAsia="el-GR"/>
      </w:rPr>
      <w:t xml:space="preserve">x, </w:t>
    </w:r>
  </w:p>
  <w:p w:rsidR="00D4528E" w:rsidRPr="00F503C0" w:rsidRDefault="00D4528E" w:rsidP="00D4528E">
    <w:pPr>
      <w:autoSpaceDE w:val="0"/>
      <w:autoSpaceDN w:val="0"/>
      <w:spacing w:line="240" w:lineRule="auto"/>
      <w:jc w:val="left"/>
      <w:rPr>
        <w:i/>
        <w:lang w:eastAsia="el-GR"/>
      </w:rPr>
    </w:pPr>
    <w:r w:rsidRPr="00D4528E">
      <w:rPr>
        <w:i/>
        <w:lang w:val="en-GB" w:eastAsia="el-GR"/>
      </w:rPr>
      <w:t xml:space="preserve">ISSN: </w:t>
    </w:r>
    <w:r w:rsidR="00EE27AB" w:rsidRPr="00EE27AB">
      <w:rPr>
        <w:i/>
        <w:lang w:eastAsia="el-GR"/>
      </w:rPr>
      <w:t xml:space="preserve">1792-9040 </w:t>
    </w:r>
    <w:r w:rsidRPr="00D4528E">
      <w:rPr>
        <w:i/>
        <w:lang w:val="en-GB" w:eastAsia="el-GR"/>
      </w:rPr>
      <w:t xml:space="preserve">(print version), </w:t>
    </w:r>
    <w:r w:rsidR="00EE27AB" w:rsidRPr="00EE27AB">
      <w:rPr>
        <w:i/>
        <w:lang w:eastAsia="el-GR"/>
      </w:rPr>
      <w:t xml:space="preserve">1792-9660 </w:t>
    </w:r>
    <w:r w:rsidRPr="00D4528E">
      <w:rPr>
        <w:i/>
        <w:lang w:val="en-GB" w:eastAsia="el-GR"/>
      </w:rPr>
      <w:t>(online)</w:t>
    </w:r>
  </w:p>
  <w:p w:rsidR="00D4528E" w:rsidRPr="00D4528E" w:rsidRDefault="003D24DA" w:rsidP="00D4528E">
    <w:pPr>
      <w:autoSpaceDE w:val="0"/>
      <w:autoSpaceDN w:val="0"/>
      <w:spacing w:line="240" w:lineRule="auto"/>
      <w:jc w:val="left"/>
      <w:rPr>
        <w:rFonts w:ascii="TimesNewRomanPSMT" w:eastAsia="Times New Roman" w:hAnsi="TimesNewRomanPSMT" w:cs="TimesNewRomanPSMT"/>
        <w:i/>
        <w:szCs w:val="24"/>
        <w:lang w:eastAsia="el-GR"/>
      </w:rPr>
    </w:pPr>
    <w:r>
      <w:rPr>
        <w:i/>
        <w:lang w:val="en-GB" w:eastAsia="el-GR"/>
      </w:rPr>
      <w:t>Scien</w:t>
    </w:r>
    <w:r w:rsidR="00386699">
      <w:rPr>
        <w:i/>
        <w:lang w:val="en-GB" w:eastAsia="el-GR"/>
      </w:rPr>
      <w:t>p</w:t>
    </w:r>
    <w:r w:rsidR="00D4528E" w:rsidRPr="00D4528E">
      <w:rPr>
        <w:i/>
        <w:lang w:val="en-GB" w:eastAsia="el-GR"/>
      </w:rPr>
      <w:t>ress</w:t>
    </w:r>
    <w:r w:rsidR="001D3013">
      <w:rPr>
        <w:i/>
        <w:lang w:val="en-GB" w:eastAsia="el-GR"/>
      </w:rPr>
      <w:t xml:space="preserve"> Ltd</w:t>
    </w:r>
    <w:r w:rsidR="00D4528E" w:rsidRPr="00D4528E">
      <w:rPr>
        <w:i/>
        <w:lang w:val="en-GB" w:eastAsia="el-GR"/>
      </w:rPr>
      <w:t>, 201</w:t>
    </w:r>
    <w:r w:rsidR="00D4528E">
      <w:rPr>
        <w:i/>
        <w:lang w:eastAsia="el-GR"/>
      </w:rPr>
      <w:t>2</w:t>
    </w:r>
  </w:p>
  <w:p w:rsidR="007024DA" w:rsidRPr="003A3D8F" w:rsidRDefault="007024DA" w:rsidP="007024DA">
    <w:pPr>
      <w:pStyle w:val="BodyText"/>
      <w:spacing w:line="240" w:lineRule="auto"/>
      <w:jc w:val="left"/>
      <w:rPr>
        <w:rFonts w:ascii="Times New Roman" w:eastAsia="MS Mincho" w:hAnsi="Times New Roman"/>
        <w:b w:val="0"/>
        <w:i/>
        <w:color w:val="000000"/>
        <w:sz w:val="24"/>
        <w:szCs w:val="24"/>
        <w:lang w:eastAsia="ja-JP"/>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8BB7105"/>
    <w:multiLevelType w:val="hybridMultilevel"/>
    <w:tmpl w:val="1CE28952"/>
    <w:lvl w:ilvl="0" w:tplc="92B82156">
      <w:start w:val="1"/>
      <w:numFmt w:val="decimal"/>
      <w:lvlText w:val="Step %1: "/>
      <w:lvlJc w:val="left"/>
      <w:pPr>
        <w:tabs>
          <w:tab w:val="num" w:pos="851"/>
        </w:tabs>
        <w:ind w:left="851" w:hanging="851"/>
      </w:pPr>
      <w:rPr>
        <w:rFonts w:ascii="Times New Roman" w:hAnsi="Times New Roman" w:hint="default"/>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B401C47"/>
    <w:multiLevelType w:val="hybridMultilevel"/>
    <w:tmpl w:val="B22CBCCE"/>
    <w:lvl w:ilvl="0" w:tplc="7610BD74">
      <w:start w:val="1"/>
      <w:numFmt w:val="decimal"/>
      <w:lvlText w:val="[%1]"/>
      <w:lvlJc w:val="left"/>
      <w:pPr>
        <w:tabs>
          <w:tab w:val="num" w:pos="480"/>
        </w:tabs>
        <w:ind w:left="480" w:hanging="480"/>
      </w:pPr>
      <w:rPr>
        <w:rFonts w:hint="eastAsia"/>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 w15:restartNumberingAfterBreak="0">
    <w:nsid w:val="2339019F"/>
    <w:multiLevelType w:val="singleLevel"/>
    <w:tmpl w:val="D96A76EE"/>
    <w:lvl w:ilvl="0">
      <w:start w:val="1"/>
      <w:numFmt w:val="decimal"/>
      <w:lvlText w:val="Step %1:"/>
      <w:lvlJc w:val="left"/>
      <w:pPr>
        <w:tabs>
          <w:tab w:val="num" w:pos="851"/>
        </w:tabs>
        <w:ind w:left="851" w:hanging="851"/>
      </w:pPr>
      <w:rPr>
        <w:rFonts w:ascii="Times New Roman" w:hAnsi="Times New Roman" w:hint="default"/>
      </w:rPr>
    </w:lvl>
  </w:abstractNum>
  <w:abstractNum w:abstractNumId="4" w15:restartNumberingAfterBreak="0">
    <w:nsid w:val="2FED5882"/>
    <w:multiLevelType w:val="multilevel"/>
    <w:tmpl w:val="E47E361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15:restartNumberingAfterBreak="0">
    <w:nsid w:val="388F7583"/>
    <w:multiLevelType w:val="singleLevel"/>
    <w:tmpl w:val="E9AAE31E"/>
    <w:lvl w:ilvl="0">
      <w:start w:val="1"/>
      <w:numFmt w:val="decimal"/>
      <w:pStyle w:val="Heading4"/>
      <w:lvlText w:val="4.%1."/>
      <w:lvlJc w:val="left"/>
      <w:pPr>
        <w:tabs>
          <w:tab w:val="num" w:pos="360"/>
        </w:tabs>
        <w:ind w:left="180" w:hanging="180"/>
      </w:pPr>
      <w:rPr>
        <w:rFonts w:hint="eastAsia"/>
      </w:rPr>
    </w:lvl>
  </w:abstractNum>
  <w:abstractNum w:abstractNumId="6" w15:restartNumberingAfterBreak="0">
    <w:nsid w:val="40890F67"/>
    <w:multiLevelType w:val="singleLevel"/>
    <w:tmpl w:val="127A3FB6"/>
    <w:lvl w:ilvl="0">
      <w:start w:val="1"/>
      <w:numFmt w:val="decimal"/>
      <w:lvlText w:val="[%1]"/>
      <w:lvlJc w:val="left"/>
      <w:pPr>
        <w:tabs>
          <w:tab w:val="num" w:pos="480"/>
        </w:tabs>
        <w:ind w:left="480" w:hanging="480"/>
      </w:pPr>
      <w:rPr>
        <w:rFonts w:hint="eastAsia"/>
      </w:rPr>
    </w:lvl>
  </w:abstractNum>
  <w:abstractNum w:abstractNumId="7" w15:restartNumberingAfterBreak="0">
    <w:nsid w:val="57D25220"/>
    <w:multiLevelType w:val="hybridMultilevel"/>
    <w:tmpl w:val="BD64376E"/>
    <w:lvl w:ilvl="0" w:tplc="D96A76E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5D171124"/>
    <w:multiLevelType w:val="singleLevel"/>
    <w:tmpl w:val="7F962684"/>
    <w:lvl w:ilvl="0">
      <w:start w:val="1"/>
      <w:numFmt w:val="decimal"/>
      <w:pStyle w:val="Heading2"/>
      <w:lvlText w:val="2.%1."/>
      <w:lvlJc w:val="left"/>
      <w:pPr>
        <w:tabs>
          <w:tab w:val="num" w:pos="360"/>
        </w:tabs>
        <w:ind w:left="180" w:hanging="180"/>
      </w:pPr>
      <w:rPr>
        <w:rFonts w:ascii="Times New Roman" w:hAnsi="Times New Roman" w:hint="default"/>
        <w:b/>
        <w:i w:val="0"/>
        <w:sz w:val="24"/>
      </w:rPr>
    </w:lvl>
  </w:abstractNum>
  <w:abstractNum w:abstractNumId="9" w15:restartNumberingAfterBreak="0">
    <w:nsid w:val="7F053A68"/>
    <w:multiLevelType w:val="hybridMultilevel"/>
    <w:tmpl w:val="DAD82DE4"/>
    <w:lvl w:ilvl="0" w:tplc="A24A674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0"/>
    <w:lvlOverride w:ilvl="0">
      <w:lvl w:ilvl="0">
        <w:start w:val="1"/>
        <w:numFmt w:val="bullet"/>
        <w:lvlText w:val="‧"/>
        <w:legacy w:legacy="1" w:legacySpace="0" w:legacyIndent="240"/>
        <w:lvlJc w:val="left"/>
        <w:pPr>
          <w:ind w:left="742" w:hanging="240"/>
        </w:pPr>
        <w:rPr>
          <w:rFonts w:ascii="MingLiU" w:eastAsia="MingLiU" w:hint="eastAsia"/>
          <w:b w:val="0"/>
          <w:i w:val="0"/>
          <w:sz w:val="24"/>
          <w:u w:val="none"/>
        </w:rPr>
      </w:lvl>
    </w:lvlOverride>
  </w:num>
  <w:num w:numId="2">
    <w:abstractNumId w:val="8"/>
  </w:num>
  <w:num w:numId="3">
    <w:abstractNumId w:val="5"/>
  </w:num>
  <w:num w:numId="4">
    <w:abstractNumId w:val="6"/>
  </w:num>
  <w:num w:numId="5">
    <w:abstractNumId w:val="3"/>
  </w:num>
  <w:num w:numId="6">
    <w:abstractNumId w:val="7"/>
  </w:num>
  <w:num w:numId="7">
    <w:abstractNumId w:val="1"/>
  </w:num>
  <w:num w:numId="8">
    <w:abstractNumId w:val="9"/>
  </w:num>
  <w:num w:numId="9">
    <w:abstractNumId w:val="4"/>
  </w:num>
  <w:num w:numId="10">
    <w:abstractNumId w:val="2"/>
  </w:num>
  <w:num w:numId="11">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SystemFonts/>
  <w:mirrorMargins/>
  <w:bordersDoNotSurroundHeader/>
  <w:bordersDoNotSurroundFooter/>
  <w:activeWritingStyle w:appName="MSWord" w:lang="en-US" w:vendorID="64" w:dllVersion="131078" w:nlCheck="1" w:checkStyle="0"/>
  <w:activeWritingStyle w:appName="MSWord" w:lang="en-GB" w:vendorID="64" w:dllVersion="131078" w:nlCheck="1" w:checkStyle="0"/>
  <w:activeWritingStyle w:appName="MSWord" w:lang="en-US" w:vendorID="8" w:dllVersion="513" w:checkStyle="1"/>
  <w:activeWritingStyle w:appName="MSWord" w:lang="sv-SE"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hyphenationZone w:val="425"/>
  <w:evenAndOddHeaders/>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586"/>
    <w:rsid w:val="0000260F"/>
    <w:rsid w:val="00003779"/>
    <w:rsid w:val="00034661"/>
    <w:rsid w:val="000375F9"/>
    <w:rsid w:val="00047F33"/>
    <w:rsid w:val="00050501"/>
    <w:rsid w:val="000574E9"/>
    <w:rsid w:val="00085C4B"/>
    <w:rsid w:val="00096CFE"/>
    <w:rsid w:val="00125EF9"/>
    <w:rsid w:val="001610A0"/>
    <w:rsid w:val="001637F6"/>
    <w:rsid w:val="001D3013"/>
    <w:rsid w:val="002070F7"/>
    <w:rsid w:val="00233785"/>
    <w:rsid w:val="00260962"/>
    <w:rsid w:val="002D7A5D"/>
    <w:rsid w:val="002E218C"/>
    <w:rsid w:val="002E3749"/>
    <w:rsid w:val="00303353"/>
    <w:rsid w:val="00322DA7"/>
    <w:rsid w:val="00347F24"/>
    <w:rsid w:val="003760E0"/>
    <w:rsid w:val="00386699"/>
    <w:rsid w:val="00395B5C"/>
    <w:rsid w:val="003A3D8F"/>
    <w:rsid w:val="003B0142"/>
    <w:rsid w:val="003B5CF2"/>
    <w:rsid w:val="003C03F8"/>
    <w:rsid w:val="003D24DA"/>
    <w:rsid w:val="003D3BD5"/>
    <w:rsid w:val="003E59D5"/>
    <w:rsid w:val="003E6242"/>
    <w:rsid w:val="00411AF5"/>
    <w:rsid w:val="00412D8C"/>
    <w:rsid w:val="00425D81"/>
    <w:rsid w:val="004A218D"/>
    <w:rsid w:val="004F50AA"/>
    <w:rsid w:val="005141B4"/>
    <w:rsid w:val="00514B9C"/>
    <w:rsid w:val="0056424E"/>
    <w:rsid w:val="0057377A"/>
    <w:rsid w:val="005F5EDB"/>
    <w:rsid w:val="00641F7D"/>
    <w:rsid w:val="00671586"/>
    <w:rsid w:val="00680B18"/>
    <w:rsid w:val="006A4676"/>
    <w:rsid w:val="006C55B9"/>
    <w:rsid w:val="006F57E2"/>
    <w:rsid w:val="007024DA"/>
    <w:rsid w:val="00735E85"/>
    <w:rsid w:val="00745359"/>
    <w:rsid w:val="0077016D"/>
    <w:rsid w:val="00772216"/>
    <w:rsid w:val="007C434A"/>
    <w:rsid w:val="007E3666"/>
    <w:rsid w:val="00800112"/>
    <w:rsid w:val="00827E9C"/>
    <w:rsid w:val="00831E87"/>
    <w:rsid w:val="00856743"/>
    <w:rsid w:val="00884246"/>
    <w:rsid w:val="008C661C"/>
    <w:rsid w:val="008D0267"/>
    <w:rsid w:val="00924E0E"/>
    <w:rsid w:val="00924EA4"/>
    <w:rsid w:val="00986DD1"/>
    <w:rsid w:val="009A1C0D"/>
    <w:rsid w:val="009A6DA1"/>
    <w:rsid w:val="009D443D"/>
    <w:rsid w:val="009F30B1"/>
    <w:rsid w:val="009F6C70"/>
    <w:rsid w:val="00A31F3C"/>
    <w:rsid w:val="00A805EA"/>
    <w:rsid w:val="00A95D65"/>
    <w:rsid w:val="00AA3116"/>
    <w:rsid w:val="00AA77DB"/>
    <w:rsid w:val="00AE7258"/>
    <w:rsid w:val="00B678C0"/>
    <w:rsid w:val="00B85B16"/>
    <w:rsid w:val="00BB1528"/>
    <w:rsid w:val="00C15591"/>
    <w:rsid w:val="00C6565A"/>
    <w:rsid w:val="00C67EAF"/>
    <w:rsid w:val="00CD6227"/>
    <w:rsid w:val="00CE6B5B"/>
    <w:rsid w:val="00D203EF"/>
    <w:rsid w:val="00D26360"/>
    <w:rsid w:val="00D4335C"/>
    <w:rsid w:val="00D4528E"/>
    <w:rsid w:val="00D6487E"/>
    <w:rsid w:val="00DA0CB6"/>
    <w:rsid w:val="00DB22B0"/>
    <w:rsid w:val="00DC034A"/>
    <w:rsid w:val="00E25B8E"/>
    <w:rsid w:val="00E74603"/>
    <w:rsid w:val="00E74776"/>
    <w:rsid w:val="00E87401"/>
    <w:rsid w:val="00EB5E6E"/>
    <w:rsid w:val="00EE27AB"/>
    <w:rsid w:val="00EE3351"/>
    <w:rsid w:val="00F0206E"/>
    <w:rsid w:val="00F03418"/>
    <w:rsid w:val="00F05772"/>
    <w:rsid w:val="00F07086"/>
    <w:rsid w:val="00F162D0"/>
    <w:rsid w:val="00F4037A"/>
    <w:rsid w:val="00F43E70"/>
    <w:rsid w:val="00F52343"/>
    <w:rsid w:val="00F537F4"/>
    <w:rsid w:val="00F97F14"/>
  </w:rsids>
  <m:mathPr>
    <m:mathFont m:val="Cambria Math"/>
    <m:brkBin m:val="before"/>
    <m:brkBinSub m:val="--"/>
    <m:smallFrac m:val="0"/>
    <m:dispDef/>
    <m:lMargin m:val="0"/>
    <m:rMargin m:val="0"/>
    <m:defJc m:val="centerGroup"/>
    <m:wrapIndent m:val="1440"/>
    <m:intLim m:val="subSup"/>
    <m:naryLim m:val="undOvr"/>
  </m:mathPr>
  <w:themeFontLang w:val="el-G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45DB0C"/>
  <w15:docId w15:val="{6D03F325-C967-4775-9983-20A5EBD00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0AA"/>
    <w:pPr>
      <w:widowControl w:val="0"/>
      <w:adjustRightInd w:val="0"/>
      <w:spacing w:line="480" w:lineRule="auto"/>
      <w:jc w:val="both"/>
      <w:textAlignment w:val="baseline"/>
    </w:pPr>
    <w:rPr>
      <w:sz w:val="24"/>
      <w:lang w:val="en-US" w:eastAsia="zh-TW"/>
    </w:rPr>
  </w:style>
  <w:style w:type="paragraph" w:styleId="Heading1">
    <w:name w:val="heading 1"/>
    <w:basedOn w:val="Normal"/>
    <w:next w:val="Normal"/>
    <w:autoRedefine/>
    <w:qFormat/>
    <w:rsid w:val="00F03418"/>
    <w:pPr>
      <w:keepNext/>
      <w:tabs>
        <w:tab w:val="left" w:pos="360"/>
      </w:tabs>
      <w:spacing w:line="240" w:lineRule="auto"/>
      <w:ind w:right="45"/>
      <w:outlineLvl w:val="0"/>
    </w:pPr>
    <w:rPr>
      <w:bCs/>
      <w:color w:val="000000"/>
      <w:szCs w:val="24"/>
    </w:rPr>
  </w:style>
  <w:style w:type="paragraph" w:styleId="Heading2">
    <w:name w:val="heading 2"/>
    <w:basedOn w:val="Normal"/>
    <w:next w:val="Normal"/>
    <w:qFormat/>
    <w:rsid w:val="004F50AA"/>
    <w:pPr>
      <w:numPr>
        <w:numId w:val="2"/>
      </w:numPr>
      <w:tabs>
        <w:tab w:val="clear" w:pos="360"/>
        <w:tab w:val="left" w:pos="454"/>
      </w:tabs>
      <w:jc w:val="left"/>
      <w:outlineLvl w:val="1"/>
    </w:pPr>
    <w:rPr>
      <w:rFonts w:eastAsia="MingLiU"/>
      <w:b/>
    </w:rPr>
  </w:style>
  <w:style w:type="paragraph" w:styleId="Heading3">
    <w:name w:val="heading 3"/>
    <w:basedOn w:val="Normal"/>
    <w:next w:val="NormalIndent"/>
    <w:qFormat/>
    <w:rsid w:val="004F50AA"/>
    <w:pPr>
      <w:keepNext/>
      <w:outlineLvl w:val="2"/>
    </w:pPr>
    <w:rPr>
      <w:b/>
    </w:rPr>
  </w:style>
  <w:style w:type="paragraph" w:styleId="Heading4">
    <w:name w:val="heading 4"/>
    <w:basedOn w:val="Normal"/>
    <w:next w:val="NormalIndent"/>
    <w:qFormat/>
    <w:rsid w:val="004F50AA"/>
    <w:pPr>
      <w:numPr>
        <w:numId w:val="3"/>
      </w:numPr>
      <w:ind w:left="397" w:hanging="397"/>
      <w:jc w:val="left"/>
      <w:outlineLvl w:val="3"/>
    </w:pPr>
    <w:rPr>
      <w:rFonts w:eastAsia="MingLiU"/>
      <w:b/>
    </w:rPr>
  </w:style>
  <w:style w:type="paragraph" w:styleId="Heading5">
    <w:name w:val="heading 5"/>
    <w:basedOn w:val="Normal"/>
    <w:next w:val="NormalIndent"/>
    <w:qFormat/>
    <w:rsid w:val="004F50AA"/>
    <w:pPr>
      <w:keepNext/>
      <w:widowControl/>
      <w:autoSpaceDE w:val="0"/>
      <w:autoSpaceDN w:val="0"/>
      <w:jc w:val="center"/>
      <w:textAlignment w:val="bottom"/>
      <w:outlineLvl w:val="4"/>
    </w:pPr>
    <w:rPr>
      <w:b/>
    </w:rPr>
  </w:style>
  <w:style w:type="paragraph" w:styleId="Heading6">
    <w:name w:val="heading 6"/>
    <w:basedOn w:val="Normal"/>
    <w:next w:val="NormalIndent"/>
    <w:qFormat/>
    <w:rsid w:val="004F50AA"/>
    <w:pPr>
      <w:keepNext/>
      <w:spacing w:before="120"/>
      <w:ind w:left="851" w:right="45"/>
      <w:jc w:val="center"/>
      <w:outlineLvl w:val="5"/>
    </w:pPr>
    <w:rPr>
      <w:b/>
    </w:rPr>
  </w:style>
  <w:style w:type="paragraph" w:styleId="Heading7">
    <w:name w:val="heading 7"/>
    <w:basedOn w:val="Normal"/>
    <w:next w:val="Normal"/>
    <w:qFormat/>
    <w:rsid w:val="004F50AA"/>
    <w:pPr>
      <w:keepNext/>
      <w:outlineLvl w:val="6"/>
    </w:pPr>
    <w:rPr>
      <w:b/>
      <w:color w:val="FF0000"/>
    </w:rPr>
  </w:style>
  <w:style w:type="paragraph" w:styleId="Heading8">
    <w:name w:val="heading 8"/>
    <w:basedOn w:val="Normal"/>
    <w:next w:val="Normal"/>
    <w:qFormat/>
    <w:rsid w:val="004F50AA"/>
    <w:pPr>
      <w:keepNext/>
      <w:ind w:firstLine="480"/>
      <w:jc w:val="center"/>
      <w:outlineLvl w:val="7"/>
    </w:pPr>
    <w:rPr>
      <w:i/>
      <w:iCs/>
    </w:rPr>
  </w:style>
  <w:style w:type="paragraph" w:styleId="Heading9">
    <w:name w:val="heading 9"/>
    <w:basedOn w:val="Normal"/>
    <w:next w:val="Normal"/>
    <w:qFormat/>
    <w:rsid w:val="004F50AA"/>
    <w:pPr>
      <w:keepNext/>
      <w:snapToGrid w:val="0"/>
      <w:spacing w:line="240" w:lineRule="auto"/>
      <w:jc w:val="center"/>
      <w:outlineLvl w:val="8"/>
    </w:pPr>
    <w:rPr>
      <w:i/>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4F50AA"/>
    <w:pPr>
      <w:spacing w:line="480" w:lineRule="atLeast"/>
      <w:ind w:left="475"/>
      <w:jc w:val="left"/>
    </w:pPr>
    <w:rPr>
      <w:rFonts w:ascii="MingLiU" w:eastAsia="MingLiU"/>
    </w:rPr>
  </w:style>
  <w:style w:type="paragraph" w:styleId="BodyTextIndent">
    <w:name w:val="Body Text Indent"/>
    <w:basedOn w:val="Normal"/>
    <w:rsid w:val="004F50AA"/>
    <w:pPr>
      <w:widowControl/>
      <w:autoSpaceDE w:val="0"/>
      <w:autoSpaceDN w:val="0"/>
      <w:ind w:firstLine="540"/>
      <w:textAlignment w:val="bottom"/>
    </w:pPr>
    <w:rPr>
      <w:rFonts w:eastAsia="MingLiU"/>
    </w:rPr>
  </w:style>
  <w:style w:type="paragraph" w:styleId="BodyTextIndent2">
    <w:name w:val="Body Text Indent 2"/>
    <w:basedOn w:val="Normal"/>
    <w:rsid w:val="004F50AA"/>
    <w:pPr>
      <w:widowControl/>
      <w:autoSpaceDE w:val="0"/>
      <w:autoSpaceDN w:val="0"/>
      <w:ind w:firstLine="540"/>
      <w:textAlignment w:val="bottom"/>
    </w:pPr>
    <w:rPr>
      <w:rFonts w:eastAsia="MingLiU"/>
      <w:color w:val="FF0000"/>
    </w:rPr>
  </w:style>
  <w:style w:type="paragraph" w:customStyle="1" w:styleId="Print-FromToSubjectDate">
    <w:name w:val="Print- From: To: Subject: Date:"/>
    <w:basedOn w:val="Normal"/>
    <w:rsid w:val="004F50AA"/>
    <w:pPr>
      <w:pBdr>
        <w:left w:val="single" w:sz="18" w:space="1" w:color="auto"/>
      </w:pBdr>
    </w:pPr>
  </w:style>
  <w:style w:type="paragraph" w:customStyle="1" w:styleId="Print-ReverseHeader">
    <w:name w:val="Print- Reverse Header"/>
    <w:basedOn w:val="Normal"/>
    <w:next w:val="Print-FromToSubjectDate"/>
    <w:rsid w:val="004F50AA"/>
    <w:pPr>
      <w:pBdr>
        <w:left w:val="single" w:sz="18" w:space="1" w:color="auto"/>
      </w:pBdr>
      <w:shd w:val="pct12" w:color="auto" w:fill="auto"/>
    </w:pPr>
    <w:rPr>
      <w:b/>
      <w:sz w:val="22"/>
    </w:rPr>
  </w:style>
  <w:style w:type="paragraph" w:customStyle="1" w:styleId="ReplyForwardHeaders">
    <w:name w:val="Reply/Forward Headers"/>
    <w:basedOn w:val="Normal"/>
    <w:next w:val="ReplyForwardToFromDate"/>
    <w:rsid w:val="004F50AA"/>
    <w:pPr>
      <w:pBdr>
        <w:left w:val="single" w:sz="18" w:space="1" w:color="auto"/>
      </w:pBdr>
      <w:shd w:val="pct10" w:color="auto" w:fill="auto"/>
    </w:pPr>
    <w:rPr>
      <w:b/>
      <w:noProof/>
    </w:rPr>
  </w:style>
  <w:style w:type="paragraph" w:customStyle="1" w:styleId="ReplyForwardToFromDate">
    <w:name w:val="Reply/Forward To: From: Date:"/>
    <w:basedOn w:val="Normal"/>
    <w:rsid w:val="004F50AA"/>
    <w:pPr>
      <w:pBdr>
        <w:left w:val="single" w:sz="18" w:space="1" w:color="auto"/>
      </w:pBdr>
    </w:pPr>
  </w:style>
  <w:style w:type="paragraph" w:styleId="Caption">
    <w:name w:val="caption"/>
    <w:basedOn w:val="Normal"/>
    <w:next w:val="Normal"/>
    <w:qFormat/>
    <w:rsid w:val="004F50AA"/>
    <w:pPr>
      <w:spacing w:before="120" w:after="120"/>
    </w:pPr>
  </w:style>
  <w:style w:type="paragraph" w:styleId="Footer">
    <w:name w:val="footer"/>
    <w:basedOn w:val="Normal"/>
    <w:rsid w:val="004F50AA"/>
    <w:pPr>
      <w:tabs>
        <w:tab w:val="center" w:pos="4153"/>
        <w:tab w:val="right" w:pos="8306"/>
      </w:tabs>
      <w:spacing w:line="480" w:lineRule="atLeast"/>
    </w:pPr>
    <w:rPr>
      <w:rFonts w:ascii="MingLiU" w:eastAsia="MingLiU"/>
      <w:sz w:val="20"/>
    </w:rPr>
  </w:style>
  <w:style w:type="character" w:styleId="PageNumber">
    <w:name w:val="page number"/>
    <w:basedOn w:val="DefaultParagraphFont"/>
    <w:rsid w:val="004F50AA"/>
  </w:style>
  <w:style w:type="paragraph" w:styleId="DocumentMap">
    <w:name w:val="Document Map"/>
    <w:basedOn w:val="Normal"/>
    <w:semiHidden/>
    <w:rsid w:val="004F50AA"/>
    <w:pPr>
      <w:shd w:val="clear" w:color="auto" w:fill="000080"/>
    </w:pPr>
    <w:rPr>
      <w:rFonts w:ascii="Arial" w:hAnsi="Arial"/>
    </w:rPr>
  </w:style>
  <w:style w:type="paragraph" w:styleId="BodyTextIndent3">
    <w:name w:val="Body Text Indent 3"/>
    <w:basedOn w:val="Normal"/>
    <w:rsid w:val="004F50AA"/>
    <w:pPr>
      <w:ind w:firstLine="426"/>
    </w:pPr>
  </w:style>
  <w:style w:type="paragraph" w:styleId="BodyText">
    <w:name w:val="Body Text"/>
    <w:basedOn w:val="Normal"/>
    <w:rsid w:val="004F50AA"/>
    <w:pPr>
      <w:widowControl/>
      <w:autoSpaceDE w:val="0"/>
      <w:autoSpaceDN w:val="0"/>
      <w:spacing w:line="300" w:lineRule="atLeast"/>
      <w:jc w:val="center"/>
      <w:textAlignment w:val="bottom"/>
    </w:pPr>
    <w:rPr>
      <w:rFonts w:ascii="Tms Rmn" w:hAnsi="Tms Rmn"/>
      <w:b/>
      <w:sz w:val="32"/>
    </w:rPr>
  </w:style>
  <w:style w:type="paragraph" w:styleId="BodyText2">
    <w:name w:val="Body Text 2"/>
    <w:basedOn w:val="Normal"/>
    <w:rsid w:val="004F50AA"/>
    <w:pPr>
      <w:spacing w:before="480" w:line="360" w:lineRule="atLeast"/>
      <w:jc w:val="left"/>
    </w:pPr>
    <w:rPr>
      <w:b/>
      <w:i/>
    </w:rPr>
  </w:style>
  <w:style w:type="paragraph" w:styleId="BodyText3">
    <w:name w:val="Body Text 3"/>
    <w:basedOn w:val="Normal"/>
    <w:rsid w:val="004F50AA"/>
    <w:pPr>
      <w:widowControl/>
      <w:autoSpaceDE w:val="0"/>
      <w:autoSpaceDN w:val="0"/>
      <w:ind w:rightChars="-64" w:right="-154"/>
      <w:textAlignment w:val="bottom"/>
    </w:pPr>
  </w:style>
  <w:style w:type="character" w:styleId="Hyperlink">
    <w:name w:val="Hyperlink"/>
    <w:basedOn w:val="DefaultParagraphFont"/>
    <w:rsid w:val="004F50AA"/>
    <w:rPr>
      <w:color w:val="0000FF"/>
      <w:u w:val="single"/>
    </w:rPr>
  </w:style>
  <w:style w:type="character" w:styleId="FollowedHyperlink">
    <w:name w:val="FollowedHyperlink"/>
    <w:basedOn w:val="DefaultParagraphFont"/>
    <w:rsid w:val="004F50AA"/>
    <w:rPr>
      <w:color w:val="800080"/>
      <w:u w:val="single"/>
    </w:rPr>
  </w:style>
  <w:style w:type="paragraph" w:styleId="FootnoteText">
    <w:name w:val="footnote text"/>
    <w:basedOn w:val="Normal"/>
    <w:semiHidden/>
    <w:rsid w:val="004F50AA"/>
    <w:pPr>
      <w:snapToGrid w:val="0"/>
      <w:jc w:val="left"/>
    </w:pPr>
    <w:rPr>
      <w:sz w:val="20"/>
    </w:rPr>
  </w:style>
  <w:style w:type="character" w:styleId="FootnoteReference">
    <w:name w:val="footnote reference"/>
    <w:basedOn w:val="DefaultParagraphFont"/>
    <w:semiHidden/>
    <w:rsid w:val="004F50AA"/>
    <w:rPr>
      <w:vertAlign w:val="superscript"/>
    </w:rPr>
  </w:style>
  <w:style w:type="paragraph" w:styleId="BlockText">
    <w:name w:val="Block Text"/>
    <w:basedOn w:val="Normal"/>
    <w:rsid w:val="004F50AA"/>
    <w:pPr>
      <w:ind w:left="312" w:right="28" w:hangingChars="130" w:hanging="312"/>
    </w:pPr>
    <w:rPr>
      <w:b/>
      <w:color w:val="003366"/>
    </w:rPr>
  </w:style>
  <w:style w:type="character" w:styleId="Strong">
    <w:name w:val="Strong"/>
    <w:basedOn w:val="DefaultParagraphFont"/>
    <w:qFormat/>
    <w:rsid w:val="004F50AA"/>
    <w:rPr>
      <w:b/>
      <w:bCs/>
    </w:rPr>
  </w:style>
  <w:style w:type="paragraph" w:styleId="Header">
    <w:name w:val="header"/>
    <w:basedOn w:val="Normal"/>
    <w:rsid w:val="004F50AA"/>
    <w:pPr>
      <w:tabs>
        <w:tab w:val="center" w:pos="4536"/>
        <w:tab w:val="right" w:pos="9072"/>
      </w:tabs>
    </w:pPr>
  </w:style>
  <w:style w:type="paragraph" w:styleId="NoSpacing">
    <w:name w:val="No Spacing"/>
    <w:uiPriority w:val="1"/>
    <w:qFormat/>
    <w:rsid w:val="009F6C70"/>
    <w:rPr>
      <w:rFonts w:asciiTheme="minorHAnsi" w:eastAsiaTheme="minorHAnsi" w:hAnsiTheme="minorHAnsi" w:cstheme="minorBidi"/>
      <w:sz w:val="22"/>
      <w:szCs w:val="22"/>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5629856">
      <w:bodyDiv w:val="1"/>
      <w:marLeft w:val="0"/>
      <w:marRight w:val="0"/>
      <w:marTop w:val="0"/>
      <w:marBottom w:val="0"/>
      <w:divBdr>
        <w:top w:val="none" w:sz="0" w:space="0" w:color="auto"/>
        <w:left w:val="none" w:sz="0" w:space="0" w:color="auto"/>
        <w:bottom w:val="none" w:sz="0" w:space="0" w:color="auto"/>
        <w:right w:val="none" w:sz="0" w:space="0" w:color="auto"/>
      </w:divBdr>
    </w:div>
    <w:div w:id="177879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13</Pages>
  <Words>4038</Words>
  <Characters>17285</Characters>
  <Application>Microsoft Office Word</Application>
  <DocSecurity>0</DocSecurity>
  <Lines>4321</Lines>
  <Paragraphs>349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Style ISP</vt:lpstr>
      <vt:lpstr>Style ISP</vt:lpstr>
    </vt:vector>
  </TitlesOfParts>
  <Company>csie</Company>
  <LinksUpToDate>false</LinksUpToDate>
  <CharactersWithSpaces>20974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Style ISP</dc:title>
  <dc:creator>madam</dc:creator>
  <cp:lastModifiedBy>Nadhir Al-Ansari</cp:lastModifiedBy>
  <cp:revision>5</cp:revision>
  <cp:lastPrinted>2010-11-10T15:06:00Z</cp:lastPrinted>
  <dcterms:created xsi:type="dcterms:W3CDTF">2018-01-01T13:06:00Z</dcterms:created>
  <dcterms:modified xsi:type="dcterms:W3CDTF">2018-01-01T13:12:00Z</dcterms:modified>
</cp:coreProperties>
</file>