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2E1F" w:rsidRPr="00C44D37" w:rsidRDefault="00C44D37" w:rsidP="00510ED6">
      <w:pPr>
        <w:spacing w:beforeLines="100"/>
        <w:mirrorIndents/>
        <w:jc w:val="center"/>
        <w:rPr>
          <w:sz w:val="30"/>
          <w:szCs w:val="30"/>
        </w:rPr>
      </w:pPr>
      <w:bookmarkStart w:id="0" w:name="OLE_LINK85"/>
      <w:bookmarkStart w:id="1" w:name="OLE_LINK86"/>
      <w:bookmarkStart w:id="2" w:name="OLE_LINK81"/>
      <w:bookmarkStart w:id="3" w:name="OLE_LINK82"/>
      <w:bookmarkStart w:id="4" w:name="OLE_LINK55"/>
      <w:bookmarkStart w:id="5" w:name="OLE_LINK56"/>
      <w:r>
        <w:rPr>
          <w:b/>
          <w:sz w:val="30"/>
          <w:szCs w:val="30"/>
          <w:lang w:val="en-GB"/>
        </w:rPr>
        <w:t xml:space="preserve">Truth and </w:t>
      </w:r>
      <w:r>
        <w:rPr>
          <w:rFonts w:hint="eastAsia"/>
          <w:b/>
          <w:sz w:val="30"/>
          <w:szCs w:val="30"/>
          <w:lang w:val="en-GB"/>
        </w:rPr>
        <w:t>R</w:t>
      </w:r>
      <w:r w:rsidR="00E82E1F" w:rsidRPr="00C44D37">
        <w:rPr>
          <w:b/>
          <w:sz w:val="30"/>
          <w:szCs w:val="30"/>
          <w:lang w:val="en-GB"/>
        </w:rPr>
        <w:t xml:space="preserve">obustness in </w:t>
      </w:r>
      <w:r>
        <w:rPr>
          <w:rFonts w:hint="eastAsia"/>
          <w:b/>
          <w:sz w:val="30"/>
          <w:szCs w:val="30"/>
          <w:lang w:val="en-GB"/>
        </w:rPr>
        <w:t>C</w:t>
      </w:r>
      <w:r w:rsidR="00E82E1F" w:rsidRPr="00C44D37">
        <w:rPr>
          <w:b/>
          <w:sz w:val="30"/>
          <w:szCs w:val="30"/>
          <w:lang w:val="en-GB"/>
        </w:rPr>
        <w:t xml:space="preserve">ross-country </w:t>
      </w:r>
      <w:r>
        <w:rPr>
          <w:rFonts w:hint="eastAsia"/>
          <w:b/>
          <w:sz w:val="30"/>
          <w:szCs w:val="30"/>
          <w:lang w:val="en-GB"/>
        </w:rPr>
        <w:t>L</w:t>
      </w:r>
      <w:r w:rsidR="00E82E1F" w:rsidRPr="00C44D37">
        <w:rPr>
          <w:b/>
          <w:sz w:val="30"/>
          <w:szCs w:val="30"/>
          <w:lang w:val="en-GB"/>
        </w:rPr>
        <w:t xml:space="preserve">aw and </w:t>
      </w:r>
      <w:r>
        <w:rPr>
          <w:rFonts w:hint="eastAsia"/>
          <w:b/>
          <w:sz w:val="30"/>
          <w:szCs w:val="30"/>
          <w:lang w:val="en-GB"/>
        </w:rPr>
        <w:t>F</w:t>
      </w:r>
      <w:r w:rsidR="00E82E1F" w:rsidRPr="00C44D37">
        <w:rPr>
          <w:b/>
          <w:sz w:val="30"/>
          <w:szCs w:val="30"/>
          <w:lang w:val="en-GB"/>
        </w:rPr>
        <w:t xml:space="preserve">inance </w:t>
      </w:r>
      <w:r>
        <w:rPr>
          <w:rFonts w:hint="eastAsia"/>
          <w:b/>
          <w:sz w:val="30"/>
          <w:szCs w:val="30"/>
          <w:lang w:val="en-GB"/>
        </w:rPr>
        <w:t>R</w:t>
      </w:r>
      <w:r w:rsidR="00E82E1F" w:rsidRPr="00C44D37">
        <w:rPr>
          <w:b/>
          <w:sz w:val="30"/>
          <w:szCs w:val="30"/>
          <w:lang w:val="en-GB"/>
        </w:rPr>
        <w:t>egressions</w:t>
      </w:r>
      <w:bookmarkEnd w:id="0"/>
      <w:bookmarkEnd w:id="1"/>
      <w:r w:rsidR="00E82E1F" w:rsidRPr="00C44D37">
        <w:rPr>
          <w:b/>
          <w:sz w:val="30"/>
          <w:szCs w:val="30"/>
          <w:lang w:val="en-GB"/>
        </w:rPr>
        <w:t xml:space="preserve">: A Bayesian analysis of the </w:t>
      </w:r>
      <w:r>
        <w:rPr>
          <w:rFonts w:hint="eastAsia"/>
          <w:b/>
          <w:sz w:val="30"/>
          <w:szCs w:val="30"/>
          <w:lang w:val="en-GB"/>
        </w:rPr>
        <w:t>E</w:t>
      </w:r>
      <w:r w:rsidR="00E82E1F" w:rsidRPr="00C44D37">
        <w:rPr>
          <w:b/>
          <w:sz w:val="30"/>
          <w:szCs w:val="30"/>
          <w:lang w:val="en-GB"/>
        </w:rPr>
        <w:t>mpirical “</w:t>
      </w:r>
      <w:r>
        <w:rPr>
          <w:rFonts w:hint="eastAsia"/>
          <w:b/>
          <w:sz w:val="30"/>
          <w:szCs w:val="30"/>
          <w:lang w:val="en-GB"/>
        </w:rPr>
        <w:t>L</w:t>
      </w:r>
      <w:r w:rsidR="00E82E1F" w:rsidRPr="00C44D37">
        <w:rPr>
          <w:b/>
          <w:sz w:val="30"/>
          <w:szCs w:val="30"/>
          <w:lang w:val="en-GB"/>
        </w:rPr>
        <w:t xml:space="preserve">aw </w:t>
      </w:r>
      <w:r>
        <w:rPr>
          <w:rFonts w:hint="eastAsia"/>
          <w:b/>
          <w:sz w:val="30"/>
          <w:szCs w:val="30"/>
          <w:lang w:val="en-GB"/>
        </w:rPr>
        <w:t>M</w:t>
      </w:r>
      <w:r w:rsidR="00E82E1F" w:rsidRPr="00C44D37">
        <w:rPr>
          <w:b/>
          <w:sz w:val="30"/>
          <w:szCs w:val="30"/>
          <w:lang w:val="en-GB"/>
        </w:rPr>
        <w:t xml:space="preserve">atters” </w:t>
      </w:r>
      <w:r>
        <w:rPr>
          <w:rFonts w:hint="eastAsia"/>
          <w:b/>
          <w:sz w:val="30"/>
          <w:szCs w:val="30"/>
          <w:lang w:val="en-GB"/>
        </w:rPr>
        <w:t>T</w:t>
      </w:r>
      <w:r w:rsidR="00E82E1F" w:rsidRPr="00C44D37">
        <w:rPr>
          <w:b/>
          <w:sz w:val="30"/>
          <w:szCs w:val="30"/>
          <w:lang w:val="en-GB"/>
        </w:rPr>
        <w:t>hesis</w:t>
      </w:r>
    </w:p>
    <w:bookmarkEnd w:id="2"/>
    <w:bookmarkEnd w:id="3"/>
    <w:bookmarkEnd w:id="4"/>
    <w:bookmarkEnd w:id="5"/>
    <w:p w:rsidR="001F7A0E" w:rsidRPr="007730EF" w:rsidRDefault="001F7A0E" w:rsidP="001F7A0E">
      <w:pPr>
        <w:jc w:val="center"/>
        <w:rPr>
          <w:sz w:val="24"/>
          <w:szCs w:val="24"/>
        </w:rPr>
      </w:pPr>
      <w:r w:rsidRPr="007730EF">
        <w:rPr>
          <w:sz w:val="24"/>
          <w:szCs w:val="24"/>
        </w:rPr>
        <w:t xml:space="preserve">Wenming </w:t>
      </w:r>
      <w:proofErr w:type="spellStart"/>
      <w:r w:rsidRPr="007730EF">
        <w:rPr>
          <w:sz w:val="24"/>
          <w:szCs w:val="24"/>
        </w:rPr>
        <w:t>Xu</w:t>
      </w:r>
      <w:proofErr w:type="spellEnd"/>
      <w:r w:rsidRPr="007730EF">
        <w:rPr>
          <w:sz w:val="24"/>
          <w:szCs w:val="24"/>
        </w:rPr>
        <w:t xml:space="preserve">, Guangdong </w:t>
      </w:r>
      <w:proofErr w:type="spellStart"/>
      <w:r w:rsidRPr="007730EF">
        <w:rPr>
          <w:sz w:val="24"/>
          <w:szCs w:val="24"/>
        </w:rPr>
        <w:t>Xu</w:t>
      </w:r>
      <w:proofErr w:type="spellEnd"/>
      <w:r>
        <w:rPr>
          <w:rStyle w:val="a6"/>
          <w:sz w:val="24"/>
          <w:szCs w:val="24"/>
        </w:rPr>
        <w:footnoteReference w:id="1"/>
      </w:r>
    </w:p>
    <w:p w:rsidR="00307DE2" w:rsidRPr="00BC4493" w:rsidRDefault="00307DE2" w:rsidP="005C1F7A">
      <w:pPr>
        <w:spacing w:beforeLines="100"/>
        <w:mirrorIndents/>
        <w:rPr>
          <w:b/>
          <w:sz w:val="28"/>
          <w:szCs w:val="24"/>
          <w:lang w:val="en-GB"/>
        </w:rPr>
      </w:pPr>
      <w:r w:rsidRPr="00BC4493">
        <w:rPr>
          <w:b/>
          <w:sz w:val="28"/>
          <w:szCs w:val="24"/>
          <w:lang w:val="en-GB"/>
        </w:rPr>
        <w:t>Abstract</w:t>
      </w:r>
    </w:p>
    <w:p w:rsidR="00307DE2" w:rsidRPr="005C1F7A" w:rsidRDefault="00E57E74" w:rsidP="005C1F7A">
      <w:pPr>
        <w:spacing w:beforeLines="100"/>
        <w:mirrorIndents/>
        <w:rPr>
          <w:sz w:val="24"/>
          <w:szCs w:val="24"/>
          <w:lang w:val="en-GB"/>
        </w:rPr>
      </w:pPr>
      <w:bookmarkStart w:id="6" w:name="OLE_LINK30"/>
      <w:bookmarkStart w:id="7" w:name="OLE_LINK45"/>
      <w:bookmarkStart w:id="8" w:name="OLE_LINK62"/>
      <w:bookmarkStart w:id="9" w:name="OLE_LINK63"/>
      <w:r w:rsidRPr="00E82E1F">
        <w:rPr>
          <w:sz w:val="24"/>
          <w:szCs w:val="24"/>
          <w:lang w:val="en-GB"/>
        </w:rPr>
        <w:t xml:space="preserve">This paper applies </w:t>
      </w:r>
      <w:r w:rsidR="008D28F2" w:rsidRPr="00E82E1F">
        <w:rPr>
          <w:sz w:val="24"/>
          <w:szCs w:val="24"/>
          <w:lang w:val="en-GB"/>
        </w:rPr>
        <w:t xml:space="preserve">a </w:t>
      </w:r>
      <w:r w:rsidRPr="00E82E1F">
        <w:rPr>
          <w:sz w:val="24"/>
          <w:szCs w:val="24"/>
          <w:lang w:val="en-GB"/>
        </w:rPr>
        <w:t xml:space="preserve">Bayesian </w:t>
      </w:r>
      <w:r w:rsidR="0010266B" w:rsidRPr="00E82E1F">
        <w:rPr>
          <w:sz w:val="24"/>
          <w:szCs w:val="24"/>
          <w:lang w:val="en-GB"/>
        </w:rPr>
        <w:t xml:space="preserve">model averaging </w:t>
      </w:r>
      <w:r w:rsidRPr="00E82E1F">
        <w:rPr>
          <w:sz w:val="24"/>
          <w:szCs w:val="24"/>
          <w:lang w:val="en-GB"/>
        </w:rPr>
        <w:t xml:space="preserve">algorithm to systematically evaluate </w:t>
      </w:r>
      <w:r w:rsidR="00E01DF1" w:rsidRPr="00E82E1F">
        <w:rPr>
          <w:sz w:val="24"/>
          <w:szCs w:val="24"/>
          <w:lang w:val="en-GB"/>
        </w:rPr>
        <w:t xml:space="preserve">the “law matters” literature and finds that </w:t>
      </w:r>
      <w:r w:rsidRPr="00E82E1F">
        <w:rPr>
          <w:sz w:val="24"/>
          <w:szCs w:val="24"/>
          <w:lang w:val="en-GB"/>
        </w:rPr>
        <w:t xml:space="preserve">the </w:t>
      </w:r>
      <w:r w:rsidR="00B23D0C" w:rsidRPr="00E82E1F">
        <w:rPr>
          <w:sz w:val="24"/>
          <w:szCs w:val="24"/>
          <w:lang w:val="en-GB"/>
        </w:rPr>
        <w:t xml:space="preserve">positive </w:t>
      </w:r>
      <w:r w:rsidRPr="00E82E1F">
        <w:rPr>
          <w:sz w:val="24"/>
          <w:szCs w:val="24"/>
          <w:lang w:val="en-GB"/>
        </w:rPr>
        <w:t xml:space="preserve">cross-country relationship between anti-self-dealing rules and stock market development proposed by </w:t>
      </w:r>
      <w:proofErr w:type="spellStart"/>
      <w:r w:rsidRPr="00E82E1F">
        <w:rPr>
          <w:sz w:val="24"/>
          <w:szCs w:val="24"/>
          <w:lang w:val="en-GB"/>
        </w:rPr>
        <w:t>Djankov</w:t>
      </w:r>
      <w:proofErr w:type="spellEnd"/>
      <w:r w:rsidRPr="00E82E1F">
        <w:rPr>
          <w:sz w:val="24"/>
          <w:szCs w:val="24"/>
          <w:lang w:val="en-GB"/>
        </w:rPr>
        <w:t xml:space="preserve">, La </w:t>
      </w:r>
      <w:proofErr w:type="spellStart"/>
      <w:r w:rsidRPr="00E82E1F">
        <w:rPr>
          <w:sz w:val="24"/>
          <w:szCs w:val="24"/>
          <w:lang w:val="en-GB"/>
        </w:rPr>
        <w:t>Porta</w:t>
      </w:r>
      <w:proofErr w:type="spellEnd"/>
      <w:r w:rsidRPr="00E82E1F">
        <w:rPr>
          <w:sz w:val="24"/>
          <w:szCs w:val="24"/>
          <w:lang w:val="en-GB"/>
        </w:rPr>
        <w:t>, Lopez-de-</w:t>
      </w:r>
      <w:proofErr w:type="spellStart"/>
      <w:r w:rsidRPr="00E82E1F">
        <w:rPr>
          <w:sz w:val="24"/>
          <w:szCs w:val="24"/>
          <w:lang w:val="en-GB"/>
        </w:rPr>
        <w:t>Silanes</w:t>
      </w:r>
      <w:proofErr w:type="spellEnd"/>
      <w:r w:rsidRPr="00E82E1F">
        <w:rPr>
          <w:sz w:val="24"/>
          <w:szCs w:val="24"/>
          <w:lang w:val="en-GB"/>
        </w:rPr>
        <w:t xml:space="preserve">, and </w:t>
      </w:r>
      <w:proofErr w:type="spellStart"/>
      <w:r w:rsidRPr="00E82E1F">
        <w:rPr>
          <w:sz w:val="24"/>
          <w:szCs w:val="24"/>
          <w:lang w:val="en-GB"/>
        </w:rPr>
        <w:t>Sheifer</w:t>
      </w:r>
      <w:proofErr w:type="spellEnd"/>
      <w:r w:rsidRPr="00E82E1F">
        <w:rPr>
          <w:sz w:val="24"/>
          <w:szCs w:val="24"/>
          <w:lang w:val="en-GB"/>
        </w:rPr>
        <w:t xml:space="preserve"> (2008, Journal of Financial Economics 88: 430-465) </w:t>
      </w:r>
      <w:r w:rsidR="00E01DF1" w:rsidRPr="00E82E1F">
        <w:rPr>
          <w:sz w:val="24"/>
          <w:szCs w:val="24"/>
          <w:lang w:val="en-GB"/>
        </w:rPr>
        <w:t>is fragile. In contrast, proxies for information disclosure</w:t>
      </w:r>
      <w:r w:rsidR="009E0BFF" w:rsidRPr="00E82E1F">
        <w:rPr>
          <w:sz w:val="24"/>
          <w:szCs w:val="24"/>
          <w:lang w:val="en-GB"/>
        </w:rPr>
        <w:t xml:space="preserve">, political </w:t>
      </w:r>
      <w:r w:rsidR="00DF3F0C" w:rsidRPr="00E82E1F">
        <w:rPr>
          <w:sz w:val="24"/>
          <w:szCs w:val="24"/>
          <w:lang w:val="en-GB"/>
        </w:rPr>
        <w:t>power of incumbents</w:t>
      </w:r>
      <w:r w:rsidR="009E0BFF" w:rsidRPr="00E82E1F">
        <w:rPr>
          <w:sz w:val="24"/>
          <w:szCs w:val="24"/>
          <w:lang w:val="en-GB"/>
        </w:rPr>
        <w:t xml:space="preserve"> and economic development are found to have</w:t>
      </w:r>
      <w:r w:rsidR="002A358B" w:rsidRPr="00E82E1F">
        <w:rPr>
          <w:sz w:val="24"/>
          <w:szCs w:val="24"/>
          <w:lang w:val="en-GB"/>
        </w:rPr>
        <w:t xml:space="preserve"> strong</w:t>
      </w:r>
      <w:r w:rsidR="009E0BFF" w:rsidRPr="00E82E1F">
        <w:rPr>
          <w:sz w:val="24"/>
          <w:szCs w:val="24"/>
          <w:lang w:val="en-GB"/>
        </w:rPr>
        <w:t xml:space="preserve"> predictive power for stock market outcome variables</w:t>
      </w:r>
      <w:r w:rsidR="00B075E6" w:rsidRPr="00E82E1F">
        <w:rPr>
          <w:sz w:val="24"/>
          <w:szCs w:val="24"/>
          <w:lang w:val="en-GB"/>
        </w:rPr>
        <w:t xml:space="preserve">. Finally, </w:t>
      </w:r>
      <w:r w:rsidR="00DF3F0C" w:rsidRPr="00E82E1F">
        <w:rPr>
          <w:sz w:val="24"/>
          <w:szCs w:val="24"/>
          <w:lang w:val="en-GB"/>
        </w:rPr>
        <w:t>variant</w:t>
      </w:r>
      <w:r w:rsidR="00E01DF1" w:rsidRPr="00E82E1F">
        <w:rPr>
          <w:sz w:val="24"/>
          <w:szCs w:val="24"/>
          <w:lang w:val="en-GB"/>
        </w:rPr>
        <w:t xml:space="preserve"> sets of variables are </w:t>
      </w:r>
      <w:r w:rsidR="00B075E6" w:rsidRPr="00E82E1F">
        <w:rPr>
          <w:sz w:val="24"/>
          <w:szCs w:val="24"/>
          <w:lang w:val="en-GB"/>
        </w:rPr>
        <w:t>shown</w:t>
      </w:r>
      <w:r w:rsidR="00E01DF1" w:rsidRPr="00E82E1F">
        <w:rPr>
          <w:sz w:val="24"/>
          <w:szCs w:val="24"/>
          <w:lang w:val="en-GB"/>
        </w:rPr>
        <w:t xml:space="preserve"> to predi</w:t>
      </w:r>
      <w:r w:rsidR="00B075E6" w:rsidRPr="00E82E1F">
        <w:rPr>
          <w:sz w:val="24"/>
          <w:szCs w:val="24"/>
          <w:lang w:val="en-GB"/>
        </w:rPr>
        <w:t>ct stock market development, which reject</w:t>
      </w:r>
      <w:r w:rsidR="00B23D0C" w:rsidRPr="00E82E1F">
        <w:rPr>
          <w:sz w:val="24"/>
          <w:szCs w:val="24"/>
          <w:lang w:val="en-GB"/>
        </w:rPr>
        <w:t>s</w:t>
      </w:r>
      <w:r w:rsidR="00B075E6" w:rsidRPr="00E82E1F">
        <w:rPr>
          <w:sz w:val="24"/>
          <w:szCs w:val="24"/>
          <w:lang w:val="en-GB"/>
        </w:rPr>
        <w:t xml:space="preserve"> the “one-size-fit</w:t>
      </w:r>
      <w:r w:rsidR="00234284" w:rsidRPr="00E82E1F">
        <w:rPr>
          <w:sz w:val="24"/>
          <w:szCs w:val="24"/>
          <w:lang w:val="en-GB"/>
        </w:rPr>
        <w:t>s</w:t>
      </w:r>
      <w:r w:rsidR="00B075E6" w:rsidRPr="00E82E1F">
        <w:rPr>
          <w:sz w:val="24"/>
          <w:szCs w:val="24"/>
          <w:lang w:val="en-GB"/>
        </w:rPr>
        <w:t>-all” specification employed in previous macro law</w:t>
      </w:r>
      <w:r w:rsidR="00E970A6" w:rsidRPr="00E82E1F">
        <w:rPr>
          <w:sz w:val="24"/>
          <w:szCs w:val="24"/>
          <w:lang w:val="en-GB"/>
        </w:rPr>
        <w:t xml:space="preserve"> </w:t>
      </w:r>
      <w:r w:rsidR="00B075E6" w:rsidRPr="00E82E1F">
        <w:rPr>
          <w:sz w:val="24"/>
          <w:szCs w:val="24"/>
          <w:lang w:val="en-GB"/>
        </w:rPr>
        <w:t>and</w:t>
      </w:r>
      <w:r w:rsidR="00E970A6" w:rsidRPr="00E82E1F">
        <w:rPr>
          <w:sz w:val="24"/>
          <w:szCs w:val="24"/>
          <w:lang w:val="en-GB"/>
        </w:rPr>
        <w:t xml:space="preserve"> </w:t>
      </w:r>
      <w:r w:rsidR="00B075E6" w:rsidRPr="00E82E1F">
        <w:rPr>
          <w:sz w:val="24"/>
          <w:szCs w:val="24"/>
          <w:lang w:val="en-GB"/>
        </w:rPr>
        <w:t>finance studies.</w:t>
      </w:r>
      <w:bookmarkEnd w:id="6"/>
      <w:bookmarkEnd w:id="7"/>
      <w:r w:rsidR="00B075E6" w:rsidRPr="00E82E1F">
        <w:rPr>
          <w:sz w:val="24"/>
          <w:szCs w:val="24"/>
          <w:lang w:val="en-GB"/>
        </w:rPr>
        <w:t xml:space="preserve"> </w:t>
      </w:r>
      <w:r w:rsidRPr="00E82E1F">
        <w:rPr>
          <w:sz w:val="24"/>
          <w:szCs w:val="24"/>
          <w:lang w:val="en-GB"/>
        </w:rPr>
        <w:t xml:space="preserve">(JEL: </w:t>
      </w:r>
      <w:bookmarkStart w:id="10" w:name="OLE_LINK64"/>
      <w:bookmarkStart w:id="11" w:name="OLE_LINK65"/>
      <w:r w:rsidRPr="00E82E1F">
        <w:rPr>
          <w:sz w:val="24"/>
          <w:szCs w:val="24"/>
          <w:lang w:val="en-GB"/>
        </w:rPr>
        <w:t>G38; K22; C11</w:t>
      </w:r>
      <w:bookmarkEnd w:id="10"/>
      <w:bookmarkEnd w:id="11"/>
      <w:r w:rsidRPr="00E82E1F">
        <w:rPr>
          <w:sz w:val="24"/>
          <w:szCs w:val="24"/>
          <w:lang w:val="en-GB"/>
        </w:rPr>
        <w:t>)</w:t>
      </w:r>
      <w:bookmarkEnd w:id="8"/>
      <w:bookmarkEnd w:id="9"/>
    </w:p>
    <w:p w:rsidR="00307DE2" w:rsidRPr="00E82E1F" w:rsidRDefault="00307DE2" w:rsidP="005C1F7A">
      <w:pPr>
        <w:spacing w:beforeLines="100"/>
        <w:mirrorIndents/>
        <w:rPr>
          <w:sz w:val="24"/>
          <w:szCs w:val="24"/>
          <w:lang w:val="en-GB"/>
        </w:rPr>
      </w:pPr>
      <w:r w:rsidRPr="00BC4493">
        <w:rPr>
          <w:b/>
          <w:sz w:val="28"/>
          <w:szCs w:val="24"/>
          <w:lang w:val="en-GB"/>
        </w:rPr>
        <w:t>Key Words</w:t>
      </w:r>
      <w:r w:rsidR="00CB16E9" w:rsidRPr="00BC4493">
        <w:rPr>
          <w:sz w:val="28"/>
          <w:szCs w:val="24"/>
          <w:lang w:val="en-GB"/>
        </w:rPr>
        <w:t xml:space="preserve"> </w:t>
      </w:r>
      <w:bookmarkStart w:id="12" w:name="OLE_LINK79"/>
      <w:bookmarkStart w:id="13" w:name="OLE_LINK80"/>
      <w:bookmarkStart w:id="14" w:name="OLE_LINK68"/>
      <w:r w:rsidR="00CB16E9" w:rsidRPr="00E82E1F">
        <w:rPr>
          <w:sz w:val="24"/>
          <w:szCs w:val="24"/>
          <w:lang w:val="en-GB"/>
        </w:rPr>
        <w:t xml:space="preserve">Anti-self-dealing rules; </w:t>
      </w:r>
      <w:r w:rsidR="00AF49FF" w:rsidRPr="00E82E1F">
        <w:rPr>
          <w:sz w:val="24"/>
          <w:szCs w:val="24"/>
          <w:lang w:val="en-GB"/>
        </w:rPr>
        <w:t xml:space="preserve">Bayesian </w:t>
      </w:r>
      <w:r w:rsidR="00E42403" w:rsidRPr="00E82E1F">
        <w:rPr>
          <w:sz w:val="24"/>
          <w:szCs w:val="24"/>
          <w:lang w:val="en-GB"/>
        </w:rPr>
        <w:t>m</w:t>
      </w:r>
      <w:r w:rsidR="00AF49FF" w:rsidRPr="00E82E1F">
        <w:rPr>
          <w:sz w:val="24"/>
          <w:szCs w:val="24"/>
          <w:lang w:val="en-GB"/>
        </w:rPr>
        <w:t xml:space="preserve">odel </w:t>
      </w:r>
      <w:r w:rsidR="00E42403" w:rsidRPr="00E82E1F">
        <w:rPr>
          <w:sz w:val="24"/>
          <w:szCs w:val="24"/>
          <w:lang w:val="en-GB"/>
        </w:rPr>
        <w:t>a</w:t>
      </w:r>
      <w:r w:rsidR="00AF49FF" w:rsidRPr="00E82E1F">
        <w:rPr>
          <w:sz w:val="24"/>
          <w:szCs w:val="24"/>
          <w:lang w:val="en-GB"/>
        </w:rPr>
        <w:t>verag</w:t>
      </w:r>
      <w:r w:rsidR="00EC1C76" w:rsidRPr="00E82E1F">
        <w:rPr>
          <w:sz w:val="24"/>
          <w:szCs w:val="24"/>
          <w:lang w:val="en-GB"/>
        </w:rPr>
        <w:t>ing</w:t>
      </w:r>
      <w:r w:rsidR="00AF49FF" w:rsidRPr="00E82E1F">
        <w:rPr>
          <w:sz w:val="24"/>
          <w:szCs w:val="24"/>
          <w:lang w:val="en-GB"/>
        </w:rPr>
        <w:t xml:space="preserve">; Model uncertainty; </w:t>
      </w:r>
      <w:bookmarkStart w:id="15" w:name="OLE_LINK49"/>
      <w:bookmarkStart w:id="16" w:name="OLE_LINK50"/>
      <w:bookmarkStart w:id="17" w:name="OLE_LINK69"/>
      <w:r w:rsidR="00AF49FF" w:rsidRPr="00E82E1F">
        <w:rPr>
          <w:sz w:val="24"/>
          <w:szCs w:val="24"/>
          <w:lang w:val="en-GB"/>
        </w:rPr>
        <w:t>Stock mar</w:t>
      </w:r>
      <w:r w:rsidR="00337370" w:rsidRPr="00E82E1F">
        <w:rPr>
          <w:sz w:val="24"/>
          <w:szCs w:val="24"/>
          <w:lang w:val="en-GB"/>
        </w:rPr>
        <w:t>ket development</w:t>
      </w:r>
      <w:bookmarkEnd w:id="12"/>
      <w:bookmarkEnd w:id="13"/>
      <w:bookmarkEnd w:id="14"/>
      <w:bookmarkEnd w:id="15"/>
      <w:bookmarkEnd w:id="16"/>
      <w:bookmarkEnd w:id="17"/>
    </w:p>
    <w:p w:rsidR="00E622D7" w:rsidRDefault="00E622D7" w:rsidP="005C1F7A">
      <w:pPr>
        <w:spacing w:beforeLines="100"/>
        <w:mirrorIndents/>
        <w:rPr>
          <w:rFonts w:hint="eastAsia"/>
          <w:sz w:val="24"/>
          <w:szCs w:val="24"/>
          <w:lang w:val="en-GB"/>
        </w:rPr>
      </w:pPr>
    </w:p>
    <w:p w:rsidR="001F7A0E" w:rsidRDefault="001F7A0E" w:rsidP="005C1F7A">
      <w:pPr>
        <w:spacing w:beforeLines="100"/>
        <w:mirrorIndents/>
        <w:rPr>
          <w:sz w:val="24"/>
          <w:szCs w:val="24"/>
          <w:lang w:val="en-GB"/>
        </w:rPr>
        <w:sectPr w:rsidR="001F7A0E">
          <w:footerReference w:type="default" r:id="rId8"/>
          <w:footnotePr>
            <w:numFmt w:val="chicago"/>
            <w:numRestart w:val="eachSect"/>
          </w:footnotePr>
          <w:pgSz w:w="11906" w:h="16838"/>
          <w:pgMar w:top="1440" w:right="1800" w:bottom="1440" w:left="1800" w:header="851" w:footer="992" w:gutter="0"/>
          <w:cols w:space="720"/>
          <w:docGrid w:type="lines" w:linePitch="312"/>
        </w:sectPr>
      </w:pPr>
    </w:p>
    <w:p w:rsidR="00307DE2" w:rsidRPr="00510ED6" w:rsidRDefault="00E45B50" w:rsidP="005C1F7A">
      <w:pPr>
        <w:spacing w:beforeLines="100"/>
        <w:mirrorIndents/>
        <w:rPr>
          <w:sz w:val="28"/>
          <w:szCs w:val="24"/>
          <w:lang w:val="en-GB"/>
        </w:rPr>
      </w:pPr>
      <w:r w:rsidRPr="00510ED6">
        <w:rPr>
          <w:b/>
          <w:sz w:val="28"/>
          <w:szCs w:val="24"/>
          <w:lang w:val="en-GB"/>
        </w:rPr>
        <w:lastRenderedPageBreak/>
        <w:t>1</w:t>
      </w:r>
      <w:r w:rsidR="00425B0F" w:rsidRPr="00510ED6">
        <w:rPr>
          <w:b/>
          <w:sz w:val="28"/>
          <w:szCs w:val="24"/>
          <w:lang w:val="en-GB"/>
        </w:rPr>
        <w:t>.</w:t>
      </w:r>
      <w:r w:rsidR="00307DE2" w:rsidRPr="00510ED6">
        <w:rPr>
          <w:b/>
          <w:sz w:val="28"/>
          <w:szCs w:val="24"/>
          <w:lang w:val="en-GB"/>
        </w:rPr>
        <w:t xml:space="preserve"> Introduction</w:t>
      </w:r>
    </w:p>
    <w:p w:rsidR="008C5B55" w:rsidRPr="00E82E1F" w:rsidRDefault="00390693" w:rsidP="005C1F7A">
      <w:pPr>
        <w:spacing w:beforeLines="100"/>
        <w:mirrorIndents/>
        <w:rPr>
          <w:sz w:val="24"/>
          <w:szCs w:val="24"/>
          <w:lang w:val="en-GB"/>
        </w:rPr>
      </w:pPr>
      <w:r w:rsidRPr="00E82E1F">
        <w:rPr>
          <w:sz w:val="24"/>
          <w:szCs w:val="24"/>
          <w:lang w:val="en-GB"/>
        </w:rPr>
        <w:t xml:space="preserve">The </w:t>
      </w:r>
      <w:r w:rsidR="002F3254" w:rsidRPr="00E82E1F">
        <w:rPr>
          <w:sz w:val="24"/>
          <w:szCs w:val="24"/>
          <w:lang w:val="en-GB"/>
        </w:rPr>
        <w:t xml:space="preserve">recent </w:t>
      </w:r>
      <w:r w:rsidRPr="00E82E1F">
        <w:rPr>
          <w:sz w:val="24"/>
          <w:szCs w:val="24"/>
          <w:lang w:val="en-GB"/>
        </w:rPr>
        <w:t xml:space="preserve">law and finance movement </w:t>
      </w:r>
      <w:r w:rsidR="002F3254" w:rsidRPr="00E82E1F">
        <w:rPr>
          <w:sz w:val="24"/>
          <w:szCs w:val="24"/>
          <w:lang w:val="en-GB"/>
        </w:rPr>
        <w:t>empirically show</w:t>
      </w:r>
      <w:r w:rsidRPr="00E82E1F">
        <w:rPr>
          <w:sz w:val="24"/>
          <w:szCs w:val="24"/>
          <w:lang w:val="en-GB"/>
        </w:rPr>
        <w:t xml:space="preserve">s that </w:t>
      </w:r>
      <w:r w:rsidR="002F3254" w:rsidRPr="00E82E1F">
        <w:rPr>
          <w:sz w:val="24"/>
          <w:szCs w:val="24"/>
          <w:lang w:val="en-GB"/>
        </w:rPr>
        <w:t>law matters for stock market developmen</w:t>
      </w:r>
      <w:r w:rsidR="00A21807" w:rsidRPr="00E82E1F">
        <w:rPr>
          <w:sz w:val="24"/>
          <w:szCs w:val="24"/>
          <w:lang w:val="en-GB"/>
        </w:rPr>
        <w:t>t</w:t>
      </w:r>
      <w:r w:rsidR="002B7039">
        <w:rPr>
          <w:rStyle w:val="a6"/>
          <w:sz w:val="24"/>
          <w:szCs w:val="24"/>
          <w:lang w:val="en-GB"/>
        </w:rPr>
        <w:footnoteReference w:id="2"/>
      </w:r>
      <w:r w:rsidR="00D707EC" w:rsidRPr="00E82E1F">
        <w:rPr>
          <w:sz w:val="24"/>
          <w:szCs w:val="24"/>
          <w:lang w:val="en-GB"/>
        </w:rPr>
        <w:t xml:space="preserve">: </w:t>
      </w:r>
      <w:r w:rsidR="00234284" w:rsidRPr="00E82E1F">
        <w:rPr>
          <w:sz w:val="24"/>
          <w:szCs w:val="24"/>
          <w:lang w:val="en-GB"/>
        </w:rPr>
        <w:t>T</w:t>
      </w:r>
      <w:r w:rsidR="00307DE2" w:rsidRPr="00E82E1F">
        <w:rPr>
          <w:sz w:val="24"/>
          <w:szCs w:val="24"/>
          <w:lang w:val="en-GB"/>
        </w:rPr>
        <w:t xml:space="preserve">he seminal paper “Law and Finance” (La </w:t>
      </w:r>
      <w:proofErr w:type="spellStart"/>
      <w:r w:rsidR="00307DE2" w:rsidRPr="00E82E1F">
        <w:rPr>
          <w:sz w:val="24"/>
          <w:szCs w:val="24"/>
          <w:lang w:val="en-GB"/>
        </w:rPr>
        <w:t>Porta</w:t>
      </w:r>
      <w:proofErr w:type="spellEnd"/>
      <w:r w:rsidR="00307DE2" w:rsidRPr="00E82E1F">
        <w:rPr>
          <w:sz w:val="24"/>
          <w:szCs w:val="24"/>
          <w:lang w:val="en-GB"/>
        </w:rPr>
        <w:t xml:space="preserve">, </w:t>
      </w:r>
      <w:proofErr w:type="spellStart"/>
      <w:r w:rsidR="009909CA" w:rsidRPr="00E82E1F">
        <w:rPr>
          <w:sz w:val="24"/>
          <w:szCs w:val="24"/>
          <w:lang w:val="en-GB"/>
        </w:rPr>
        <w:t>López</w:t>
      </w:r>
      <w:proofErr w:type="spellEnd"/>
      <w:r w:rsidR="009909CA" w:rsidRPr="00E82E1F">
        <w:rPr>
          <w:sz w:val="24"/>
          <w:szCs w:val="24"/>
          <w:lang w:val="en-GB"/>
        </w:rPr>
        <w:t>-de-</w:t>
      </w:r>
      <w:proofErr w:type="spellStart"/>
      <w:r w:rsidR="009909CA" w:rsidRPr="00E82E1F">
        <w:rPr>
          <w:sz w:val="24"/>
          <w:szCs w:val="24"/>
          <w:lang w:val="en-GB"/>
        </w:rPr>
        <w:t>Silanes</w:t>
      </w:r>
      <w:proofErr w:type="spellEnd"/>
      <w:r w:rsidR="00307DE2" w:rsidRPr="00E82E1F">
        <w:rPr>
          <w:sz w:val="24"/>
          <w:szCs w:val="24"/>
          <w:lang w:val="en-GB"/>
        </w:rPr>
        <w:t xml:space="preserve">, </w:t>
      </w:r>
      <w:proofErr w:type="spellStart"/>
      <w:r w:rsidR="00307DE2" w:rsidRPr="00E82E1F">
        <w:rPr>
          <w:sz w:val="24"/>
          <w:szCs w:val="24"/>
          <w:lang w:val="en-GB"/>
        </w:rPr>
        <w:t>Shleifer</w:t>
      </w:r>
      <w:proofErr w:type="spellEnd"/>
      <w:r w:rsidR="00130FCD" w:rsidRPr="00E82E1F">
        <w:rPr>
          <w:sz w:val="24"/>
          <w:szCs w:val="24"/>
          <w:lang w:val="en-GB"/>
        </w:rPr>
        <w:t xml:space="preserve"> </w:t>
      </w:r>
      <w:r w:rsidR="00EE0A03" w:rsidRPr="00E82E1F">
        <w:rPr>
          <w:sz w:val="24"/>
          <w:szCs w:val="24"/>
          <w:lang w:val="en-GB"/>
        </w:rPr>
        <w:t>and</w:t>
      </w:r>
      <w:r w:rsidR="00307DE2" w:rsidRPr="00E82E1F">
        <w:rPr>
          <w:sz w:val="24"/>
          <w:szCs w:val="24"/>
          <w:lang w:val="en-GB"/>
        </w:rPr>
        <w:t xml:space="preserve"> </w:t>
      </w:r>
      <w:proofErr w:type="spellStart"/>
      <w:r w:rsidR="00307DE2" w:rsidRPr="00E82E1F">
        <w:rPr>
          <w:sz w:val="24"/>
          <w:szCs w:val="24"/>
          <w:lang w:val="en-GB"/>
        </w:rPr>
        <w:t>Vishny</w:t>
      </w:r>
      <w:proofErr w:type="spellEnd"/>
      <w:r w:rsidR="00307DE2" w:rsidRPr="00E82E1F">
        <w:rPr>
          <w:sz w:val="24"/>
          <w:szCs w:val="24"/>
          <w:lang w:val="en-GB"/>
        </w:rPr>
        <w:t xml:space="preserve">, 1998, henceforth LLSV) finds </w:t>
      </w:r>
      <w:bookmarkStart w:id="18" w:name="OLE_LINK59"/>
      <w:bookmarkStart w:id="19" w:name="OLE_LINK60"/>
      <w:r w:rsidR="00D707EC" w:rsidRPr="00E82E1F">
        <w:rPr>
          <w:sz w:val="24"/>
          <w:szCs w:val="24"/>
          <w:lang w:val="en-GB"/>
        </w:rPr>
        <w:t xml:space="preserve">that </w:t>
      </w:r>
      <w:r w:rsidR="00307DE2" w:rsidRPr="00E82E1F">
        <w:rPr>
          <w:sz w:val="24"/>
          <w:szCs w:val="24"/>
          <w:lang w:val="en-GB"/>
        </w:rPr>
        <w:t>the “Anti-director</w:t>
      </w:r>
      <w:r w:rsidR="005546C9" w:rsidRPr="00E82E1F">
        <w:rPr>
          <w:sz w:val="24"/>
          <w:szCs w:val="24"/>
          <w:lang w:val="en-GB"/>
        </w:rPr>
        <w:t xml:space="preserve"> rights</w:t>
      </w:r>
      <w:r w:rsidR="00307DE2" w:rsidRPr="00E82E1F">
        <w:rPr>
          <w:sz w:val="24"/>
          <w:szCs w:val="24"/>
          <w:lang w:val="en-GB"/>
        </w:rPr>
        <w:t xml:space="preserve"> index</w:t>
      </w:r>
      <w:r w:rsidR="003D688F" w:rsidRPr="00E82E1F">
        <w:rPr>
          <w:sz w:val="24"/>
          <w:szCs w:val="24"/>
          <w:lang w:val="en-GB"/>
        </w:rPr>
        <w:t xml:space="preserve"> (ANTID</w:t>
      </w:r>
      <w:r w:rsidR="005546C9" w:rsidRPr="00E82E1F">
        <w:rPr>
          <w:sz w:val="24"/>
          <w:szCs w:val="24"/>
          <w:lang w:val="en-GB"/>
        </w:rPr>
        <w:t>R</w:t>
      </w:r>
      <w:r w:rsidR="003D688F" w:rsidRPr="00E82E1F">
        <w:rPr>
          <w:sz w:val="24"/>
          <w:szCs w:val="24"/>
          <w:lang w:val="en-GB"/>
        </w:rPr>
        <w:t>I)</w:t>
      </w:r>
      <w:r w:rsidR="00307DE2" w:rsidRPr="00E82E1F">
        <w:rPr>
          <w:sz w:val="24"/>
          <w:szCs w:val="24"/>
          <w:lang w:val="en-GB"/>
        </w:rPr>
        <w:t>”</w:t>
      </w:r>
      <w:bookmarkEnd w:id="18"/>
      <w:bookmarkEnd w:id="19"/>
      <w:r w:rsidR="002B7039">
        <w:rPr>
          <w:rStyle w:val="a6"/>
          <w:sz w:val="24"/>
          <w:szCs w:val="24"/>
          <w:lang w:val="en-GB"/>
        </w:rPr>
        <w:footnoteReference w:id="3"/>
      </w:r>
      <w:r w:rsidR="00D707EC" w:rsidRPr="00E82E1F">
        <w:rPr>
          <w:sz w:val="24"/>
          <w:szCs w:val="24"/>
          <w:lang w:val="en-GB"/>
        </w:rPr>
        <w:t xml:space="preserve"> negatively correlates</w:t>
      </w:r>
      <w:r w:rsidR="00307DE2" w:rsidRPr="00E82E1F">
        <w:rPr>
          <w:sz w:val="24"/>
          <w:szCs w:val="24"/>
          <w:lang w:val="en-GB"/>
        </w:rPr>
        <w:t xml:space="preserve"> with ownership concentration, and </w:t>
      </w:r>
      <w:proofErr w:type="spellStart"/>
      <w:r w:rsidR="00307DE2" w:rsidRPr="00E82E1F">
        <w:rPr>
          <w:sz w:val="24"/>
          <w:szCs w:val="24"/>
          <w:lang w:val="en-GB"/>
        </w:rPr>
        <w:t>Djankov</w:t>
      </w:r>
      <w:proofErr w:type="spellEnd"/>
      <w:r w:rsidR="00307DE2" w:rsidRPr="00E82E1F">
        <w:rPr>
          <w:sz w:val="24"/>
          <w:szCs w:val="24"/>
          <w:lang w:val="en-GB"/>
        </w:rPr>
        <w:t xml:space="preserve">, </w:t>
      </w:r>
      <w:bookmarkStart w:id="22" w:name="OLE_LINK51"/>
      <w:bookmarkStart w:id="23" w:name="OLE_LINK52"/>
      <w:r w:rsidR="00307DE2" w:rsidRPr="00E82E1F">
        <w:rPr>
          <w:sz w:val="24"/>
          <w:szCs w:val="24"/>
          <w:lang w:val="en-GB"/>
        </w:rPr>
        <w:t xml:space="preserve">La </w:t>
      </w:r>
      <w:proofErr w:type="spellStart"/>
      <w:r w:rsidR="00307DE2" w:rsidRPr="00E82E1F">
        <w:rPr>
          <w:sz w:val="24"/>
          <w:szCs w:val="24"/>
          <w:lang w:val="en-GB"/>
        </w:rPr>
        <w:t>Porta</w:t>
      </w:r>
      <w:proofErr w:type="spellEnd"/>
      <w:r w:rsidR="00307DE2" w:rsidRPr="00E82E1F">
        <w:rPr>
          <w:sz w:val="24"/>
          <w:szCs w:val="24"/>
          <w:lang w:val="en-GB"/>
        </w:rPr>
        <w:t xml:space="preserve">, </w:t>
      </w:r>
      <w:proofErr w:type="spellStart"/>
      <w:r w:rsidR="009909CA" w:rsidRPr="00E82E1F">
        <w:rPr>
          <w:sz w:val="24"/>
          <w:szCs w:val="24"/>
          <w:lang w:val="en-GB"/>
        </w:rPr>
        <w:t>López</w:t>
      </w:r>
      <w:proofErr w:type="spellEnd"/>
      <w:r w:rsidR="009909CA" w:rsidRPr="00E82E1F">
        <w:rPr>
          <w:sz w:val="24"/>
          <w:szCs w:val="24"/>
          <w:lang w:val="en-GB"/>
        </w:rPr>
        <w:t>-de-</w:t>
      </w:r>
      <w:proofErr w:type="spellStart"/>
      <w:r w:rsidR="009909CA" w:rsidRPr="00E82E1F">
        <w:rPr>
          <w:sz w:val="24"/>
          <w:szCs w:val="24"/>
          <w:lang w:val="en-GB"/>
        </w:rPr>
        <w:t>Silanes</w:t>
      </w:r>
      <w:proofErr w:type="spellEnd"/>
      <w:r w:rsidR="00130FCD" w:rsidRPr="00E82E1F">
        <w:rPr>
          <w:sz w:val="24"/>
          <w:szCs w:val="24"/>
          <w:lang w:val="en-GB"/>
        </w:rPr>
        <w:t xml:space="preserve"> </w:t>
      </w:r>
      <w:r w:rsidR="00EE0A03" w:rsidRPr="00E82E1F">
        <w:rPr>
          <w:sz w:val="24"/>
          <w:szCs w:val="24"/>
          <w:lang w:val="en-GB"/>
        </w:rPr>
        <w:t>and</w:t>
      </w:r>
      <w:r w:rsidR="00307DE2" w:rsidRPr="00E82E1F">
        <w:rPr>
          <w:sz w:val="24"/>
          <w:szCs w:val="24"/>
          <w:lang w:val="en-GB"/>
        </w:rPr>
        <w:t xml:space="preserve"> </w:t>
      </w:r>
      <w:proofErr w:type="spellStart"/>
      <w:r w:rsidR="00307DE2" w:rsidRPr="00E82E1F">
        <w:rPr>
          <w:sz w:val="24"/>
          <w:szCs w:val="24"/>
          <w:lang w:val="en-GB"/>
        </w:rPr>
        <w:t>Shleifer</w:t>
      </w:r>
      <w:bookmarkEnd w:id="22"/>
      <w:bookmarkEnd w:id="23"/>
      <w:proofErr w:type="spellEnd"/>
      <w:r w:rsidR="00307DE2" w:rsidRPr="00E82E1F">
        <w:rPr>
          <w:sz w:val="24"/>
          <w:szCs w:val="24"/>
          <w:lang w:val="en-GB"/>
        </w:rPr>
        <w:t xml:space="preserve"> (2008, henceforth DLLS) </w:t>
      </w:r>
      <w:r w:rsidR="00A721E5" w:rsidRPr="00E82E1F">
        <w:rPr>
          <w:sz w:val="24"/>
          <w:szCs w:val="24"/>
          <w:lang w:val="en-GB"/>
        </w:rPr>
        <w:t>find</w:t>
      </w:r>
      <w:r w:rsidR="00307DE2" w:rsidRPr="00E82E1F">
        <w:rPr>
          <w:sz w:val="24"/>
          <w:szCs w:val="24"/>
          <w:lang w:val="en-GB"/>
        </w:rPr>
        <w:t xml:space="preserve"> that</w:t>
      </w:r>
      <w:r w:rsidR="006144AB" w:rsidRPr="00E82E1F">
        <w:rPr>
          <w:sz w:val="24"/>
          <w:szCs w:val="24"/>
          <w:lang w:val="en-GB"/>
        </w:rPr>
        <w:t xml:space="preserve"> the</w:t>
      </w:r>
      <w:r w:rsidR="00307DE2" w:rsidRPr="00E82E1F">
        <w:rPr>
          <w:sz w:val="24"/>
          <w:szCs w:val="24"/>
          <w:lang w:val="en-GB"/>
        </w:rPr>
        <w:t xml:space="preserve"> </w:t>
      </w:r>
      <w:bookmarkStart w:id="24" w:name="OLE_LINK53"/>
      <w:bookmarkStart w:id="25" w:name="OLE_LINK54"/>
      <w:r w:rsidR="00307DE2" w:rsidRPr="00E82E1F">
        <w:rPr>
          <w:sz w:val="24"/>
          <w:szCs w:val="24"/>
          <w:lang w:val="en-GB"/>
        </w:rPr>
        <w:t>“Anti-self-dealing index</w:t>
      </w:r>
      <w:r w:rsidR="003D688F" w:rsidRPr="00E82E1F">
        <w:rPr>
          <w:sz w:val="24"/>
          <w:szCs w:val="24"/>
          <w:lang w:val="en-GB"/>
        </w:rPr>
        <w:t xml:space="preserve"> (ANTISDI)</w:t>
      </w:r>
      <w:r w:rsidR="00307DE2" w:rsidRPr="00E82E1F">
        <w:rPr>
          <w:sz w:val="24"/>
          <w:szCs w:val="24"/>
          <w:lang w:val="en-GB"/>
        </w:rPr>
        <w:t>”</w:t>
      </w:r>
      <w:r w:rsidR="002B7039">
        <w:rPr>
          <w:rStyle w:val="a6"/>
          <w:sz w:val="24"/>
          <w:szCs w:val="24"/>
          <w:lang w:val="en-GB"/>
        </w:rPr>
        <w:footnoteReference w:id="4"/>
      </w:r>
      <w:r w:rsidR="00307DE2" w:rsidRPr="00E82E1F">
        <w:rPr>
          <w:sz w:val="24"/>
          <w:szCs w:val="24"/>
          <w:lang w:val="en-GB"/>
        </w:rPr>
        <w:t xml:space="preserve"> </w:t>
      </w:r>
      <w:bookmarkEnd w:id="24"/>
      <w:bookmarkEnd w:id="25"/>
      <w:r w:rsidR="000F7E51" w:rsidRPr="00E82E1F">
        <w:rPr>
          <w:sz w:val="24"/>
          <w:szCs w:val="24"/>
          <w:lang w:val="en-GB"/>
        </w:rPr>
        <w:t xml:space="preserve">is </w:t>
      </w:r>
      <w:r w:rsidR="00307DE2" w:rsidRPr="00E82E1F">
        <w:rPr>
          <w:sz w:val="24"/>
          <w:szCs w:val="24"/>
          <w:lang w:val="en-GB"/>
        </w:rPr>
        <w:t xml:space="preserve">positively correlated with </w:t>
      </w:r>
      <w:r w:rsidR="00D707EC" w:rsidRPr="00E82E1F">
        <w:rPr>
          <w:sz w:val="24"/>
          <w:szCs w:val="24"/>
          <w:lang w:val="en-GB"/>
        </w:rPr>
        <w:t xml:space="preserve">various </w:t>
      </w:r>
      <w:r w:rsidR="00307DE2" w:rsidRPr="00E82E1F">
        <w:rPr>
          <w:sz w:val="24"/>
          <w:szCs w:val="24"/>
          <w:lang w:val="en-GB"/>
        </w:rPr>
        <w:t>proxies for stock market development, such as market capitalization</w:t>
      </w:r>
      <w:r w:rsidR="003C3766" w:rsidRPr="00E82E1F">
        <w:rPr>
          <w:sz w:val="24"/>
          <w:szCs w:val="24"/>
          <w:lang w:val="en-GB"/>
        </w:rPr>
        <w:t xml:space="preserve"> </w:t>
      </w:r>
      <w:r w:rsidR="00721FA3" w:rsidRPr="00E82E1F">
        <w:rPr>
          <w:sz w:val="24"/>
          <w:szCs w:val="24"/>
          <w:lang w:val="en-GB"/>
        </w:rPr>
        <w:t>and</w:t>
      </w:r>
      <w:r w:rsidR="003C593D" w:rsidRPr="00E82E1F">
        <w:rPr>
          <w:sz w:val="24"/>
          <w:szCs w:val="24"/>
          <w:lang w:val="en-GB"/>
        </w:rPr>
        <w:t xml:space="preserve"> </w:t>
      </w:r>
      <w:r w:rsidR="003C3766" w:rsidRPr="00E82E1F">
        <w:rPr>
          <w:sz w:val="24"/>
          <w:szCs w:val="24"/>
          <w:lang w:val="en-GB"/>
        </w:rPr>
        <w:t>IPO value</w:t>
      </w:r>
      <w:r w:rsidR="00001D44" w:rsidRPr="00E82E1F">
        <w:rPr>
          <w:sz w:val="24"/>
          <w:szCs w:val="24"/>
          <w:lang w:val="en-GB"/>
        </w:rPr>
        <w:t xml:space="preserve"> normalized by GDP </w:t>
      </w:r>
      <w:r w:rsidR="00307DE2" w:rsidRPr="00E82E1F">
        <w:rPr>
          <w:sz w:val="24"/>
          <w:szCs w:val="24"/>
          <w:lang w:val="en-GB"/>
        </w:rPr>
        <w:t xml:space="preserve">and </w:t>
      </w:r>
      <w:r w:rsidR="009A3DFB" w:rsidRPr="00E82E1F">
        <w:rPr>
          <w:sz w:val="24"/>
          <w:szCs w:val="24"/>
          <w:lang w:val="en-GB"/>
        </w:rPr>
        <w:t xml:space="preserve">the </w:t>
      </w:r>
      <w:r w:rsidR="00307DE2" w:rsidRPr="00E82E1F">
        <w:rPr>
          <w:sz w:val="24"/>
          <w:szCs w:val="24"/>
          <w:lang w:val="en-GB"/>
        </w:rPr>
        <w:t>number of listed firms</w:t>
      </w:r>
      <w:r w:rsidR="00001D44" w:rsidRPr="00E82E1F">
        <w:rPr>
          <w:sz w:val="24"/>
          <w:szCs w:val="24"/>
          <w:lang w:val="en-GB"/>
        </w:rPr>
        <w:t xml:space="preserve"> normalized by population</w:t>
      </w:r>
      <w:r w:rsidR="00307DE2" w:rsidRPr="00E82E1F">
        <w:rPr>
          <w:sz w:val="24"/>
          <w:szCs w:val="24"/>
          <w:lang w:val="en-GB"/>
        </w:rPr>
        <w:t xml:space="preserve">. Additional </w:t>
      </w:r>
      <w:r w:rsidR="00BD4E07" w:rsidRPr="00E82E1F">
        <w:rPr>
          <w:sz w:val="24"/>
          <w:szCs w:val="24"/>
          <w:lang w:val="en-GB"/>
        </w:rPr>
        <w:t xml:space="preserve">empirical </w:t>
      </w:r>
      <w:r w:rsidR="00307DE2" w:rsidRPr="00E82E1F">
        <w:rPr>
          <w:sz w:val="24"/>
          <w:szCs w:val="24"/>
          <w:lang w:val="en-GB"/>
        </w:rPr>
        <w:t xml:space="preserve">studies provide supplemental evidence that </w:t>
      </w:r>
      <w:r w:rsidR="00D12A6B" w:rsidRPr="00E82E1F">
        <w:rPr>
          <w:sz w:val="24"/>
          <w:szCs w:val="24"/>
          <w:lang w:val="en-GB"/>
        </w:rPr>
        <w:t xml:space="preserve">other </w:t>
      </w:r>
      <w:r w:rsidR="00307DE2" w:rsidRPr="00E82E1F">
        <w:rPr>
          <w:sz w:val="24"/>
          <w:szCs w:val="24"/>
          <w:lang w:val="en-GB"/>
        </w:rPr>
        <w:t xml:space="preserve">legal institutions, such as </w:t>
      </w:r>
      <w:bookmarkStart w:id="26" w:name="OLE_LINK18"/>
      <w:bookmarkStart w:id="27" w:name="OLE_LINK28"/>
      <w:r w:rsidR="00BC2201" w:rsidRPr="00E82E1F">
        <w:rPr>
          <w:sz w:val="24"/>
          <w:szCs w:val="24"/>
          <w:lang w:val="en-GB"/>
        </w:rPr>
        <w:t>public enforcement</w:t>
      </w:r>
      <w:bookmarkEnd w:id="26"/>
      <w:bookmarkEnd w:id="27"/>
      <w:r w:rsidR="00CD6DC1" w:rsidRPr="00E82E1F">
        <w:rPr>
          <w:sz w:val="24"/>
          <w:szCs w:val="24"/>
          <w:lang w:val="en-GB"/>
        </w:rPr>
        <w:t xml:space="preserve"> inputs </w:t>
      </w:r>
      <w:r w:rsidR="00307DE2" w:rsidRPr="00E82E1F">
        <w:rPr>
          <w:sz w:val="24"/>
          <w:szCs w:val="24"/>
          <w:lang w:val="en-GB"/>
        </w:rPr>
        <w:t>(</w:t>
      </w:r>
      <w:r w:rsidR="00BC2201" w:rsidRPr="00E82E1F">
        <w:rPr>
          <w:sz w:val="24"/>
          <w:szCs w:val="24"/>
          <w:lang w:val="en-GB"/>
        </w:rPr>
        <w:t>Jackson and Roe</w:t>
      </w:r>
      <w:r w:rsidR="002A09B4" w:rsidRPr="00E82E1F">
        <w:rPr>
          <w:sz w:val="24"/>
          <w:szCs w:val="24"/>
          <w:lang w:val="en-GB"/>
        </w:rPr>
        <w:t>, 2009</w:t>
      </w:r>
      <w:r w:rsidR="00307DE2" w:rsidRPr="00E82E1F">
        <w:rPr>
          <w:sz w:val="24"/>
          <w:szCs w:val="24"/>
          <w:lang w:val="en-GB"/>
        </w:rPr>
        <w:t>)</w:t>
      </w:r>
      <w:r w:rsidR="006144AB" w:rsidRPr="00E82E1F">
        <w:rPr>
          <w:sz w:val="24"/>
          <w:szCs w:val="24"/>
          <w:lang w:val="en-GB"/>
        </w:rPr>
        <w:t>,</w:t>
      </w:r>
      <w:r w:rsidR="00307DE2" w:rsidRPr="00E82E1F">
        <w:rPr>
          <w:sz w:val="24"/>
          <w:szCs w:val="24"/>
          <w:lang w:val="en-GB"/>
        </w:rPr>
        <w:t xml:space="preserve"> disclosure requirements and liability </w:t>
      </w:r>
      <w:r w:rsidR="006144AB" w:rsidRPr="00E82E1F">
        <w:rPr>
          <w:sz w:val="24"/>
          <w:szCs w:val="24"/>
          <w:lang w:val="en-GB"/>
        </w:rPr>
        <w:t xml:space="preserve">standards </w:t>
      </w:r>
      <w:r w:rsidR="00307DE2" w:rsidRPr="00E82E1F">
        <w:rPr>
          <w:sz w:val="24"/>
          <w:szCs w:val="24"/>
          <w:lang w:val="en-GB"/>
        </w:rPr>
        <w:t>(</w:t>
      </w:r>
      <w:r w:rsidR="00C30E6B" w:rsidRPr="00E82E1F">
        <w:rPr>
          <w:sz w:val="24"/>
          <w:szCs w:val="24"/>
          <w:lang w:val="en-GB"/>
        </w:rPr>
        <w:t xml:space="preserve">La </w:t>
      </w:r>
      <w:proofErr w:type="spellStart"/>
      <w:r w:rsidR="00C30E6B" w:rsidRPr="00E82E1F">
        <w:rPr>
          <w:sz w:val="24"/>
          <w:szCs w:val="24"/>
          <w:lang w:val="en-GB"/>
        </w:rPr>
        <w:t>Porta</w:t>
      </w:r>
      <w:proofErr w:type="spellEnd"/>
      <w:r w:rsidR="00130FCD" w:rsidRPr="00E82E1F">
        <w:rPr>
          <w:sz w:val="24"/>
          <w:szCs w:val="24"/>
          <w:lang w:val="en-GB"/>
        </w:rPr>
        <w:t xml:space="preserve">, </w:t>
      </w:r>
      <w:proofErr w:type="spellStart"/>
      <w:r w:rsidR="009909CA" w:rsidRPr="00E82E1F">
        <w:rPr>
          <w:sz w:val="24"/>
          <w:szCs w:val="24"/>
          <w:lang w:val="en-GB"/>
        </w:rPr>
        <w:t>López</w:t>
      </w:r>
      <w:proofErr w:type="spellEnd"/>
      <w:r w:rsidR="009909CA" w:rsidRPr="00E82E1F">
        <w:rPr>
          <w:sz w:val="24"/>
          <w:szCs w:val="24"/>
          <w:lang w:val="en-GB"/>
        </w:rPr>
        <w:t>-de-</w:t>
      </w:r>
      <w:proofErr w:type="spellStart"/>
      <w:r w:rsidR="009909CA" w:rsidRPr="00E82E1F">
        <w:rPr>
          <w:sz w:val="24"/>
          <w:szCs w:val="24"/>
          <w:lang w:val="en-GB"/>
        </w:rPr>
        <w:t>Silanes</w:t>
      </w:r>
      <w:proofErr w:type="spellEnd"/>
      <w:r w:rsidR="00130FCD" w:rsidRPr="00E82E1F">
        <w:rPr>
          <w:sz w:val="24"/>
          <w:szCs w:val="24"/>
          <w:lang w:val="en-GB"/>
        </w:rPr>
        <w:t xml:space="preserve"> </w:t>
      </w:r>
      <w:r w:rsidR="00EE0A03" w:rsidRPr="00E82E1F">
        <w:rPr>
          <w:sz w:val="24"/>
          <w:szCs w:val="24"/>
          <w:lang w:val="en-GB"/>
        </w:rPr>
        <w:t>and</w:t>
      </w:r>
      <w:r w:rsidR="00130FCD" w:rsidRPr="00E82E1F">
        <w:rPr>
          <w:sz w:val="24"/>
          <w:szCs w:val="24"/>
          <w:lang w:val="en-GB"/>
        </w:rPr>
        <w:t xml:space="preserve"> </w:t>
      </w:r>
      <w:proofErr w:type="spellStart"/>
      <w:r w:rsidR="00C30E6B" w:rsidRPr="00E82E1F">
        <w:rPr>
          <w:sz w:val="24"/>
          <w:szCs w:val="24"/>
          <w:lang w:val="en-GB"/>
        </w:rPr>
        <w:t>Shleifer</w:t>
      </w:r>
      <w:proofErr w:type="spellEnd"/>
      <w:r w:rsidR="00307DE2" w:rsidRPr="00E82E1F">
        <w:rPr>
          <w:sz w:val="24"/>
          <w:szCs w:val="24"/>
          <w:lang w:val="en-GB"/>
        </w:rPr>
        <w:t>, 2006)</w:t>
      </w:r>
      <w:r w:rsidR="00BD4E07" w:rsidRPr="00E82E1F">
        <w:rPr>
          <w:sz w:val="24"/>
          <w:szCs w:val="24"/>
          <w:lang w:val="en-GB"/>
        </w:rPr>
        <w:t xml:space="preserve">, </w:t>
      </w:r>
      <w:r w:rsidR="000F7E51" w:rsidRPr="00E82E1F">
        <w:rPr>
          <w:sz w:val="24"/>
          <w:szCs w:val="24"/>
          <w:lang w:val="en-GB"/>
        </w:rPr>
        <w:t xml:space="preserve">also </w:t>
      </w:r>
      <w:r w:rsidR="00D707EC" w:rsidRPr="00E82E1F">
        <w:rPr>
          <w:sz w:val="24"/>
          <w:szCs w:val="24"/>
          <w:lang w:val="en-GB"/>
        </w:rPr>
        <w:t>facilitate</w:t>
      </w:r>
      <w:r w:rsidR="00BD4E07" w:rsidRPr="00E82E1F">
        <w:rPr>
          <w:sz w:val="24"/>
          <w:szCs w:val="24"/>
          <w:lang w:val="en-GB"/>
        </w:rPr>
        <w:t xml:space="preserve"> stock market development</w:t>
      </w:r>
      <w:r w:rsidR="00307DE2" w:rsidRPr="00E82E1F">
        <w:rPr>
          <w:sz w:val="24"/>
          <w:szCs w:val="24"/>
          <w:lang w:val="en-GB"/>
        </w:rPr>
        <w:t>.</w:t>
      </w:r>
    </w:p>
    <w:p w:rsidR="00721FA3" w:rsidRPr="00E82E1F" w:rsidRDefault="00C54691" w:rsidP="005C1F7A">
      <w:pPr>
        <w:spacing w:beforeLines="100"/>
        <w:mirrorIndents/>
        <w:rPr>
          <w:sz w:val="24"/>
          <w:szCs w:val="24"/>
          <w:lang w:val="en-GB"/>
        </w:rPr>
      </w:pPr>
      <w:r w:rsidRPr="00E82E1F">
        <w:rPr>
          <w:sz w:val="24"/>
          <w:szCs w:val="24"/>
          <w:lang w:val="en-GB"/>
        </w:rPr>
        <w:t xml:space="preserve">Though we subscribe to the </w:t>
      </w:r>
      <w:r w:rsidR="007A47E0" w:rsidRPr="00E82E1F">
        <w:rPr>
          <w:sz w:val="24"/>
          <w:szCs w:val="24"/>
          <w:lang w:val="en-GB"/>
        </w:rPr>
        <w:t>idea</w:t>
      </w:r>
      <w:r w:rsidRPr="00E82E1F">
        <w:rPr>
          <w:sz w:val="24"/>
          <w:szCs w:val="24"/>
          <w:lang w:val="en-GB"/>
        </w:rPr>
        <w:t xml:space="preserve"> that law matters,</w:t>
      </w:r>
      <w:r w:rsidR="00390693" w:rsidRPr="00E82E1F">
        <w:rPr>
          <w:sz w:val="24"/>
          <w:szCs w:val="24"/>
          <w:lang w:val="en-GB"/>
        </w:rPr>
        <w:t xml:space="preserve"> the </w:t>
      </w:r>
      <w:r w:rsidR="005C35B2" w:rsidRPr="00E82E1F">
        <w:rPr>
          <w:sz w:val="24"/>
          <w:szCs w:val="24"/>
          <w:lang w:val="en-GB"/>
        </w:rPr>
        <w:t xml:space="preserve">empirical strategies employed </w:t>
      </w:r>
      <w:r w:rsidR="002926CD" w:rsidRPr="00E82E1F">
        <w:rPr>
          <w:sz w:val="24"/>
          <w:szCs w:val="24"/>
          <w:lang w:val="en-GB"/>
        </w:rPr>
        <w:t>in</w:t>
      </w:r>
      <w:r w:rsidRPr="00E82E1F">
        <w:rPr>
          <w:sz w:val="24"/>
          <w:szCs w:val="24"/>
          <w:lang w:val="en-GB"/>
        </w:rPr>
        <w:t xml:space="preserve"> the macro</w:t>
      </w:r>
      <w:r w:rsidR="00390693" w:rsidRPr="00E82E1F">
        <w:rPr>
          <w:sz w:val="24"/>
          <w:szCs w:val="24"/>
          <w:lang w:val="en-GB"/>
        </w:rPr>
        <w:t xml:space="preserve"> law</w:t>
      </w:r>
      <w:r w:rsidR="00E970A6" w:rsidRPr="00E82E1F">
        <w:rPr>
          <w:sz w:val="24"/>
          <w:szCs w:val="24"/>
          <w:lang w:val="en-GB"/>
        </w:rPr>
        <w:t xml:space="preserve"> </w:t>
      </w:r>
      <w:r w:rsidR="00390693" w:rsidRPr="00E82E1F">
        <w:rPr>
          <w:sz w:val="24"/>
          <w:szCs w:val="24"/>
          <w:lang w:val="en-GB"/>
        </w:rPr>
        <w:t>and</w:t>
      </w:r>
      <w:r w:rsidR="00E970A6" w:rsidRPr="00E82E1F">
        <w:rPr>
          <w:sz w:val="24"/>
          <w:szCs w:val="24"/>
          <w:lang w:val="en-GB"/>
        </w:rPr>
        <w:t xml:space="preserve"> </w:t>
      </w:r>
      <w:r w:rsidR="00390693" w:rsidRPr="00E82E1F">
        <w:rPr>
          <w:sz w:val="24"/>
          <w:szCs w:val="24"/>
          <w:lang w:val="en-GB"/>
        </w:rPr>
        <w:t>finance studies</w:t>
      </w:r>
      <w:r w:rsidR="00CD6DC1" w:rsidRPr="00E82E1F">
        <w:rPr>
          <w:sz w:val="24"/>
          <w:szCs w:val="24"/>
          <w:lang w:val="en-GB"/>
        </w:rPr>
        <w:t xml:space="preserve"> face</w:t>
      </w:r>
      <w:r w:rsidR="00390693" w:rsidRPr="00E82E1F">
        <w:rPr>
          <w:sz w:val="24"/>
          <w:szCs w:val="24"/>
          <w:lang w:val="en-GB"/>
        </w:rPr>
        <w:t xml:space="preserve"> severe </w:t>
      </w:r>
      <w:r w:rsidR="003C593D" w:rsidRPr="00E82E1F">
        <w:rPr>
          <w:sz w:val="24"/>
          <w:szCs w:val="24"/>
          <w:lang w:val="en-GB"/>
        </w:rPr>
        <w:t>criticism</w:t>
      </w:r>
      <w:r w:rsidR="00390693" w:rsidRPr="00E82E1F">
        <w:rPr>
          <w:sz w:val="24"/>
          <w:szCs w:val="24"/>
          <w:lang w:val="en-GB"/>
        </w:rPr>
        <w:t>.</w:t>
      </w:r>
      <w:r w:rsidR="00902E24" w:rsidRPr="00E82E1F">
        <w:rPr>
          <w:sz w:val="24"/>
          <w:szCs w:val="24"/>
          <w:lang w:val="en-GB"/>
        </w:rPr>
        <w:t xml:space="preserve"> </w:t>
      </w:r>
      <w:r w:rsidR="00390693" w:rsidRPr="00E82E1F">
        <w:rPr>
          <w:sz w:val="24"/>
          <w:szCs w:val="24"/>
          <w:lang w:val="en-GB"/>
        </w:rPr>
        <w:t xml:space="preserve">The identification assumption that legal origins are </w:t>
      </w:r>
      <w:r w:rsidR="00A721E5" w:rsidRPr="00E82E1F">
        <w:rPr>
          <w:sz w:val="24"/>
          <w:szCs w:val="24"/>
          <w:lang w:val="en-GB"/>
        </w:rPr>
        <w:t>valid instruments for endogenous institutional variables is rejected</w:t>
      </w:r>
      <w:r w:rsidR="00B9398F" w:rsidRPr="00E82E1F">
        <w:rPr>
          <w:sz w:val="24"/>
          <w:szCs w:val="24"/>
          <w:lang w:val="en-GB"/>
        </w:rPr>
        <w:t xml:space="preserve"> because </w:t>
      </w:r>
      <w:r w:rsidR="006144AB" w:rsidRPr="00E82E1F">
        <w:rPr>
          <w:sz w:val="24"/>
          <w:szCs w:val="24"/>
          <w:lang w:val="en-GB"/>
        </w:rPr>
        <w:t xml:space="preserve">the assumption </w:t>
      </w:r>
      <w:r w:rsidR="00A721E5" w:rsidRPr="00E82E1F">
        <w:rPr>
          <w:sz w:val="24"/>
          <w:szCs w:val="24"/>
          <w:lang w:val="en-GB"/>
        </w:rPr>
        <w:t xml:space="preserve">violates the </w:t>
      </w:r>
      <w:bookmarkStart w:id="28" w:name="OLE_LINK12"/>
      <w:bookmarkStart w:id="29" w:name="OLE_LINK13"/>
      <w:r w:rsidR="00A721E5" w:rsidRPr="00E82E1F">
        <w:rPr>
          <w:sz w:val="24"/>
          <w:szCs w:val="24"/>
          <w:lang w:val="en-GB"/>
        </w:rPr>
        <w:t>exclusion</w:t>
      </w:r>
      <w:bookmarkEnd w:id="28"/>
      <w:bookmarkEnd w:id="29"/>
      <w:r w:rsidR="00A721E5" w:rsidRPr="00E82E1F">
        <w:rPr>
          <w:sz w:val="24"/>
          <w:szCs w:val="24"/>
          <w:lang w:val="en-GB"/>
        </w:rPr>
        <w:t xml:space="preserve"> restrictions (</w:t>
      </w:r>
      <w:r w:rsidR="00C30E6B" w:rsidRPr="00E82E1F">
        <w:rPr>
          <w:sz w:val="24"/>
          <w:szCs w:val="24"/>
          <w:lang w:val="en-GB"/>
        </w:rPr>
        <w:t xml:space="preserve">La </w:t>
      </w:r>
      <w:proofErr w:type="spellStart"/>
      <w:r w:rsidR="00C30E6B" w:rsidRPr="00E82E1F">
        <w:rPr>
          <w:sz w:val="24"/>
          <w:szCs w:val="24"/>
          <w:lang w:val="en-GB"/>
        </w:rPr>
        <w:t>Porta</w:t>
      </w:r>
      <w:proofErr w:type="spellEnd"/>
      <w:r w:rsidR="00C30E6B" w:rsidRPr="00E82E1F">
        <w:rPr>
          <w:sz w:val="24"/>
          <w:szCs w:val="24"/>
          <w:lang w:val="en-GB"/>
        </w:rPr>
        <w:t xml:space="preserve">, </w:t>
      </w:r>
      <w:proofErr w:type="spellStart"/>
      <w:r w:rsidR="009909CA" w:rsidRPr="00E82E1F">
        <w:rPr>
          <w:sz w:val="24"/>
          <w:szCs w:val="24"/>
          <w:lang w:val="en-GB"/>
        </w:rPr>
        <w:t>López</w:t>
      </w:r>
      <w:proofErr w:type="spellEnd"/>
      <w:r w:rsidR="009909CA" w:rsidRPr="00E82E1F">
        <w:rPr>
          <w:sz w:val="24"/>
          <w:szCs w:val="24"/>
          <w:lang w:val="en-GB"/>
        </w:rPr>
        <w:t>-de-</w:t>
      </w:r>
      <w:proofErr w:type="spellStart"/>
      <w:r w:rsidR="009909CA" w:rsidRPr="00E82E1F">
        <w:rPr>
          <w:sz w:val="24"/>
          <w:szCs w:val="24"/>
          <w:lang w:val="en-GB"/>
        </w:rPr>
        <w:t>Silanes</w:t>
      </w:r>
      <w:proofErr w:type="spellEnd"/>
      <w:r w:rsidR="00130FCD" w:rsidRPr="00E82E1F">
        <w:rPr>
          <w:sz w:val="24"/>
          <w:szCs w:val="24"/>
          <w:lang w:val="en-GB"/>
        </w:rPr>
        <w:t xml:space="preserve"> </w:t>
      </w:r>
      <w:r w:rsidR="00EE0A03" w:rsidRPr="00E82E1F">
        <w:rPr>
          <w:sz w:val="24"/>
          <w:szCs w:val="24"/>
          <w:lang w:val="en-GB"/>
        </w:rPr>
        <w:t>and</w:t>
      </w:r>
      <w:r w:rsidR="00C30E6B" w:rsidRPr="00E82E1F">
        <w:rPr>
          <w:sz w:val="24"/>
          <w:szCs w:val="24"/>
          <w:lang w:val="en-GB"/>
        </w:rPr>
        <w:t xml:space="preserve"> </w:t>
      </w:r>
      <w:proofErr w:type="spellStart"/>
      <w:r w:rsidR="00C30E6B" w:rsidRPr="00E82E1F">
        <w:rPr>
          <w:sz w:val="24"/>
          <w:szCs w:val="24"/>
          <w:lang w:val="en-GB"/>
        </w:rPr>
        <w:t>Shleifer</w:t>
      </w:r>
      <w:proofErr w:type="spellEnd"/>
      <w:r w:rsidR="00C30E6B" w:rsidRPr="00E82E1F">
        <w:rPr>
          <w:sz w:val="24"/>
          <w:szCs w:val="24"/>
          <w:lang w:val="en-GB"/>
        </w:rPr>
        <w:t>,</w:t>
      </w:r>
      <w:r w:rsidR="00A721E5" w:rsidRPr="00E82E1F">
        <w:rPr>
          <w:sz w:val="24"/>
          <w:szCs w:val="24"/>
          <w:lang w:val="en-GB"/>
        </w:rPr>
        <w:t xml:space="preserve"> 2008; </w:t>
      </w:r>
      <w:bookmarkStart w:id="30" w:name="OLE_LINK9"/>
      <w:bookmarkStart w:id="31" w:name="OLE_LINK10"/>
      <w:proofErr w:type="spellStart"/>
      <w:r w:rsidR="00A721E5" w:rsidRPr="00E82E1F">
        <w:rPr>
          <w:sz w:val="24"/>
          <w:szCs w:val="24"/>
          <w:lang w:val="en-GB"/>
        </w:rPr>
        <w:t>Bazzi</w:t>
      </w:r>
      <w:bookmarkEnd w:id="30"/>
      <w:bookmarkEnd w:id="31"/>
      <w:proofErr w:type="spellEnd"/>
      <w:r w:rsidR="00A721E5" w:rsidRPr="00E82E1F">
        <w:rPr>
          <w:sz w:val="24"/>
          <w:szCs w:val="24"/>
          <w:lang w:val="en-GB"/>
        </w:rPr>
        <w:t xml:space="preserve"> </w:t>
      </w:r>
      <w:r w:rsidR="00EE0A03" w:rsidRPr="00E82E1F">
        <w:rPr>
          <w:sz w:val="24"/>
          <w:szCs w:val="24"/>
          <w:lang w:val="en-GB"/>
        </w:rPr>
        <w:t>and</w:t>
      </w:r>
      <w:r w:rsidR="00A721E5" w:rsidRPr="00E82E1F">
        <w:rPr>
          <w:sz w:val="24"/>
          <w:szCs w:val="24"/>
          <w:lang w:val="en-GB"/>
        </w:rPr>
        <w:t xml:space="preserve"> Clemens, 2013).</w:t>
      </w:r>
      <w:r w:rsidR="003D3ACD" w:rsidRPr="00E82E1F">
        <w:rPr>
          <w:sz w:val="24"/>
          <w:szCs w:val="24"/>
          <w:lang w:val="en-GB"/>
        </w:rPr>
        <w:t xml:space="preserve"> In a recent book review, </w:t>
      </w:r>
      <w:proofErr w:type="spellStart"/>
      <w:r w:rsidR="003D3ACD" w:rsidRPr="00E82E1F">
        <w:rPr>
          <w:sz w:val="24"/>
          <w:szCs w:val="24"/>
          <w:lang w:val="en-GB"/>
        </w:rPr>
        <w:t>Klick</w:t>
      </w:r>
      <w:proofErr w:type="spellEnd"/>
      <w:r w:rsidR="003D3ACD" w:rsidRPr="00E82E1F">
        <w:rPr>
          <w:sz w:val="24"/>
          <w:szCs w:val="24"/>
          <w:lang w:val="en-GB"/>
        </w:rPr>
        <w:t xml:space="preserve"> (2013) even uses the title “</w:t>
      </w:r>
      <w:proofErr w:type="spellStart"/>
      <w:r w:rsidR="003D3ACD" w:rsidRPr="00E82E1F">
        <w:rPr>
          <w:sz w:val="24"/>
          <w:szCs w:val="24"/>
          <w:lang w:val="en-GB"/>
        </w:rPr>
        <w:t>Shleifer’s</w:t>
      </w:r>
      <w:proofErr w:type="spellEnd"/>
      <w:r w:rsidR="003D3ACD" w:rsidRPr="00E82E1F">
        <w:rPr>
          <w:sz w:val="24"/>
          <w:szCs w:val="24"/>
          <w:lang w:val="en-GB"/>
        </w:rPr>
        <w:t xml:space="preserve"> Failure” to express hi</w:t>
      </w:r>
      <w:r w:rsidR="009D1E04" w:rsidRPr="00E82E1F">
        <w:rPr>
          <w:sz w:val="24"/>
          <w:szCs w:val="24"/>
          <w:lang w:val="en-GB"/>
        </w:rPr>
        <w:t>s dissatisfaction with</w:t>
      </w:r>
      <w:r w:rsidR="003D3ACD" w:rsidRPr="00E82E1F">
        <w:rPr>
          <w:sz w:val="24"/>
          <w:szCs w:val="24"/>
          <w:lang w:val="en-GB"/>
        </w:rPr>
        <w:t xml:space="preserve"> </w:t>
      </w:r>
      <w:proofErr w:type="spellStart"/>
      <w:r w:rsidR="003D3ACD" w:rsidRPr="00E82E1F">
        <w:rPr>
          <w:sz w:val="24"/>
          <w:szCs w:val="24"/>
          <w:lang w:val="en-GB"/>
        </w:rPr>
        <w:t>Shleifer’s</w:t>
      </w:r>
      <w:proofErr w:type="spellEnd"/>
      <w:r w:rsidR="003D3ACD" w:rsidRPr="00E82E1F">
        <w:rPr>
          <w:sz w:val="24"/>
          <w:szCs w:val="24"/>
          <w:lang w:val="en-GB"/>
        </w:rPr>
        <w:t xml:space="preserve"> negligence </w:t>
      </w:r>
      <w:r w:rsidR="006144AB" w:rsidRPr="00E82E1F">
        <w:rPr>
          <w:sz w:val="24"/>
          <w:szCs w:val="24"/>
          <w:lang w:val="en-GB"/>
        </w:rPr>
        <w:t xml:space="preserve">in the </w:t>
      </w:r>
      <w:r w:rsidR="003D3ACD" w:rsidRPr="00E82E1F">
        <w:rPr>
          <w:sz w:val="24"/>
          <w:szCs w:val="24"/>
          <w:lang w:val="en-GB"/>
        </w:rPr>
        <w:t xml:space="preserve">recent </w:t>
      </w:r>
      <w:r w:rsidR="006144AB" w:rsidRPr="00E82E1F">
        <w:rPr>
          <w:sz w:val="24"/>
          <w:szCs w:val="24"/>
          <w:lang w:val="en-GB"/>
        </w:rPr>
        <w:t xml:space="preserve">developments </w:t>
      </w:r>
      <w:r w:rsidR="003D3ACD" w:rsidRPr="00E82E1F">
        <w:rPr>
          <w:sz w:val="24"/>
          <w:szCs w:val="24"/>
          <w:lang w:val="en-GB"/>
        </w:rPr>
        <w:t xml:space="preserve">in </w:t>
      </w:r>
      <w:r w:rsidR="005973E6" w:rsidRPr="00E82E1F">
        <w:rPr>
          <w:sz w:val="24"/>
          <w:szCs w:val="24"/>
          <w:lang w:val="en-GB"/>
        </w:rPr>
        <w:t>micro-econometrics</w:t>
      </w:r>
      <w:r w:rsidR="003D3ACD" w:rsidRPr="00E82E1F">
        <w:rPr>
          <w:sz w:val="24"/>
          <w:szCs w:val="24"/>
          <w:lang w:val="en-GB"/>
        </w:rPr>
        <w:t>. W</w:t>
      </w:r>
      <w:r w:rsidR="002B6A68" w:rsidRPr="00E82E1F">
        <w:rPr>
          <w:sz w:val="24"/>
          <w:szCs w:val="24"/>
          <w:lang w:val="en-GB"/>
        </w:rPr>
        <w:t xml:space="preserve">ithout valid instruments, </w:t>
      </w:r>
      <w:r w:rsidR="00E31B9B" w:rsidRPr="00E82E1F">
        <w:rPr>
          <w:sz w:val="24"/>
          <w:szCs w:val="24"/>
          <w:lang w:val="en-GB"/>
        </w:rPr>
        <w:t xml:space="preserve">it is </w:t>
      </w:r>
      <w:r w:rsidR="00A721E5" w:rsidRPr="00E82E1F">
        <w:rPr>
          <w:sz w:val="24"/>
          <w:szCs w:val="24"/>
          <w:lang w:val="en-GB"/>
        </w:rPr>
        <w:t xml:space="preserve">highly </w:t>
      </w:r>
      <w:r w:rsidR="00E31B9B" w:rsidRPr="00E82E1F">
        <w:rPr>
          <w:sz w:val="24"/>
          <w:szCs w:val="24"/>
          <w:lang w:val="en-GB"/>
        </w:rPr>
        <w:t>likel</w:t>
      </w:r>
      <w:r w:rsidR="00A721E5" w:rsidRPr="00E82E1F">
        <w:rPr>
          <w:sz w:val="24"/>
          <w:szCs w:val="24"/>
          <w:lang w:val="en-GB"/>
        </w:rPr>
        <w:t>y that the empirical conclu</w:t>
      </w:r>
      <w:r w:rsidR="003C593D" w:rsidRPr="00E82E1F">
        <w:rPr>
          <w:sz w:val="24"/>
          <w:szCs w:val="24"/>
          <w:lang w:val="en-GB"/>
        </w:rPr>
        <w:t>sion that law matters suffers from</w:t>
      </w:r>
      <w:r w:rsidR="00970C97" w:rsidRPr="00E82E1F">
        <w:rPr>
          <w:sz w:val="24"/>
          <w:szCs w:val="24"/>
          <w:lang w:val="en-GB"/>
        </w:rPr>
        <w:t xml:space="preserve"> the</w:t>
      </w:r>
      <w:r w:rsidR="003C593D" w:rsidRPr="00E82E1F">
        <w:rPr>
          <w:sz w:val="24"/>
          <w:szCs w:val="24"/>
          <w:lang w:val="en-GB"/>
        </w:rPr>
        <w:t xml:space="preserve"> omitted variable bias</w:t>
      </w:r>
      <w:r w:rsidR="00970C97" w:rsidRPr="00E82E1F">
        <w:rPr>
          <w:sz w:val="24"/>
          <w:szCs w:val="24"/>
          <w:lang w:val="en-GB"/>
        </w:rPr>
        <w:t xml:space="preserve"> </w:t>
      </w:r>
      <w:r w:rsidR="005973E6" w:rsidRPr="00E82E1F">
        <w:rPr>
          <w:sz w:val="24"/>
          <w:szCs w:val="24"/>
          <w:lang w:val="en-GB"/>
        </w:rPr>
        <w:t>and</w:t>
      </w:r>
      <w:r w:rsidR="003D3ACD" w:rsidRPr="00E82E1F">
        <w:rPr>
          <w:sz w:val="24"/>
          <w:szCs w:val="24"/>
          <w:lang w:val="en-GB"/>
        </w:rPr>
        <w:t xml:space="preserve"> </w:t>
      </w:r>
      <w:r w:rsidR="006144AB" w:rsidRPr="00E82E1F">
        <w:rPr>
          <w:sz w:val="24"/>
          <w:szCs w:val="24"/>
          <w:lang w:val="en-GB"/>
        </w:rPr>
        <w:t xml:space="preserve">the </w:t>
      </w:r>
      <w:r w:rsidR="003D3ACD" w:rsidRPr="00E82E1F">
        <w:rPr>
          <w:sz w:val="24"/>
          <w:szCs w:val="24"/>
          <w:lang w:val="en-GB"/>
        </w:rPr>
        <w:t>problem of reverse causality</w:t>
      </w:r>
      <w:r w:rsidR="00E31B9B" w:rsidRPr="00E82E1F">
        <w:rPr>
          <w:sz w:val="24"/>
          <w:szCs w:val="24"/>
          <w:lang w:val="en-GB"/>
        </w:rPr>
        <w:t xml:space="preserve">. </w:t>
      </w:r>
    </w:p>
    <w:p w:rsidR="009F2986" w:rsidRPr="00E82E1F" w:rsidRDefault="00902E24" w:rsidP="005C1F7A">
      <w:pPr>
        <w:spacing w:beforeLines="100"/>
        <w:mirrorIndents/>
        <w:rPr>
          <w:sz w:val="24"/>
          <w:szCs w:val="24"/>
          <w:lang w:val="en-GB"/>
        </w:rPr>
      </w:pPr>
      <w:r w:rsidRPr="00E82E1F">
        <w:rPr>
          <w:sz w:val="24"/>
          <w:szCs w:val="24"/>
          <w:lang w:val="en-GB"/>
        </w:rPr>
        <w:t>Meanwhile,</w:t>
      </w:r>
      <w:r w:rsidR="002B6A68" w:rsidRPr="00E82E1F">
        <w:rPr>
          <w:sz w:val="24"/>
          <w:szCs w:val="24"/>
          <w:lang w:val="en-GB"/>
        </w:rPr>
        <w:t xml:space="preserve"> </w:t>
      </w:r>
      <w:r w:rsidR="00ED5A96" w:rsidRPr="00E82E1F">
        <w:rPr>
          <w:sz w:val="24"/>
          <w:szCs w:val="24"/>
          <w:lang w:val="en-GB"/>
        </w:rPr>
        <w:t xml:space="preserve">the </w:t>
      </w:r>
      <w:r w:rsidR="00721FA3" w:rsidRPr="00E82E1F">
        <w:rPr>
          <w:sz w:val="24"/>
          <w:szCs w:val="24"/>
          <w:lang w:val="en-GB"/>
        </w:rPr>
        <w:t xml:space="preserve">popular indices, such as </w:t>
      </w:r>
      <w:r w:rsidR="00435A32" w:rsidRPr="00E82E1F">
        <w:rPr>
          <w:sz w:val="24"/>
          <w:szCs w:val="24"/>
          <w:lang w:val="en-GB"/>
        </w:rPr>
        <w:t xml:space="preserve">the </w:t>
      </w:r>
      <w:bookmarkStart w:id="32" w:name="OLE_LINK70"/>
      <w:bookmarkStart w:id="33" w:name="OLE_LINK71"/>
      <w:r w:rsidR="00721FA3" w:rsidRPr="00E82E1F">
        <w:rPr>
          <w:sz w:val="24"/>
          <w:szCs w:val="24"/>
          <w:lang w:val="en-GB"/>
        </w:rPr>
        <w:t xml:space="preserve">ANTIDRI and </w:t>
      </w:r>
      <w:r w:rsidR="00435A32" w:rsidRPr="00E82E1F">
        <w:rPr>
          <w:sz w:val="24"/>
          <w:szCs w:val="24"/>
          <w:lang w:val="en-GB"/>
        </w:rPr>
        <w:t xml:space="preserve">the </w:t>
      </w:r>
      <w:r w:rsidR="00721FA3" w:rsidRPr="00E82E1F">
        <w:rPr>
          <w:sz w:val="24"/>
          <w:szCs w:val="24"/>
          <w:lang w:val="en-GB"/>
        </w:rPr>
        <w:t>ANTISDI</w:t>
      </w:r>
      <w:bookmarkEnd w:id="32"/>
      <w:bookmarkEnd w:id="33"/>
      <w:r w:rsidR="00721FA3" w:rsidRPr="00E82E1F">
        <w:rPr>
          <w:sz w:val="24"/>
          <w:szCs w:val="24"/>
          <w:lang w:val="en-GB"/>
        </w:rPr>
        <w:t xml:space="preserve">, are </w:t>
      </w:r>
      <w:r w:rsidR="00721FA3" w:rsidRPr="00E82E1F">
        <w:rPr>
          <w:sz w:val="24"/>
          <w:szCs w:val="24"/>
          <w:lang w:val="en-GB"/>
        </w:rPr>
        <w:lastRenderedPageBreak/>
        <w:t xml:space="preserve">constructed with home-country bias, which employs the American criteria as the yardsticks </w:t>
      </w:r>
      <w:r w:rsidR="00ED5A96" w:rsidRPr="00E82E1F">
        <w:rPr>
          <w:sz w:val="24"/>
          <w:szCs w:val="24"/>
          <w:lang w:val="en-GB"/>
        </w:rPr>
        <w:t>for measuring</w:t>
      </w:r>
      <w:r w:rsidR="00721FA3" w:rsidRPr="00E82E1F">
        <w:rPr>
          <w:sz w:val="24"/>
          <w:szCs w:val="24"/>
          <w:lang w:val="en-GB"/>
        </w:rPr>
        <w:t xml:space="preserve"> the quality of corporate governance in other countries</w:t>
      </w:r>
      <w:r w:rsidR="009F2986" w:rsidRPr="00E82E1F">
        <w:rPr>
          <w:sz w:val="24"/>
          <w:szCs w:val="24"/>
          <w:lang w:val="en-GB"/>
        </w:rPr>
        <w:t>.</w:t>
      </w:r>
      <w:r w:rsidR="002B7039">
        <w:rPr>
          <w:rStyle w:val="a6"/>
          <w:sz w:val="24"/>
          <w:szCs w:val="24"/>
          <w:lang w:val="en-GB"/>
        </w:rPr>
        <w:footnoteReference w:id="5"/>
      </w:r>
      <w:r w:rsidR="009F2986" w:rsidRPr="00E82E1F">
        <w:rPr>
          <w:sz w:val="24"/>
          <w:szCs w:val="24"/>
          <w:lang w:val="en-GB"/>
        </w:rPr>
        <w:t xml:space="preserve"> </w:t>
      </w:r>
      <w:r w:rsidR="00096FAC" w:rsidRPr="00E82E1F">
        <w:rPr>
          <w:sz w:val="24"/>
          <w:szCs w:val="24"/>
          <w:lang w:val="en-GB"/>
        </w:rPr>
        <w:t>The fundamental governance problems differ significantly between countries</w:t>
      </w:r>
      <w:r w:rsidR="00ED5A96" w:rsidRPr="00E82E1F">
        <w:rPr>
          <w:sz w:val="24"/>
          <w:szCs w:val="24"/>
          <w:lang w:val="en-GB"/>
        </w:rPr>
        <w:t xml:space="preserve"> that are</w:t>
      </w:r>
      <w:r w:rsidR="00096FAC" w:rsidRPr="00E82E1F">
        <w:rPr>
          <w:sz w:val="24"/>
          <w:szCs w:val="24"/>
          <w:lang w:val="en-GB"/>
        </w:rPr>
        <w:t xml:space="preserve"> dominated by controlled firms and those </w:t>
      </w:r>
      <w:r w:rsidR="00ED5A96" w:rsidRPr="00E82E1F">
        <w:rPr>
          <w:sz w:val="24"/>
          <w:szCs w:val="24"/>
          <w:lang w:val="en-GB"/>
        </w:rPr>
        <w:t xml:space="preserve">that </w:t>
      </w:r>
      <w:r w:rsidR="00435A32" w:rsidRPr="00E82E1F">
        <w:rPr>
          <w:sz w:val="24"/>
          <w:szCs w:val="24"/>
          <w:lang w:val="en-GB"/>
        </w:rPr>
        <w:t>are featured</w:t>
      </w:r>
      <w:r w:rsidR="00ED5A96" w:rsidRPr="00E82E1F">
        <w:rPr>
          <w:sz w:val="24"/>
          <w:szCs w:val="24"/>
          <w:lang w:val="en-GB"/>
        </w:rPr>
        <w:t xml:space="preserve"> </w:t>
      </w:r>
      <w:r w:rsidR="00096FAC" w:rsidRPr="00E82E1F">
        <w:rPr>
          <w:sz w:val="24"/>
          <w:szCs w:val="24"/>
          <w:lang w:val="en-GB"/>
        </w:rPr>
        <w:t>by widely held firms (</w:t>
      </w:r>
      <w:proofErr w:type="spellStart"/>
      <w:r w:rsidR="00096FAC" w:rsidRPr="00E82E1F">
        <w:rPr>
          <w:sz w:val="24"/>
          <w:szCs w:val="24"/>
          <w:lang w:val="en-GB"/>
        </w:rPr>
        <w:t>Martynova</w:t>
      </w:r>
      <w:proofErr w:type="spellEnd"/>
      <w:r w:rsidR="00096FAC" w:rsidRPr="00E82E1F">
        <w:rPr>
          <w:sz w:val="24"/>
          <w:szCs w:val="24"/>
          <w:lang w:val="en-GB"/>
        </w:rPr>
        <w:t xml:space="preserve"> and </w:t>
      </w:r>
      <w:proofErr w:type="spellStart"/>
      <w:r w:rsidR="00096FAC" w:rsidRPr="00E82E1F">
        <w:rPr>
          <w:sz w:val="24"/>
          <w:szCs w:val="24"/>
          <w:lang w:val="en-GB"/>
        </w:rPr>
        <w:t>Renneboog</w:t>
      </w:r>
      <w:proofErr w:type="spellEnd"/>
      <w:r w:rsidR="00096FAC" w:rsidRPr="00E82E1F">
        <w:rPr>
          <w:sz w:val="24"/>
          <w:szCs w:val="24"/>
          <w:lang w:val="en-GB"/>
        </w:rPr>
        <w:t xml:space="preserve">, 2011). Given the situation, </w:t>
      </w:r>
      <w:proofErr w:type="spellStart"/>
      <w:r w:rsidR="00721FA3" w:rsidRPr="00E82E1F">
        <w:rPr>
          <w:sz w:val="24"/>
          <w:szCs w:val="24"/>
          <w:lang w:val="en-GB"/>
        </w:rPr>
        <w:t>Bebchuk</w:t>
      </w:r>
      <w:proofErr w:type="spellEnd"/>
      <w:r w:rsidR="00721FA3" w:rsidRPr="00E82E1F">
        <w:rPr>
          <w:sz w:val="24"/>
          <w:szCs w:val="24"/>
          <w:lang w:val="en-GB"/>
        </w:rPr>
        <w:t xml:space="preserve"> </w:t>
      </w:r>
      <w:r w:rsidR="00ED5A96" w:rsidRPr="00E82E1F">
        <w:rPr>
          <w:sz w:val="24"/>
          <w:szCs w:val="24"/>
          <w:lang w:val="en-GB"/>
        </w:rPr>
        <w:t>and</w:t>
      </w:r>
      <w:r w:rsidR="00721FA3" w:rsidRPr="00E82E1F">
        <w:rPr>
          <w:sz w:val="24"/>
          <w:szCs w:val="24"/>
          <w:lang w:val="en-GB"/>
        </w:rPr>
        <w:t xml:space="preserve"> </w:t>
      </w:r>
      <w:proofErr w:type="spellStart"/>
      <w:r w:rsidR="00721FA3" w:rsidRPr="00E82E1F">
        <w:rPr>
          <w:sz w:val="24"/>
          <w:szCs w:val="24"/>
          <w:lang w:val="en-GB"/>
        </w:rPr>
        <w:t>Hamdani</w:t>
      </w:r>
      <w:proofErr w:type="spellEnd"/>
      <w:r w:rsidR="00721FA3" w:rsidRPr="00E82E1F">
        <w:rPr>
          <w:sz w:val="24"/>
          <w:szCs w:val="24"/>
          <w:lang w:val="en-GB"/>
        </w:rPr>
        <w:t xml:space="preserve"> (2009, p. 1720) </w:t>
      </w:r>
      <w:r w:rsidR="00C93E3E" w:rsidRPr="00E82E1F">
        <w:rPr>
          <w:sz w:val="24"/>
          <w:szCs w:val="24"/>
          <w:lang w:val="en-GB"/>
        </w:rPr>
        <w:t>criticize</w:t>
      </w:r>
      <w:r w:rsidR="00721FA3" w:rsidRPr="00E82E1F">
        <w:rPr>
          <w:sz w:val="24"/>
          <w:szCs w:val="24"/>
          <w:lang w:val="en-GB"/>
        </w:rPr>
        <w:t xml:space="preserve"> that “using a single metric for comparing countries where concentrated ownership is prevalent to those where wi</w:t>
      </w:r>
      <w:r w:rsidR="00096701" w:rsidRPr="00E82E1F">
        <w:rPr>
          <w:sz w:val="24"/>
          <w:szCs w:val="24"/>
          <w:lang w:val="en-GB"/>
        </w:rPr>
        <w:t xml:space="preserve">dely </w:t>
      </w:r>
      <w:r w:rsidR="00721FA3" w:rsidRPr="00E82E1F">
        <w:rPr>
          <w:sz w:val="24"/>
          <w:szCs w:val="24"/>
          <w:lang w:val="en-GB"/>
        </w:rPr>
        <w:t>held firms dominate, or more generally, countries that have a different mix of these two types of firms, is likely to produce results that would be inaccurate for many purposes.”</w:t>
      </w:r>
    </w:p>
    <w:p w:rsidR="00F70E24" w:rsidRPr="00E82E1F" w:rsidRDefault="00096FAC" w:rsidP="005C1F7A">
      <w:pPr>
        <w:spacing w:beforeLines="100"/>
        <w:mirrorIndents/>
        <w:rPr>
          <w:sz w:val="24"/>
          <w:szCs w:val="24"/>
          <w:lang w:val="en-GB"/>
        </w:rPr>
      </w:pPr>
      <w:r w:rsidRPr="00E82E1F">
        <w:rPr>
          <w:sz w:val="24"/>
          <w:szCs w:val="24"/>
          <w:lang w:val="en-GB"/>
        </w:rPr>
        <w:t xml:space="preserve">Finally, </w:t>
      </w:r>
      <w:r w:rsidR="00ED5A96" w:rsidRPr="00E82E1F">
        <w:rPr>
          <w:sz w:val="24"/>
          <w:szCs w:val="24"/>
          <w:lang w:val="en-GB"/>
        </w:rPr>
        <w:t>studies conducted</w:t>
      </w:r>
      <w:r w:rsidR="00F156AC" w:rsidRPr="00E82E1F">
        <w:rPr>
          <w:sz w:val="24"/>
          <w:szCs w:val="24"/>
          <w:lang w:val="en-GB"/>
        </w:rPr>
        <w:t xml:space="preserve"> from</w:t>
      </w:r>
      <w:r w:rsidR="00AF731A" w:rsidRPr="00E82E1F">
        <w:rPr>
          <w:sz w:val="24"/>
          <w:szCs w:val="24"/>
          <w:lang w:val="en-GB"/>
        </w:rPr>
        <w:t xml:space="preserve"> time-series perspectives negate the </w:t>
      </w:r>
      <w:r w:rsidR="00435A32" w:rsidRPr="00E82E1F">
        <w:rPr>
          <w:sz w:val="24"/>
          <w:szCs w:val="24"/>
          <w:lang w:val="en-GB"/>
        </w:rPr>
        <w:t>“</w:t>
      </w:r>
      <w:r w:rsidR="00AF731A" w:rsidRPr="00E82E1F">
        <w:rPr>
          <w:sz w:val="24"/>
          <w:szCs w:val="24"/>
          <w:lang w:val="en-GB"/>
        </w:rPr>
        <w:t>law</w:t>
      </w:r>
      <w:r w:rsidR="00435A32" w:rsidRPr="00E82E1F">
        <w:rPr>
          <w:sz w:val="24"/>
          <w:szCs w:val="24"/>
          <w:lang w:val="en-GB"/>
        </w:rPr>
        <w:t xml:space="preserve"> matters”</w:t>
      </w:r>
      <w:r w:rsidR="00AF731A" w:rsidRPr="00E82E1F">
        <w:rPr>
          <w:sz w:val="24"/>
          <w:szCs w:val="24"/>
          <w:lang w:val="en-GB"/>
        </w:rPr>
        <w:t xml:space="preserve"> argument. </w:t>
      </w:r>
      <w:r w:rsidR="002A09B4" w:rsidRPr="00E82E1F">
        <w:rPr>
          <w:sz w:val="24"/>
          <w:szCs w:val="24"/>
          <w:lang w:val="en-GB"/>
        </w:rPr>
        <w:t>On one hand, c</w:t>
      </w:r>
      <w:r w:rsidR="00AF731A" w:rsidRPr="00E82E1F">
        <w:rPr>
          <w:sz w:val="24"/>
          <w:szCs w:val="24"/>
          <w:lang w:val="en-GB"/>
        </w:rPr>
        <w:t xml:space="preserve">ase studies on the business histories of </w:t>
      </w:r>
      <w:r w:rsidR="00262B0A" w:rsidRPr="00E82E1F">
        <w:rPr>
          <w:sz w:val="24"/>
          <w:szCs w:val="24"/>
          <w:lang w:val="en-GB"/>
        </w:rPr>
        <w:t xml:space="preserve">the </w:t>
      </w:r>
      <w:r w:rsidR="00AF731A" w:rsidRPr="00E82E1F">
        <w:rPr>
          <w:sz w:val="24"/>
          <w:szCs w:val="24"/>
          <w:lang w:val="en-GB"/>
        </w:rPr>
        <w:t xml:space="preserve">U.K. and </w:t>
      </w:r>
      <w:r w:rsidR="00262B0A" w:rsidRPr="00E82E1F">
        <w:rPr>
          <w:sz w:val="24"/>
          <w:szCs w:val="24"/>
          <w:lang w:val="en-GB"/>
        </w:rPr>
        <w:t xml:space="preserve">the </w:t>
      </w:r>
      <w:r w:rsidR="00AF731A" w:rsidRPr="00E82E1F">
        <w:rPr>
          <w:sz w:val="24"/>
          <w:szCs w:val="24"/>
          <w:lang w:val="en-GB"/>
        </w:rPr>
        <w:t>U.S. f</w:t>
      </w:r>
      <w:r w:rsidR="00F70E24" w:rsidRPr="00E82E1F">
        <w:rPr>
          <w:sz w:val="24"/>
          <w:szCs w:val="24"/>
          <w:lang w:val="en-GB"/>
        </w:rPr>
        <w:t>ind</w:t>
      </w:r>
      <w:r w:rsidR="00AF731A" w:rsidRPr="00E82E1F">
        <w:rPr>
          <w:sz w:val="24"/>
          <w:szCs w:val="24"/>
          <w:lang w:val="en-GB"/>
        </w:rPr>
        <w:t xml:space="preserve"> that </w:t>
      </w:r>
      <w:r w:rsidR="00262B0A" w:rsidRPr="00E82E1F">
        <w:rPr>
          <w:sz w:val="24"/>
          <w:szCs w:val="24"/>
          <w:lang w:val="en-GB"/>
        </w:rPr>
        <w:t xml:space="preserve">listed firms’ </w:t>
      </w:r>
      <w:r w:rsidR="00AF731A" w:rsidRPr="00E82E1F">
        <w:rPr>
          <w:sz w:val="24"/>
          <w:szCs w:val="24"/>
          <w:lang w:val="en-GB"/>
        </w:rPr>
        <w:t xml:space="preserve">ownership </w:t>
      </w:r>
      <w:r w:rsidR="00262B0A" w:rsidRPr="00E82E1F">
        <w:rPr>
          <w:sz w:val="24"/>
          <w:szCs w:val="24"/>
          <w:lang w:val="en-GB"/>
        </w:rPr>
        <w:t xml:space="preserve">structures </w:t>
      </w:r>
      <w:r w:rsidR="00435A32" w:rsidRPr="00E82E1F">
        <w:rPr>
          <w:sz w:val="24"/>
          <w:szCs w:val="24"/>
          <w:lang w:val="en-GB"/>
        </w:rPr>
        <w:t>were</w:t>
      </w:r>
      <w:r w:rsidR="00AF731A" w:rsidRPr="00E82E1F">
        <w:rPr>
          <w:sz w:val="24"/>
          <w:szCs w:val="24"/>
          <w:lang w:val="en-GB"/>
        </w:rPr>
        <w:t xml:space="preserve"> already diffused long before relevant legal institutions </w:t>
      </w:r>
      <w:r w:rsidR="00435A32" w:rsidRPr="00E82E1F">
        <w:rPr>
          <w:sz w:val="24"/>
          <w:szCs w:val="24"/>
          <w:lang w:val="en-GB"/>
        </w:rPr>
        <w:t xml:space="preserve">were </w:t>
      </w:r>
      <w:r w:rsidR="00AF731A" w:rsidRPr="00E82E1F">
        <w:rPr>
          <w:sz w:val="24"/>
          <w:szCs w:val="24"/>
          <w:lang w:val="en-GB"/>
        </w:rPr>
        <w:t>established (</w:t>
      </w:r>
      <w:proofErr w:type="spellStart"/>
      <w:r w:rsidR="00AF731A" w:rsidRPr="00E82E1F">
        <w:rPr>
          <w:sz w:val="24"/>
          <w:szCs w:val="24"/>
          <w:lang w:val="en-GB"/>
        </w:rPr>
        <w:t>Cheffins</w:t>
      </w:r>
      <w:proofErr w:type="spellEnd"/>
      <w:r w:rsidR="00AF731A" w:rsidRPr="00E82E1F">
        <w:rPr>
          <w:sz w:val="24"/>
          <w:szCs w:val="24"/>
          <w:lang w:val="en-GB"/>
        </w:rPr>
        <w:t>, 2001; Coffee, 2001</w:t>
      </w:r>
      <w:r w:rsidR="00F70E24" w:rsidRPr="00E82E1F">
        <w:rPr>
          <w:sz w:val="24"/>
          <w:szCs w:val="24"/>
          <w:lang w:val="en-GB"/>
        </w:rPr>
        <w:t>; Franks</w:t>
      </w:r>
      <w:r w:rsidR="009E2D6D" w:rsidRPr="00E82E1F">
        <w:rPr>
          <w:sz w:val="24"/>
          <w:szCs w:val="24"/>
          <w:lang w:val="en-GB"/>
        </w:rPr>
        <w:t>, Mayer</w:t>
      </w:r>
      <w:r w:rsidR="00F70E24" w:rsidRPr="00E82E1F">
        <w:rPr>
          <w:sz w:val="24"/>
          <w:szCs w:val="24"/>
          <w:lang w:val="en-GB"/>
        </w:rPr>
        <w:t xml:space="preserve"> </w:t>
      </w:r>
      <w:r w:rsidR="00EE0A03" w:rsidRPr="00E82E1F">
        <w:rPr>
          <w:sz w:val="24"/>
          <w:szCs w:val="24"/>
          <w:lang w:val="en-GB"/>
        </w:rPr>
        <w:t>and</w:t>
      </w:r>
      <w:r w:rsidR="00F70E24" w:rsidRPr="00E82E1F">
        <w:rPr>
          <w:sz w:val="24"/>
          <w:szCs w:val="24"/>
          <w:lang w:val="en-GB"/>
        </w:rPr>
        <w:t xml:space="preserve"> </w:t>
      </w:r>
      <w:bookmarkStart w:id="34" w:name="OLE_LINK34"/>
      <w:bookmarkStart w:id="35" w:name="OLE_LINK44"/>
      <w:r w:rsidR="00F70E24" w:rsidRPr="00E82E1F">
        <w:rPr>
          <w:sz w:val="24"/>
          <w:szCs w:val="24"/>
          <w:lang w:val="en-GB"/>
        </w:rPr>
        <w:t>Rossi</w:t>
      </w:r>
      <w:bookmarkEnd w:id="34"/>
      <w:bookmarkEnd w:id="35"/>
      <w:r w:rsidR="00F70E24" w:rsidRPr="00E82E1F">
        <w:rPr>
          <w:sz w:val="24"/>
          <w:szCs w:val="24"/>
          <w:lang w:val="en-GB"/>
        </w:rPr>
        <w:t>, 2009</w:t>
      </w:r>
      <w:r w:rsidR="00AF731A" w:rsidRPr="00E82E1F">
        <w:rPr>
          <w:sz w:val="24"/>
          <w:szCs w:val="24"/>
          <w:lang w:val="en-GB"/>
        </w:rPr>
        <w:t>).</w:t>
      </w:r>
      <w:r w:rsidR="002B7039">
        <w:rPr>
          <w:rStyle w:val="a6"/>
          <w:sz w:val="24"/>
          <w:szCs w:val="24"/>
          <w:lang w:val="en-GB"/>
        </w:rPr>
        <w:footnoteReference w:id="6"/>
      </w:r>
      <w:r w:rsidR="00F70E24" w:rsidRPr="00E82E1F">
        <w:rPr>
          <w:sz w:val="24"/>
          <w:szCs w:val="24"/>
          <w:lang w:val="en-GB"/>
        </w:rPr>
        <w:t xml:space="preserve"> </w:t>
      </w:r>
      <w:bookmarkStart w:id="36" w:name="OLE_LINK31"/>
      <w:bookmarkStart w:id="37" w:name="OLE_LINK32"/>
      <w:r w:rsidR="00F70E24" w:rsidRPr="00E82E1F">
        <w:rPr>
          <w:sz w:val="24"/>
          <w:szCs w:val="24"/>
          <w:lang w:val="en-GB"/>
        </w:rPr>
        <w:t>On the other hand</w:t>
      </w:r>
      <w:bookmarkEnd w:id="36"/>
      <w:bookmarkEnd w:id="37"/>
      <w:r w:rsidR="00F70E24" w:rsidRPr="00E82E1F">
        <w:rPr>
          <w:sz w:val="24"/>
          <w:szCs w:val="24"/>
          <w:lang w:val="en-GB"/>
        </w:rPr>
        <w:t xml:space="preserve">, </w:t>
      </w:r>
      <w:r w:rsidR="002A09B4" w:rsidRPr="00E82E1F">
        <w:rPr>
          <w:sz w:val="24"/>
          <w:szCs w:val="24"/>
          <w:lang w:val="en-GB"/>
        </w:rPr>
        <w:t>panel data analysis</w:t>
      </w:r>
      <w:r w:rsidR="00F70E24" w:rsidRPr="00E82E1F">
        <w:rPr>
          <w:sz w:val="24"/>
          <w:szCs w:val="24"/>
          <w:lang w:val="en-GB"/>
        </w:rPr>
        <w:t xml:space="preserve"> find</w:t>
      </w:r>
      <w:r w:rsidR="002A09B4" w:rsidRPr="00E82E1F">
        <w:rPr>
          <w:sz w:val="24"/>
          <w:szCs w:val="24"/>
          <w:lang w:val="en-GB"/>
        </w:rPr>
        <w:t>s</w:t>
      </w:r>
      <w:r w:rsidR="00F70E24" w:rsidRPr="00E82E1F">
        <w:rPr>
          <w:sz w:val="24"/>
          <w:szCs w:val="24"/>
          <w:lang w:val="en-GB"/>
        </w:rPr>
        <w:t xml:space="preserve"> no significant correlation between legal institutions and proxies for stock market development (Armour, </w:t>
      </w:r>
      <w:proofErr w:type="spellStart"/>
      <w:r w:rsidR="00F70E24" w:rsidRPr="00E82E1F">
        <w:rPr>
          <w:sz w:val="24"/>
          <w:szCs w:val="24"/>
          <w:lang w:val="en-GB"/>
        </w:rPr>
        <w:t>Deakin</w:t>
      </w:r>
      <w:proofErr w:type="spellEnd"/>
      <w:r w:rsidR="00F70E24" w:rsidRPr="00E82E1F">
        <w:rPr>
          <w:sz w:val="24"/>
          <w:szCs w:val="24"/>
          <w:lang w:val="en-GB"/>
        </w:rPr>
        <w:t xml:space="preserve">, </w:t>
      </w:r>
      <w:proofErr w:type="spellStart"/>
      <w:r w:rsidR="00F70E24" w:rsidRPr="00E82E1F">
        <w:rPr>
          <w:sz w:val="24"/>
          <w:szCs w:val="24"/>
          <w:lang w:val="en-GB"/>
        </w:rPr>
        <w:t>Sarkar</w:t>
      </w:r>
      <w:proofErr w:type="spellEnd"/>
      <w:r w:rsidR="00F70E24" w:rsidRPr="00E82E1F">
        <w:rPr>
          <w:sz w:val="24"/>
          <w:szCs w:val="24"/>
          <w:lang w:val="en-GB"/>
        </w:rPr>
        <w:t xml:space="preserve">, </w:t>
      </w:r>
      <w:proofErr w:type="spellStart"/>
      <w:r w:rsidR="00F70E24" w:rsidRPr="00E82E1F">
        <w:rPr>
          <w:sz w:val="24"/>
          <w:szCs w:val="24"/>
          <w:lang w:val="en-GB"/>
        </w:rPr>
        <w:t>Siems</w:t>
      </w:r>
      <w:proofErr w:type="spellEnd"/>
      <w:r w:rsidR="00F70E24" w:rsidRPr="00E82E1F">
        <w:rPr>
          <w:sz w:val="24"/>
          <w:szCs w:val="24"/>
          <w:lang w:val="en-GB"/>
        </w:rPr>
        <w:t xml:space="preserve"> </w:t>
      </w:r>
      <w:r w:rsidR="00EE0A03" w:rsidRPr="00E82E1F">
        <w:rPr>
          <w:sz w:val="24"/>
          <w:szCs w:val="24"/>
          <w:lang w:val="en-GB"/>
        </w:rPr>
        <w:t>and</w:t>
      </w:r>
      <w:r w:rsidR="00F70E24" w:rsidRPr="00E82E1F">
        <w:rPr>
          <w:sz w:val="24"/>
          <w:szCs w:val="24"/>
          <w:lang w:val="en-GB"/>
        </w:rPr>
        <w:t xml:space="preserve"> Singh, 2009). </w:t>
      </w:r>
      <w:r w:rsidR="0010266B" w:rsidRPr="00E82E1F">
        <w:rPr>
          <w:sz w:val="24"/>
          <w:szCs w:val="24"/>
          <w:lang w:val="en-GB"/>
        </w:rPr>
        <w:t>Countries with</w:t>
      </w:r>
      <w:r w:rsidR="00F70E24" w:rsidRPr="00E82E1F">
        <w:rPr>
          <w:sz w:val="24"/>
          <w:szCs w:val="24"/>
          <w:lang w:val="en-GB"/>
        </w:rPr>
        <w:t xml:space="preserve"> weak shareholder protection, for example</w:t>
      </w:r>
      <w:r w:rsidR="0010266B" w:rsidRPr="00E82E1F">
        <w:rPr>
          <w:sz w:val="24"/>
          <w:szCs w:val="24"/>
          <w:lang w:val="en-GB"/>
        </w:rPr>
        <w:t>,</w:t>
      </w:r>
      <w:r w:rsidR="00F70E24" w:rsidRPr="00E82E1F">
        <w:rPr>
          <w:sz w:val="24"/>
          <w:szCs w:val="24"/>
          <w:lang w:val="en-GB"/>
        </w:rPr>
        <w:t xml:space="preserve"> </w:t>
      </w:r>
      <w:r w:rsidR="00C93E3E" w:rsidRPr="00E82E1F">
        <w:rPr>
          <w:sz w:val="24"/>
          <w:szCs w:val="24"/>
          <w:lang w:val="en-GB"/>
        </w:rPr>
        <w:t xml:space="preserve">those </w:t>
      </w:r>
      <w:r w:rsidR="00F70E24" w:rsidRPr="00E82E1F">
        <w:rPr>
          <w:sz w:val="24"/>
          <w:szCs w:val="24"/>
          <w:lang w:val="en-GB"/>
        </w:rPr>
        <w:t xml:space="preserve">with French legal origins, </w:t>
      </w:r>
      <w:r w:rsidR="0010266B" w:rsidRPr="00E82E1F">
        <w:rPr>
          <w:sz w:val="24"/>
          <w:szCs w:val="24"/>
          <w:lang w:val="en-GB"/>
        </w:rPr>
        <w:t xml:space="preserve">have in recent years been </w:t>
      </w:r>
      <w:r w:rsidR="00F70E24" w:rsidRPr="00E82E1F">
        <w:rPr>
          <w:sz w:val="24"/>
          <w:szCs w:val="24"/>
          <w:lang w:val="en-GB"/>
        </w:rPr>
        <w:t xml:space="preserve">found to converge </w:t>
      </w:r>
      <w:r w:rsidR="009F0202" w:rsidRPr="00E82E1F">
        <w:rPr>
          <w:sz w:val="24"/>
          <w:szCs w:val="24"/>
          <w:lang w:val="en-GB"/>
        </w:rPr>
        <w:t>with</w:t>
      </w:r>
      <w:r w:rsidR="00F70E24" w:rsidRPr="00E82E1F">
        <w:rPr>
          <w:sz w:val="24"/>
          <w:szCs w:val="24"/>
          <w:lang w:val="en-GB"/>
        </w:rPr>
        <w:t xml:space="preserve"> the best practices</w:t>
      </w:r>
      <w:r w:rsidR="0010266B" w:rsidRPr="00E82E1F">
        <w:rPr>
          <w:sz w:val="24"/>
          <w:szCs w:val="24"/>
          <w:lang w:val="en-GB"/>
        </w:rPr>
        <w:t xml:space="preserve"> </w:t>
      </w:r>
      <w:r w:rsidR="00435A32" w:rsidRPr="00E82E1F">
        <w:rPr>
          <w:sz w:val="24"/>
          <w:szCs w:val="24"/>
          <w:lang w:val="en-GB"/>
        </w:rPr>
        <w:t xml:space="preserve">in </w:t>
      </w:r>
      <w:r w:rsidR="00435A32" w:rsidRPr="00E82E1F">
        <w:rPr>
          <w:i/>
          <w:sz w:val="24"/>
          <w:szCs w:val="24"/>
          <w:lang w:val="en-GB"/>
        </w:rPr>
        <w:t>de jure</w:t>
      </w:r>
      <w:r w:rsidR="00435A32" w:rsidRPr="00E82E1F">
        <w:rPr>
          <w:sz w:val="24"/>
          <w:szCs w:val="24"/>
          <w:lang w:val="en-GB"/>
        </w:rPr>
        <w:t xml:space="preserve"> corporate governance institutions </w:t>
      </w:r>
      <w:r w:rsidR="00F70E24" w:rsidRPr="00E82E1F">
        <w:rPr>
          <w:sz w:val="24"/>
          <w:szCs w:val="24"/>
          <w:lang w:val="en-GB"/>
        </w:rPr>
        <w:t>(</w:t>
      </w:r>
      <w:bookmarkStart w:id="38" w:name="OLE_LINK2"/>
      <w:bookmarkStart w:id="39" w:name="OLE_LINK33"/>
      <w:proofErr w:type="spellStart"/>
      <w:r w:rsidR="00F70E24" w:rsidRPr="00E82E1F">
        <w:rPr>
          <w:sz w:val="24"/>
          <w:szCs w:val="24"/>
          <w:lang w:val="en-GB"/>
        </w:rPr>
        <w:t>Martynova</w:t>
      </w:r>
      <w:bookmarkEnd w:id="38"/>
      <w:bookmarkEnd w:id="39"/>
      <w:proofErr w:type="spellEnd"/>
      <w:r w:rsidR="00F70E24" w:rsidRPr="00E82E1F">
        <w:rPr>
          <w:sz w:val="24"/>
          <w:szCs w:val="24"/>
          <w:lang w:val="en-GB"/>
        </w:rPr>
        <w:t xml:space="preserve"> </w:t>
      </w:r>
      <w:r w:rsidR="00EE0A03" w:rsidRPr="00E82E1F">
        <w:rPr>
          <w:sz w:val="24"/>
          <w:szCs w:val="24"/>
          <w:lang w:val="en-GB"/>
        </w:rPr>
        <w:t>and</w:t>
      </w:r>
      <w:r w:rsidR="00F70E24" w:rsidRPr="00E82E1F">
        <w:rPr>
          <w:sz w:val="24"/>
          <w:szCs w:val="24"/>
          <w:lang w:val="en-GB"/>
        </w:rPr>
        <w:t xml:space="preserve"> </w:t>
      </w:r>
      <w:proofErr w:type="spellStart"/>
      <w:r w:rsidR="00F70E24" w:rsidRPr="00E82E1F">
        <w:rPr>
          <w:sz w:val="24"/>
          <w:szCs w:val="24"/>
          <w:lang w:val="en-GB"/>
        </w:rPr>
        <w:t>Renneboog</w:t>
      </w:r>
      <w:proofErr w:type="spellEnd"/>
      <w:r w:rsidR="00F70E24" w:rsidRPr="00E82E1F">
        <w:rPr>
          <w:sz w:val="24"/>
          <w:szCs w:val="24"/>
          <w:lang w:val="en-GB"/>
        </w:rPr>
        <w:t xml:space="preserve">, 2011). </w:t>
      </w:r>
    </w:p>
    <w:p w:rsidR="00620232" w:rsidRPr="00E82E1F" w:rsidRDefault="00103AC4" w:rsidP="005C1F7A">
      <w:pPr>
        <w:spacing w:beforeLines="100"/>
        <w:mirrorIndents/>
        <w:rPr>
          <w:sz w:val="24"/>
          <w:szCs w:val="24"/>
          <w:lang w:val="en-GB"/>
        </w:rPr>
      </w:pPr>
      <w:r w:rsidRPr="00E82E1F">
        <w:rPr>
          <w:sz w:val="24"/>
          <w:szCs w:val="24"/>
          <w:lang w:val="en-GB"/>
        </w:rPr>
        <w:t xml:space="preserve">This paper looks into the law and finance literature with a Bayesian perspective and examines </w:t>
      </w:r>
      <w:r w:rsidR="009B1D74" w:rsidRPr="00E82E1F">
        <w:rPr>
          <w:sz w:val="24"/>
          <w:szCs w:val="24"/>
          <w:lang w:val="en-GB"/>
        </w:rPr>
        <w:t>systemically</w:t>
      </w:r>
      <w:r w:rsidR="00A96287" w:rsidRPr="00E82E1F">
        <w:rPr>
          <w:sz w:val="24"/>
          <w:szCs w:val="24"/>
          <w:lang w:val="en-GB"/>
        </w:rPr>
        <w:t xml:space="preserve"> the </w:t>
      </w:r>
      <w:r w:rsidR="00E31B9B" w:rsidRPr="00E82E1F">
        <w:rPr>
          <w:sz w:val="24"/>
          <w:szCs w:val="24"/>
          <w:lang w:val="en-GB"/>
        </w:rPr>
        <w:t xml:space="preserve">robustness of the </w:t>
      </w:r>
      <w:r w:rsidR="00657F82" w:rsidRPr="00E82E1F">
        <w:rPr>
          <w:sz w:val="24"/>
          <w:szCs w:val="24"/>
          <w:lang w:val="en-GB"/>
        </w:rPr>
        <w:t xml:space="preserve">empirical </w:t>
      </w:r>
      <w:r w:rsidR="00E31B9B" w:rsidRPr="00E82E1F">
        <w:rPr>
          <w:sz w:val="24"/>
          <w:szCs w:val="24"/>
          <w:lang w:val="en-GB"/>
        </w:rPr>
        <w:t>concl</w:t>
      </w:r>
      <w:r w:rsidR="00657F82" w:rsidRPr="00E82E1F">
        <w:rPr>
          <w:sz w:val="24"/>
          <w:szCs w:val="24"/>
          <w:lang w:val="en-GB"/>
        </w:rPr>
        <w:t>usion that law matters</w:t>
      </w:r>
      <w:r w:rsidR="00DD75B6" w:rsidRPr="00E82E1F">
        <w:rPr>
          <w:sz w:val="24"/>
          <w:szCs w:val="24"/>
          <w:lang w:val="en-GB"/>
        </w:rPr>
        <w:t xml:space="preserve"> using </w:t>
      </w:r>
      <w:r w:rsidR="0010266B" w:rsidRPr="00E82E1F">
        <w:rPr>
          <w:sz w:val="24"/>
          <w:szCs w:val="24"/>
          <w:lang w:val="en-GB"/>
        </w:rPr>
        <w:t xml:space="preserve">a </w:t>
      </w:r>
      <w:r w:rsidR="00DD75B6" w:rsidRPr="00E82E1F">
        <w:rPr>
          <w:sz w:val="24"/>
          <w:szCs w:val="24"/>
          <w:lang w:val="en-GB"/>
        </w:rPr>
        <w:t xml:space="preserve">Bayesian </w:t>
      </w:r>
      <w:r w:rsidR="0010266B" w:rsidRPr="00E82E1F">
        <w:rPr>
          <w:sz w:val="24"/>
          <w:szCs w:val="24"/>
          <w:lang w:val="en-GB"/>
        </w:rPr>
        <w:t xml:space="preserve">model averaging </w:t>
      </w:r>
      <w:r w:rsidR="00DD75B6" w:rsidRPr="00E82E1F">
        <w:rPr>
          <w:sz w:val="24"/>
          <w:szCs w:val="24"/>
          <w:lang w:val="en-GB"/>
        </w:rPr>
        <w:t>(BMA) algorithm</w:t>
      </w:r>
      <w:r w:rsidR="004F79B5" w:rsidRPr="00E82E1F">
        <w:rPr>
          <w:sz w:val="24"/>
          <w:szCs w:val="24"/>
          <w:lang w:val="en-GB"/>
        </w:rPr>
        <w:t xml:space="preserve">, which </w:t>
      </w:r>
      <w:r w:rsidR="00386D0E" w:rsidRPr="00E82E1F">
        <w:rPr>
          <w:sz w:val="24"/>
          <w:szCs w:val="24"/>
          <w:lang w:val="en-GB"/>
        </w:rPr>
        <w:t xml:space="preserve">mitigates the omitted variable bias. In addition, </w:t>
      </w:r>
      <w:r w:rsidR="003C0D7D" w:rsidRPr="00E82E1F">
        <w:rPr>
          <w:sz w:val="24"/>
          <w:szCs w:val="24"/>
          <w:lang w:val="en-GB"/>
        </w:rPr>
        <w:t xml:space="preserve">the home-country bias in specifying the empirical model discussed in </w:t>
      </w:r>
      <w:proofErr w:type="spellStart"/>
      <w:r w:rsidR="003C0D7D" w:rsidRPr="00E82E1F">
        <w:rPr>
          <w:sz w:val="24"/>
          <w:szCs w:val="24"/>
          <w:lang w:val="en-GB"/>
        </w:rPr>
        <w:t>Bebchuk</w:t>
      </w:r>
      <w:proofErr w:type="spellEnd"/>
      <w:r w:rsidR="003C0D7D" w:rsidRPr="00E82E1F">
        <w:rPr>
          <w:sz w:val="24"/>
          <w:szCs w:val="24"/>
          <w:lang w:val="en-GB"/>
        </w:rPr>
        <w:t xml:space="preserve"> and </w:t>
      </w:r>
      <w:proofErr w:type="spellStart"/>
      <w:r w:rsidR="003C0D7D" w:rsidRPr="00E82E1F">
        <w:rPr>
          <w:sz w:val="24"/>
          <w:szCs w:val="24"/>
          <w:lang w:val="en-GB"/>
        </w:rPr>
        <w:t>Hamdani</w:t>
      </w:r>
      <w:proofErr w:type="spellEnd"/>
      <w:r w:rsidR="003C0D7D" w:rsidRPr="00E82E1F">
        <w:rPr>
          <w:sz w:val="24"/>
          <w:szCs w:val="24"/>
          <w:lang w:val="en-GB"/>
        </w:rPr>
        <w:t xml:space="preserve"> (2009) is </w:t>
      </w:r>
      <w:r w:rsidR="00DA52BE" w:rsidRPr="00E82E1F">
        <w:rPr>
          <w:sz w:val="24"/>
          <w:szCs w:val="24"/>
          <w:lang w:val="en-GB"/>
        </w:rPr>
        <w:t>corrected</w:t>
      </w:r>
      <w:r w:rsidR="009D1E04" w:rsidRPr="00E82E1F">
        <w:rPr>
          <w:sz w:val="24"/>
          <w:szCs w:val="24"/>
          <w:lang w:val="en-GB"/>
        </w:rPr>
        <w:t xml:space="preserve"> in this paper</w:t>
      </w:r>
      <w:r w:rsidR="003C0D7D" w:rsidRPr="00E82E1F">
        <w:rPr>
          <w:sz w:val="24"/>
          <w:szCs w:val="24"/>
          <w:lang w:val="en-GB"/>
        </w:rPr>
        <w:t xml:space="preserve">. </w:t>
      </w:r>
      <w:r w:rsidR="009B1D74" w:rsidRPr="00E82E1F">
        <w:rPr>
          <w:sz w:val="24"/>
          <w:szCs w:val="24"/>
          <w:lang w:val="en-GB"/>
        </w:rPr>
        <w:t>The proxies for curbing the agency costs between shareholders and professional managers and between minority and controlling shareholders are included separately in the model</w:t>
      </w:r>
      <w:r w:rsidR="00DA52BE" w:rsidRPr="00E82E1F">
        <w:rPr>
          <w:sz w:val="24"/>
          <w:szCs w:val="24"/>
          <w:lang w:val="en-GB"/>
        </w:rPr>
        <w:t xml:space="preserve">. However, we must admit that </w:t>
      </w:r>
      <w:r w:rsidR="00386D0E" w:rsidRPr="00E82E1F">
        <w:rPr>
          <w:sz w:val="24"/>
          <w:szCs w:val="24"/>
          <w:lang w:val="en-GB"/>
        </w:rPr>
        <w:t xml:space="preserve">the </w:t>
      </w:r>
      <w:r w:rsidR="00DA52BE" w:rsidRPr="00E82E1F">
        <w:rPr>
          <w:sz w:val="24"/>
          <w:szCs w:val="24"/>
          <w:lang w:val="en-GB"/>
        </w:rPr>
        <w:t xml:space="preserve">Bayesian algorithm is not </w:t>
      </w:r>
      <w:r w:rsidR="00386D0E" w:rsidRPr="00E82E1F">
        <w:rPr>
          <w:sz w:val="24"/>
          <w:szCs w:val="24"/>
          <w:lang w:val="en-GB"/>
        </w:rPr>
        <w:t xml:space="preserve">a </w:t>
      </w:r>
      <w:r w:rsidR="00DA52BE" w:rsidRPr="00E82E1F">
        <w:rPr>
          <w:sz w:val="24"/>
          <w:szCs w:val="24"/>
          <w:lang w:val="en-GB"/>
        </w:rPr>
        <w:t>panacea</w:t>
      </w:r>
      <w:r w:rsidR="004F79B5" w:rsidRPr="00E82E1F">
        <w:rPr>
          <w:sz w:val="24"/>
          <w:szCs w:val="24"/>
          <w:lang w:val="en-GB"/>
        </w:rPr>
        <w:t xml:space="preserve">. It </w:t>
      </w:r>
      <w:r w:rsidR="00386D0E" w:rsidRPr="00E82E1F">
        <w:rPr>
          <w:sz w:val="24"/>
          <w:szCs w:val="24"/>
          <w:lang w:val="en-GB"/>
        </w:rPr>
        <w:t>fails to</w:t>
      </w:r>
      <w:r w:rsidR="007837D6" w:rsidRPr="00E82E1F">
        <w:rPr>
          <w:sz w:val="24"/>
          <w:szCs w:val="24"/>
          <w:lang w:val="en-GB"/>
        </w:rPr>
        <w:t xml:space="preserve"> address </w:t>
      </w:r>
      <w:r w:rsidR="00DA52BE" w:rsidRPr="00E82E1F">
        <w:rPr>
          <w:sz w:val="24"/>
          <w:szCs w:val="24"/>
          <w:lang w:val="en-GB"/>
        </w:rPr>
        <w:t xml:space="preserve">the problem of </w:t>
      </w:r>
      <w:proofErr w:type="spellStart"/>
      <w:r w:rsidR="00DA52BE" w:rsidRPr="00E82E1F">
        <w:rPr>
          <w:sz w:val="24"/>
          <w:szCs w:val="24"/>
          <w:lang w:val="en-GB"/>
        </w:rPr>
        <w:t>endogeneity</w:t>
      </w:r>
      <w:proofErr w:type="spellEnd"/>
      <w:r w:rsidR="00DA52BE" w:rsidRPr="00E82E1F">
        <w:rPr>
          <w:sz w:val="24"/>
          <w:szCs w:val="24"/>
          <w:lang w:val="en-GB"/>
        </w:rPr>
        <w:t>.</w:t>
      </w:r>
      <w:r w:rsidR="002B7039">
        <w:rPr>
          <w:rStyle w:val="a6"/>
          <w:sz w:val="24"/>
          <w:szCs w:val="24"/>
          <w:lang w:val="en-GB"/>
        </w:rPr>
        <w:footnoteReference w:id="7"/>
      </w:r>
    </w:p>
    <w:p w:rsidR="00C53139" w:rsidRPr="00E82E1F" w:rsidRDefault="00620232" w:rsidP="005C1F7A">
      <w:pPr>
        <w:spacing w:beforeLines="100"/>
        <w:mirrorIndents/>
        <w:rPr>
          <w:sz w:val="24"/>
          <w:szCs w:val="24"/>
          <w:lang w:val="en-GB"/>
        </w:rPr>
      </w:pPr>
      <w:r w:rsidRPr="00E82E1F">
        <w:rPr>
          <w:sz w:val="24"/>
          <w:szCs w:val="24"/>
          <w:lang w:val="en-GB"/>
        </w:rPr>
        <w:t xml:space="preserve">Because the law and finance theories fail to provide sufficient guidance </w:t>
      </w:r>
      <w:r w:rsidR="00D60BA5" w:rsidRPr="00E82E1F">
        <w:rPr>
          <w:sz w:val="24"/>
          <w:szCs w:val="24"/>
          <w:lang w:val="en-GB"/>
        </w:rPr>
        <w:t>for</w:t>
      </w:r>
      <w:r w:rsidRPr="00E82E1F">
        <w:rPr>
          <w:sz w:val="24"/>
          <w:szCs w:val="24"/>
          <w:lang w:val="en-GB"/>
        </w:rPr>
        <w:t xml:space="preserve"> specify</w:t>
      </w:r>
      <w:r w:rsidR="004D54D8" w:rsidRPr="00E82E1F">
        <w:rPr>
          <w:sz w:val="24"/>
          <w:szCs w:val="24"/>
          <w:lang w:val="en-GB"/>
        </w:rPr>
        <w:t>ing</w:t>
      </w:r>
      <w:r w:rsidRPr="00E82E1F">
        <w:rPr>
          <w:sz w:val="24"/>
          <w:szCs w:val="24"/>
          <w:lang w:val="en-GB"/>
        </w:rPr>
        <w:t xml:space="preserve"> the structural model, </w:t>
      </w:r>
      <w:r w:rsidR="007C188C" w:rsidRPr="00E82E1F">
        <w:rPr>
          <w:sz w:val="24"/>
          <w:szCs w:val="24"/>
          <w:lang w:val="en-GB"/>
        </w:rPr>
        <w:t>t</w:t>
      </w:r>
      <w:r w:rsidR="001F6D5A" w:rsidRPr="00E82E1F">
        <w:rPr>
          <w:sz w:val="24"/>
          <w:szCs w:val="24"/>
          <w:lang w:val="en-GB"/>
        </w:rPr>
        <w:t xml:space="preserve">he model uncertainty problem, </w:t>
      </w:r>
      <w:r w:rsidR="00B9398F" w:rsidRPr="00E82E1F">
        <w:rPr>
          <w:i/>
          <w:sz w:val="24"/>
          <w:szCs w:val="24"/>
          <w:lang w:val="en-GB"/>
        </w:rPr>
        <w:t xml:space="preserve">i.e., </w:t>
      </w:r>
      <w:r w:rsidR="001F6D5A" w:rsidRPr="00E82E1F">
        <w:rPr>
          <w:sz w:val="24"/>
          <w:szCs w:val="24"/>
          <w:lang w:val="en-GB"/>
        </w:rPr>
        <w:t xml:space="preserve">which </w:t>
      </w:r>
      <w:proofErr w:type="spellStart"/>
      <w:r w:rsidR="000F7E51" w:rsidRPr="00E82E1F">
        <w:rPr>
          <w:sz w:val="24"/>
          <w:szCs w:val="24"/>
          <w:lang w:val="en-GB"/>
        </w:rPr>
        <w:t>regressor</w:t>
      </w:r>
      <w:r w:rsidR="001F6D5A" w:rsidRPr="00E82E1F">
        <w:rPr>
          <w:sz w:val="24"/>
          <w:szCs w:val="24"/>
          <w:lang w:val="en-GB"/>
        </w:rPr>
        <w:t>s</w:t>
      </w:r>
      <w:proofErr w:type="spellEnd"/>
      <w:r w:rsidR="001F6D5A" w:rsidRPr="00E82E1F">
        <w:rPr>
          <w:sz w:val="24"/>
          <w:szCs w:val="24"/>
          <w:lang w:val="en-GB"/>
        </w:rPr>
        <w:t xml:space="preserve"> should be </w:t>
      </w:r>
      <w:r w:rsidR="001F6D5A" w:rsidRPr="00E82E1F">
        <w:rPr>
          <w:sz w:val="24"/>
          <w:szCs w:val="24"/>
          <w:lang w:val="en-GB"/>
        </w:rPr>
        <w:lastRenderedPageBreak/>
        <w:t xml:space="preserve">included in the model specification, </w:t>
      </w:r>
      <w:r w:rsidR="007C188C" w:rsidRPr="00E82E1F">
        <w:rPr>
          <w:sz w:val="24"/>
          <w:szCs w:val="24"/>
          <w:lang w:val="en-GB"/>
        </w:rPr>
        <w:t xml:space="preserve">needs to be </w:t>
      </w:r>
      <w:r w:rsidR="00D60BA5" w:rsidRPr="00E82E1F">
        <w:rPr>
          <w:sz w:val="24"/>
          <w:szCs w:val="24"/>
          <w:lang w:val="en-GB"/>
        </w:rPr>
        <w:t>addressed</w:t>
      </w:r>
      <w:r w:rsidR="001F6D5A" w:rsidRPr="00E82E1F">
        <w:rPr>
          <w:sz w:val="24"/>
          <w:szCs w:val="24"/>
          <w:lang w:val="en-GB"/>
        </w:rPr>
        <w:t xml:space="preserve">. </w:t>
      </w:r>
      <w:r w:rsidR="00657F82" w:rsidRPr="00E82E1F">
        <w:rPr>
          <w:sz w:val="24"/>
          <w:szCs w:val="24"/>
          <w:lang w:val="en-GB"/>
        </w:rPr>
        <w:t xml:space="preserve">To illustrate the </w:t>
      </w:r>
      <w:r w:rsidR="00841465" w:rsidRPr="00E82E1F">
        <w:rPr>
          <w:sz w:val="24"/>
          <w:szCs w:val="24"/>
          <w:lang w:val="en-GB"/>
        </w:rPr>
        <w:t>issue</w:t>
      </w:r>
      <w:r w:rsidR="00657F82" w:rsidRPr="00E82E1F">
        <w:rPr>
          <w:sz w:val="24"/>
          <w:szCs w:val="24"/>
          <w:lang w:val="en-GB"/>
        </w:rPr>
        <w:t>, a generic representation of the linear cross-country stock market development regression is given as follows:</w:t>
      </w:r>
    </w:p>
    <w:p w:rsidR="00657F82" w:rsidRDefault="00657F82" w:rsidP="005C1F7A">
      <w:pPr>
        <w:spacing w:beforeLines="100"/>
        <w:mirrorIndents/>
        <w:rPr>
          <w:sz w:val="24"/>
          <w:szCs w:val="24"/>
          <w:lang w:val="en-GB"/>
        </w:rPr>
      </w:pPr>
      <w:r w:rsidRPr="00E82E1F">
        <w:rPr>
          <w:i/>
          <w:sz w:val="24"/>
          <w:szCs w:val="24"/>
          <w:lang w:val="en-GB"/>
        </w:rPr>
        <w:t>y=</w:t>
      </w:r>
      <w:proofErr w:type="spellStart"/>
      <w:r w:rsidRPr="00E82E1F">
        <w:rPr>
          <w:i/>
          <w:sz w:val="24"/>
          <w:szCs w:val="24"/>
          <w:lang w:val="en-GB"/>
        </w:rPr>
        <w:t>α+Xβ+ε</w:t>
      </w:r>
      <w:proofErr w:type="spellEnd"/>
      <w:r w:rsidRPr="00E82E1F">
        <w:rPr>
          <w:i/>
          <w:sz w:val="24"/>
          <w:szCs w:val="24"/>
          <w:lang w:val="en-GB"/>
        </w:rPr>
        <w:t>=α+X</w:t>
      </w:r>
      <w:r w:rsidRPr="00E82E1F">
        <w:rPr>
          <w:i/>
          <w:sz w:val="24"/>
          <w:szCs w:val="24"/>
          <w:vertAlign w:val="subscript"/>
          <w:lang w:val="en-GB"/>
        </w:rPr>
        <w:t>1</w:t>
      </w:r>
      <w:r w:rsidRPr="00E82E1F">
        <w:rPr>
          <w:i/>
          <w:sz w:val="24"/>
          <w:szCs w:val="24"/>
          <w:lang w:val="en-GB"/>
        </w:rPr>
        <w:t>β</w:t>
      </w:r>
      <w:r w:rsidRPr="00E82E1F">
        <w:rPr>
          <w:i/>
          <w:sz w:val="24"/>
          <w:szCs w:val="24"/>
          <w:vertAlign w:val="subscript"/>
          <w:lang w:val="en-GB"/>
        </w:rPr>
        <w:t>1</w:t>
      </w:r>
      <w:r w:rsidRPr="00E82E1F">
        <w:rPr>
          <w:i/>
          <w:sz w:val="24"/>
          <w:szCs w:val="24"/>
          <w:lang w:val="en-GB"/>
        </w:rPr>
        <w:t>+X</w:t>
      </w:r>
      <w:r w:rsidRPr="00E82E1F">
        <w:rPr>
          <w:i/>
          <w:sz w:val="24"/>
          <w:szCs w:val="24"/>
          <w:vertAlign w:val="subscript"/>
          <w:lang w:val="en-GB"/>
        </w:rPr>
        <w:t>2</w:t>
      </w:r>
      <w:r w:rsidRPr="00E82E1F">
        <w:rPr>
          <w:i/>
          <w:sz w:val="24"/>
          <w:szCs w:val="24"/>
          <w:lang w:val="en-GB"/>
        </w:rPr>
        <w:t>β</w:t>
      </w:r>
      <w:r w:rsidRPr="00E82E1F">
        <w:rPr>
          <w:i/>
          <w:sz w:val="24"/>
          <w:szCs w:val="24"/>
          <w:vertAlign w:val="subscript"/>
          <w:lang w:val="en-GB"/>
        </w:rPr>
        <w:t>2</w:t>
      </w:r>
      <w:r w:rsidRPr="00E82E1F">
        <w:rPr>
          <w:i/>
          <w:sz w:val="24"/>
          <w:szCs w:val="24"/>
          <w:lang w:val="en-GB"/>
        </w:rPr>
        <w:t xml:space="preserve">+ε </w:t>
      </w:r>
      <w:r w:rsidRPr="00E82E1F">
        <w:rPr>
          <w:sz w:val="24"/>
          <w:szCs w:val="24"/>
          <w:lang w:val="en-GB"/>
        </w:rPr>
        <w:t xml:space="preserve">                                          (1)</w:t>
      </w:r>
    </w:p>
    <w:p w:rsidR="00E0706B" w:rsidRPr="00E82E1F" w:rsidRDefault="00435A32" w:rsidP="005C1F7A">
      <w:pPr>
        <w:spacing w:beforeLines="100"/>
        <w:mirrorIndents/>
        <w:rPr>
          <w:sz w:val="24"/>
          <w:szCs w:val="24"/>
          <w:lang w:val="en-GB"/>
        </w:rPr>
      </w:pPr>
      <w:proofErr w:type="gramStart"/>
      <w:r w:rsidRPr="00E82E1F">
        <w:rPr>
          <w:sz w:val="24"/>
          <w:szCs w:val="24"/>
          <w:lang w:val="en-GB"/>
        </w:rPr>
        <w:t>where</w:t>
      </w:r>
      <w:proofErr w:type="gramEnd"/>
      <w:r w:rsidRPr="00E82E1F">
        <w:rPr>
          <w:sz w:val="24"/>
          <w:szCs w:val="24"/>
          <w:lang w:val="en-GB"/>
        </w:rPr>
        <w:t xml:space="preserve"> </w:t>
      </w:r>
      <w:r w:rsidR="00657F82" w:rsidRPr="00E82E1F">
        <w:rPr>
          <w:i/>
          <w:sz w:val="24"/>
          <w:szCs w:val="24"/>
          <w:lang w:val="en-GB"/>
        </w:rPr>
        <w:t>y</w:t>
      </w:r>
      <w:r w:rsidR="00657F82" w:rsidRPr="00E82E1F">
        <w:rPr>
          <w:sz w:val="24"/>
          <w:szCs w:val="24"/>
          <w:lang w:val="en-GB"/>
        </w:rPr>
        <w:t xml:space="preserve"> is a vector of the proxies for stock market development and </w:t>
      </w:r>
      <w:r w:rsidR="00657F82" w:rsidRPr="00E82E1F">
        <w:rPr>
          <w:i/>
          <w:sz w:val="24"/>
          <w:szCs w:val="24"/>
          <w:lang w:val="en-GB"/>
        </w:rPr>
        <w:t xml:space="preserve">α </w:t>
      </w:r>
      <w:r w:rsidR="00657F82" w:rsidRPr="00E82E1F">
        <w:rPr>
          <w:sz w:val="24"/>
          <w:szCs w:val="24"/>
          <w:lang w:val="en-GB"/>
        </w:rPr>
        <w:t xml:space="preserve">is a vector of intercepts. </w:t>
      </w:r>
      <w:r w:rsidR="00657F82" w:rsidRPr="00E82E1F">
        <w:rPr>
          <w:i/>
          <w:sz w:val="24"/>
          <w:szCs w:val="24"/>
          <w:lang w:val="en-GB"/>
        </w:rPr>
        <w:t>X</w:t>
      </w:r>
      <w:r w:rsidR="00657F82" w:rsidRPr="00E82E1F">
        <w:rPr>
          <w:sz w:val="24"/>
          <w:szCs w:val="24"/>
          <w:lang w:val="en-GB"/>
        </w:rPr>
        <w:t xml:space="preserve"> is a set of </w:t>
      </w:r>
      <w:r w:rsidR="004C4138" w:rsidRPr="00E82E1F">
        <w:rPr>
          <w:sz w:val="24"/>
          <w:szCs w:val="24"/>
          <w:lang w:val="en-GB"/>
        </w:rPr>
        <w:t>determinants</w:t>
      </w:r>
      <w:r w:rsidR="00A918CB" w:rsidRPr="00E82E1F">
        <w:rPr>
          <w:sz w:val="24"/>
          <w:szCs w:val="24"/>
          <w:lang w:val="en-GB"/>
        </w:rPr>
        <w:t xml:space="preserve"> that</w:t>
      </w:r>
      <w:r w:rsidR="00657F82" w:rsidRPr="00E82E1F">
        <w:rPr>
          <w:sz w:val="24"/>
          <w:szCs w:val="24"/>
          <w:lang w:val="en-GB"/>
        </w:rPr>
        <w:t xml:space="preserve"> theoretically </w:t>
      </w:r>
      <w:r w:rsidR="009D0297" w:rsidRPr="00E82E1F">
        <w:rPr>
          <w:sz w:val="24"/>
          <w:szCs w:val="24"/>
          <w:lang w:val="en-GB"/>
        </w:rPr>
        <w:t>correlate with the</w:t>
      </w:r>
      <w:r w:rsidR="00657F82" w:rsidRPr="00E82E1F">
        <w:rPr>
          <w:sz w:val="24"/>
          <w:szCs w:val="24"/>
          <w:lang w:val="en-GB"/>
        </w:rPr>
        <w:t xml:space="preserve"> stock market development, which </w:t>
      </w:r>
      <w:r w:rsidR="00A918CB" w:rsidRPr="00E82E1F">
        <w:rPr>
          <w:sz w:val="24"/>
          <w:szCs w:val="24"/>
          <w:lang w:val="en-GB"/>
        </w:rPr>
        <w:t xml:space="preserve">typically </w:t>
      </w:r>
      <w:r w:rsidR="00657F82" w:rsidRPr="00E82E1F">
        <w:rPr>
          <w:sz w:val="24"/>
          <w:szCs w:val="24"/>
          <w:lang w:val="en-GB"/>
        </w:rPr>
        <w:t>comprises two parts, the free variable</w:t>
      </w:r>
      <w:r w:rsidR="00657F82" w:rsidRPr="00E82E1F">
        <w:rPr>
          <w:i/>
          <w:sz w:val="24"/>
          <w:szCs w:val="24"/>
          <w:lang w:val="en-GB"/>
        </w:rPr>
        <w:t xml:space="preserve"> X</w:t>
      </w:r>
      <w:r w:rsidR="00657F82" w:rsidRPr="00E82E1F">
        <w:rPr>
          <w:i/>
          <w:sz w:val="24"/>
          <w:szCs w:val="24"/>
          <w:vertAlign w:val="subscript"/>
          <w:lang w:val="en-GB"/>
        </w:rPr>
        <w:t>1</w:t>
      </w:r>
      <w:r w:rsidR="00657F82" w:rsidRPr="00E82E1F">
        <w:rPr>
          <w:sz w:val="24"/>
          <w:szCs w:val="24"/>
          <w:lang w:val="en-GB"/>
        </w:rPr>
        <w:t xml:space="preserve"> and the doubtful variable </w:t>
      </w:r>
      <w:r w:rsidR="00657F82" w:rsidRPr="00E82E1F">
        <w:rPr>
          <w:i/>
          <w:sz w:val="24"/>
          <w:szCs w:val="24"/>
          <w:lang w:val="en-GB"/>
        </w:rPr>
        <w:t>X</w:t>
      </w:r>
      <w:r w:rsidR="00657F82" w:rsidRPr="00E82E1F">
        <w:rPr>
          <w:i/>
          <w:sz w:val="24"/>
          <w:szCs w:val="24"/>
          <w:vertAlign w:val="subscript"/>
          <w:lang w:val="en-GB"/>
        </w:rPr>
        <w:t>2</w:t>
      </w:r>
      <w:r w:rsidR="00657F82" w:rsidRPr="00E82E1F">
        <w:rPr>
          <w:sz w:val="24"/>
          <w:szCs w:val="24"/>
          <w:lang w:val="en-GB"/>
        </w:rPr>
        <w:t xml:space="preserve">, where </w:t>
      </w:r>
      <w:bookmarkStart w:id="42" w:name="OLE_LINK46"/>
      <w:bookmarkStart w:id="43" w:name="OLE_LINK47"/>
      <w:r w:rsidR="00657F82" w:rsidRPr="00E82E1F">
        <w:rPr>
          <w:sz w:val="24"/>
          <w:szCs w:val="24"/>
          <w:lang w:val="en-GB"/>
        </w:rPr>
        <w:t>model uncertainty</w:t>
      </w:r>
      <w:bookmarkEnd w:id="42"/>
      <w:bookmarkEnd w:id="43"/>
      <w:r w:rsidR="00657F82" w:rsidRPr="00E82E1F">
        <w:rPr>
          <w:sz w:val="24"/>
          <w:szCs w:val="24"/>
          <w:lang w:val="en-GB"/>
        </w:rPr>
        <w:t xml:space="preserve"> arises.</w:t>
      </w:r>
      <w:r w:rsidR="002B7039">
        <w:rPr>
          <w:rStyle w:val="a6"/>
          <w:sz w:val="24"/>
          <w:szCs w:val="24"/>
          <w:lang w:val="en-GB"/>
        </w:rPr>
        <w:footnoteReference w:id="8"/>
      </w:r>
    </w:p>
    <w:p w:rsidR="00745CFA" w:rsidRPr="00E82E1F" w:rsidRDefault="00745CFA" w:rsidP="005C1F7A">
      <w:pPr>
        <w:spacing w:beforeLines="100"/>
        <w:mirrorIndents/>
        <w:rPr>
          <w:sz w:val="24"/>
          <w:szCs w:val="24"/>
          <w:lang w:val="en-GB"/>
        </w:rPr>
      </w:pPr>
      <w:r w:rsidRPr="00E82E1F">
        <w:rPr>
          <w:sz w:val="24"/>
          <w:szCs w:val="24"/>
          <w:lang w:val="en-GB"/>
        </w:rPr>
        <w:t xml:space="preserve">Without paying attention to model uncertainty, the empirical results </w:t>
      </w:r>
      <w:r w:rsidR="00386D0E" w:rsidRPr="00E82E1F">
        <w:rPr>
          <w:sz w:val="24"/>
          <w:szCs w:val="24"/>
          <w:lang w:val="en-GB"/>
        </w:rPr>
        <w:t>tend to be</w:t>
      </w:r>
      <w:r w:rsidRPr="00E82E1F">
        <w:rPr>
          <w:sz w:val="24"/>
          <w:szCs w:val="24"/>
          <w:lang w:val="en-GB"/>
        </w:rPr>
        <w:t xml:space="preserve"> fragile</w:t>
      </w:r>
      <w:r w:rsidR="00324135" w:rsidRPr="00E82E1F">
        <w:rPr>
          <w:sz w:val="24"/>
          <w:szCs w:val="24"/>
          <w:lang w:val="en-GB"/>
        </w:rPr>
        <w:t>,</w:t>
      </w:r>
      <w:r w:rsidRPr="00E82E1F">
        <w:rPr>
          <w:sz w:val="24"/>
          <w:szCs w:val="24"/>
          <w:lang w:val="en-GB"/>
        </w:rPr>
        <w:t xml:space="preserve"> that</w:t>
      </w:r>
      <w:r w:rsidR="00324135" w:rsidRPr="00E82E1F">
        <w:rPr>
          <w:sz w:val="24"/>
          <w:szCs w:val="24"/>
          <w:lang w:val="en-GB"/>
        </w:rPr>
        <w:t xml:space="preserve"> is,</w:t>
      </w:r>
      <w:r w:rsidRPr="00E82E1F">
        <w:rPr>
          <w:sz w:val="24"/>
          <w:szCs w:val="24"/>
          <w:lang w:val="en-GB"/>
        </w:rPr>
        <w:t xml:space="preserve"> they are sensitive to the inclusion of additional relevant </w:t>
      </w:r>
      <w:proofErr w:type="spellStart"/>
      <w:r w:rsidRPr="00E82E1F">
        <w:rPr>
          <w:sz w:val="24"/>
          <w:szCs w:val="24"/>
          <w:lang w:val="en-GB"/>
        </w:rPr>
        <w:t>regressors</w:t>
      </w:r>
      <w:proofErr w:type="spellEnd"/>
      <w:r w:rsidRPr="00E82E1F">
        <w:rPr>
          <w:sz w:val="24"/>
          <w:szCs w:val="24"/>
          <w:lang w:val="en-GB"/>
        </w:rPr>
        <w:t xml:space="preserve">. </w:t>
      </w:r>
      <w:r w:rsidR="00B7485D" w:rsidRPr="00E82E1F">
        <w:rPr>
          <w:sz w:val="24"/>
          <w:szCs w:val="24"/>
          <w:lang w:val="en-GB"/>
        </w:rPr>
        <w:t xml:space="preserve">Although </w:t>
      </w:r>
      <w:r w:rsidRPr="00E82E1F">
        <w:rPr>
          <w:sz w:val="24"/>
          <w:szCs w:val="24"/>
          <w:lang w:val="en-GB"/>
        </w:rPr>
        <w:t xml:space="preserve">normally empirical articles will incorporate a section </w:t>
      </w:r>
      <w:r w:rsidR="00B7485D" w:rsidRPr="00E82E1F">
        <w:rPr>
          <w:sz w:val="24"/>
          <w:szCs w:val="24"/>
          <w:lang w:val="en-GB"/>
        </w:rPr>
        <w:t xml:space="preserve">titled </w:t>
      </w:r>
      <w:r w:rsidRPr="00E82E1F">
        <w:rPr>
          <w:sz w:val="24"/>
          <w:szCs w:val="24"/>
          <w:lang w:val="en-GB"/>
        </w:rPr>
        <w:t xml:space="preserve">“Sensitivity Analysis”, </w:t>
      </w:r>
      <w:r w:rsidR="00F054A9" w:rsidRPr="00E82E1F">
        <w:rPr>
          <w:sz w:val="24"/>
          <w:szCs w:val="24"/>
          <w:lang w:val="en-GB"/>
        </w:rPr>
        <w:t>it</w:t>
      </w:r>
      <w:r w:rsidR="00B7485D" w:rsidRPr="00E82E1F">
        <w:rPr>
          <w:sz w:val="24"/>
          <w:szCs w:val="24"/>
          <w:lang w:val="en-GB"/>
        </w:rPr>
        <w:t xml:space="preserve"> </w:t>
      </w:r>
      <w:r w:rsidRPr="00E82E1F">
        <w:rPr>
          <w:sz w:val="24"/>
          <w:szCs w:val="24"/>
          <w:lang w:val="en-GB"/>
        </w:rPr>
        <w:t xml:space="preserve">differs from the concept of global sensitivity analysis </w:t>
      </w:r>
      <w:r w:rsidR="007C66D3" w:rsidRPr="00E82E1F">
        <w:rPr>
          <w:sz w:val="24"/>
          <w:szCs w:val="24"/>
          <w:lang w:val="en-GB"/>
        </w:rPr>
        <w:t>proposed</w:t>
      </w:r>
      <w:r w:rsidRPr="00E82E1F">
        <w:rPr>
          <w:sz w:val="24"/>
          <w:szCs w:val="24"/>
          <w:lang w:val="en-GB"/>
        </w:rPr>
        <w:t xml:space="preserve"> by </w:t>
      </w:r>
      <w:proofErr w:type="spellStart"/>
      <w:r w:rsidRPr="00E82E1F">
        <w:rPr>
          <w:sz w:val="24"/>
          <w:szCs w:val="24"/>
          <w:lang w:val="en-GB"/>
        </w:rPr>
        <w:t>Leamer</w:t>
      </w:r>
      <w:proofErr w:type="spellEnd"/>
      <w:r w:rsidRPr="00E82E1F">
        <w:rPr>
          <w:sz w:val="24"/>
          <w:szCs w:val="24"/>
          <w:lang w:val="en-GB"/>
        </w:rPr>
        <w:t xml:space="preserve"> (1983, 1985). For example, considering the empirical research on the relationship between </w:t>
      </w:r>
      <w:r w:rsidR="00B7485D" w:rsidRPr="00E82E1F">
        <w:rPr>
          <w:sz w:val="24"/>
          <w:szCs w:val="24"/>
          <w:lang w:val="en-GB"/>
        </w:rPr>
        <w:t xml:space="preserve">the </w:t>
      </w:r>
      <w:r w:rsidRPr="00E82E1F">
        <w:rPr>
          <w:sz w:val="24"/>
          <w:szCs w:val="24"/>
          <w:lang w:val="en-GB"/>
        </w:rPr>
        <w:t xml:space="preserve">ANTISDI and stock market outcomes </w:t>
      </w:r>
      <w:r w:rsidR="007F3C91" w:rsidRPr="00E82E1F">
        <w:rPr>
          <w:sz w:val="24"/>
          <w:szCs w:val="24"/>
          <w:lang w:val="en-GB"/>
        </w:rPr>
        <w:t>that was</w:t>
      </w:r>
      <w:r w:rsidR="00F054A9" w:rsidRPr="00E82E1F">
        <w:rPr>
          <w:sz w:val="24"/>
          <w:szCs w:val="24"/>
          <w:lang w:val="en-GB"/>
        </w:rPr>
        <w:t xml:space="preserve"> tested by DLLS (2008), </w:t>
      </w:r>
      <w:r w:rsidR="00F52D6C" w:rsidRPr="00E82E1F">
        <w:rPr>
          <w:sz w:val="24"/>
          <w:szCs w:val="24"/>
          <w:lang w:val="en-GB"/>
        </w:rPr>
        <w:t>the ANTISDI loses its explanatory power when the variable “tax evasion”</w:t>
      </w:r>
      <w:r w:rsidR="002B7039">
        <w:rPr>
          <w:rStyle w:val="a6"/>
          <w:sz w:val="24"/>
          <w:szCs w:val="24"/>
          <w:lang w:val="en-GB"/>
        </w:rPr>
        <w:footnoteReference w:id="9"/>
      </w:r>
      <w:r w:rsidR="00F52D6C" w:rsidRPr="00E82E1F">
        <w:rPr>
          <w:sz w:val="24"/>
          <w:szCs w:val="24"/>
          <w:lang w:val="en-GB"/>
        </w:rPr>
        <w:t xml:space="preserve"> is included (reported in Table 12 of their paper). </w:t>
      </w:r>
      <w:r w:rsidRPr="00E82E1F">
        <w:rPr>
          <w:sz w:val="24"/>
          <w:szCs w:val="24"/>
          <w:lang w:val="en-GB"/>
        </w:rPr>
        <w:t xml:space="preserve">DLLS (2008, p.456) ascribe </w:t>
      </w:r>
      <w:r w:rsidR="00F52D6C" w:rsidRPr="00E82E1F">
        <w:rPr>
          <w:sz w:val="24"/>
          <w:szCs w:val="24"/>
          <w:lang w:val="en-GB"/>
        </w:rPr>
        <w:t xml:space="preserve">it </w:t>
      </w:r>
      <w:r w:rsidRPr="00E82E1F">
        <w:rPr>
          <w:sz w:val="24"/>
          <w:szCs w:val="24"/>
          <w:lang w:val="en-GB"/>
        </w:rPr>
        <w:t>to the fact that the variable is “</w:t>
      </w:r>
      <w:bookmarkStart w:id="44" w:name="OLE_LINK41"/>
      <w:bookmarkStart w:id="45" w:name="OLE_LINK42"/>
      <w:r w:rsidRPr="00E82E1F">
        <w:rPr>
          <w:sz w:val="24"/>
          <w:szCs w:val="24"/>
          <w:lang w:val="en-GB"/>
        </w:rPr>
        <w:t>a subjective</w:t>
      </w:r>
      <w:bookmarkEnd w:id="44"/>
      <w:bookmarkEnd w:id="45"/>
      <w:r w:rsidRPr="00E82E1F">
        <w:rPr>
          <w:sz w:val="24"/>
          <w:szCs w:val="24"/>
          <w:lang w:val="en-GB"/>
        </w:rPr>
        <w:t xml:space="preserve"> variable highly correlated with perceptions […] of the quality of corporate governance as </w:t>
      </w:r>
      <w:proofErr w:type="spellStart"/>
      <w:r w:rsidRPr="00E82E1F">
        <w:rPr>
          <w:sz w:val="24"/>
          <w:szCs w:val="24"/>
          <w:lang w:val="en-GB"/>
        </w:rPr>
        <w:t>proxied</w:t>
      </w:r>
      <w:proofErr w:type="spellEnd"/>
      <w:r w:rsidRPr="00E82E1F">
        <w:rPr>
          <w:sz w:val="24"/>
          <w:szCs w:val="24"/>
          <w:lang w:val="en-GB"/>
        </w:rPr>
        <w:t xml:space="preserve"> by the perceived incidence of insider trading”.</w:t>
      </w:r>
    </w:p>
    <w:p w:rsidR="001C5D58" w:rsidRPr="00E82E1F" w:rsidRDefault="00E0706B" w:rsidP="005C1F7A">
      <w:pPr>
        <w:spacing w:beforeLines="100"/>
        <w:mirrorIndents/>
        <w:rPr>
          <w:sz w:val="24"/>
          <w:szCs w:val="24"/>
          <w:lang w:val="en-GB"/>
        </w:rPr>
      </w:pPr>
      <w:r w:rsidRPr="00E82E1F">
        <w:rPr>
          <w:sz w:val="24"/>
          <w:szCs w:val="24"/>
          <w:lang w:val="en-GB"/>
        </w:rPr>
        <w:t xml:space="preserve">Our research </w:t>
      </w:r>
      <w:r w:rsidR="001C5D58" w:rsidRPr="00E82E1F">
        <w:rPr>
          <w:sz w:val="24"/>
          <w:szCs w:val="24"/>
          <w:lang w:val="en-GB"/>
        </w:rPr>
        <w:t>build</w:t>
      </w:r>
      <w:r w:rsidRPr="00E82E1F">
        <w:rPr>
          <w:sz w:val="24"/>
          <w:szCs w:val="24"/>
          <w:lang w:val="en-GB"/>
        </w:rPr>
        <w:t>s</w:t>
      </w:r>
      <w:r w:rsidR="007C66D3" w:rsidRPr="00E82E1F">
        <w:rPr>
          <w:sz w:val="24"/>
          <w:szCs w:val="24"/>
          <w:lang w:val="en-GB"/>
        </w:rPr>
        <w:t xml:space="preserve"> on</w:t>
      </w:r>
      <w:r w:rsidR="00C42C04" w:rsidRPr="00E82E1F">
        <w:rPr>
          <w:sz w:val="24"/>
          <w:szCs w:val="24"/>
          <w:lang w:val="en-GB"/>
        </w:rPr>
        <w:t xml:space="preserve"> that of</w:t>
      </w:r>
      <w:r w:rsidRPr="00E82E1F">
        <w:rPr>
          <w:sz w:val="24"/>
          <w:szCs w:val="24"/>
          <w:lang w:val="en-GB"/>
        </w:rPr>
        <w:t xml:space="preserve"> DLLS (2008)</w:t>
      </w:r>
      <w:r w:rsidR="0079193E" w:rsidRPr="00E82E1F">
        <w:rPr>
          <w:sz w:val="24"/>
          <w:szCs w:val="24"/>
          <w:lang w:val="en-GB"/>
        </w:rPr>
        <w:t>, which mainly include</w:t>
      </w:r>
      <w:r w:rsidR="00D60BA5" w:rsidRPr="00E82E1F">
        <w:rPr>
          <w:sz w:val="24"/>
          <w:szCs w:val="24"/>
          <w:lang w:val="en-GB"/>
        </w:rPr>
        <w:t>s</w:t>
      </w:r>
      <w:r w:rsidR="0079193E" w:rsidRPr="00E82E1F">
        <w:rPr>
          <w:sz w:val="24"/>
          <w:szCs w:val="24"/>
          <w:lang w:val="en-GB"/>
        </w:rPr>
        <w:t xml:space="preserve"> ANTISDI, “logarithm of per capita GDP (GDPPERCAPITA)” and “time to collect on a bounced check (CHECK)”</w:t>
      </w:r>
      <w:r w:rsidR="002B7039">
        <w:rPr>
          <w:rStyle w:val="a6"/>
          <w:sz w:val="24"/>
          <w:szCs w:val="24"/>
          <w:lang w:val="en-GB"/>
        </w:rPr>
        <w:footnoteReference w:id="10"/>
      </w:r>
      <w:r w:rsidR="0079193E" w:rsidRPr="00E82E1F">
        <w:rPr>
          <w:sz w:val="24"/>
          <w:szCs w:val="24"/>
          <w:lang w:val="en-GB"/>
        </w:rPr>
        <w:t xml:space="preserve"> as explanatory variables</w:t>
      </w:r>
      <w:r w:rsidR="00B80AC3" w:rsidRPr="00E82E1F">
        <w:rPr>
          <w:sz w:val="24"/>
          <w:szCs w:val="24"/>
          <w:lang w:val="en-GB"/>
        </w:rPr>
        <w:t>. A</w:t>
      </w:r>
      <w:r w:rsidR="007C66D3" w:rsidRPr="00E82E1F">
        <w:rPr>
          <w:sz w:val="24"/>
          <w:szCs w:val="24"/>
          <w:lang w:val="en-GB"/>
        </w:rPr>
        <w:t xml:space="preserve">n </w:t>
      </w:r>
      <w:r w:rsidR="00B95D3E" w:rsidRPr="00E82E1F">
        <w:rPr>
          <w:sz w:val="24"/>
          <w:szCs w:val="24"/>
          <w:lang w:val="en-GB"/>
        </w:rPr>
        <w:t>expanded</w:t>
      </w:r>
      <w:r w:rsidR="00902E24" w:rsidRPr="00E82E1F">
        <w:rPr>
          <w:sz w:val="24"/>
          <w:szCs w:val="24"/>
          <w:lang w:val="en-GB"/>
        </w:rPr>
        <w:t xml:space="preserve"> data set</w:t>
      </w:r>
      <w:r w:rsidR="007A7940" w:rsidRPr="00E82E1F">
        <w:rPr>
          <w:sz w:val="24"/>
          <w:szCs w:val="24"/>
          <w:lang w:val="en-GB"/>
        </w:rPr>
        <w:t xml:space="preserve"> of 4 dependent variables and 26</w:t>
      </w:r>
      <w:r w:rsidR="00BA6991" w:rsidRPr="00E82E1F">
        <w:rPr>
          <w:sz w:val="24"/>
          <w:szCs w:val="24"/>
          <w:lang w:val="en-GB"/>
        </w:rPr>
        <w:t xml:space="preserve"> explanatory variables for 48 economies</w:t>
      </w:r>
      <w:r w:rsidR="00B80AC3" w:rsidRPr="00E82E1F">
        <w:rPr>
          <w:sz w:val="24"/>
          <w:szCs w:val="24"/>
          <w:lang w:val="en-GB"/>
        </w:rPr>
        <w:t xml:space="preserve"> is employed</w:t>
      </w:r>
      <w:r w:rsidR="00BA6991" w:rsidRPr="00E82E1F">
        <w:rPr>
          <w:sz w:val="24"/>
          <w:szCs w:val="24"/>
          <w:lang w:val="en-GB"/>
        </w:rPr>
        <w:t>.</w:t>
      </w:r>
      <w:r w:rsidR="002B7039">
        <w:rPr>
          <w:rStyle w:val="a6"/>
          <w:sz w:val="24"/>
          <w:szCs w:val="24"/>
          <w:lang w:val="en-GB"/>
        </w:rPr>
        <w:footnoteReference w:id="11"/>
      </w:r>
      <w:r w:rsidRPr="00E82E1F">
        <w:rPr>
          <w:sz w:val="24"/>
          <w:szCs w:val="24"/>
          <w:lang w:val="en-GB"/>
        </w:rPr>
        <w:t xml:space="preserve"> </w:t>
      </w:r>
      <w:r w:rsidR="001F6D5A" w:rsidRPr="00E82E1F">
        <w:rPr>
          <w:sz w:val="24"/>
          <w:szCs w:val="24"/>
          <w:lang w:val="en-GB"/>
        </w:rPr>
        <w:t>To</w:t>
      </w:r>
      <w:r w:rsidR="00745CFA" w:rsidRPr="00E82E1F">
        <w:rPr>
          <w:sz w:val="24"/>
          <w:szCs w:val="24"/>
          <w:lang w:val="en-GB"/>
        </w:rPr>
        <w:t xml:space="preserve"> </w:t>
      </w:r>
      <w:r w:rsidR="00C42C04" w:rsidRPr="00E82E1F">
        <w:rPr>
          <w:sz w:val="24"/>
          <w:szCs w:val="24"/>
          <w:lang w:val="en-GB"/>
        </w:rPr>
        <w:t>address</w:t>
      </w:r>
      <w:r w:rsidR="00745CFA" w:rsidRPr="00E82E1F">
        <w:rPr>
          <w:sz w:val="24"/>
          <w:szCs w:val="24"/>
          <w:lang w:val="en-GB"/>
        </w:rPr>
        <w:t xml:space="preserve"> the</w:t>
      </w:r>
      <w:r w:rsidR="00BB26BE" w:rsidRPr="00E82E1F">
        <w:rPr>
          <w:sz w:val="24"/>
          <w:szCs w:val="24"/>
          <w:lang w:val="en-GB"/>
        </w:rPr>
        <w:t xml:space="preserve"> problem of </w:t>
      </w:r>
      <w:r w:rsidR="000D5E39" w:rsidRPr="00E82E1F">
        <w:rPr>
          <w:sz w:val="24"/>
          <w:szCs w:val="24"/>
          <w:lang w:val="en-GB"/>
        </w:rPr>
        <w:t>model uncertainty</w:t>
      </w:r>
      <w:r w:rsidR="001F6D5A" w:rsidRPr="00E82E1F">
        <w:rPr>
          <w:sz w:val="24"/>
          <w:szCs w:val="24"/>
          <w:lang w:val="en-GB"/>
        </w:rPr>
        <w:t>,</w:t>
      </w:r>
      <w:r w:rsidR="00BB26BE" w:rsidRPr="00E82E1F">
        <w:rPr>
          <w:sz w:val="24"/>
          <w:szCs w:val="24"/>
          <w:lang w:val="en-GB"/>
        </w:rPr>
        <w:t xml:space="preserve"> the </w:t>
      </w:r>
      <w:r w:rsidR="00DD75B6" w:rsidRPr="00E82E1F">
        <w:rPr>
          <w:sz w:val="24"/>
          <w:szCs w:val="24"/>
          <w:lang w:val="en-GB"/>
        </w:rPr>
        <w:t>BMA</w:t>
      </w:r>
      <w:r w:rsidR="00BB26BE" w:rsidRPr="00E82E1F">
        <w:rPr>
          <w:sz w:val="24"/>
          <w:szCs w:val="24"/>
          <w:lang w:val="en-GB"/>
        </w:rPr>
        <w:t xml:space="preserve"> algorithm</w:t>
      </w:r>
      <w:r w:rsidR="002C45AD" w:rsidRPr="00E82E1F">
        <w:rPr>
          <w:sz w:val="24"/>
          <w:szCs w:val="24"/>
          <w:lang w:val="en-GB"/>
        </w:rPr>
        <w:t xml:space="preserve">, which has already been </w:t>
      </w:r>
      <w:r w:rsidR="00C42C04" w:rsidRPr="00E82E1F">
        <w:rPr>
          <w:sz w:val="24"/>
          <w:szCs w:val="24"/>
          <w:lang w:val="en-GB"/>
        </w:rPr>
        <w:t xml:space="preserve">extensively </w:t>
      </w:r>
      <w:r w:rsidR="002C45AD" w:rsidRPr="00E82E1F">
        <w:rPr>
          <w:sz w:val="24"/>
          <w:szCs w:val="24"/>
          <w:lang w:val="en-GB"/>
        </w:rPr>
        <w:t>applied in growth empirics</w:t>
      </w:r>
      <w:r w:rsidR="00D63E36" w:rsidRPr="00E82E1F">
        <w:rPr>
          <w:sz w:val="24"/>
          <w:szCs w:val="24"/>
          <w:lang w:val="en-GB"/>
        </w:rPr>
        <w:t>,</w:t>
      </w:r>
      <w:r w:rsidR="002B7039">
        <w:rPr>
          <w:rStyle w:val="a6"/>
          <w:sz w:val="24"/>
          <w:szCs w:val="24"/>
          <w:lang w:val="en-GB"/>
        </w:rPr>
        <w:footnoteReference w:id="12"/>
      </w:r>
      <w:r w:rsidR="002B7039">
        <w:rPr>
          <w:rFonts w:hint="eastAsia"/>
          <w:sz w:val="24"/>
          <w:szCs w:val="24"/>
          <w:lang w:val="en-GB"/>
        </w:rPr>
        <w:t xml:space="preserve"> </w:t>
      </w:r>
      <w:r w:rsidR="00D63E36" w:rsidRPr="00E82E1F">
        <w:rPr>
          <w:sz w:val="24"/>
          <w:szCs w:val="24"/>
          <w:lang w:val="en-GB"/>
        </w:rPr>
        <w:t>is adopted.</w:t>
      </w:r>
      <w:r w:rsidR="00170BFE" w:rsidRPr="00E82E1F">
        <w:rPr>
          <w:sz w:val="24"/>
          <w:szCs w:val="24"/>
          <w:lang w:val="en-GB"/>
        </w:rPr>
        <w:t xml:space="preserve"> The algorithm</w:t>
      </w:r>
      <w:r w:rsidR="00BB26BE" w:rsidRPr="00E82E1F">
        <w:rPr>
          <w:sz w:val="24"/>
          <w:szCs w:val="24"/>
          <w:lang w:val="en-GB"/>
        </w:rPr>
        <w:t xml:space="preserve"> </w:t>
      </w:r>
      <w:r w:rsidR="001F6D5A" w:rsidRPr="00E82E1F">
        <w:rPr>
          <w:sz w:val="24"/>
          <w:szCs w:val="24"/>
          <w:lang w:val="en-GB"/>
        </w:rPr>
        <w:t>admit</w:t>
      </w:r>
      <w:r w:rsidR="00D752E2" w:rsidRPr="00E82E1F">
        <w:rPr>
          <w:sz w:val="24"/>
          <w:szCs w:val="24"/>
          <w:lang w:val="en-GB"/>
        </w:rPr>
        <w:t>s</w:t>
      </w:r>
      <w:r w:rsidR="001F6D5A" w:rsidRPr="00E82E1F">
        <w:rPr>
          <w:sz w:val="24"/>
          <w:szCs w:val="24"/>
          <w:lang w:val="en-GB"/>
        </w:rPr>
        <w:t xml:space="preserve"> that t</w:t>
      </w:r>
      <w:r w:rsidR="00E00ECF" w:rsidRPr="00E82E1F">
        <w:rPr>
          <w:sz w:val="24"/>
          <w:szCs w:val="24"/>
          <w:lang w:val="en-GB"/>
        </w:rPr>
        <w:t>he “true” model is unknown and</w:t>
      </w:r>
      <w:r w:rsidR="00C42C04" w:rsidRPr="00E82E1F">
        <w:rPr>
          <w:sz w:val="24"/>
          <w:szCs w:val="24"/>
          <w:lang w:val="en-GB"/>
        </w:rPr>
        <w:t xml:space="preserve"> </w:t>
      </w:r>
      <w:r w:rsidR="001F6D5A" w:rsidRPr="00E82E1F">
        <w:rPr>
          <w:sz w:val="24"/>
          <w:szCs w:val="24"/>
          <w:lang w:val="en-GB"/>
        </w:rPr>
        <w:t>attach</w:t>
      </w:r>
      <w:r w:rsidR="00170BFE" w:rsidRPr="00E82E1F">
        <w:rPr>
          <w:sz w:val="24"/>
          <w:szCs w:val="24"/>
          <w:lang w:val="en-GB"/>
        </w:rPr>
        <w:t>es</w:t>
      </w:r>
      <w:r w:rsidR="001F6D5A" w:rsidRPr="00E82E1F">
        <w:rPr>
          <w:sz w:val="24"/>
          <w:szCs w:val="24"/>
          <w:lang w:val="en-GB"/>
        </w:rPr>
        <w:t xml:space="preserve"> probability to each possible model</w:t>
      </w:r>
      <w:r w:rsidR="00C42C04" w:rsidRPr="00E82E1F">
        <w:rPr>
          <w:sz w:val="24"/>
          <w:szCs w:val="24"/>
          <w:lang w:val="en-GB"/>
        </w:rPr>
        <w:t>; additionally,</w:t>
      </w:r>
      <w:r w:rsidR="00745CFA" w:rsidRPr="00E82E1F">
        <w:rPr>
          <w:sz w:val="24"/>
          <w:szCs w:val="24"/>
          <w:lang w:val="en-GB"/>
        </w:rPr>
        <w:t xml:space="preserve"> the </w:t>
      </w:r>
      <w:bookmarkStart w:id="46" w:name="OLE_LINK40"/>
      <w:bookmarkStart w:id="47" w:name="OLE_LINK43"/>
      <w:r w:rsidR="00745CFA" w:rsidRPr="00E82E1F">
        <w:rPr>
          <w:sz w:val="24"/>
          <w:szCs w:val="24"/>
          <w:lang w:val="en-GB"/>
        </w:rPr>
        <w:t>estimators</w:t>
      </w:r>
      <w:bookmarkEnd w:id="46"/>
      <w:bookmarkEnd w:id="47"/>
      <w:r w:rsidR="00745CFA" w:rsidRPr="00E82E1F">
        <w:rPr>
          <w:sz w:val="24"/>
          <w:szCs w:val="24"/>
          <w:lang w:val="en-GB"/>
        </w:rPr>
        <w:t xml:space="preserve"> of parameters are computed as weighted </w:t>
      </w:r>
      <w:r w:rsidR="00C42C04" w:rsidRPr="00E82E1F">
        <w:rPr>
          <w:sz w:val="24"/>
          <w:szCs w:val="24"/>
          <w:lang w:val="en-GB"/>
        </w:rPr>
        <w:t xml:space="preserve">averages </w:t>
      </w:r>
      <w:r w:rsidR="00745CFA" w:rsidRPr="00E82E1F">
        <w:rPr>
          <w:sz w:val="24"/>
          <w:szCs w:val="24"/>
          <w:lang w:val="en-GB"/>
        </w:rPr>
        <w:t>of the conditional estimates. The algorithm</w:t>
      </w:r>
      <w:r w:rsidR="00170BFE" w:rsidRPr="00E82E1F">
        <w:rPr>
          <w:sz w:val="24"/>
          <w:szCs w:val="24"/>
          <w:lang w:val="en-GB"/>
        </w:rPr>
        <w:t xml:space="preserve"> is discussed </w:t>
      </w:r>
      <w:r w:rsidR="00CB03EB" w:rsidRPr="00E82E1F">
        <w:rPr>
          <w:sz w:val="24"/>
          <w:szCs w:val="24"/>
          <w:lang w:val="en-GB"/>
        </w:rPr>
        <w:t xml:space="preserve">by </w:t>
      </w:r>
      <w:bookmarkStart w:id="48" w:name="OLE_LINK77"/>
      <w:bookmarkStart w:id="49" w:name="OLE_LINK78"/>
      <w:r w:rsidR="00CB03EB" w:rsidRPr="00E82E1F">
        <w:rPr>
          <w:sz w:val="24"/>
          <w:szCs w:val="24"/>
          <w:lang w:val="en-GB"/>
        </w:rPr>
        <w:t>Magnus, Powell</w:t>
      </w:r>
      <w:r w:rsidR="00130FCD" w:rsidRPr="00E82E1F">
        <w:rPr>
          <w:sz w:val="24"/>
          <w:szCs w:val="24"/>
          <w:lang w:val="en-GB"/>
        </w:rPr>
        <w:t xml:space="preserve"> </w:t>
      </w:r>
      <w:r w:rsidR="00C42C04" w:rsidRPr="00E82E1F">
        <w:rPr>
          <w:sz w:val="24"/>
          <w:szCs w:val="24"/>
          <w:lang w:val="en-GB"/>
        </w:rPr>
        <w:t>and</w:t>
      </w:r>
      <w:r w:rsidR="00CB03EB" w:rsidRPr="00E82E1F">
        <w:rPr>
          <w:sz w:val="24"/>
          <w:szCs w:val="24"/>
          <w:lang w:val="en-GB"/>
        </w:rPr>
        <w:t xml:space="preserve"> </w:t>
      </w:r>
      <w:proofErr w:type="spellStart"/>
      <w:r w:rsidR="00CB03EB" w:rsidRPr="00E82E1F">
        <w:rPr>
          <w:sz w:val="24"/>
          <w:szCs w:val="24"/>
          <w:lang w:val="en-GB"/>
        </w:rPr>
        <w:t>Prüfer</w:t>
      </w:r>
      <w:proofErr w:type="spellEnd"/>
      <w:r w:rsidR="00CB03EB" w:rsidRPr="00E82E1F">
        <w:rPr>
          <w:sz w:val="24"/>
          <w:szCs w:val="24"/>
          <w:lang w:val="en-GB"/>
        </w:rPr>
        <w:t xml:space="preserve"> (2010, </w:t>
      </w:r>
      <w:r w:rsidR="00CB03EB" w:rsidRPr="00E82E1F">
        <w:rPr>
          <w:sz w:val="24"/>
          <w:szCs w:val="24"/>
          <w:lang w:val="en-GB"/>
        </w:rPr>
        <w:lastRenderedPageBreak/>
        <w:t xml:space="preserve">henceforth MPP) </w:t>
      </w:r>
      <w:bookmarkEnd w:id="48"/>
      <w:bookmarkEnd w:id="49"/>
      <w:r w:rsidR="00CB03EB" w:rsidRPr="00E82E1F">
        <w:rPr>
          <w:sz w:val="24"/>
          <w:szCs w:val="24"/>
          <w:lang w:val="en-GB"/>
        </w:rPr>
        <w:t xml:space="preserve">and De Luca </w:t>
      </w:r>
      <w:r w:rsidR="00C42C04" w:rsidRPr="00E82E1F">
        <w:rPr>
          <w:sz w:val="24"/>
          <w:szCs w:val="24"/>
          <w:lang w:val="en-GB"/>
        </w:rPr>
        <w:t>and</w:t>
      </w:r>
      <w:r w:rsidR="00CB03EB" w:rsidRPr="00E82E1F">
        <w:rPr>
          <w:sz w:val="24"/>
          <w:szCs w:val="24"/>
          <w:lang w:val="en-GB"/>
        </w:rPr>
        <w:t xml:space="preserve"> Magnus (2011)</w:t>
      </w:r>
      <w:r w:rsidR="00745CFA" w:rsidRPr="00E82E1F">
        <w:rPr>
          <w:sz w:val="24"/>
          <w:szCs w:val="24"/>
          <w:lang w:val="en-GB"/>
        </w:rPr>
        <w:t xml:space="preserve"> in detail</w:t>
      </w:r>
      <w:r w:rsidR="001F6D5A" w:rsidRPr="00E82E1F">
        <w:rPr>
          <w:sz w:val="24"/>
          <w:szCs w:val="24"/>
          <w:lang w:val="en-GB"/>
        </w:rPr>
        <w:t>.</w:t>
      </w:r>
      <w:r w:rsidR="009B1D74" w:rsidRPr="00E82E1F">
        <w:rPr>
          <w:sz w:val="24"/>
          <w:szCs w:val="24"/>
          <w:lang w:val="en-GB"/>
        </w:rPr>
        <w:t xml:space="preserve"> </w:t>
      </w:r>
      <w:r w:rsidR="002516AE" w:rsidRPr="00E82E1F">
        <w:rPr>
          <w:sz w:val="24"/>
          <w:szCs w:val="24"/>
          <w:lang w:val="en-GB"/>
        </w:rPr>
        <w:t xml:space="preserve">The BMA analysis finds that the pervasive positive correlations between </w:t>
      </w:r>
      <w:r w:rsidR="004C084A" w:rsidRPr="00E82E1F">
        <w:rPr>
          <w:sz w:val="24"/>
          <w:szCs w:val="24"/>
          <w:lang w:val="en-GB"/>
        </w:rPr>
        <w:t xml:space="preserve">the </w:t>
      </w:r>
      <w:r w:rsidR="002516AE" w:rsidRPr="00E82E1F">
        <w:rPr>
          <w:sz w:val="24"/>
          <w:szCs w:val="24"/>
          <w:lang w:val="en-GB"/>
        </w:rPr>
        <w:t>ANTISDI and various proxies for stock market development are fragile</w:t>
      </w:r>
      <w:r w:rsidR="00324135" w:rsidRPr="00E82E1F">
        <w:rPr>
          <w:sz w:val="24"/>
          <w:szCs w:val="24"/>
          <w:lang w:val="en-GB"/>
        </w:rPr>
        <w:t xml:space="preserve">. In addition, </w:t>
      </w:r>
      <w:r w:rsidR="00FF291B" w:rsidRPr="00E82E1F">
        <w:rPr>
          <w:sz w:val="24"/>
          <w:szCs w:val="24"/>
          <w:lang w:val="en-GB"/>
        </w:rPr>
        <w:t>the proxies for information disclosure</w:t>
      </w:r>
      <w:r w:rsidR="002B7039">
        <w:rPr>
          <w:rStyle w:val="a6"/>
          <w:sz w:val="24"/>
          <w:szCs w:val="24"/>
          <w:lang w:val="en-GB"/>
        </w:rPr>
        <w:footnoteReference w:id="13"/>
      </w:r>
      <w:r w:rsidR="00063502" w:rsidRPr="00E82E1F">
        <w:rPr>
          <w:sz w:val="24"/>
          <w:szCs w:val="24"/>
          <w:lang w:val="en-GB"/>
        </w:rPr>
        <w:t>,</w:t>
      </w:r>
      <w:r w:rsidR="00FF291B" w:rsidRPr="00E82E1F">
        <w:rPr>
          <w:sz w:val="24"/>
          <w:szCs w:val="24"/>
          <w:lang w:val="en-GB"/>
        </w:rPr>
        <w:t xml:space="preserve"> </w:t>
      </w:r>
      <w:r w:rsidR="005F65A3" w:rsidRPr="00E82E1F">
        <w:rPr>
          <w:sz w:val="24"/>
          <w:szCs w:val="24"/>
          <w:lang w:val="en-GB"/>
        </w:rPr>
        <w:t xml:space="preserve">political </w:t>
      </w:r>
      <w:r w:rsidR="00FF291B" w:rsidRPr="00E82E1F">
        <w:rPr>
          <w:sz w:val="24"/>
          <w:szCs w:val="24"/>
          <w:lang w:val="en-GB"/>
        </w:rPr>
        <w:t>power of incumbents</w:t>
      </w:r>
      <w:r w:rsidR="00063502" w:rsidRPr="00E82E1F">
        <w:rPr>
          <w:sz w:val="24"/>
          <w:szCs w:val="24"/>
          <w:lang w:val="en-GB"/>
        </w:rPr>
        <w:t xml:space="preserve"> and economic growth</w:t>
      </w:r>
      <w:r w:rsidR="00FF291B" w:rsidRPr="00E82E1F">
        <w:rPr>
          <w:sz w:val="24"/>
          <w:szCs w:val="24"/>
          <w:lang w:val="en-GB"/>
        </w:rPr>
        <w:t xml:space="preserve"> perform quite well in explaining stock market development. Finally, </w:t>
      </w:r>
      <w:r w:rsidR="00324135" w:rsidRPr="00E82E1F">
        <w:rPr>
          <w:sz w:val="24"/>
          <w:szCs w:val="24"/>
          <w:lang w:val="en-GB"/>
        </w:rPr>
        <w:t xml:space="preserve">different proxies for stock market development are predicted by diverse sets of </w:t>
      </w:r>
      <w:r w:rsidR="00F67F1E" w:rsidRPr="00E82E1F">
        <w:rPr>
          <w:sz w:val="24"/>
          <w:szCs w:val="24"/>
          <w:lang w:val="en-GB"/>
        </w:rPr>
        <w:t xml:space="preserve">explanatory </w:t>
      </w:r>
      <w:r w:rsidR="00324135" w:rsidRPr="00E82E1F">
        <w:rPr>
          <w:sz w:val="24"/>
          <w:szCs w:val="24"/>
          <w:lang w:val="en-GB"/>
        </w:rPr>
        <w:t xml:space="preserve">variables, </w:t>
      </w:r>
      <w:r w:rsidR="00D6473B" w:rsidRPr="00E82E1F">
        <w:rPr>
          <w:sz w:val="24"/>
          <w:szCs w:val="24"/>
          <w:lang w:val="en-GB"/>
        </w:rPr>
        <w:t xml:space="preserve">which </w:t>
      </w:r>
      <w:r w:rsidR="00F67F1E" w:rsidRPr="00E82E1F">
        <w:rPr>
          <w:sz w:val="24"/>
          <w:szCs w:val="24"/>
          <w:lang w:val="en-GB"/>
        </w:rPr>
        <w:t>indicate</w:t>
      </w:r>
      <w:r w:rsidR="00C42C04" w:rsidRPr="00E82E1F">
        <w:rPr>
          <w:sz w:val="24"/>
          <w:szCs w:val="24"/>
          <w:lang w:val="en-GB"/>
        </w:rPr>
        <w:t xml:space="preserve"> </w:t>
      </w:r>
      <w:r w:rsidR="00D6473B" w:rsidRPr="00E82E1F">
        <w:rPr>
          <w:sz w:val="24"/>
          <w:szCs w:val="24"/>
          <w:lang w:val="en-GB"/>
        </w:rPr>
        <w:t xml:space="preserve">that the </w:t>
      </w:r>
      <w:r w:rsidR="00745CFA" w:rsidRPr="00E82E1F">
        <w:rPr>
          <w:sz w:val="24"/>
          <w:szCs w:val="24"/>
          <w:lang w:val="en-GB"/>
        </w:rPr>
        <w:t>one-size-fit</w:t>
      </w:r>
      <w:r w:rsidR="00100A36" w:rsidRPr="00E82E1F">
        <w:rPr>
          <w:sz w:val="24"/>
          <w:szCs w:val="24"/>
          <w:lang w:val="en-GB"/>
        </w:rPr>
        <w:t>s</w:t>
      </w:r>
      <w:r w:rsidR="00745CFA" w:rsidRPr="00E82E1F">
        <w:rPr>
          <w:sz w:val="24"/>
          <w:szCs w:val="24"/>
          <w:lang w:val="en-GB"/>
        </w:rPr>
        <w:t>-all specification of empirical models is inappropriate</w:t>
      </w:r>
      <w:r w:rsidR="00D6473B" w:rsidRPr="00E82E1F">
        <w:rPr>
          <w:sz w:val="24"/>
          <w:szCs w:val="24"/>
          <w:lang w:val="en-GB"/>
        </w:rPr>
        <w:t xml:space="preserve">. </w:t>
      </w:r>
      <w:r w:rsidR="00324135" w:rsidRPr="00E82E1F">
        <w:rPr>
          <w:sz w:val="24"/>
          <w:szCs w:val="24"/>
          <w:lang w:val="en-GB"/>
        </w:rPr>
        <w:t xml:space="preserve">These empirical </w:t>
      </w:r>
      <w:r w:rsidR="007A7940" w:rsidRPr="00E82E1F">
        <w:rPr>
          <w:sz w:val="24"/>
          <w:szCs w:val="24"/>
          <w:lang w:val="en-GB"/>
        </w:rPr>
        <w:t>finding</w:t>
      </w:r>
      <w:r w:rsidR="00324135" w:rsidRPr="00E82E1F">
        <w:rPr>
          <w:sz w:val="24"/>
          <w:szCs w:val="24"/>
          <w:lang w:val="en-GB"/>
        </w:rPr>
        <w:t>s persist when we employ a variable selection algorithm</w:t>
      </w:r>
      <w:r w:rsidR="00066CB8" w:rsidRPr="00E82E1F">
        <w:rPr>
          <w:sz w:val="24"/>
          <w:szCs w:val="24"/>
          <w:lang w:val="en-GB"/>
        </w:rPr>
        <w:t>,</w:t>
      </w:r>
      <w:r w:rsidR="00324135" w:rsidRPr="00E82E1F">
        <w:rPr>
          <w:sz w:val="24"/>
          <w:szCs w:val="24"/>
          <w:lang w:val="en-GB"/>
        </w:rPr>
        <w:t xml:space="preserve"> </w:t>
      </w:r>
      <w:r w:rsidR="009E54A1" w:rsidRPr="00E82E1F">
        <w:rPr>
          <w:sz w:val="24"/>
          <w:szCs w:val="24"/>
          <w:lang w:val="en-GB"/>
        </w:rPr>
        <w:t>s</w:t>
      </w:r>
      <w:r w:rsidR="00324135" w:rsidRPr="00E82E1F">
        <w:rPr>
          <w:sz w:val="24"/>
          <w:szCs w:val="24"/>
          <w:lang w:val="en-GB"/>
        </w:rPr>
        <w:t xml:space="preserve">tepwise backward elimination (SBE). </w:t>
      </w:r>
    </w:p>
    <w:p w:rsidR="00510ED6" w:rsidRDefault="001C5D58" w:rsidP="00510ED6">
      <w:pPr>
        <w:spacing w:beforeLines="100"/>
        <w:mirrorIndents/>
        <w:rPr>
          <w:rFonts w:hint="eastAsia"/>
          <w:sz w:val="24"/>
          <w:szCs w:val="24"/>
          <w:lang w:val="en-GB"/>
        </w:rPr>
      </w:pPr>
      <w:r w:rsidRPr="00E82E1F">
        <w:rPr>
          <w:sz w:val="24"/>
          <w:szCs w:val="24"/>
          <w:lang w:val="en-GB"/>
        </w:rPr>
        <w:t xml:space="preserve">Our paper is closely related to </w:t>
      </w:r>
      <w:r w:rsidR="00476B64" w:rsidRPr="00E82E1F">
        <w:rPr>
          <w:sz w:val="24"/>
          <w:szCs w:val="24"/>
          <w:lang w:val="en-GB"/>
        </w:rPr>
        <w:t>three</w:t>
      </w:r>
      <w:r w:rsidRPr="00E82E1F">
        <w:rPr>
          <w:sz w:val="24"/>
          <w:szCs w:val="24"/>
          <w:lang w:val="en-GB"/>
        </w:rPr>
        <w:t xml:space="preserve"> previous </w:t>
      </w:r>
      <w:r w:rsidR="00476B64" w:rsidRPr="00E82E1F">
        <w:rPr>
          <w:sz w:val="24"/>
          <w:szCs w:val="24"/>
          <w:lang w:val="en-GB"/>
        </w:rPr>
        <w:t>studies</w:t>
      </w:r>
      <w:r w:rsidRPr="00E82E1F">
        <w:rPr>
          <w:sz w:val="24"/>
          <w:szCs w:val="24"/>
          <w:lang w:val="en-GB"/>
        </w:rPr>
        <w:t xml:space="preserve">. </w:t>
      </w:r>
      <w:r w:rsidR="00476B64" w:rsidRPr="00E82E1F">
        <w:rPr>
          <w:sz w:val="24"/>
          <w:szCs w:val="24"/>
          <w:lang w:val="en-GB"/>
        </w:rPr>
        <w:t xml:space="preserve">First, </w:t>
      </w:r>
      <w:r w:rsidR="009B1D74" w:rsidRPr="00E82E1F">
        <w:rPr>
          <w:sz w:val="24"/>
          <w:szCs w:val="24"/>
          <w:lang w:val="en-GB"/>
        </w:rPr>
        <w:t xml:space="preserve">Beck, </w:t>
      </w:r>
      <w:proofErr w:type="spellStart"/>
      <w:r w:rsidR="009B1D74" w:rsidRPr="00E82E1F">
        <w:rPr>
          <w:sz w:val="24"/>
          <w:szCs w:val="24"/>
          <w:lang w:val="en-GB"/>
        </w:rPr>
        <w:t>Demirgüç-Kunt</w:t>
      </w:r>
      <w:proofErr w:type="spellEnd"/>
      <w:r w:rsidR="009B1D74" w:rsidRPr="00E82E1F">
        <w:rPr>
          <w:sz w:val="24"/>
          <w:szCs w:val="24"/>
          <w:lang w:val="en-GB"/>
        </w:rPr>
        <w:t xml:space="preserve"> </w:t>
      </w:r>
      <w:r w:rsidR="00E970A6" w:rsidRPr="00E82E1F">
        <w:rPr>
          <w:sz w:val="24"/>
          <w:szCs w:val="24"/>
          <w:lang w:val="en-GB"/>
        </w:rPr>
        <w:t>and</w:t>
      </w:r>
      <w:r w:rsidR="009B1D74" w:rsidRPr="00E82E1F">
        <w:rPr>
          <w:sz w:val="24"/>
          <w:szCs w:val="24"/>
          <w:lang w:val="en-GB"/>
        </w:rPr>
        <w:t xml:space="preserve"> Levine (2003) test </w:t>
      </w:r>
      <w:r w:rsidR="00FF2EB3" w:rsidRPr="00E82E1F">
        <w:rPr>
          <w:sz w:val="24"/>
          <w:szCs w:val="24"/>
          <w:lang w:val="en-GB"/>
        </w:rPr>
        <w:t>law and finance</w:t>
      </w:r>
      <w:r w:rsidR="009B1D74" w:rsidRPr="00E82E1F">
        <w:rPr>
          <w:sz w:val="24"/>
          <w:szCs w:val="24"/>
          <w:lang w:val="en-GB"/>
        </w:rPr>
        <w:t xml:space="preserve"> theory against the alternative </w:t>
      </w:r>
      <w:r w:rsidR="00FF2EB3" w:rsidRPr="00E82E1F">
        <w:rPr>
          <w:sz w:val="24"/>
          <w:szCs w:val="24"/>
          <w:lang w:val="en-GB"/>
        </w:rPr>
        <w:t>endowment theory, which fails to consider other competing explanation</w:t>
      </w:r>
      <w:r w:rsidR="00B95D3E" w:rsidRPr="00E82E1F">
        <w:rPr>
          <w:sz w:val="24"/>
          <w:szCs w:val="24"/>
          <w:lang w:val="en-GB"/>
        </w:rPr>
        <w:t>s, such as</w:t>
      </w:r>
      <w:r w:rsidR="00E970A6" w:rsidRPr="00E82E1F">
        <w:rPr>
          <w:sz w:val="24"/>
          <w:szCs w:val="24"/>
          <w:lang w:val="en-GB"/>
        </w:rPr>
        <w:t xml:space="preserve"> the</w:t>
      </w:r>
      <w:r w:rsidR="00B95D3E" w:rsidRPr="00E82E1F">
        <w:rPr>
          <w:sz w:val="24"/>
          <w:szCs w:val="24"/>
          <w:lang w:val="en-GB"/>
        </w:rPr>
        <w:t xml:space="preserve"> political theory</w:t>
      </w:r>
      <w:r w:rsidR="00FF2EB3" w:rsidRPr="00E82E1F">
        <w:rPr>
          <w:sz w:val="24"/>
          <w:szCs w:val="24"/>
          <w:lang w:val="en-GB"/>
        </w:rPr>
        <w:t xml:space="preserve"> of stock market development. </w:t>
      </w:r>
      <w:bookmarkStart w:id="50" w:name="OLE_LINK74"/>
      <w:bookmarkStart w:id="51" w:name="OLE_LINK75"/>
      <w:r w:rsidR="00FF2EB3" w:rsidRPr="00E82E1F">
        <w:rPr>
          <w:sz w:val="24"/>
          <w:szCs w:val="24"/>
          <w:lang w:val="en-GB"/>
        </w:rPr>
        <w:t xml:space="preserve">Second, in their review, La </w:t>
      </w:r>
      <w:proofErr w:type="spellStart"/>
      <w:r w:rsidR="00FF2EB3" w:rsidRPr="00E82E1F">
        <w:rPr>
          <w:sz w:val="24"/>
          <w:szCs w:val="24"/>
          <w:lang w:val="en-GB"/>
        </w:rPr>
        <w:t>Porta</w:t>
      </w:r>
      <w:proofErr w:type="spellEnd"/>
      <w:r w:rsidR="00FF2EB3" w:rsidRPr="00E82E1F">
        <w:rPr>
          <w:sz w:val="24"/>
          <w:szCs w:val="24"/>
          <w:lang w:val="en-GB"/>
        </w:rPr>
        <w:t xml:space="preserve"> </w:t>
      </w:r>
      <w:r w:rsidR="00FF2EB3" w:rsidRPr="00E82E1F">
        <w:rPr>
          <w:i/>
          <w:sz w:val="24"/>
          <w:szCs w:val="24"/>
          <w:lang w:val="en-GB"/>
        </w:rPr>
        <w:t>et al.</w:t>
      </w:r>
      <w:r w:rsidR="00FF2EB3" w:rsidRPr="00E82E1F">
        <w:rPr>
          <w:sz w:val="24"/>
          <w:szCs w:val="24"/>
          <w:lang w:val="en-GB"/>
        </w:rPr>
        <w:t xml:space="preserve"> (2008</w:t>
      </w:r>
      <w:r w:rsidR="00045418" w:rsidRPr="00E82E1F">
        <w:rPr>
          <w:sz w:val="24"/>
          <w:szCs w:val="24"/>
          <w:lang w:val="en-GB"/>
        </w:rPr>
        <w:t>, p.</w:t>
      </w:r>
      <w:r w:rsidR="00F67F1E" w:rsidRPr="00E82E1F">
        <w:rPr>
          <w:sz w:val="24"/>
          <w:szCs w:val="24"/>
          <w:lang w:val="en-GB"/>
        </w:rPr>
        <w:t xml:space="preserve"> 326</w:t>
      </w:r>
      <w:r w:rsidR="00FF2EB3" w:rsidRPr="00E82E1F">
        <w:rPr>
          <w:sz w:val="24"/>
          <w:szCs w:val="24"/>
          <w:lang w:val="en-GB"/>
        </w:rPr>
        <w:t>)</w:t>
      </w:r>
      <w:r w:rsidR="00F67F1E" w:rsidRPr="00E82E1F">
        <w:rPr>
          <w:sz w:val="24"/>
          <w:szCs w:val="24"/>
          <w:lang w:val="en-GB"/>
        </w:rPr>
        <w:t xml:space="preserve"> argue that “the measured differences in legal rules matter for economic and social outcomes”</w:t>
      </w:r>
      <w:r w:rsidR="00100A36" w:rsidRPr="00E82E1F">
        <w:rPr>
          <w:sz w:val="24"/>
          <w:szCs w:val="24"/>
          <w:lang w:val="en-GB"/>
        </w:rPr>
        <w:t>.</w:t>
      </w:r>
      <w:r w:rsidR="00F67F1E" w:rsidRPr="00E82E1F">
        <w:rPr>
          <w:sz w:val="24"/>
          <w:szCs w:val="24"/>
          <w:lang w:val="en-GB"/>
        </w:rPr>
        <w:t xml:space="preserve"> Though we </w:t>
      </w:r>
      <w:r w:rsidR="00A46F36" w:rsidRPr="00E82E1F">
        <w:rPr>
          <w:sz w:val="24"/>
          <w:szCs w:val="24"/>
          <w:lang w:val="en-GB"/>
        </w:rPr>
        <w:t xml:space="preserve">believe in their </w:t>
      </w:r>
      <w:r w:rsidR="00F90664" w:rsidRPr="00E82E1F">
        <w:rPr>
          <w:sz w:val="24"/>
          <w:szCs w:val="24"/>
          <w:lang w:val="en-GB"/>
        </w:rPr>
        <w:t xml:space="preserve">conclusion, our paper shows that </w:t>
      </w:r>
      <w:r w:rsidR="00100A36" w:rsidRPr="00E82E1F">
        <w:rPr>
          <w:sz w:val="24"/>
          <w:szCs w:val="24"/>
          <w:lang w:val="en-GB"/>
        </w:rPr>
        <w:t xml:space="preserve">the </w:t>
      </w:r>
      <w:r w:rsidR="00F90664" w:rsidRPr="00E82E1F">
        <w:rPr>
          <w:sz w:val="24"/>
          <w:szCs w:val="24"/>
          <w:lang w:val="en-GB"/>
        </w:rPr>
        <w:t xml:space="preserve">existing macro law and finance evidence </w:t>
      </w:r>
      <w:r w:rsidR="00100A36" w:rsidRPr="00E82E1F">
        <w:rPr>
          <w:sz w:val="24"/>
          <w:szCs w:val="24"/>
          <w:lang w:val="en-GB"/>
        </w:rPr>
        <w:t xml:space="preserve">is </w:t>
      </w:r>
      <w:r w:rsidR="00286055" w:rsidRPr="00E82E1F">
        <w:rPr>
          <w:sz w:val="24"/>
          <w:szCs w:val="24"/>
          <w:lang w:val="en-GB"/>
        </w:rPr>
        <w:t xml:space="preserve">not able to support </w:t>
      </w:r>
      <w:r w:rsidR="008246DB" w:rsidRPr="00E82E1F">
        <w:rPr>
          <w:sz w:val="24"/>
          <w:szCs w:val="24"/>
          <w:lang w:val="en-GB"/>
        </w:rPr>
        <w:t xml:space="preserve">the conclusion </w:t>
      </w:r>
      <w:r w:rsidR="00E246C0" w:rsidRPr="00E82E1F">
        <w:rPr>
          <w:sz w:val="24"/>
          <w:szCs w:val="24"/>
          <w:lang w:val="en-GB"/>
        </w:rPr>
        <w:t>that law matters for stock market development</w:t>
      </w:r>
      <w:r w:rsidR="00286055" w:rsidRPr="00E82E1F">
        <w:rPr>
          <w:sz w:val="24"/>
          <w:szCs w:val="24"/>
          <w:lang w:val="en-GB"/>
        </w:rPr>
        <w:t>.</w:t>
      </w:r>
      <w:bookmarkEnd w:id="50"/>
      <w:bookmarkEnd w:id="51"/>
      <w:r w:rsidR="00286055" w:rsidRPr="00E82E1F">
        <w:rPr>
          <w:sz w:val="24"/>
          <w:szCs w:val="24"/>
          <w:lang w:val="en-GB"/>
        </w:rPr>
        <w:t xml:space="preserve"> </w:t>
      </w:r>
      <w:r w:rsidR="002F4919" w:rsidRPr="00E82E1F">
        <w:rPr>
          <w:sz w:val="24"/>
          <w:szCs w:val="24"/>
          <w:lang w:val="en-GB"/>
        </w:rPr>
        <w:t xml:space="preserve">Finally, </w:t>
      </w:r>
      <w:proofErr w:type="spellStart"/>
      <w:r w:rsidR="00442E85" w:rsidRPr="00E82E1F">
        <w:rPr>
          <w:sz w:val="24"/>
          <w:szCs w:val="24"/>
          <w:lang w:val="en-GB"/>
        </w:rPr>
        <w:t>Helland</w:t>
      </w:r>
      <w:proofErr w:type="spellEnd"/>
      <w:r w:rsidR="00442E85" w:rsidRPr="00E82E1F">
        <w:rPr>
          <w:sz w:val="24"/>
          <w:szCs w:val="24"/>
          <w:lang w:val="en-GB"/>
        </w:rPr>
        <w:t xml:space="preserve"> </w:t>
      </w:r>
      <w:r w:rsidR="00E970A6" w:rsidRPr="00E82E1F">
        <w:rPr>
          <w:sz w:val="24"/>
          <w:szCs w:val="24"/>
          <w:lang w:val="en-GB"/>
        </w:rPr>
        <w:t>and</w:t>
      </w:r>
      <w:r w:rsidR="00442E85" w:rsidRPr="00E82E1F">
        <w:rPr>
          <w:sz w:val="24"/>
          <w:szCs w:val="24"/>
          <w:lang w:val="en-GB"/>
        </w:rPr>
        <w:t xml:space="preserve"> </w:t>
      </w:r>
      <w:proofErr w:type="spellStart"/>
      <w:r w:rsidR="00442E85" w:rsidRPr="00E82E1F">
        <w:rPr>
          <w:sz w:val="24"/>
          <w:szCs w:val="24"/>
          <w:lang w:val="en-GB"/>
        </w:rPr>
        <w:t>Klick</w:t>
      </w:r>
      <w:proofErr w:type="spellEnd"/>
      <w:r w:rsidR="00442E85" w:rsidRPr="00E82E1F">
        <w:rPr>
          <w:sz w:val="24"/>
          <w:szCs w:val="24"/>
          <w:lang w:val="en-GB"/>
        </w:rPr>
        <w:t xml:space="preserve"> (2011) share the closest empirical strategy with ours. They apply the </w:t>
      </w:r>
      <w:r w:rsidR="0067726D" w:rsidRPr="00E82E1F">
        <w:rPr>
          <w:sz w:val="24"/>
          <w:szCs w:val="24"/>
          <w:lang w:val="en-GB"/>
        </w:rPr>
        <w:t>“</w:t>
      </w:r>
      <w:r w:rsidR="00442E85" w:rsidRPr="00E82E1F">
        <w:rPr>
          <w:sz w:val="24"/>
          <w:szCs w:val="24"/>
          <w:lang w:val="en-GB"/>
        </w:rPr>
        <w:t>extreme bound analysis</w:t>
      </w:r>
      <w:r w:rsidR="0067726D" w:rsidRPr="00E82E1F">
        <w:rPr>
          <w:sz w:val="24"/>
          <w:szCs w:val="24"/>
          <w:lang w:val="en-GB"/>
        </w:rPr>
        <w:t>”</w:t>
      </w:r>
      <w:r w:rsidR="00442E85" w:rsidRPr="00E82E1F">
        <w:rPr>
          <w:sz w:val="24"/>
          <w:szCs w:val="24"/>
          <w:lang w:val="en-GB"/>
        </w:rPr>
        <w:t xml:space="preserve"> developed by </w:t>
      </w:r>
      <w:proofErr w:type="spellStart"/>
      <w:r w:rsidR="00442E85" w:rsidRPr="00E82E1F">
        <w:rPr>
          <w:sz w:val="24"/>
          <w:szCs w:val="24"/>
          <w:lang w:val="en-GB"/>
        </w:rPr>
        <w:t>Leamer</w:t>
      </w:r>
      <w:proofErr w:type="spellEnd"/>
      <w:r w:rsidR="00442E85" w:rsidRPr="00E82E1F">
        <w:rPr>
          <w:sz w:val="24"/>
          <w:szCs w:val="24"/>
          <w:lang w:val="en-GB"/>
        </w:rPr>
        <w:t xml:space="preserve"> (1985) to test the sensitivity of the relationship between legal origins and creditor protection</w:t>
      </w:r>
      <w:r w:rsidR="002F4919" w:rsidRPr="00E82E1F">
        <w:rPr>
          <w:sz w:val="24"/>
          <w:szCs w:val="24"/>
          <w:lang w:val="en-GB"/>
        </w:rPr>
        <w:t xml:space="preserve"> and find that legal origins </w:t>
      </w:r>
      <w:r w:rsidR="00BA7C32" w:rsidRPr="00E82E1F">
        <w:rPr>
          <w:sz w:val="24"/>
          <w:szCs w:val="24"/>
          <w:lang w:val="en-GB"/>
        </w:rPr>
        <w:t>lose their explanatory power</w:t>
      </w:r>
      <w:r w:rsidR="00442E85" w:rsidRPr="00E82E1F">
        <w:rPr>
          <w:sz w:val="24"/>
          <w:szCs w:val="24"/>
          <w:lang w:val="en-GB"/>
        </w:rPr>
        <w:t xml:space="preserve">. Our analysis applies BMA, a more sophisticated progeny of </w:t>
      </w:r>
      <w:r w:rsidR="0067726D" w:rsidRPr="00E82E1F">
        <w:rPr>
          <w:sz w:val="24"/>
          <w:szCs w:val="24"/>
          <w:lang w:val="en-GB"/>
        </w:rPr>
        <w:t>“</w:t>
      </w:r>
      <w:r w:rsidR="00442E85" w:rsidRPr="00E82E1F">
        <w:rPr>
          <w:sz w:val="24"/>
          <w:szCs w:val="24"/>
          <w:lang w:val="en-GB"/>
        </w:rPr>
        <w:t>extreme bound analysis</w:t>
      </w:r>
      <w:r w:rsidR="0067726D" w:rsidRPr="00E82E1F">
        <w:rPr>
          <w:sz w:val="24"/>
          <w:szCs w:val="24"/>
          <w:lang w:val="en-GB"/>
        </w:rPr>
        <w:t>”</w:t>
      </w:r>
      <w:r w:rsidR="00442E85" w:rsidRPr="00E82E1F">
        <w:rPr>
          <w:sz w:val="24"/>
          <w:szCs w:val="24"/>
          <w:lang w:val="en-GB"/>
        </w:rPr>
        <w:t xml:space="preserve">, to systematically investigate the </w:t>
      </w:r>
      <w:r w:rsidR="00B95D3E" w:rsidRPr="00E82E1F">
        <w:rPr>
          <w:sz w:val="24"/>
          <w:szCs w:val="24"/>
          <w:lang w:val="en-GB"/>
        </w:rPr>
        <w:t xml:space="preserve">empirical relationship between </w:t>
      </w:r>
      <w:r w:rsidR="00CB74FA" w:rsidRPr="00E82E1F">
        <w:rPr>
          <w:sz w:val="24"/>
          <w:szCs w:val="24"/>
          <w:lang w:val="en-GB"/>
        </w:rPr>
        <w:t xml:space="preserve">proxies for investor protection and stock market development. </w:t>
      </w:r>
      <w:r w:rsidR="002C45AD" w:rsidRPr="00E82E1F">
        <w:rPr>
          <w:sz w:val="24"/>
          <w:szCs w:val="24"/>
          <w:lang w:val="en-GB"/>
        </w:rPr>
        <w:t>The rest of the article is arranged as follows: Section 2 reviews</w:t>
      </w:r>
      <w:r w:rsidR="0067726D" w:rsidRPr="00E82E1F">
        <w:rPr>
          <w:sz w:val="24"/>
          <w:szCs w:val="24"/>
          <w:lang w:val="en-GB"/>
        </w:rPr>
        <w:t xml:space="preserve"> previous </w:t>
      </w:r>
      <w:r w:rsidR="00CB74FA" w:rsidRPr="00E82E1F">
        <w:rPr>
          <w:sz w:val="24"/>
          <w:szCs w:val="24"/>
          <w:lang w:val="en-GB"/>
        </w:rPr>
        <w:t>discussions on both legal and extra-legal</w:t>
      </w:r>
      <w:r w:rsidR="002C45AD" w:rsidRPr="00E82E1F">
        <w:rPr>
          <w:sz w:val="24"/>
          <w:szCs w:val="24"/>
          <w:lang w:val="en-GB"/>
        </w:rPr>
        <w:t xml:space="preserve"> determina</w:t>
      </w:r>
      <w:r w:rsidR="00425B0F" w:rsidRPr="00E82E1F">
        <w:rPr>
          <w:sz w:val="24"/>
          <w:szCs w:val="24"/>
          <w:lang w:val="en-GB"/>
        </w:rPr>
        <w:t xml:space="preserve">nts of stock market development. Section 3 </w:t>
      </w:r>
      <w:r w:rsidR="00324135" w:rsidRPr="00E82E1F">
        <w:rPr>
          <w:sz w:val="24"/>
          <w:szCs w:val="24"/>
          <w:lang w:val="en-GB"/>
        </w:rPr>
        <w:t>presents</w:t>
      </w:r>
      <w:r w:rsidR="00425B0F" w:rsidRPr="00E82E1F">
        <w:rPr>
          <w:sz w:val="24"/>
          <w:szCs w:val="24"/>
          <w:lang w:val="en-GB"/>
        </w:rPr>
        <w:t xml:space="preserve"> the data s</w:t>
      </w:r>
      <w:r w:rsidR="00324135" w:rsidRPr="00E82E1F">
        <w:rPr>
          <w:sz w:val="24"/>
          <w:szCs w:val="24"/>
          <w:lang w:val="en-GB"/>
        </w:rPr>
        <w:t>et and the empirical strategies</w:t>
      </w:r>
      <w:r w:rsidR="0067726D" w:rsidRPr="00E82E1F">
        <w:rPr>
          <w:sz w:val="24"/>
          <w:szCs w:val="24"/>
          <w:lang w:val="en-GB"/>
        </w:rPr>
        <w:t xml:space="preserve">. </w:t>
      </w:r>
      <w:r w:rsidR="00425B0F" w:rsidRPr="00E82E1F">
        <w:rPr>
          <w:sz w:val="24"/>
          <w:szCs w:val="24"/>
          <w:lang w:val="en-GB"/>
        </w:rPr>
        <w:t>Section 4</w:t>
      </w:r>
      <w:r w:rsidR="0067726D" w:rsidRPr="00E82E1F">
        <w:rPr>
          <w:sz w:val="24"/>
          <w:szCs w:val="24"/>
          <w:lang w:val="en-GB"/>
        </w:rPr>
        <w:t xml:space="preserve"> reports the outputs and</w:t>
      </w:r>
      <w:r w:rsidR="00425B0F" w:rsidRPr="00E82E1F">
        <w:rPr>
          <w:sz w:val="24"/>
          <w:szCs w:val="24"/>
          <w:lang w:val="en-GB"/>
        </w:rPr>
        <w:t xml:space="preserve"> </w:t>
      </w:r>
      <w:r w:rsidR="004E5162" w:rsidRPr="00E82E1F">
        <w:rPr>
          <w:sz w:val="24"/>
          <w:szCs w:val="24"/>
          <w:lang w:val="en-GB"/>
        </w:rPr>
        <w:t>Section 5 the robustness check. Section 6</w:t>
      </w:r>
      <w:r w:rsidR="00425B0F" w:rsidRPr="00E82E1F">
        <w:rPr>
          <w:sz w:val="24"/>
          <w:szCs w:val="24"/>
          <w:lang w:val="en-GB"/>
        </w:rPr>
        <w:t xml:space="preserve"> concludes.</w:t>
      </w:r>
    </w:p>
    <w:p w:rsidR="00510ED6" w:rsidRDefault="00E45B50" w:rsidP="00510ED6">
      <w:pPr>
        <w:spacing w:beforeLines="100"/>
        <w:mirrorIndents/>
        <w:rPr>
          <w:rFonts w:hint="eastAsia"/>
          <w:b/>
          <w:sz w:val="28"/>
          <w:szCs w:val="24"/>
          <w:lang w:val="en-GB"/>
        </w:rPr>
      </w:pPr>
      <w:r w:rsidRPr="00510ED6">
        <w:rPr>
          <w:b/>
          <w:sz w:val="28"/>
          <w:szCs w:val="24"/>
          <w:lang w:val="en-GB"/>
        </w:rPr>
        <w:t>2</w:t>
      </w:r>
      <w:r w:rsidR="00425B0F" w:rsidRPr="00510ED6">
        <w:rPr>
          <w:b/>
          <w:sz w:val="28"/>
          <w:szCs w:val="24"/>
          <w:lang w:val="en-GB"/>
        </w:rPr>
        <w:t>.</w:t>
      </w:r>
      <w:r w:rsidR="00974DE8" w:rsidRPr="00510ED6">
        <w:rPr>
          <w:b/>
          <w:sz w:val="28"/>
          <w:szCs w:val="24"/>
          <w:lang w:val="en-GB"/>
        </w:rPr>
        <w:t xml:space="preserve"> </w:t>
      </w:r>
      <w:r w:rsidR="00425B0F" w:rsidRPr="00510ED6">
        <w:rPr>
          <w:b/>
          <w:sz w:val="28"/>
          <w:szCs w:val="24"/>
          <w:lang w:val="en-GB"/>
        </w:rPr>
        <w:t>D</w:t>
      </w:r>
      <w:r w:rsidR="00974DE8" w:rsidRPr="00510ED6">
        <w:rPr>
          <w:b/>
          <w:sz w:val="28"/>
          <w:szCs w:val="24"/>
          <w:lang w:val="en-GB"/>
        </w:rPr>
        <w:t xml:space="preserve">eterminants of stock market development </w:t>
      </w:r>
    </w:p>
    <w:p w:rsidR="00974DE8" w:rsidRPr="00E82E1F" w:rsidRDefault="00D276D2" w:rsidP="00510ED6">
      <w:pPr>
        <w:spacing w:beforeLines="100"/>
        <w:mirrorIndents/>
        <w:rPr>
          <w:sz w:val="24"/>
          <w:szCs w:val="24"/>
          <w:lang w:val="en-GB"/>
        </w:rPr>
      </w:pPr>
      <w:r w:rsidRPr="00E82E1F">
        <w:rPr>
          <w:sz w:val="24"/>
          <w:szCs w:val="24"/>
          <w:lang w:val="en-GB"/>
        </w:rPr>
        <w:t>This section does not provide a comprehensive</w:t>
      </w:r>
      <w:r w:rsidR="00E970A6" w:rsidRPr="00E82E1F">
        <w:rPr>
          <w:sz w:val="24"/>
          <w:szCs w:val="24"/>
          <w:lang w:val="en-GB"/>
        </w:rPr>
        <w:t xml:space="preserve"> review of</w:t>
      </w:r>
      <w:r w:rsidRPr="00E82E1F">
        <w:rPr>
          <w:sz w:val="24"/>
          <w:szCs w:val="24"/>
          <w:lang w:val="en-GB"/>
        </w:rPr>
        <w:t xml:space="preserve"> the law and finance literature</w:t>
      </w:r>
      <w:r w:rsidR="00B9398F" w:rsidRPr="00E82E1F">
        <w:rPr>
          <w:sz w:val="24"/>
          <w:szCs w:val="24"/>
          <w:lang w:val="en-GB"/>
        </w:rPr>
        <w:t xml:space="preserve"> because </w:t>
      </w:r>
      <w:r w:rsidRPr="00E82E1F">
        <w:rPr>
          <w:sz w:val="24"/>
          <w:szCs w:val="24"/>
          <w:lang w:val="en-GB"/>
        </w:rPr>
        <w:t xml:space="preserve">there have been </w:t>
      </w:r>
      <w:r w:rsidR="00E970A6" w:rsidRPr="00E82E1F">
        <w:rPr>
          <w:sz w:val="24"/>
          <w:szCs w:val="24"/>
          <w:lang w:val="en-GB"/>
        </w:rPr>
        <w:t xml:space="preserve">a number of </w:t>
      </w:r>
      <w:r w:rsidRPr="00E82E1F">
        <w:rPr>
          <w:sz w:val="24"/>
          <w:szCs w:val="24"/>
          <w:lang w:val="en-GB"/>
        </w:rPr>
        <w:t>published survey articles.</w:t>
      </w:r>
      <w:r w:rsidR="002B7039">
        <w:rPr>
          <w:rStyle w:val="a6"/>
          <w:sz w:val="24"/>
          <w:szCs w:val="24"/>
          <w:lang w:val="en-GB"/>
        </w:rPr>
        <w:footnoteReference w:id="14"/>
      </w:r>
      <w:r w:rsidRPr="00E82E1F">
        <w:rPr>
          <w:sz w:val="24"/>
          <w:szCs w:val="24"/>
          <w:lang w:val="en-GB"/>
        </w:rPr>
        <w:t xml:space="preserve"> We mainly </w:t>
      </w:r>
      <w:r w:rsidR="00D229E6" w:rsidRPr="00E82E1F">
        <w:rPr>
          <w:sz w:val="24"/>
          <w:szCs w:val="24"/>
          <w:lang w:val="en-GB"/>
        </w:rPr>
        <w:t>consider</w:t>
      </w:r>
      <w:r w:rsidRPr="00E82E1F">
        <w:rPr>
          <w:sz w:val="24"/>
          <w:szCs w:val="24"/>
          <w:lang w:val="en-GB"/>
        </w:rPr>
        <w:t xml:space="preserve"> the </w:t>
      </w:r>
      <w:r w:rsidR="00761A0E" w:rsidRPr="00E82E1F">
        <w:rPr>
          <w:sz w:val="24"/>
          <w:szCs w:val="24"/>
          <w:lang w:val="en-GB"/>
        </w:rPr>
        <w:t xml:space="preserve">legal and extra-legal </w:t>
      </w:r>
      <w:r w:rsidR="00C65052" w:rsidRPr="00E82E1F">
        <w:rPr>
          <w:sz w:val="24"/>
          <w:szCs w:val="24"/>
          <w:lang w:val="en-GB"/>
        </w:rPr>
        <w:t>determinants</w:t>
      </w:r>
      <w:r w:rsidRPr="00E82E1F">
        <w:rPr>
          <w:sz w:val="24"/>
          <w:szCs w:val="24"/>
          <w:lang w:val="en-GB"/>
        </w:rPr>
        <w:t xml:space="preserve"> </w:t>
      </w:r>
      <w:r w:rsidR="00E970A6" w:rsidRPr="00E82E1F">
        <w:rPr>
          <w:sz w:val="24"/>
          <w:szCs w:val="24"/>
          <w:lang w:val="en-GB"/>
        </w:rPr>
        <w:t xml:space="preserve">that are </w:t>
      </w:r>
      <w:r w:rsidRPr="00E82E1F">
        <w:rPr>
          <w:sz w:val="24"/>
          <w:szCs w:val="24"/>
          <w:lang w:val="en-GB"/>
        </w:rPr>
        <w:t>employed in the BMA analysis</w:t>
      </w:r>
      <w:r w:rsidR="00761A0E" w:rsidRPr="00E82E1F">
        <w:rPr>
          <w:sz w:val="24"/>
          <w:szCs w:val="24"/>
          <w:lang w:val="en-GB"/>
        </w:rPr>
        <w:t xml:space="preserve">. </w:t>
      </w:r>
      <w:r w:rsidR="00BE2582" w:rsidRPr="00E82E1F">
        <w:rPr>
          <w:sz w:val="24"/>
          <w:szCs w:val="24"/>
          <w:lang w:val="en-GB"/>
        </w:rPr>
        <w:t>The former group includes</w:t>
      </w:r>
      <w:r w:rsidR="009835EA" w:rsidRPr="00E82E1F">
        <w:rPr>
          <w:sz w:val="24"/>
          <w:szCs w:val="24"/>
          <w:lang w:val="en-GB"/>
        </w:rPr>
        <w:t xml:space="preserve"> </w:t>
      </w:r>
      <w:r w:rsidR="00724E37" w:rsidRPr="00E82E1F">
        <w:rPr>
          <w:sz w:val="24"/>
          <w:szCs w:val="24"/>
          <w:lang w:val="en-GB"/>
        </w:rPr>
        <w:t>shareholder protection</w:t>
      </w:r>
      <w:r w:rsidR="00E970A6" w:rsidRPr="00E82E1F">
        <w:rPr>
          <w:sz w:val="24"/>
          <w:szCs w:val="24"/>
          <w:lang w:val="en-GB"/>
        </w:rPr>
        <w:t xml:space="preserve"> rules</w:t>
      </w:r>
      <w:r w:rsidR="00BE2582" w:rsidRPr="00E82E1F">
        <w:rPr>
          <w:sz w:val="24"/>
          <w:szCs w:val="24"/>
          <w:lang w:val="en-GB"/>
        </w:rPr>
        <w:t xml:space="preserve">, enforcement strategies, </w:t>
      </w:r>
      <w:r w:rsidR="009835EA" w:rsidRPr="00E82E1F">
        <w:rPr>
          <w:sz w:val="24"/>
          <w:szCs w:val="24"/>
          <w:lang w:val="en-GB"/>
        </w:rPr>
        <w:t xml:space="preserve">and property rights protection, </w:t>
      </w:r>
      <w:r w:rsidR="00E970A6" w:rsidRPr="00E82E1F">
        <w:rPr>
          <w:sz w:val="24"/>
          <w:szCs w:val="24"/>
          <w:lang w:val="en-GB"/>
        </w:rPr>
        <w:t xml:space="preserve">whereas </w:t>
      </w:r>
      <w:r w:rsidR="009835EA" w:rsidRPr="00E82E1F">
        <w:rPr>
          <w:sz w:val="24"/>
          <w:szCs w:val="24"/>
          <w:lang w:val="en-GB"/>
        </w:rPr>
        <w:t xml:space="preserve">the </w:t>
      </w:r>
      <w:r w:rsidR="00E970A6" w:rsidRPr="00E82E1F">
        <w:rPr>
          <w:sz w:val="24"/>
          <w:szCs w:val="24"/>
          <w:lang w:val="en-GB"/>
        </w:rPr>
        <w:t xml:space="preserve">latter </w:t>
      </w:r>
      <w:r w:rsidR="009835EA" w:rsidRPr="00E82E1F">
        <w:rPr>
          <w:sz w:val="24"/>
          <w:szCs w:val="24"/>
          <w:lang w:val="en-GB"/>
        </w:rPr>
        <w:t>includes the</w:t>
      </w:r>
      <w:r w:rsidR="002378F0" w:rsidRPr="00E82E1F">
        <w:rPr>
          <w:sz w:val="24"/>
          <w:szCs w:val="24"/>
          <w:lang w:val="en-GB"/>
        </w:rPr>
        <w:t xml:space="preserve"> </w:t>
      </w:r>
      <w:r w:rsidR="00DA6255" w:rsidRPr="00E82E1F">
        <w:rPr>
          <w:sz w:val="24"/>
          <w:szCs w:val="24"/>
          <w:lang w:val="en-GB"/>
        </w:rPr>
        <w:t>transplantation process</w:t>
      </w:r>
      <w:r w:rsidR="002378F0" w:rsidRPr="00E82E1F">
        <w:rPr>
          <w:sz w:val="24"/>
          <w:szCs w:val="24"/>
          <w:lang w:val="en-GB"/>
        </w:rPr>
        <w:t>, politics and culture.</w:t>
      </w:r>
      <w:r w:rsidR="00AF54E5" w:rsidRPr="00E82E1F">
        <w:rPr>
          <w:sz w:val="24"/>
          <w:szCs w:val="24"/>
          <w:lang w:val="en-GB"/>
        </w:rPr>
        <w:t xml:space="preserve"> </w:t>
      </w:r>
      <w:r w:rsidR="00200108" w:rsidRPr="00E82E1F">
        <w:rPr>
          <w:sz w:val="24"/>
          <w:szCs w:val="24"/>
          <w:lang w:val="en-GB"/>
        </w:rPr>
        <w:t>The definitions and</w:t>
      </w:r>
      <w:r w:rsidR="00AF54E5" w:rsidRPr="00E82E1F">
        <w:rPr>
          <w:sz w:val="24"/>
          <w:szCs w:val="24"/>
          <w:lang w:val="en-GB"/>
        </w:rPr>
        <w:t xml:space="preserve"> sources of these variables are reported in Table 1.</w:t>
      </w:r>
    </w:p>
    <w:p w:rsidR="00A641D5" w:rsidRDefault="00A641D5" w:rsidP="00510ED6">
      <w:pPr>
        <w:spacing w:before="100"/>
        <w:mirrorIndents/>
        <w:rPr>
          <w:sz w:val="24"/>
          <w:szCs w:val="24"/>
          <w:lang w:val="en-GB"/>
        </w:rPr>
        <w:sectPr w:rsidR="00A641D5" w:rsidSect="000664F3">
          <w:footnotePr>
            <w:numRestart w:val="eachSect"/>
          </w:footnotePr>
          <w:pgSz w:w="11906" w:h="16838"/>
          <w:pgMar w:top="1440" w:right="1800" w:bottom="1440" w:left="1800" w:header="851" w:footer="992" w:gutter="0"/>
          <w:cols w:space="720"/>
          <w:docGrid w:type="lines" w:linePitch="312"/>
        </w:sectPr>
      </w:pPr>
    </w:p>
    <w:p w:rsidR="00902E24" w:rsidRDefault="00902E24" w:rsidP="00E82E1F">
      <w:pPr>
        <w:spacing w:line="360" w:lineRule="auto"/>
        <w:rPr>
          <w:sz w:val="24"/>
          <w:szCs w:val="24"/>
          <w:lang w:val="en-GB"/>
        </w:rPr>
      </w:pPr>
    </w:p>
    <w:p w:rsidR="00A641D5" w:rsidRPr="00234284" w:rsidRDefault="00A641D5" w:rsidP="00A641D5">
      <w:pPr>
        <w:adjustRightInd w:val="0"/>
        <w:snapToGrid w:val="0"/>
        <w:jc w:val="center"/>
        <w:rPr>
          <w:b/>
          <w:sz w:val="28"/>
          <w:szCs w:val="28"/>
          <w:lang w:val="en-GB"/>
        </w:rPr>
      </w:pPr>
      <w:bookmarkStart w:id="52" w:name="_Toc16591"/>
      <w:bookmarkStart w:id="53" w:name="_Toc382590700"/>
      <w:r w:rsidRPr="00234284">
        <w:rPr>
          <w:b/>
          <w:sz w:val="28"/>
          <w:szCs w:val="28"/>
          <w:lang w:val="en-GB"/>
        </w:rPr>
        <w:t xml:space="preserve">Table 1 Definitions, sources, and descriptive statistics for the variables </w:t>
      </w:r>
    </w:p>
    <w:p w:rsidR="00A641D5" w:rsidRPr="00234284" w:rsidRDefault="00A641D5" w:rsidP="00A641D5">
      <w:pPr>
        <w:adjustRightInd w:val="0"/>
        <w:snapToGrid w:val="0"/>
        <w:rPr>
          <w:lang w:val="en-GB"/>
        </w:rPr>
      </w:pPr>
      <w:r w:rsidRPr="00234284">
        <w:rPr>
          <w:lang w:val="en-GB"/>
        </w:rPr>
        <w:t>The table presents definitions, sources, and descriptive statistics for the variables included in the analysis. The sample covers 48 economies: Argentina, Australia, Austria, Belgium, Brazil, Canada, Chile, Colombia, Denmark, Ecuador, Egypt, Finland, France, Germany, Greece, Hong Kong, India, Indonesia, Ireland, Israel, Italy, Japan, Jordan, Kenya, Malaysia, Mexico, Netherlands, New Zealand, Nigeria, Norway, Pakistan, Peru, Philippines, Portugal, Singapore, South Africa, South Korea, Spain, Sri Lanka, Sweden, Switzerland, Thailand, Turkey, U.K., U.S., Uruguay, Venezuela, and Zimbabwe.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2137"/>
        <w:gridCol w:w="1701"/>
        <w:gridCol w:w="535"/>
        <w:gridCol w:w="6593"/>
        <w:gridCol w:w="1134"/>
        <w:gridCol w:w="1101"/>
      </w:tblGrid>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b/>
                <w:color w:val="000000"/>
                <w:kern w:val="0"/>
                <w:sz w:val="18"/>
                <w:szCs w:val="18"/>
                <w:lang w:val="en-GB"/>
              </w:rPr>
            </w:pPr>
            <w:r w:rsidRPr="00234284">
              <w:rPr>
                <w:b/>
                <w:color w:val="000000"/>
                <w:kern w:val="0"/>
                <w:sz w:val="18"/>
                <w:szCs w:val="18"/>
                <w:lang w:val="en-GB"/>
              </w:rPr>
              <w:t>Num</w:t>
            </w:r>
          </w:p>
        </w:tc>
        <w:tc>
          <w:tcPr>
            <w:tcW w:w="2137" w:type="dxa"/>
            <w:vAlign w:val="bottom"/>
          </w:tcPr>
          <w:p w:rsidR="00A641D5" w:rsidRPr="00234284" w:rsidRDefault="00A641D5" w:rsidP="00A641D5">
            <w:pPr>
              <w:adjustRightInd w:val="0"/>
              <w:snapToGrid w:val="0"/>
              <w:jc w:val="center"/>
              <w:rPr>
                <w:b/>
                <w:color w:val="000000"/>
                <w:kern w:val="0"/>
                <w:sz w:val="18"/>
                <w:szCs w:val="18"/>
                <w:lang w:val="en-GB"/>
              </w:rPr>
            </w:pPr>
            <w:r w:rsidRPr="00234284">
              <w:rPr>
                <w:b/>
                <w:color w:val="000000"/>
                <w:kern w:val="0"/>
                <w:sz w:val="18"/>
                <w:szCs w:val="18"/>
                <w:lang w:val="en-GB"/>
              </w:rPr>
              <w:t>Abbreviation</w:t>
            </w:r>
          </w:p>
        </w:tc>
        <w:tc>
          <w:tcPr>
            <w:tcW w:w="1701" w:type="dxa"/>
            <w:vAlign w:val="bottom"/>
          </w:tcPr>
          <w:p w:rsidR="00A641D5" w:rsidRPr="00234284" w:rsidRDefault="00A641D5" w:rsidP="00A641D5">
            <w:pPr>
              <w:adjustRightInd w:val="0"/>
              <w:snapToGrid w:val="0"/>
              <w:jc w:val="center"/>
              <w:rPr>
                <w:b/>
                <w:color w:val="000000"/>
                <w:kern w:val="0"/>
                <w:sz w:val="18"/>
                <w:szCs w:val="18"/>
                <w:lang w:val="en-GB"/>
              </w:rPr>
            </w:pPr>
            <w:r w:rsidRPr="00234284">
              <w:rPr>
                <w:b/>
                <w:color w:val="000000"/>
                <w:kern w:val="0"/>
                <w:sz w:val="18"/>
                <w:szCs w:val="18"/>
                <w:lang w:val="en-GB"/>
              </w:rPr>
              <w:t>Variable</w:t>
            </w:r>
          </w:p>
        </w:tc>
        <w:tc>
          <w:tcPr>
            <w:tcW w:w="535" w:type="dxa"/>
            <w:vAlign w:val="bottom"/>
          </w:tcPr>
          <w:p w:rsidR="00A641D5" w:rsidRPr="00234284" w:rsidRDefault="00A641D5" w:rsidP="00A641D5">
            <w:pPr>
              <w:adjustRightInd w:val="0"/>
              <w:snapToGrid w:val="0"/>
              <w:jc w:val="center"/>
              <w:rPr>
                <w:b/>
                <w:color w:val="000000"/>
                <w:kern w:val="0"/>
                <w:sz w:val="18"/>
                <w:szCs w:val="18"/>
                <w:lang w:val="en-GB"/>
              </w:rPr>
            </w:pPr>
            <w:proofErr w:type="spellStart"/>
            <w:r w:rsidRPr="00234284">
              <w:rPr>
                <w:b/>
                <w:color w:val="000000"/>
                <w:kern w:val="0"/>
                <w:sz w:val="18"/>
                <w:szCs w:val="18"/>
                <w:lang w:val="en-GB"/>
              </w:rPr>
              <w:t>Obs</w:t>
            </w:r>
            <w:proofErr w:type="spellEnd"/>
          </w:p>
        </w:tc>
        <w:tc>
          <w:tcPr>
            <w:tcW w:w="6593" w:type="dxa"/>
            <w:vAlign w:val="bottom"/>
          </w:tcPr>
          <w:p w:rsidR="00A641D5" w:rsidRPr="00234284" w:rsidRDefault="00A641D5" w:rsidP="00A641D5">
            <w:pPr>
              <w:adjustRightInd w:val="0"/>
              <w:snapToGrid w:val="0"/>
              <w:jc w:val="center"/>
              <w:rPr>
                <w:b/>
                <w:color w:val="000000"/>
                <w:kern w:val="0"/>
                <w:sz w:val="18"/>
                <w:szCs w:val="18"/>
                <w:lang w:val="en-GB"/>
              </w:rPr>
            </w:pPr>
            <w:r w:rsidRPr="00234284">
              <w:rPr>
                <w:b/>
                <w:color w:val="000000"/>
                <w:kern w:val="0"/>
                <w:sz w:val="18"/>
                <w:szCs w:val="18"/>
                <w:lang w:val="en-GB"/>
              </w:rPr>
              <w:t>Definition and Source</w:t>
            </w:r>
          </w:p>
        </w:tc>
        <w:tc>
          <w:tcPr>
            <w:tcW w:w="1134" w:type="dxa"/>
            <w:vAlign w:val="bottom"/>
          </w:tcPr>
          <w:p w:rsidR="00A641D5" w:rsidRPr="00234284" w:rsidRDefault="00A641D5" w:rsidP="00A641D5">
            <w:pPr>
              <w:adjustRightInd w:val="0"/>
              <w:snapToGrid w:val="0"/>
              <w:jc w:val="center"/>
              <w:rPr>
                <w:b/>
                <w:color w:val="000000"/>
                <w:kern w:val="0"/>
                <w:sz w:val="18"/>
                <w:szCs w:val="18"/>
                <w:lang w:val="en-GB"/>
              </w:rPr>
            </w:pPr>
            <w:r w:rsidRPr="00234284">
              <w:rPr>
                <w:b/>
                <w:color w:val="000000"/>
                <w:kern w:val="0"/>
                <w:sz w:val="18"/>
                <w:szCs w:val="18"/>
                <w:lang w:val="en-GB"/>
              </w:rPr>
              <w:t>Mean</w:t>
            </w:r>
          </w:p>
        </w:tc>
        <w:tc>
          <w:tcPr>
            <w:tcW w:w="1101" w:type="dxa"/>
            <w:vAlign w:val="bottom"/>
          </w:tcPr>
          <w:p w:rsidR="00A641D5" w:rsidRPr="00234284" w:rsidRDefault="00A641D5" w:rsidP="00A641D5">
            <w:pPr>
              <w:adjustRightInd w:val="0"/>
              <w:snapToGrid w:val="0"/>
              <w:jc w:val="center"/>
              <w:rPr>
                <w:b/>
                <w:color w:val="000000"/>
                <w:kern w:val="0"/>
                <w:sz w:val="18"/>
                <w:szCs w:val="18"/>
                <w:lang w:val="en-GB"/>
              </w:rPr>
            </w:pPr>
            <w:r w:rsidRPr="00234284">
              <w:rPr>
                <w:b/>
                <w:color w:val="000000"/>
                <w:kern w:val="0"/>
                <w:sz w:val="18"/>
                <w:szCs w:val="18"/>
                <w:lang w:val="en-GB"/>
              </w:rPr>
              <w:t>Std. Dev.</w:t>
            </w:r>
          </w:p>
        </w:tc>
      </w:tr>
      <w:tr w:rsidR="00A641D5" w:rsidRPr="00234284" w:rsidTr="00A641D5">
        <w:trPr>
          <w:trHeight w:val="240"/>
          <w:jc w:val="center"/>
        </w:trPr>
        <w:tc>
          <w:tcPr>
            <w:tcW w:w="13840" w:type="dxa"/>
            <w:gridSpan w:val="7"/>
            <w:vAlign w:val="bottom"/>
          </w:tcPr>
          <w:p w:rsidR="00A641D5" w:rsidRPr="00234284" w:rsidRDefault="00A641D5" w:rsidP="00A641D5">
            <w:pPr>
              <w:adjustRightInd w:val="0"/>
              <w:snapToGrid w:val="0"/>
              <w:jc w:val="center"/>
              <w:rPr>
                <w:b/>
                <w:color w:val="000000"/>
                <w:kern w:val="0"/>
                <w:sz w:val="18"/>
                <w:szCs w:val="18"/>
                <w:lang w:val="en-GB"/>
              </w:rPr>
            </w:pPr>
            <w:r w:rsidRPr="00234284">
              <w:rPr>
                <w:b/>
                <w:color w:val="000000"/>
                <w:kern w:val="0"/>
                <w:sz w:val="18"/>
                <w:szCs w:val="18"/>
                <w:lang w:val="en-GB"/>
              </w:rPr>
              <w:t>Dependent Variables</w:t>
            </w: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kern w:val="0"/>
                <w:sz w:val="18"/>
                <w:szCs w:val="18"/>
                <w:lang w:val="en-GB"/>
              </w:rPr>
            </w:pPr>
            <w:proofErr w:type="spellStart"/>
            <w:r w:rsidRPr="00234284">
              <w:rPr>
                <w:color w:val="000000"/>
                <w:kern w:val="0"/>
                <w:sz w:val="18"/>
                <w:szCs w:val="18"/>
                <w:lang w:val="en-GB"/>
              </w:rPr>
              <w:t>cmmkt</w:t>
            </w:r>
            <w:proofErr w:type="spellEnd"/>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Stock market capitalization to GDP</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Average of the ratio of stock market capitalization to gross domestic product for the period 1999-2003. Source: DLLS (2008).</w:t>
            </w:r>
          </w:p>
          <w:p w:rsidR="00A641D5" w:rsidRPr="00234284" w:rsidRDefault="00A641D5" w:rsidP="00A641D5">
            <w:pPr>
              <w:adjustRightInd w:val="0"/>
              <w:snapToGrid w:val="0"/>
              <w:jc w:val="left"/>
              <w:rPr>
                <w:color w:val="000000"/>
                <w:kern w:val="0"/>
                <w:sz w:val="18"/>
                <w:szCs w:val="18"/>
                <w:lang w:val="en-GB"/>
              </w:rPr>
            </w:pP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74.61642</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68.528</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2</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kern w:val="0"/>
                <w:sz w:val="18"/>
                <w:szCs w:val="18"/>
                <w:lang w:val="en-GB"/>
              </w:rPr>
            </w:pPr>
            <w:proofErr w:type="spellStart"/>
            <w:r w:rsidRPr="00234284">
              <w:rPr>
                <w:color w:val="000000"/>
                <w:kern w:val="0"/>
                <w:sz w:val="18"/>
                <w:szCs w:val="18"/>
                <w:lang w:val="en-GB"/>
              </w:rPr>
              <w:t>lnlisted</w:t>
            </w:r>
            <w:proofErr w:type="spellEnd"/>
          </w:p>
          <w:p w:rsidR="00A641D5" w:rsidRPr="00234284" w:rsidRDefault="00A641D5" w:rsidP="00A641D5">
            <w:pPr>
              <w:adjustRightInd w:val="0"/>
              <w:snapToGrid w:val="0"/>
              <w:rPr>
                <w:color w:val="000000"/>
                <w:kern w:val="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proofErr w:type="spellStart"/>
            <w:r w:rsidRPr="00234284">
              <w:rPr>
                <w:color w:val="000000"/>
                <w:kern w:val="0"/>
                <w:sz w:val="18"/>
                <w:szCs w:val="18"/>
                <w:lang w:val="en-GB"/>
              </w:rPr>
              <w:t>Ln</w:t>
            </w:r>
            <w:proofErr w:type="spellEnd"/>
            <w:r w:rsidRPr="00234284">
              <w:rPr>
                <w:color w:val="000000"/>
                <w:kern w:val="0"/>
                <w:sz w:val="18"/>
                <w:szCs w:val="18"/>
                <w:lang w:val="en-GB"/>
              </w:rPr>
              <w:t xml:space="preserve"> (Firms /POP)</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Logarithm of the average ratio of the number of domestic firms listed in a given country to its population (in millions) for the period 1999-2003. Source: DLLS (2008).</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23.90835</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28.13406</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3</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kern w:val="0"/>
                <w:sz w:val="18"/>
                <w:szCs w:val="18"/>
                <w:lang w:val="en-GB"/>
              </w:rPr>
            </w:pPr>
            <w:proofErr w:type="spellStart"/>
            <w:r w:rsidRPr="00234284">
              <w:rPr>
                <w:color w:val="000000"/>
                <w:kern w:val="0"/>
                <w:sz w:val="18"/>
                <w:szCs w:val="18"/>
                <w:lang w:val="en-GB"/>
              </w:rPr>
              <w:t>ipo</w:t>
            </w:r>
            <w:proofErr w:type="spellEnd"/>
          </w:p>
          <w:p w:rsidR="00A641D5" w:rsidRPr="00234284" w:rsidRDefault="00A641D5" w:rsidP="00A641D5">
            <w:pPr>
              <w:adjustRightInd w:val="0"/>
              <w:snapToGrid w:val="0"/>
              <w:rPr>
                <w:color w:val="000000"/>
                <w:kern w:val="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IPOs-to-GDP</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The average ratio of the equity issued by newly listed firms in a given country (in thousands) to its GDP (in millions) over the period 1996-2000. Source: DLLS (2008).</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2.820875</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3.037239</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4</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trade</w:t>
            </w:r>
          </w:p>
          <w:p w:rsidR="00A641D5" w:rsidRPr="00234284" w:rsidRDefault="00A641D5" w:rsidP="00A641D5">
            <w:pPr>
              <w:adjustRightInd w:val="0"/>
              <w:snapToGrid w:val="0"/>
              <w:rPr>
                <w:color w:val="000000"/>
                <w:kern w:val="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Stock traded to GDP</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The average total value of stocks traded as a percentage of GDP. Source: World Development Indicators 2011.</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50.81346</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57.01453</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13840" w:type="dxa"/>
            <w:gridSpan w:val="7"/>
            <w:vAlign w:val="bottom"/>
          </w:tcPr>
          <w:p w:rsidR="00A641D5" w:rsidRPr="00234284" w:rsidRDefault="00A641D5" w:rsidP="00A641D5">
            <w:pPr>
              <w:adjustRightInd w:val="0"/>
              <w:snapToGrid w:val="0"/>
              <w:jc w:val="center"/>
              <w:rPr>
                <w:b/>
                <w:color w:val="000000"/>
                <w:kern w:val="0"/>
                <w:sz w:val="18"/>
                <w:szCs w:val="18"/>
                <w:lang w:val="en-GB"/>
              </w:rPr>
            </w:pPr>
            <w:r w:rsidRPr="00234284">
              <w:rPr>
                <w:b/>
                <w:color w:val="000000"/>
                <w:kern w:val="0"/>
                <w:sz w:val="18"/>
                <w:szCs w:val="18"/>
                <w:lang w:val="en-GB"/>
              </w:rPr>
              <w:t>Independent Variables (Doubtful Variables)</w:t>
            </w: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proofErr w:type="spellStart"/>
            <w:r w:rsidRPr="00234284">
              <w:rPr>
                <w:color w:val="000000"/>
                <w:sz w:val="18"/>
                <w:szCs w:val="18"/>
                <w:lang w:val="en-GB"/>
              </w:rPr>
              <w:t>antisdi</w:t>
            </w:r>
            <w:proofErr w:type="spellEnd"/>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Anti-self-dealing index</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Average of </w:t>
            </w:r>
            <w:r w:rsidRPr="00234284">
              <w:rPr>
                <w:i/>
                <w:color w:val="000000"/>
                <w:kern w:val="0"/>
                <w:sz w:val="18"/>
                <w:szCs w:val="18"/>
                <w:lang w:val="en-GB"/>
              </w:rPr>
              <w:t>ex ante</w:t>
            </w:r>
            <w:r w:rsidRPr="00234284">
              <w:rPr>
                <w:color w:val="000000"/>
                <w:kern w:val="0"/>
                <w:sz w:val="18"/>
                <w:szCs w:val="18"/>
                <w:lang w:val="en-GB"/>
              </w:rPr>
              <w:t xml:space="preserve"> and </w:t>
            </w:r>
            <w:r w:rsidRPr="00234284">
              <w:rPr>
                <w:i/>
                <w:color w:val="000000"/>
                <w:kern w:val="0"/>
                <w:sz w:val="18"/>
                <w:szCs w:val="18"/>
                <w:lang w:val="en-GB"/>
              </w:rPr>
              <w:t>ex post</w:t>
            </w:r>
            <w:r w:rsidRPr="00234284">
              <w:rPr>
                <w:color w:val="000000"/>
                <w:kern w:val="0"/>
                <w:sz w:val="18"/>
                <w:szCs w:val="18"/>
                <w:lang w:val="en-GB"/>
              </w:rPr>
              <w:t xml:space="preserve"> private control of self-dealing. Source: DLLS (2008).</w:t>
            </w:r>
          </w:p>
          <w:p w:rsidR="00A641D5" w:rsidRPr="00234284" w:rsidRDefault="00A641D5" w:rsidP="00A641D5">
            <w:pPr>
              <w:adjustRightInd w:val="0"/>
              <w:snapToGrid w:val="0"/>
              <w:jc w:val="left"/>
              <w:rPr>
                <w:color w:val="000000"/>
                <w:kern w:val="0"/>
                <w:sz w:val="18"/>
                <w:szCs w:val="18"/>
                <w:lang w:val="en-GB"/>
              </w:rPr>
            </w:pP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0.4760833</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0.2531317</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2</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r w:rsidRPr="00234284">
              <w:rPr>
                <w:color w:val="000000"/>
                <w:sz w:val="18"/>
                <w:szCs w:val="18"/>
                <w:lang w:val="en-GB"/>
              </w:rPr>
              <w:t>check</w:t>
            </w: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Time to collect on a bounced check</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Logarithm of the length (in calendar days) of the judicial procedure to collect on a bounced check. Source: DLLS (2003).</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5.187563</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0.7109341</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3</w:t>
            </w:r>
          </w:p>
          <w:p w:rsidR="00A641D5" w:rsidRPr="00234284" w:rsidRDefault="00A641D5" w:rsidP="00A641D5">
            <w:pPr>
              <w:adjustRightInd w:val="0"/>
              <w:snapToGrid w:val="0"/>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proofErr w:type="spellStart"/>
            <w:r w:rsidRPr="00234284">
              <w:rPr>
                <w:color w:val="000000"/>
                <w:sz w:val="18"/>
                <w:szCs w:val="18"/>
                <w:lang w:val="en-GB"/>
              </w:rPr>
              <w:t>gdppercapita</w:t>
            </w:r>
            <w:r w:rsidRPr="00234284">
              <w:rPr>
                <w:color w:val="000000"/>
                <w:sz w:val="18"/>
                <w:szCs w:val="18"/>
                <w:vertAlign w:val="superscript"/>
                <w:lang w:val="en-GB"/>
              </w:rPr>
              <w:t>a</w:t>
            </w:r>
            <w:proofErr w:type="spellEnd"/>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Log of GDP per capita</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Logarithm of per capita GDP (in US dollars) in 2003. Source: DLLS (2008).</w:t>
            </w:r>
          </w:p>
          <w:p w:rsidR="00A641D5" w:rsidRPr="00234284" w:rsidRDefault="00A641D5" w:rsidP="00A641D5">
            <w:pPr>
              <w:adjustRightInd w:val="0"/>
              <w:snapToGrid w:val="0"/>
              <w:jc w:val="left"/>
              <w:rPr>
                <w:color w:val="000000"/>
                <w:kern w:val="0"/>
                <w:sz w:val="18"/>
                <w:szCs w:val="18"/>
                <w:lang w:val="en-GB"/>
              </w:rPr>
            </w:pP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8.760896</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1.472394</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4</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proofErr w:type="spellStart"/>
            <w:r w:rsidRPr="00234284">
              <w:rPr>
                <w:color w:val="000000"/>
                <w:sz w:val="18"/>
                <w:szCs w:val="18"/>
                <w:lang w:val="en-GB"/>
              </w:rPr>
              <w:t>rantidri</w:t>
            </w:r>
            <w:proofErr w:type="spellEnd"/>
          </w:p>
          <w:p w:rsidR="00A641D5" w:rsidRPr="00234284" w:rsidRDefault="00A641D5" w:rsidP="00A641D5">
            <w:pPr>
              <w:adjustRightInd w:val="0"/>
              <w:snapToGrid w:val="0"/>
              <w:rPr>
                <w:color w:val="000000"/>
                <w:sz w:val="18"/>
                <w:szCs w:val="18"/>
                <w:lang w:val="en-GB"/>
              </w:rPr>
            </w:pP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Revised Anti-director rights index </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The revised Anti-director rights index for 2003. Sources: DLLS (2008).</w:t>
            </w:r>
          </w:p>
          <w:p w:rsidR="00A641D5" w:rsidRPr="00234284" w:rsidRDefault="00A641D5" w:rsidP="00A641D5">
            <w:pPr>
              <w:adjustRightInd w:val="0"/>
              <w:snapToGrid w:val="0"/>
              <w:jc w:val="left"/>
              <w:rPr>
                <w:color w:val="000000"/>
                <w:kern w:val="0"/>
                <w:sz w:val="18"/>
                <w:szCs w:val="18"/>
                <w:lang w:val="en-GB"/>
              </w:rPr>
            </w:pPr>
          </w:p>
          <w:p w:rsidR="00A641D5" w:rsidRPr="00234284" w:rsidRDefault="00A641D5" w:rsidP="00A641D5">
            <w:pPr>
              <w:adjustRightInd w:val="0"/>
              <w:snapToGrid w:val="0"/>
              <w:jc w:val="left"/>
              <w:rPr>
                <w:color w:val="000000"/>
                <w:kern w:val="0"/>
                <w:sz w:val="18"/>
                <w:szCs w:val="18"/>
                <w:lang w:val="en-GB"/>
              </w:rPr>
            </w:pP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3.510417</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1.132168</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5</w:t>
            </w:r>
          </w:p>
          <w:p w:rsidR="00A641D5" w:rsidRPr="00234284" w:rsidRDefault="00A641D5" w:rsidP="00A641D5">
            <w:pPr>
              <w:adjustRightInd w:val="0"/>
              <w:snapToGrid w:val="0"/>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proofErr w:type="spellStart"/>
            <w:r w:rsidRPr="00234284">
              <w:rPr>
                <w:color w:val="000000"/>
                <w:sz w:val="18"/>
                <w:szCs w:val="18"/>
                <w:lang w:val="en-GB"/>
              </w:rPr>
              <w:t>onevote</w:t>
            </w:r>
            <w:proofErr w:type="spellEnd"/>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One share-one vote index</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A dummy variable </w:t>
            </w:r>
            <w:r>
              <w:rPr>
                <w:color w:val="000000"/>
                <w:kern w:val="0"/>
                <w:sz w:val="18"/>
                <w:szCs w:val="18"/>
                <w:lang w:val="en-GB"/>
              </w:rPr>
              <w:t>that</w:t>
            </w:r>
            <w:r w:rsidRPr="00234284">
              <w:rPr>
                <w:color w:val="000000"/>
                <w:kern w:val="0"/>
                <w:sz w:val="18"/>
                <w:szCs w:val="18"/>
                <w:lang w:val="en-GB"/>
              </w:rPr>
              <w:t xml:space="preserve"> equals 1 if the Company Law or Commercial Code requires that ordinary shares carry one vote per share and 0 otherwise. Source: LLSV (1997).</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0.2291667</w:t>
            </w:r>
          </w:p>
          <w:p w:rsidR="00A641D5" w:rsidRPr="00234284" w:rsidRDefault="00A641D5" w:rsidP="00A641D5">
            <w:pPr>
              <w:adjustRightInd w:val="0"/>
              <w:snapToGrid w:val="0"/>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0.4247444</w:t>
            </w:r>
          </w:p>
          <w:p w:rsidR="00A641D5" w:rsidRPr="00234284" w:rsidRDefault="00A641D5" w:rsidP="00A641D5">
            <w:pPr>
              <w:adjustRightInd w:val="0"/>
              <w:snapToGrid w:val="0"/>
              <w:rPr>
                <w:color w:val="000000"/>
                <w:kern w:val="0"/>
                <w:sz w:val="18"/>
                <w:szCs w:val="18"/>
                <w:lang w:val="en-GB"/>
              </w:rPr>
            </w:pPr>
          </w:p>
        </w:tc>
      </w:tr>
      <w:tr w:rsidR="00A641D5" w:rsidRPr="00234284" w:rsidTr="00A641D5">
        <w:trPr>
          <w:trHeight w:val="240"/>
          <w:jc w:val="center"/>
        </w:trPr>
        <w:tc>
          <w:tcPr>
            <w:tcW w:w="639" w:type="dxa"/>
            <w:vAlign w:val="bottom"/>
          </w:tcPr>
          <w:p w:rsidR="00A641D5" w:rsidRPr="005A00A8" w:rsidRDefault="00A641D5" w:rsidP="00A641D5">
            <w:pPr>
              <w:adjustRightInd w:val="0"/>
              <w:snapToGrid w:val="0"/>
              <w:jc w:val="center"/>
              <w:rPr>
                <w:color w:val="000000"/>
                <w:kern w:val="0"/>
                <w:sz w:val="18"/>
                <w:szCs w:val="18"/>
              </w:rPr>
            </w:pPr>
            <w:r w:rsidRPr="005A00A8">
              <w:rPr>
                <w:color w:val="000000"/>
                <w:kern w:val="0"/>
                <w:sz w:val="18"/>
                <w:szCs w:val="18"/>
              </w:rPr>
              <w:t>6</w:t>
            </w:r>
          </w:p>
          <w:p w:rsidR="00A641D5" w:rsidRPr="005A00A8" w:rsidRDefault="00A641D5" w:rsidP="00A641D5">
            <w:pPr>
              <w:adjustRightInd w:val="0"/>
              <w:snapToGrid w:val="0"/>
              <w:jc w:val="center"/>
              <w:rPr>
                <w:color w:val="000000"/>
                <w:kern w:val="0"/>
                <w:sz w:val="18"/>
                <w:szCs w:val="18"/>
              </w:rPr>
            </w:pPr>
          </w:p>
        </w:tc>
        <w:tc>
          <w:tcPr>
            <w:tcW w:w="2137" w:type="dxa"/>
            <w:vAlign w:val="bottom"/>
          </w:tcPr>
          <w:p w:rsidR="00A641D5" w:rsidRPr="005A00A8" w:rsidRDefault="00A641D5" w:rsidP="00A641D5">
            <w:pPr>
              <w:adjustRightInd w:val="0"/>
              <w:snapToGrid w:val="0"/>
              <w:rPr>
                <w:color w:val="000000"/>
                <w:sz w:val="18"/>
                <w:szCs w:val="18"/>
              </w:rPr>
            </w:pPr>
            <w:proofErr w:type="spellStart"/>
            <w:r w:rsidRPr="005A00A8">
              <w:rPr>
                <w:color w:val="000000"/>
                <w:sz w:val="18"/>
                <w:szCs w:val="18"/>
              </w:rPr>
              <w:t>frenchlo</w:t>
            </w:r>
            <w:proofErr w:type="spellEnd"/>
          </w:p>
          <w:p w:rsidR="00A641D5" w:rsidRPr="005A00A8" w:rsidRDefault="00A641D5" w:rsidP="00A641D5">
            <w:pPr>
              <w:adjustRightInd w:val="0"/>
              <w:snapToGrid w:val="0"/>
              <w:rPr>
                <w:color w:val="000000"/>
                <w:sz w:val="18"/>
                <w:szCs w:val="18"/>
              </w:rPr>
            </w:pPr>
          </w:p>
        </w:tc>
        <w:tc>
          <w:tcPr>
            <w:tcW w:w="1701" w:type="dxa"/>
            <w:vAlign w:val="bottom"/>
          </w:tcPr>
          <w:p w:rsidR="00A641D5" w:rsidRPr="005A00A8" w:rsidRDefault="00A641D5" w:rsidP="00A641D5">
            <w:pPr>
              <w:adjustRightInd w:val="0"/>
              <w:snapToGrid w:val="0"/>
              <w:jc w:val="left"/>
              <w:rPr>
                <w:color w:val="000000"/>
                <w:kern w:val="0"/>
                <w:sz w:val="18"/>
                <w:szCs w:val="18"/>
              </w:rPr>
            </w:pPr>
            <w:r w:rsidRPr="005A00A8">
              <w:rPr>
                <w:color w:val="000000"/>
                <w:kern w:val="0"/>
                <w:sz w:val="18"/>
                <w:szCs w:val="18"/>
              </w:rPr>
              <w:t>French legal origin</w:t>
            </w:r>
          </w:p>
          <w:p w:rsidR="00A641D5" w:rsidRPr="005A00A8" w:rsidRDefault="00A641D5" w:rsidP="00A641D5">
            <w:pPr>
              <w:adjustRightInd w:val="0"/>
              <w:snapToGrid w:val="0"/>
              <w:jc w:val="left"/>
              <w:rPr>
                <w:color w:val="000000"/>
                <w:kern w:val="0"/>
                <w:sz w:val="18"/>
                <w:szCs w:val="18"/>
              </w:rPr>
            </w:pPr>
          </w:p>
        </w:tc>
        <w:tc>
          <w:tcPr>
            <w:tcW w:w="535" w:type="dxa"/>
            <w:vAlign w:val="bottom"/>
          </w:tcPr>
          <w:p w:rsidR="00A641D5" w:rsidRPr="005A00A8" w:rsidRDefault="00A641D5" w:rsidP="00A641D5">
            <w:pPr>
              <w:adjustRightInd w:val="0"/>
              <w:snapToGrid w:val="0"/>
              <w:rPr>
                <w:color w:val="000000"/>
                <w:kern w:val="0"/>
                <w:sz w:val="18"/>
                <w:szCs w:val="18"/>
              </w:rPr>
            </w:pPr>
            <w:r w:rsidRPr="005A00A8">
              <w:rPr>
                <w:color w:val="000000"/>
                <w:kern w:val="0"/>
                <w:sz w:val="18"/>
                <w:szCs w:val="18"/>
              </w:rPr>
              <w:t>48</w:t>
            </w:r>
          </w:p>
          <w:p w:rsidR="00A641D5" w:rsidRPr="005A00A8" w:rsidRDefault="00A641D5" w:rsidP="00A641D5">
            <w:pPr>
              <w:adjustRightInd w:val="0"/>
              <w:snapToGrid w:val="0"/>
              <w:rPr>
                <w:color w:val="000000"/>
                <w:kern w:val="0"/>
                <w:sz w:val="18"/>
                <w:szCs w:val="18"/>
              </w:rPr>
            </w:pPr>
          </w:p>
        </w:tc>
        <w:tc>
          <w:tcPr>
            <w:tcW w:w="6593" w:type="dxa"/>
            <w:vAlign w:val="bottom"/>
          </w:tcPr>
          <w:p w:rsidR="00A641D5" w:rsidRPr="005A00A8" w:rsidRDefault="00A641D5" w:rsidP="00A641D5">
            <w:pPr>
              <w:adjustRightInd w:val="0"/>
              <w:snapToGrid w:val="0"/>
              <w:jc w:val="left"/>
              <w:rPr>
                <w:color w:val="000000"/>
                <w:kern w:val="0"/>
                <w:sz w:val="18"/>
                <w:szCs w:val="18"/>
              </w:rPr>
            </w:pPr>
            <w:r>
              <w:rPr>
                <w:color w:val="000000"/>
                <w:kern w:val="0"/>
                <w:sz w:val="18"/>
                <w:szCs w:val="18"/>
              </w:rPr>
              <w:t>A</w:t>
            </w:r>
            <w:r>
              <w:rPr>
                <w:rFonts w:hint="eastAsia"/>
                <w:color w:val="000000"/>
                <w:kern w:val="0"/>
                <w:sz w:val="18"/>
                <w:szCs w:val="18"/>
              </w:rPr>
              <w:t xml:space="preserve"> d</w:t>
            </w:r>
            <w:r>
              <w:rPr>
                <w:color w:val="000000"/>
                <w:kern w:val="0"/>
                <w:sz w:val="18"/>
                <w:szCs w:val="18"/>
              </w:rPr>
              <w:t>ummy variable</w:t>
            </w:r>
            <w:r w:rsidRPr="005A00A8">
              <w:rPr>
                <w:color w:val="000000"/>
                <w:kern w:val="0"/>
                <w:sz w:val="18"/>
                <w:szCs w:val="18"/>
              </w:rPr>
              <w:t xml:space="preserve"> </w:t>
            </w:r>
            <w:r>
              <w:rPr>
                <w:rFonts w:hint="eastAsia"/>
                <w:color w:val="000000"/>
                <w:kern w:val="0"/>
                <w:sz w:val="18"/>
                <w:szCs w:val="18"/>
              </w:rPr>
              <w:t xml:space="preserve">which </w:t>
            </w:r>
            <w:r w:rsidRPr="005A00A8">
              <w:rPr>
                <w:color w:val="000000"/>
                <w:kern w:val="0"/>
                <w:sz w:val="18"/>
                <w:szCs w:val="18"/>
              </w:rPr>
              <w:t>equals 1 if</w:t>
            </w:r>
            <w:r w:rsidRPr="005A00A8">
              <w:rPr>
                <w:sz w:val="18"/>
                <w:szCs w:val="18"/>
              </w:rPr>
              <w:t xml:space="preserve"> </w:t>
            </w:r>
            <w:r>
              <w:rPr>
                <w:rFonts w:hint="eastAsia"/>
                <w:color w:val="000000"/>
                <w:kern w:val="0"/>
                <w:sz w:val="18"/>
                <w:szCs w:val="18"/>
              </w:rPr>
              <w:t xml:space="preserve">the </w:t>
            </w:r>
            <w:r w:rsidRPr="005A00A8">
              <w:rPr>
                <w:color w:val="000000"/>
                <w:kern w:val="0"/>
                <w:sz w:val="18"/>
                <w:szCs w:val="18"/>
              </w:rPr>
              <w:t>country has the French legal origin</w:t>
            </w:r>
            <w:r>
              <w:rPr>
                <w:rFonts w:hint="eastAsia"/>
                <w:color w:val="000000"/>
                <w:kern w:val="0"/>
                <w:sz w:val="18"/>
                <w:szCs w:val="18"/>
              </w:rPr>
              <w:t xml:space="preserve"> and 0 otherwise</w:t>
            </w:r>
            <w:r w:rsidRPr="005A00A8">
              <w:rPr>
                <w:color w:val="000000"/>
                <w:kern w:val="0"/>
                <w:sz w:val="18"/>
                <w:szCs w:val="18"/>
              </w:rPr>
              <w:t xml:space="preserve">. Sources: </w:t>
            </w:r>
            <w:proofErr w:type="spellStart"/>
            <w:r w:rsidRPr="005A00A8">
              <w:rPr>
                <w:color w:val="000000"/>
                <w:kern w:val="0"/>
                <w:sz w:val="18"/>
                <w:szCs w:val="18"/>
              </w:rPr>
              <w:t>Klerman</w:t>
            </w:r>
            <w:proofErr w:type="spellEnd"/>
            <w:r>
              <w:rPr>
                <w:rFonts w:hint="eastAsia"/>
                <w:color w:val="000000"/>
                <w:kern w:val="0"/>
                <w:sz w:val="18"/>
                <w:szCs w:val="18"/>
              </w:rPr>
              <w:t xml:space="preserve"> et </w:t>
            </w:r>
            <w:r>
              <w:rPr>
                <w:color w:val="000000"/>
                <w:kern w:val="0"/>
                <w:sz w:val="18"/>
                <w:szCs w:val="18"/>
              </w:rPr>
              <w:t xml:space="preserve">al. </w:t>
            </w:r>
            <w:r>
              <w:rPr>
                <w:rFonts w:hint="eastAsia"/>
                <w:color w:val="000000"/>
                <w:kern w:val="0"/>
                <w:sz w:val="18"/>
                <w:szCs w:val="18"/>
              </w:rPr>
              <w:t>(2011).</w:t>
            </w:r>
          </w:p>
        </w:tc>
        <w:tc>
          <w:tcPr>
            <w:tcW w:w="1134" w:type="dxa"/>
          </w:tcPr>
          <w:p w:rsidR="00A641D5" w:rsidRPr="005A00A8" w:rsidRDefault="00A641D5" w:rsidP="00A641D5">
            <w:pPr>
              <w:adjustRightInd w:val="0"/>
              <w:snapToGrid w:val="0"/>
              <w:jc w:val="center"/>
              <w:rPr>
                <w:color w:val="000000"/>
                <w:kern w:val="0"/>
                <w:sz w:val="18"/>
                <w:szCs w:val="18"/>
              </w:rPr>
            </w:pPr>
            <w:r w:rsidRPr="005A00A8">
              <w:rPr>
                <w:color w:val="000000"/>
                <w:kern w:val="0"/>
                <w:sz w:val="18"/>
                <w:szCs w:val="18"/>
              </w:rPr>
              <w:t>0.3958333</w:t>
            </w:r>
          </w:p>
          <w:p w:rsidR="00A641D5" w:rsidRPr="005A00A8" w:rsidRDefault="00A641D5" w:rsidP="00A641D5">
            <w:pPr>
              <w:adjustRightInd w:val="0"/>
              <w:snapToGrid w:val="0"/>
              <w:jc w:val="center"/>
              <w:rPr>
                <w:color w:val="000000"/>
                <w:kern w:val="0"/>
                <w:sz w:val="18"/>
                <w:szCs w:val="18"/>
              </w:rPr>
            </w:pPr>
          </w:p>
        </w:tc>
        <w:tc>
          <w:tcPr>
            <w:tcW w:w="1101" w:type="dxa"/>
          </w:tcPr>
          <w:p w:rsidR="00A641D5" w:rsidRPr="005A00A8" w:rsidRDefault="00A641D5" w:rsidP="00A641D5">
            <w:pPr>
              <w:adjustRightInd w:val="0"/>
              <w:snapToGrid w:val="0"/>
              <w:jc w:val="center"/>
              <w:rPr>
                <w:color w:val="000000"/>
                <w:kern w:val="0"/>
                <w:sz w:val="18"/>
                <w:szCs w:val="18"/>
              </w:rPr>
            </w:pPr>
            <w:r w:rsidRPr="005A00A8">
              <w:rPr>
                <w:color w:val="000000"/>
                <w:kern w:val="0"/>
                <w:sz w:val="18"/>
                <w:szCs w:val="18"/>
              </w:rPr>
              <w:t>0.494204</w:t>
            </w:r>
          </w:p>
          <w:p w:rsidR="00A641D5" w:rsidRPr="005A00A8" w:rsidRDefault="00A641D5" w:rsidP="00A641D5">
            <w:pPr>
              <w:adjustRightInd w:val="0"/>
              <w:snapToGrid w:val="0"/>
              <w:jc w:val="center"/>
              <w:rPr>
                <w:color w:val="000000"/>
                <w:kern w:val="0"/>
                <w:sz w:val="18"/>
                <w:szCs w:val="18"/>
              </w:rPr>
            </w:pPr>
          </w:p>
        </w:tc>
      </w:tr>
      <w:tr w:rsidR="00A641D5" w:rsidRPr="00234284" w:rsidTr="00A641D5">
        <w:trPr>
          <w:trHeight w:val="240"/>
          <w:jc w:val="center"/>
        </w:trPr>
        <w:tc>
          <w:tcPr>
            <w:tcW w:w="639" w:type="dxa"/>
            <w:vAlign w:val="bottom"/>
          </w:tcPr>
          <w:p w:rsidR="00A641D5" w:rsidRDefault="00A641D5" w:rsidP="00A641D5">
            <w:pPr>
              <w:adjustRightInd w:val="0"/>
              <w:snapToGrid w:val="0"/>
              <w:jc w:val="center"/>
              <w:rPr>
                <w:color w:val="000000"/>
                <w:kern w:val="0"/>
                <w:sz w:val="18"/>
                <w:szCs w:val="18"/>
              </w:rPr>
            </w:pPr>
            <w:r w:rsidRPr="005A00A8">
              <w:rPr>
                <w:color w:val="000000"/>
                <w:kern w:val="0"/>
                <w:sz w:val="18"/>
                <w:szCs w:val="18"/>
              </w:rPr>
              <w:t>7</w:t>
            </w:r>
          </w:p>
          <w:p w:rsidR="00A641D5" w:rsidRPr="005A00A8" w:rsidRDefault="00A641D5" w:rsidP="00A641D5">
            <w:pPr>
              <w:adjustRightInd w:val="0"/>
              <w:snapToGrid w:val="0"/>
              <w:jc w:val="center"/>
              <w:rPr>
                <w:color w:val="000000"/>
                <w:kern w:val="0"/>
                <w:sz w:val="18"/>
                <w:szCs w:val="18"/>
              </w:rPr>
            </w:pPr>
          </w:p>
        </w:tc>
        <w:tc>
          <w:tcPr>
            <w:tcW w:w="2137" w:type="dxa"/>
            <w:vAlign w:val="bottom"/>
          </w:tcPr>
          <w:p w:rsidR="00A641D5" w:rsidRPr="005A00A8" w:rsidRDefault="00A641D5" w:rsidP="00A641D5">
            <w:pPr>
              <w:adjustRightInd w:val="0"/>
              <w:snapToGrid w:val="0"/>
              <w:rPr>
                <w:color w:val="000000"/>
                <w:sz w:val="18"/>
                <w:szCs w:val="18"/>
              </w:rPr>
            </w:pPr>
            <w:proofErr w:type="spellStart"/>
            <w:r w:rsidRPr="005A00A8">
              <w:rPr>
                <w:color w:val="000000"/>
                <w:sz w:val="18"/>
                <w:szCs w:val="18"/>
              </w:rPr>
              <w:t>commonlo</w:t>
            </w:r>
            <w:proofErr w:type="spellEnd"/>
          </w:p>
          <w:p w:rsidR="00A641D5" w:rsidRPr="005A00A8" w:rsidRDefault="00A641D5" w:rsidP="00A641D5">
            <w:pPr>
              <w:adjustRightInd w:val="0"/>
              <w:snapToGrid w:val="0"/>
              <w:rPr>
                <w:color w:val="000000"/>
                <w:sz w:val="18"/>
                <w:szCs w:val="18"/>
              </w:rPr>
            </w:pPr>
          </w:p>
        </w:tc>
        <w:tc>
          <w:tcPr>
            <w:tcW w:w="1701" w:type="dxa"/>
            <w:vAlign w:val="bottom"/>
          </w:tcPr>
          <w:p w:rsidR="00A641D5" w:rsidRPr="005A00A8" w:rsidRDefault="00A641D5" w:rsidP="00A641D5">
            <w:pPr>
              <w:adjustRightInd w:val="0"/>
              <w:snapToGrid w:val="0"/>
              <w:jc w:val="left"/>
              <w:rPr>
                <w:color w:val="000000"/>
                <w:kern w:val="0"/>
                <w:sz w:val="18"/>
                <w:szCs w:val="18"/>
              </w:rPr>
            </w:pPr>
            <w:r w:rsidRPr="005A00A8">
              <w:rPr>
                <w:color w:val="000000"/>
                <w:kern w:val="0"/>
                <w:sz w:val="18"/>
                <w:szCs w:val="18"/>
              </w:rPr>
              <w:t>British legal origin</w:t>
            </w:r>
          </w:p>
          <w:p w:rsidR="00A641D5" w:rsidRPr="005A00A8" w:rsidRDefault="00A641D5" w:rsidP="00A641D5">
            <w:pPr>
              <w:adjustRightInd w:val="0"/>
              <w:snapToGrid w:val="0"/>
              <w:jc w:val="left"/>
              <w:rPr>
                <w:color w:val="000000"/>
                <w:kern w:val="0"/>
                <w:sz w:val="18"/>
                <w:szCs w:val="18"/>
              </w:rPr>
            </w:pPr>
          </w:p>
        </w:tc>
        <w:tc>
          <w:tcPr>
            <w:tcW w:w="535" w:type="dxa"/>
            <w:vAlign w:val="bottom"/>
          </w:tcPr>
          <w:p w:rsidR="00A641D5" w:rsidRPr="005A00A8" w:rsidRDefault="00A641D5" w:rsidP="00A641D5">
            <w:pPr>
              <w:adjustRightInd w:val="0"/>
              <w:snapToGrid w:val="0"/>
              <w:rPr>
                <w:color w:val="000000"/>
                <w:kern w:val="0"/>
                <w:sz w:val="18"/>
                <w:szCs w:val="18"/>
              </w:rPr>
            </w:pPr>
            <w:r w:rsidRPr="005A00A8">
              <w:rPr>
                <w:color w:val="000000"/>
                <w:kern w:val="0"/>
                <w:sz w:val="18"/>
                <w:szCs w:val="18"/>
              </w:rPr>
              <w:t>48</w:t>
            </w:r>
          </w:p>
          <w:p w:rsidR="00A641D5" w:rsidRPr="005A00A8" w:rsidRDefault="00A641D5" w:rsidP="00A641D5">
            <w:pPr>
              <w:adjustRightInd w:val="0"/>
              <w:snapToGrid w:val="0"/>
              <w:rPr>
                <w:color w:val="000000"/>
                <w:kern w:val="0"/>
                <w:sz w:val="18"/>
                <w:szCs w:val="18"/>
              </w:rPr>
            </w:pPr>
          </w:p>
        </w:tc>
        <w:tc>
          <w:tcPr>
            <w:tcW w:w="6593" w:type="dxa"/>
            <w:vAlign w:val="bottom"/>
          </w:tcPr>
          <w:p w:rsidR="00A641D5" w:rsidRPr="005A00A8" w:rsidRDefault="00A641D5" w:rsidP="00A641D5">
            <w:pPr>
              <w:adjustRightInd w:val="0"/>
              <w:snapToGrid w:val="0"/>
              <w:jc w:val="left"/>
              <w:rPr>
                <w:color w:val="000000"/>
                <w:kern w:val="0"/>
                <w:sz w:val="18"/>
                <w:szCs w:val="18"/>
              </w:rPr>
            </w:pPr>
            <w:r>
              <w:rPr>
                <w:rFonts w:hint="eastAsia"/>
                <w:color w:val="000000"/>
                <w:kern w:val="0"/>
                <w:sz w:val="18"/>
                <w:szCs w:val="18"/>
              </w:rPr>
              <w:t>A d</w:t>
            </w:r>
            <w:r>
              <w:rPr>
                <w:color w:val="000000"/>
                <w:kern w:val="0"/>
                <w:sz w:val="18"/>
                <w:szCs w:val="18"/>
              </w:rPr>
              <w:t>ummy variable</w:t>
            </w:r>
            <w:r w:rsidRPr="005A00A8">
              <w:rPr>
                <w:color w:val="000000"/>
                <w:kern w:val="0"/>
                <w:sz w:val="18"/>
                <w:szCs w:val="18"/>
              </w:rPr>
              <w:t xml:space="preserve"> </w:t>
            </w:r>
            <w:r>
              <w:rPr>
                <w:rFonts w:hint="eastAsia"/>
                <w:color w:val="000000"/>
                <w:kern w:val="0"/>
                <w:sz w:val="18"/>
                <w:szCs w:val="18"/>
              </w:rPr>
              <w:t xml:space="preserve">which </w:t>
            </w:r>
            <w:r w:rsidRPr="005A00A8">
              <w:rPr>
                <w:color w:val="000000"/>
                <w:kern w:val="0"/>
                <w:sz w:val="18"/>
                <w:szCs w:val="18"/>
              </w:rPr>
              <w:t>equals 1 if</w:t>
            </w:r>
            <w:r w:rsidRPr="005A00A8">
              <w:rPr>
                <w:sz w:val="18"/>
                <w:szCs w:val="18"/>
              </w:rPr>
              <w:t xml:space="preserve"> </w:t>
            </w:r>
            <w:r>
              <w:rPr>
                <w:rFonts w:hint="eastAsia"/>
                <w:color w:val="000000"/>
                <w:kern w:val="0"/>
                <w:sz w:val="18"/>
                <w:szCs w:val="18"/>
              </w:rPr>
              <w:t>the</w:t>
            </w:r>
            <w:r w:rsidRPr="005A00A8">
              <w:rPr>
                <w:color w:val="000000"/>
                <w:kern w:val="0"/>
                <w:sz w:val="18"/>
                <w:szCs w:val="18"/>
              </w:rPr>
              <w:t xml:space="preserve"> country has the British legal origin</w:t>
            </w:r>
            <w:r>
              <w:rPr>
                <w:rFonts w:hint="eastAsia"/>
                <w:color w:val="000000"/>
                <w:kern w:val="0"/>
                <w:sz w:val="18"/>
                <w:szCs w:val="18"/>
              </w:rPr>
              <w:t xml:space="preserve"> and 0 otherwise</w:t>
            </w:r>
            <w:r w:rsidRPr="005A00A8">
              <w:rPr>
                <w:color w:val="000000"/>
                <w:kern w:val="0"/>
                <w:sz w:val="18"/>
                <w:szCs w:val="18"/>
              </w:rPr>
              <w:t xml:space="preserve">. Sources: </w:t>
            </w:r>
            <w:proofErr w:type="spellStart"/>
            <w:r w:rsidRPr="005A00A8">
              <w:rPr>
                <w:color w:val="000000"/>
                <w:kern w:val="0"/>
                <w:sz w:val="18"/>
                <w:szCs w:val="18"/>
              </w:rPr>
              <w:t>Klerman</w:t>
            </w:r>
            <w:proofErr w:type="spellEnd"/>
            <w:r>
              <w:rPr>
                <w:rFonts w:hint="eastAsia"/>
                <w:color w:val="000000"/>
                <w:kern w:val="0"/>
                <w:sz w:val="18"/>
                <w:szCs w:val="18"/>
              </w:rPr>
              <w:t xml:space="preserve"> et al. (2011).</w:t>
            </w:r>
          </w:p>
        </w:tc>
        <w:tc>
          <w:tcPr>
            <w:tcW w:w="1134" w:type="dxa"/>
          </w:tcPr>
          <w:p w:rsidR="00A641D5" w:rsidRPr="005A00A8" w:rsidRDefault="00A641D5" w:rsidP="00A641D5">
            <w:pPr>
              <w:adjustRightInd w:val="0"/>
              <w:snapToGrid w:val="0"/>
              <w:jc w:val="center"/>
              <w:rPr>
                <w:color w:val="000000"/>
                <w:kern w:val="0"/>
                <w:sz w:val="18"/>
                <w:szCs w:val="18"/>
              </w:rPr>
            </w:pPr>
            <w:r w:rsidRPr="005A00A8">
              <w:rPr>
                <w:color w:val="000000"/>
                <w:kern w:val="0"/>
                <w:sz w:val="18"/>
                <w:szCs w:val="18"/>
              </w:rPr>
              <w:t>0.2708333</w:t>
            </w:r>
          </w:p>
          <w:p w:rsidR="00A641D5" w:rsidRPr="005A00A8" w:rsidRDefault="00A641D5" w:rsidP="00A641D5">
            <w:pPr>
              <w:adjustRightInd w:val="0"/>
              <w:snapToGrid w:val="0"/>
              <w:rPr>
                <w:color w:val="000000"/>
                <w:kern w:val="0"/>
                <w:sz w:val="18"/>
                <w:szCs w:val="18"/>
              </w:rPr>
            </w:pPr>
          </w:p>
        </w:tc>
        <w:tc>
          <w:tcPr>
            <w:tcW w:w="1101" w:type="dxa"/>
          </w:tcPr>
          <w:p w:rsidR="00A641D5" w:rsidRPr="005A00A8" w:rsidRDefault="00A641D5" w:rsidP="00A641D5">
            <w:pPr>
              <w:adjustRightInd w:val="0"/>
              <w:snapToGrid w:val="0"/>
              <w:jc w:val="center"/>
              <w:rPr>
                <w:color w:val="000000"/>
                <w:kern w:val="0"/>
                <w:sz w:val="18"/>
                <w:szCs w:val="18"/>
              </w:rPr>
            </w:pPr>
            <w:r w:rsidRPr="005A00A8">
              <w:rPr>
                <w:color w:val="000000"/>
                <w:kern w:val="0"/>
                <w:sz w:val="18"/>
                <w:szCs w:val="18"/>
              </w:rPr>
              <w:t>0.4490929</w:t>
            </w:r>
          </w:p>
          <w:p w:rsidR="00A641D5" w:rsidRPr="005A00A8" w:rsidRDefault="00A641D5" w:rsidP="00A641D5">
            <w:pPr>
              <w:adjustRightInd w:val="0"/>
              <w:snapToGrid w:val="0"/>
              <w:rPr>
                <w:color w:val="000000"/>
                <w:kern w:val="0"/>
                <w:sz w:val="18"/>
                <w:szCs w:val="18"/>
              </w:rPr>
            </w:pPr>
          </w:p>
        </w:tc>
      </w:tr>
      <w:tr w:rsidR="00A641D5" w:rsidRPr="00234284" w:rsidTr="00A641D5">
        <w:trPr>
          <w:trHeight w:val="240"/>
          <w:jc w:val="center"/>
        </w:trPr>
        <w:tc>
          <w:tcPr>
            <w:tcW w:w="639" w:type="dxa"/>
            <w:vAlign w:val="bottom"/>
          </w:tcPr>
          <w:p w:rsidR="00A641D5" w:rsidRPr="005A00A8" w:rsidRDefault="00A641D5" w:rsidP="00A641D5">
            <w:pPr>
              <w:adjustRightInd w:val="0"/>
              <w:snapToGrid w:val="0"/>
              <w:jc w:val="center"/>
              <w:rPr>
                <w:color w:val="000000"/>
                <w:kern w:val="0"/>
                <w:sz w:val="18"/>
                <w:szCs w:val="18"/>
              </w:rPr>
            </w:pPr>
            <w:r w:rsidRPr="005A00A8">
              <w:rPr>
                <w:color w:val="000000"/>
                <w:kern w:val="0"/>
                <w:sz w:val="18"/>
                <w:szCs w:val="18"/>
              </w:rPr>
              <w:t>8</w:t>
            </w:r>
          </w:p>
          <w:p w:rsidR="00A641D5" w:rsidRPr="005A00A8" w:rsidRDefault="00A641D5" w:rsidP="00A641D5">
            <w:pPr>
              <w:adjustRightInd w:val="0"/>
              <w:snapToGrid w:val="0"/>
              <w:rPr>
                <w:color w:val="000000"/>
                <w:kern w:val="0"/>
                <w:sz w:val="18"/>
                <w:szCs w:val="18"/>
              </w:rPr>
            </w:pPr>
          </w:p>
        </w:tc>
        <w:tc>
          <w:tcPr>
            <w:tcW w:w="2137" w:type="dxa"/>
            <w:vAlign w:val="bottom"/>
          </w:tcPr>
          <w:p w:rsidR="00A641D5" w:rsidRPr="005A00A8" w:rsidRDefault="00A641D5" w:rsidP="00A641D5">
            <w:pPr>
              <w:adjustRightInd w:val="0"/>
              <w:snapToGrid w:val="0"/>
              <w:rPr>
                <w:color w:val="000000"/>
                <w:sz w:val="18"/>
                <w:szCs w:val="18"/>
              </w:rPr>
            </w:pPr>
            <w:proofErr w:type="spellStart"/>
            <w:r w:rsidRPr="005A00A8">
              <w:rPr>
                <w:color w:val="000000"/>
                <w:sz w:val="18"/>
                <w:szCs w:val="18"/>
              </w:rPr>
              <w:t>germanlo</w:t>
            </w:r>
            <w:proofErr w:type="spellEnd"/>
          </w:p>
          <w:p w:rsidR="00A641D5" w:rsidRPr="005A00A8" w:rsidRDefault="00A641D5" w:rsidP="00A641D5">
            <w:pPr>
              <w:adjustRightInd w:val="0"/>
              <w:snapToGrid w:val="0"/>
              <w:rPr>
                <w:color w:val="000000"/>
                <w:sz w:val="18"/>
                <w:szCs w:val="18"/>
              </w:rPr>
            </w:pPr>
          </w:p>
        </w:tc>
        <w:tc>
          <w:tcPr>
            <w:tcW w:w="1701" w:type="dxa"/>
            <w:vAlign w:val="bottom"/>
          </w:tcPr>
          <w:p w:rsidR="00A641D5" w:rsidRPr="005A00A8" w:rsidRDefault="00A641D5" w:rsidP="00A641D5">
            <w:pPr>
              <w:adjustRightInd w:val="0"/>
              <w:snapToGrid w:val="0"/>
              <w:jc w:val="left"/>
              <w:rPr>
                <w:color w:val="000000"/>
                <w:kern w:val="0"/>
                <w:sz w:val="18"/>
                <w:szCs w:val="18"/>
              </w:rPr>
            </w:pPr>
            <w:r w:rsidRPr="005A00A8">
              <w:rPr>
                <w:color w:val="000000"/>
                <w:kern w:val="0"/>
                <w:sz w:val="18"/>
                <w:szCs w:val="18"/>
              </w:rPr>
              <w:t>German legal origin</w:t>
            </w:r>
          </w:p>
          <w:p w:rsidR="00A641D5" w:rsidRPr="005A00A8" w:rsidRDefault="00A641D5" w:rsidP="00A641D5">
            <w:pPr>
              <w:adjustRightInd w:val="0"/>
              <w:snapToGrid w:val="0"/>
              <w:jc w:val="left"/>
              <w:rPr>
                <w:color w:val="000000"/>
                <w:kern w:val="0"/>
                <w:sz w:val="18"/>
                <w:szCs w:val="18"/>
              </w:rPr>
            </w:pPr>
          </w:p>
        </w:tc>
        <w:tc>
          <w:tcPr>
            <w:tcW w:w="535" w:type="dxa"/>
            <w:vAlign w:val="bottom"/>
          </w:tcPr>
          <w:p w:rsidR="00A641D5" w:rsidRPr="005A00A8" w:rsidRDefault="00A641D5" w:rsidP="00A641D5">
            <w:pPr>
              <w:adjustRightInd w:val="0"/>
              <w:snapToGrid w:val="0"/>
              <w:rPr>
                <w:color w:val="000000"/>
                <w:kern w:val="0"/>
                <w:sz w:val="18"/>
                <w:szCs w:val="18"/>
              </w:rPr>
            </w:pPr>
            <w:r w:rsidRPr="005A00A8">
              <w:rPr>
                <w:color w:val="000000"/>
                <w:kern w:val="0"/>
                <w:sz w:val="18"/>
                <w:szCs w:val="18"/>
              </w:rPr>
              <w:t>48</w:t>
            </w:r>
          </w:p>
          <w:p w:rsidR="00A641D5" w:rsidRPr="005A00A8" w:rsidRDefault="00A641D5" w:rsidP="00A641D5">
            <w:pPr>
              <w:adjustRightInd w:val="0"/>
              <w:snapToGrid w:val="0"/>
              <w:rPr>
                <w:color w:val="000000"/>
                <w:kern w:val="0"/>
                <w:sz w:val="18"/>
                <w:szCs w:val="18"/>
              </w:rPr>
            </w:pPr>
          </w:p>
        </w:tc>
        <w:tc>
          <w:tcPr>
            <w:tcW w:w="6593" w:type="dxa"/>
            <w:vAlign w:val="bottom"/>
          </w:tcPr>
          <w:p w:rsidR="00A641D5" w:rsidRPr="005A00A8" w:rsidRDefault="00A641D5" w:rsidP="00A641D5">
            <w:pPr>
              <w:adjustRightInd w:val="0"/>
              <w:snapToGrid w:val="0"/>
              <w:jc w:val="left"/>
              <w:rPr>
                <w:color w:val="000000"/>
                <w:kern w:val="0"/>
                <w:sz w:val="18"/>
                <w:szCs w:val="18"/>
              </w:rPr>
            </w:pPr>
            <w:r>
              <w:rPr>
                <w:rFonts w:hint="eastAsia"/>
                <w:color w:val="000000"/>
                <w:kern w:val="0"/>
                <w:sz w:val="18"/>
                <w:szCs w:val="18"/>
              </w:rPr>
              <w:t>A d</w:t>
            </w:r>
            <w:r>
              <w:rPr>
                <w:color w:val="000000"/>
                <w:kern w:val="0"/>
                <w:sz w:val="18"/>
                <w:szCs w:val="18"/>
              </w:rPr>
              <w:t>ummy variable</w:t>
            </w:r>
            <w:r w:rsidRPr="005A00A8">
              <w:rPr>
                <w:color w:val="000000"/>
                <w:kern w:val="0"/>
                <w:sz w:val="18"/>
                <w:szCs w:val="18"/>
              </w:rPr>
              <w:t xml:space="preserve"> </w:t>
            </w:r>
            <w:r>
              <w:rPr>
                <w:rFonts w:hint="eastAsia"/>
                <w:color w:val="000000"/>
                <w:kern w:val="0"/>
                <w:sz w:val="18"/>
                <w:szCs w:val="18"/>
              </w:rPr>
              <w:t xml:space="preserve">which </w:t>
            </w:r>
            <w:r w:rsidRPr="005A00A8">
              <w:rPr>
                <w:color w:val="000000"/>
                <w:kern w:val="0"/>
                <w:sz w:val="18"/>
                <w:szCs w:val="18"/>
              </w:rPr>
              <w:t>equals 1 if</w:t>
            </w:r>
            <w:r>
              <w:rPr>
                <w:rFonts w:hint="eastAsia"/>
                <w:color w:val="000000"/>
                <w:kern w:val="0"/>
                <w:sz w:val="18"/>
                <w:szCs w:val="18"/>
              </w:rPr>
              <w:t xml:space="preserve"> the</w:t>
            </w:r>
            <w:r w:rsidRPr="005A00A8">
              <w:rPr>
                <w:color w:val="000000"/>
                <w:kern w:val="0"/>
                <w:sz w:val="18"/>
                <w:szCs w:val="18"/>
              </w:rPr>
              <w:t xml:space="preserve"> country has the German legal origin</w:t>
            </w:r>
            <w:r>
              <w:rPr>
                <w:rFonts w:hint="eastAsia"/>
                <w:color w:val="000000"/>
                <w:kern w:val="0"/>
                <w:sz w:val="18"/>
                <w:szCs w:val="18"/>
              </w:rPr>
              <w:t xml:space="preserve"> and 0 otherwise</w:t>
            </w:r>
            <w:r w:rsidRPr="005A00A8">
              <w:rPr>
                <w:color w:val="000000"/>
                <w:kern w:val="0"/>
                <w:sz w:val="18"/>
                <w:szCs w:val="18"/>
              </w:rPr>
              <w:t xml:space="preserve">. Sources: </w:t>
            </w:r>
            <w:proofErr w:type="spellStart"/>
            <w:r w:rsidRPr="005A00A8">
              <w:rPr>
                <w:color w:val="000000"/>
                <w:kern w:val="0"/>
                <w:sz w:val="18"/>
                <w:szCs w:val="18"/>
              </w:rPr>
              <w:t>Klerman</w:t>
            </w:r>
            <w:proofErr w:type="spellEnd"/>
            <w:r>
              <w:rPr>
                <w:rFonts w:hint="eastAsia"/>
                <w:color w:val="000000"/>
                <w:kern w:val="0"/>
                <w:sz w:val="18"/>
                <w:szCs w:val="18"/>
              </w:rPr>
              <w:t xml:space="preserve"> et al. (2011)</w:t>
            </w:r>
            <w:r w:rsidRPr="005A00A8">
              <w:rPr>
                <w:color w:val="000000"/>
                <w:kern w:val="0"/>
                <w:sz w:val="18"/>
                <w:szCs w:val="18"/>
              </w:rPr>
              <w:t>.</w:t>
            </w:r>
          </w:p>
        </w:tc>
        <w:tc>
          <w:tcPr>
            <w:tcW w:w="1134" w:type="dxa"/>
          </w:tcPr>
          <w:p w:rsidR="00A641D5" w:rsidRPr="005A00A8" w:rsidRDefault="00A641D5" w:rsidP="00A641D5">
            <w:pPr>
              <w:adjustRightInd w:val="0"/>
              <w:snapToGrid w:val="0"/>
              <w:jc w:val="center"/>
              <w:rPr>
                <w:color w:val="000000"/>
                <w:kern w:val="0"/>
                <w:sz w:val="18"/>
                <w:szCs w:val="18"/>
              </w:rPr>
            </w:pPr>
            <w:r w:rsidRPr="005A00A8">
              <w:rPr>
                <w:color w:val="000000"/>
                <w:kern w:val="0"/>
                <w:sz w:val="18"/>
                <w:szCs w:val="18"/>
              </w:rPr>
              <w:t>0.1041667</w:t>
            </w:r>
          </w:p>
          <w:p w:rsidR="00A641D5" w:rsidRPr="005A00A8" w:rsidRDefault="00A641D5" w:rsidP="00A641D5">
            <w:pPr>
              <w:adjustRightInd w:val="0"/>
              <w:snapToGrid w:val="0"/>
              <w:jc w:val="center"/>
              <w:rPr>
                <w:color w:val="000000"/>
                <w:kern w:val="0"/>
                <w:sz w:val="18"/>
                <w:szCs w:val="18"/>
              </w:rPr>
            </w:pPr>
          </w:p>
        </w:tc>
        <w:tc>
          <w:tcPr>
            <w:tcW w:w="1101" w:type="dxa"/>
          </w:tcPr>
          <w:p w:rsidR="00A641D5" w:rsidRPr="005A00A8" w:rsidRDefault="00A641D5" w:rsidP="00A641D5">
            <w:pPr>
              <w:adjustRightInd w:val="0"/>
              <w:snapToGrid w:val="0"/>
              <w:jc w:val="center"/>
              <w:rPr>
                <w:color w:val="000000"/>
                <w:kern w:val="0"/>
                <w:sz w:val="18"/>
                <w:szCs w:val="18"/>
              </w:rPr>
            </w:pPr>
            <w:r w:rsidRPr="005A00A8">
              <w:rPr>
                <w:color w:val="000000"/>
                <w:kern w:val="0"/>
                <w:sz w:val="18"/>
                <w:szCs w:val="18"/>
              </w:rPr>
              <w:t>0.3087093</w:t>
            </w:r>
          </w:p>
          <w:p w:rsidR="00A641D5" w:rsidRPr="005A00A8" w:rsidRDefault="00A641D5" w:rsidP="00A641D5">
            <w:pPr>
              <w:adjustRightInd w:val="0"/>
              <w:snapToGrid w:val="0"/>
              <w:jc w:val="center"/>
              <w:rPr>
                <w:color w:val="000000"/>
                <w:kern w:val="0"/>
                <w:sz w:val="18"/>
                <w:szCs w:val="18"/>
              </w:rPr>
            </w:pPr>
          </w:p>
        </w:tc>
      </w:tr>
      <w:tr w:rsidR="00A641D5" w:rsidRPr="00234284" w:rsidTr="00A641D5">
        <w:trPr>
          <w:trHeight w:val="240"/>
          <w:jc w:val="center"/>
        </w:trPr>
        <w:tc>
          <w:tcPr>
            <w:tcW w:w="639" w:type="dxa"/>
            <w:vAlign w:val="bottom"/>
          </w:tcPr>
          <w:p w:rsidR="00A641D5" w:rsidRDefault="00A641D5" w:rsidP="00A641D5">
            <w:pPr>
              <w:adjustRightInd w:val="0"/>
              <w:snapToGrid w:val="0"/>
              <w:jc w:val="center"/>
              <w:rPr>
                <w:color w:val="000000"/>
                <w:kern w:val="0"/>
                <w:sz w:val="18"/>
                <w:szCs w:val="18"/>
              </w:rPr>
            </w:pPr>
            <w:r w:rsidRPr="005A00A8">
              <w:rPr>
                <w:color w:val="000000"/>
                <w:kern w:val="0"/>
                <w:sz w:val="18"/>
                <w:szCs w:val="18"/>
              </w:rPr>
              <w:t>9</w:t>
            </w:r>
          </w:p>
          <w:p w:rsidR="00A641D5" w:rsidRPr="005A00A8" w:rsidRDefault="00A641D5" w:rsidP="00A641D5">
            <w:pPr>
              <w:adjustRightInd w:val="0"/>
              <w:snapToGrid w:val="0"/>
              <w:jc w:val="center"/>
              <w:rPr>
                <w:color w:val="000000"/>
                <w:kern w:val="0"/>
                <w:sz w:val="18"/>
                <w:szCs w:val="18"/>
              </w:rPr>
            </w:pPr>
          </w:p>
          <w:p w:rsidR="00A641D5" w:rsidRPr="005A00A8" w:rsidRDefault="00A641D5" w:rsidP="00A641D5">
            <w:pPr>
              <w:adjustRightInd w:val="0"/>
              <w:snapToGrid w:val="0"/>
              <w:jc w:val="center"/>
              <w:rPr>
                <w:color w:val="000000"/>
                <w:kern w:val="0"/>
                <w:sz w:val="18"/>
                <w:szCs w:val="18"/>
              </w:rPr>
            </w:pPr>
          </w:p>
        </w:tc>
        <w:tc>
          <w:tcPr>
            <w:tcW w:w="2137" w:type="dxa"/>
            <w:vAlign w:val="bottom"/>
          </w:tcPr>
          <w:p w:rsidR="00A641D5" w:rsidRPr="005A00A8" w:rsidRDefault="00A641D5" w:rsidP="00A641D5">
            <w:pPr>
              <w:adjustRightInd w:val="0"/>
              <w:snapToGrid w:val="0"/>
              <w:rPr>
                <w:color w:val="000000"/>
                <w:sz w:val="18"/>
                <w:szCs w:val="18"/>
              </w:rPr>
            </w:pPr>
            <w:proofErr w:type="spellStart"/>
            <w:r w:rsidRPr="005A00A8">
              <w:rPr>
                <w:color w:val="000000"/>
                <w:sz w:val="18"/>
                <w:szCs w:val="18"/>
              </w:rPr>
              <w:t>mixedlo</w:t>
            </w:r>
            <w:proofErr w:type="spellEnd"/>
          </w:p>
          <w:p w:rsidR="00A641D5" w:rsidRPr="005A00A8" w:rsidRDefault="00A641D5" w:rsidP="00A641D5">
            <w:pPr>
              <w:adjustRightInd w:val="0"/>
              <w:snapToGrid w:val="0"/>
              <w:rPr>
                <w:color w:val="000000"/>
                <w:sz w:val="18"/>
                <w:szCs w:val="18"/>
              </w:rPr>
            </w:pPr>
          </w:p>
          <w:p w:rsidR="00A641D5" w:rsidRPr="005A00A8" w:rsidRDefault="00A641D5" w:rsidP="00A641D5">
            <w:pPr>
              <w:adjustRightInd w:val="0"/>
              <w:snapToGrid w:val="0"/>
              <w:rPr>
                <w:color w:val="000000"/>
                <w:sz w:val="18"/>
                <w:szCs w:val="18"/>
              </w:rPr>
            </w:pPr>
          </w:p>
        </w:tc>
        <w:tc>
          <w:tcPr>
            <w:tcW w:w="1701" w:type="dxa"/>
            <w:vAlign w:val="bottom"/>
          </w:tcPr>
          <w:p w:rsidR="00A641D5" w:rsidRPr="005A00A8" w:rsidRDefault="00A641D5" w:rsidP="00A641D5">
            <w:pPr>
              <w:adjustRightInd w:val="0"/>
              <w:snapToGrid w:val="0"/>
              <w:jc w:val="left"/>
              <w:rPr>
                <w:color w:val="000000"/>
                <w:kern w:val="0"/>
                <w:sz w:val="18"/>
                <w:szCs w:val="18"/>
              </w:rPr>
            </w:pPr>
            <w:r w:rsidRPr="005A00A8">
              <w:rPr>
                <w:color w:val="000000"/>
                <w:kern w:val="0"/>
                <w:sz w:val="18"/>
                <w:szCs w:val="18"/>
              </w:rPr>
              <w:t>Mixed legal origin</w:t>
            </w:r>
          </w:p>
          <w:p w:rsidR="00A641D5" w:rsidRPr="005A00A8" w:rsidRDefault="00A641D5" w:rsidP="00A641D5">
            <w:pPr>
              <w:adjustRightInd w:val="0"/>
              <w:snapToGrid w:val="0"/>
              <w:jc w:val="left"/>
              <w:rPr>
                <w:color w:val="000000"/>
                <w:kern w:val="0"/>
                <w:sz w:val="18"/>
                <w:szCs w:val="18"/>
              </w:rPr>
            </w:pPr>
          </w:p>
          <w:p w:rsidR="00A641D5" w:rsidRPr="005A00A8" w:rsidRDefault="00A641D5" w:rsidP="00A641D5">
            <w:pPr>
              <w:adjustRightInd w:val="0"/>
              <w:snapToGrid w:val="0"/>
              <w:jc w:val="left"/>
              <w:rPr>
                <w:color w:val="000000"/>
                <w:kern w:val="0"/>
                <w:sz w:val="18"/>
                <w:szCs w:val="18"/>
              </w:rPr>
            </w:pPr>
          </w:p>
        </w:tc>
        <w:tc>
          <w:tcPr>
            <w:tcW w:w="535" w:type="dxa"/>
            <w:vAlign w:val="bottom"/>
          </w:tcPr>
          <w:p w:rsidR="00A641D5" w:rsidRPr="005A00A8" w:rsidRDefault="00A641D5" w:rsidP="00A641D5">
            <w:pPr>
              <w:adjustRightInd w:val="0"/>
              <w:snapToGrid w:val="0"/>
              <w:rPr>
                <w:color w:val="000000"/>
                <w:kern w:val="0"/>
                <w:sz w:val="18"/>
                <w:szCs w:val="18"/>
              </w:rPr>
            </w:pPr>
            <w:r w:rsidRPr="005A00A8">
              <w:rPr>
                <w:color w:val="000000"/>
                <w:kern w:val="0"/>
                <w:sz w:val="18"/>
                <w:szCs w:val="18"/>
              </w:rPr>
              <w:t>48</w:t>
            </w:r>
          </w:p>
          <w:p w:rsidR="00A641D5" w:rsidRPr="005A00A8" w:rsidRDefault="00A641D5" w:rsidP="00A641D5">
            <w:pPr>
              <w:adjustRightInd w:val="0"/>
              <w:snapToGrid w:val="0"/>
              <w:rPr>
                <w:color w:val="000000"/>
                <w:kern w:val="0"/>
                <w:sz w:val="18"/>
                <w:szCs w:val="18"/>
              </w:rPr>
            </w:pPr>
          </w:p>
          <w:p w:rsidR="00A641D5" w:rsidRPr="005A00A8" w:rsidRDefault="00A641D5" w:rsidP="00A641D5">
            <w:pPr>
              <w:adjustRightInd w:val="0"/>
              <w:snapToGrid w:val="0"/>
              <w:rPr>
                <w:color w:val="000000"/>
                <w:kern w:val="0"/>
                <w:sz w:val="18"/>
                <w:szCs w:val="18"/>
              </w:rPr>
            </w:pPr>
          </w:p>
        </w:tc>
        <w:tc>
          <w:tcPr>
            <w:tcW w:w="6593" w:type="dxa"/>
            <w:vAlign w:val="bottom"/>
          </w:tcPr>
          <w:p w:rsidR="00A641D5" w:rsidRPr="005A00A8" w:rsidRDefault="00A641D5" w:rsidP="00A641D5">
            <w:pPr>
              <w:adjustRightInd w:val="0"/>
              <w:snapToGrid w:val="0"/>
              <w:jc w:val="left"/>
              <w:rPr>
                <w:color w:val="000000"/>
                <w:kern w:val="0"/>
                <w:sz w:val="18"/>
                <w:szCs w:val="18"/>
              </w:rPr>
            </w:pPr>
            <w:r>
              <w:rPr>
                <w:rFonts w:hint="eastAsia"/>
                <w:color w:val="000000"/>
                <w:kern w:val="0"/>
                <w:sz w:val="18"/>
                <w:szCs w:val="18"/>
              </w:rPr>
              <w:t>A d</w:t>
            </w:r>
            <w:r>
              <w:rPr>
                <w:color w:val="000000"/>
                <w:kern w:val="0"/>
                <w:sz w:val="18"/>
                <w:szCs w:val="18"/>
              </w:rPr>
              <w:t>ummy variable</w:t>
            </w:r>
            <w:r w:rsidRPr="005A00A8">
              <w:rPr>
                <w:color w:val="000000"/>
                <w:kern w:val="0"/>
                <w:sz w:val="18"/>
                <w:szCs w:val="18"/>
              </w:rPr>
              <w:t xml:space="preserve"> </w:t>
            </w:r>
            <w:r>
              <w:rPr>
                <w:rFonts w:hint="eastAsia"/>
                <w:color w:val="000000"/>
                <w:kern w:val="0"/>
                <w:sz w:val="18"/>
                <w:szCs w:val="18"/>
              </w:rPr>
              <w:t xml:space="preserve">which </w:t>
            </w:r>
            <w:r w:rsidRPr="005A00A8">
              <w:rPr>
                <w:color w:val="000000"/>
                <w:kern w:val="0"/>
                <w:sz w:val="18"/>
                <w:szCs w:val="18"/>
              </w:rPr>
              <w:t>equals 1 if</w:t>
            </w:r>
            <w:r w:rsidRPr="005A00A8">
              <w:rPr>
                <w:sz w:val="18"/>
                <w:szCs w:val="18"/>
              </w:rPr>
              <w:t xml:space="preserve"> </w:t>
            </w:r>
            <w:r>
              <w:rPr>
                <w:rFonts w:hint="eastAsia"/>
                <w:color w:val="000000"/>
                <w:kern w:val="0"/>
                <w:sz w:val="18"/>
                <w:szCs w:val="18"/>
              </w:rPr>
              <w:t>the</w:t>
            </w:r>
            <w:r w:rsidRPr="005A00A8">
              <w:rPr>
                <w:color w:val="000000"/>
                <w:kern w:val="0"/>
                <w:sz w:val="18"/>
                <w:szCs w:val="18"/>
              </w:rPr>
              <w:t xml:space="preserve"> country has</w:t>
            </w:r>
            <w:r>
              <w:rPr>
                <w:rFonts w:hint="eastAsia"/>
                <w:color w:val="000000"/>
                <w:kern w:val="0"/>
                <w:sz w:val="18"/>
                <w:szCs w:val="18"/>
              </w:rPr>
              <w:t xml:space="preserve"> a</w:t>
            </w:r>
            <w:r w:rsidRPr="000C738D">
              <w:rPr>
                <w:color w:val="000000"/>
                <w:kern w:val="0"/>
                <w:sz w:val="18"/>
                <w:szCs w:val="18"/>
              </w:rPr>
              <w:t xml:space="preserve"> legal</w:t>
            </w:r>
            <w:r>
              <w:rPr>
                <w:rFonts w:hint="eastAsia"/>
                <w:color w:val="000000"/>
                <w:kern w:val="0"/>
                <w:sz w:val="18"/>
                <w:szCs w:val="18"/>
              </w:rPr>
              <w:t xml:space="preserve"> </w:t>
            </w:r>
            <w:r>
              <w:rPr>
                <w:color w:val="000000"/>
                <w:kern w:val="0"/>
                <w:sz w:val="18"/>
                <w:szCs w:val="18"/>
              </w:rPr>
              <w:t>system</w:t>
            </w:r>
            <w:r w:rsidRPr="000C738D">
              <w:rPr>
                <w:color w:val="000000"/>
                <w:kern w:val="0"/>
                <w:sz w:val="18"/>
                <w:szCs w:val="18"/>
              </w:rPr>
              <w:t xml:space="preserve"> that combine elements of civil law with elements of common law</w:t>
            </w:r>
            <w:r>
              <w:rPr>
                <w:rFonts w:hint="eastAsia"/>
                <w:color w:val="000000"/>
                <w:kern w:val="0"/>
                <w:sz w:val="18"/>
                <w:szCs w:val="18"/>
              </w:rPr>
              <w:t xml:space="preserve"> and 0 otherwise. </w:t>
            </w:r>
            <w:r>
              <w:rPr>
                <w:color w:val="000000"/>
                <w:kern w:val="0"/>
                <w:sz w:val="18"/>
                <w:szCs w:val="18"/>
              </w:rPr>
              <w:t>Source</w:t>
            </w:r>
            <w:r w:rsidRPr="005A00A8">
              <w:rPr>
                <w:color w:val="000000"/>
                <w:kern w:val="0"/>
                <w:sz w:val="18"/>
                <w:szCs w:val="18"/>
              </w:rPr>
              <w:t xml:space="preserve">: </w:t>
            </w:r>
            <w:proofErr w:type="spellStart"/>
            <w:r w:rsidRPr="005A00A8">
              <w:rPr>
                <w:color w:val="000000"/>
                <w:kern w:val="0"/>
                <w:sz w:val="18"/>
                <w:szCs w:val="18"/>
              </w:rPr>
              <w:t>Klerman</w:t>
            </w:r>
            <w:proofErr w:type="spellEnd"/>
            <w:r>
              <w:rPr>
                <w:rFonts w:hint="eastAsia"/>
                <w:color w:val="000000"/>
                <w:kern w:val="0"/>
                <w:sz w:val="18"/>
                <w:szCs w:val="18"/>
              </w:rPr>
              <w:t xml:space="preserve"> et al. (2011).</w:t>
            </w:r>
          </w:p>
        </w:tc>
        <w:tc>
          <w:tcPr>
            <w:tcW w:w="1134" w:type="dxa"/>
          </w:tcPr>
          <w:p w:rsidR="00A641D5" w:rsidRPr="005A00A8" w:rsidRDefault="00A641D5" w:rsidP="00A641D5">
            <w:pPr>
              <w:adjustRightInd w:val="0"/>
              <w:snapToGrid w:val="0"/>
              <w:jc w:val="center"/>
              <w:rPr>
                <w:color w:val="000000"/>
                <w:kern w:val="0"/>
                <w:sz w:val="18"/>
                <w:szCs w:val="18"/>
              </w:rPr>
            </w:pPr>
            <w:r w:rsidRPr="005A00A8">
              <w:rPr>
                <w:color w:val="000000"/>
                <w:kern w:val="0"/>
                <w:sz w:val="18"/>
                <w:szCs w:val="18"/>
              </w:rPr>
              <w:t>0.1458333</w:t>
            </w:r>
          </w:p>
          <w:p w:rsidR="00A641D5" w:rsidRPr="005A00A8" w:rsidRDefault="00A641D5" w:rsidP="00A641D5">
            <w:pPr>
              <w:adjustRightInd w:val="0"/>
              <w:snapToGrid w:val="0"/>
              <w:jc w:val="center"/>
              <w:rPr>
                <w:color w:val="000000"/>
                <w:kern w:val="0"/>
                <w:sz w:val="18"/>
                <w:szCs w:val="18"/>
              </w:rPr>
            </w:pPr>
          </w:p>
          <w:p w:rsidR="00A641D5" w:rsidRPr="005A00A8" w:rsidRDefault="00A641D5" w:rsidP="00A641D5">
            <w:pPr>
              <w:adjustRightInd w:val="0"/>
              <w:snapToGrid w:val="0"/>
              <w:jc w:val="center"/>
              <w:rPr>
                <w:color w:val="000000"/>
                <w:kern w:val="0"/>
                <w:sz w:val="18"/>
                <w:szCs w:val="18"/>
              </w:rPr>
            </w:pPr>
          </w:p>
        </w:tc>
        <w:tc>
          <w:tcPr>
            <w:tcW w:w="1101" w:type="dxa"/>
          </w:tcPr>
          <w:p w:rsidR="00A641D5" w:rsidRPr="005A00A8" w:rsidRDefault="00A641D5" w:rsidP="00A641D5">
            <w:pPr>
              <w:adjustRightInd w:val="0"/>
              <w:snapToGrid w:val="0"/>
              <w:jc w:val="center"/>
              <w:rPr>
                <w:color w:val="000000"/>
                <w:kern w:val="0"/>
                <w:sz w:val="18"/>
                <w:szCs w:val="18"/>
              </w:rPr>
            </w:pPr>
            <w:r w:rsidRPr="005A00A8">
              <w:rPr>
                <w:color w:val="000000"/>
                <w:kern w:val="0"/>
                <w:sz w:val="18"/>
                <w:szCs w:val="18"/>
              </w:rPr>
              <w:t>0.356674</w:t>
            </w:r>
          </w:p>
          <w:p w:rsidR="00A641D5" w:rsidRPr="005A00A8" w:rsidRDefault="00A641D5" w:rsidP="00A641D5">
            <w:pPr>
              <w:adjustRightInd w:val="0"/>
              <w:snapToGrid w:val="0"/>
              <w:jc w:val="center"/>
              <w:rPr>
                <w:color w:val="000000"/>
                <w:kern w:val="0"/>
                <w:sz w:val="18"/>
                <w:szCs w:val="18"/>
              </w:rPr>
            </w:pPr>
          </w:p>
          <w:p w:rsidR="00A641D5" w:rsidRPr="005A00A8" w:rsidRDefault="00A641D5" w:rsidP="00A641D5">
            <w:pPr>
              <w:adjustRightInd w:val="0"/>
              <w:snapToGrid w:val="0"/>
              <w:jc w:val="center"/>
              <w:rPr>
                <w:color w:val="000000"/>
                <w:kern w:val="0"/>
                <w:sz w:val="18"/>
                <w:szCs w:val="18"/>
              </w:rPr>
            </w:pPr>
          </w:p>
        </w:tc>
      </w:tr>
      <w:tr w:rsidR="00A641D5" w:rsidRPr="00234284" w:rsidTr="00A641D5">
        <w:trPr>
          <w:trHeight w:val="240"/>
          <w:jc w:val="center"/>
        </w:trPr>
        <w:tc>
          <w:tcPr>
            <w:tcW w:w="639" w:type="dxa"/>
            <w:vAlign w:val="bottom"/>
          </w:tcPr>
          <w:p w:rsidR="00A641D5"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10</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r w:rsidRPr="00234284">
              <w:rPr>
                <w:color w:val="000000"/>
                <w:sz w:val="18"/>
                <w:szCs w:val="18"/>
                <w:lang w:val="en-GB"/>
              </w:rPr>
              <w:lastRenderedPageBreak/>
              <w:t>disclosure</w:t>
            </w:r>
          </w:p>
          <w:p w:rsidR="00A641D5" w:rsidRPr="00234284" w:rsidRDefault="00A641D5" w:rsidP="00A641D5">
            <w:pPr>
              <w:adjustRightInd w:val="0"/>
              <w:snapToGrid w:val="0"/>
              <w:rPr>
                <w:color w:val="000000"/>
                <w:sz w:val="18"/>
                <w:szCs w:val="18"/>
                <w:lang w:val="en-GB"/>
              </w:rPr>
            </w:pP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lastRenderedPageBreak/>
              <w:t xml:space="preserve">Disclosure </w:t>
            </w:r>
            <w:r w:rsidRPr="00234284">
              <w:rPr>
                <w:color w:val="000000"/>
                <w:kern w:val="0"/>
                <w:sz w:val="18"/>
                <w:szCs w:val="18"/>
                <w:lang w:val="en-GB"/>
              </w:rPr>
              <w:lastRenderedPageBreak/>
              <w:t>requirements index</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lastRenderedPageBreak/>
              <w:t>48</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lastRenderedPageBreak/>
              <w:t xml:space="preserve">Disclosure requirements index is calculated as the average of the following six proxies: </w:t>
            </w:r>
            <w:r w:rsidRPr="00234284">
              <w:rPr>
                <w:color w:val="000000"/>
                <w:kern w:val="0"/>
                <w:sz w:val="18"/>
                <w:szCs w:val="18"/>
                <w:lang w:val="en-GB"/>
              </w:rPr>
              <w:lastRenderedPageBreak/>
              <w:t xml:space="preserve">(1) </w:t>
            </w:r>
            <w:bookmarkStart w:id="54" w:name="OLE_LINK48"/>
            <w:r w:rsidRPr="00234284">
              <w:rPr>
                <w:color w:val="000000"/>
                <w:kern w:val="0"/>
                <w:sz w:val="18"/>
                <w:szCs w:val="18"/>
                <w:lang w:val="en-GB"/>
              </w:rPr>
              <w:t>prospectus</w:t>
            </w:r>
            <w:bookmarkEnd w:id="54"/>
            <w:r w:rsidRPr="00234284">
              <w:rPr>
                <w:color w:val="000000"/>
                <w:kern w:val="0"/>
                <w:sz w:val="18"/>
                <w:szCs w:val="18"/>
                <w:lang w:val="en-GB"/>
              </w:rPr>
              <w:t xml:space="preserve">, (2) compensation, (3) shareholders, (4) inside ownership, (5) </w:t>
            </w:r>
            <w:r>
              <w:rPr>
                <w:color w:val="000000"/>
                <w:kern w:val="0"/>
                <w:sz w:val="18"/>
                <w:szCs w:val="18"/>
                <w:lang w:val="en-GB"/>
              </w:rPr>
              <w:t xml:space="preserve">irregular </w:t>
            </w:r>
            <w:r w:rsidRPr="00234284">
              <w:rPr>
                <w:color w:val="000000"/>
                <w:kern w:val="0"/>
                <w:sz w:val="18"/>
                <w:szCs w:val="18"/>
                <w:lang w:val="en-GB"/>
              </w:rPr>
              <w:t xml:space="preserve">contracts and (6) transactions. Source: La </w:t>
            </w:r>
            <w:proofErr w:type="spellStart"/>
            <w:r w:rsidRPr="00234284">
              <w:rPr>
                <w:color w:val="000000"/>
                <w:kern w:val="0"/>
                <w:sz w:val="18"/>
                <w:szCs w:val="18"/>
                <w:lang w:val="en-GB"/>
              </w:rPr>
              <w:t>Porta</w:t>
            </w:r>
            <w:proofErr w:type="spellEnd"/>
            <w:r w:rsidRPr="00234284">
              <w:rPr>
                <w:color w:val="000000"/>
                <w:kern w:val="0"/>
                <w:sz w:val="18"/>
                <w:szCs w:val="18"/>
                <w:lang w:val="en-GB"/>
              </w:rPr>
              <w:t xml:space="preserve"> </w:t>
            </w:r>
            <w:r w:rsidRPr="00234284">
              <w:rPr>
                <w:i/>
                <w:color w:val="000000"/>
                <w:kern w:val="0"/>
                <w:sz w:val="18"/>
                <w:szCs w:val="18"/>
                <w:lang w:val="en-GB"/>
              </w:rPr>
              <w:t>et al</w:t>
            </w:r>
            <w:r w:rsidRPr="00234284">
              <w:rPr>
                <w:color w:val="000000"/>
                <w:kern w:val="0"/>
                <w:sz w:val="18"/>
                <w:szCs w:val="18"/>
                <w:lang w:val="en-GB"/>
              </w:rPr>
              <w:t>. (2006).</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lastRenderedPageBreak/>
              <w:t>0.5937917</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lastRenderedPageBreak/>
              <w:t>0.2373677</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lastRenderedPageBreak/>
              <w:t>11</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proofErr w:type="spellStart"/>
            <w:r w:rsidRPr="00234284">
              <w:rPr>
                <w:color w:val="000000"/>
                <w:sz w:val="18"/>
                <w:szCs w:val="18"/>
                <w:lang w:val="en-GB"/>
              </w:rPr>
              <w:t>nanalysts</w:t>
            </w:r>
            <w:r w:rsidRPr="00234284">
              <w:rPr>
                <w:color w:val="000000"/>
                <w:sz w:val="18"/>
                <w:szCs w:val="18"/>
                <w:vertAlign w:val="superscript"/>
                <w:lang w:val="en-GB"/>
              </w:rPr>
              <w:t>b</w:t>
            </w:r>
            <w:proofErr w:type="spellEnd"/>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Number of analysts</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The number of analysts providing </w:t>
            </w:r>
            <w:proofErr w:type="gramStart"/>
            <w:r w:rsidRPr="00234284">
              <w:rPr>
                <w:color w:val="000000"/>
                <w:kern w:val="0"/>
                <w:sz w:val="18"/>
                <w:szCs w:val="18"/>
                <w:lang w:val="en-GB"/>
              </w:rPr>
              <w:t>an annual</w:t>
            </w:r>
            <w:proofErr w:type="gramEnd"/>
            <w:r w:rsidRPr="00234284">
              <w:rPr>
                <w:color w:val="000000"/>
                <w:kern w:val="0"/>
                <w:sz w:val="18"/>
                <w:szCs w:val="18"/>
                <w:lang w:val="en-GB"/>
              </w:rPr>
              <w:t xml:space="preserve"> earnings forecast per firm, averaged in each country for the year 1996. Sources: Chang </w:t>
            </w:r>
            <w:r w:rsidRPr="00234284">
              <w:rPr>
                <w:i/>
                <w:color w:val="000000"/>
                <w:kern w:val="0"/>
                <w:sz w:val="18"/>
                <w:szCs w:val="18"/>
                <w:lang w:val="en-GB"/>
              </w:rPr>
              <w:t>et al</w:t>
            </w:r>
            <w:r w:rsidRPr="00234284">
              <w:rPr>
                <w:color w:val="000000"/>
                <w:kern w:val="0"/>
                <w:sz w:val="18"/>
                <w:szCs w:val="18"/>
                <w:lang w:val="en-GB"/>
              </w:rPr>
              <w:t xml:space="preserve">. (2000). </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11.71938</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8.874205</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12</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proofErr w:type="spellStart"/>
            <w:r w:rsidRPr="00234284">
              <w:rPr>
                <w:color w:val="000000"/>
                <w:sz w:val="18"/>
                <w:szCs w:val="18"/>
                <w:lang w:val="en-GB"/>
              </w:rPr>
              <w:t>penforcement</w:t>
            </w:r>
            <w:proofErr w:type="spellEnd"/>
          </w:p>
          <w:p w:rsidR="00A641D5" w:rsidRPr="00234284" w:rsidRDefault="00A641D5" w:rsidP="00A641D5">
            <w:pPr>
              <w:adjustRightInd w:val="0"/>
              <w:snapToGrid w:val="0"/>
              <w:rPr>
                <w:color w:val="000000"/>
                <w:sz w:val="18"/>
                <w:szCs w:val="18"/>
                <w:lang w:val="en-GB"/>
              </w:rPr>
            </w:pP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Public enforcement index</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The index of public enforcement equals the arithmetic mean of (1) supervisor characteristics index, (2) rule-making power index, (3) investigative powers index, (4) orders index and (5) criminal index. Source: La </w:t>
            </w:r>
            <w:proofErr w:type="spellStart"/>
            <w:r w:rsidRPr="00234284">
              <w:rPr>
                <w:color w:val="000000"/>
                <w:kern w:val="0"/>
                <w:sz w:val="18"/>
                <w:szCs w:val="18"/>
                <w:lang w:val="en-GB"/>
              </w:rPr>
              <w:t>Porta</w:t>
            </w:r>
            <w:proofErr w:type="spellEnd"/>
            <w:r w:rsidRPr="00234284">
              <w:rPr>
                <w:color w:val="000000"/>
                <w:kern w:val="0"/>
                <w:sz w:val="18"/>
                <w:szCs w:val="18"/>
                <w:lang w:val="en-GB"/>
              </w:rPr>
              <w:t xml:space="preserve"> </w:t>
            </w:r>
            <w:r w:rsidRPr="00234284">
              <w:rPr>
                <w:i/>
                <w:color w:val="000000"/>
                <w:kern w:val="0"/>
                <w:sz w:val="18"/>
                <w:szCs w:val="18"/>
                <w:lang w:val="en-GB"/>
              </w:rPr>
              <w:t>et al</w:t>
            </w:r>
            <w:r w:rsidRPr="00234284">
              <w:rPr>
                <w:color w:val="000000"/>
                <w:kern w:val="0"/>
                <w:sz w:val="18"/>
                <w:szCs w:val="18"/>
                <w:lang w:val="en-GB"/>
              </w:rPr>
              <w:t>. (2006).</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0.4977292</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0.2240691</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13</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proofErr w:type="spellStart"/>
            <w:r w:rsidRPr="00234284">
              <w:rPr>
                <w:color w:val="000000"/>
                <w:sz w:val="18"/>
                <w:szCs w:val="18"/>
                <w:lang w:val="en-GB"/>
              </w:rPr>
              <w:t>itprosecution</w:t>
            </w:r>
            <w:r w:rsidRPr="00234284">
              <w:rPr>
                <w:color w:val="000000"/>
                <w:sz w:val="18"/>
                <w:szCs w:val="18"/>
                <w:vertAlign w:val="superscript"/>
                <w:lang w:val="en-GB"/>
              </w:rPr>
              <w:t>c</w:t>
            </w:r>
            <w:proofErr w:type="spellEnd"/>
          </w:p>
          <w:p w:rsidR="00A641D5" w:rsidRPr="00234284" w:rsidRDefault="00A641D5" w:rsidP="00A641D5">
            <w:pPr>
              <w:adjustRightInd w:val="0"/>
              <w:snapToGrid w:val="0"/>
              <w:rPr>
                <w:color w:val="000000"/>
                <w:sz w:val="18"/>
                <w:szCs w:val="18"/>
                <w:lang w:val="en-GB"/>
              </w:rPr>
            </w:pP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Insider trading prosecution 1999 (1996)</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A dummy variable </w:t>
            </w:r>
            <w:r>
              <w:rPr>
                <w:color w:val="000000"/>
                <w:kern w:val="0"/>
                <w:sz w:val="18"/>
                <w:szCs w:val="18"/>
                <w:lang w:val="en-GB"/>
              </w:rPr>
              <w:t>that</w:t>
            </w:r>
            <w:r w:rsidRPr="00234284">
              <w:rPr>
                <w:color w:val="000000"/>
                <w:kern w:val="0"/>
                <w:sz w:val="18"/>
                <w:szCs w:val="18"/>
                <w:lang w:val="en-GB"/>
              </w:rPr>
              <w:t xml:space="preserve"> equals 1 if the country files any prosecution against insider trading before 1996/1999 and 0 otherwise. Source: Bhattacharya and </w:t>
            </w:r>
            <w:proofErr w:type="spellStart"/>
            <w:r w:rsidRPr="00234284">
              <w:rPr>
                <w:color w:val="000000"/>
                <w:kern w:val="0"/>
                <w:sz w:val="18"/>
                <w:szCs w:val="18"/>
                <w:lang w:val="en-GB"/>
              </w:rPr>
              <w:t>Daouk</w:t>
            </w:r>
            <w:proofErr w:type="spellEnd"/>
            <w:r w:rsidRPr="00234284">
              <w:rPr>
                <w:color w:val="000000"/>
                <w:kern w:val="0"/>
                <w:sz w:val="18"/>
                <w:szCs w:val="18"/>
                <w:lang w:val="en-GB"/>
              </w:rPr>
              <w:t xml:space="preserve"> (2002).</w:t>
            </w:r>
          </w:p>
          <w:p w:rsidR="00A641D5" w:rsidRPr="00234284" w:rsidRDefault="00A641D5" w:rsidP="00A641D5">
            <w:pPr>
              <w:adjustRightInd w:val="0"/>
              <w:snapToGrid w:val="0"/>
              <w:jc w:val="left"/>
              <w:rPr>
                <w:color w:val="000000"/>
                <w:kern w:val="0"/>
                <w:sz w:val="18"/>
                <w:szCs w:val="18"/>
                <w:lang w:val="en-GB"/>
              </w:rPr>
            </w:pP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0.6458333</w:t>
            </w:r>
          </w:p>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(0.4166667)</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0.4833211</w:t>
            </w:r>
          </w:p>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(0.4982238)</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14</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r w:rsidRPr="00234284">
              <w:rPr>
                <w:color w:val="000000"/>
                <w:sz w:val="18"/>
                <w:szCs w:val="18"/>
                <w:lang w:val="en-GB"/>
              </w:rPr>
              <w:t>property</w:t>
            </w: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Property rights protection</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Property rights protection index of year 1997. Source: The Heritage Foundation </w:t>
            </w:r>
            <w:proofErr w:type="gramStart"/>
            <w:r w:rsidRPr="00234284">
              <w:rPr>
                <w:color w:val="000000"/>
                <w:kern w:val="0"/>
                <w:sz w:val="18"/>
                <w:szCs w:val="18"/>
                <w:lang w:val="en-GB"/>
              </w:rPr>
              <w:t>( http</w:t>
            </w:r>
            <w:proofErr w:type="gramEnd"/>
            <w:r w:rsidRPr="00234284">
              <w:rPr>
                <w:color w:val="000000"/>
                <w:kern w:val="0"/>
                <w:sz w:val="18"/>
                <w:szCs w:val="18"/>
                <w:lang w:val="en-GB"/>
              </w:rPr>
              <w:t>://www.heritage.org).</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72.5</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16.82197</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15</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r w:rsidRPr="00234284">
              <w:rPr>
                <w:color w:val="000000"/>
                <w:sz w:val="18"/>
                <w:szCs w:val="18"/>
                <w:lang w:val="en-GB"/>
              </w:rPr>
              <w:t xml:space="preserve">origin </w:t>
            </w: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Origin country</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A dummy variable </w:t>
            </w:r>
            <w:r>
              <w:rPr>
                <w:color w:val="000000"/>
                <w:kern w:val="0"/>
                <w:sz w:val="18"/>
                <w:szCs w:val="18"/>
                <w:lang w:val="en-GB"/>
              </w:rPr>
              <w:t>that</w:t>
            </w:r>
            <w:r w:rsidRPr="00234284">
              <w:rPr>
                <w:color w:val="000000"/>
                <w:kern w:val="0"/>
                <w:sz w:val="18"/>
                <w:szCs w:val="18"/>
                <w:lang w:val="en-GB"/>
              </w:rPr>
              <w:t xml:space="preserve"> equals 1 if the country develops its law internally and 0 otherwise. Sources: Berkowitz </w:t>
            </w:r>
            <w:r w:rsidRPr="00234284">
              <w:rPr>
                <w:i/>
                <w:color w:val="000000"/>
                <w:kern w:val="0"/>
                <w:sz w:val="18"/>
                <w:szCs w:val="18"/>
                <w:lang w:val="en-GB"/>
              </w:rPr>
              <w:t>et al</w:t>
            </w:r>
            <w:r w:rsidRPr="00234284">
              <w:rPr>
                <w:color w:val="000000"/>
                <w:kern w:val="0"/>
                <w:sz w:val="18"/>
                <w:szCs w:val="18"/>
                <w:lang w:val="en-GB"/>
              </w:rPr>
              <w:t xml:space="preserve">. (2003). </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0.2083333</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0.4104141</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16</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r w:rsidRPr="00234284">
              <w:rPr>
                <w:color w:val="000000"/>
                <w:sz w:val="18"/>
                <w:szCs w:val="18"/>
                <w:lang w:val="en-GB"/>
              </w:rPr>
              <w:t>latitude</w:t>
            </w: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Latitude</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The absolute value of the latitude of the country, scaled to take values between 0 and 1. Source: LLSV (1999). </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0.3478333</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0.2074274</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17</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r w:rsidRPr="00234284">
              <w:rPr>
                <w:color w:val="000000"/>
                <w:sz w:val="18"/>
                <w:szCs w:val="18"/>
                <w:lang w:val="en-GB"/>
              </w:rPr>
              <w:t>catholic</w:t>
            </w: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Catholic</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A dummy variable </w:t>
            </w:r>
            <w:r>
              <w:rPr>
                <w:color w:val="000000"/>
                <w:kern w:val="0"/>
                <w:sz w:val="18"/>
                <w:szCs w:val="18"/>
                <w:lang w:val="en-GB"/>
              </w:rPr>
              <w:t>that</w:t>
            </w:r>
            <w:r w:rsidRPr="00234284">
              <w:rPr>
                <w:color w:val="000000"/>
                <w:kern w:val="0"/>
                <w:sz w:val="18"/>
                <w:szCs w:val="18"/>
                <w:lang w:val="en-GB"/>
              </w:rPr>
              <w:t xml:space="preserve"> equals 1 if the country’s primary religion is Catholic. Source: </w:t>
            </w:r>
            <w:proofErr w:type="spellStart"/>
            <w:r w:rsidRPr="00234284">
              <w:rPr>
                <w:color w:val="000000"/>
                <w:kern w:val="0"/>
                <w:sz w:val="18"/>
                <w:szCs w:val="18"/>
                <w:lang w:val="en-GB"/>
              </w:rPr>
              <w:t>Stulz</w:t>
            </w:r>
            <w:proofErr w:type="spellEnd"/>
            <w:r w:rsidRPr="00234284">
              <w:rPr>
                <w:color w:val="000000"/>
                <w:kern w:val="0"/>
                <w:sz w:val="18"/>
                <w:szCs w:val="18"/>
                <w:lang w:val="en-GB"/>
              </w:rPr>
              <w:t xml:space="preserve"> and Williamson (2003). </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0.4166667</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0.4982238</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18</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r w:rsidRPr="00234284">
              <w:rPr>
                <w:color w:val="000000"/>
                <w:sz w:val="18"/>
                <w:szCs w:val="18"/>
                <w:lang w:val="en-GB"/>
              </w:rPr>
              <w:t>protestant</w:t>
            </w: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Protestant</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A dummy variable </w:t>
            </w:r>
            <w:r>
              <w:rPr>
                <w:color w:val="000000"/>
                <w:kern w:val="0"/>
                <w:sz w:val="18"/>
                <w:szCs w:val="18"/>
                <w:lang w:val="en-GB"/>
              </w:rPr>
              <w:t>that</w:t>
            </w:r>
            <w:r w:rsidRPr="00234284">
              <w:rPr>
                <w:color w:val="000000"/>
                <w:kern w:val="0"/>
                <w:sz w:val="18"/>
                <w:szCs w:val="18"/>
                <w:lang w:val="en-GB"/>
              </w:rPr>
              <w:t xml:space="preserve"> equals 1 if the country’s primary religion is Protestant. Source: </w:t>
            </w:r>
            <w:proofErr w:type="spellStart"/>
            <w:r w:rsidRPr="00234284">
              <w:rPr>
                <w:color w:val="000000"/>
                <w:kern w:val="0"/>
                <w:sz w:val="18"/>
                <w:szCs w:val="18"/>
                <w:lang w:val="en-GB"/>
              </w:rPr>
              <w:t>Stulz</w:t>
            </w:r>
            <w:proofErr w:type="spellEnd"/>
            <w:r w:rsidRPr="00234284">
              <w:rPr>
                <w:color w:val="000000"/>
                <w:kern w:val="0"/>
                <w:sz w:val="18"/>
                <w:szCs w:val="18"/>
                <w:lang w:val="en-GB"/>
              </w:rPr>
              <w:t xml:space="preserve"> and Williamson (2003). </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0.25</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0.437595</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19</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proofErr w:type="spellStart"/>
            <w:r w:rsidRPr="00234284">
              <w:rPr>
                <w:color w:val="000000"/>
                <w:sz w:val="18"/>
                <w:szCs w:val="18"/>
                <w:lang w:val="en-GB"/>
              </w:rPr>
              <w:t>muslim</w:t>
            </w:r>
            <w:proofErr w:type="spellEnd"/>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Muslim</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A dummy variable </w:t>
            </w:r>
            <w:r>
              <w:rPr>
                <w:color w:val="000000"/>
                <w:kern w:val="0"/>
                <w:sz w:val="18"/>
                <w:szCs w:val="18"/>
                <w:lang w:val="en-GB"/>
              </w:rPr>
              <w:t>that</w:t>
            </w:r>
            <w:r w:rsidRPr="00234284">
              <w:rPr>
                <w:color w:val="000000"/>
                <w:kern w:val="0"/>
                <w:sz w:val="18"/>
                <w:szCs w:val="18"/>
                <w:lang w:val="en-GB"/>
              </w:rPr>
              <w:t xml:space="preserve"> equals 1 if the country’s primary religion is Muslim. Source: </w:t>
            </w:r>
            <w:proofErr w:type="spellStart"/>
            <w:r w:rsidRPr="00234284">
              <w:rPr>
                <w:color w:val="000000"/>
                <w:kern w:val="0"/>
                <w:sz w:val="18"/>
                <w:szCs w:val="18"/>
                <w:lang w:val="en-GB"/>
              </w:rPr>
              <w:t>Stulz</w:t>
            </w:r>
            <w:proofErr w:type="spellEnd"/>
            <w:r w:rsidRPr="00234284">
              <w:rPr>
                <w:color w:val="000000"/>
                <w:kern w:val="0"/>
                <w:sz w:val="18"/>
                <w:szCs w:val="18"/>
                <w:lang w:val="en-GB"/>
              </w:rPr>
              <w:t xml:space="preserve"> and Williamson (2003). </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0.1458333</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0.356674</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20</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proofErr w:type="spellStart"/>
            <w:r w:rsidRPr="00234284">
              <w:rPr>
                <w:color w:val="000000"/>
                <w:sz w:val="18"/>
                <w:szCs w:val="18"/>
                <w:lang w:val="en-GB"/>
              </w:rPr>
              <w:t>buddhist</w:t>
            </w:r>
            <w:proofErr w:type="spellEnd"/>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Buddhist</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A dummy variable </w:t>
            </w:r>
            <w:r>
              <w:rPr>
                <w:color w:val="000000"/>
                <w:kern w:val="0"/>
                <w:sz w:val="18"/>
                <w:szCs w:val="18"/>
                <w:lang w:val="en-GB"/>
              </w:rPr>
              <w:t>that</w:t>
            </w:r>
            <w:r w:rsidRPr="00234284">
              <w:rPr>
                <w:color w:val="000000"/>
                <w:kern w:val="0"/>
                <w:sz w:val="18"/>
                <w:szCs w:val="18"/>
                <w:lang w:val="en-GB"/>
              </w:rPr>
              <w:t xml:space="preserve"> equals 1 if the country’s primary religion is Buddhist. Source: </w:t>
            </w:r>
            <w:proofErr w:type="spellStart"/>
            <w:r w:rsidRPr="00234284">
              <w:rPr>
                <w:color w:val="000000"/>
                <w:kern w:val="0"/>
                <w:sz w:val="18"/>
                <w:szCs w:val="18"/>
                <w:lang w:val="en-GB"/>
              </w:rPr>
              <w:t>Stulz</w:t>
            </w:r>
            <w:proofErr w:type="spellEnd"/>
            <w:r w:rsidRPr="00234284">
              <w:rPr>
                <w:color w:val="000000"/>
                <w:kern w:val="0"/>
                <w:sz w:val="18"/>
                <w:szCs w:val="18"/>
                <w:lang w:val="en-GB"/>
              </w:rPr>
              <w:t xml:space="preserve"> and Williamson (2003). </w:t>
            </w:r>
          </w:p>
        </w:tc>
        <w:tc>
          <w:tcPr>
            <w:tcW w:w="1134"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0.0833333</w:t>
            </w:r>
          </w:p>
          <w:p w:rsidR="00A641D5" w:rsidRPr="00234284" w:rsidRDefault="00A641D5" w:rsidP="00A641D5">
            <w:pPr>
              <w:adjustRightInd w:val="0"/>
              <w:snapToGrid w:val="0"/>
              <w:jc w:val="center"/>
              <w:rPr>
                <w:color w:val="000000"/>
                <w:kern w:val="0"/>
                <w:sz w:val="18"/>
                <w:szCs w:val="18"/>
                <w:lang w:val="en-GB"/>
              </w:rPr>
            </w:pPr>
          </w:p>
        </w:tc>
        <w:tc>
          <w:tcPr>
            <w:tcW w:w="1101"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0.2793102</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21</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r w:rsidRPr="00234284">
              <w:rPr>
                <w:color w:val="000000"/>
                <w:sz w:val="18"/>
                <w:szCs w:val="18"/>
                <w:lang w:val="en-GB"/>
              </w:rPr>
              <w:t>newspaper</w:t>
            </w: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Newspaper circulation</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Logarithm of newspaper and periodical circulation per thousand inhabitants in 2000 (or closest available). Source: DLLS (2008).</w:t>
            </w:r>
          </w:p>
        </w:tc>
        <w:tc>
          <w:tcPr>
            <w:tcW w:w="1134"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4.738292</w:t>
            </w:r>
          </w:p>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 xml:space="preserve">     </w:t>
            </w:r>
          </w:p>
        </w:tc>
        <w:tc>
          <w:tcPr>
            <w:tcW w:w="1101"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1.03657</w:t>
            </w:r>
          </w:p>
          <w:p w:rsidR="00A641D5" w:rsidRPr="00234284" w:rsidRDefault="00A641D5" w:rsidP="00A641D5">
            <w:pPr>
              <w:adjustRightInd w:val="0"/>
              <w:snapToGrid w:val="0"/>
              <w:jc w:val="center"/>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22</w:t>
            </w:r>
          </w:p>
          <w:p w:rsidR="00A641D5" w:rsidRPr="00234284" w:rsidRDefault="00A641D5" w:rsidP="00A641D5">
            <w:pPr>
              <w:adjustRightInd w:val="0"/>
              <w:snapToGrid w:val="0"/>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proofErr w:type="spellStart"/>
            <w:r w:rsidRPr="00234284">
              <w:rPr>
                <w:color w:val="000000"/>
                <w:sz w:val="18"/>
                <w:szCs w:val="18"/>
                <w:lang w:val="en-GB"/>
              </w:rPr>
              <w:t>registercost</w:t>
            </w:r>
            <w:proofErr w:type="spellEnd"/>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Costs of registration</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The cost of obtaining legal status to operate a firm as a share of per capita GDP in 1999. Source: DLLS (2002).</w:t>
            </w:r>
          </w:p>
        </w:tc>
        <w:tc>
          <w:tcPr>
            <w:tcW w:w="1134"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0.26875</w:t>
            </w:r>
          </w:p>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 xml:space="preserve">    </w:t>
            </w:r>
          </w:p>
        </w:tc>
        <w:tc>
          <w:tcPr>
            <w:tcW w:w="1101"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0.3980143</w:t>
            </w:r>
          </w:p>
          <w:p w:rsidR="00A641D5" w:rsidRPr="00234284" w:rsidRDefault="00A641D5" w:rsidP="00A641D5">
            <w:pPr>
              <w:adjustRightInd w:val="0"/>
              <w:snapToGrid w:val="0"/>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sidRPr="00234284">
              <w:rPr>
                <w:color w:val="000000"/>
                <w:kern w:val="0"/>
                <w:sz w:val="18"/>
                <w:szCs w:val="18"/>
                <w:lang w:val="en-GB"/>
              </w:rPr>
              <w:t>23</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kern w:val="0"/>
                <w:sz w:val="18"/>
                <w:szCs w:val="18"/>
                <w:lang w:val="en-GB"/>
              </w:rPr>
            </w:pPr>
            <w:proofErr w:type="spellStart"/>
            <w:r w:rsidRPr="00234284">
              <w:rPr>
                <w:kern w:val="0"/>
                <w:sz w:val="18"/>
                <w:szCs w:val="18"/>
                <w:lang w:val="en-GB"/>
              </w:rPr>
              <w:t>ethnolinguistic</w:t>
            </w:r>
            <w:proofErr w:type="spellEnd"/>
          </w:p>
          <w:p w:rsidR="00A641D5" w:rsidRPr="00234284" w:rsidRDefault="00A641D5" w:rsidP="00A641D5">
            <w:pPr>
              <w:adjustRightInd w:val="0"/>
              <w:snapToGrid w:val="0"/>
              <w:rPr>
                <w:kern w:val="0"/>
                <w:sz w:val="18"/>
                <w:szCs w:val="18"/>
                <w:lang w:val="en-GB"/>
              </w:rPr>
            </w:pP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proofErr w:type="spellStart"/>
            <w:r w:rsidRPr="00234284">
              <w:rPr>
                <w:kern w:val="0"/>
                <w:sz w:val="18"/>
                <w:szCs w:val="18"/>
                <w:lang w:val="en-GB"/>
              </w:rPr>
              <w:t>Ethnolinguistic</w:t>
            </w:r>
            <w:proofErr w:type="spellEnd"/>
            <w:r w:rsidRPr="00234284">
              <w:rPr>
                <w:color w:val="000000"/>
                <w:kern w:val="0"/>
                <w:sz w:val="18"/>
                <w:szCs w:val="18"/>
                <w:lang w:val="en-GB"/>
              </w:rPr>
              <w:t xml:space="preserve"> fractionalization</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This variable measures the probability that two randomly selected persons from a given country will not belong to the same </w:t>
            </w:r>
            <w:proofErr w:type="spellStart"/>
            <w:r w:rsidRPr="00234284">
              <w:rPr>
                <w:color w:val="000000"/>
                <w:kern w:val="0"/>
                <w:sz w:val="18"/>
                <w:szCs w:val="18"/>
                <w:lang w:val="en-GB"/>
              </w:rPr>
              <w:t>ethnolinguistic</w:t>
            </w:r>
            <w:proofErr w:type="spellEnd"/>
            <w:r w:rsidRPr="00234284">
              <w:rPr>
                <w:color w:val="000000"/>
                <w:kern w:val="0"/>
                <w:sz w:val="18"/>
                <w:szCs w:val="18"/>
                <w:lang w:val="en-GB"/>
              </w:rPr>
              <w:t xml:space="preserve"> group. Source: Easterly and Levine (1997).</w:t>
            </w:r>
          </w:p>
        </w:tc>
        <w:tc>
          <w:tcPr>
            <w:tcW w:w="1134"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0.2573333</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 xml:space="preserve">    </w:t>
            </w:r>
          </w:p>
        </w:tc>
        <w:tc>
          <w:tcPr>
            <w:tcW w:w="1101"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0.2567364</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r>
      <w:tr w:rsidR="00A641D5" w:rsidRPr="00234284" w:rsidTr="00A641D5">
        <w:trPr>
          <w:trHeight w:val="240"/>
          <w:jc w:val="center"/>
        </w:trPr>
        <w:tc>
          <w:tcPr>
            <w:tcW w:w="639" w:type="dxa"/>
            <w:vAlign w:val="bottom"/>
          </w:tcPr>
          <w:p w:rsidR="00A641D5" w:rsidRDefault="00A641D5" w:rsidP="00A641D5">
            <w:pPr>
              <w:adjustRightInd w:val="0"/>
              <w:snapToGrid w:val="0"/>
              <w:jc w:val="center"/>
              <w:rPr>
                <w:color w:val="000000"/>
                <w:kern w:val="0"/>
                <w:sz w:val="18"/>
                <w:szCs w:val="18"/>
                <w:lang w:val="en-GB"/>
              </w:rPr>
            </w:pPr>
            <w:r>
              <w:rPr>
                <w:rFonts w:hint="eastAsia"/>
                <w:color w:val="000000"/>
                <w:kern w:val="0"/>
                <w:sz w:val="18"/>
                <w:szCs w:val="18"/>
                <w:lang w:val="en-GB"/>
              </w:rPr>
              <w:t>24</w:t>
            </w:r>
          </w:p>
          <w:p w:rsidR="00A641D5" w:rsidRPr="00234284" w:rsidRDefault="00A641D5" w:rsidP="00A641D5">
            <w:pPr>
              <w:adjustRightInd w:val="0"/>
              <w:snapToGrid w:val="0"/>
              <w:jc w:val="center"/>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vertAlign w:val="superscript"/>
                <w:lang w:val="en-GB"/>
              </w:rPr>
            </w:pPr>
            <w:proofErr w:type="spellStart"/>
            <w:r w:rsidRPr="00234284">
              <w:rPr>
                <w:color w:val="000000"/>
                <w:sz w:val="18"/>
                <w:szCs w:val="18"/>
                <w:lang w:val="en-GB"/>
              </w:rPr>
              <w:t>tradeopenness</w:t>
            </w:r>
            <w:r w:rsidRPr="00234284">
              <w:rPr>
                <w:color w:val="000000"/>
                <w:sz w:val="18"/>
                <w:szCs w:val="18"/>
                <w:vertAlign w:val="superscript"/>
                <w:lang w:val="en-GB"/>
              </w:rPr>
              <w:t>d</w:t>
            </w:r>
            <w:proofErr w:type="spellEnd"/>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Trade openness 1999 (1996)</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The sum of exports and imports of goods and services measured as a share of GDP. Sources: World Development Indicators 2011.</w:t>
            </w:r>
          </w:p>
        </w:tc>
        <w:tc>
          <w:tcPr>
            <w:tcW w:w="1134"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75.64506</w:t>
            </w:r>
          </w:p>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(72.96948)</w:t>
            </w:r>
          </w:p>
        </w:tc>
        <w:tc>
          <w:tcPr>
            <w:tcW w:w="1101"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60.36639</w:t>
            </w:r>
          </w:p>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(59.54328)</w:t>
            </w:r>
          </w:p>
        </w:tc>
      </w:tr>
      <w:tr w:rsidR="00A641D5" w:rsidRPr="00234284" w:rsidTr="00A641D5">
        <w:trPr>
          <w:trHeight w:val="240"/>
          <w:jc w:val="center"/>
        </w:trPr>
        <w:tc>
          <w:tcPr>
            <w:tcW w:w="639" w:type="dxa"/>
            <w:vAlign w:val="bottom"/>
          </w:tcPr>
          <w:p w:rsidR="00A641D5" w:rsidRDefault="00A641D5" w:rsidP="00A641D5">
            <w:pPr>
              <w:adjustRightInd w:val="0"/>
              <w:snapToGrid w:val="0"/>
              <w:jc w:val="center"/>
              <w:rPr>
                <w:color w:val="000000"/>
                <w:kern w:val="0"/>
                <w:sz w:val="18"/>
                <w:szCs w:val="18"/>
                <w:lang w:val="en-GB"/>
              </w:rPr>
            </w:pPr>
            <w:r>
              <w:rPr>
                <w:rFonts w:hint="eastAsia"/>
                <w:color w:val="000000"/>
                <w:kern w:val="0"/>
                <w:sz w:val="18"/>
                <w:szCs w:val="18"/>
                <w:lang w:val="en-GB"/>
              </w:rPr>
              <w:t>25</w:t>
            </w:r>
          </w:p>
          <w:p w:rsidR="00A641D5" w:rsidRDefault="00A641D5" w:rsidP="00A641D5">
            <w:pPr>
              <w:adjustRightInd w:val="0"/>
              <w:snapToGrid w:val="0"/>
              <w:jc w:val="center"/>
              <w:rPr>
                <w:color w:val="000000"/>
                <w:kern w:val="0"/>
                <w:sz w:val="18"/>
                <w:szCs w:val="18"/>
                <w:lang w:val="en-GB"/>
              </w:rPr>
            </w:pPr>
          </w:p>
          <w:p w:rsidR="00A641D5"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r w:rsidRPr="00234284">
              <w:rPr>
                <w:color w:val="000000"/>
                <w:sz w:val="18"/>
                <w:szCs w:val="18"/>
                <w:lang w:val="en-GB"/>
              </w:rPr>
              <w:t>employment</w:t>
            </w:r>
          </w:p>
          <w:p w:rsidR="00A641D5" w:rsidRPr="00234284" w:rsidRDefault="00A641D5" w:rsidP="00A641D5">
            <w:pPr>
              <w:adjustRightInd w:val="0"/>
              <w:snapToGrid w:val="0"/>
              <w:rPr>
                <w:color w:val="000000"/>
                <w:sz w:val="18"/>
                <w:szCs w:val="18"/>
                <w:lang w:val="en-GB"/>
              </w:rPr>
            </w:pPr>
          </w:p>
          <w:p w:rsidR="00A641D5" w:rsidRPr="00234284" w:rsidRDefault="00A641D5" w:rsidP="00A641D5">
            <w:pPr>
              <w:adjustRightInd w:val="0"/>
              <w:snapToGrid w:val="0"/>
              <w:rPr>
                <w:color w:val="000000"/>
                <w:sz w:val="18"/>
                <w:szCs w:val="18"/>
                <w:lang w:val="en-GB"/>
              </w:rPr>
            </w:pP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Employment laws index</w:t>
            </w:r>
          </w:p>
          <w:p w:rsidR="00A641D5" w:rsidRPr="00234284" w:rsidRDefault="00A641D5" w:rsidP="00A641D5">
            <w:pPr>
              <w:adjustRightInd w:val="0"/>
              <w:snapToGrid w:val="0"/>
              <w:jc w:val="left"/>
              <w:rPr>
                <w:color w:val="000000"/>
                <w:kern w:val="0"/>
                <w:sz w:val="18"/>
                <w:szCs w:val="18"/>
                <w:lang w:val="en-GB"/>
              </w:rPr>
            </w:pP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The index measures the protection of employment laws as the average of (1) the existence and cost of alternatives to the standard employment contract, (2) cost of increasing the number of hours worked, (3) cost of firing workers and (4) dismissal procedures. Source: </w:t>
            </w:r>
            <w:proofErr w:type="spellStart"/>
            <w:r w:rsidRPr="00234284">
              <w:rPr>
                <w:color w:val="000000"/>
                <w:kern w:val="0"/>
                <w:sz w:val="18"/>
                <w:szCs w:val="18"/>
                <w:lang w:val="en-GB"/>
              </w:rPr>
              <w:t>Botero</w:t>
            </w:r>
            <w:proofErr w:type="spellEnd"/>
            <w:r w:rsidRPr="00234284">
              <w:rPr>
                <w:color w:val="000000"/>
                <w:kern w:val="0"/>
                <w:sz w:val="18"/>
                <w:szCs w:val="18"/>
                <w:lang w:val="en-GB"/>
              </w:rPr>
              <w:t xml:space="preserve"> </w:t>
            </w:r>
            <w:r w:rsidRPr="00234284">
              <w:rPr>
                <w:i/>
                <w:color w:val="000000"/>
                <w:kern w:val="0"/>
                <w:sz w:val="18"/>
                <w:szCs w:val="18"/>
                <w:lang w:val="en-GB"/>
              </w:rPr>
              <w:t>et al</w:t>
            </w:r>
            <w:r w:rsidRPr="00234284">
              <w:rPr>
                <w:color w:val="000000"/>
                <w:kern w:val="0"/>
                <w:sz w:val="18"/>
                <w:szCs w:val="18"/>
                <w:lang w:val="en-GB"/>
              </w:rPr>
              <w:t>. (2004).</w:t>
            </w:r>
          </w:p>
        </w:tc>
        <w:tc>
          <w:tcPr>
            <w:tcW w:w="1134"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0.4545833</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 xml:space="preserve">    </w:t>
            </w:r>
          </w:p>
        </w:tc>
        <w:tc>
          <w:tcPr>
            <w:tcW w:w="1101"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0.1858519</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r>
      <w:tr w:rsidR="00A641D5" w:rsidRPr="00234284" w:rsidTr="00A641D5">
        <w:trPr>
          <w:trHeight w:val="240"/>
          <w:jc w:val="center"/>
        </w:trPr>
        <w:tc>
          <w:tcPr>
            <w:tcW w:w="639" w:type="dxa"/>
            <w:vAlign w:val="bottom"/>
          </w:tcPr>
          <w:p w:rsidR="00A641D5" w:rsidRPr="00234284" w:rsidRDefault="00A641D5" w:rsidP="00A641D5">
            <w:pPr>
              <w:adjustRightInd w:val="0"/>
              <w:snapToGrid w:val="0"/>
              <w:rPr>
                <w:color w:val="000000"/>
                <w:kern w:val="0"/>
                <w:sz w:val="18"/>
                <w:szCs w:val="18"/>
                <w:lang w:val="en-GB"/>
              </w:rPr>
            </w:pPr>
            <w:r>
              <w:rPr>
                <w:rFonts w:hint="eastAsia"/>
                <w:color w:val="000000"/>
                <w:kern w:val="0"/>
                <w:sz w:val="18"/>
                <w:szCs w:val="18"/>
                <w:lang w:val="en-GB"/>
              </w:rPr>
              <w:t>26</w:t>
            </w:r>
          </w:p>
        </w:tc>
        <w:tc>
          <w:tcPr>
            <w:tcW w:w="2137" w:type="dxa"/>
            <w:vAlign w:val="bottom"/>
          </w:tcPr>
          <w:p w:rsidR="00A641D5" w:rsidRPr="00234284" w:rsidRDefault="00A641D5" w:rsidP="00A641D5">
            <w:pPr>
              <w:adjustRightInd w:val="0"/>
              <w:snapToGrid w:val="0"/>
              <w:rPr>
                <w:color w:val="000000"/>
                <w:sz w:val="18"/>
                <w:szCs w:val="18"/>
                <w:lang w:val="en-GB"/>
              </w:rPr>
            </w:pPr>
            <w:proofErr w:type="spellStart"/>
            <w:r w:rsidRPr="00234284">
              <w:rPr>
                <w:color w:val="000000"/>
                <w:sz w:val="18"/>
                <w:szCs w:val="18"/>
                <w:lang w:val="en-GB"/>
              </w:rPr>
              <w:t>pinstab</w:t>
            </w:r>
            <w:proofErr w:type="spellEnd"/>
          </w:p>
          <w:p w:rsidR="00A641D5" w:rsidRPr="00234284" w:rsidRDefault="00A641D5" w:rsidP="00A641D5">
            <w:pPr>
              <w:adjustRightInd w:val="0"/>
              <w:snapToGrid w:val="0"/>
              <w:rPr>
                <w:color w:val="000000"/>
                <w:sz w:val="18"/>
                <w:szCs w:val="18"/>
                <w:lang w:val="en-GB"/>
              </w:rPr>
            </w:pP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Political instability index</w:t>
            </w:r>
          </w:p>
          <w:p w:rsidR="00A641D5" w:rsidRPr="00234284" w:rsidRDefault="00A641D5" w:rsidP="00A641D5">
            <w:pPr>
              <w:adjustRightInd w:val="0"/>
              <w:snapToGrid w:val="0"/>
              <w:jc w:val="left"/>
              <w:rPr>
                <w:color w:val="000000"/>
                <w:kern w:val="0"/>
                <w:sz w:val="18"/>
                <w:szCs w:val="18"/>
                <w:lang w:val="en-GB"/>
              </w:rPr>
            </w:pP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48</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Average of the number of assassinations per million </w:t>
            </w:r>
            <w:proofErr w:type="gramStart"/>
            <w:r w:rsidRPr="00234284">
              <w:rPr>
                <w:color w:val="000000"/>
                <w:kern w:val="0"/>
                <w:sz w:val="18"/>
                <w:szCs w:val="18"/>
                <w:lang w:val="en-GB"/>
              </w:rPr>
              <w:t>population</w:t>
            </w:r>
            <w:proofErr w:type="gramEnd"/>
            <w:r w:rsidRPr="00234284">
              <w:rPr>
                <w:color w:val="000000"/>
                <w:kern w:val="0"/>
                <w:sz w:val="18"/>
                <w:szCs w:val="18"/>
                <w:lang w:val="en-GB"/>
              </w:rPr>
              <w:t xml:space="preserve"> per year and the number of revolutions per year from 1986 to 1988. Source: </w:t>
            </w:r>
            <w:proofErr w:type="spellStart"/>
            <w:r w:rsidRPr="00234284">
              <w:rPr>
                <w:color w:val="000000"/>
                <w:kern w:val="0"/>
                <w:sz w:val="18"/>
                <w:szCs w:val="18"/>
                <w:lang w:val="en-GB"/>
              </w:rPr>
              <w:t>Barro</w:t>
            </w:r>
            <w:proofErr w:type="spellEnd"/>
            <w:r w:rsidRPr="00234284">
              <w:rPr>
                <w:color w:val="000000"/>
                <w:kern w:val="0"/>
                <w:sz w:val="18"/>
                <w:szCs w:val="18"/>
                <w:lang w:val="en-GB"/>
              </w:rPr>
              <w:t xml:space="preserve"> and Lee (1994) (http://admin.nber.org/pub/barro.lee/pinstab.prn).</w:t>
            </w:r>
          </w:p>
        </w:tc>
        <w:tc>
          <w:tcPr>
            <w:tcW w:w="1134" w:type="dxa"/>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0.2127146</w:t>
            </w:r>
          </w:p>
        </w:tc>
        <w:tc>
          <w:tcPr>
            <w:tcW w:w="1101" w:type="dxa"/>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0.2727149</w:t>
            </w:r>
          </w:p>
        </w:tc>
      </w:tr>
      <w:tr w:rsidR="00A641D5" w:rsidRPr="00234284" w:rsidTr="00A641D5">
        <w:trPr>
          <w:trHeight w:val="177"/>
          <w:jc w:val="center"/>
        </w:trPr>
        <w:tc>
          <w:tcPr>
            <w:tcW w:w="13840" w:type="dxa"/>
            <w:gridSpan w:val="7"/>
            <w:vAlign w:val="bottom"/>
          </w:tcPr>
          <w:p w:rsidR="00A641D5" w:rsidRPr="00234284" w:rsidRDefault="00A641D5" w:rsidP="00A641D5">
            <w:pPr>
              <w:adjustRightInd w:val="0"/>
              <w:snapToGrid w:val="0"/>
              <w:jc w:val="center"/>
              <w:rPr>
                <w:b/>
                <w:color w:val="000000"/>
                <w:kern w:val="0"/>
                <w:sz w:val="18"/>
                <w:szCs w:val="18"/>
                <w:lang w:val="en-GB"/>
              </w:rPr>
            </w:pPr>
            <w:r w:rsidRPr="00234284">
              <w:rPr>
                <w:b/>
                <w:color w:val="000000"/>
                <w:kern w:val="0"/>
                <w:sz w:val="18"/>
                <w:szCs w:val="18"/>
                <w:lang w:val="en-GB"/>
              </w:rPr>
              <w:t>Independent Variables (Additional Doubtful Variables for Sensitivity Analysis)</w:t>
            </w:r>
          </w:p>
        </w:tc>
      </w:tr>
      <w:tr w:rsidR="00A641D5" w:rsidRPr="00234284" w:rsidTr="00A641D5">
        <w:trPr>
          <w:trHeight w:val="315"/>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Pr>
                <w:color w:val="000000"/>
                <w:kern w:val="0"/>
                <w:sz w:val="18"/>
                <w:szCs w:val="18"/>
                <w:lang w:val="en-GB"/>
              </w:rPr>
              <w:t>2</w:t>
            </w:r>
            <w:r>
              <w:rPr>
                <w:rFonts w:hint="eastAsia"/>
                <w:color w:val="000000"/>
                <w:kern w:val="0"/>
                <w:sz w:val="18"/>
                <w:szCs w:val="18"/>
                <w:lang w:val="en-GB"/>
              </w:rPr>
              <w:t>7</w:t>
            </w:r>
          </w:p>
          <w:p w:rsidR="00A641D5" w:rsidRPr="00234284" w:rsidRDefault="00A641D5" w:rsidP="00A641D5">
            <w:pPr>
              <w:adjustRightInd w:val="0"/>
              <w:snapToGrid w:val="0"/>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r w:rsidRPr="00234284">
              <w:rPr>
                <w:color w:val="000000"/>
                <w:sz w:val="18"/>
                <w:szCs w:val="18"/>
                <w:lang w:val="en-GB"/>
              </w:rPr>
              <w:lastRenderedPageBreak/>
              <w:t>staff</w:t>
            </w: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lastRenderedPageBreak/>
              <w:t xml:space="preserve">Staff per million </w:t>
            </w:r>
            <w:r w:rsidRPr="00234284">
              <w:rPr>
                <w:color w:val="000000"/>
                <w:kern w:val="0"/>
                <w:sz w:val="18"/>
                <w:szCs w:val="18"/>
                <w:lang w:val="en-GB"/>
              </w:rPr>
              <w:lastRenderedPageBreak/>
              <w:t>population</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lastRenderedPageBreak/>
              <w:t>44</w:t>
            </w: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lastRenderedPageBreak/>
              <w:t xml:space="preserve">The 2005 size of the securities regulators’ staff, divided by the country’s population in </w:t>
            </w:r>
            <w:r w:rsidRPr="00234284">
              <w:rPr>
                <w:color w:val="000000"/>
                <w:kern w:val="0"/>
                <w:sz w:val="18"/>
                <w:szCs w:val="18"/>
                <w:lang w:val="en-GB"/>
              </w:rPr>
              <w:lastRenderedPageBreak/>
              <w:t xml:space="preserve">millions. Source: Jackson and Roe (2009). </w:t>
            </w:r>
          </w:p>
        </w:tc>
        <w:tc>
          <w:tcPr>
            <w:tcW w:w="1134" w:type="dxa"/>
            <w:vAlign w:val="center"/>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lastRenderedPageBreak/>
              <w:t>14.43977</w:t>
            </w:r>
          </w:p>
          <w:p w:rsidR="00A641D5" w:rsidRPr="00234284" w:rsidRDefault="00A641D5" w:rsidP="00A641D5">
            <w:pPr>
              <w:adjustRightInd w:val="0"/>
              <w:snapToGrid w:val="0"/>
              <w:rPr>
                <w:color w:val="000000"/>
                <w:kern w:val="0"/>
                <w:sz w:val="18"/>
                <w:szCs w:val="18"/>
                <w:lang w:val="en-GB"/>
              </w:rPr>
            </w:pPr>
          </w:p>
        </w:tc>
        <w:tc>
          <w:tcPr>
            <w:tcW w:w="1101" w:type="dxa"/>
            <w:vAlign w:val="center"/>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lastRenderedPageBreak/>
              <w:t>15.7867</w:t>
            </w:r>
          </w:p>
          <w:p w:rsidR="00A641D5" w:rsidRPr="00234284" w:rsidRDefault="00A641D5" w:rsidP="00A641D5">
            <w:pPr>
              <w:adjustRightInd w:val="0"/>
              <w:snapToGrid w:val="0"/>
              <w:rPr>
                <w:color w:val="000000"/>
                <w:kern w:val="0"/>
                <w:sz w:val="18"/>
                <w:szCs w:val="18"/>
                <w:lang w:val="en-GB"/>
              </w:rPr>
            </w:pPr>
          </w:p>
        </w:tc>
      </w:tr>
      <w:tr w:rsidR="00A641D5" w:rsidRPr="00234284" w:rsidTr="00A641D5">
        <w:trPr>
          <w:trHeight w:val="132"/>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Pr>
                <w:color w:val="000000"/>
                <w:kern w:val="0"/>
                <w:sz w:val="18"/>
                <w:szCs w:val="18"/>
                <w:lang w:val="en-GB"/>
              </w:rPr>
              <w:lastRenderedPageBreak/>
              <w:t>2</w:t>
            </w:r>
            <w:r>
              <w:rPr>
                <w:rFonts w:hint="eastAsia"/>
                <w:color w:val="000000"/>
                <w:kern w:val="0"/>
                <w:sz w:val="18"/>
                <w:szCs w:val="18"/>
                <w:lang w:val="en-GB"/>
              </w:rPr>
              <w:t>8</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proofErr w:type="spellStart"/>
            <w:r w:rsidRPr="00234284">
              <w:rPr>
                <w:color w:val="000000"/>
                <w:sz w:val="18"/>
                <w:szCs w:val="18"/>
                <w:lang w:val="en-GB"/>
              </w:rPr>
              <w:t>antidri_sp</w:t>
            </w:r>
            <w:proofErr w:type="spellEnd"/>
          </w:p>
          <w:p w:rsidR="00A641D5" w:rsidRPr="00234284" w:rsidRDefault="00A641D5" w:rsidP="00A641D5">
            <w:pPr>
              <w:adjustRightInd w:val="0"/>
              <w:snapToGrid w:val="0"/>
              <w:rPr>
                <w:color w:val="000000"/>
                <w:sz w:val="18"/>
                <w:szCs w:val="18"/>
                <w:lang w:val="en-GB"/>
              </w:rPr>
            </w:pP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proofErr w:type="spellStart"/>
            <w:r w:rsidRPr="00234284">
              <w:rPr>
                <w:color w:val="000000"/>
                <w:kern w:val="0"/>
                <w:sz w:val="18"/>
                <w:szCs w:val="18"/>
                <w:lang w:val="en-GB"/>
              </w:rPr>
              <w:t>Spamann’s</w:t>
            </w:r>
            <w:proofErr w:type="spellEnd"/>
            <w:r w:rsidRPr="00234284">
              <w:rPr>
                <w:color w:val="000000"/>
                <w:kern w:val="0"/>
                <w:sz w:val="18"/>
                <w:szCs w:val="18"/>
                <w:lang w:val="en-GB"/>
              </w:rPr>
              <w:t xml:space="preserve"> Anti-director rights index</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44</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rFonts w:ascii="Times-Roman" w:hAnsi="Times-Roman" w:cs="Times-Roman"/>
                <w:kern w:val="0"/>
                <w:sz w:val="20"/>
                <w:lang w:val="en-GB"/>
              </w:rPr>
              <w:t xml:space="preserve">The corrected </w:t>
            </w:r>
            <w:r w:rsidRPr="00234284">
              <w:rPr>
                <w:color w:val="000000"/>
                <w:kern w:val="0"/>
                <w:sz w:val="18"/>
                <w:szCs w:val="18"/>
                <w:lang w:val="en-GB"/>
              </w:rPr>
              <w:t xml:space="preserve">Anti-director rights index for 1997. Source: </w:t>
            </w:r>
            <w:proofErr w:type="spellStart"/>
            <w:r w:rsidRPr="00234284">
              <w:rPr>
                <w:color w:val="000000"/>
                <w:kern w:val="0"/>
                <w:sz w:val="18"/>
                <w:szCs w:val="18"/>
                <w:lang w:val="en-GB"/>
              </w:rPr>
              <w:t>Spamann</w:t>
            </w:r>
            <w:proofErr w:type="spellEnd"/>
            <w:r w:rsidRPr="00234284">
              <w:rPr>
                <w:color w:val="000000"/>
                <w:kern w:val="0"/>
                <w:sz w:val="18"/>
                <w:szCs w:val="18"/>
                <w:lang w:val="en-GB"/>
              </w:rPr>
              <w:t xml:space="preserve"> (2010).</w:t>
            </w:r>
          </w:p>
          <w:p w:rsidR="00A641D5" w:rsidRPr="00234284" w:rsidRDefault="00A641D5" w:rsidP="00A641D5">
            <w:pPr>
              <w:adjustRightInd w:val="0"/>
              <w:snapToGrid w:val="0"/>
              <w:jc w:val="left"/>
              <w:rPr>
                <w:color w:val="000000"/>
                <w:kern w:val="0"/>
                <w:sz w:val="18"/>
                <w:szCs w:val="18"/>
                <w:lang w:val="en-GB"/>
              </w:rPr>
            </w:pPr>
          </w:p>
          <w:p w:rsidR="00A641D5" w:rsidRPr="00234284" w:rsidRDefault="00A641D5" w:rsidP="00A641D5">
            <w:pPr>
              <w:adjustRightInd w:val="0"/>
              <w:snapToGrid w:val="0"/>
              <w:jc w:val="left"/>
              <w:rPr>
                <w:color w:val="000000"/>
                <w:kern w:val="0"/>
                <w:sz w:val="18"/>
                <w:szCs w:val="18"/>
                <w:lang w:val="en-GB"/>
              </w:rPr>
            </w:pPr>
          </w:p>
        </w:tc>
        <w:tc>
          <w:tcPr>
            <w:tcW w:w="1134" w:type="dxa"/>
            <w:vAlign w:val="center"/>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 xml:space="preserve">3.75 </w:t>
            </w:r>
          </w:p>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 xml:space="preserve">   </w:t>
            </w:r>
          </w:p>
          <w:p w:rsidR="00A641D5" w:rsidRPr="00234284" w:rsidRDefault="00A641D5" w:rsidP="00A641D5">
            <w:pPr>
              <w:adjustRightInd w:val="0"/>
              <w:snapToGrid w:val="0"/>
              <w:rPr>
                <w:color w:val="000000"/>
                <w:kern w:val="0"/>
                <w:sz w:val="18"/>
                <w:szCs w:val="18"/>
                <w:lang w:val="en-GB"/>
              </w:rPr>
            </w:pPr>
          </w:p>
        </w:tc>
        <w:tc>
          <w:tcPr>
            <w:tcW w:w="1101" w:type="dxa"/>
            <w:vAlign w:val="center"/>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0.918163</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r>
      <w:tr w:rsidR="00A641D5" w:rsidRPr="00234284" w:rsidTr="00A641D5">
        <w:trPr>
          <w:trHeight w:val="396"/>
          <w:jc w:val="center"/>
        </w:trPr>
        <w:tc>
          <w:tcPr>
            <w:tcW w:w="639" w:type="dxa"/>
            <w:vAlign w:val="bottom"/>
          </w:tcPr>
          <w:p w:rsidR="00A641D5" w:rsidRPr="00234284" w:rsidRDefault="00A641D5" w:rsidP="00A641D5">
            <w:pPr>
              <w:adjustRightInd w:val="0"/>
              <w:snapToGrid w:val="0"/>
              <w:jc w:val="center"/>
              <w:rPr>
                <w:color w:val="000000"/>
                <w:kern w:val="0"/>
                <w:sz w:val="18"/>
                <w:szCs w:val="18"/>
                <w:lang w:val="en-GB"/>
              </w:rPr>
            </w:pPr>
            <w:r>
              <w:rPr>
                <w:color w:val="000000"/>
                <w:kern w:val="0"/>
                <w:sz w:val="18"/>
                <w:szCs w:val="18"/>
                <w:lang w:val="en-GB"/>
              </w:rPr>
              <w:t>2</w:t>
            </w:r>
            <w:r>
              <w:rPr>
                <w:rFonts w:hint="eastAsia"/>
                <w:color w:val="000000"/>
                <w:kern w:val="0"/>
                <w:sz w:val="18"/>
                <w:szCs w:val="18"/>
                <w:lang w:val="en-GB"/>
              </w:rPr>
              <w:t>9</w:t>
            </w:r>
          </w:p>
          <w:p w:rsidR="00A641D5" w:rsidRPr="00234284" w:rsidRDefault="00A641D5" w:rsidP="00A641D5">
            <w:pPr>
              <w:adjustRightInd w:val="0"/>
              <w:snapToGrid w:val="0"/>
              <w:jc w:val="center"/>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2137" w:type="dxa"/>
            <w:vAlign w:val="bottom"/>
          </w:tcPr>
          <w:p w:rsidR="00A641D5" w:rsidRPr="00234284" w:rsidRDefault="00A641D5" w:rsidP="00A641D5">
            <w:pPr>
              <w:adjustRightInd w:val="0"/>
              <w:snapToGrid w:val="0"/>
              <w:rPr>
                <w:color w:val="000000"/>
                <w:sz w:val="18"/>
                <w:szCs w:val="18"/>
                <w:lang w:val="en-GB"/>
              </w:rPr>
            </w:pPr>
            <w:proofErr w:type="spellStart"/>
            <w:r w:rsidRPr="00234284">
              <w:rPr>
                <w:color w:val="000000"/>
                <w:sz w:val="18"/>
                <w:szCs w:val="18"/>
                <w:lang w:val="en-GB"/>
              </w:rPr>
              <w:t>onevote_sp</w:t>
            </w:r>
            <w:proofErr w:type="spellEnd"/>
          </w:p>
          <w:p w:rsidR="00A641D5" w:rsidRPr="00234284" w:rsidRDefault="00A641D5" w:rsidP="00A641D5">
            <w:pPr>
              <w:adjustRightInd w:val="0"/>
              <w:snapToGrid w:val="0"/>
              <w:rPr>
                <w:color w:val="000000"/>
                <w:sz w:val="18"/>
                <w:szCs w:val="18"/>
                <w:lang w:val="en-GB"/>
              </w:rPr>
            </w:pPr>
          </w:p>
          <w:p w:rsidR="00A641D5" w:rsidRPr="00234284" w:rsidRDefault="00A641D5" w:rsidP="00A641D5">
            <w:pPr>
              <w:adjustRightInd w:val="0"/>
              <w:snapToGrid w:val="0"/>
              <w:rPr>
                <w:color w:val="000000"/>
                <w:sz w:val="18"/>
                <w:szCs w:val="18"/>
                <w:lang w:val="en-GB"/>
              </w:rPr>
            </w:pPr>
          </w:p>
        </w:tc>
        <w:tc>
          <w:tcPr>
            <w:tcW w:w="1701" w:type="dxa"/>
            <w:vAlign w:val="bottom"/>
          </w:tcPr>
          <w:p w:rsidR="00A641D5" w:rsidRPr="00234284" w:rsidRDefault="00A641D5" w:rsidP="00A641D5">
            <w:pPr>
              <w:adjustRightInd w:val="0"/>
              <w:snapToGrid w:val="0"/>
              <w:jc w:val="left"/>
              <w:rPr>
                <w:color w:val="000000"/>
                <w:kern w:val="0"/>
                <w:sz w:val="18"/>
                <w:szCs w:val="18"/>
                <w:lang w:val="en-GB"/>
              </w:rPr>
            </w:pPr>
            <w:proofErr w:type="spellStart"/>
            <w:r w:rsidRPr="00234284">
              <w:rPr>
                <w:color w:val="000000"/>
                <w:kern w:val="0"/>
                <w:sz w:val="18"/>
                <w:szCs w:val="18"/>
                <w:lang w:val="en-GB"/>
              </w:rPr>
              <w:t>Spamann’s</w:t>
            </w:r>
            <w:proofErr w:type="spellEnd"/>
            <w:r w:rsidRPr="00234284">
              <w:rPr>
                <w:color w:val="000000"/>
                <w:kern w:val="0"/>
                <w:sz w:val="18"/>
                <w:szCs w:val="18"/>
                <w:lang w:val="en-GB"/>
              </w:rPr>
              <w:t xml:space="preserve"> one share-one vote index</w:t>
            </w:r>
          </w:p>
        </w:tc>
        <w:tc>
          <w:tcPr>
            <w:tcW w:w="535" w:type="dxa"/>
            <w:vAlign w:val="bottom"/>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44</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c>
          <w:tcPr>
            <w:tcW w:w="6593" w:type="dxa"/>
            <w:vAlign w:val="bottom"/>
          </w:tcPr>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This variable measures if there are mandatory rules requiring that voting and cash-flow rights should be proportional. Source: </w:t>
            </w:r>
            <w:proofErr w:type="spellStart"/>
            <w:r w:rsidRPr="00234284">
              <w:rPr>
                <w:color w:val="000000"/>
                <w:kern w:val="0"/>
                <w:sz w:val="18"/>
                <w:szCs w:val="18"/>
                <w:lang w:val="en-GB"/>
              </w:rPr>
              <w:t>Spamann</w:t>
            </w:r>
            <w:proofErr w:type="spellEnd"/>
            <w:r w:rsidRPr="00234284">
              <w:rPr>
                <w:color w:val="000000"/>
                <w:kern w:val="0"/>
                <w:sz w:val="18"/>
                <w:szCs w:val="18"/>
                <w:lang w:val="en-GB"/>
              </w:rPr>
              <w:t xml:space="preserve"> (2010).</w:t>
            </w:r>
          </w:p>
          <w:p w:rsidR="00A641D5" w:rsidRPr="00234284" w:rsidRDefault="00A641D5" w:rsidP="00A641D5">
            <w:pPr>
              <w:adjustRightInd w:val="0"/>
              <w:snapToGrid w:val="0"/>
              <w:jc w:val="left"/>
              <w:rPr>
                <w:color w:val="000000"/>
                <w:kern w:val="0"/>
                <w:sz w:val="18"/>
                <w:szCs w:val="18"/>
                <w:lang w:val="en-GB"/>
              </w:rPr>
            </w:pPr>
            <w:r w:rsidRPr="00234284">
              <w:rPr>
                <w:color w:val="000000"/>
                <w:kern w:val="0"/>
                <w:sz w:val="18"/>
                <w:szCs w:val="18"/>
                <w:lang w:val="en-GB"/>
              </w:rPr>
              <w:t xml:space="preserve"> </w:t>
            </w:r>
          </w:p>
        </w:tc>
        <w:tc>
          <w:tcPr>
            <w:tcW w:w="1134" w:type="dxa"/>
            <w:vAlign w:val="center"/>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 xml:space="preserve">0.1818182 </w:t>
            </w:r>
          </w:p>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 xml:space="preserve">  </w:t>
            </w:r>
          </w:p>
          <w:p w:rsidR="00A641D5" w:rsidRPr="00234284" w:rsidRDefault="00A641D5" w:rsidP="00A641D5">
            <w:pPr>
              <w:adjustRightInd w:val="0"/>
              <w:snapToGrid w:val="0"/>
              <w:rPr>
                <w:color w:val="000000"/>
                <w:kern w:val="0"/>
                <w:sz w:val="18"/>
                <w:szCs w:val="18"/>
                <w:lang w:val="en-GB"/>
              </w:rPr>
            </w:pPr>
          </w:p>
        </w:tc>
        <w:tc>
          <w:tcPr>
            <w:tcW w:w="1101" w:type="dxa"/>
            <w:vAlign w:val="center"/>
          </w:tcPr>
          <w:p w:rsidR="00A641D5" w:rsidRPr="00234284" w:rsidRDefault="00A641D5" w:rsidP="00A641D5">
            <w:pPr>
              <w:adjustRightInd w:val="0"/>
              <w:snapToGrid w:val="0"/>
              <w:rPr>
                <w:color w:val="000000"/>
                <w:kern w:val="0"/>
                <w:sz w:val="18"/>
                <w:szCs w:val="18"/>
                <w:lang w:val="en-GB"/>
              </w:rPr>
            </w:pPr>
            <w:r w:rsidRPr="00234284">
              <w:rPr>
                <w:color w:val="000000"/>
                <w:kern w:val="0"/>
                <w:sz w:val="18"/>
                <w:szCs w:val="18"/>
                <w:lang w:val="en-GB"/>
              </w:rPr>
              <w:t>0.3901537</w:t>
            </w:r>
          </w:p>
          <w:p w:rsidR="00A641D5" w:rsidRPr="00234284" w:rsidRDefault="00A641D5" w:rsidP="00A641D5">
            <w:pPr>
              <w:adjustRightInd w:val="0"/>
              <w:snapToGrid w:val="0"/>
              <w:rPr>
                <w:color w:val="000000"/>
                <w:kern w:val="0"/>
                <w:sz w:val="18"/>
                <w:szCs w:val="18"/>
                <w:lang w:val="en-GB"/>
              </w:rPr>
            </w:pPr>
          </w:p>
          <w:p w:rsidR="00A641D5" w:rsidRPr="00234284" w:rsidRDefault="00A641D5" w:rsidP="00A641D5">
            <w:pPr>
              <w:adjustRightInd w:val="0"/>
              <w:snapToGrid w:val="0"/>
              <w:rPr>
                <w:color w:val="000000"/>
                <w:kern w:val="0"/>
                <w:sz w:val="18"/>
                <w:szCs w:val="18"/>
                <w:lang w:val="en-GB"/>
              </w:rPr>
            </w:pPr>
          </w:p>
        </w:tc>
      </w:tr>
    </w:tbl>
    <w:p w:rsidR="00A641D5" w:rsidRPr="00234284" w:rsidRDefault="00A641D5" w:rsidP="00A641D5">
      <w:pPr>
        <w:adjustRightInd w:val="0"/>
        <w:snapToGrid w:val="0"/>
        <w:jc w:val="left"/>
        <w:rPr>
          <w:lang w:val="en-GB"/>
        </w:rPr>
      </w:pPr>
      <w:r w:rsidRPr="00234284">
        <w:rPr>
          <w:lang w:val="en-GB"/>
        </w:rPr>
        <w:t xml:space="preserve">Notes: </w:t>
      </w:r>
      <w:proofErr w:type="gramStart"/>
      <w:r w:rsidRPr="00234284">
        <w:rPr>
          <w:vertAlign w:val="superscript"/>
          <w:lang w:val="en-GB"/>
        </w:rPr>
        <w:t>a</w:t>
      </w:r>
      <w:proofErr w:type="gramEnd"/>
      <w:r w:rsidRPr="00234284">
        <w:rPr>
          <w:lang w:val="en-GB"/>
        </w:rPr>
        <w:t xml:space="preserve"> In DLLS (2008), the variable of “IPOs-to-GDP” is averaged over the period 1996-2000, whereas the log of GDP per capita in 2003 is used as a control variable. We follow their approach to make our results comparable to those of DLLS (2008).</w:t>
      </w:r>
    </w:p>
    <w:p w:rsidR="00A641D5" w:rsidRPr="00234284" w:rsidRDefault="00A641D5" w:rsidP="00A641D5">
      <w:pPr>
        <w:pStyle w:val="a5"/>
        <w:adjustRightInd w:val="0"/>
        <w:rPr>
          <w:rFonts w:ascii="Times New Roman" w:hAnsi="Times New Roman"/>
          <w:szCs w:val="21"/>
          <w:lang w:val="en-GB"/>
        </w:rPr>
      </w:pPr>
      <w:r w:rsidRPr="00234284">
        <w:rPr>
          <w:rFonts w:ascii="Times New Roman" w:hAnsi="Times New Roman"/>
          <w:sz w:val="21"/>
          <w:szCs w:val="21"/>
          <w:vertAlign w:val="superscript"/>
          <w:lang w:val="en-GB"/>
        </w:rPr>
        <w:t xml:space="preserve">b </w:t>
      </w:r>
      <w:r w:rsidRPr="00234284">
        <w:rPr>
          <w:rFonts w:ascii="Times New Roman" w:hAnsi="Times New Roman"/>
          <w:sz w:val="21"/>
          <w:szCs w:val="21"/>
          <w:lang w:val="en-GB"/>
        </w:rPr>
        <w:t xml:space="preserve">To keep the sample size as large as possible, we follow the assumption of Chang </w:t>
      </w:r>
      <w:r w:rsidRPr="00234284">
        <w:rPr>
          <w:rFonts w:ascii="Times New Roman" w:hAnsi="Times New Roman"/>
          <w:i/>
          <w:sz w:val="21"/>
          <w:szCs w:val="21"/>
          <w:lang w:val="en-GB"/>
        </w:rPr>
        <w:t>et al.</w:t>
      </w:r>
      <w:r w:rsidRPr="00234284">
        <w:rPr>
          <w:rFonts w:ascii="Times New Roman" w:hAnsi="Times New Roman"/>
          <w:sz w:val="21"/>
          <w:szCs w:val="21"/>
          <w:lang w:val="en-GB"/>
        </w:rPr>
        <w:t xml:space="preserve"> (2000) that if one country is not covered by IBES, there is no analyst following this country.</w:t>
      </w:r>
    </w:p>
    <w:p w:rsidR="00A641D5" w:rsidRPr="00234284" w:rsidRDefault="00A641D5" w:rsidP="00A641D5">
      <w:pPr>
        <w:adjustRightInd w:val="0"/>
        <w:snapToGrid w:val="0"/>
        <w:jc w:val="left"/>
        <w:rPr>
          <w:lang w:val="en-GB"/>
        </w:rPr>
      </w:pPr>
      <w:r w:rsidRPr="00234284">
        <w:rPr>
          <w:rStyle w:val="a6"/>
          <w:lang w:val="en-GB"/>
        </w:rPr>
        <w:t>c</w:t>
      </w:r>
      <w:r w:rsidRPr="00234284">
        <w:rPr>
          <w:szCs w:val="21"/>
          <w:lang w:val="en-GB"/>
        </w:rPr>
        <w:t xml:space="preserve"> Because </w:t>
      </w:r>
      <w:r w:rsidRPr="00234284">
        <w:rPr>
          <w:lang w:val="en-GB"/>
        </w:rPr>
        <w:t>the variable of “IPOs-to-GDP” is averaged over the period 1996-2000</w:t>
      </w:r>
      <w:r w:rsidRPr="00234284">
        <w:rPr>
          <w:szCs w:val="21"/>
          <w:lang w:val="en-GB"/>
        </w:rPr>
        <w:t xml:space="preserve">, we construct the dummy variable “itprosecution1996” for year 1996 to accommodate the different time intervals covered by the different dependent variables. The “itprosecution1996” is used only in the regression </w:t>
      </w:r>
      <w:r>
        <w:rPr>
          <w:szCs w:val="21"/>
          <w:lang w:val="en-GB"/>
        </w:rPr>
        <w:t>in which</w:t>
      </w:r>
      <w:r w:rsidRPr="00234284">
        <w:rPr>
          <w:szCs w:val="21"/>
          <w:lang w:val="en-GB"/>
        </w:rPr>
        <w:t xml:space="preserve"> the dependent variable is “IPOs-to- GDP”, and its mean and variance are shown in the parentheses.</w:t>
      </w:r>
    </w:p>
    <w:p w:rsidR="00A641D5" w:rsidRPr="00234284" w:rsidRDefault="00A641D5" w:rsidP="00A641D5">
      <w:pPr>
        <w:adjustRightInd w:val="0"/>
        <w:snapToGrid w:val="0"/>
        <w:jc w:val="left"/>
        <w:rPr>
          <w:lang w:val="en-GB"/>
        </w:rPr>
      </w:pPr>
      <w:proofErr w:type="gramStart"/>
      <w:r w:rsidRPr="00234284">
        <w:rPr>
          <w:vertAlign w:val="superscript"/>
          <w:lang w:val="en-GB"/>
        </w:rPr>
        <w:t>d</w:t>
      </w:r>
      <w:proofErr w:type="gramEnd"/>
      <w:r w:rsidRPr="00234284">
        <w:rPr>
          <w:vertAlign w:val="superscript"/>
          <w:lang w:val="en-GB"/>
        </w:rPr>
        <w:t xml:space="preserve"> </w:t>
      </w:r>
      <w:r w:rsidRPr="00234284">
        <w:rPr>
          <w:szCs w:val="21"/>
          <w:lang w:val="en-GB"/>
        </w:rPr>
        <w:t xml:space="preserve">Because </w:t>
      </w:r>
      <w:r w:rsidRPr="00234284">
        <w:rPr>
          <w:lang w:val="en-GB"/>
        </w:rPr>
        <w:t>the variable of “IPOs-to-GDP” is averaged over the period 1996-2000</w:t>
      </w:r>
      <w:r w:rsidRPr="00234284">
        <w:rPr>
          <w:szCs w:val="21"/>
          <w:lang w:val="en-GB"/>
        </w:rPr>
        <w:t xml:space="preserve">, we construct the dummy variable “tradeopenness1996” for year 1996 to accommodate the different time intervals covered by the different dependent variables. The </w:t>
      </w:r>
      <w:r>
        <w:rPr>
          <w:szCs w:val="21"/>
          <w:lang w:val="en-GB"/>
        </w:rPr>
        <w:t>“</w:t>
      </w:r>
      <w:r w:rsidRPr="00234284">
        <w:rPr>
          <w:szCs w:val="21"/>
          <w:lang w:val="en-GB"/>
        </w:rPr>
        <w:t xml:space="preserve">tradeopenness1996” is used only in the regression </w:t>
      </w:r>
      <w:r>
        <w:rPr>
          <w:szCs w:val="21"/>
          <w:lang w:val="en-GB"/>
        </w:rPr>
        <w:t>in which</w:t>
      </w:r>
      <w:r w:rsidRPr="00234284">
        <w:rPr>
          <w:szCs w:val="21"/>
          <w:lang w:val="en-GB"/>
        </w:rPr>
        <w:t xml:space="preserve"> the dependent variable is “IPOs-to- GDP”, and its mean and variance are shown in the parentheses.</w:t>
      </w:r>
    </w:p>
    <w:bookmarkEnd w:id="52"/>
    <w:bookmarkEnd w:id="53"/>
    <w:p w:rsidR="00A641D5" w:rsidRPr="00961DC2" w:rsidRDefault="00A641D5" w:rsidP="00A641D5">
      <w:pPr>
        <w:adjustRightInd w:val="0"/>
        <w:snapToGrid w:val="0"/>
        <w:jc w:val="left"/>
        <w:rPr>
          <w:lang w:val="en-GB"/>
        </w:rPr>
      </w:pPr>
    </w:p>
    <w:p w:rsidR="00A641D5" w:rsidRDefault="00A641D5" w:rsidP="00E82E1F">
      <w:pPr>
        <w:spacing w:line="360" w:lineRule="auto"/>
        <w:rPr>
          <w:sz w:val="24"/>
          <w:szCs w:val="24"/>
          <w:lang w:val="en-GB"/>
        </w:rPr>
        <w:sectPr w:rsidR="00A641D5" w:rsidSect="00A641D5">
          <w:footnotePr>
            <w:numFmt w:val="chicago"/>
            <w:numRestart w:val="eachSect"/>
          </w:footnotePr>
          <w:pgSz w:w="16838" w:h="11906" w:orient="landscape"/>
          <w:pgMar w:top="1440" w:right="1800" w:bottom="1440" w:left="1800" w:header="851" w:footer="992" w:gutter="0"/>
          <w:cols w:space="720"/>
          <w:docGrid w:type="lines" w:linePitch="312"/>
        </w:sectPr>
      </w:pPr>
    </w:p>
    <w:p w:rsidR="00974DE8" w:rsidRPr="00E82E1F" w:rsidRDefault="00E45B50" w:rsidP="00510ED6">
      <w:pPr>
        <w:spacing w:beforeLines="100"/>
        <w:mirrorIndents/>
        <w:rPr>
          <w:b/>
          <w:sz w:val="24"/>
          <w:szCs w:val="24"/>
          <w:lang w:val="en-GB"/>
        </w:rPr>
      </w:pPr>
      <w:r w:rsidRPr="00E82E1F">
        <w:rPr>
          <w:b/>
          <w:sz w:val="24"/>
          <w:szCs w:val="24"/>
          <w:lang w:val="en-GB"/>
        </w:rPr>
        <w:lastRenderedPageBreak/>
        <w:t>2.1</w:t>
      </w:r>
      <w:r w:rsidR="00425B0F" w:rsidRPr="00E82E1F">
        <w:rPr>
          <w:b/>
          <w:sz w:val="24"/>
          <w:szCs w:val="24"/>
          <w:lang w:val="en-GB"/>
        </w:rPr>
        <w:t>.</w:t>
      </w:r>
      <w:r w:rsidR="002378F0" w:rsidRPr="00E82E1F">
        <w:rPr>
          <w:b/>
          <w:sz w:val="24"/>
          <w:szCs w:val="24"/>
          <w:lang w:val="en-GB"/>
        </w:rPr>
        <w:t xml:space="preserve"> Legal determinants of stock market development</w:t>
      </w:r>
    </w:p>
    <w:p w:rsidR="007A7940" w:rsidRPr="00E82E1F" w:rsidRDefault="007A7940" w:rsidP="00510ED6">
      <w:pPr>
        <w:spacing w:beforeLines="100"/>
        <w:mirrorIndents/>
        <w:rPr>
          <w:sz w:val="24"/>
          <w:szCs w:val="24"/>
        </w:rPr>
      </w:pPr>
      <w:r w:rsidRPr="00E82E1F">
        <w:rPr>
          <w:sz w:val="24"/>
          <w:szCs w:val="24"/>
        </w:rPr>
        <w:t>2.1.1. Legal origins and shareholder protection rules</w:t>
      </w:r>
    </w:p>
    <w:p w:rsidR="007A7940" w:rsidRPr="00E82E1F" w:rsidRDefault="007A7940" w:rsidP="00510ED6">
      <w:pPr>
        <w:spacing w:beforeLines="100"/>
        <w:mirrorIndents/>
        <w:rPr>
          <w:sz w:val="24"/>
          <w:szCs w:val="24"/>
        </w:rPr>
      </w:pPr>
      <w:r w:rsidRPr="00E82E1F">
        <w:rPr>
          <w:sz w:val="24"/>
          <w:szCs w:val="24"/>
        </w:rPr>
        <w:t xml:space="preserve">Legal origins, broadly defined by La </w:t>
      </w:r>
      <w:proofErr w:type="spellStart"/>
      <w:r w:rsidRPr="00E82E1F">
        <w:rPr>
          <w:sz w:val="24"/>
          <w:szCs w:val="24"/>
        </w:rPr>
        <w:t>Porta</w:t>
      </w:r>
      <w:proofErr w:type="spellEnd"/>
      <w:r w:rsidRPr="00E82E1F">
        <w:rPr>
          <w:sz w:val="24"/>
          <w:szCs w:val="24"/>
        </w:rPr>
        <w:t xml:space="preserve"> </w:t>
      </w:r>
      <w:r w:rsidRPr="00E82E1F">
        <w:rPr>
          <w:i/>
          <w:sz w:val="24"/>
          <w:szCs w:val="24"/>
        </w:rPr>
        <w:t>et al.</w:t>
      </w:r>
      <w:r w:rsidRPr="00E82E1F">
        <w:rPr>
          <w:sz w:val="24"/>
          <w:szCs w:val="24"/>
        </w:rPr>
        <w:t xml:space="preserve"> (2008, p. 286) as “a style of social control of economic life (and maybe of other aspects of life as well)” and used as the exogenous instruments for endogenous institutional variables, are very likely the most influential and debated concepts in law and finance studies.</w:t>
      </w:r>
      <w:r w:rsidR="002B7039">
        <w:rPr>
          <w:rStyle w:val="a6"/>
          <w:sz w:val="24"/>
          <w:szCs w:val="24"/>
        </w:rPr>
        <w:footnoteReference w:id="15"/>
      </w:r>
      <w:r w:rsidRPr="00E82E1F">
        <w:rPr>
          <w:sz w:val="24"/>
          <w:szCs w:val="24"/>
        </w:rPr>
        <w:t xml:space="preserve"> LLSV (1998) argue that laws in most countries are transplanted from a small number of legal traditions through conquest, colonization, and imitation, which results in two main legal traditions: common law, which is English in origin</w:t>
      </w:r>
      <w:r w:rsidR="006E0715" w:rsidRPr="00E82E1F">
        <w:rPr>
          <w:sz w:val="24"/>
          <w:szCs w:val="24"/>
        </w:rPr>
        <w:t xml:space="preserve"> (COMMONLO)</w:t>
      </w:r>
      <w:r w:rsidRPr="00E82E1F">
        <w:rPr>
          <w:sz w:val="24"/>
          <w:szCs w:val="24"/>
        </w:rPr>
        <w:t>, and civil law, which derives from Roman law and can be further classified into French, German, and Scandinavian law. Common law countries are found to protect investors (shareholders and creditors) better than civil law countries (particularly French civil law), as measured by both the ANTIDRI (LLSV, 1998)</w:t>
      </w:r>
      <w:r w:rsidR="002B7039" w:rsidRPr="002B7039">
        <w:rPr>
          <w:rStyle w:val="a6"/>
          <w:sz w:val="24"/>
          <w:szCs w:val="24"/>
        </w:rPr>
        <w:t xml:space="preserve"> </w:t>
      </w:r>
      <w:r w:rsidR="002B7039">
        <w:rPr>
          <w:rStyle w:val="a6"/>
          <w:sz w:val="24"/>
          <w:szCs w:val="24"/>
        </w:rPr>
        <w:footnoteReference w:id="16"/>
      </w:r>
      <w:r w:rsidRPr="00E82E1F">
        <w:rPr>
          <w:sz w:val="24"/>
          <w:szCs w:val="24"/>
        </w:rPr>
        <w:t xml:space="preserve"> proxy for the legal constraints on the agency problem between shareholders and professional managers and the ANTISDI (DLLS, 2008) proxy for constraints on the agency problem between minority and controlling shareholders, both of which are found to determine stock market development. </w:t>
      </w:r>
    </w:p>
    <w:p w:rsidR="00E45B50" w:rsidRPr="00E82E1F" w:rsidRDefault="007A7940" w:rsidP="00510ED6">
      <w:pPr>
        <w:spacing w:beforeLines="100"/>
        <w:mirrorIndents/>
        <w:rPr>
          <w:sz w:val="24"/>
          <w:szCs w:val="24"/>
        </w:rPr>
      </w:pPr>
      <w:r w:rsidRPr="00E82E1F">
        <w:rPr>
          <w:sz w:val="24"/>
          <w:szCs w:val="24"/>
        </w:rPr>
        <w:t>In addition, the “one share-one vote” principle (ONEVOTE) is regarded as aligning shareholders’ decision rights and cash flow rights and ensuring that external governance mechanisms, such as the market for corporate control (</w:t>
      </w:r>
      <w:proofErr w:type="spellStart"/>
      <w:r w:rsidRPr="00E82E1F">
        <w:rPr>
          <w:sz w:val="24"/>
          <w:szCs w:val="24"/>
        </w:rPr>
        <w:t>Manne</w:t>
      </w:r>
      <w:proofErr w:type="spellEnd"/>
      <w:r w:rsidRPr="00E82E1F">
        <w:rPr>
          <w:sz w:val="24"/>
          <w:szCs w:val="24"/>
        </w:rPr>
        <w:t>, 1965), function properly (</w:t>
      </w:r>
      <w:bookmarkStart w:id="55" w:name="OLE_LINK1"/>
      <w:r w:rsidRPr="00E82E1F">
        <w:rPr>
          <w:sz w:val="24"/>
          <w:szCs w:val="24"/>
        </w:rPr>
        <w:t>Grossman</w:t>
      </w:r>
      <w:bookmarkEnd w:id="55"/>
      <w:r w:rsidRPr="00E82E1F">
        <w:rPr>
          <w:sz w:val="24"/>
          <w:szCs w:val="24"/>
        </w:rPr>
        <w:t xml:space="preserve"> and Hart, 1988). Listed firms take higher percentages of the external financing in countries with this rule because it lowers the costs of finance. Shares with disproportional voting rights could entrench insiders, who tend to exploit the high private benefits of control that are detrimental to stock market development (</w:t>
      </w:r>
      <w:proofErr w:type="spellStart"/>
      <w:r w:rsidRPr="00E82E1F">
        <w:rPr>
          <w:sz w:val="24"/>
          <w:szCs w:val="24"/>
        </w:rPr>
        <w:t>Dyck</w:t>
      </w:r>
      <w:proofErr w:type="spellEnd"/>
      <w:r w:rsidRPr="00E82E1F">
        <w:rPr>
          <w:sz w:val="24"/>
          <w:szCs w:val="24"/>
        </w:rPr>
        <w:t xml:space="preserve"> and </w:t>
      </w:r>
      <w:proofErr w:type="spellStart"/>
      <w:r w:rsidRPr="00E82E1F">
        <w:rPr>
          <w:sz w:val="24"/>
          <w:szCs w:val="24"/>
        </w:rPr>
        <w:t>Zingales</w:t>
      </w:r>
      <w:proofErr w:type="spellEnd"/>
      <w:r w:rsidRPr="00E82E1F">
        <w:rPr>
          <w:sz w:val="24"/>
          <w:szCs w:val="24"/>
        </w:rPr>
        <w:t>, 2004).</w:t>
      </w:r>
    </w:p>
    <w:p w:rsidR="00656DC5" w:rsidRPr="00E82E1F" w:rsidRDefault="00656DC5" w:rsidP="00510ED6">
      <w:pPr>
        <w:spacing w:beforeLines="100"/>
        <w:mirrorIndents/>
        <w:rPr>
          <w:sz w:val="24"/>
          <w:szCs w:val="24"/>
          <w:lang w:val="en-GB"/>
        </w:rPr>
      </w:pPr>
      <w:r w:rsidRPr="00E82E1F">
        <w:rPr>
          <w:sz w:val="24"/>
          <w:szCs w:val="24"/>
          <w:lang w:val="en-GB"/>
        </w:rPr>
        <w:t>2.1.2</w:t>
      </w:r>
      <w:r w:rsidR="00425B0F" w:rsidRPr="00E82E1F">
        <w:rPr>
          <w:sz w:val="24"/>
          <w:szCs w:val="24"/>
          <w:lang w:val="en-GB"/>
        </w:rPr>
        <w:t>.</w:t>
      </w:r>
      <w:r w:rsidRPr="00E82E1F">
        <w:rPr>
          <w:sz w:val="24"/>
          <w:szCs w:val="24"/>
          <w:lang w:val="en-GB"/>
        </w:rPr>
        <w:t xml:space="preserve"> Enforcement strategies</w:t>
      </w:r>
    </w:p>
    <w:p w:rsidR="00610E0F" w:rsidRPr="00E82E1F" w:rsidRDefault="00656DC5" w:rsidP="00510ED6">
      <w:pPr>
        <w:spacing w:beforeLines="100"/>
        <w:mirrorIndents/>
        <w:rPr>
          <w:sz w:val="24"/>
          <w:szCs w:val="24"/>
          <w:lang w:val="en-GB"/>
        </w:rPr>
      </w:pPr>
      <w:r w:rsidRPr="00E82E1F">
        <w:rPr>
          <w:sz w:val="24"/>
          <w:szCs w:val="24"/>
          <w:lang w:val="en-GB"/>
        </w:rPr>
        <w:t>According to Becker (1968), rational individuals</w:t>
      </w:r>
      <w:r w:rsidR="006C67BD" w:rsidRPr="00E82E1F">
        <w:rPr>
          <w:sz w:val="24"/>
          <w:szCs w:val="24"/>
          <w:lang w:val="en-GB"/>
        </w:rPr>
        <w:t xml:space="preserve"> who commit</w:t>
      </w:r>
      <w:r w:rsidRPr="00E82E1F">
        <w:rPr>
          <w:sz w:val="24"/>
          <w:szCs w:val="24"/>
          <w:lang w:val="en-GB"/>
        </w:rPr>
        <w:t xml:space="preserve"> crimes will weigh </w:t>
      </w:r>
      <w:r w:rsidR="006C67BD" w:rsidRPr="00E82E1F">
        <w:rPr>
          <w:sz w:val="24"/>
          <w:szCs w:val="24"/>
          <w:lang w:val="en-GB"/>
        </w:rPr>
        <w:t xml:space="preserve">the </w:t>
      </w:r>
      <w:r w:rsidR="000B2BB6" w:rsidRPr="00E82E1F">
        <w:rPr>
          <w:sz w:val="24"/>
          <w:szCs w:val="24"/>
          <w:lang w:val="en-GB"/>
        </w:rPr>
        <w:lastRenderedPageBreak/>
        <w:t>expected costs and benefits. T</w:t>
      </w:r>
      <w:r w:rsidRPr="00E82E1F">
        <w:rPr>
          <w:sz w:val="24"/>
          <w:szCs w:val="24"/>
          <w:lang w:val="en-GB"/>
        </w:rPr>
        <w:t xml:space="preserve">he expected costs of the crime </w:t>
      </w:r>
      <w:r w:rsidR="000B2BB6" w:rsidRPr="00E82E1F">
        <w:rPr>
          <w:sz w:val="24"/>
          <w:szCs w:val="24"/>
          <w:lang w:val="en-GB"/>
        </w:rPr>
        <w:t>are given by</w:t>
      </w:r>
      <w:r w:rsidRPr="00E82E1F">
        <w:rPr>
          <w:sz w:val="24"/>
          <w:szCs w:val="24"/>
          <w:lang w:val="en-GB"/>
        </w:rPr>
        <w:t xml:space="preserve"> the punishment</w:t>
      </w:r>
      <w:r w:rsidR="005B72B6" w:rsidRPr="00E82E1F">
        <w:rPr>
          <w:sz w:val="24"/>
          <w:szCs w:val="24"/>
          <w:lang w:val="en-GB"/>
        </w:rPr>
        <w:t xml:space="preserve"> stipulated by</w:t>
      </w:r>
      <w:r w:rsidRPr="00E82E1F">
        <w:rPr>
          <w:sz w:val="24"/>
          <w:szCs w:val="24"/>
          <w:lang w:val="en-GB"/>
        </w:rPr>
        <w:t xml:space="preserve"> the “</w:t>
      </w:r>
      <w:r w:rsidR="00F170AD" w:rsidRPr="00E82E1F">
        <w:rPr>
          <w:sz w:val="24"/>
          <w:szCs w:val="24"/>
          <w:lang w:val="en-GB"/>
        </w:rPr>
        <w:t>law</w:t>
      </w:r>
      <w:r w:rsidRPr="00E82E1F">
        <w:rPr>
          <w:sz w:val="24"/>
          <w:szCs w:val="24"/>
          <w:lang w:val="en-GB"/>
        </w:rPr>
        <w:t xml:space="preserve"> on the book”</w:t>
      </w:r>
      <w:r w:rsidR="006C67BD" w:rsidRPr="00E82E1F">
        <w:rPr>
          <w:sz w:val="24"/>
          <w:szCs w:val="24"/>
          <w:lang w:val="en-GB"/>
        </w:rPr>
        <w:t>,</w:t>
      </w:r>
      <w:r w:rsidRPr="00E82E1F">
        <w:rPr>
          <w:sz w:val="24"/>
          <w:szCs w:val="24"/>
          <w:lang w:val="en-GB"/>
        </w:rPr>
        <w:t xml:space="preserve"> and the probability of getting caught</w:t>
      </w:r>
      <w:r w:rsidR="006225E3" w:rsidRPr="00E82E1F">
        <w:rPr>
          <w:sz w:val="24"/>
          <w:szCs w:val="24"/>
          <w:lang w:val="en-GB"/>
        </w:rPr>
        <w:t xml:space="preserve"> </w:t>
      </w:r>
      <w:r w:rsidR="009D1E04" w:rsidRPr="00E82E1F">
        <w:rPr>
          <w:sz w:val="24"/>
          <w:szCs w:val="24"/>
          <w:lang w:val="en-GB"/>
        </w:rPr>
        <w:t xml:space="preserve">which </w:t>
      </w:r>
      <w:r w:rsidR="006C67BD" w:rsidRPr="00E82E1F">
        <w:rPr>
          <w:sz w:val="24"/>
          <w:szCs w:val="24"/>
          <w:lang w:val="en-GB"/>
        </w:rPr>
        <w:t xml:space="preserve">is </w:t>
      </w:r>
      <w:r w:rsidR="006225E3" w:rsidRPr="00E82E1F">
        <w:rPr>
          <w:sz w:val="24"/>
          <w:szCs w:val="24"/>
          <w:lang w:val="en-GB"/>
        </w:rPr>
        <w:t xml:space="preserve">determined by </w:t>
      </w:r>
      <w:r w:rsidR="005B72B6" w:rsidRPr="00E82E1F">
        <w:rPr>
          <w:sz w:val="24"/>
          <w:szCs w:val="24"/>
          <w:lang w:val="en-GB"/>
        </w:rPr>
        <w:t xml:space="preserve">enforcement strategies. Hence, </w:t>
      </w:r>
      <w:r w:rsidRPr="00E82E1F">
        <w:rPr>
          <w:sz w:val="24"/>
          <w:szCs w:val="24"/>
          <w:lang w:val="en-GB"/>
        </w:rPr>
        <w:t>the on</w:t>
      </w:r>
      <w:r w:rsidR="00F170AD" w:rsidRPr="00E82E1F">
        <w:rPr>
          <w:sz w:val="24"/>
          <w:szCs w:val="24"/>
          <w:lang w:val="en-GB"/>
        </w:rPr>
        <w:t>-the-book rules</w:t>
      </w:r>
      <w:r w:rsidRPr="00E82E1F">
        <w:rPr>
          <w:sz w:val="24"/>
          <w:szCs w:val="24"/>
          <w:lang w:val="en-GB"/>
        </w:rPr>
        <w:t xml:space="preserve"> set the </w:t>
      </w:r>
      <w:r w:rsidRPr="00E82E1F">
        <w:rPr>
          <w:i/>
          <w:sz w:val="24"/>
          <w:szCs w:val="24"/>
          <w:lang w:val="en-GB"/>
        </w:rPr>
        <w:t>de jure</w:t>
      </w:r>
      <w:r w:rsidRPr="00E82E1F">
        <w:rPr>
          <w:sz w:val="24"/>
          <w:szCs w:val="24"/>
          <w:lang w:val="en-GB"/>
        </w:rPr>
        <w:t xml:space="preserve"> </w:t>
      </w:r>
      <w:r w:rsidR="006C67BD" w:rsidRPr="00E82E1F">
        <w:rPr>
          <w:sz w:val="24"/>
          <w:szCs w:val="24"/>
          <w:lang w:val="en-GB"/>
        </w:rPr>
        <w:t xml:space="preserve">investor </w:t>
      </w:r>
      <w:r w:rsidRPr="00E82E1F">
        <w:rPr>
          <w:sz w:val="24"/>
          <w:szCs w:val="24"/>
          <w:lang w:val="en-GB"/>
        </w:rPr>
        <w:t xml:space="preserve">protection, </w:t>
      </w:r>
      <w:r w:rsidR="006C67BD" w:rsidRPr="00E82E1F">
        <w:rPr>
          <w:sz w:val="24"/>
          <w:szCs w:val="24"/>
          <w:lang w:val="en-GB"/>
        </w:rPr>
        <w:t xml:space="preserve">whereas </w:t>
      </w:r>
      <w:r w:rsidRPr="00E82E1F">
        <w:rPr>
          <w:sz w:val="24"/>
          <w:szCs w:val="24"/>
          <w:lang w:val="en-GB"/>
        </w:rPr>
        <w:t>the enforcement</w:t>
      </w:r>
      <w:r w:rsidR="00933D23" w:rsidRPr="00E82E1F">
        <w:rPr>
          <w:sz w:val="24"/>
          <w:szCs w:val="24"/>
          <w:lang w:val="en-GB"/>
        </w:rPr>
        <w:t xml:space="preserve"> strategies </w:t>
      </w:r>
      <w:r w:rsidR="00880CB0" w:rsidRPr="00E82E1F">
        <w:rPr>
          <w:sz w:val="24"/>
          <w:szCs w:val="24"/>
          <w:lang w:val="en-GB"/>
        </w:rPr>
        <w:t>determine the law in operation and</w:t>
      </w:r>
      <w:r w:rsidR="00B2692A" w:rsidRPr="00E82E1F">
        <w:rPr>
          <w:sz w:val="24"/>
          <w:szCs w:val="24"/>
          <w:lang w:val="en-GB"/>
        </w:rPr>
        <w:t xml:space="preserve"> any</w:t>
      </w:r>
      <w:r w:rsidR="00880CB0" w:rsidRPr="00E82E1F">
        <w:rPr>
          <w:sz w:val="24"/>
          <w:szCs w:val="24"/>
          <w:lang w:val="en-GB"/>
        </w:rPr>
        <w:t xml:space="preserve"> </w:t>
      </w:r>
      <w:r w:rsidR="00880CB0" w:rsidRPr="00E82E1F">
        <w:rPr>
          <w:i/>
          <w:sz w:val="24"/>
          <w:szCs w:val="24"/>
          <w:lang w:val="en-GB"/>
        </w:rPr>
        <w:t>de facto</w:t>
      </w:r>
      <w:r w:rsidR="00880CB0" w:rsidRPr="00E82E1F">
        <w:rPr>
          <w:sz w:val="24"/>
          <w:szCs w:val="24"/>
          <w:lang w:val="en-GB"/>
        </w:rPr>
        <w:t xml:space="preserve"> shareholder protection. </w:t>
      </w:r>
      <w:r w:rsidR="00610E0F" w:rsidRPr="00E82E1F">
        <w:rPr>
          <w:sz w:val="24"/>
          <w:szCs w:val="24"/>
          <w:lang w:val="en-GB"/>
        </w:rPr>
        <w:t>Both private parties and public regulators could enforce</w:t>
      </w:r>
      <w:r w:rsidR="006C67BD" w:rsidRPr="00E82E1F">
        <w:rPr>
          <w:sz w:val="24"/>
          <w:szCs w:val="24"/>
          <w:lang w:val="en-GB"/>
        </w:rPr>
        <w:t xml:space="preserve"> the</w:t>
      </w:r>
      <w:r w:rsidR="00610E0F" w:rsidRPr="00E82E1F">
        <w:rPr>
          <w:sz w:val="24"/>
          <w:szCs w:val="24"/>
          <w:lang w:val="en-GB"/>
        </w:rPr>
        <w:t xml:space="preserve"> “</w:t>
      </w:r>
      <w:r w:rsidR="00F170AD" w:rsidRPr="00E82E1F">
        <w:rPr>
          <w:sz w:val="24"/>
          <w:szCs w:val="24"/>
          <w:lang w:val="en-GB"/>
        </w:rPr>
        <w:t>law</w:t>
      </w:r>
      <w:r w:rsidR="006225E3" w:rsidRPr="00E82E1F">
        <w:rPr>
          <w:sz w:val="24"/>
          <w:szCs w:val="24"/>
          <w:lang w:val="en-GB"/>
        </w:rPr>
        <w:t xml:space="preserve"> on the book”,</w:t>
      </w:r>
      <w:r w:rsidR="00610E0F" w:rsidRPr="00E82E1F">
        <w:rPr>
          <w:sz w:val="24"/>
          <w:szCs w:val="24"/>
          <w:lang w:val="en-GB"/>
        </w:rPr>
        <w:t xml:space="preserve"> </w:t>
      </w:r>
      <w:r w:rsidR="007F2AD0" w:rsidRPr="00E82E1F">
        <w:rPr>
          <w:sz w:val="24"/>
          <w:szCs w:val="24"/>
          <w:lang w:val="en-GB"/>
        </w:rPr>
        <w:t>but</w:t>
      </w:r>
      <w:r w:rsidR="006225E3" w:rsidRPr="00E82E1F">
        <w:rPr>
          <w:sz w:val="24"/>
          <w:szCs w:val="24"/>
          <w:lang w:val="en-GB"/>
        </w:rPr>
        <w:t xml:space="preserve"> </w:t>
      </w:r>
      <w:proofErr w:type="spellStart"/>
      <w:r w:rsidR="005B72B6" w:rsidRPr="00E82E1F">
        <w:rPr>
          <w:sz w:val="24"/>
          <w:szCs w:val="24"/>
          <w:lang w:val="en-GB"/>
        </w:rPr>
        <w:t>Shleifer</w:t>
      </w:r>
      <w:proofErr w:type="spellEnd"/>
      <w:r w:rsidR="005B72B6" w:rsidRPr="00E82E1F">
        <w:rPr>
          <w:sz w:val="24"/>
          <w:szCs w:val="24"/>
          <w:lang w:val="en-GB"/>
        </w:rPr>
        <w:t xml:space="preserve"> (2005) argues that pure strategies </w:t>
      </w:r>
      <w:r w:rsidR="000A706B" w:rsidRPr="00E82E1F">
        <w:rPr>
          <w:sz w:val="24"/>
          <w:szCs w:val="24"/>
          <w:lang w:val="en-GB"/>
        </w:rPr>
        <w:t>relying</w:t>
      </w:r>
      <w:r w:rsidR="005B72B6" w:rsidRPr="00E82E1F">
        <w:rPr>
          <w:sz w:val="24"/>
          <w:szCs w:val="24"/>
          <w:lang w:val="en-GB"/>
        </w:rPr>
        <w:t xml:space="preserve"> on </w:t>
      </w:r>
      <w:r w:rsidR="00610E0F" w:rsidRPr="00E82E1F">
        <w:rPr>
          <w:sz w:val="24"/>
          <w:szCs w:val="24"/>
          <w:lang w:val="en-GB"/>
        </w:rPr>
        <w:t xml:space="preserve">either </w:t>
      </w:r>
      <w:r w:rsidR="005B72B6" w:rsidRPr="00E82E1F">
        <w:rPr>
          <w:sz w:val="24"/>
          <w:szCs w:val="24"/>
          <w:lang w:val="en-GB"/>
        </w:rPr>
        <w:t xml:space="preserve">private litigation </w:t>
      </w:r>
      <w:r w:rsidR="00610E0F" w:rsidRPr="00E82E1F">
        <w:rPr>
          <w:sz w:val="24"/>
          <w:szCs w:val="24"/>
          <w:lang w:val="en-GB"/>
        </w:rPr>
        <w:t>or</w:t>
      </w:r>
      <w:r w:rsidR="005B72B6" w:rsidRPr="00E82E1F">
        <w:rPr>
          <w:sz w:val="24"/>
          <w:szCs w:val="24"/>
          <w:lang w:val="en-GB"/>
        </w:rPr>
        <w:t xml:space="preserve"> public regulation have great social costs, </w:t>
      </w:r>
      <w:r w:rsidR="00610E0F" w:rsidRPr="00E82E1F">
        <w:rPr>
          <w:sz w:val="24"/>
          <w:szCs w:val="24"/>
          <w:lang w:val="en-GB"/>
        </w:rPr>
        <w:t xml:space="preserve">which could be significantly reduced if both strategies </w:t>
      </w:r>
      <w:r w:rsidR="009B7748" w:rsidRPr="00E82E1F">
        <w:rPr>
          <w:sz w:val="24"/>
          <w:szCs w:val="24"/>
          <w:lang w:val="en-GB"/>
        </w:rPr>
        <w:t xml:space="preserve">were </w:t>
      </w:r>
      <w:r w:rsidR="00610E0F" w:rsidRPr="00E82E1F">
        <w:rPr>
          <w:sz w:val="24"/>
          <w:szCs w:val="24"/>
          <w:lang w:val="en-GB"/>
        </w:rPr>
        <w:t xml:space="preserve">combined. </w:t>
      </w:r>
    </w:p>
    <w:p w:rsidR="00B51B90" w:rsidRPr="00E82E1F" w:rsidRDefault="00E17163" w:rsidP="00510ED6">
      <w:pPr>
        <w:spacing w:beforeLines="100"/>
        <w:mirrorIndents/>
        <w:rPr>
          <w:sz w:val="24"/>
          <w:szCs w:val="24"/>
          <w:lang w:val="en-GB"/>
        </w:rPr>
      </w:pPr>
      <w:r w:rsidRPr="00E82E1F">
        <w:rPr>
          <w:sz w:val="24"/>
          <w:szCs w:val="24"/>
          <w:lang w:val="en-GB"/>
        </w:rPr>
        <w:t xml:space="preserve">For private enforcement to work </w:t>
      </w:r>
      <w:r w:rsidR="00051D5C" w:rsidRPr="00E82E1F">
        <w:rPr>
          <w:sz w:val="24"/>
          <w:szCs w:val="24"/>
          <w:lang w:val="en-GB"/>
        </w:rPr>
        <w:t>effectively, it is important that dissenting investors</w:t>
      </w:r>
      <w:r w:rsidRPr="00E82E1F">
        <w:rPr>
          <w:sz w:val="24"/>
          <w:szCs w:val="24"/>
          <w:lang w:val="en-GB"/>
        </w:rPr>
        <w:t xml:space="preserve"> accumulate </w:t>
      </w:r>
      <w:r w:rsidR="006C67BD" w:rsidRPr="00E82E1F">
        <w:rPr>
          <w:sz w:val="24"/>
          <w:szCs w:val="24"/>
          <w:lang w:val="en-GB"/>
        </w:rPr>
        <w:t xml:space="preserve">sufficient </w:t>
      </w:r>
      <w:r w:rsidRPr="00E82E1F">
        <w:rPr>
          <w:sz w:val="24"/>
          <w:szCs w:val="24"/>
          <w:lang w:val="en-GB"/>
        </w:rPr>
        <w:t>infor</w:t>
      </w:r>
      <w:r w:rsidR="00051D5C" w:rsidRPr="00E82E1F">
        <w:rPr>
          <w:sz w:val="24"/>
          <w:szCs w:val="24"/>
          <w:lang w:val="en-GB"/>
        </w:rPr>
        <w:t>mation about listed firms and there are</w:t>
      </w:r>
      <w:r w:rsidRPr="00E82E1F">
        <w:rPr>
          <w:sz w:val="24"/>
          <w:szCs w:val="24"/>
          <w:lang w:val="en-GB"/>
        </w:rPr>
        <w:t xml:space="preserve"> efficient court system</w:t>
      </w:r>
      <w:r w:rsidR="003D65A1" w:rsidRPr="00E82E1F">
        <w:rPr>
          <w:sz w:val="24"/>
          <w:szCs w:val="24"/>
          <w:lang w:val="en-GB"/>
        </w:rPr>
        <w:t>s</w:t>
      </w:r>
      <w:r w:rsidRPr="00E82E1F">
        <w:rPr>
          <w:sz w:val="24"/>
          <w:szCs w:val="24"/>
          <w:lang w:val="en-GB"/>
        </w:rPr>
        <w:t xml:space="preserve">. The information could be released </w:t>
      </w:r>
      <w:r w:rsidR="006C67BD" w:rsidRPr="00E82E1F">
        <w:rPr>
          <w:sz w:val="24"/>
          <w:szCs w:val="24"/>
          <w:lang w:val="en-GB"/>
        </w:rPr>
        <w:t xml:space="preserve">owing </w:t>
      </w:r>
      <w:r w:rsidRPr="00E82E1F">
        <w:rPr>
          <w:sz w:val="24"/>
          <w:szCs w:val="24"/>
          <w:lang w:val="en-GB"/>
        </w:rPr>
        <w:t xml:space="preserve">to </w:t>
      </w:r>
      <w:r w:rsidR="006C67BD" w:rsidRPr="00E82E1F">
        <w:rPr>
          <w:sz w:val="24"/>
          <w:szCs w:val="24"/>
          <w:lang w:val="en-GB"/>
        </w:rPr>
        <w:t xml:space="preserve">either </w:t>
      </w:r>
      <w:r w:rsidRPr="00E82E1F">
        <w:rPr>
          <w:sz w:val="24"/>
          <w:szCs w:val="24"/>
          <w:lang w:val="en-GB"/>
        </w:rPr>
        <w:t xml:space="preserve">mandatory disclosure </w:t>
      </w:r>
      <w:r w:rsidR="006C67BD" w:rsidRPr="00E82E1F">
        <w:rPr>
          <w:sz w:val="24"/>
          <w:szCs w:val="24"/>
          <w:lang w:val="en-GB"/>
        </w:rPr>
        <w:t xml:space="preserve">or </w:t>
      </w:r>
      <w:r w:rsidRPr="00E82E1F">
        <w:rPr>
          <w:sz w:val="24"/>
          <w:szCs w:val="24"/>
          <w:lang w:val="en-GB"/>
        </w:rPr>
        <w:t>market force</w:t>
      </w:r>
      <w:r w:rsidR="004366D0" w:rsidRPr="00E82E1F">
        <w:rPr>
          <w:sz w:val="24"/>
          <w:szCs w:val="24"/>
          <w:lang w:val="en-GB"/>
        </w:rPr>
        <w:t xml:space="preserve">. The mandatory disclosure required by public regulators (DISCLOSURE) </w:t>
      </w:r>
      <w:r w:rsidR="006C67BD" w:rsidRPr="00E82E1F">
        <w:rPr>
          <w:sz w:val="24"/>
          <w:szCs w:val="24"/>
          <w:lang w:val="en-GB"/>
        </w:rPr>
        <w:t xml:space="preserve">sets </w:t>
      </w:r>
      <w:r w:rsidR="004366D0" w:rsidRPr="00E82E1F">
        <w:rPr>
          <w:sz w:val="24"/>
          <w:szCs w:val="24"/>
          <w:lang w:val="en-GB"/>
        </w:rPr>
        <w:t>the minimum standards for l</w:t>
      </w:r>
      <w:r w:rsidRPr="00E82E1F">
        <w:rPr>
          <w:sz w:val="24"/>
          <w:szCs w:val="24"/>
          <w:lang w:val="en-GB"/>
        </w:rPr>
        <w:t xml:space="preserve">isted firms (La </w:t>
      </w:r>
      <w:proofErr w:type="spellStart"/>
      <w:r w:rsidRPr="00E82E1F">
        <w:rPr>
          <w:sz w:val="24"/>
          <w:szCs w:val="24"/>
          <w:lang w:val="en-GB"/>
        </w:rPr>
        <w:t>Porta</w:t>
      </w:r>
      <w:proofErr w:type="spellEnd"/>
      <w:r w:rsidRPr="00E82E1F">
        <w:rPr>
          <w:sz w:val="24"/>
          <w:szCs w:val="24"/>
          <w:lang w:val="en-GB"/>
        </w:rPr>
        <w:t xml:space="preserve"> </w:t>
      </w:r>
      <w:r w:rsidR="0006642B" w:rsidRPr="00E82E1F">
        <w:rPr>
          <w:i/>
          <w:sz w:val="24"/>
          <w:szCs w:val="24"/>
          <w:lang w:val="en-GB"/>
        </w:rPr>
        <w:t>et al.</w:t>
      </w:r>
      <w:r w:rsidRPr="00E82E1F">
        <w:rPr>
          <w:sz w:val="24"/>
          <w:szCs w:val="24"/>
          <w:lang w:val="en-GB"/>
        </w:rPr>
        <w:t xml:space="preserve">, 2006), </w:t>
      </w:r>
      <w:r w:rsidR="006C67BD" w:rsidRPr="00E82E1F">
        <w:rPr>
          <w:sz w:val="24"/>
          <w:szCs w:val="24"/>
          <w:lang w:val="en-GB"/>
        </w:rPr>
        <w:t xml:space="preserve">whereas the </w:t>
      </w:r>
      <w:r w:rsidR="004366D0" w:rsidRPr="00E82E1F">
        <w:rPr>
          <w:sz w:val="24"/>
          <w:szCs w:val="24"/>
          <w:lang w:val="en-GB"/>
        </w:rPr>
        <w:t xml:space="preserve">analysts </w:t>
      </w:r>
      <w:r w:rsidR="006C67BD" w:rsidRPr="00E82E1F">
        <w:rPr>
          <w:sz w:val="24"/>
          <w:szCs w:val="24"/>
          <w:lang w:val="en-GB"/>
        </w:rPr>
        <w:t xml:space="preserve">who </w:t>
      </w:r>
      <w:r w:rsidR="004366D0" w:rsidRPr="00E82E1F">
        <w:rPr>
          <w:sz w:val="24"/>
          <w:szCs w:val="24"/>
          <w:lang w:val="en-GB"/>
        </w:rPr>
        <w:t xml:space="preserve">follow the listed firms (NANALYSTS) </w:t>
      </w:r>
      <w:r w:rsidR="003D65A1" w:rsidRPr="00E82E1F">
        <w:rPr>
          <w:sz w:val="24"/>
          <w:szCs w:val="24"/>
          <w:lang w:val="en-GB"/>
        </w:rPr>
        <w:t>provide a private channel for</w:t>
      </w:r>
      <w:r w:rsidR="004366D0" w:rsidRPr="00E82E1F">
        <w:rPr>
          <w:sz w:val="24"/>
          <w:szCs w:val="24"/>
          <w:lang w:val="en-GB"/>
        </w:rPr>
        <w:t xml:space="preserve"> </w:t>
      </w:r>
      <w:r w:rsidR="003D65A1" w:rsidRPr="00E82E1F">
        <w:rPr>
          <w:sz w:val="24"/>
          <w:szCs w:val="24"/>
          <w:lang w:val="en-GB"/>
        </w:rPr>
        <w:t xml:space="preserve">information </w:t>
      </w:r>
      <w:r w:rsidR="004366D0" w:rsidRPr="00E82E1F">
        <w:rPr>
          <w:sz w:val="24"/>
          <w:szCs w:val="24"/>
          <w:lang w:val="en-GB"/>
        </w:rPr>
        <w:t xml:space="preserve">disclosure </w:t>
      </w:r>
      <w:r w:rsidRPr="00E82E1F">
        <w:rPr>
          <w:sz w:val="24"/>
          <w:szCs w:val="24"/>
          <w:lang w:val="en-GB"/>
        </w:rPr>
        <w:t xml:space="preserve">(Chang, </w:t>
      </w:r>
      <w:proofErr w:type="spellStart"/>
      <w:r w:rsidRPr="00E82E1F">
        <w:rPr>
          <w:sz w:val="24"/>
          <w:szCs w:val="24"/>
          <w:lang w:val="en-GB"/>
        </w:rPr>
        <w:t>Khanna</w:t>
      </w:r>
      <w:proofErr w:type="spellEnd"/>
      <w:r w:rsidRPr="00E82E1F">
        <w:rPr>
          <w:sz w:val="24"/>
          <w:szCs w:val="24"/>
          <w:lang w:val="en-GB"/>
        </w:rPr>
        <w:t xml:space="preserve"> </w:t>
      </w:r>
      <w:r w:rsidR="00EE0A03" w:rsidRPr="00E82E1F">
        <w:rPr>
          <w:sz w:val="24"/>
          <w:szCs w:val="24"/>
          <w:lang w:val="en-GB"/>
        </w:rPr>
        <w:t>and</w:t>
      </w:r>
      <w:r w:rsidRPr="00E82E1F">
        <w:rPr>
          <w:sz w:val="24"/>
          <w:szCs w:val="24"/>
          <w:lang w:val="en-GB"/>
        </w:rPr>
        <w:t xml:space="preserve"> </w:t>
      </w:r>
      <w:proofErr w:type="spellStart"/>
      <w:r w:rsidRPr="00E82E1F">
        <w:rPr>
          <w:sz w:val="24"/>
          <w:szCs w:val="24"/>
          <w:lang w:val="en-GB"/>
        </w:rPr>
        <w:t>Palepu</w:t>
      </w:r>
      <w:proofErr w:type="spellEnd"/>
      <w:r w:rsidRPr="00E82E1F">
        <w:rPr>
          <w:sz w:val="24"/>
          <w:szCs w:val="24"/>
          <w:lang w:val="en-GB"/>
        </w:rPr>
        <w:t xml:space="preserve">, 2000). </w:t>
      </w:r>
      <w:r w:rsidR="00051D5C" w:rsidRPr="00E82E1F">
        <w:rPr>
          <w:sz w:val="24"/>
          <w:szCs w:val="24"/>
          <w:lang w:val="en-GB"/>
        </w:rPr>
        <w:t>In addition, t</w:t>
      </w:r>
      <w:r w:rsidR="00EC427A" w:rsidRPr="00E82E1F">
        <w:rPr>
          <w:sz w:val="24"/>
          <w:szCs w:val="24"/>
          <w:lang w:val="en-GB"/>
        </w:rPr>
        <w:t xml:space="preserve">he analysts sometimes </w:t>
      </w:r>
      <w:r w:rsidR="00051D5C" w:rsidRPr="00E82E1F">
        <w:rPr>
          <w:sz w:val="24"/>
          <w:szCs w:val="24"/>
          <w:lang w:val="en-GB"/>
        </w:rPr>
        <w:t xml:space="preserve">even </w:t>
      </w:r>
      <w:r w:rsidR="00EC427A" w:rsidRPr="00E82E1F">
        <w:rPr>
          <w:sz w:val="24"/>
          <w:szCs w:val="24"/>
          <w:lang w:val="en-GB"/>
        </w:rPr>
        <w:t>directly assume the role of monitoring, which is</w:t>
      </w:r>
      <w:r w:rsidR="00055AAE" w:rsidRPr="00E82E1F">
        <w:rPr>
          <w:sz w:val="24"/>
          <w:szCs w:val="24"/>
          <w:lang w:val="en-GB"/>
        </w:rPr>
        <w:t xml:space="preserve"> a</w:t>
      </w:r>
      <w:r w:rsidR="00EC427A" w:rsidRPr="00E82E1F">
        <w:rPr>
          <w:sz w:val="24"/>
          <w:szCs w:val="24"/>
          <w:lang w:val="en-GB"/>
        </w:rPr>
        <w:t xml:space="preserve"> highly valuable governance mechanism</w:t>
      </w:r>
      <w:r w:rsidR="00473835" w:rsidRPr="00E82E1F">
        <w:rPr>
          <w:sz w:val="24"/>
          <w:szCs w:val="24"/>
          <w:lang w:val="en-GB"/>
        </w:rPr>
        <w:t xml:space="preserve"> reducing earning</w:t>
      </w:r>
      <w:r w:rsidR="004926F1" w:rsidRPr="00E82E1F">
        <w:rPr>
          <w:sz w:val="24"/>
          <w:szCs w:val="24"/>
          <w:lang w:val="en-GB"/>
        </w:rPr>
        <w:t>s</w:t>
      </w:r>
      <w:r w:rsidR="00473835" w:rsidRPr="00E82E1F">
        <w:rPr>
          <w:sz w:val="24"/>
          <w:szCs w:val="24"/>
          <w:lang w:val="en-GB"/>
        </w:rPr>
        <w:t xml:space="preserve"> management (Yu, 2008) and </w:t>
      </w:r>
      <w:r w:rsidR="00212B9F" w:rsidRPr="00E82E1F">
        <w:rPr>
          <w:sz w:val="24"/>
          <w:szCs w:val="24"/>
          <w:lang w:val="en-GB"/>
        </w:rPr>
        <w:t xml:space="preserve">excessive </w:t>
      </w:r>
      <w:r w:rsidR="00473835" w:rsidRPr="00E82E1F">
        <w:rPr>
          <w:sz w:val="24"/>
          <w:szCs w:val="24"/>
          <w:lang w:val="en-GB"/>
        </w:rPr>
        <w:t>CEO compensation</w:t>
      </w:r>
      <w:r w:rsidR="00212B9F" w:rsidRPr="00E82E1F">
        <w:rPr>
          <w:sz w:val="24"/>
          <w:szCs w:val="24"/>
          <w:lang w:val="en-GB"/>
        </w:rPr>
        <w:t xml:space="preserve"> and bad acquisition decisions</w:t>
      </w:r>
      <w:r w:rsidR="00473835" w:rsidRPr="00E82E1F">
        <w:rPr>
          <w:sz w:val="24"/>
          <w:szCs w:val="24"/>
          <w:lang w:val="en-GB"/>
        </w:rPr>
        <w:t xml:space="preserve"> (</w:t>
      </w:r>
      <w:r w:rsidR="00212B9F" w:rsidRPr="00E82E1F">
        <w:rPr>
          <w:sz w:val="24"/>
          <w:szCs w:val="24"/>
          <w:lang w:val="en-GB"/>
        </w:rPr>
        <w:t xml:space="preserve">Chen, </w:t>
      </w:r>
      <w:proofErr w:type="spellStart"/>
      <w:r w:rsidR="00212B9F" w:rsidRPr="00E82E1F">
        <w:rPr>
          <w:sz w:val="24"/>
          <w:szCs w:val="24"/>
          <w:lang w:val="en-GB"/>
        </w:rPr>
        <w:t>Harford</w:t>
      </w:r>
      <w:proofErr w:type="spellEnd"/>
      <w:r w:rsidR="00212B9F" w:rsidRPr="00E82E1F">
        <w:rPr>
          <w:sz w:val="24"/>
          <w:szCs w:val="24"/>
          <w:lang w:val="en-GB"/>
        </w:rPr>
        <w:t xml:space="preserve"> and Lin, 2015</w:t>
      </w:r>
      <w:r w:rsidR="00473835" w:rsidRPr="00E82E1F">
        <w:rPr>
          <w:sz w:val="24"/>
          <w:szCs w:val="24"/>
          <w:lang w:val="en-GB"/>
        </w:rPr>
        <w:t>)</w:t>
      </w:r>
      <w:r w:rsidR="00EC427A" w:rsidRPr="00E82E1F">
        <w:rPr>
          <w:sz w:val="24"/>
          <w:szCs w:val="24"/>
          <w:lang w:val="en-GB"/>
        </w:rPr>
        <w:t xml:space="preserve">. </w:t>
      </w:r>
      <w:r w:rsidR="00051D5C" w:rsidRPr="00E82E1F">
        <w:rPr>
          <w:sz w:val="24"/>
          <w:szCs w:val="24"/>
          <w:lang w:val="en-GB"/>
        </w:rPr>
        <w:t>Finally</w:t>
      </w:r>
      <w:r w:rsidRPr="00E82E1F">
        <w:rPr>
          <w:sz w:val="24"/>
          <w:szCs w:val="24"/>
          <w:lang w:val="en-GB"/>
        </w:rPr>
        <w:t xml:space="preserve">, court </w:t>
      </w:r>
      <w:r w:rsidR="006C67BD" w:rsidRPr="00E82E1F">
        <w:rPr>
          <w:sz w:val="24"/>
          <w:szCs w:val="24"/>
          <w:lang w:val="en-GB"/>
        </w:rPr>
        <w:t>systems</w:t>
      </w:r>
      <w:r w:rsidR="00051D5C" w:rsidRPr="00E82E1F">
        <w:rPr>
          <w:sz w:val="24"/>
          <w:szCs w:val="24"/>
          <w:lang w:val="en-GB"/>
        </w:rPr>
        <w:t xml:space="preserve"> that determine the efficiency of private litigation</w:t>
      </w:r>
      <w:r w:rsidRPr="00E82E1F">
        <w:rPr>
          <w:sz w:val="24"/>
          <w:szCs w:val="24"/>
          <w:lang w:val="en-GB"/>
        </w:rPr>
        <w:t xml:space="preserve"> are shown to have significant cross-country divergence</w:t>
      </w:r>
      <w:r w:rsidR="004366D0" w:rsidRPr="00E82E1F">
        <w:rPr>
          <w:sz w:val="24"/>
          <w:szCs w:val="24"/>
          <w:lang w:val="en-GB"/>
        </w:rPr>
        <w:t xml:space="preserve"> in their efficiencies</w:t>
      </w:r>
      <w:r w:rsidRPr="00E82E1F">
        <w:rPr>
          <w:sz w:val="24"/>
          <w:szCs w:val="24"/>
          <w:lang w:val="en-GB"/>
        </w:rPr>
        <w:t xml:space="preserve"> (</w:t>
      </w:r>
      <w:proofErr w:type="spellStart"/>
      <w:r w:rsidRPr="00E82E1F">
        <w:rPr>
          <w:sz w:val="24"/>
          <w:szCs w:val="24"/>
          <w:lang w:val="en-GB"/>
        </w:rPr>
        <w:t>Djankov</w:t>
      </w:r>
      <w:proofErr w:type="spellEnd"/>
      <w:r w:rsidR="000D5E39" w:rsidRPr="00E82E1F">
        <w:rPr>
          <w:sz w:val="24"/>
          <w:szCs w:val="24"/>
          <w:lang w:val="en-GB"/>
        </w:rPr>
        <w:t xml:space="preserve"> </w:t>
      </w:r>
      <w:r w:rsidR="0006642B" w:rsidRPr="00E82E1F">
        <w:rPr>
          <w:i/>
          <w:sz w:val="24"/>
          <w:szCs w:val="24"/>
          <w:lang w:val="en-GB"/>
        </w:rPr>
        <w:t>et al.</w:t>
      </w:r>
      <w:r w:rsidRPr="00E82E1F">
        <w:rPr>
          <w:sz w:val="24"/>
          <w:szCs w:val="24"/>
          <w:lang w:val="en-GB"/>
        </w:rPr>
        <w:t>, 2003)</w:t>
      </w:r>
      <w:r w:rsidR="00051D5C" w:rsidRPr="00E82E1F">
        <w:rPr>
          <w:sz w:val="24"/>
          <w:szCs w:val="24"/>
          <w:lang w:val="en-GB"/>
        </w:rPr>
        <w:t>.</w:t>
      </w:r>
    </w:p>
    <w:p w:rsidR="0064680B" w:rsidRPr="00E82E1F" w:rsidRDefault="00CF38AB" w:rsidP="00510ED6">
      <w:pPr>
        <w:spacing w:beforeLines="100"/>
        <w:mirrorIndents/>
        <w:rPr>
          <w:sz w:val="24"/>
          <w:szCs w:val="24"/>
          <w:lang w:val="en-GB"/>
        </w:rPr>
      </w:pPr>
      <w:r w:rsidRPr="00E82E1F">
        <w:rPr>
          <w:sz w:val="24"/>
          <w:szCs w:val="24"/>
          <w:lang w:val="en-GB"/>
        </w:rPr>
        <w:t>F</w:t>
      </w:r>
      <w:r w:rsidR="000D33CF" w:rsidRPr="00E82E1F">
        <w:rPr>
          <w:sz w:val="24"/>
          <w:szCs w:val="24"/>
          <w:lang w:val="en-GB"/>
        </w:rPr>
        <w:t xml:space="preserve">or public enforcement to function effectively, the public enforcers need to obtain </w:t>
      </w:r>
      <w:r w:rsidR="000D33CF" w:rsidRPr="00E82E1F">
        <w:rPr>
          <w:i/>
          <w:sz w:val="24"/>
          <w:szCs w:val="24"/>
          <w:lang w:val="en-GB"/>
        </w:rPr>
        <w:t>de jure</w:t>
      </w:r>
      <w:r w:rsidR="000D33CF" w:rsidRPr="00E82E1F">
        <w:rPr>
          <w:sz w:val="24"/>
          <w:szCs w:val="24"/>
          <w:lang w:val="en-GB"/>
        </w:rPr>
        <w:t xml:space="preserve"> authority from securities laws (PENFORCEMENT) to investigate and sanction </w:t>
      </w:r>
      <w:r w:rsidR="0006642B" w:rsidRPr="00E82E1F">
        <w:rPr>
          <w:sz w:val="24"/>
          <w:szCs w:val="24"/>
          <w:lang w:val="en-GB"/>
        </w:rPr>
        <w:t>security</w:t>
      </w:r>
      <w:r w:rsidR="000D33CF" w:rsidRPr="00E82E1F">
        <w:rPr>
          <w:sz w:val="24"/>
          <w:szCs w:val="24"/>
          <w:lang w:val="en-GB"/>
        </w:rPr>
        <w:t xml:space="preserve"> wrongdoings (La </w:t>
      </w:r>
      <w:proofErr w:type="spellStart"/>
      <w:r w:rsidR="000D33CF" w:rsidRPr="00E82E1F">
        <w:rPr>
          <w:sz w:val="24"/>
          <w:szCs w:val="24"/>
          <w:lang w:val="en-GB"/>
        </w:rPr>
        <w:t>Porta</w:t>
      </w:r>
      <w:proofErr w:type="spellEnd"/>
      <w:r w:rsidR="000D33CF" w:rsidRPr="00E82E1F">
        <w:rPr>
          <w:sz w:val="24"/>
          <w:szCs w:val="24"/>
          <w:lang w:val="en-GB"/>
        </w:rPr>
        <w:t xml:space="preserve"> </w:t>
      </w:r>
      <w:r w:rsidR="0006642B" w:rsidRPr="00E82E1F">
        <w:rPr>
          <w:i/>
          <w:sz w:val="24"/>
          <w:szCs w:val="24"/>
          <w:lang w:val="en-GB"/>
        </w:rPr>
        <w:t>et al.</w:t>
      </w:r>
      <w:r w:rsidR="000D33CF" w:rsidRPr="00E82E1F">
        <w:rPr>
          <w:sz w:val="24"/>
          <w:szCs w:val="24"/>
          <w:lang w:val="en-GB"/>
        </w:rPr>
        <w:t xml:space="preserve">, 2006) and maintain </w:t>
      </w:r>
      <w:r w:rsidR="006C67BD" w:rsidRPr="00E82E1F">
        <w:rPr>
          <w:sz w:val="24"/>
          <w:szCs w:val="24"/>
          <w:lang w:val="en-GB"/>
        </w:rPr>
        <w:t xml:space="preserve">sufficient </w:t>
      </w:r>
      <w:r w:rsidR="0090725E" w:rsidRPr="00E82E1F">
        <w:rPr>
          <w:sz w:val="24"/>
          <w:szCs w:val="24"/>
          <w:lang w:val="en-GB"/>
        </w:rPr>
        <w:t xml:space="preserve">resources, such as staff </w:t>
      </w:r>
      <w:r w:rsidR="000D33CF" w:rsidRPr="00E82E1F">
        <w:rPr>
          <w:sz w:val="24"/>
          <w:szCs w:val="24"/>
          <w:lang w:val="en-GB"/>
        </w:rPr>
        <w:t>members (STAFF)</w:t>
      </w:r>
      <w:r w:rsidR="0090725E" w:rsidRPr="00E82E1F">
        <w:rPr>
          <w:sz w:val="24"/>
          <w:szCs w:val="24"/>
          <w:lang w:val="en-GB"/>
        </w:rPr>
        <w:t xml:space="preserve">, to </w:t>
      </w:r>
      <w:r w:rsidR="000D33CF" w:rsidRPr="00E82E1F">
        <w:rPr>
          <w:sz w:val="24"/>
          <w:szCs w:val="24"/>
          <w:lang w:val="en-GB"/>
        </w:rPr>
        <w:t xml:space="preserve">actually intervene </w:t>
      </w:r>
      <w:r w:rsidR="006C67BD" w:rsidRPr="00E82E1F">
        <w:rPr>
          <w:sz w:val="24"/>
          <w:szCs w:val="24"/>
          <w:lang w:val="en-GB"/>
        </w:rPr>
        <w:t xml:space="preserve">in regulation </w:t>
      </w:r>
      <w:r w:rsidR="00B75B8F" w:rsidRPr="00E82E1F">
        <w:rPr>
          <w:sz w:val="24"/>
          <w:szCs w:val="24"/>
          <w:lang w:val="en-GB"/>
        </w:rPr>
        <w:t>violations</w:t>
      </w:r>
      <w:r w:rsidR="0090725E" w:rsidRPr="00E82E1F">
        <w:rPr>
          <w:sz w:val="24"/>
          <w:szCs w:val="24"/>
          <w:lang w:val="en-GB"/>
        </w:rPr>
        <w:t xml:space="preserve"> (Jackson </w:t>
      </w:r>
      <w:r w:rsidR="00EE0A03" w:rsidRPr="00E82E1F">
        <w:rPr>
          <w:sz w:val="24"/>
          <w:szCs w:val="24"/>
          <w:lang w:val="en-GB"/>
        </w:rPr>
        <w:t>and</w:t>
      </w:r>
      <w:r w:rsidR="0090725E" w:rsidRPr="00E82E1F">
        <w:rPr>
          <w:sz w:val="24"/>
          <w:szCs w:val="24"/>
          <w:lang w:val="en-GB"/>
        </w:rPr>
        <w:t xml:space="preserve"> Roe, 2009)</w:t>
      </w:r>
      <w:r w:rsidR="009C49C9" w:rsidRPr="00E82E1F">
        <w:rPr>
          <w:sz w:val="24"/>
          <w:szCs w:val="24"/>
          <w:lang w:val="en-GB"/>
        </w:rPr>
        <w:t xml:space="preserve">. Bhattacharya </w:t>
      </w:r>
      <w:r w:rsidR="006C67BD" w:rsidRPr="00E82E1F">
        <w:rPr>
          <w:sz w:val="24"/>
          <w:szCs w:val="24"/>
          <w:lang w:val="en-GB"/>
        </w:rPr>
        <w:t>and</w:t>
      </w:r>
      <w:r w:rsidR="009C49C9" w:rsidRPr="00E82E1F">
        <w:rPr>
          <w:sz w:val="24"/>
          <w:szCs w:val="24"/>
          <w:lang w:val="en-GB"/>
        </w:rPr>
        <w:t xml:space="preserve"> </w:t>
      </w:r>
      <w:proofErr w:type="spellStart"/>
      <w:r w:rsidR="009C49C9" w:rsidRPr="00E82E1F">
        <w:rPr>
          <w:sz w:val="24"/>
          <w:szCs w:val="24"/>
          <w:lang w:val="en-GB"/>
        </w:rPr>
        <w:t>Daouk</w:t>
      </w:r>
      <w:proofErr w:type="spellEnd"/>
      <w:r w:rsidR="009C49C9" w:rsidRPr="00E82E1F">
        <w:rPr>
          <w:sz w:val="24"/>
          <w:szCs w:val="24"/>
          <w:lang w:val="en-GB"/>
        </w:rPr>
        <w:t xml:space="preserve"> (2002) further reveal that the outputs of public enforcement, </w:t>
      </w:r>
      <w:r w:rsidR="00B9398F" w:rsidRPr="00E82E1F">
        <w:rPr>
          <w:i/>
          <w:sz w:val="24"/>
          <w:szCs w:val="24"/>
          <w:lang w:val="en-GB"/>
        </w:rPr>
        <w:t xml:space="preserve">i.e., </w:t>
      </w:r>
      <w:r w:rsidR="009C49C9" w:rsidRPr="00E82E1F">
        <w:rPr>
          <w:sz w:val="24"/>
          <w:szCs w:val="24"/>
          <w:lang w:val="en-GB"/>
        </w:rPr>
        <w:t>the first prosecution of insider trading</w:t>
      </w:r>
      <w:r w:rsidR="001A5903" w:rsidRPr="00E82E1F">
        <w:rPr>
          <w:sz w:val="24"/>
          <w:szCs w:val="24"/>
          <w:lang w:val="en-GB"/>
        </w:rPr>
        <w:t xml:space="preserve"> (ITPROSECUTION)</w:t>
      </w:r>
      <w:r w:rsidR="009C49C9" w:rsidRPr="00E82E1F">
        <w:rPr>
          <w:sz w:val="24"/>
          <w:szCs w:val="24"/>
          <w:lang w:val="en-GB"/>
        </w:rPr>
        <w:t xml:space="preserve">, matter for market liquidity. </w:t>
      </w:r>
      <w:r w:rsidR="006C67BD" w:rsidRPr="00E82E1F">
        <w:rPr>
          <w:sz w:val="24"/>
          <w:szCs w:val="24"/>
          <w:lang w:val="en-GB"/>
        </w:rPr>
        <w:t xml:space="preserve">Although </w:t>
      </w:r>
      <w:r w:rsidR="009C49C9" w:rsidRPr="00E82E1F">
        <w:rPr>
          <w:sz w:val="24"/>
          <w:szCs w:val="24"/>
          <w:lang w:val="en-GB"/>
        </w:rPr>
        <w:t xml:space="preserve">a high percentage of countries </w:t>
      </w:r>
      <w:r w:rsidR="006C67BD" w:rsidRPr="00E82E1F">
        <w:rPr>
          <w:sz w:val="24"/>
          <w:szCs w:val="24"/>
          <w:lang w:val="en-GB"/>
        </w:rPr>
        <w:t>established</w:t>
      </w:r>
      <w:r w:rsidR="009C49C9" w:rsidRPr="00E82E1F">
        <w:rPr>
          <w:sz w:val="24"/>
          <w:szCs w:val="24"/>
          <w:lang w:val="en-GB"/>
        </w:rPr>
        <w:t xml:space="preserve"> anti-insider-trading rules</w:t>
      </w:r>
      <w:r w:rsidR="00825C5F" w:rsidRPr="00E82E1F">
        <w:rPr>
          <w:sz w:val="24"/>
          <w:szCs w:val="24"/>
          <w:lang w:val="en-GB"/>
        </w:rPr>
        <w:t xml:space="preserve"> at the beginning of</w:t>
      </w:r>
      <w:r w:rsidR="006C67BD" w:rsidRPr="00E82E1F">
        <w:rPr>
          <w:sz w:val="24"/>
          <w:szCs w:val="24"/>
          <w:lang w:val="en-GB"/>
        </w:rPr>
        <w:t xml:space="preserve"> the</w:t>
      </w:r>
      <w:r w:rsidR="00825C5F" w:rsidRPr="00E82E1F">
        <w:rPr>
          <w:sz w:val="24"/>
          <w:szCs w:val="24"/>
          <w:lang w:val="en-GB"/>
        </w:rPr>
        <w:t xml:space="preserve"> 1990s</w:t>
      </w:r>
      <w:r w:rsidR="009C49C9" w:rsidRPr="00E82E1F">
        <w:rPr>
          <w:sz w:val="24"/>
          <w:szCs w:val="24"/>
          <w:lang w:val="en-GB"/>
        </w:rPr>
        <w:t xml:space="preserve">, a large proportion </w:t>
      </w:r>
      <w:r w:rsidR="006C67BD" w:rsidRPr="00E82E1F">
        <w:rPr>
          <w:sz w:val="24"/>
          <w:szCs w:val="24"/>
          <w:lang w:val="en-GB"/>
        </w:rPr>
        <w:t xml:space="preserve">had </w:t>
      </w:r>
      <w:r w:rsidR="009C49C9" w:rsidRPr="00E82E1F">
        <w:rPr>
          <w:sz w:val="24"/>
          <w:szCs w:val="24"/>
          <w:lang w:val="en-GB"/>
        </w:rPr>
        <w:t xml:space="preserve">no enforcement outputs </w:t>
      </w:r>
      <w:r w:rsidR="006C67BD" w:rsidRPr="00E82E1F">
        <w:rPr>
          <w:sz w:val="24"/>
          <w:szCs w:val="24"/>
          <w:lang w:val="en-GB"/>
        </w:rPr>
        <w:t>over many</w:t>
      </w:r>
      <w:r w:rsidR="009C49C9" w:rsidRPr="00E82E1F">
        <w:rPr>
          <w:sz w:val="24"/>
          <w:szCs w:val="24"/>
          <w:lang w:val="en-GB"/>
        </w:rPr>
        <w:t xml:space="preserve"> subsequent years. The first enforcement </w:t>
      </w:r>
      <w:r w:rsidR="00825C5F" w:rsidRPr="00E82E1F">
        <w:rPr>
          <w:sz w:val="24"/>
          <w:szCs w:val="24"/>
          <w:lang w:val="en-GB"/>
        </w:rPr>
        <w:t>output</w:t>
      </w:r>
      <w:r w:rsidR="006C67BD" w:rsidRPr="00E82E1F">
        <w:rPr>
          <w:sz w:val="24"/>
          <w:szCs w:val="24"/>
          <w:lang w:val="en-GB"/>
        </w:rPr>
        <w:t>,</w:t>
      </w:r>
      <w:r w:rsidR="00825C5F" w:rsidRPr="00E82E1F">
        <w:rPr>
          <w:sz w:val="24"/>
          <w:szCs w:val="24"/>
          <w:lang w:val="en-GB"/>
        </w:rPr>
        <w:t xml:space="preserve"> </w:t>
      </w:r>
      <w:r w:rsidR="009C49C9" w:rsidRPr="00E82E1F">
        <w:rPr>
          <w:sz w:val="24"/>
          <w:szCs w:val="24"/>
          <w:lang w:val="en-GB"/>
        </w:rPr>
        <w:t>rather than the announcement of the anti-insider-trading rules</w:t>
      </w:r>
      <w:r w:rsidR="006C67BD" w:rsidRPr="00E82E1F">
        <w:rPr>
          <w:sz w:val="24"/>
          <w:szCs w:val="24"/>
          <w:lang w:val="en-GB"/>
        </w:rPr>
        <w:t>, was</w:t>
      </w:r>
      <w:r w:rsidR="00B34E02" w:rsidRPr="00E82E1F">
        <w:rPr>
          <w:sz w:val="24"/>
          <w:szCs w:val="24"/>
          <w:lang w:val="en-GB"/>
        </w:rPr>
        <w:t xml:space="preserve"> shown to </w:t>
      </w:r>
      <w:r w:rsidR="009C49C9" w:rsidRPr="00E82E1F">
        <w:rPr>
          <w:sz w:val="24"/>
          <w:szCs w:val="24"/>
          <w:lang w:val="en-GB"/>
        </w:rPr>
        <w:t xml:space="preserve">greatly increase market confidence and liquidity. </w:t>
      </w:r>
    </w:p>
    <w:p w:rsidR="002165CC" w:rsidRPr="00E82E1F" w:rsidRDefault="0064680B" w:rsidP="00510ED6">
      <w:pPr>
        <w:spacing w:beforeLines="100"/>
        <w:mirrorIndents/>
        <w:rPr>
          <w:sz w:val="24"/>
          <w:szCs w:val="24"/>
          <w:lang w:val="en-GB"/>
        </w:rPr>
      </w:pPr>
      <w:r w:rsidRPr="00E82E1F">
        <w:rPr>
          <w:sz w:val="24"/>
          <w:szCs w:val="24"/>
          <w:lang w:val="en-GB"/>
        </w:rPr>
        <w:t>2.1.3</w:t>
      </w:r>
      <w:r w:rsidR="00425B0F" w:rsidRPr="00E82E1F">
        <w:rPr>
          <w:sz w:val="24"/>
          <w:szCs w:val="24"/>
          <w:lang w:val="en-GB"/>
        </w:rPr>
        <w:t>.</w:t>
      </w:r>
      <w:r w:rsidRPr="00E82E1F">
        <w:rPr>
          <w:sz w:val="24"/>
          <w:szCs w:val="24"/>
          <w:lang w:val="en-GB"/>
        </w:rPr>
        <w:t xml:space="preserve"> Property rights protection</w:t>
      </w:r>
      <w:bookmarkStart w:id="56" w:name="OLE_LINK7"/>
      <w:bookmarkStart w:id="57" w:name="OLE_LINK8"/>
    </w:p>
    <w:p w:rsidR="00510ED6" w:rsidRDefault="002165CC" w:rsidP="00510ED6">
      <w:pPr>
        <w:spacing w:beforeLines="100"/>
        <w:mirrorIndents/>
        <w:rPr>
          <w:rFonts w:hint="eastAsia"/>
          <w:sz w:val="24"/>
          <w:szCs w:val="24"/>
          <w:lang w:val="en-GB"/>
        </w:rPr>
      </w:pPr>
      <w:bookmarkStart w:id="58" w:name="OLE_LINK37"/>
      <w:bookmarkStart w:id="59" w:name="OLE_LINK38"/>
      <w:proofErr w:type="spellStart"/>
      <w:r w:rsidRPr="00E82E1F">
        <w:rPr>
          <w:sz w:val="24"/>
          <w:szCs w:val="24"/>
          <w:lang w:val="en-GB"/>
        </w:rPr>
        <w:t>Acemoglu</w:t>
      </w:r>
      <w:bookmarkEnd w:id="58"/>
      <w:bookmarkEnd w:id="59"/>
      <w:proofErr w:type="spellEnd"/>
      <w:r w:rsidRPr="00E82E1F">
        <w:rPr>
          <w:sz w:val="24"/>
          <w:szCs w:val="24"/>
          <w:lang w:val="en-GB"/>
        </w:rPr>
        <w:t xml:space="preserve"> </w:t>
      </w:r>
      <w:r w:rsidR="006C67BD" w:rsidRPr="00E82E1F">
        <w:rPr>
          <w:sz w:val="24"/>
          <w:szCs w:val="24"/>
          <w:lang w:val="en-GB"/>
        </w:rPr>
        <w:t>and</w:t>
      </w:r>
      <w:r w:rsidRPr="00E82E1F">
        <w:rPr>
          <w:sz w:val="24"/>
          <w:szCs w:val="24"/>
          <w:lang w:val="en-GB"/>
        </w:rPr>
        <w:t xml:space="preserve"> Johnson (2005, p.955) define property rights institutions</w:t>
      </w:r>
      <w:r w:rsidR="001A5903" w:rsidRPr="00E82E1F">
        <w:rPr>
          <w:sz w:val="24"/>
          <w:szCs w:val="24"/>
          <w:lang w:val="en-GB"/>
        </w:rPr>
        <w:t xml:space="preserve"> (PROPERTY)</w:t>
      </w:r>
      <w:r w:rsidRPr="00E82E1F">
        <w:rPr>
          <w:sz w:val="24"/>
          <w:szCs w:val="24"/>
          <w:lang w:val="en-GB"/>
        </w:rPr>
        <w:t xml:space="preserve"> as “the rules and regulations protecting citizens against the pow</w:t>
      </w:r>
      <w:r w:rsidR="00B66FD0" w:rsidRPr="00E82E1F">
        <w:rPr>
          <w:sz w:val="24"/>
          <w:szCs w:val="24"/>
          <w:lang w:val="en-GB"/>
        </w:rPr>
        <w:t>er of the government and elites</w:t>
      </w:r>
      <w:r w:rsidRPr="00E82E1F">
        <w:rPr>
          <w:sz w:val="24"/>
          <w:szCs w:val="24"/>
          <w:lang w:val="en-GB"/>
        </w:rPr>
        <w:t>”</w:t>
      </w:r>
      <w:r w:rsidR="00B66FD0" w:rsidRPr="00E82E1F">
        <w:rPr>
          <w:sz w:val="24"/>
          <w:szCs w:val="24"/>
          <w:lang w:val="en-GB"/>
        </w:rPr>
        <w:t>,</w:t>
      </w:r>
      <w:r w:rsidR="00200DD5" w:rsidRPr="00E82E1F">
        <w:rPr>
          <w:sz w:val="24"/>
          <w:szCs w:val="24"/>
          <w:lang w:val="en-GB"/>
        </w:rPr>
        <w:t xml:space="preserve"> which reflects the relative priority of </w:t>
      </w:r>
      <w:r w:rsidR="006C67BD" w:rsidRPr="00E82E1F">
        <w:rPr>
          <w:sz w:val="24"/>
          <w:szCs w:val="24"/>
          <w:lang w:val="en-GB"/>
        </w:rPr>
        <w:t>individuals’</w:t>
      </w:r>
      <w:r w:rsidR="006C67BD" w:rsidRPr="00E82E1F">
        <w:rPr>
          <w:i/>
          <w:sz w:val="24"/>
          <w:szCs w:val="24"/>
          <w:lang w:val="en-GB"/>
        </w:rPr>
        <w:t xml:space="preserve"> </w:t>
      </w:r>
      <w:r w:rsidR="00200DD5" w:rsidRPr="00E82E1F">
        <w:rPr>
          <w:sz w:val="24"/>
          <w:szCs w:val="24"/>
          <w:lang w:val="en-GB"/>
        </w:rPr>
        <w:t xml:space="preserve">rights </w:t>
      </w:r>
      <w:r w:rsidR="00200DD5" w:rsidRPr="00E82E1F">
        <w:rPr>
          <w:i/>
          <w:sz w:val="24"/>
          <w:szCs w:val="24"/>
          <w:lang w:val="en-GB"/>
        </w:rPr>
        <w:t>vis-à-vis</w:t>
      </w:r>
      <w:r w:rsidR="00200DD5" w:rsidRPr="00E82E1F">
        <w:rPr>
          <w:sz w:val="24"/>
          <w:szCs w:val="24"/>
          <w:lang w:val="en-GB"/>
        </w:rPr>
        <w:t xml:space="preserve"> those of the states or powerful elites. Such protection is crucial in determining firms’ asset structures, as </w:t>
      </w:r>
      <w:proofErr w:type="spellStart"/>
      <w:r w:rsidR="00200DD5" w:rsidRPr="00E82E1F">
        <w:rPr>
          <w:sz w:val="24"/>
          <w:szCs w:val="24"/>
          <w:lang w:val="en-GB"/>
        </w:rPr>
        <w:t>Claessens</w:t>
      </w:r>
      <w:proofErr w:type="spellEnd"/>
      <w:r w:rsidR="00200DD5" w:rsidRPr="00E82E1F">
        <w:rPr>
          <w:sz w:val="24"/>
          <w:szCs w:val="24"/>
          <w:lang w:val="en-GB"/>
        </w:rPr>
        <w:t xml:space="preserve"> </w:t>
      </w:r>
      <w:r w:rsidR="006C67BD" w:rsidRPr="00E82E1F">
        <w:rPr>
          <w:sz w:val="24"/>
          <w:szCs w:val="24"/>
          <w:lang w:val="en-GB"/>
        </w:rPr>
        <w:t>and</w:t>
      </w:r>
      <w:r w:rsidR="00200DD5" w:rsidRPr="00E82E1F">
        <w:rPr>
          <w:sz w:val="24"/>
          <w:szCs w:val="24"/>
          <w:lang w:val="en-GB"/>
        </w:rPr>
        <w:t xml:space="preserve"> </w:t>
      </w:r>
      <w:proofErr w:type="spellStart"/>
      <w:r w:rsidR="00200DD5" w:rsidRPr="00E82E1F">
        <w:rPr>
          <w:sz w:val="24"/>
          <w:szCs w:val="24"/>
          <w:lang w:val="en-GB"/>
        </w:rPr>
        <w:t>Laeven</w:t>
      </w:r>
      <w:proofErr w:type="spellEnd"/>
      <w:r w:rsidR="00200DD5" w:rsidRPr="00E82E1F">
        <w:rPr>
          <w:sz w:val="24"/>
          <w:szCs w:val="24"/>
          <w:lang w:val="en-GB"/>
        </w:rPr>
        <w:t xml:space="preserve"> (2003) show</w:t>
      </w:r>
      <w:r w:rsidR="006C67BD" w:rsidRPr="00E82E1F">
        <w:rPr>
          <w:sz w:val="24"/>
          <w:szCs w:val="24"/>
          <w:lang w:val="en-GB"/>
        </w:rPr>
        <w:t xml:space="preserve">: </w:t>
      </w:r>
      <w:r w:rsidR="004926F1" w:rsidRPr="00E82E1F">
        <w:rPr>
          <w:sz w:val="24"/>
          <w:szCs w:val="24"/>
          <w:lang w:val="en-GB"/>
        </w:rPr>
        <w:t>T</w:t>
      </w:r>
      <w:r w:rsidR="006C67BD" w:rsidRPr="00E82E1F">
        <w:rPr>
          <w:sz w:val="24"/>
          <w:szCs w:val="24"/>
          <w:lang w:val="en-GB"/>
        </w:rPr>
        <w:t>hey find</w:t>
      </w:r>
      <w:r w:rsidR="00200DD5" w:rsidRPr="00E82E1F">
        <w:rPr>
          <w:sz w:val="24"/>
          <w:szCs w:val="24"/>
          <w:lang w:val="en-GB"/>
        </w:rPr>
        <w:t xml:space="preserve"> that </w:t>
      </w:r>
      <w:r w:rsidR="004B0D56" w:rsidRPr="00E82E1F">
        <w:rPr>
          <w:sz w:val="24"/>
          <w:szCs w:val="24"/>
          <w:lang w:val="en-GB"/>
        </w:rPr>
        <w:t>in countries with weak property rights protection</w:t>
      </w:r>
      <w:r w:rsidR="006C67BD" w:rsidRPr="00E82E1F">
        <w:rPr>
          <w:sz w:val="24"/>
          <w:szCs w:val="24"/>
          <w:lang w:val="en-GB"/>
        </w:rPr>
        <w:t>,</w:t>
      </w:r>
      <w:r w:rsidR="004B0D56" w:rsidRPr="00E82E1F">
        <w:rPr>
          <w:sz w:val="24"/>
          <w:szCs w:val="24"/>
          <w:lang w:val="en-GB"/>
        </w:rPr>
        <w:t xml:space="preserve"> firms prefer to invest in fixed assets, whereas in </w:t>
      </w:r>
      <w:r w:rsidR="006C67BD" w:rsidRPr="00E82E1F">
        <w:rPr>
          <w:sz w:val="24"/>
          <w:szCs w:val="24"/>
          <w:lang w:val="en-GB"/>
        </w:rPr>
        <w:t xml:space="preserve">those </w:t>
      </w:r>
      <w:r w:rsidR="004B0D56" w:rsidRPr="00E82E1F">
        <w:rPr>
          <w:sz w:val="24"/>
          <w:szCs w:val="24"/>
          <w:lang w:val="en-GB"/>
        </w:rPr>
        <w:t>with strong protection</w:t>
      </w:r>
      <w:r w:rsidR="006C67BD" w:rsidRPr="00E82E1F">
        <w:rPr>
          <w:sz w:val="24"/>
          <w:szCs w:val="24"/>
          <w:lang w:val="en-GB"/>
        </w:rPr>
        <w:t>,</w:t>
      </w:r>
      <w:r w:rsidR="004B0D56" w:rsidRPr="00E82E1F">
        <w:rPr>
          <w:sz w:val="24"/>
          <w:szCs w:val="24"/>
          <w:lang w:val="en-GB"/>
        </w:rPr>
        <w:t xml:space="preserve"> firms invest more in intangible assets. </w:t>
      </w:r>
      <w:r w:rsidR="00200DD5" w:rsidRPr="00E82E1F">
        <w:rPr>
          <w:sz w:val="24"/>
          <w:szCs w:val="24"/>
          <w:lang w:val="en-GB"/>
        </w:rPr>
        <w:t xml:space="preserve">Better protection of property rights is empirically associated with more developed stock markets </w:t>
      </w:r>
      <w:r w:rsidR="00200DD5" w:rsidRPr="00E82E1F">
        <w:rPr>
          <w:sz w:val="24"/>
          <w:szCs w:val="24"/>
          <w:lang w:val="en-GB"/>
        </w:rPr>
        <w:lastRenderedPageBreak/>
        <w:t>(</w:t>
      </w:r>
      <w:proofErr w:type="spellStart"/>
      <w:r w:rsidR="00200DD5" w:rsidRPr="00E82E1F">
        <w:rPr>
          <w:sz w:val="24"/>
          <w:szCs w:val="24"/>
          <w:lang w:val="en-GB"/>
        </w:rPr>
        <w:t>Acemoglu</w:t>
      </w:r>
      <w:proofErr w:type="spellEnd"/>
      <w:r w:rsidR="00200DD5" w:rsidRPr="00E82E1F">
        <w:rPr>
          <w:sz w:val="24"/>
          <w:szCs w:val="24"/>
          <w:lang w:val="en-GB"/>
        </w:rPr>
        <w:t xml:space="preserve"> </w:t>
      </w:r>
      <w:r w:rsidR="00EE0A03" w:rsidRPr="00E82E1F">
        <w:rPr>
          <w:sz w:val="24"/>
          <w:szCs w:val="24"/>
          <w:lang w:val="en-GB"/>
        </w:rPr>
        <w:t>and</w:t>
      </w:r>
      <w:r w:rsidR="00200DD5" w:rsidRPr="00E82E1F">
        <w:rPr>
          <w:sz w:val="24"/>
          <w:szCs w:val="24"/>
          <w:lang w:val="en-GB"/>
        </w:rPr>
        <w:t xml:space="preserve"> Johnson, 2005; Mahoney, 2001).</w:t>
      </w:r>
      <w:bookmarkEnd w:id="56"/>
      <w:bookmarkEnd w:id="57"/>
      <w:r w:rsidR="00200DD5" w:rsidRPr="00E82E1F">
        <w:rPr>
          <w:sz w:val="24"/>
          <w:szCs w:val="24"/>
          <w:lang w:val="en-GB"/>
        </w:rPr>
        <w:t xml:space="preserve"> </w:t>
      </w:r>
    </w:p>
    <w:p w:rsidR="00510ED6" w:rsidRDefault="00215C51" w:rsidP="00510ED6">
      <w:pPr>
        <w:spacing w:beforeLines="100"/>
        <w:mirrorIndents/>
        <w:rPr>
          <w:rFonts w:hint="eastAsia"/>
          <w:b/>
          <w:sz w:val="24"/>
          <w:szCs w:val="24"/>
          <w:lang w:val="en-GB"/>
        </w:rPr>
      </w:pPr>
      <w:r w:rsidRPr="00E82E1F">
        <w:rPr>
          <w:b/>
          <w:sz w:val="24"/>
          <w:szCs w:val="24"/>
          <w:lang w:val="en-GB"/>
        </w:rPr>
        <w:t>2.2</w:t>
      </w:r>
      <w:r w:rsidR="00425B0F" w:rsidRPr="00E82E1F">
        <w:rPr>
          <w:b/>
          <w:sz w:val="24"/>
          <w:szCs w:val="24"/>
          <w:lang w:val="en-GB"/>
        </w:rPr>
        <w:t>.</w:t>
      </w:r>
      <w:r w:rsidRPr="00E82E1F">
        <w:rPr>
          <w:b/>
          <w:sz w:val="24"/>
          <w:szCs w:val="24"/>
          <w:lang w:val="en-GB"/>
        </w:rPr>
        <w:t xml:space="preserve"> </w:t>
      </w:r>
      <w:r w:rsidR="00C8081B" w:rsidRPr="00E82E1F">
        <w:rPr>
          <w:b/>
          <w:sz w:val="24"/>
          <w:szCs w:val="24"/>
          <w:lang w:val="en-GB"/>
        </w:rPr>
        <w:t>Extra-legal</w:t>
      </w:r>
      <w:r w:rsidRPr="00E82E1F">
        <w:rPr>
          <w:b/>
          <w:sz w:val="24"/>
          <w:szCs w:val="24"/>
          <w:lang w:val="en-GB"/>
        </w:rPr>
        <w:t xml:space="preserve"> determinants of stock market development</w:t>
      </w:r>
    </w:p>
    <w:p w:rsidR="00C619DC" w:rsidRPr="00E82E1F" w:rsidRDefault="0053457C" w:rsidP="00510ED6">
      <w:pPr>
        <w:spacing w:beforeLines="100"/>
        <w:mirrorIndents/>
        <w:rPr>
          <w:sz w:val="24"/>
          <w:szCs w:val="24"/>
          <w:lang w:val="en-GB"/>
        </w:rPr>
      </w:pPr>
      <w:r w:rsidRPr="00E82E1F">
        <w:rPr>
          <w:sz w:val="24"/>
          <w:szCs w:val="24"/>
          <w:lang w:val="en-GB"/>
        </w:rPr>
        <w:t>2.2.1</w:t>
      </w:r>
      <w:r w:rsidR="00425B0F" w:rsidRPr="00E82E1F">
        <w:rPr>
          <w:sz w:val="24"/>
          <w:szCs w:val="24"/>
          <w:lang w:val="en-GB"/>
        </w:rPr>
        <w:t>.</w:t>
      </w:r>
      <w:r w:rsidRPr="00E82E1F">
        <w:rPr>
          <w:sz w:val="24"/>
          <w:szCs w:val="24"/>
          <w:lang w:val="en-GB"/>
        </w:rPr>
        <w:t xml:space="preserve"> </w:t>
      </w:r>
      <w:r w:rsidR="00C619DC" w:rsidRPr="00E82E1F">
        <w:rPr>
          <w:sz w:val="24"/>
          <w:szCs w:val="24"/>
          <w:lang w:val="en-GB"/>
        </w:rPr>
        <w:t>Transplantation process</w:t>
      </w:r>
    </w:p>
    <w:p w:rsidR="00215C51" w:rsidRPr="00E82E1F" w:rsidRDefault="00766F4D" w:rsidP="00510ED6">
      <w:pPr>
        <w:spacing w:beforeLines="100"/>
        <w:mirrorIndents/>
        <w:rPr>
          <w:sz w:val="24"/>
          <w:szCs w:val="24"/>
          <w:lang w:val="en-GB"/>
        </w:rPr>
      </w:pPr>
      <w:r w:rsidRPr="00E82E1F">
        <w:rPr>
          <w:sz w:val="24"/>
          <w:szCs w:val="24"/>
          <w:lang w:val="en-GB"/>
        </w:rPr>
        <w:t>Rather than</w:t>
      </w:r>
      <w:r w:rsidR="00B24C89" w:rsidRPr="00E82E1F">
        <w:rPr>
          <w:sz w:val="24"/>
          <w:szCs w:val="24"/>
          <w:lang w:val="en-GB"/>
        </w:rPr>
        <w:t xml:space="preserve"> </w:t>
      </w:r>
      <w:r w:rsidR="00D005FE" w:rsidRPr="00E82E1F">
        <w:rPr>
          <w:sz w:val="24"/>
          <w:szCs w:val="24"/>
          <w:lang w:val="en-GB"/>
        </w:rPr>
        <w:t xml:space="preserve">legal determinants, Berkowitz, </w:t>
      </w:r>
      <w:proofErr w:type="spellStart"/>
      <w:r w:rsidR="00D005FE" w:rsidRPr="00E82E1F">
        <w:rPr>
          <w:sz w:val="24"/>
          <w:szCs w:val="24"/>
          <w:lang w:val="en-GB"/>
        </w:rPr>
        <w:t>Pistor</w:t>
      </w:r>
      <w:proofErr w:type="spellEnd"/>
      <w:r w:rsidR="00B24C89" w:rsidRPr="00E82E1F">
        <w:rPr>
          <w:sz w:val="24"/>
          <w:szCs w:val="24"/>
          <w:lang w:val="en-GB"/>
        </w:rPr>
        <w:t xml:space="preserve"> </w:t>
      </w:r>
      <w:r w:rsidRPr="00E82E1F">
        <w:rPr>
          <w:sz w:val="24"/>
          <w:szCs w:val="24"/>
          <w:lang w:val="en-GB"/>
        </w:rPr>
        <w:t>and</w:t>
      </w:r>
      <w:r w:rsidR="00B24C89" w:rsidRPr="00E82E1F">
        <w:rPr>
          <w:sz w:val="24"/>
          <w:szCs w:val="24"/>
          <w:lang w:val="en-GB"/>
        </w:rPr>
        <w:t xml:space="preserve"> Richard (2003) </w:t>
      </w:r>
      <w:r w:rsidR="008A1592" w:rsidRPr="00E82E1F">
        <w:rPr>
          <w:sz w:val="24"/>
          <w:szCs w:val="24"/>
          <w:lang w:val="en-GB"/>
        </w:rPr>
        <w:t xml:space="preserve">focus on </w:t>
      </w:r>
      <w:r w:rsidR="00B24C89" w:rsidRPr="00E82E1F">
        <w:rPr>
          <w:sz w:val="24"/>
          <w:szCs w:val="24"/>
          <w:lang w:val="en-GB"/>
        </w:rPr>
        <w:t>the pattern of transplanting</w:t>
      </w:r>
      <w:r w:rsidR="00D005FE" w:rsidRPr="00E82E1F">
        <w:rPr>
          <w:sz w:val="24"/>
          <w:szCs w:val="24"/>
          <w:lang w:val="en-GB"/>
        </w:rPr>
        <w:t xml:space="preserve"> </w:t>
      </w:r>
      <w:r w:rsidR="00B24C89" w:rsidRPr="00E82E1F">
        <w:rPr>
          <w:sz w:val="24"/>
          <w:szCs w:val="24"/>
          <w:lang w:val="en-GB"/>
        </w:rPr>
        <w:t>lega</w:t>
      </w:r>
      <w:r w:rsidR="00D005FE" w:rsidRPr="00E82E1F">
        <w:rPr>
          <w:sz w:val="24"/>
          <w:szCs w:val="24"/>
          <w:lang w:val="en-GB"/>
        </w:rPr>
        <w:t>l institutions from the origin</w:t>
      </w:r>
      <w:r w:rsidR="00B24C89" w:rsidRPr="00E82E1F">
        <w:rPr>
          <w:sz w:val="24"/>
          <w:szCs w:val="24"/>
          <w:lang w:val="en-GB"/>
        </w:rPr>
        <w:t xml:space="preserve"> countries to the receiving countries during</w:t>
      </w:r>
      <w:r w:rsidR="00D005FE" w:rsidRPr="00E82E1F">
        <w:rPr>
          <w:sz w:val="24"/>
          <w:szCs w:val="24"/>
          <w:lang w:val="en-GB"/>
        </w:rPr>
        <w:t xml:space="preserve"> </w:t>
      </w:r>
      <w:r w:rsidR="00B24C89" w:rsidRPr="00E82E1F">
        <w:rPr>
          <w:sz w:val="24"/>
          <w:szCs w:val="24"/>
          <w:lang w:val="en-GB"/>
        </w:rPr>
        <w:t xml:space="preserve">their legal formation </w:t>
      </w:r>
      <w:r w:rsidR="002445CE" w:rsidRPr="00E82E1F">
        <w:rPr>
          <w:sz w:val="24"/>
          <w:szCs w:val="24"/>
          <w:lang w:val="en-GB"/>
        </w:rPr>
        <w:t>periods</w:t>
      </w:r>
      <w:r w:rsidR="00B24C89" w:rsidRPr="00E82E1F">
        <w:rPr>
          <w:sz w:val="24"/>
          <w:szCs w:val="24"/>
          <w:lang w:val="en-GB"/>
        </w:rPr>
        <w:t>.</w:t>
      </w:r>
      <w:r w:rsidR="004C2E0F" w:rsidRPr="00E82E1F">
        <w:rPr>
          <w:rStyle w:val="a6"/>
          <w:sz w:val="24"/>
          <w:szCs w:val="24"/>
          <w:lang w:val="en-GB"/>
        </w:rPr>
        <w:t xml:space="preserve"> </w:t>
      </w:r>
      <w:r w:rsidR="00B8779C">
        <w:rPr>
          <w:rStyle w:val="a6"/>
          <w:sz w:val="24"/>
          <w:szCs w:val="24"/>
          <w:lang w:val="en-GB"/>
        </w:rPr>
        <w:footnoteReference w:id="17"/>
      </w:r>
      <w:r w:rsidR="00B24C89" w:rsidRPr="00E82E1F">
        <w:rPr>
          <w:sz w:val="24"/>
          <w:szCs w:val="24"/>
          <w:lang w:val="en-GB"/>
        </w:rPr>
        <w:t xml:space="preserve"> These authors</w:t>
      </w:r>
      <w:r w:rsidR="00D005FE" w:rsidRPr="00E82E1F">
        <w:rPr>
          <w:sz w:val="24"/>
          <w:szCs w:val="24"/>
          <w:lang w:val="en-GB"/>
        </w:rPr>
        <w:t xml:space="preserve"> </w:t>
      </w:r>
      <w:r w:rsidR="00B24C89" w:rsidRPr="00E82E1F">
        <w:rPr>
          <w:sz w:val="24"/>
          <w:szCs w:val="24"/>
          <w:lang w:val="en-GB"/>
        </w:rPr>
        <w:t>argue that</w:t>
      </w:r>
      <w:r w:rsidR="008A1592" w:rsidRPr="00E82E1F">
        <w:rPr>
          <w:sz w:val="24"/>
          <w:szCs w:val="24"/>
          <w:lang w:val="en-GB"/>
        </w:rPr>
        <w:t xml:space="preserve"> </w:t>
      </w:r>
      <w:r w:rsidR="00D005FE" w:rsidRPr="00E82E1F">
        <w:rPr>
          <w:sz w:val="24"/>
          <w:szCs w:val="24"/>
          <w:lang w:val="en-GB"/>
        </w:rPr>
        <w:t xml:space="preserve">the origin countries </w:t>
      </w:r>
      <w:r w:rsidR="000D33CF" w:rsidRPr="00E82E1F">
        <w:rPr>
          <w:sz w:val="24"/>
          <w:szCs w:val="24"/>
          <w:lang w:val="en-GB"/>
        </w:rPr>
        <w:t xml:space="preserve">(ORIGIN) </w:t>
      </w:r>
      <w:r w:rsidR="00D005FE" w:rsidRPr="00E82E1F">
        <w:rPr>
          <w:sz w:val="24"/>
          <w:szCs w:val="24"/>
          <w:lang w:val="en-GB"/>
        </w:rPr>
        <w:t>should be distinguished from the tr</w:t>
      </w:r>
      <w:r w:rsidR="008A1592" w:rsidRPr="00E82E1F">
        <w:rPr>
          <w:sz w:val="24"/>
          <w:szCs w:val="24"/>
          <w:lang w:val="en-GB"/>
        </w:rPr>
        <w:t xml:space="preserve">ansplanted </w:t>
      </w:r>
      <w:r w:rsidR="00D94D13" w:rsidRPr="00E82E1F">
        <w:rPr>
          <w:sz w:val="24"/>
          <w:szCs w:val="24"/>
          <w:lang w:val="en-GB"/>
        </w:rPr>
        <w:t>countries</w:t>
      </w:r>
      <w:r w:rsidR="000D33CF" w:rsidRPr="00E82E1F">
        <w:rPr>
          <w:sz w:val="24"/>
          <w:szCs w:val="24"/>
          <w:lang w:val="en-GB"/>
        </w:rPr>
        <w:t xml:space="preserve">, which </w:t>
      </w:r>
      <w:r w:rsidR="008A1592" w:rsidRPr="00E82E1F">
        <w:rPr>
          <w:sz w:val="24"/>
          <w:szCs w:val="24"/>
          <w:lang w:val="en-GB"/>
        </w:rPr>
        <w:t xml:space="preserve">could be further divided into receptive </w:t>
      </w:r>
      <w:r w:rsidRPr="00E82E1F">
        <w:rPr>
          <w:sz w:val="24"/>
          <w:szCs w:val="24"/>
          <w:lang w:val="en-GB"/>
        </w:rPr>
        <w:t>countries</w:t>
      </w:r>
      <w:r w:rsidR="00A865F4" w:rsidRPr="00E82E1F">
        <w:rPr>
          <w:sz w:val="24"/>
          <w:szCs w:val="24"/>
          <w:lang w:val="en-GB"/>
        </w:rPr>
        <w:t xml:space="preserve"> </w:t>
      </w:r>
      <w:r w:rsidR="008A1592" w:rsidRPr="00E82E1F">
        <w:rPr>
          <w:sz w:val="24"/>
          <w:szCs w:val="24"/>
          <w:lang w:val="en-GB"/>
        </w:rPr>
        <w:t xml:space="preserve">if </w:t>
      </w:r>
      <w:r w:rsidR="00D005FE" w:rsidRPr="00E82E1F">
        <w:rPr>
          <w:sz w:val="24"/>
          <w:szCs w:val="24"/>
          <w:lang w:val="en-GB"/>
        </w:rPr>
        <w:t>they</w:t>
      </w:r>
      <w:r w:rsidR="008A1592" w:rsidRPr="00E82E1F">
        <w:rPr>
          <w:sz w:val="24"/>
          <w:szCs w:val="24"/>
          <w:lang w:val="en-GB"/>
        </w:rPr>
        <w:t xml:space="preserve"> either</w:t>
      </w:r>
      <w:r w:rsidR="00D005FE" w:rsidRPr="00E82E1F">
        <w:rPr>
          <w:sz w:val="24"/>
          <w:szCs w:val="24"/>
          <w:lang w:val="en-GB"/>
        </w:rPr>
        <w:t xml:space="preserve"> </w:t>
      </w:r>
      <w:r w:rsidR="00B24C89" w:rsidRPr="00E82E1F">
        <w:rPr>
          <w:sz w:val="24"/>
          <w:szCs w:val="24"/>
          <w:lang w:val="en-GB"/>
        </w:rPr>
        <w:t>adapted the trans</w:t>
      </w:r>
      <w:r w:rsidR="008A1592" w:rsidRPr="00E82E1F">
        <w:rPr>
          <w:sz w:val="24"/>
          <w:szCs w:val="24"/>
          <w:lang w:val="en-GB"/>
        </w:rPr>
        <w:t>planted law to local conditions</w:t>
      </w:r>
      <w:r w:rsidR="00B24C89" w:rsidRPr="00E82E1F">
        <w:rPr>
          <w:sz w:val="24"/>
          <w:szCs w:val="24"/>
          <w:lang w:val="en-GB"/>
        </w:rPr>
        <w:t xml:space="preserve"> or had a population that was already familiar with </w:t>
      </w:r>
      <w:r w:rsidRPr="00E82E1F">
        <w:rPr>
          <w:sz w:val="24"/>
          <w:szCs w:val="24"/>
          <w:lang w:val="en-GB"/>
        </w:rPr>
        <w:t xml:space="preserve">the </w:t>
      </w:r>
      <w:r w:rsidR="00B24C89" w:rsidRPr="00E82E1F">
        <w:rPr>
          <w:sz w:val="24"/>
          <w:szCs w:val="24"/>
          <w:lang w:val="en-GB"/>
        </w:rPr>
        <w:t>basic principles of the tran</w:t>
      </w:r>
      <w:r w:rsidR="008A1592" w:rsidRPr="00E82E1F">
        <w:rPr>
          <w:sz w:val="24"/>
          <w:szCs w:val="24"/>
          <w:lang w:val="en-GB"/>
        </w:rPr>
        <w:t xml:space="preserve">splanted law </w:t>
      </w:r>
      <w:r w:rsidR="00636C2E" w:rsidRPr="00E82E1F">
        <w:rPr>
          <w:sz w:val="24"/>
          <w:szCs w:val="24"/>
          <w:lang w:val="en-GB"/>
        </w:rPr>
        <w:t xml:space="preserve">or </w:t>
      </w:r>
      <w:r w:rsidR="008A1592" w:rsidRPr="00E82E1F">
        <w:rPr>
          <w:sz w:val="24"/>
          <w:szCs w:val="24"/>
          <w:lang w:val="en-GB"/>
        </w:rPr>
        <w:t xml:space="preserve">unreceptive </w:t>
      </w:r>
      <w:r w:rsidR="00DD7159" w:rsidRPr="00E82E1F">
        <w:rPr>
          <w:sz w:val="24"/>
          <w:szCs w:val="24"/>
          <w:lang w:val="en-GB"/>
        </w:rPr>
        <w:t>countries</w:t>
      </w:r>
      <w:r w:rsidR="008A1592" w:rsidRPr="00E82E1F">
        <w:rPr>
          <w:sz w:val="24"/>
          <w:szCs w:val="24"/>
          <w:lang w:val="en-GB"/>
        </w:rPr>
        <w:t xml:space="preserve"> if they received the law </w:t>
      </w:r>
      <w:r w:rsidRPr="00E82E1F">
        <w:rPr>
          <w:sz w:val="24"/>
          <w:szCs w:val="24"/>
          <w:lang w:val="en-GB"/>
        </w:rPr>
        <w:t>with no</w:t>
      </w:r>
      <w:r w:rsidR="008A1592" w:rsidRPr="00E82E1F">
        <w:rPr>
          <w:sz w:val="24"/>
          <w:szCs w:val="24"/>
          <w:lang w:val="en-GB"/>
        </w:rPr>
        <w:t xml:space="preserve"> similar pre</w:t>
      </w:r>
      <w:bookmarkStart w:id="60" w:name="OLE_LINK3"/>
      <w:bookmarkStart w:id="61" w:name="OLE_LINK4"/>
      <w:r w:rsidR="008A1592" w:rsidRPr="00E82E1F">
        <w:rPr>
          <w:sz w:val="24"/>
          <w:szCs w:val="24"/>
          <w:lang w:val="en-GB"/>
        </w:rPr>
        <w:t>dispositions</w:t>
      </w:r>
      <w:bookmarkEnd w:id="60"/>
      <w:bookmarkEnd w:id="61"/>
      <w:r w:rsidR="008A1592" w:rsidRPr="00E82E1F">
        <w:rPr>
          <w:sz w:val="24"/>
          <w:szCs w:val="24"/>
          <w:lang w:val="en-GB"/>
        </w:rPr>
        <w:t>. The transplanting process is proven to have a strong indirect (rather than direct) effect on economic development via its impact on legality</w:t>
      </w:r>
      <w:r w:rsidR="00B8779C">
        <w:rPr>
          <w:rStyle w:val="a6"/>
          <w:sz w:val="24"/>
          <w:szCs w:val="24"/>
          <w:lang w:val="en-GB"/>
        </w:rPr>
        <w:footnoteReference w:id="18"/>
      </w:r>
      <w:r w:rsidR="008A1592" w:rsidRPr="00E82E1F">
        <w:rPr>
          <w:sz w:val="24"/>
          <w:szCs w:val="24"/>
          <w:lang w:val="en-GB"/>
        </w:rPr>
        <w:t>.</w:t>
      </w:r>
    </w:p>
    <w:p w:rsidR="00FB71F6" w:rsidRPr="00E82E1F" w:rsidRDefault="00FB71F6" w:rsidP="00510ED6">
      <w:pPr>
        <w:spacing w:beforeLines="100"/>
        <w:mirrorIndents/>
        <w:rPr>
          <w:sz w:val="24"/>
          <w:szCs w:val="24"/>
          <w:lang w:val="en-GB"/>
        </w:rPr>
      </w:pPr>
      <w:r w:rsidRPr="00E82E1F">
        <w:rPr>
          <w:sz w:val="24"/>
          <w:szCs w:val="24"/>
          <w:lang w:val="en-GB"/>
        </w:rPr>
        <w:t>2.2.2</w:t>
      </w:r>
      <w:r w:rsidR="00425B0F" w:rsidRPr="00E82E1F">
        <w:rPr>
          <w:sz w:val="24"/>
          <w:szCs w:val="24"/>
          <w:lang w:val="en-GB"/>
        </w:rPr>
        <w:t>.</w:t>
      </w:r>
      <w:r w:rsidRPr="00E82E1F">
        <w:rPr>
          <w:sz w:val="24"/>
          <w:szCs w:val="24"/>
          <w:lang w:val="en-GB"/>
        </w:rPr>
        <w:t xml:space="preserve"> Culture </w:t>
      </w:r>
    </w:p>
    <w:p w:rsidR="00667F32" w:rsidRPr="00E82E1F" w:rsidRDefault="00F6275F" w:rsidP="00510ED6">
      <w:pPr>
        <w:spacing w:beforeLines="100"/>
        <w:mirrorIndents/>
        <w:rPr>
          <w:sz w:val="24"/>
          <w:szCs w:val="24"/>
          <w:lang w:val="en-GB"/>
        </w:rPr>
      </w:pPr>
      <w:proofErr w:type="spellStart"/>
      <w:r w:rsidRPr="00E82E1F">
        <w:rPr>
          <w:sz w:val="24"/>
          <w:szCs w:val="24"/>
          <w:lang w:val="en-GB"/>
        </w:rPr>
        <w:t>Guiso</w:t>
      </w:r>
      <w:proofErr w:type="spellEnd"/>
      <w:r w:rsidRPr="00E82E1F">
        <w:rPr>
          <w:sz w:val="24"/>
          <w:szCs w:val="24"/>
          <w:lang w:val="en-GB"/>
        </w:rPr>
        <w:t xml:space="preserve">, </w:t>
      </w:r>
      <w:proofErr w:type="spellStart"/>
      <w:r w:rsidRPr="00E82E1F">
        <w:rPr>
          <w:sz w:val="24"/>
          <w:szCs w:val="24"/>
          <w:lang w:val="en-GB"/>
        </w:rPr>
        <w:t>Sapienza</w:t>
      </w:r>
      <w:proofErr w:type="spellEnd"/>
      <w:r w:rsidRPr="00E82E1F">
        <w:rPr>
          <w:sz w:val="24"/>
          <w:szCs w:val="24"/>
          <w:lang w:val="en-GB"/>
        </w:rPr>
        <w:t xml:space="preserve"> </w:t>
      </w:r>
      <w:r w:rsidR="00766F4D" w:rsidRPr="00E82E1F">
        <w:rPr>
          <w:sz w:val="24"/>
          <w:szCs w:val="24"/>
          <w:lang w:val="en-GB"/>
        </w:rPr>
        <w:t>and</w:t>
      </w:r>
      <w:r w:rsidRPr="00E82E1F">
        <w:rPr>
          <w:sz w:val="24"/>
          <w:szCs w:val="24"/>
          <w:lang w:val="en-GB"/>
        </w:rPr>
        <w:t xml:space="preserve"> </w:t>
      </w:r>
      <w:proofErr w:type="spellStart"/>
      <w:r w:rsidRPr="00E82E1F">
        <w:rPr>
          <w:sz w:val="24"/>
          <w:szCs w:val="24"/>
          <w:lang w:val="en-GB"/>
        </w:rPr>
        <w:t>Zingales</w:t>
      </w:r>
      <w:proofErr w:type="spellEnd"/>
      <w:r w:rsidRPr="00E82E1F">
        <w:rPr>
          <w:sz w:val="24"/>
          <w:szCs w:val="24"/>
          <w:lang w:val="en-GB"/>
        </w:rPr>
        <w:t xml:space="preserve"> </w:t>
      </w:r>
      <w:r w:rsidR="00C50E43" w:rsidRPr="00E82E1F">
        <w:rPr>
          <w:sz w:val="24"/>
          <w:szCs w:val="24"/>
          <w:lang w:val="en-GB"/>
        </w:rPr>
        <w:t xml:space="preserve">(2006) advance a theoretical proposition that culture determines economic outcomes through shaping </w:t>
      </w:r>
      <w:r w:rsidR="00766F4D" w:rsidRPr="00E82E1F">
        <w:rPr>
          <w:sz w:val="24"/>
          <w:szCs w:val="24"/>
          <w:lang w:val="en-GB"/>
        </w:rPr>
        <w:t xml:space="preserve">expectations </w:t>
      </w:r>
      <w:r w:rsidR="00C50E43" w:rsidRPr="00E82E1F">
        <w:rPr>
          <w:sz w:val="24"/>
          <w:szCs w:val="24"/>
          <w:lang w:val="en-GB"/>
        </w:rPr>
        <w:t xml:space="preserve">and </w:t>
      </w:r>
      <w:r w:rsidR="00766F4D" w:rsidRPr="00E82E1F">
        <w:rPr>
          <w:sz w:val="24"/>
          <w:szCs w:val="24"/>
          <w:lang w:val="en-GB"/>
        </w:rPr>
        <w:t>preferences</w:t>
      </w:r>
      <w:r w:rsidR="00C50E43" w:rsidRPr="00E82E1F">
        <w:rPr>
          <w:sz w:val="24"/>
          <w:szCs w:val="24"/>
          <w:lang w:val="en-GB"/>
        </w:rPr>
        <w:t>, which influence the level of social trust. One of the</w:t>
      </w:r>
      <w:r w:rsidR="00FB71F6" w:rsidRPr="00E82E1F">
        <w:rPr>
          <w:sz w:val="24"/>
          <w:szCs w:val="24"/>
          <w:lang w:val="en-GB"/>
        </w:rPr>
        <w:t xml:space="preserve"> most</w:t>
      </w:r>
      <w:r w:rsidR="0034449E" w:rsidRPr="00E82E1F">
        <w:rPr>
          <w:sz w:val="24"/>
          <w:szCs w:val="24"/>
          <w:lang w:val="en-GB"/>
        </w:rPr>
        <w:t xml:space="preserve"> prominent and established </w:t>
      </w:r>
      <w:r w:rsidR="00766F4D" w:rsidRPr="00E82E1F">
        <w:rPr>
          <w:sz w:val="24"/>
          <w:szCs w:val="24"/>
          <w:lang w:val="en-GB"/>
        </w:rPr>
        <w:t>findings</w:t>
      </w:r>
      <w:r w:rsidR="00FA50D0" w:rsidRPr="00E82E1F">
        <w:rPr>
          <w:sz w:val="24"/>
          <w:szCs w:val="24"/>
          <w:lang w:val="en-GB"/>
        </w:rPr>
        <w:t xml:space="preserve"> that supports</w:t>
      </w:r>
      <w:r w:rsidR="00FB71F6" w:rsidRPr="00E82E1F">
        <w:rPr>
          <w:sz w:val="24"/>
          <w:szCs w:val="24"/>
          <w:lang w:val="en-GB"/>
        </w:rPr>
        <w:t xml:space="preserve"> the role of cul</w:t>
      </w:r>
      <w:r w:rsidR="00667F32" w:rsidRPr="00E82E1F">
        <w:rPr>
          <w:sz w:val="24"/>
          <w:szCs w:val="24"/>
          <w:lang w:val="en-GB"/>
        </w:rPr>
        <w:t>ture in facilita</w:t>
      </w:r>
      <w:r w:rsidR="0050117C" w:rsidRPr="00E82E1F">
        <w:rPr>
          <w:sz w:val="24"/>
          <w:szCs w:val="24"/>
          <w:lang w:val="en-GB"/>
        </w:rPr>
        <w:t xml:space="preserve">ting </w:t>
      </w:r>
      <w:r w:rsidR="00FA50D0" w:rsidRPr="00E82E1F">
        <w:rPr>
          <w:sz w:val="24"/>
          <w:szCs w:val="24"/>
          <w:lang w:val="en-GB"/>
        </w:rPr>
        <w:t xml:space="preserve">securities market </w:t>
      </w:r>
      <w:r w:rsidR="0050117C" w:rsidRPr="00E82E1F">
        <w:rPr>
          <w:sz w:val="24"/>
          <w:szCs w:val="24"/>
          <w:lang w:val="en-GB"/>
        </w:rPr>
        <w:t xml:space="preserve">development </w:t>
      </w:r>
      <w:r w:rsidR="00FB71F6" w:rsidRPr="00E82E1F">
        <w:rPr>
          <w:sz w:val="24"/>
          <w:szCs w:val="24"/>
          <w:lang w:val="en-GB"/>
        </w:rPr>
        <w:t>is that charging interest can be a sin in one religion but not in another (</w:t>
      </w:r>
      <w:proofErr w:type="spellStart"/>
      <w:r w:rsidR="00FB71F6" w:rsidRPr="00E82E1F">
        <w:rPr>
          <w:sz w:val="24"/>
          <w:szCs w:val="24"/>
          <w:lang w:val="en-GB"/>
        </w:rPr>
        <w:t>Stulz</w:t>
      </w:r>
      <w:proofErr w:type="spellEnd"/>
      <w:r w:rsidR="00FB71F6" w:rsidRPr="00E82E1F">
        <w:rPr>
          <w:sz w:val="24"/>
          <w:szCs w:val="24"/>
          <w:lang w:val="en-GB"/>
        </w:rPr>
        <w:t xml:space="preserve"> </w:t>
      </w:r>
      <w:r w:rsidR="00EE0A03" w:rsidRPr="00E82E1F">
        <w:rPr>
          <w:sz w:val="24"/>
          <w:szCs w:val="24"/>
          <w:lang w:val="en-GB"/>
        </w:rPr>
        <w:t>and</w:t>
      </w:r>
      <w:r w:rsidR="00FB71F6" w:rsidRPr="00E82E1F">
        <w:rPr>
          <w:sz w:val="24"/>
          <w:szCs w:val="24"/>
          <w:lang w:val="en-GB"/>
        </w:rPr>
        <w:t xml:space="preserve"> Williamson, 2003). </w:t>
      </w:r>
      <w:proofErr w:type="spellStart"/>
      <w:r w:rsidR="00667F32" w:rsidRPr="00E82E1F">
        <w:rPr>
          <w:sz w:val="24"/>
          <w:szCs w:val="24"/>
          <w:lang w:val="en-GB"/>
        </w:rPr>
        <w:t>Stulz</w:t>
      </w:r>
      <w:proofErr w:type="spellEnd"/>
      <w:r w:rsidR="00667F32" w:rsidRPr="00E82E1F">
        <w:rPr>
          <w:sz w:val="24"/>
          <w:szCs w:val="24"/>
          <w:lang w:val="en-GB"/>
        </w:rPr>
        <w:t xml:space="preserve"> </w:t>
      </w:r>
      <w:r w:rsidR="00FA50D0" w:rsidRPr="00E82E1F">
        <w:rPr>
          <w:sz w:val="24"/>
          <w:szCs w:val="24"/>
          <w:lang w:val="en-GB"/>
        </w:rPr>
        <w:t>and</w:t>
      </w:r>
      <w:r w:rsidR="00667F32" w:rsidRPr="00E82E1F">
        <w:rPr>
          <w:sz w:val="24"/>
          <w:szCs w:val="24"/>
          <w:lang w:val="en-GB"/>
        </w:rPr>
        <w:t xml:space="preserve"> Williamson</w:t>
      </w:r>
      <w:r w:rsidR="00FB71F6" w:rsidRPr="00E82E1F">
        <w:rPr>
          <w:sz w:val="24"/>
          <w:szCs w:val="24"/>
          <w:lang w:val="en-GB"/>
        </w:rPr>
        <w:t xml:space="preserve"> empirically investigate the role of religion </w:t>
      </w:r>
      <w:r w:rsidR="00667F32" w:rsidRPr="00E82E1F">
        <w:rPr>
          <w:sz w:val="24"/>
          <w:szCs w:val="24"/>
          <w:lang w:val="en-GB"/>
        </w:rPr>
        <w:t>in determining</w:t>
      </w:r>
      <w:r w:rsidR="00FB71F6" w:rsidRPr="00E82E1F">
        <w:rPr>
          <w:sz w:val="24"/>
          <w:szCs w:val="24"/>
          <w:lang w:val="en-GB"/>
        </w:rPr>
        <w:t xml:space="preserve"> various financial outcomes and find that Catholic countries</w:t>
      </w:r>
      <w:r w:rsidR="007921CA" w:rsidRPr="00E82E1F">
        <w:rPr>
          <w:sz w:val="24"/>
          <w:szCs w:val="24"/>
          <w:lang w:val="en-GB"/>
        </w:rPr>
        <w:t xml:space="preserve"> (CATHOLIC)</w:t>
      </w:r>
      <w:r w:rsidR="00FB71F6" w:rsidRPr="00E82E1F">
        <w:rPr>
          <w:sz w:val="24"/>
          <w:szCs w:val="24"/>
          <w:lang w:val="en-GB"/>
        </w:rPr>
        <w:t xml:space="preserve"> have smaller banking </w:t>
      </w:r>
      <w:r w:rsidR="00FA50D0" w:rsidRPr="00E82E1F">
        <w:rPr>
          <w:sz w:val="24"/>
          <w:szCs w:val="24"/>
          <w:lang w:val="en-GB"/>
        </w:rPr>
        <w:t xml:space="preserve">sectors </w:t>
      </w:r>
      <w:r w:rsidR="00FB71F6" w:rsidRPr="00E82E1F">
        <w:rPr>
          <w:sz w:val="24"/>
          <w:szCs w:val="24"/>
          <w:lang w:val="en-GB"/>
        </w:rPr>
        <w:t xml:space="preserve">relative to GDP than </w:t>
      </w:r>
      <w:r w:rsidR="00FA50D0" w:rsidRPr="00E82E1F">
        <w:rPr>
          <w:sz w:val="24"/>
          <w:szCs w:val="24"/>
          <w:lang w:val="en-GB"/>
        </w:rPr>
        <w:t xml:space="preserve">those </w:t>
      </w:r>
      <w:r w:rsidR="00FB71F6" w:rsidRPr="00E82E1F">
        <w:rPr>
          <w:sz w:val="24"/>
          <w:szCs w:val="24"/>
          <w:lang w:val="en-GB"/>
        </w:rPr>
        <w:t xml:space="preserve">of Protestant </w:t>
      </w:r>
      <w:r w:rsidR="00FA50D0" w:rsidRPr="00E82E1F">
        <w:rPr>
          <w:sz w:val="24"/>
          <w:szCs w:val="24"/>
          <w:lang w:val="en-GB"/>
        </w:rPr>
        <w:t>nations</w:t>
      </w:r>
      <w:r w:rsidR="007921CA" w:rsidRPr="00E82E1F">
        <w:rPr>
          <w:sz w:val="24"/>
          <w:szCs w:val="24"/>
          <w:lang w:val="en-GB"/>
        </w:rPr>
        <w:t xml:space="preserve"> (PROTESTANT)</w:t>
      </w:r>
      <w:r w:rsidR="00FB71F6" w:rsidRPr="00E82E1F">
        <w:rPr>
          <w:sz w:val="24"/>
          <w:szCs w:val="24"/>
          <w:lang w:val="en-GB"/>
        </w:rPr>
        <w:t xml:space="preserve">. </w:t>
      </w:r>
    </w:p>
    <w:p w:rsidR="00FB71F6" w:rsidRPr="00E82E1F" w:rsidRDefault="00667F32" w:rsidP="00510ED6">
      <w:pPr>
        <w:spacing w:beforeLines="100"/>
        <w:mirrorIndents/>
        <w:rPr>
          <w:sz w:val="24"/>
          <w:szCs w:val="24"/>
          <w:lang w:val="en-GB"/>
        </w:rPr>
      </w:pPr>
      <w:r w:rsidRPr="00E82E1F">
        <w:rPr>
          <w:sz w:val="24"/>
          <w:szCs w:val="24"/>
          <w:lang w:val="en-GB"/>
        </w:rPr>
        <w:t xml:space="preserve">In addition to religion, </w:t>
      </w:r>
      <w:r w:rsidR="00B371A9" w:rsidRPr="00E82E1F">
        <w:rPr>
          <w:sz w:val="24"/>
          <w:szCs w:val="24"/>
          <w:lang w:val="en-GB"/>
        </w:rPr>
        <w:t xml:space="preserve">public opinion </w:t>
      </w:r>
      <w:r w:rsidRPr="00E82E1F">
        <w:rPr>
          <w:sz w:val="24"/>
          <w:szCs w:val="24"/>
          <w:lang w:val="en-GB"/>
        </w:rPr>
        <w:t xml:space="preserve">also </w:t>
      </w:r>
      <w:r w:rsidR="00FA50D0" w:rsidRPr="00E82E1F">
        <w:rPr>
          <w:sz w:val="24"/>
          <w:szCs w:val="24"/>
          <w:lang w:val="en-GB"/>
        </w:rPr>
        <w:t xml:space="preserve">functions </w:t>
      </w:r>
      <w:r w:rsidR="00BD5350" w:rsidRPr="00E82E1F">
        <w:rPr>
          <w:sz w:val="24"/>
          <w:szCs w:val="24"/>
          <w:lang w:val="en-GB"/>
        </w:rPr>
        <w:t xml:space="preserve">to curb </w:t>
      </w:r>
      <w:r w:rsidR="00636C2E" w:rsidRPr="00E82E1F">
        <w:rPr>
          <w:sz w:val="24"/>
          <w:szCs w:val="24"/>
          <w:lang w:val="en-GB"/>
        </w:rPr>
        <w:t xml:space="preserve">the </w:t>
      </w:r>
      <w:r w:rsidR="00BD5350" w:rsidRPr="00E82E1F">
        <w:rPr>
          <w:sz w:val="24"/>
          <w:szCs w:val="24"/>
          <w:lang w:val="en-GB"/>
        </w:rPr>
        <w:t xml:space="preserve">private benefits of </w:t>
      </w:r>
      <w:r w:rsidR="00BD5350" w:rsidRPr="00E82E1F">
        <w:rPr>
          <w:sz w:val="24"/>
          <w:szCs w:val="24"/>
          <w:lang w:val="en-GB"/>
        </w:rPr>
        <w:lastRenderedPageBreak/>
        <w:t>insiders</w:t>
      </w:r>
      <w:r w:rsidR="0050117C" w:rsidRPr="00E82E1F">
        <w:rPr>
          <w:sz w:val="24"/>
          <w:szCs w:val="24"/>
          <w:lang w:val="en-GB"/>
        </w:rPr>
        <w:t xml:space="preserve"> that</w:t>
      </w:r>
      <w:r w:rsidR="00D62AE1" w:rsidRPr="00E82E1F">
        <w:rPr>
          <w:sz w:val="24"/>
          <w:szCs w:val="24"/>
          <w:lang w:val="en-GB"/>
        </w:rPr>
        <w:t xml:space="preserve"> negatively affect stock market</w:t>
      </w:r>
      <w:r w:rsidR="00FA50D0" w:rsidRPr="00E82E1F">
        <w:rPr>
          <w:sz w:val="24"/>
          <w:szCs w:val="24"/>
          <w:lang w:val="en-GB"/>
        </w:rPr>
        <w:t xml:space="preserve"> development</w:t>
      </w:r>
      <w:r w:rsidR="00E11136" w:rsidRPr="00E82E1F">
        <w:rPr>
          <w:sz w:val="24"/>
          <w:szCs w:val="24"/>
          <w:lang w:val="en-GB"/>
        </w:rPr>
        <w:t xml:space="preserve"> (</w:t>
      </w:r>
      <w:proofErr w:type="spellStart"/>
      <w:r w:rsidR="00E11136" w:rsidRPr="00E82E1F">
        <w:rPr>
          <w:sz w:val="24"/>
          <w:szCs w:val="24"/>
          <w:lang w:val="en-GB"/>
        </w:rPr>
        <w:t>Dyck</w:t>
      </w:r>
      <w:proofErr w:type="spellEnd"/>
      <w:r w:rsidR="00E11136" w:rsidRPr="00E82E1F">
        <w:rPr>
          <w:sz w:val="24"/>
          <w:szCs w:val="24"/>
          <w:lang w:val="en-GB"/>
        </w:rPr>
        <w:t xml:space="preserve"> </w:t>
      </w:r>
      <w:r w:rsidR="00EE0A03" w:rsidRPr="00E82E1F">
        <w:rPr>
          <w:sz w:val="24"/>
          <w:szCs w:val="24"/>
          <w:lang w:val="en-GB"/>
        </w:rPr>
        <w:t>and</w:t>
      </w:r>
      <w:r w:rsidR="00E11136" w:rsidRPr="00E82E1F">
        <w:rPr>
          <w:sz w:val="24"/>
          <w:szCs w:val="24"/>
          <w:lang w:val="en-GB"/>
        </w:rPr>
        <w:t xml:space="preserve"> </w:t>
      </w:r>
      <w:proofErr w:type="spellStart"/>
      <w:r w:rsidR="00E11136" w:rsidRPr="00E82E1F">
        <w:rPr>
          <w:sz w:val="24"/>
          <w:szCs w:val="24"/>
          <w:lang w:val="en-GB"/>
        </w:rPr>
        <w:t>Zingales</w:t>
      </w:r>
      <w:proofErr w:type="spellEnd"/>
      <w:r w:rsidR="00E11136" w:rsidRPr="00E82E1F">
        <w:rPr>
          <w:sz w:val="24"/>
          <w:szCs w:val="24"/>
          <w:lang w:val="en-GB"/>
        </w:rPr>
        <w:t>, 2004)</w:t>
      </w:r>
      <w:r w:rsidR="00BD5350" w:rsidRPr="00E82E1F">
        <w:rPr>
          <w:sz w:val="24"/>
          <w:szCs w:val="24"/>
          <w:lang w:val="en-GB"/>
        </w:rPr>
        <w:t xml:space="preserve">. </w:t>
      </w:r>
      <w:r w:rsidR="00FA50D0" w:rsidRPr="00E82E1F">
        <w:rPr>
          <w:sz w:val="24"/>
          <w:szCs w:val="24"/>
          <w:lang w:val="en-GB"/>
        </w:rPr>
        <w:t xml:space="preserve">Negative </w:t>
      </w:r>
      <w:r w:rsidR="000D4F1C" w:rsidRPr="00E82E1F">
        <w:rPr>
          <w:sz w:val="24"/>
          <w:szCs w:val="24"/>
          <w:lang w:val="en-GB"/>
        </w:rPr>
        <w:t>public opinion</w:t>
      </w:r>
      <w:r w:rsidR="00FA50D0" w:rsidRPr="00E82E1F">
        <w:rPr>
          <w:sz w:val="24"/>
          <w:szCs w:val="24"/>
          <w:lang w:val="en-GB"/>
        </w:rPr>
        <w:t xml:space="preserve"> creates</w:t>
      </w:r>
      <w:r w:rsidR="00B371A9" w:rsidRPr="00E82E1F">
        <w:rPr>
          <w:sz w:val="24"/>
          <w:szCs w:val="24"/>
          <w:lang w:val="en-GB"/>
        </w:rPr>
        <w:t xml:space="preserve"> reputational sanctions for corporate scandal</w:t>
      </w:r>
      <w:r w:rsidR="000D4F1C" w:rsidRPr="00E82E1F">
        <w:rPr>
          <w:sz w:val="24"/>
          <w:szCs w:val="24"/>
          <w:lang w:val="en-GB"/>
        </w:rPr>
        <w:t>s</w:t>
      </w:r>
      <w:r w:rsidR="00B371A9" w:rsidRPr="00E82E1F">
        <w:rPr>
          <w:sz w:val="24"/>
          <w:szCs w:val="24"/>
          <w:lang w:val="en-GB"/>
        </w:rPr>
        <w:t>,</w:t>
      </w:r>
      <w:r w:rsidR="00C1276F" w:rsidRPr="00E82E1F">
        <w:rPr>
          <w:sz w:val="24"/>
          <w:szCs w:val="24"/>
          <w:lang w:val="en-GB"/>
        </w:rPr>
        <w:t xml:space="preserve"> the effectiveness</w:t>
      </w:r>
      <w:r w:rsidR="000D4F1C" w:rsidRPr="00E82E1F">
        <w:rPr>
          <w:sz w:val="24"/>
          <w:szCs w:val="24"/>
          <w:lang w:val="en-GB"/>
        </w:rPr>
        <w:t xml:space="preserve"> of which depend</w:t>
      </w:r>
      <w:r w:rsidR="00CF5DDA" w:rsidRPr="00E82E1F">
        <w:rPr>
          <w:sz w:val="24"/>
          <w:szCs w:val="24"/>
          <w:lang w:val="en-GB"/>
        </w:rPr>
        <w:t>s</w:t>
      </w:r>
      <w:r w:rsidR="000D4F1C" w:rsidRPr="00E82E1F">
        <w:rPr>
          <w:sz w:val="24"/>
          <w:szCs w:val="24"/>
          <w:lang w:val="en-GB"/>
        </w:rPr>
        <w:t xml:space="preserve"> on the existence of</w:t>
      </w:r>
      <w:r w:rsidR="00B371A9" w:rsidRPr="00E82E1F">
        <w:rPr>
          <w:sz w:val="24"/>
          <w:szCs w:val="24"/>
          <w:lang w:val="en-GB"/>
        </w:rPr>
        <w:t xml:space="preserve"> a large set of educated investors</w:t>
      </w:r>
      <w:r w:rsidR="00E11136" w:rsidRPr="00E82E1F">
        <w:rPr>
          <w:sz w:val="24"/>
          <w:szCs w:val="24"/>
          <w:lang w:val="en-GB"/>
        </w:rPr>
        <w:t xml:space="preserve"> </w:t>
      </w:r>
      <w:r w:rsidR="00FA50D0" w:rsidRPr="00E82E1F">
        <w:rPr>
          <w:sz w:val="24"/>
          <w:szCs w:val="24"/>
          <w:lang w:val="en-GB"/>
        </w:rPr>
        <w:t>who read</w:t>
      </w:r>
      <w:r w:rsidR="00E11136" w:rsidRPr="00E82E1F">
        <w:rPr>
          <w:sz w:val="24"/>
          <w:szCs w:val="24"/>
          <w:lang w:val="en-GB"/>
        </w:rPr>
        <w:t xml:space="preserve"> the newspaper and </w:t>
      </w:r>
      <w:r w:rsidR="00CF5DDA" w:rsidRPr="00E82E1F">
        <w:rPr>
          <w:sz w:val="24"/>
          <w:szCs w:val="24"/>
          <w:lang w:val="en-GB"/>
        </w:rPr>
        <w:t xml:space="preserve">an </w:t>
      </w:r>
      <w:r w:rsidR="00E11136" w:rsidRPr="00E82E1F">
        <w:rPr>
          <w:sz w:val="24"/>
          <w:szCs w:val="24"/>
          <w:lang w:val="en-GB"/>
        </w:rPr>
        <w:t xml:space="preserve">independent </w:t>
      </w:r>
      <w:r w:rsidR="00FA50D0" w:rsidRPr="00E82E1F">
        <w:rPr>
          <w:sz w:val="24"/>
          <w:szCs w:val="24"/>
          <w:lang w:val="en-GB"/>
        </w:rPr>
        <w:t xml:space="preserve">media </w:t>
      </w:r>
      <w:r w:rsidR="00E11136" w:rsidRPr="00E82E1F">
        <w:rPr>
          <w:sz w:val="24"/>
          <w:szCs w:val="24"/>
          <w:lang w:val="en-GB"/>
        </w:rPr>
        <w:t xml:space="preserve">that </w:t>
      </w:r>
      <w:r w:rsidR="00FA50D0" w:rsidRPr="00E82E1F">
        <w:rPr>
          <w:sz w:val="24"/>
          <w:szCs w:val="24"/>
          <w:lang w:val="en-GB"/>
        </w:rPr>
        <w:t xml:space="preserve">publicizes </w:t>
      </w:r>
      <w:r w:rsidR="00E11136" w:rsidRPr="00E82E1F">
        <w:rPr>
          <w:sz w:val="24"/>
          <w:szCs w:val="24"/>
          <w:lang w:val="en-GB"/>
        </w:rPr>
        <w:t xml:space="preserve">facts, which is </w:t>
      </w:r>
      <w:proofErr w:type="spellStart"/>
      <w:r w:rsidR="000D4F1C" w:rsidRPr="00E82E1F">
        <w:rPr>
          <w:sz w:val="24"/>
          <w:szCs w:val="24"/>
          <w:lang w:val="en-GB"/>
        </w:rPr>
        <w:t>proxied</w:t>
      </w:r>
      <w:proofErr w:type="spellEnd"/>
      <w:r w:rsidR="00E11136" w:rsidRPr="00E82E1F">
        <w:rPr>
          <w:sz w:val="24"/>
          <w:szCs w:val="24"/>
          <w:lang w:val="en-GB"/>
        </w:rPr>
        <w:t xml:space="preserve"> by </w:t>
      </w:r>
      <w:r w:rsidR="00FA50D0" w:rsidRPr="00E82E1F">
        <w:rPr>
          <w:sz w:val="24"/>
          <w:szCs w:val="24"/>
          <w:lang w:val="en-GB"/>
        </w:rPr>
        <w:t xml:space="preserve">newspaper </w:t>
      </w:r>
      <w:r w:rsidR="00E11136" w:rsidRPr="00E82E1F">
        <w:rPr>
          <w:sz w:val="24"/>
          <w:szCs w:val="24"/>
          <w:lang w:val="en-GB"/>
        </w:rPr>
        <w:t>circulation scaled by population</w:t>
      </w:r>
      <w:r w:rsidR="007921CA" w:rsidRPr="00E82E1F">
        <w:rPr>
          <w:sz w:val="24"/>
          <w:szCs w:val="24"/>
          <w:lang w:val="en-GB"/>
        </w:rPr>
        <w:t xml:space="preserve"> (NEWSPAPER)</w:t>
      </w:r>
      <w:r w:rsidR="00E11136" w:rsidRPr="00E82E1F">
        <w:rPr>
          <w:sz w:val="24"/>
          <w:szCs w:val="24"/>
          <w:lang w:val="en-GB"/>
        </w:rPr>
        <w:t>.</w:t>
      </w:r>
    </w:p>
    <w:p w:rsidR="00905E57" w:rsidRPr="00E82E1F" w:rsidRDefault="00A86148" w:rsidP="00510ED6">
      <w:pPr>
        <w:spacing w:beforeLines="100"/>
        <w:mirrorIndents/>
        <w:rPr>
          <w:sz w:val="24"/>
          <w:szCs w:val="24"/>
          <w:lang w:val="en-GB"/>
        </w:rPr>
      </w:pPr>
      <w:r w:rsidRPr="00E82E1F">
        <w:rPr>
          <w:sz w:val="24"/>
          <w:szCs w:val="24"/>
          <w:lang w:val="en-GB"/>
        </w:rPr>
        <w:t>2.2.3</w:t>
      </w:r>
      <w:r w:rsidR="00425B0F" w:rsidRPr="00E82E1F">
        <w:rPr>
          <w:sz w:val="24"/>
          <w:szCs w:val="24"/>
          <w:lang w:val="en-GB"/>
        </w:rPr>
        <w:t>.</w:t>
      </w:r>
      <w:r w:rsidRPr="00E82E1F">
        <w:rPr>
          <w:sz w:val="24"/>
          <w:szCs w:val="24"/>
          <w:lang w:val="en-GB"/>
        </w:rPr>
        <w:t xml:space="preserve"> Politics</w:t>
      </w:r>
    </w:p>
    <w:p w:rsidR="00286E8A" w:rsidRPr="00E82E1F" w:rsidRDefault="00EF3796" w:rsidP="00510ED6">
      <w:pPr>
        <w:spacing w:beforeLines="100"/>
        <w:mirrorIndents/>
        <w:rPr>
          <w:sz w:val="24"/>
          <w:szCs w:val="24"/>
          <w:lang w:val="en-GB"/>
        </w:rPr>
      </w:pPr>
      <w:r w:rsidRPr="00E82E1F">
        <w:rPr>
          <w:sz w:val="24"/>
          <w:szCs w:val="24"/>
          <w:lang w:val="en-GB"/>
        </w:rPr>
        <w:t xml:space="preserve">Recent studies have shown that it is difficult or even impossible for stock markets to thrive in </w:t>
      </w:r>
      <w:r w:rsidR="008104B6" w:rsidRPr="00E82E1F">
        <w:rPr>
          <w:sz w:val="24"/>
          <w:szCs w:val="24"/>
          <w:lang w:val="en-GB"/>
        </w:rPr>
        <w:t>countries</w:t>
      </w:r>
      <w:r w:rsidRPr="00E82E1F">
        <w:rPr>
          <w:sz w:val="24"/>
          <w:szCs w:val="24"/>
          <w:lang w:val="en-GB"/>
        </w:rPr>
        <w:t xml:space="preserve"> in which investors are politically weak and their interests are subordinate to or sacrificed in the interests of other social purposes. Roe (2006) </w:t>
      </w:r>
      <w:r w:rsidR="00B83BF2" w:rsidRPr="00E82E1F">
        <w:rPr>
          <w:sz w:val="24"/>
          <w:szCs w:val="24"/>
          <w:lang w:val="en-GB"/>
        </w:rPr>
        <w:t xml:space="preserve">argues that the </w:t>
      </w:r>
      <w:r w:rsidR="008104B6" w:rsidRPr="00E82E1F">
        <w:rPr>
          <w:sz w:val="24"/>
          <w:szCs w:val="24"/>
          <w:lang w:val="en-GB"/>
        </w:rPr>
        <w:t xml:space="preserve">first-order </w:t>
      </w:r>
      <w:r w:rsidR="00B83BF2" w:rsidRPr="00E82E1F">
        <w:rPr>
          <w:sz w:val="24"/>
          <w:szCs w:val="24"/>
          <w:lang w:val="en-GB"/>
        </w:rPr>
        <w:t xml:space="preserve">condition for capital markets to develop is </w:t>
      </w:r>
      <w:r w:rsidR="00CF5DDA" w:rsidRPr="00E82E1F">
        <w:rPr>
          <w:sz w:val="24"/>
          <w:szCs w:val="24"/>
          <w:lang w:val="en-GB"/>
        </w:rPr>
        <w:t xml:space="preserve">a </w:t>
      </w:r>
      <w:proofErr w:type="spellStart"/>
      <w:r w:rsidR="00B83BF2" w:rsidRPr="00E82E1F">
        <w:rPr>
          <w:sz w:val="24"/>
          <w:szCs w:val="24"/>
          <w:lang w:val="en-GB"/>
        </w:rPr>
        <w:t>polity</w:t>
      </w:r>
      <w:proofErr w:type="spellEnd"/>
      <w:r w:rsidR="00B83BF2" w:rsidRPr="00E82E1F">
        <w:rPr>
          <w:sz w:val="24"/>
          <w:szCs w:val="24"/>
          <w:lang w:val="en-GB"/>
        </w:rPr>
        <w:t xml:space="preserve"> that supports the market. </w:t>
      </w:r>
      <w:r w:rsidR="00C141FB" w:rsidRPr="00E82E1F">
        <w:rPr>
          <w:sz w:val="24"/>
          <w:szCs w:val="24"/>
          <w:lang w:val="en-GB"/>
        </w:rPr>
        <w:t xml:space="preserve">He </w:t>
      </w:r>
      <w:r w:rsidRPr="00E82E1F">
        <w:rPr>
          <w:sz w:val="24"/>
          <w:szCs w:val="24"/>
          <w:lang w:val="en-GB"/>
        </w:rPr>
        <w:t>constructs a “total destruction” variable that combines both economic (the ratio of GDP in 1945 to that in 1913) and military (whether a country was occupied during the World Wars)</w:t>
      </w:r>
      <w:r w:rsidR="008104B6" w:rsidRPr="00E82E1F">
        <w:rPr>
          <w:sz w:val="24"/>
          <w:szCs w:val="24"/>
          <w:lang w:val="en-GB"/>
        </w:rPr>
        <w:t xml:space="preserve"> measures of destruction</w:t>
      </w:r>
      <w:r w:rsidRPr="00E82E1F">
        <w:rPr>
          <w:sz w:val="24"/>
          <w:szCs w:val="24"/>
          <w:lang w:val="en-GB"/>
        </w:rPr>
        <w:t xml:space="preserve"> </w:t>
      </w:r>
      <w:r w:rsidR="00286E8A" w:rsidRPr="00E82E1F">
        <w:rPr>
          <w:sz w:val="24"/>
          <w:szCs w:val="24"/>
          <w:lang w:val="en-GB"/>
        </w:rPr>
        <w:t xml:space="preserve">and </w:t>
      </w:r>
      <w:r w:rsidR="008104B6" w:rsidRPr="00E82E1F">
        <w:rPr>
          <w:sz w:val="24"/>
          <w:szCs w:val="24"/>
          <w:lang w:val="en-GB"/>
        </w:rPr>
        <w:t>contends</w:t>
      </w:r>
      <w:r w:rsidR="00286E8A" w:rsidRPr="00E82E1F">
        <w:rPr>
          <w:sz w:val="24"/>
          <w:szCs w:val="24"/>
          <w:lang w:val="en-GB"/>
        </w:rPr>
        <w:t xml:space="preserve"> that countries where </w:t>
      </w:r>
      <w:r w:rsidR="008104B6" w:rsidRPr="00E82E1F">
        <w:rPr>
          <w:sz w:val="24"/>
          <w:szCs w:val="24"/>
          <w:lang w:val="en-GB"/>
        </w:rPr>
        <w:t xml:space="preserve">voters’ median </w:t>
      </w:r>
      <w:r w:rsidR="00286E8A" w:rsidRPr="00E82E1F">
        <w:rPr>
          <w:sz w:val="24"/>
          <w:szCs w:val="24"/>
          <w:lang w:val="en-GB"/>
        </w:rPr>
        <w:t xml:space="preserve">financial savings </w:t>
      </w:r>
      <w:r w:rsidR="00636C2E" w:rsidRPr="00E82E1F">
        <w:rPr>
          <w:sz w:val="24"/>
          <w:szCs w:val="24"/>
          <w:lang w:val="en-GB"/>
        </w:rPr>
        <w:t xml:space="preserve">were </w:t>
      </w:r>
      <w:r w:rsidR="00286E8A" w:rsidRPr="00E82E1F">
        <w:rPr>
          <w:sz w:val="24"/>
          <w:szCs w:val="24"/>
          <w:lang w:val="en-GB"/>
        </w:rPr>
        <w:t xml:space="preserve">devastated during </w:t>
      </w:r>
      <w:r w:rsidR="008104B6" w:rsidRPr="00E82E1F">
        <w:rPr>
          <w:sz w:val="24"/>
          <w:szCs w:val="24"/>
          <w:lang w:val="en-GB"/>
        </w:rPr>
        <w:t>wartime</w:t>
      </w:r>
      <w:r w:rsidR="00286E8A" w:rsidRPr="00E82E1F">
        <w:rPr>
          <w:sz w:val="24"/>
          <w:szCs w:val="24"/>
          <w:lang w:val="en-GB"/>
        </w:rPr>
        <w:t xml:space="preserve"> would care less about protecting financial capital, which is insignificant compared </w:t>
      </w:r>
      <w:r w:rsidR="008104B6" w:rsidRPr="00E82E1F">
        <w:rPr>
          <w:sz w:val="24"/>
          <w:szCs w:val="24"/>
          <w:lang w:val="en-GB"/>
        </w:rPr>
        <w:t xml:space="preserve">with </w:t>
      </w:r>
      <w:r w:rsidR="00286E8A" w:rsidRPr="00E82E1F">
        <w:rPr>
          <w:sz w:val="24"/>
          <w:szCs w:val="24"/>
          <w:lang w:val="en-GB"/>
        </w:rPr>
        <w:t>their human capital.</w:t>
      </w:r>
      <w:r w:rsidR="00B8779C">
        <w:rPr>
          <w:rStyle w:val="a6"/>
          <w:sz w:val="24"/>
          <w:szCs w:val="24"/>
          <w:lang w:val="en-GB"/>
        </w:rPr>
        <w:footnoteReference w:id="19"/>
      </w:r>
      <w:r w:rsidR="00286E8A" w:rsidRPr="00E82E1F">
        <w:rPr>
          <w:sz w:val="24"/>
          <w:szCs w:val="24"/>
          <w:lang w:val="en-GB"/>
        </w:rPr>
        <w:t xml:space="preserve"> Hence, t</w:t>
      </w:r>
      <w:r w:rsidR="00C141FB" w:rsidRPr="00E82E1F">
        <w:rPr>
          <w:sz w:val="24"/>
          <w:szCs w:val="24"/>
          <w:lang w:val="en-GB"/>
        </w:rPr>
        <w:t>he labo</w:t>
      </w:r>
      <w:r w:rsidR="00CF5DDA" w:rsidRPr="00E82E1F">
        <w:rPr>
          <w:sz w:val="24"/>
          <w:szCs w:val="24"/>
          <w:lang w:val="en-GB"/>
        </w:rPr>
        <w:t>u</w:t>
      </w:r>
      <w:r w:rsidR="00C141FB" w:rsidRPr="00E82E1F">
        <w:rPr>
          <w:sz w:val="24"/>
          <w:szCs w:val="24"/>
          <w:lang w:val="en-GB"/>
        </w:rPr>
        <w:t xml:space="preserve">r protection index </w:t>
      </w:r>
      <w:r w:rsidR="007921CA" w:rsidRPr="00E82E1F">
        <w:rPr>
          <w:sz w:val="24"/>
          <w:szCs w:val="24"/>
          <w:lang w:val="en-GB"/>
        </w:rPr>
        <w:t xml:space="preserve">(EMPLOYMENT) </w:t>
      </w:r>
      <w:r w:rsidR="00C141FB" w:rsidRPr="00E82E1F">
        <w:rPr>
          <w:sz w:val="24"/>
          <w:szCs w:val="24"/>
          <w:lang w:val="en-GB"/>
        </w:rPr>
        <w:t xml:space="preserve">constructed by </w:t>
      </w:r>
      <w:proofErr w:type="spellStart"/>
      <w:r w:rsidR="00C141FB" w:rsidRPr="00E82E1F">
        <w:rPr>
          <w:sz w:val="24"/>
          <w:szCs w:val="24"/>
          <w:lang w:val="en-GB"/>
        </w:rPr>
        <w:t>Botero</w:t>
      </w:r>
      <w:proofErr w:type="spellEnd"/>
      <w:r w:rsidR="00C141FB" w:rsidRPr="00E82E1F">
        <w:rPr>
          <w:sz w:val="24"/>
          <w:szCs w:val="24"/>
          <w:lang w:val="en-GB"/>
        </w:rPr>
        <w:t xml:space="preserve">, </w:t>
      </w:r>
      <w:proofErr w:type="spellStart"/>
      <w:r w:rsidR="00C141FB" w:rsidRPr="00E82E1F">
        <w:rPr>
          <w:sz w:val="24"/>
          <w:szCs w:val="24"/>
          <w:lang w:val="en-GB"/>
        </w:rPr>
        <w:t>Djankov</w:t>
      </w:r>
      <w:proofErr w:type="spellEnd"/>
      <w:r w:rsidR="00C141FB" w:rsidRPr="00E82E1F">
        <w:rPr>
          <w:sz w:val="24"/>
          <w:szCs w:val="24"/>
          <w:lang w:val="en-GB"/>
        </w:rPr>
        <w:t xml:space="preserve">, La </w:t>
      </w:r>
      <w:proofErr w:type="spellStart"/>
      <w:r w:rsidR="00C141FB" w:rsidRPr="00E82E1F">
        <w:rPr>
          <w:sz w:val="24"/>
          <w:szCs w:val="24"/>
          <w:lang w:val="en-GB"/>
        </w:rPr>
        <w:t>Porta</w:t>
      </w:r>
      <w:proofErr w:type="spellEnd"/>
      <w:r w:rsidR="00C141FB" w:rsidRPr="00E82E1F">
        <w:rPr>
          <w:sz w:val="24"/>
          <w:szCs w:val="24"/>
          <w:lang w:val="en-GB"/>
        </w:rPr>
        <w:t xml:space="preserve">, </w:t>
      </w:r>
      <w:proofErr w:type="spellStart"/>
      <w:r w:rsidR="00C141FB" w:rsidRPr="00E82E1F">
        <w:rPr>
          <w:sz w:val="24"/>
          <w:szCs w:val="24"/>
          <w:lang w:val="en-GB"/>
        </w:rPr>
        <w:t>López</w:t>
      </w:r>
      <w:proofErr w:type="spellEnd"/>
      <w:r w:rsidR="00C141FB" w:rsidRPr="00E82E1F">
        <w:rPr>
          <w:sz w:val="24"/>
          <w:szCs w:val="24"/>
          <w:lang w:val="en-GB"/>
        </w:rPr>
        <w:t>-de-</w:t>
      </w:r>
      <w:proofErr w:type="spellStart"/>
      <w:r w:rsidR="00C141FB" w:rsidRPr="00E82E1F">
        <w:rPr>
          <w:sz w:val="24"/>
          <w:szCs w:val="24"/>
          <w:lang w:val="en-GB"/>
        </w:rPr>
        <w:t>Silanes</w:t>
      </w:r>
      <w:proofErr w:type="spellEnd"/>
      <w:r w:rsidR="00C141FB" w:rsidRPr="00E82E1F">
        <w:rPr>
          <w:sz w:val="24"/>
          <w:szCs w:val="24"/>
          <w:lang w:val="en-GB"/>
        </w:rPr>
        <w:t xml:space="preserve"> </w:t>
      </w:r>
      <w:r w:rsidR="008104B6" w:rsidRPr="00E82E1F">
        <w:rPr>
          <w:sz w:val="24"/>
          <w:szCs w:val="24"/>
          <w:lang w:val="en-GB"/>
        </w:rPr>
        <w:t>and</w:t>
      </w:r>
      <w:r w:rsidR="00C141FB" w:rsidRPr="00E82E1F">
        <w:rPr>
          <w:sz w:val="24"/>
          <w:szCs w:val="24"/>
          <w:lang w:val="en-GB"/>
        </w:rPr>
        <w:t xml:space="preserve"> </w:t>
      </w:r>
      <w:proofErr w:type="spellStart"/>
      <w:r w:rsidR="00C141FB" w:rsidRPr="00E82E1F">
        <w:rPr>
          <w:sz w:val="24"/>
          <w:szCs w:val="24"/>
          <w:lang w:val="en-GB"/>
        </w:rPr>
        <w:t>Shleifer</w:t>
      </w:r>
      <w:proofErr w:type="spellEnd"/>
      <w:r w:rsidR="00C141FB" w:rsidRPr="00E82E1F">
        <w:rPr>
          <w:sz w:val="24"/>
          <w:szCs w:val="24"/>
          <w:lang w:val="en-GB"/>
        </w:rPr>
        <w:t xml:space="preserve"> (2004) is found to better predict stock market development. </w:t>
      </w:r>
    </w:p>
    <w:p w:rsidR="009D13D7" w:rsidRPr="00E82E1F" w:rsidRDefault="00286E8A" w:rsidP="00510ED6">
      <w:pPr>
        <w:spacing w:beforeLines="100"/>
        <w:mirrorIndents/>
        <w:rPr>
          <w:sz w:val="24"/>
          <w:szCs w:val="24"/>
          <w:lang w:val="en-GB"/>
        </w:rPr>
      </w:pPr>
      <w:r w:rsidRPr="00E82E1F">
        <w:rPr>
          <w:sz w:val="24"/>
          <w:szCs w:val="24"/>
          <w:lang w:val="en-GB"/>
        </w:rPr>
        <w:t>In addition, stock market development</w:t>
      </w:r>
      <w:r w:rsidR="00CF38AB" w:rsidRPr="00E82E1F">
        <w:rPr>
          <w:sz w:val="24"/>
          <w:szCs w:val="24"/>
          <w:lang w:val="en-GB"/>
        </w:rPr>
        <w:t xml:space="preserve"> may hurt</w:t>
      </w:r>
      <w:r w:rsidR="00136906" w:rsidRPr="00E82E1F">
        <w:rPr>
          <w:sz w:val="24"/>
          <w:szCs w:val="24"/>
          <w:lang w:val="en-GB"/>
        </w:rPr>
        <w:t xml:space="preserve"> those</w:t>
      </w:r>
      <w:r w:rsidRPr="00E82E1F">
        <w:rPr>
          <w:sz w:val="24"/>
          <w:szCs w:val="24"/>
          <w:lang w:val="en-GB"/>
        </w:rPr>
        <w:t xml:space="preserve"> groups with vested interests, such as financial and industrial incumbents who benefit from financial repression. Financial development breeds competition, </w:t>
      </w:r>
      <w:r w:rsidR="00905E57" w:rsidRPr="00E82E1F">
        <w:rPr>
          <w:sz w:val="24"/>
          <w:szCs w:val="24"/>
          <w:lang w:val="en-GB"/>
        </w:rPr>
        <w:t>which</w:t>
      </w:r>
      <w:r w:rsidRPr="00E82E1F">
        <w:rPr>
          <w:sz w:val="24"/>
          <w:szCs w:val="24"/>
          <w:lang w:val="en-GB"/>
        </w:rPr>
        <w:t xml:space="preserve"> erodes incumbents’ profits; in addition, financial development requires more transparency</w:t>
      </w:r>
      <w:r w:rsidR="005C435F" w:rsidRPr="00E82E1F">
        <w:rPr>
          <w:sz w:val="24"/>
          <w:szCs w:val="24"/>
          <w:lang w:val="en-GB"/>
        </w:rPr>
        <w:t>, which</w:t>
      </w:r>
      <w:r w:rsidRPr="00E82E1F">
        <w:rPr>
          <w:sz w:val="24"/>
          <w:szCs w:val="24"/>
          <w:lang w:val="en-GB"/>
        </w:rPr>
        <w:t xml:space="preserve"> directly </w:t>
      </w:r>
      <w:r w:rsidR="005C435F" w:rsidRPr="00E82E1F">
        <w:rPr>
          <w:sz w:val="24"/>
          <w:szCs w:val="24"/>
          <w:lang w:val="en-GB"/>
        </w:rPr>
        <w:t xml:space="preserve">damages </w:t>
      </w:r>
      <w:r w:rsidRPr="00E82E1F">
        <w:rPr>
          <w:sz w:val="24"/>
          <w:szCs w:val="24"/>
          <w:lang w:val="en-GB"/>
        </w:rPr>
        <w:t>incumbents’ traditional methods of doing business through contracts and relationships (</w:t>
      </w:r>
      <w:proofErr w:type="spellStart"/>
      <w:r w:rsidRPr="00E82E1F">
        <w:rPr>
          <w:sz w:val="24"/>
          <w:szCs w:val="24"/>
          <w:lang w:val="en-GB"/>
        </w:rPr>
        <w:t>Rajan</w:t>
      </w:r>
      <w:proofErr w:type="spellEnd"/>
      <w:r w:rsidRPr="00E82E1F">
        <w:rPr>
          <w:sz w:val="24"/>
          <w:szCs w:val="24"/>
          <w:lang w:val="en-GB"/>
        </w:rPr>
        <w:t xml:space="preserve"> </w:t>
      </w:r>
      <w:r w:rsidR="00EE0A03" w:rsidRPr="00E82E1F">
        <w:rPr>
          <w:sz w:val="24"/>
          <w:szCs w:val="24"/>
          <w:lang w:val="en-GB"/>
        </w:rPr>
        <w:t>and</w:t>
      </w:r>
      <w:r w:rsidRPr="00E82E1F">
        <w:rPr>
          <w:sz w:val="24"/>
          <w:szCs w:val="24"/>
          <w:lang w:val="en-GB"/>
        </w:rPr>
        <w:t xml:space="preserve"> </w:t>
      </w:r>
      <w:proofErr w:type="spellStart"/>
      <w:r w:rsidRPr="00E82E1F">
        <w:rPr>
          <w:sz w:val="24"/>
          <w:szCs w:val="24"/>
          <w:lang w:val="en-GB"/>
        </w:rPr>
        <w:t>Zingales</w:t>
      </w:r>
      <w:proofErr w:type="spellEnd"/>
      <w:r w:rsidRPr="00E82E1F">
        <w:rPr>
          <w:sz w:val="24"/>
          <w:szCs w:val="24"/>
          <w:lang w:val="en-GB"/>
        </w:rPr>
        <w:t xml:space="preserve">, 2003). Incumbents therefore have strong incentives to retard financial development and (because of their accumulated wealth, influence, and power) sufficient resources to manipulate the political process through which the orientation of legislation and </w:t>
      </w:r>
      <w:r w:rsidR="00B87597" w:rsidRPr="00E82E1F">
        <w:rPr>
          <w:sz w:val="24"/>
          <w:szCs w:val="24"/>
          <w:lang w:val="en-GB"/>
        </w:rPr>
        <w:t xml:space="preserve">the </w:t>
      </w:r>
      <w:r w:rsidRPr="00E82E1F">
        <w:rPr>
          <w:sz w:val="24"/>
          <w:szCs w:val="24"/>
          <w:lang w:val="en-GB"/>
        </w:rPr>
        <w:t xml:space="preserve">style of financial regulation </w:t>
      </w:r>
      <w:r w:rsidR="00B87597" w:rsidRPr="00E82E1F">
        <w:rPr>
          <w:sz w:val="24"/>
          <w:szCs w:val="24"/>
          <w:lang w:val="en-GB"/>
        </w:rPr>
        <w:t>are</w:t>
      </w:r>
      <w:r w:rsidRPr="00E82E1F">
        <w:rPr>
          <w:sz w:val="24"/>
          <w:szCs w:val="24"/>
          <w:lang w:val="en-GB"/>
        </w:rPr>
        <w:t xml:space="preserve"> determined.</w:t>
      </w:r>
      <w:r w:rsidR="00B8779C">
        <w:rPr>
          <w:rStyle w:val="a6"/>
          <w:sz w:val="24"/>
          <w:szCs w:val="24"/>
          <w:lang w:val="en-GB"/>
        </w:rPr>
        <w:footnoteReference w:id="20"/>
      </w:r>
      <w:r w:rsidRPr="00E82E1F">
        <w:rPr>
          <w:sz w:val="24"/>
          <w:szCs w:val="24"/>
          <w:lang w:val="en-GB"/>
        </w:rPr>
        <w:t xml:space="preserve"> </w:t>
      </w:r>
      <w:r w:rsidR="009D13D7" w:rsidRPr="00E82E1F">
        <w:rPr>
          <w:sz w:val="24"/>
          <w:szCs w:val="24"/>
          <w:lang w:val="en-GB"/>
        </w:rPr>
        <w:t xml:space="preserve">However, </w:t>
      </w:r>
      <w:r w:rsidR="005C435F" w:rsidRPr="00E82E1F">
        <w:rPr>
          <w:sz w:val="24"/>
          <w:szCs w:val="24"/>
          <w:lang w:val="en-GB"/>
        </w:rPr>
        <w:t xml:space="preserve">this </w:t>
      </w:r>
      <w:r w:rsidR="009D13D7" w:rsidRPr="00E82E1F">
        <w:rPr>
          <w:sz w:val="24"/>
          <w:szCs w:val="24"/>
          <w:lang w:val="en-GB"/>
        </w:rPr>
        <w:t>power to protect private rents will be undermined as the local economy</w:t>
      </w:r>
      <w:r w:rsidR="00145A01" w:rsidRPr="00E82E1F">
        <w:rPr>
          <w:sz w:val="24"/>
          <w:szCs w:val="24"/>
          <w:lang w:val="en-GB"/>
        </w:rPr>
        <w:t xml:space="preserve"> integrates more</w:t>
      </w:r>
      <w:r w:rsidR="005C435F" w:rsidRPr="00E82E1F">
        <w:rPr>
          <w:sz w:val="24"/>
          <w:szCs w:val="24"/>
          <w:lang w:val="en-GB"/>
        </w:rPr>
        <w:t xml:space="preserve"> into the global economy</w:t>
      </w:r>
      <w:r w:rsidR="009D13D7" w:rsidRPr="00E82E1F">
        <w:rPr>
          <w:sz w:val="24"/>
          <w:szCs w:val="24"/>
          <w:lang w:val="en-GB"/>
        </w:rPr>
        <w:t xml:space="preserve">, </w:t>
      </w:r>
      <w:r w:rsidR="00905E57" w:rsidRPr="00E82E1F">
        <w:rPr>
          <w:sz w:val="24"/>
          <w:szCs w:val="24"/>
          <w:lang w:val="en-GB"/>
        </w:rPr>
        <w:t xml:space="preserve">which is </w:t>
      </w:r>
      <w:proofErr w:type="spellStart"/>
      <w:r w:rsidR="00905E57" w:rsidRPr="00E82E1F">
        <w:rPr>
          <w:sz w:val="24"/>
          <w:szCs w:val="24"/>
          <w:lang w:val="en-GB"/>
        </w:rPr>
        <w:t>proxied</w:t>
      </w:r>
      <w:proofErr w:type="spellEnd"/>
      <w:r w:rsidR="00145A01" w:rsidRPr="00E82E1F">
        <w:rPr>
          <w:sz w:val="24"/>
          <w:szCs w:val="24"/>
          <w:lang w:val="en-GB"/>
        </w:rPr>
        <w:t xml:space="preserve"> by </w:t>
      </w:r>
      <w:r w:rsidR="009D13D7" w:rsidRPr="00E82E1F">
        <w:rPr>
          <w:sz w:val="24"/>
          <w:szCs w:val="24"/>
          <w:lang w:val="en-GB"/>
        </w:rPr>
        <w:t>trade openness</w:t>
      </w:r>
      <w:r w:rsidR="000D33CF" w:rsidRPr="00E82E1F">
        <w:rPr>
          <w:sz w:val="24"/>
          <w:szCs w:val="24"/>
          <w:lang w:val="en-GB"/>
        </w:rPr>
        <w:t xml:space="preserve"> (TRADEOPENNESS)</w:t>
      </w:r>
      <w:r w:rsidR="009D13D7" w:rsidRPr="00E82E1F">
        <w:rPr>
          <w:sz w:val="24"/>
          <w:szCs w:val="24"/>
          <w:lang w:val="en-GB"/>
        </w:rPr>
        <w:t>.</w:t>
      </w:r>
    </w:p>
    <w:p w:rsidR="00510ED6" w:rsidRDefault="00145A01" w:rsidP="00510ED6">
      <w:pPr>
        <w:spacing w:beforeLines="100"/>
        <w:mirrorIndents/>
        <w:rPr>
          <w:rFonts w:hint="eastAsia"/>
          <w:sz w:val="24"/>
          <w:szCs w:val="24"/>
          <w:lang w:val="en-GB"/>
        </w:rPr>
      </w:pPr>
      <w:r w:rsidRPr="00E82E1F">
        <w:rPr>
          <w:sz w:val="24"/>
          <w:szCs w:val="24"/>
          <w:lang w:val="en-GB"/>
        </w:rPr>
        <w:lastRenderedPageBreak/>
        <w:t xml:space="preserve">Finally, Roe </w:t>
      </w:r>
      <w:r w:rsidR="00B369A1" w:rsidRPr="00E82E1F">
        <w:rPr>
          <w:sz w:val="24"/>
          <w:szCs w:val="24"/>
          <w:lang w:val="en-GB"/>
        </w:rPr>
        <w:t>and</w:t>
      </w:r>
      <w:r w:rsidRPr="00E82E1F">
        <w:rPr>
          <w:sz w:val="24"/>
          <w:szCs w:val="24"/>
          <w:lang w:val="en-GB"/>
        </w:rPr>
        <w:t xml:space="preserve"> Siegel (2011) provide evidence that political instability</w:t>
      </w:r>
      <w:r w:rsidR="00913531" w:rsidRPr="00E82E1F">
        <w:rPr>
          <w:sz w:val="24"/>
          <w:szCs w:val="24"/>
          <w:lang w:val="en-GB"/>
        </w:rPr>
        <w:t xml:space="preserve"> (PINSTAB)</w:t>
      </w:r>
      <w:r w:rsidR="00BB527A" w:rsidRPr="00E82E1F">
        <w:rPr>
          <w:sz w:val="24"/>
          <w:szCs w:val="24"/>
          <w:lang w:val="en-GB"/>
        </w:rPr>
        <w:t xml:space="preserve">, </w:t>
      </w:r>
      <w:r w:rsidR="00905E57" w:rsidRPr="00E82E1F">
        <w:rPr>
          <w:sz w:val="24"/>
          <w:szCs w:val="24"/>
          <w:lang w:val="en-GB"/>
        </w:rPr>
        <w:t xml:space="preserve">first </w:t>
      </w:r>
      <w:r w:rsidR="00BB527A" w:rsidRPr="00E82E1F">
        <w:rPr>
          <w:sz w:val="24"/>
          <w:szCs w:val="24"/>
          <w:lang w:val="en-GB"/>
        </w:rPr>
        <w:t>measured</w:t>
      </w:r>
      <w:r w:rsidRPr="00E82E1F">
        <w:rPr>
          <w:sz w:val="24"/>
          <w:szCs w:val="24"/>
          <w:lang w:val="en-GB"/>
        </w:rPr>
        <w:t xml:space="preserve"> </w:t>
      </w:r>
      <w:r w:rsidR="00BB527A" w:rsidRPr="00E82E1F">
        <w:rPr>
          <w:sz w:val="24"/>
          <w:szCs w:val="24"/>
          <w:lang w:val="en-GB"/>
        </w:rPr>
        <w:t xml:space="preserve">by </w:t>
      </w:r>
      <w:bookmarkStart w:id="64" w:name="OLE_LINK16"/>
      <w:bookmarkStart w:id="65" w:name="OLE_LINK17"/>
      <w:proofErr w:type="spellStart"/>
      <w:r w:rsidR="00BB527A" w:rsidRPr="00E82E1F">
        <w:rPr>
          <w:sz w:val="24"/>
          <w:szCs w:val="24"/>
          <w:lang w:val="en-GB"/>
        </w:rPr>
        <w:t>Barro</w:t>
      </w:r>
      <w:proofErr w:type="spellEnd"/>
      <w:r w:rsidR="00BB527A" w:rsidRPr="00E82E1F">
        <w:rPr>
          <w:sz w:val="24"/>
          <w:szCs w:val="24"/>
          <w:lang w:val="en-GB"/>
        </w:rPr>
        <w:t xml:space="preserve"> and Lee</w:t>
      </w:r>
      <w:r w:rsidRPr="00E82E1F">
        <w:rPr>
          <w:sz w:val="24"/>
          <w:szCs w:val="24"/>
          <w:lang w:val="en-GB"/>
        </w:rPr>
        <w:t xml:space="preserve"> </w:t>
      </w:r>
      <w:r w:rsidR="00BB527A" w:rsidRPr="00E82E1F">
        <w:rPr>
          <w:sz w:val="24"/>
          <w:szCs w:val="24"/>
          <w:lang w:val="en-GB"/>
        </w:rPr>
        <w:t>(</w:t>
      </w:r>
      <w:r w:rsidRPr="00E82E1F">
        <w:rPr>
          <w:sz w:val="24"/>
          <w:szCs w:val="24"/>
          <w:lang w:val="en-GB"/>
        </w:rPr>
        <w:t>1994)</w:t>
      </w:r>
      <w:bookmarkEnd w:id="64"/>
      <w:bookmarkEnd w:id="65"/>
      <w:r w:rsidR="009179B1" w:rsidRPr="00E82E1F">
        <w:rPr>
          <w:sz w:val="24"/>
          <w:szCs w:val="24"/>
          <w:lang w:val="en-GB"/>
        </w:rPr>
        <w:t>,</w:t>
      </w:r>
      <w:r w:rsidRPr="00E82E1F">
        <w:rPr>
          <w:sz w:val="24"/>
          <w:szCs w:val="24"/>
          <w:lang w:val="en-GB"/>
        </w:rPr>
        <w:t xml:space="preserve"> </w:t>
      </w:r>
      <w:proofErr w:type="gramStart"/>
      <w:r w:rsidRPr="00E82E1F">
        <w:rPr>
          <w:sz w:val="24"/>
          <w:szCs w:val="24"/>
          <w:lang w:val="en-GB"/>
        </w:rPr>
        <w:t>could</w:t>
      </w:r>
      <w:proofErr w:type="gramEnd"/>
      <w:r w:rsidRPr="00E82E1F">
        <w:rPr>
          <w:sz w:val="24"/>
          <w:szCs w:val="24"/>
          <w:lang w:val="en-GB"/>
        </w:rPr>
        <w:t xml:space="preserve"> lead to weak stock </w:t>
      </w:r>
      <w:r w:rsidR="00B369A1" w:rsidRPr="00E82E1F">
        <w:rPr>
          <w:sz w:val="24"/>
          <w:szCs w:val="24"/>
          <w:lang w:val="en-GB"/>
        </w:rPr>
        <w:t>markets</w:t>
      </w:r>
      <w:r w:rsidRPr="00E82E1F">
        <w:rPr>
          <w:sz w:val="24"/>
          <w:szCs w:val="24"/>
          <w:lang w:val="en-GB"/>
        </w:rPr>
        <w:t>. The major channel through which instability influences stock market development is</w:t>
      </w:r>
      <w:r w:rsidR="00B369A1" w:rsidRPr="00E82E1F">
        <w:rPr>
          <w:sz w:val="24"/>
          <w:szCs w:val="24"/>
          <w:lang w:val="en-GB"/>
        </w:rPr>
        <w:t xml:space="preserve"> the fact</w:t>
      </w:r>
      <w:r w:rsidRPr="00E82E1F">
        <w:rPr>
          <w:sz w:val="24"/>
          <w:szCs w:val="24"/>
          <w:lang w:val="en-GB"/>
        </w:rPr>
        <w:t xml:space="preserve"> that sound institutional arrangements, such as legal </w:t>
      </w:r>
      <w:r w:rsidR="00B369A1" w:rsidRPr="00E82E1F">
        <w:rPr>
          <w:sz w:val="24"/>
          <w:szCs w:val="24"/>
          <w:lang w:val="en-GB"/>
        </w:rPr>
        <w:t xml:space="preserve">shareholder </w:t>
      </w:r>
      <w:r w:rsidR="00B87597" w:rsidRPr="00E82E1F">
        <w:rPr>
          <w:sz w:val="24"/>
          <w:szCs w:val="24"/>
          <w:lang w:val="en-GB"/>
        </w:rPr>
        <w:t xml:space="preserve">protections </w:t>
      </w:r>
      <w:r w:rsidR="00B369A1" w:rsidRPr="00E82E1F">
        <w:rPr>
          <w:sz w:val="24"/>
          <w:szCs w:val="24"/>
          <w:lang w:val="en-GB"/>
        </w:rPr>
        <w:t>and</w:t>
      </w:r>
      <w:r w:rsidRPr="00E82E1F">
        <w:rPr>
          <w:sz w:val="24"/>
          <w:szCs w:val="24"/>
          <w:lang w:val="en-GB"/>
        </w:rPr>
        <w:t xml:space="preserve"> courts, </w:t>
      </w:r>
      <w:r w:rsidR="00B369A1" w:rsidRPr="00E82E1F">
        <w:rPr>
          <w:sz w:val="24"/>
          <w:szCs w:val="24"/>
          <w:lang w:val="en-GB"/>
        </w:rPr>
        <w:t xml:space="preserve">do </w:t>
      </w:r>
      <w:r w:rsidRPr="00E82E1F">
        <w:rPr>
          <w:sz w:val="24"/>
          <w:szCs w:val="24"/>
          <w:lang w:val="en-GB"/>
        </w:rPr>
        <w:t xml:space="preserve">not </w:t>
      </w:r>
      <w:r w:rsidR="00C1276F" w:rsidRPr="00E82E1F">
        <w:rPr>
          <w:sz w:val="24"/>
          <w:szCs w:val="24"/>
          <w:lang w:val="en-GB"/>
        </w:rPr>
        <w:t>work</w:t>
      </w:r>
      <w:r w:rsidRPr="00E82E1F">
        <w:rPr>
          <w:sz w:val="24"/>
          <w:szCs w:val="24"/>
          <w:lang w:val="en-GB"/>
        </w:rPr>
        <w:t xml:space="preserve"> well in unstable </w:t>
      </w:r>
      <w:r w:rsidR="00B369A1" w:rsidRPr="00E82E1F">
        <w:rPr>
          <w:sz w:val="24"/>
          <w:szCs w:val="24"/>
          <w:lang w:val="en-GB"/>
        </w:rPr>
        <w:t>environments</w:t>
      </w:r>
      <w:r w:rsidRPr="00E82E1F">
        <w:rPr>
          <w:sz w:val="24"/>
          <w:szCs w:val="24"/>
          <w:lang w:val="en-GB"/>
        </w:rPr>
        <w:t>.</w:t>
      </w:r>
      <w:r w:rsidR="009179B1" w:rsidRPr="00E82E1F">
        <w:rPr>
          <w:sz w:val="24"/>
          <w:szCs w:val="24"/>
          <w:lang w:val="en-GB"/>
        </w:rPr>
        <w:t xml:space="preserve"> </w:t>
      </w:r>
      <w:bookmarkStart w:id="66" w:name="OLE_LINK5"/>
      <w:bookmarkStart w:id="67" w:name="OLE_LINK6"/>
      <w:r w:rsidR="00B369A1" w:rsidRPr="00E82E1F">
        <w:rPr>
          <w:sz w:val="24"/>
          <w:szCs w:val="24"/>
          <w:lang w:val="en-GB"/>
        </w:rPr>
        <w:t>In addition</w:t>
      </w:r>
      <w:r w:rsidR="007F043C" w:rsidRPr="00E82E1F">
        <w:rPr>
          <w:sz w:val="24"/>
          <w:szCs w:val="24"/>
          <w:lang w:val="en-GB"/>
        </w:rPr>
        <w:t>,</w:t>
      </w:r>
      <w:r w:rsidR="00B369A1" w:rsidRPr="00E82E1F">
        <w:rPr>
          <w:sz w:val="24"/>
          <w:szCs w:val="24"/>
          <w:lang w:val="en-GB"/>
        </w:rPr>
        <w:t xml:space="preserve"> </w:t>
      </w:r>
      <w:proofErr w:type="spellStart"/>
      <w:r w:rsidR="000E3DB5" w:rsidRPr="00E82E1F">
        <w:rPr>
          <w:sz w:val="24"/>
          <w:szCs w:val="24"/>
          <w:lang w:val="en-GB"/>
        </w:rPr>
        <w:t>ethno</w:t>
      </w:r>
      <w:bookmarkEnd w:id="66"/>
      <w:bookmarkEnd w:id="67"/>
      <w:r w:rsidR="009179B1" w:rsidRPr="00E82E1F">
        <w:rPr>
          <w:sz w:val="24"/>
          <w:szCs w:val="24"/>
          <w:lang w:val="en-GB"/>
        </w:rPr>
        <w:t>linguistic</w:t>
      </w:r>
      <w:proofErr w:type="spellEnd"/>
      <w:r w:rsidR="009179B1" w:rsidRPr="00E82E1F">
        <w:rPr>
          <w:sz w:val="24"/>
          <w:szCs w:val="24"/>
          <w:lang w:val="en-GB"/>
        </w:rPr>
        <w:t xml:space="preserve"> fraction</w:t>
      </w:r>
      <w:r w:rsidR="00E84CCA" w:rsidRPr="00E82E1F">
        <w:rPr>
          <w:sz w:val="24"/>
          <w:szCs w:val="24"/>
          <w:lang w:val="en-GB"/>
        </w:rPr>
        <w:t>alization</w:t>
      </w:r>
      <w:r w:rsidR="007921CA" w:rsidRPr="00E82E1F">
        <w:rPr>
          <w:sz w:val="24"/>
          <w:szCs w:val="24"/>
          <w:lang w:val="en-GB"/>
        </w:rPr>
        <w:t xml:space="preserve"> (ETHNOLINGUISTIC)</w:t>
      </w:r>
      <w:r w:rsidR="00E84CCA" w:rsidRPr="00E82E1F">
        <w:rPr>
          <w:sz w:val="24"/>
          <w:szCs w:val="24"/>
          <w:lang w:val="en-GB"/>
        </w:rPr>
        <w:t xml:space="preserve"> is found to contribute</w:t>
      </w:r>
      <w:r w:rsidR="009179B1" w:rsidRPr="00E82E1F">
        <w:rPr>
          <w:sz w:val="24"/>
          <w:szCs w:val="24"/>
          <w:lang w:val="en-GB"/>
        </w:rPr>
        <w:t xml:space="preserve"> to p</w:t>
      </w:r>
      <w:r w:rsidR="000E3DB5" w:rsidRPr="00E82E1F">
        <w:rPr>
          <w:sz w:val="24"/>
          <w:szCs w:val="24"/>
          <w:lang w:val="en-GB"/>
        </w:rPr>
        <w:t xml:space="preserve">olitical instability </w:t>
      </w:r>
      <w:r w:rsidR="00B369A1" w:rsidRPr="00E82E1F">
        <w:rPr>
          <w:sz w:val="24"/>
          <w:szCs w:val="24"/>
          <w:lang w:val="en-GB"/>
        </w:rPr>
        <w:t xml:space="preserve">owing </w:t>
      </w:r>
      <w:r w:rsidR="000E3DB5" w:rsidRPr="00E82E1F">
        <w:rPr>
          <w:sz w:val="24"/>
          <w:szCs w:val="24"/>
          <w:lang w:val="en-GB"/>
        </w:rPr>
        <w:t>to its effects on inequality.</w:t>
      </w:r>
    </w:p>
    <w:p w:rsidR="00510ED6" w:rsidRDefault="00FC19B4" w:rsidP="00510ED6">
      <w:pPr>
        <w:spacing w:beforeLines="100"/>
        <w:mirrorIndents/>
        <w:rPr>
          <w:rFonts w:hint="eastAsia"/>
          <w:b/>
          <w:sz w:val="28"/>
          <w:szCs w:val="24"/>
          <w:lang w:val="en-GB"/>
        </w:rPr>
      </w:pPr>
      <w:r w:rsidRPr="00510ED6">
        <w:rPr>
          <w:b/>
          <w:sz w:val="28"/>
          <w:szCs w:val="24"/>
          <w:lang w:val="en-GB"/>
        </w:rPr>
        <w:t xml:space="preserve">3. </w:t>
      </w:r>
      <w:r w:rsidR="00D7783F" w:rsidRPr="00510ED6">
        <w:rPr>
          <w:b/>
          <w:sz w:val="28"/>
          <w:szCs w:val="24"/>
          <w:lang w:val="en-GB"/>
        </w:rPr>
        <w:t>The d</w:t>
      </w:r>
      <w:r w:rsidR="00C30E6B" w:rsidRPr="00510ED6">
        <w:rPr>
          <w:b/>
          <w:sz w:val="28"/>
          <w:szCs w:val="24"/>
          <w:lang w:val="en-GB"/>
        </w:rPr>
        <w:t>ata set</w:t>
      </w:r>
      <w:r w:rsidRPr="00510ED6">
        <w:rPr>
          <w:b/>
          <w:sz w:val="28"/>
          <w:szCs w:val="24"/>
          <w:lang w:val="en-GB"/>
        </w:rPr>
        <w:t xml:space="preserve"> and </w:t>
      </w:r>
      <w:r w:rsidR="00743A13" w:rsidRPr="00510ED6">
        <w:rPr>
          <w:b/>
          <w:sz w:val="28"/>
          <w:szCs w:val="24"/>
          <w:lang w:val="en-GB"/>
        </w:rPr>
        <w:t>empirical strategies</w:t>
      </w:r>
    </w:p>
    <w:p w:rsidR="00A1509D" w:rsidRPr="00E82E1F" w:rsidRDefault="00743A13" w:rsidP="00510ED6">
      <w:pPr>
        <w:spacing w:beforeLines="100"/>
        <w:mirrorIndents/>
        <w:rPr>
          <w:sz w:val="24"/>
          <w:szCs w:val="24"/>
          <w:lang w:val="en-GB"/>
        </w:rPr>
      </w:pPr>
      <w:r w:rsidRPr="00E82E1F">
        <w:rPr>
          <w:sz w:val="24"/>
          <w:szCs w:val="24"/>
          <w:lang w:val="en-GB"/>
        </w:rPr>
        <w:t xml:space="preserve">The </w:t>
      </w:r>
      <w:r w:rsidR="0047765A" w:rsidRPr="00E82E1F">
        <w:rPr>
          <w:sz w:val="24"/>
          <w:szCs w:val="24"/>
          <w:lang w:val="en-GB"/>
        </w:rPr>
        <w:t xml:space="preserve">main </w:t>
      </w:r>
      <w:r w:rsidRPr="00E82E1F">
        <w:rPr>
          <w:sz w:val="24"/>
          <w:szCs w:val="24"/>
          <w:lang w:val="en-GB"/>
        </w:rPr>
        <w:t>data set consists of cro</w:t>
      </w:r>
      <w:r w:rsidR="008351D0" w:rsidRPr="00E82E1F">
        <w:rPr>
          <w:sz w:val="24"/>
          <w:szCs w:val="24"/>
          <w:lang w:val="en-GB"/>
        </w:rPr>
        <w:t>ss-</w:t>
      </w:r>
      <w:r w:rsidR="00EB089C" w:rsidRPr="00E82E1F">
        <w:rPr>
          <w:sz w:val="24"/>
          <w:szCs w:val="24"/>
          <w:lang w:val="en-GB"/>
        </w:rPr>
        <w:t>sectional observations of</w:t>
      </w:r>
      <w:r w:rsidRPr="00E82E1F">
        <w:rPr>
          <w:sz w:val="24"/>
          <w:szCs w:val="24"/>
          <w:lang w:val="en-GB"/>
        </w:rPr>
        <w:t xml:space="preserve"> 48 countries and district</w:t>
      </w:r>
      <w:r w:rsidR="00F57A68" w:rsidRPr="00E82E1F">
        <w:rPr>
          <w:sz w:val="24"/>
          <w:szCs w:val="24"/>
          <w:lang w:val="en-GB"/>
        </w:rPr>
        <w:t>s</w:t>
      </w:r>
      <w:r w:rsidR="00B8779C">
        <w:rPr>
          <w:rStyle w:val="a6"/>
          <w:sz w:val="24"/>
          <w:szCs w:val="24"/>
          <w:lang w:val="en-GB"/>
        </w:rPr>
        <w:footnoteReference w:id="21"/>
      </w:r>
      <w:r w:rsidR="00F57A68" w:rsidRPr="00E82E1F">
        <w:rPr>
          <w:sz w:val="24"/>
          <w:szCs w:val="24"/>
          <w:lang w:val="en-GB"/>
        </w:rPr>
        <w:t xml:space="preserve">, which is a subsample of </w:t>
      </w:r>
      <w:r w:rsidR="00B369A1" w:rsidRPr="00E82E1F">
        <w:rPr>
          <w:sz w:val="24"/>
          <w:szCs w:val="24"/>
          <w:lang w:val="en-GB"/>
        </w:rPr>
        <w:t>that</w:t>
      </w:r>
      <w:r w:rsidR="00F57A68" w:rsidRPr="00E82E1F">
        <w:rPr>
          <w:sz w:val="24"/>
          <w:szCs w:val="24"/>
          <w:lang w:val="en-GB"/>
        </w:rPr>
        <w:t xml:space="preserve"> in DLLS (2008), and incl</w:t>
      </w:r>
      <w:r w:rsidR="0047765A" w:rsidRPr="00E82E1F">
        <w:rPr>
          <w:sz w:val="24"/>
          <w:szCs w:val="24"/>
          <w:lang w:val="en-GB"/>
        </w:rPr>
        <w:t xml:space="preserve">udes </w:t>
      </w:r>
      <w:r w:rsidR="00C9189A" w:rsidRPr="00E82E1F">
        <w:rPr>
          <w:sz w:val="24"/>
          <w:szCs w:val="24"/>
          <w:lang w:val="en-GB"/>
        </w:rPr>
        <w:t>26</w:t>
      </w:r>
      <w:r w:rsidR="00DD7159" w:rsidRPr="00E82E1F">
        <w:rPr>
          <w:sz w:val="24"/>
          <w:szCs w:val="24"/>
          <w:lang w:val="en-GB"/>
        </w:rPr>
        <w:t xml:space="preserve"> explanatory variables</w:t>
      </w:r>
      <w:r w:rsidRPr="00E82E1F">
        <w:rPr>
          <w:sz w:val="24"/>
          <w:szCs w:val="24"/>
          <w:lang w:val="en-GB"/>
        </w:rPr>
        <w:t>.</w:t>
      </w:r>
      <w:r w:rsidR="00B8779C">
        <w:rPr>
          <w:rStyle w:val="a6"/>
          <w:sz w:val="24"/>
          <w:szCs w:val="24"/>
          <w:lang w:val="en-GB"/>
        </w:rPr>
        <w:footnoteReference w:id="22"/>
      </w:r>
      <w:r w:rsidRPr="00E82E1F">
        <w:rPr>
          <w:sz w:val="24"/>
          <w:szCs w:val="24"/>
          <w:lang w:val="en-GB"/>
        </w:rPr>
        <w:t xml:space="preserve"> T</w:t>
      </w:r>
      <w:r w:rsidR="000D33CF" w:rsidRPr="00E82E1F">
        <w:rPr>
          <w:sz w:val="24"/>
          <w:szCs w:val="24"/>
          <w:lang w:val="en-GB"/>
        </w:rPr>
        <w:t>his</w:t>
      </w:r>
      <w:r w:rsidRPr="00E82E1F">
        <w:rPr>
          <w:sz w:val="24"/>
          <w:szCs w:val="24"/>
          <w:lang w:val="en-GB"/>
        </w:rPr>
        <w:t xml:space="preserve"> sample has two advantages: </w:t>
      </w:r>
      <w:r w:rsidR="00CF5DDA" w:rsidRPr="00E82E1F">
        <w:rPr>
          <w:sz w:val="24"/>
          <w:szCs w:val="24"/>
          <w:lang w:val="en-GB"/>
        </w:rPr>
        <w:t>F</w:t>
      </w:r>
      <w:r w:rsidRPr="00E82E1F">
        <w:rPr>
          <w:sz w:val="24"/>
          <w:szCs w:val="24"/>
          <w:lang w:val="en-GB"/>
        </w:rPr>
        <w:t>irst, it is investigated more thorou</w:t>
      </w:r>
      <w:r w:rsidR="00EB089C" w:rsidRPr="00E82E1F">
        <w:rPr>
          <w:sz w:val="24"/>
          <w:szCs w:val="24"/>
          <w:lang w:val="en-GB"/>
        </w:rPr>
        <w:t xml:space="preserve">ghly than </w:t>
      </w:r>
      <w:r w:rsidR="00B369A1" w:rsidRPr="00E82E1F">
        <w:rPr>
          <w:sz w:val="24"/>
          <w:szCs w:val="24"/>
          <w:lang w:val="en-GB"/>
        </w:rPr>
        <w:t xml:space="preserve">were </w:t>
      </w:r>
      <w:r w:rsidR="00EB089C" w:rsidRPr="00E82E1F">
        <w:rPr>
          <w:sz w:val="24"/>
          <w:szCs w:val="24"/>
          <w:lang w:val="en-GB"/>
        </w:rPr>
        <w:t>other larger sample</w:t>
      </w:r>
      <w:r w:rsidR="000D33CF" w:rsidRPr="00E82E1F">
        <w:rPr>
          <w:sz w:val="24"/>
          <w:szCs w:val="24"/>
          <w:lang w:val="en-GB"/>
        </w:rPr>
        <w:t>s</w:t>
      </w:r>
      <w:r w:rsidR="00E46CF8" w:rsidRPr="00E82E1F">
        <w:rPr>
          <w:sz w:val="24"/>
          <w:szCs w:val="24"/>
          <w:lang w:val="en-GB"/>
        </w:rPr>
        <w:t>.</w:t>
      </w:r>
      <w:r w:rsidR="00F57A68" w:rsidRPr="00E82E1F">
        <w:rPr>
          <w:sz w:val="24"/>
          <w:szCs w:val="24"/>
          <w:lang w:val="en-GB"/>
        </w:rPr>
        <w:t xml:space="preserve"> There is a </w:t>
      </w:r>
      <w:r w:rsidRPr="00E82E1F">
        <w:rPr>
          <w:sz w:val="24"/>
          <w:szCs w:val="24"/>
          <w:lang w:val="en-GB"/>
        </w:rPr>
        <w:t xml:space="preserve">trade-off between </w:t>
      </w:r>
      <w:r w:rsidR="00EB089C" w:rsidRPr="00E82E1F">
        <w:rPr>
          <w:sz w:val="24"/>
          <w:szCs w:val="24"/>
          <w:lang w:val="en-GB"/>
        </w:rPr>
        <w:t>the</w:t>
      </w:r>
      <w:r w:rsidR="00152AC8" w:rsidRPr="00E82E1F">
        <w:rPr>
          <w:sz w:val="24"/>
          <w:szCs w:val="24"/>
          <w:lang w:val="en-GB"/>
        </w:rPr>
        <w:t xml:space="preserve"> number of </w:t>
      </w:r>
      <w:r w:rsidR="00197D14" w:rsidRPr="00E82E1F">
        <w:rPr>
          <w:sz w:val="24"/>
          <w:szCs w:val="24"/>
          <w:lang w:val="en-GB"/>
        </w:rPr>
        <w:t xml:space="preserve">explanatory </w:t>
      </w:r>
      <w:r w:rsidR="00152AC8" w:rsidRPr="00E82E1F">
        <w:rPr>
          <w:sz w:val="24"/>
          <w:szCs w:val="24"/>
          <w:lang w:val="en-GB"/>
        </w:rPr>
        <w:t>variables</w:t>
      </w:r>
      <w:r w:rsidR="00DA4BB4" w:rsidRPr="00E82E1F">
        <w:rPr>
          <w:sz w:val="24"/>
          <w:szCs w:val="24"/>
          <w:lang w:val="en-GB"/>
        </w:rPr>
        <w:t xml:space="preserve"> included</w:t>
      </w:r>
      <w:r w:rsidRPr="00E82E1F">
        <w:rPr>
          <w:sz w:val="24"/>
          <w:szCs w:val="24"/>
          <w:lang w:val="en-GB"/>
        </w:rPr>
        <w:t xml:space="preserve"> and </w:t>
      </w:r>
      <w:r w:rsidR="00EB089C" w:rsidRPr="00E82E1F">
        <w:rPr>
          <w:sz w:val="24"/>
          <w:szCs w:val="24"/>
          <w:lang w:val="en-GB"/>
        </w:rPr>
        <w:t xml:space="preserve">the </w:t>
      </w:r>
      <w:r w:rsidRPr="00E82E1F">
        <w:rPr>
          <w:sz w:val="24"/>
          <w:szCs w:val="24"/>
          <w:lang w:val="en-GB"/>
        </w:rPr>
        <w:t>sample size.</w:t>
      </w:r>
      <w:r w:rsidR="00F57A68" w:rsidRPr="00E82E1F">
        <w:rPr>
          <w:sz w:val="24"/>
          <w:szCs w:val="24"/>
          <w:lang w:val="en-GB"/>
        </w:rPr>
        <w:t xml:space="preserve"> </w:t>
      </w:r>
      <w:r w:rsidRPr="00E82E1F">
        <w:rPr>
          <w:sz w:val="24"/>
          <w:szCs w:val="24"/>
          <w:lang w:val="en-GB"/>
        </w:rPr>
        <w:t xml:space="preserve">Second, according to La </w:t>
      </w:r>
      <w:proofErr w:type="spellStart"/>
      <w:r w:rsidRPr="00E82E1F">
        <w:rPr>
          <w:sz w:val="24"/>
          <w:szCs w:val="24"/>
          <w:lang w:val="en-GB"/>
        </w:rPr>
        <w:t>Porta</w:t>
      </w:r>
      <w:proofErr w:type="spellEnd"/>
      <w:r w:rsidRPr="00E82E1F">
        <w:rPr>
          <w:sz w:val="24"/>
          <w:szCs w:val="24"/>
          <w:lang w:val="en-GB"/>
        </w:rPr>
        <w:t xml:space="preserve"> </w:t>
      </w:r>
      <w:r w:rsidR="0006642B" w:rsidRPr="00E82E1F">
        <w:rPr>
          <w:i/>
          <w:sz w:val="24"/>
          <w:szCs w:val="24"/>
          <w:lang w:val="en-GB"/>
        </w:rPr>
        <w:t>et al.</w:t>
      </w:r>
      <w:r w:rsidRPr="00E82E1F">
        <w:rPr>
          <w:sz w:val="24"/>
          <w:szCs w:val="24"/>
          <w:lang w:val="en-GB"/>
        </w:rPr>
        <w:t xml:space="preserve"> (2006), the sample</w:t>
      </w:r>
      <w:r w:rsidR="007730D9" w:rsidRPr="00E82E1F">
        <w:rPr>
          <w:sz w:val="24"/>
          <w:szCs w:val="24"/>
          <w:lang w:val="en-GB"/>
        </w:rPr>
        <w:t xml:space="preserve"> comprises the largest stock markets as measured by capitalization in</w:t>
      </w:r>
      <w:r w:rsidR="00B369A1" w:rsidRPr="00E82E1F">
        <w:rPr>
          <w:sz w:val="24"/>
          <w:szCs w:val="24"/>
          <w:lang w:val="en-GB"/>
        </w:rPr>
        <w:t xml:space="preserve"> the</w:t>
      </w:r>
      <w:r w:rsidR="007730D9" w:rsidRPr="00E82E1F">
        <w:rPr>
          <w:sz w:val="24"/>
          <w:szCs w:val="24"/>
          <w:lang w:val="en-GB"/>
        </w:rPr>
        <w:t xml:space="preserve"> 1</w:t>
      </w:r>
      <w:r w:rsidR="00722342" w:rsidRPr="00E82E1F">
        <w:rPr>
          <w:sz w:val="24"/>
          <w:szCs w:val="24"/>
          <w:lang w:val="en-GB"/>
        </w:rPr>
        <w:t>990</w:t>
      </w:r>
      <w:r w:rsidR="008351D0" w:rsidRPr="00E82E1F">
        <w:rPr>
          <w:sz w:val="24"/>
          <w:szCs w:val="24"/>
          <w:lang w:val="en-GB"/>
        </w:rPr>
        <w:t>s, which</w:t>
      </w:r>
      <w:r w:rsidR="0047765A" w:rsidRPr="00E82E1F">
        <w:rPr>
          <w:sz w:val="24"/>
          <w:szCs w:val="24"/>
          <w:lang w:val="en-GB"/>
        </w:rPr>
        <w:t xml:space="preserve"> already accounted</w:t>
      </w:r>
      <w:r w:rsidR="007730D9" w:rsidRPr="00E82E1F">
        <w:rPr>
          <w:sz w:val="24"/>
          <w:szCs w:val="24"/>
          <w:lang w:val="en-GB"/>
        </w:rPr>
        <w:t xml:space="preserve"> for the majority of important stock markets across the world.</w:t>
      </w:r>
    </w:p>
    <w:p w:rsidR="00E371A0" w:rsidRPr="00E82E1F" w:rsidRDefault="005C0ECB" w:rsidP="00510ED6">
      <w:pPr>
        <w:spacing w:beforeLines="100"/>
        <w:mirrorIndents/>
        <w:rPr>
          <w:sz w:val="24"/>
          <w:szCs w:val="24"/>
          <w:lang w:val="en-GB"/>
        </w:rPr>
      </w:pPr>
      <w:r w:rsidRPr="00E82E1F">
        <w:rPr>
          <w:sz w:val="24"/>
          <w:szCs w:val="24"/>
          <w:lang w:val="en-GB"/>
        </w:rPr>
        <w:t xml:space="preserve">In addition, </w:t>
      </w:r>
      <w:r w:rsidR="003B7324" w:rsidRPr="00E82E1F">
        <w:rPr>
          <w:sz w:val="24"/>
          <w:szCs w:val="24"/>
          <w:lang w:val="en-GB"/>
        </w:rPr>
        <w:t>the dependent variables are proxies for stock market development, including “</w:t>
      </w:r>
      <w:r w:rsidR="003F7737" w:rsidRPr="00E82E1F">
        <w:rPr>
          <w:sz w:val="24"/>
          <w:szCs w:val="24"/>
          <w:lang w:val="en-GB"/>
        </w:rPr>
        <w:t>CMMKT</w:t>
      </w:r>
      <w:r w:rsidR="008C5B55" w:rsidRPr="00E82E1F">
        <w:rPr>
          <w:sz w:val="24"/>
          <w:szCs w:val="24"/>
          <w:lang w:val="en-GB"/>
        </w:rPr>
        <w:t xml:space="preserve"> (</w:t>
      </w:r>
      <w:r w:rsidR="003F7737" w:rsidRPr="00E82E1F">
        <w:rPr>
          <w:sz w:val="24"/>
          <w:szCs w:val="24"/>
          <w:lang w:val="en-GB"/>
        </w:rPr>
        <w:t>stock market capitalization to GDP</w:t>
      </w:r>
      <w:r w:rsidR="008C5B55" w:rsidRPr="00E82E1F">
        <w:rPr>
          <w:sz w:val="24"/>
          <w:szCs w:val="24"/>
          <w:lang w:val="en-GB"/>
        </w:rPr>
        <w:t>)</w:t>
      </w:r>
      <w:r w:rsidR="003B7324" w:rsidRPr="00E82E1F">
        <w:rPr>
          <w:sz w:val="24"/>
          <w:szCs w:val="24"/>
          <w:lang w:val="en-GB"/>
        </w:rPr>
        <w:t>”, “</w:t>
      </w:r>
      <w:r w:rsidR="003F7737" w:rsidRPr="00E82E1F">
        <w:rPr>
          <w:sz w:val="24"/>
          <w:szCs w:val="24"/>
          <w:lang w:val="en-GB"/>
        </w:rPr>
        <w:t xml:space="preserve">LNLISTED </w:t>
      </w:r>
      <w:r w:rsidR="008C5B55" w:rsidRPr="00E82E1F">
        <w:rPr>
          <w:sz w:val="24"/>
          <w:szCs w:val="24"/>
          <w:lang w:val="en-GB"/>
        </w:rPr>
        <w:t>(</w:t>
      </w:r>
      <w:r w:rsidR="003F7737" w:rsidRPr="00E82E1F">
        <w:rPr>
          <w:sz w:val="24"/>
          <w:szCs w:val="24"/>
          <w:lang w:val="en-GB"/>
        </w:rPr>
        <w:t>logarithm of the average ratio of the number of domestic firms listed in a given country to its population</w:t>
      </w:r>
      <w:r w:rsidR="008C5B55" w:rsidRPr="00E82E1F">
        <w:rPr>
          <w:sz w:val="24"/>
          <w:szCs w:val="24"/>
          <w:lang w:val="en-GB"/>
        </w:rPr>
        <w:t>)</w:t>
      </w:r>
      <w:r w:rsidR="003B7324" w:rsidRPr="00E82E1F">
        <w:rPr>
          <w:sz w:val="24"/>
          <w:szCs w:val="24"/>
          <w:lang w:val="en-GB"/>
        </w:rPr>
        <w:t>”, “</w:t>
      </w:r>
      <w:r w:rsidR="003F7737" w:rsidRPr="00E82E1F">
        <w:rPr>
          <w:sz w:val="24"/>
          <w:szCs w:val="24"/>
          <w:lang w:val="en-GB"/>
        </w:rPr>
        <w:t>IPO</w:t>
      </w:r>
      <w:r w:rsidR="002B0177" w:rsidRPr="00E82E1F">
        <w:rPr>
          <w:sz w:val="24"/>
          <w:szCs w:val="24"/>
          <w:lang w:val="en-GB"/>
        </w:rPr>
        <w:t xml:space="preserve"> (</w:t>
      </w:r>
      <w:r w:rsidR="003F7737" w:rsidRPr="00E82E1F">
        <w:rPr>
          <w:sz w:val="24"/>
          <w:szCs w:val="24"/>
          <w:lang w:val="en-GB"/>
        </w:rPr>
        <w:t>the average ratio of the equity issued by newly listed firms in a given country to its GDP</w:t>
      </w:r>
      <w:r w:rsidR="002B0177" w:rsidRPr="00E82E1F">
        <w:rPr>
          <w:sz w:val="24"/>
          <w:szCs w:val="24"/>
          <w:lang w:val="en-GB"/>
        </w:rPr>
        <w:t>)</w:t>
      </w:r>
      <w:r w:rsidR="003B7324" w:rsidRPr="00E82E1F">
        <w:rPr>
          <w:sz w:val="24"/>
          <w:szCs w:val="24"/>
          <w:lang w:val="en-GB"/>
        </w:rPr>
        <w:t>”, a</w:t>
      </w:r>
      <w:r w:rsidR="002B0177" w:rsidRPr="00E82E1F">
        <w:rPr>
          <w:sz w:val="24"/>
          <w:szCs w:val="24"/>
          <w:lang w:val="en-GB"/>
        </w:rPr>
        <w:t>nd the market liquidity proxy “</w:t>
      </w:r>
      <w:r w:rsidR="003F7737" w:rsidRPr="00E82E1F">
        <w:rPr>
          <w:sz w:val="24"/>
          <w:szCs w:val="24"/>
          <w:lang w:val="en-GB"/>
        </w:rPr>
        <w:t xml:space="preserve">TRADE </w:t>
      </w:r>
      <w:r w:rsidR="008C5B55" w:rsidRPr="00E82E1F">
        <w:rPr>
          <w:sz w:val="24"/>
          <w:szCs w:val="24"/>
          <w:lang w:val="en-GB"/>
        </w:rPr>
        <w:t>(</w:t>
      </w:r>
      <w:r w:rsidR="003F7737" w:rsidRPr="00E82E1F">
        <w:rPr>
          <w:sz w:val="24"/>
          <w:szCs w:val="24"/>
          <w:lang w:val="en-GB"/>
        </w:rPr>
        <w:t>the average total value of stocks traded as a percentage of GDP</w:t>
      </w:r>
      <w:r w:rsidR="008C5B55" w:rsidRPr="00E82E1F">
        <w:rPr>
          <w:sz w:val="24"/>
          <w:szCs w:val="24"/>
          <w:lang w:val="en-GB"/>
        </w:rPr>
        <w:t>)</w:t>
      </w:r>
      <w:r w:rsidR="003B7324" w:rsidRPr="00E82E1F">
        <w:rPr>
          <w:sz w:val="24"/>
          <w:szCs w:val="24"/>
          <w:lang w:val="en-GB"/>
        </w:rPr>
        <w:t xml:space="preserve">”. The </w:t>
      </w:r>
      <w:r w:rsidR="008C5B55" w:rsidRPr="00E82E1F">
        <w:rPr>
          <w:sz w:val="24"/>
          <w:szCs w:val="24"/>
          <w:lang w:val="en-GB"/>
        </w:rPr>
        <w:t>variable TRADE</w:t>
      </w:r>
      <w:r w:rsidR="003B7324" w:rsidRPr="00E82E1F">
        <w:rPr>
          <w:sz w:val="24"/>
          <w:szCs w:val="24"/>
          <w:lang w:val="en-GB"/>
        </w:rPr>
        <w:t xml:space="preserve"> is not included in DLLS (2008)</w:t>
      </w:r>
      <w:r w:rsidR="008C5B55" w:rsidRPr="00E82E1F">
        <w:rPr>
          <w:sz w:val="24"/>
          <w:szCs w:val="24"/>
          <w:lang w:val="en-GB"/>
        </w:rPr>
        <w:t xml:space="preserve"> as a dependent variable</w:t>
      </w:r>
      <w:r w:rsidR="003B7324" w:rsidRPr="00E82E1F">
        <w:rPr>
          <w:sz w:val="24"/>
          <w:szCs w:val="24"/>
          <w:lang w:val="en-GB"/>
        </w:rPr>
        <w:t xml:space="preserve">, </w:t>
      </w:r>
      <w:r w:rsidR="0041721B" w:rsidRPr="00E82E1F">
        <w:rPr>
          <w:sz w:val="24"/>
          <w:szCs w:val="24"/>
          <w:lang w:val="en-GB"/>
        </w:rPr>
        <w:t xml:space="preserve">although </w:t>
      </w:r>
      <w:r w:rsidR="003B7324" w:rsidRPr="00E82E1F">
        <w:rPr>
          <w:sz w:val="24"/>
          <w:szCs w:val="24"/>
          <w:lang w:val="en-GB"/>
        </w:rPr>
        <w:t>it is a very important characteristic of stock market development.</w:t>
      </w:r>
      <w:r w:rsidR="00B8779C">
        <w:rPr>
          <w:rStyle w:val="a6"/>
          <w:sz w:val="24"/>
          <w:szCs w:val="24"/>
          <w:lang w:val="en-GB"/>
        </w:rPr>
        <w:footnoteReference w:id="23"/>
      </w:r>
      <w:r w:rsidR="00B8779C">
        <w:rPr>
          <w:rFonts w:hint="eastAsia"/>
          <w:sz w:val="24"/>
          <w:szCs w:val="24"/>
          <w:lang w:val="en-GB"/>
        </w:rPr>
        <w:t xml:space="preserve"> </w:t>
      </w:r>
      <w:r w:rsidR="004C64D1" w:rsidRPr="00E82E1F">
        <w:rPr>
          <w:sz w:val="24"/>
          <w:szCs w:val="24"/>
          <w:lang w:val="en-GB"/>
        </w:rPr>
        <w:t xml:space="preserve">To create a level field for the </w:t>
      </w:r>
      <w:r w:rsidR="004C64D1" w:rsidRPr="00E82E1F">
        <w:rPr>
          <w:sz w:val="24"/>
          <w:szCs w:val="24"/>
          <w:lang w:val="en-GB"/>
        </w:rPr>
        <w:lastRenderedPageBreak/>
        <w:t xml:space="preserve">theoretical explanatory variables to compete with each other, we set no free variables that comprise </w:t>
      </w:r>
      <w:r w:rsidR="004C64D1" w:rsidRPr="00E82E1F">
        <w:rPr>
          <w:i/>
          <w:sz w:val="24"/>
          <w:szCs w:val="24"/>
          <w:lang w:val="en-GB"/>
        </w:rPr>
        <w:t>X</w:t>
      </w:r>
      <w:r w:rsidR="004C64D1" w:rsidRPr="00E82E1F">
        <w:rPr>
          <w:i/>
          <w:sz w:val="24"/>
          <w:szCs w:val="24"/>
          <w:vertAlign w:val="subscript"/>
          <w:lang w:val="en-GB"/>
        </w:rPr>
        <w:t>1</w:t>
      </w:r>
      <w:r w:rsidR="004C64D1" w:rsidRPr="00E82E1F">
        <w:rPr>
          <w:sz w:val="24"/>
          <w:szCs w:val="24"/>
          <w:lang w:val="en-GB"/>
        </w:rPr>
        <w:t xml:space="preserve"> in Equation (1) </w:t>
      </w:r>
      <w:r w:rsidR="004C64D1" w:rsidRPr="00E82E1F">
        <w:rPr>
          <w:i/>
          <w:sz w:val="24"/>
          <w:szCs w:val="24"/>
          <w:lang w:val="en-GB"/>
        </w:rPr>
        <w:t>a priori</w:t>
      </w:r>
      <w:r w:rsidR="004C64D1" w:rsidRPr="00E82E1F">
        <w:rPr>
          <w:sz w:val="24"/>
          <w:szCs w:val="24"/>
          <w:lang w:val="en-GB"/>
        </w:rPr>
        <w:t xml:space="preserve">. The </w:t>
      </w:r>
      <w:r w:rsidR="00C9189A" w:rsidRPr="00E82E1F">
        <w:rPr>
          <w:sz w:val="24"/>
          <w:szCs w:val="24"/>
          <w:lang w:val="en-GB"/>
        </w:rPr>
        <w:t>26</w:t>
      </w:r>
      <w:r w:rsidR="003B7324" w:rsidRPr="00E82E1F">
        <w:rPr>
          <w:sz w:val="24"/>
          <w:szCs w:val="24"/>
          <w:lang w:val="en-GB"/>
        </w:rPr>
        <w:t xml:space="preserve"> </w:t>
      </w:r>
      <w:r w:rsidR="004048A2" w:rsidRPr="00E82E1F">
        <w:rPr>
          <w:sz w:val="24"/>
          <w:szCs w:val="24"/>
          <w:lang w:val="en-GB"/>
        </w:rPr>
        <w:t xml:space="preserve">explanatory </w:t>
      </w:r>
      <w:r w:rsidR="003B7324" w:rsidRPr="00E82E1F">
        <w:rPr>
          <w:sz w:val="24"/>
          <w:szCs w:val="24"/>
          <w:lang w:val="en-GB"/>
        </w:rPr>
        <w:t xml:space="preserve">variables discussed in the previous literature and reviewed in Section 2 of this article are included </w:t>
      </w:r>
      <w:r w:rsidR="004048A2" w:rsidRPr="00E82E1F">
        <w:rPr>
          <w:sz w:val="24"/>
          <w:szCs w:val="24"/>
          <w:lang w:val="en-GB"/>
        </w:rPr>
        <w:t xml:space="preserve">as the doubtful variables and </w:t>
      </w:r>
      <w:r w:rsidR="00110463" w:rsidRPr="00E82E1F">
        <w:rPr>
          <w:sz w:val="24"/>
          <w:szCs w:val="24"/>
          <w:lang w:val="en-GB"/>
        </w:rPr>
        <w:t>to</w:t>
      </w:r>
      <w:r w:rsidR="003B7324" w:rsidRPr="00E82E1F">
        <w:rPr>
          <w:sz w:val="24"/>
          <w:szCs w:val="24"/>
          <w:lang w:val="en-GB"/>
        </w:rPr>
        <w:t xml:space="preserve"> form</w:t>
      </w:r>
      <w:r w:rsidR="004048A2" w:rsidRPr="00E82E1F">
        <w:rPr>
          <w:sz w:val="24"/>
          <w:szCs w:val="24"/>
          <w:lang w:val="en-GB"/>
        </w:rPr>
        <w:t xml:space="preserve"> </w:t>
      </w:r>
      <w:r w:rsidR="003B7324" w:rsidRPr="00E82E1F">
        <w:rPr>
          <w:i/>
          <w:sz w:val="24"/>
          <w:szCs w:val="24"/>
          <w:lang w:val="en-GB"/>
        </w:rPr>
        <w:t>X</w:t>
      </w:r>
      <w:r w:rsidR="003B7324" w:rsidRPr="00E82E1F">
        <w:rPr>
          <w:i/>
          <w:sz w:val="24"/>
          <w:szCs w:val="24"/>
          <w:vertAlign w:val="subscript"/>
          <w:lang w:val="en-GB"/>
        </w:rPr>
        <w:t>2</w:t>
      </w:r>
      <w:r w:rsidR="003B7324" w:rsidRPr="00E82E1F">
        <w:rPr>
          <w:sz w:val="24"/>
          <w:szCs w:val="24"/>
          <w:lang w:val="en-GB"/>
        </w:rPr>
        <w:t xml:space="preserve">. </w:t>
      </w:r>
      <w:r w:rsidR="007C7E13" w:rsidRPr="00E82E1F">
        <w:rPr>
          <w:sz w:val="24"/>
          <w:szCs w:val="24"/>
          <w:lang w:val="en-GB"/>
        </w:rPr>
        <w:t xml:space="preserve">Model uncertainty arises whenever a different subset of </w:t>
      </w:r>
      <w:r w:rsidR="007C7E13" w:rsidRPr="00E82E1F">
        <w:rPr>
          <w:i/>
          <w:sz w:val="24"/>
          <w:szCs w:val="24"/>
          <w:lang w:val="en-GB"/>
        </w:rPr>
        <w:t>X</w:t>
      </w:r>
      <w:r w:rsidR="007C7E13" w:rsidRPr="00E82E1F">
        <w:rPr>
          <w:i/>
          <w:sz w:val="24"/>
          <w:szCs w:val="24"/>
          <w:vertAlign w:val="subscript"/>
          <w:lang w:val="en-GB"/>
        </w:rPr>
        <w:t>2</w:t>
      </w:r>
      <w:r w:rsidR="007C7E13" w:rsidRPr="00E82E1F">
        <w:rPr>
          <w:sz w:val="24"/>
          <w:szCs w:val="24"/>
          <w:lang w:val="en-GB"/>
        </w:rPr>
        <w:t xml:space="preserve"> is excluded. The exclusion of doubtful variables means that the corresponding elements of </w:t>
      </w:r>
      <w:r w:rsidR="007C7E13" w:rsidRPr="00E82E1F">
        <w:rPr>
          <w:i/>
          <w:sz w:val="24"/>
          <w:szCs w:val="24"/>
          <w:lang w:val="en-GB"/>
        </w:rPr>
        <w:t>β</w:t>
      </w:r>
      <w:r w:rsidR="007C7E13" w:rsidRPr="00E82E1F">
        <w:rPr>
          <w:i/>
          <w:sz w:val="24"/>
          <w:szCs w:val="24"/>
          <w:vertAlign w:val="subscript"/>
          <w:lang w:val="en-GB"/>
        </w:rPr>
        <w:t>2</w:t>
      </w:r>
      <w:r w:rsidR="007C7E13" w:rsidRPr="00E82E1F">
        <w:rPr>
          <w:i/>
          <w:sz w:val="24"/>
          <w:szCs w:val="24"/>
          <w:lang w:val="en-GB"/>
        </w:rPr>
        <w:t xml:space="preserve"> </w:t>
      </w:r>
      <w:r w:rsidR="007C7E13" w:rsidRPr="00E82E1F">
        <w:rPr>
          <w:sz w:val="24"/>
          <w:szCs w:val="24"/>
          <w:lang w:val="en-GB"/>
        </w:rPr>
        <w:t>are set to zero (</w:t>
      </w:r>
      <w:proofErr w:type="spellStart"/>
      <w:r w:rsidR="007C7E13" w:rsidRPr="00E82E1F">
        <w:rPr>
          <w:sz w:val="24"/>
          <w:szCs w:val="24"/>
          <w:lang w:val="en-GB"/>
        </w:rPr>
        <w:t>Raftery</w:t>
      </w:r>
      <w:proofErr w:type="spellEnd"/>
      <w:r w:rsidR="007C7E13" w:rsidRPr="00E82E1F">
        <w:rPr>
          <w:sz w:val="24"/>
          <w:szCs w:val="24"/>
          <w:lang w:val="en-GB"/>
        </w:rPr>
        <w:t xml:space="preserve">, Madigan </w:t>
      </w:r>
      <w:r w:rsidR="00EE0A03" w:rsidRPr="00E82E1F">
        <w:rPr>
          <w:sz w:val="24"/>
          <w:szCs w:val="24"/>
          <w:lang w:val="en-GB"/>
        </w:rPr>
        <w:t>and</w:t>
      </w:r>
      <w:r w:rsidR="007C7E13" w:rsidRPr="00E82E1F">
        <w:rPr>
          <w:sz w:val="24"/>
          <w:szCs w:val="24"/>
          <w:lang w:val="en-GB"/>
        </w:rPr>
        <w:t xml:space="preserve"> </w:t>
      </w:r>
      <w:proofErr w:type="spellStart"/>
      <w:r w:rsidR="007C7E13" w:rsidRPr="00E82E1F">
        <w:rPr>
          <w:sz w:val="24"/>
          <w:szCs w:val="24"/>
          <w:lang w:val="en-GB"/>
        </w:rPr>
        <w:t>Hoeting</w:t>
      </w:r>
      <w:proofErr w:type="spellEnd"/>
      <w:r w:rsidR="007C7E13" w:rsidRPr="00E82E1F">
        <w:rPr>
          <w:sz w:val="24"/>
          <w:szCs w:val="24"/>
          <w:lang w:val="en-GB"/>
        </w:rPr>
        <w:t xml:space="preserve">, 1997). </w:t>
      </w:r>
      <w:r w:rsidR="003B37E1" w:rsidRPr="00E82E1F">
        <w:rPr>
          <w:sz w:val="24"/>
          <w:szCs w:val="24"/>
          <w:lang w:val="en-GB"/>
        </w:rPr>
        <w:t xml:space="preserve">The descriptive statistics of </w:t>
      </w:r>
      <w:r w:rsidR="004048A2" w:rsidRPr="00E82E1F">
        <w:rPr>
          <w:sz w:val="24"/>
          <w:szCs w:val="24"/>
          <w:lang w:val="en-GB"/>
        </w:rPr>
        <w:t>the explained</w:t>
      </w:r>
      <w:r w:rsidR="007C7E13" w:rsidRPr="00E82E1F">
        <w:rPr>
          <w:sz w:val="24"/>
          <w:szCs w:val="24"/>
          <w:lang w:val="en-GB"/>
        </w:rPr>
        <w:t xml:space="preserve"> </w:t>
      </w:r>
      <w:r w:rsidR="003B37E1" w:rsidRPr="00E82E1F">
        <w:rPr>
          <w:sz w:val="24"/>
          <w:szCs w:val="24"/>
          <w:lang w:val="en-GB"/>
        </w:rPr>
        <w:t xml:space="preserve">and </w:t>
      </w:r>
      <w:r w:rsidR="007C7E13" w:rsidRPr="00E82E1F">
        <w:rPr>
          <w:sz w:val="24"/>
          <w:szCs w:val="24"/>
          <w:lang w:val="en-GB"/>
        </w:rPr>
        <w:t>doubtful variables</w:t>
      </w:r>
      <w:r w:rsidR="003B37E1" w:rsidRPr="00E82E1F">
        <w:rPr>
          <w:sz w:val="24"/>
          <w:szCs w:val="24"/>
          <w:lang w:val="en-GB"/>
        </w:rPr>
        <w:t xml:space="preserve"> are reported in Table 1.</w:t>
      </w:r>
      <w:r w:rsidR="007C7E13" w:rsidRPr="00E82E1F">
        <w:rPr>
          <w:sz w:val="24"/>
          <w:szCs w:val="24"/>
          <w:lang w:val="en-GB"/>
        </w:rPr>
        <w:t xml:space="preserve"> </w:t>
      </w:r>
    </w:p>
    <w:p w:rsidR="004638F2" w:rsidRPr="00E82E1F" w:rsidRDefault="00B764D5" w:rsidP="00510ED6">
      <w:pPr>
        <w:spacing w:beforeLines="100"/>
        <w:mirrorIndents/>
        <w:rPr>
          <w:sz w:val="24"/>
          <w:szCs w:val="24"/>
          <w:lang w:val="en-GB"/>
        </w:rPr>
      </w:pPr>
      <w:r w:rsidRPr="00E82E1F">
        <w:rPr>
          <w:sz w:val="24"/>
          <w:szCs w:val="24"/>
          <w:lang w:val="en-GB"/>
        </w:rPr>
        <w:t>Bayesian thinking differs from classic statistics in that the regression parameters are deemed to be uncertain</w:t>
      </w:r>
      <w:r w:rsidR="00A75A55" w:rsidRPr="00E82E1F">
        <w:rPr>
          <w:sz w:val="24"/>
          <w:szCs w:val="24"/>
          <w:lang w:val="en-GB"/>
        </w:rPr>
        <w:t xml:space="preserve"> and</w:t>
      </w:r>
      <w:r w:rsidRPr="00E82E1F">
        <w:rPr>
          <w:sz w:val="24"/>
          <w:szCs w:val="24"/>
          <w:lang w:val="en-GB"/>
        </w:rPr>
        <w:t xml:space="preserve"> therefore have probability </w:t>
      </w:r>
      <w:r w:rsidR="006D13C1" w:rsidRPr="00E82E1F">
        <w:rPr>
          <w:sz w:val="24"/>
          <w:szCs w:val="24"/>
          <w:lang w:val="en-GB"/>
        </w:rPr>
        <w:t>distributions</w:t>
      </w:r>
      <w:r w:rsidRPr="00E82E1F">
        <w:rPr>
          <w:sz w:val="24"/>
          <w:szCs w:val="24"/>
          <w:lang w:val="en-GB"/>
        </w:rPr>
        <w:t>. The estimators are the expectations of the stochastic coefficients, conditional on the observed data. Because each model estimated will contribute to the knowledge on parameter distribution,</w:t>
      </w:r>
      <w:r w:rsidR="00344B0A" w:rsidRPr="00E82E1F">
        <w:rPr>
          <w:sz w:val="24"/>
          <w:szCs w:val="24"/>
          <w:lang w:val="en-GB"/>
        </w:rPr>
        <w:t xml:space="preserve"> </w:t>
      </w:r>
      <w:r w:rsidR="002D1FC9" w:rsidRPr="00E82E1F">
        <w:rPr>
          <w:sz w:val="24"/>
          <w:szCs w:val="24"/>
          <w:lang w:val="en-GB"/>
        </w:rPr>
        <w:t xml:space="preserve">a Bayesian weight is calculated and applied to combine all of the information. Thus, the BMA algorithm assigns each model a posterior probability that will be used as the Bayesian weights to average over all possible estimated parameters. </w:t>
      </w:r>
      <w:r w:rsidR="00344B0A" w:rsidRPr="00E82E1F">
        <w:rPr>
          <w:sz w:val="24"/>
          <w:szCs w:val="24"/>
          <w:lang w:val="en-GB"/>
        </w:rPr>
        <w:t>To compute the Bayesian weight, we</w:t>
      </w:r>
      <w:r w:rsidR="008359E6" w:rsidRPr="00E82E1F">
        <w:rPr>
          <w:sz w:val="24"/>
          <w:szCs w:val="24"/>
          <w:lang w:val="en-GB"/>
        </w:rPr>
        <w:t xml:space="preserve"> follow the previous practice and impose </w:t>
      </w:r>
      <w:r w:rsidR="004638F2" w:rsidRPr="00E82E1F">
        <w:rPr>
          <w:sz w:val="24"/>
          <w:szCs w:val="24"/>
          <w:lang w:val="en-GB"/>
        </w:rPr>
        <w:t>equal prior probabilities on each model</w:t>
      </w:r>
      <w:r w:rsidR="003555C9" w:rsidRPr="00E82E1F">
        <w:rPr>
          <w:sz w:val="24"/>
          <w:szCs w:val="24"/>
          <w:lang w:val="en-GB"/>
        </w:rPr>
        <w:t xml:space="preserve"> in the model space</w:t>
      </w:r>
      <w:r w:rsidR="004638F2" w:rsidRPr="00E82E1F">
        <w:rPr>
          <w:sz w:val="24"/>
          <w:szCs w:val="24"/>
          <w:lang w:val="en-GB"/>
        </w:rPr>
        <w:t xml:space="preserve">, in addition to assigning </w:t>
      </w:r>
      <w:r w:rsidR="00344B0A" w:rsidRPr="00E82E1F">
        <w:rPr>
          <w:sz w:val="24"/>
          <w:szCs w:val="24"/>
          <w:lang w:val="en-GB"/>
        </w:rPr>
        <w:t xml:space="preserve">the conventional </w:t>
      </w:r>
      <w:proofErr w:type="spellStart"/>
      <w:r w:rsidR="00344B0A" w:rsidRPr="00E82E1F">
        <w:rPr>
          <w:sz w:val="24"/>
          <w:szCs w:val="24"/>
          <w:lang w:val="en-GB"/>
        </w:rPr>
        <w:t>noninformative</w:t>
      </w:r>
      <w:proofErr w:type="spellEnd"/>
      <w:r w:rsidR="00344B0A" w:rsidRPr="00E82E1F">
        <w:rPr>
          <w:sz w:val="24"/>
          <w:szCs w:val="24"/>
          <w:lang w:val="en-GB"/>
        </w:rPr>
        <w:t xml:space="preserve"> priors</w:t>
      </w:r>
      <w:r w:rsidR="008359E6" w:rsidRPr="00E82E1F">
        <w:rPr>
          <w:sz w:val="24"/>
          <w:szCs w:val="24"/>
          <w:lang w:val="en-GB"/>
        </w:rPr>
        <w:t xml:space="preserve"> to the </w:t>
      </w:r>
      <w:r w:rsidR="00344B0A" w:rsidRPr="00E82E1F">
        <w:rPr>
          <w:sz w:val="24"/>
          <w:szCs w:val="24"/>
          <w:lang w:val="en-GB"/>
        </w:rPr>
        <w:t xml:space="preserve">parameters </w:t>
      </w:r>
      <w:r w:rsidR="00344B0A" w:rsidRPr="00E82E1F">
        <w:rPr>
          <w:i/>
          <w:sz w:val="24"/>
          <w:szCs w:val="24"/>
          <w:lang w:val="en-GB"/>
        </w:rPr>
        <w:t>β</w:t>
      </w:r>
      <w:r w:rsidR="00344B0A" w:rsidRPr="00E82E1F">
        <w:rPr>
          <w:i/>
          <w:sz w:val="24"/>
          <w:szCs w:val="24"/>
          <w:vertAlign w:val="subscript"/>
          <w:lang w:val="en-GB"/>
        </w:rPr>
        <w:t>1</w:t>
      </w:r>
      <w:r w:rsidR="00344B0A" w:rsidRPr="00E82E1F">
        <w:rPr>
          <w:sz w:val="24"/>
          <w:szCs w:val="24"/>
          <w:lang w:val="en-GB"/>
        </w:rPr>
        <w:t xml:space="preserve"> of the free variables and the error variance and </w:t>
      </w:r>
      <w:r w:rsidR="008359E6" w:rsidRPr="00E82E1F">
        <w:rPr>
          <w:sz w:val="24"/>
          <w:szCs w:val="24"/>
          <w:lang w:val="en-GB"/>
        </w:rPr>
        <w:t xml:space="preserve">an informative Gaussian prior </w:t>
      </w:r>
      <w:r w:rsidR="004638F2" w:rsidRPr="00E82E1F">
        <w:rPr>
          <w:sz w:val="24"/>
          <w:szCs w:val="24"/>
          <w:lang w:val="en-GB"/>
        </w:rPr>
        <w:t>to</w:t>
      </w:r>
      <w:r w:rsidR="00344B0A" w:rsidRPr="00E82E1F">
        <w:rPr>
          <w:sz w:val="24"/>
          <w:szCs w:val="24"/>
          <w:lang w:val="en-GB"/>
        </w:rPr>
        <w:t xml:space="preserve"> the parameters </w:t>
      </w:r>
      <w:r w:rsidR="00344B0A" w:rsidRPr="00E82E1F">
        <w:rPr>
          <w:i/>
          <w:sz w:val="24"/>
          <w:szCs w:val="24"/>
          <w:lang w:val="en-GB"/>
        </w:rPr>
        <w:t>β</w:t>
      </w:r>
      <w:r w:rsidR="00344B0A" w:rsidRPr="00E82E1F">
        <w:rPr>
          <w:i/>
          <w:sz w:val="24"/>
          <w:szCs w:val="24"/>
          <w:vertAlign w:val="subscript"/>
          <w:lang w:val="en-GB"/>
        </w:rPr>
        <w:t>2i</w:t>
      </w:r>
      <w:r w:rsidR="00344B0A" w:rsidRPr="00E82E1F">
        <w:rPr>
          <w:sz w:val="24"/>
          <w:szCs w:val="24"/>
          <w:lang w:val="en-GB"/>
        </w:rPr>
        <w:t xml:space="preserve"> of doubtful variables.</w:t>
      </w:r>
      <w:r w:rsidR="00B8779C">
        <w:rPr>
          <w:rStyle w:val="a6"/>
          <w:sz w:val="24"/>
          <w:szCs w:val="24"/>
          <w:lang w:val="en-GB"/>
        </w:rPr>
        <w:footnoteReference w:id="24"/>
      </w:r>
    </w:p>
    <w:p w:rsidR="002016DC" w:rsidRPr="00E82E1F" w:rsidRDefault="00774726" w:rsidP="00510ED6">
      <w:pPr>
        <w:spacing w:beforeLines="100"/>
        <w:mirrorIndents/>
        <w:rPr>
          <w:sz w:val="24"/>
          <w:szCs w:val="24"/>
          <w:lang w:val="en-GB"/>
        </w:rPr>
      </w:pPr>
      <w:r w:rsidRPr="00E82E1F">
        <w:rPr>
          <w:sz w:val="24"/>
          <w:szCs w:val="24"/>
          <w:lang w:val="en-GB"/>
        </w:rPr>
        <w:t xml:space="preserve">The </w:t>
      </w:r>
      <w:bookmarkStart w:id="68" w:name="OLE_LINK87"/>
      <w:bookmarkStart w:id="69" w:name="OLE_LINK88"/>
      <w:r w:rsidR="008D4FF2" w:rsidRPr="00E82E1F">
        <w:rPr>
          <w:sz w:val="24"/>
          <w:szCs w:val="24"/>
          <w:lang w:val="en-GB"/>
        </w:rPr>
        <w:t xml:space="preserve">dimension of the </w:t>
      </w:r>
      <w:r w:rsidRPr="00E82E1F">
        <w:rPr>
          <w:sz w:val="24"/>
          <w:szCs w:val="24"/>
          <w:lang w:val="en-GB"/>
        </w:rPr>
        <w:t>model space</w:t>
      </w:r>
      <w:bookmarkEnd w:id="68"/>
      <w:bookmarkEnd w:id="69"/>
      <w:r w:rsidRPr="00E82E1F">
        <w:rPr>
          <w:sz w:val="24"/>
          <w:szCs w:val="24"/>
          <w:lang w:val="en-GB"/>
        </w:rPr>
        <w:t xml:space="preserve"> is determined by the number of doubtful variables, </w:t>
      </w:r>
      <w:proofErr w:type="gramStart"/>
      <w:r w:rsidRPr="00E82E1F">
        <w:rPr>
          <w:i/>
          <w:sz w:val="24"/>
          <w:szCs w:val="24"/>
          <w:lang w:val="en-GB"/>
        </w:rPr>
        <w:t>k</w:t>
      </w:r>
      <w:r w:rsidRPr="00E82E1F">
        <w:rPr>
          <w:i/>
          <w:sz w:val="24"/>
          <w:szCs w:val="24"/>
          <w:vertAlign w:val="subscript"/>
          <w:lang w:val="en-GB"/>
        </w:rPr>
        <w:t>2</w:t>
      </w:r>
      <w:proofErr w:type="gramEnd"/>
      <w:r w:rsidR="008230EF" w:rsidRPr="00E82E1F">
        <w:rPr>
          <w:sz w:val="24"/>
          <w:szCs w:val="24"/>
          <w:lang w:val="en-GB"/>
        </w:rPr>
        <w:t>,</w:t>
      </w:r>
      <w:r w:rsidRPr="00E82E1F">
        <w:rPr>
          <w:sz w:val="24"/>
          <w:szCs w:val="24"/>
          <w:lang w:val="en-GB"/>
        </w:rPr>
        <w:t xml:space="preserve"> and equals</w:t>
      </w:r>
      <w:r w:rsidR="00054B19" w:rsidRPr="00E82E1F">
        <w:rPr>
          <w:sz w:val="24"/>
          <w:szCs w:val="24"/>
          <w:lang w:val="en-GB"/>
        </w:rPr>
        <w:t xml:space="preserve"> 2</w:t>
      </w:r>
      <w:r w:rsidR="00054B19" w:rsidRPr="00E82E1F">
        <w:rPr>
          <w:sz w:val="24"/>
          <w:szCs w:val="24"/>
          <w:vertAlign w:val="superscript"/>
          <w:lang w:val="en-GB"/>
        </w:rPr>
        <w:t>k2</w:t>
      </w:r>
      <w:r w:rsidRPr="00E82E1F">
        <w:rPr>
          <w:sz w:val="24"/>
          <w:szCs w:val="24"/>
          <w:lang w:val="en-GB"/>
        </w:rPr>
        <w:t xml:space="preserve">, the </w:t>
      </w:r>
      <w:proofErr w:type="spellStart"/>
      <w:r w:rsidRPr="00E82E1F">
        <w:rPr>
          <w:i/>
          <w:sz w:val="24"/>
          <w:szCs w:val="24"/>
          <w:lang w:val="en-GB"/>
        </w:rPr>
        <w:t>i</w:t>
      </w:r>
      <w:r w:rsidRPr="00E82E1F">
        <w:rPr>
          <w:i/>
          <w:sz w:val="24"/>
          <w:szCs w:val="24"/>
          <w:vertAlign w:val="superscript"/>
          <w:lang w:val="en-GB"/>
        </w:rPr>
        <w:t>th</w:t>
      </w:r>
      <w:proofErr w:type="spellEnd"/>
      <w:r w:rsidRPr="00E82E1F">
        <w:rPr>
          <w:sz w:val="24"/>
          <w:szCs w:val="24"/>
          <w:lang w:val="en-GB"/>
        </w:rPr>
        <w:t xml:space="preserve"> of which is given by Equation (2)</w:t>
      </w:r>
    </w:p>
    <w:p w:rsidR="00774726" w:rsidRDefault="00774726" w:rsidP="00510ED6">
      <w:pPr>
        <w:spacing w:beforeLines="100"/>
        <w:mirrorIndents/>
        <w:rPr>
          <w:sz w:val="24"/>
          <w:szCs w:val="24"/>
          <w:lang w:val="en-GB"/>
        </w:rPr>
      </w:pPr>
      <w:r w:rsidRPr="00E82E1F">
        <w:rPr>
          <w:i/>
          <w:sz w:val="24"/>
          <w:szCs w:val="24"/>
          <w:lang w:val="en-GB"/>
        </w:rPr>
        <w:t>y=α+X</w:t>
      </w:r>
      <w:r w:rsidRPr="00E82E1F">
        <w:rPr>
          <w:i/>
          <w:sz w:val="24"/>
          <w:szCs w:val="24"/>
          <w:vertAlign w:val="subscript"/>
          <w:lang w:val="en-GB"/>
        </w:rPr>
        <w:t>1</w:t>
      </w:r>
      <w:r w:rsidRPr="00E82E1F">
        <w:rPr>
          <w:i/>
          <w:sz w:val="24"/>
          <w:szCs w:val="24"/>
          <w:lang w:val="en-GB"/>
        </w:rPr>
        <w:t>β</w:t>
      </w:r>
      <w:r w:rsidRPr="00E82E1F">
        <w:rPr>
          <w:i/>
          <w:sz w:val="24"/>
          <w:szCs w:val="24"/>
          <w:vertAlign w:val="subscript"/>
          <w:lang w:val="en-GB"/>
        </w:rPr>
        <w:t>1</w:t>
      </w:r>
      <w:r w:rsidRPr="00E82E1F">
        <w:rPr>
          <w:i/>
          <w:sz w:val="24"/>
          <w:szCs w:val="24"/>
          <w:lang w:val="en-GB"/>
        </w:rPr>
        <w:t>+X</w:t>
      </w:r>
      <w:r w:rsidRPr="00E82E1F">
        <w:rPr>
          <w:i/>
          <w:sz w:val="24"/>
          <w:szCs w:val="24"/>
          <w:vertAlign w:val="subscript"/>
          <w:lang w:val="en-GB"/>
        </w:rPr>
        <w:t>2i</w:t>
      </w:r>
      <w:r w:rsidRPr="00E82E1F">
        <w:rPr>
          <w:i/>
          <w:sz w:val="24"/>
          <w:szCs w:val="24"/>
          <w:lang w:val="en-GB"/>
        </w:rPr>
        <w:t>β</w:t>
      </w:r>
      <w:r w:rsidRPr="00E82E1F">
        <w:rPr>
          <w:i/>
          <w:sz w:val="24"/>
          <w:szCs w:val="24"/>
          <w:vertAlign w:val="subscript"/>
          <w:lang w:val="en-GB"/>
        </w:rPr>
        <w:t>2i</w:t>
      </w:r>
      <w:r w:rsidRPr="00E82E1F">
        <w:rPr>
          <w:i/>
          <w:sz w:val="24"/>
          <w:szCs w:val="24"/>
          <w:lang w:val="en-GB"/>
        </w:rPr>
        <w:t>+ε</w:t>
      </w:r>
      <w:r w:rsidRPr="00E82E1F">
        <w:rPr>
          <w:sz w:val="24"/>
          <w:szCs w:val="24"/>
          <w:lang w:val="en-GB"/>
        </w:rPr>
        <w:t xml:space="preserve">                                                  (2)</w:t>
      </w:r>
    </w:p>
    <w:p w:rsidR="005C0ECB" w:rsidRPr="00E82E1F" w:rsidRDefault="00774726" w:rsidP="00510ED6">
      <w:pPr>
        <w:spacing w:beforeLines="100"/>
        <w:mirrorIndents/>
        <w:rPr>
          <w:sz w:val="24"/>
          <w:szCs w:val="24"/>
          <w:lang w:val="en-GB"/>
        </w:rPr>
      </w:pPr>
      <w:proofErr w:type="gramStart"/>
      <w:r w:rsidRPr="00E82E1F">
        <w:rPr>
          <w:sz w:val="24"/>
          <w:szCs w:val="24"/>
          <w:lang w:val="en-GB"/>
        </w:rPr>
        <w:t>where</w:t>
      </w:r>
      <w:proofErr w:type="gramEnd"/>
      <w:r w:rsidRPr="00E82E1F">
        <w:rPr>
          <w:sz w:val="24"/>
          <w:szCs w:val="24"/>
          <w:lang w:val="en-GB"/>
        </w:rPr>
        <w:t xml:space="preserve"> </w:t>
      </w:r>
      <w:r w:rsidRPr="00E82E1F">
        <w:rPr>
          <w:i/>
          <w:sz w:val="24"/>
          <w:szCs w:val="24"/>
          <w:lang w:val="en-GB"/>
        </w:rPr>
        <w:t>X</w:t>
      </w:r>
      <w:r w:rsidRPr="00E82E1F">
        <w:rPr>
          <w:i/>
          <w:sz w:val="24"/>
          <w:szCs w:val="24"/>
          <w:vertAlign w:val="subscript"/>
          <w:lang w:val="en-GB"/>
        </w:rPr>
        <w:t>2i</w:t>
      </w:r>
      <w:r w:rsidRPr="00E82E1F">
        <w:rPr>
          <w:sz w:val="24"/>
          <w:szCs w:val="24"/>
          <w:lang w:val="en-GB"/>
        </w:rPr>
        <w:t xml:space="preserve"> is </w:t>
      </w:r>
      <w:r w:rsidR="008230EF" w:rsidRPr="00E82E1F">
        <w:rPr>
          <w:sz w:val="24"/>
          <w:szCs w:val="24"/>
          <w:lang w:val="en-GB"/>
        </w:rPr>
        <w:t xml:space="preserve">a </w:t>
      </w:r>
      <w:r w:rsidRPr="00E82E1F">
        <w:rPr>
          <w:i/>
          <w:sz w:val="24"/>
          <w:szCs w:val="24"/>
          <w:lang w:val="en-GB"/>
        </w:rPr>
        <w:t>48×k</w:t>
      </w:r>
      <w:r w:rsidRPr="00E82E1F">
        <w:rPr>
          <w:i/>
          <w:sz w:val="24"/>
          <w:szCs w:val="24"/>
          <w:vertAlign w:val="subscript"/>
          <w:lang w:val="en-GB"/>
        </w:rPr>
        <w:t>2i</w:t>
      </w:r>
      <w:r w:rsidRPr="00E82E1F">
        <w:rPr>
          <w:sz w:val="24"/>
          <w:szCs w:val="24"/>
          <w:lang w:val="en-GB"/>
        </w:rPr>
        <w:t xml:space="preserve"> matrix of observations on the included subsets of </w:t>
      </w:r>
      <w:r w:rsidRPr="00E82E1F">
        <w:rPr>
          <w:i/>
          <w:sz w:val="24"/>
          <w:szCs w:val="24"/>
          <w:lang w:val="en-GB"/>
        </w:rPr>
        <w:t>k</w:t>
      </w:r>
      <w:r w:rsidRPr="00E82E1F">
        <w:rPr>
          <w:i/>
          <w:sz w:val="24"/>
          <w:szCs w:val="24"/>
          <w:vertAlign w:val="subscript"/>
          <w:lang w:val="en-GB"/>
        </w:rPr>
        <w:t>2i</w:t>
      </w:r>
      <w:r w:rsidRPr="00E82E1F">
        <w:rPr>
          <w:sz w:val="24"/>
          <w:szCs w:val="24"/>
          <w:lang w:val="en-GB"/>
        </w:rPr>
        <w:t xml:space="preserve"> doubtful variables and </w:t>
      </w:r>
      <w:r w:rsidRPr="00E82E1F">
        <w:rPr>
          <w:i/>
          <w:sz w:val="24"/>
          <w:szCs w:val="24"/>
          <w:lang w:val="en-GB"/>
        </w:rPr>
        <w:t>β</w:t>
      </w:r>
      <w:r w:rsidRPr="00E82E1F">
        <w:rPr>
          <w:i/>
          <w:sz w:val="24"/>
          <w:szCs w:val="24"/>
          <w:vertAlign w:val="subscript"/>
          <w:lang w:val="en-GB"/>
        </w:rPr>
        <w:t>2i</w:t>
      </w:r>
      <w:r w:rsidRPr="00E82E1F">
        <w:rPr>
          <w:sz w:val="24"/>
          <w:szCs w:val="24"/>
          <w:lang w:val="en-GB"/>
        </w:rPr>
        <w:t xml:space="preserve"> denotes the corresponding </w:t>
      </w:r>
      <w:r w:rsidRPr="00E82E1F">
        <w:rPr>
          <w:i/>
          <w:sz w:val="24"/>
          <w:szCs w:val="24"/>
          <w:lang w:val="en-GB"/>
        </w:rPr>
        <w:t>k</w:t>
      </w:r>
      <w:r w:rsidRPr="00E82E1F">
        <w:rPr>
          <w:i/>
          <w:sz w:val="24"/>
          <w:szCs w:val="24"/>
          <w:vertAlign w:val="subscript"/>
          <w:lang w:val="en-GB"/>
        </w:rPr>
        <w:t>2i</w:t>
      </w:r>
      <w:r w:rsidRPr="00E82E1F">
        <w:rPr>
          <w:sz w:val="24"/>
          <w:szCs w:val="24"/>
          <w:lang w:val="en-GB"/>
        </w:rPr>
        <w:t xml:space="preserve"> sub-vector of </w:t>
      </w:r>
      <w:r w:rsidRPr="00E82E1F">
        <w:rPr>
          <w:i/>
          <w:sz w:val="24"/>
          <w:szCs w:val="24"/>
          <w:lang w:val="en-GB"/>
        </w:rPr>
        <w:t>β</w:t>
      </w:r>
      <w:r w:rsidRPr="00E82E1F">
        <w:rPr>
          <w:i/>
          <w:sz w:val="24"/>
          <w:szCs w:val="24"/>
          <w:vertAlign w:val="subscript"/>
          <w:lang w:val="en-GB"/>
        </w:rPr>
        <w:t>2</w:t>
      </w:r>
      <w:r w:rsidRPr="00E82E1F">
        <w:rPr>
          <w:sz w:val="24"/>
          <w:szCs w:val="24"/>
          <w:lang w:val="en-GB"/>
        </w:rPr>
        <w:t xml:space="preserve">. </w:t>
      </w:r>
      <w:r w:rsidR="00B9398F" w:rsidRPr="00E82E1F">
        <w:rPr>
          <w:sz w:val="24"/>
          <w:szCs w:val="24"/>
          <w:lang w:val="en-GB"/>
        </w:rPr>
        <w:t>Additionally,</w:t>
      </w:r>
      <w:r w:rsidRPr="00E82E1F">
        <w:rPr>
          <w:sz w:val="24"/>
          <w:szCs w:val="24"/>
          <w:lang w:val="en-GB"/>
        </w:rPr>
        <w:t xml:space="preserve"> Equation (2) could be regarded as Equation (1) subjected to </w:t>
      </w:r>
      <w:r w:rsidR="0013560A" w:rsidRPr="00E82E1F">
        <w:rPr>
          <w:sz w:val="24"/>
          <w:szCs w:val="24"/>
          <w:lang w:val="en-GB"/>
        </w:rPr>
        <w:t xml:space="preserve">the </w:t>
      </w:r>
      <w:r w:rsidRPr="00E82E1F">
        <w:rPr>
          <w:sz w:val="24"/>
          <w:szCs w:val="24"/>
          <w:lang w:val="en-GB"/>
        </w:rPr>
        <w:t>restriction that</w:t>
      </w:r>
      <w:r w:rsidR="008230EF" w:rsidRPr="00E82E1F">
        <w:rPr>
          <w:sz w:val="24"/>
          <w:szCs w:val="24"/>
          <w:lang w:val="en-GB"/>
        </w:rPr>
        <w:t xml:space="preserve"> the</w:t>
      </w:r>
      <w:r w:rsidRPr="00E82E1F">
        <w:rPr>
          <w:sz w:val="24"/>
          <w:szCs w:val="24"/>
          <w:lang w:val="en-GB"/>
        </w:rPr>
        <w:t xml:space="preserve"> </w:t>
      </w:r>
      <w:r w:rsidRPr="00E82E1F">
        <w:rPr>
          <w:i/>
          <w:sz w:val="24"/>
          <w:szCs w:val="24"/>
          <w:lang w:val="en-GB"/>
        </w:rPr>
        <w:t>k</w:t>
      </w:r>
      <w:r w:rsidRPr="00E82E1F">
        <w:rPr>
          <w:i/>
          <w:sz w:val="24"/>
          <w:szCs w:val="24"/>
          <w:vertAlign w:val="subscript"/>
          <w:lang w:val="en-GB"/>
        </w:rPr>
        <w:t>2</w:t>
      </w:r>
      <w:r w:rsidRPr="00E82E1F">
        <w:rPr>
          <w:i/>
          <w:sz w:val="24"/>
          <w:szCs w:val="24"/>
          <w:lang w:val="en-GB"/>
        </w:rPr>
        <w:t>-k</w:t>
      </w:r>
      <w:r w:rsidRPr="00E82E1F">
        <w:rPr>
          <w:i/>
          <w:sz w:val="24"/>
          <w:szCs w:val="24"/>
          <w:vertAlign w:val="subscript"/>
          <w:lang w:val="en-GB"/>
        </w:rPr>
        <w:t>2i</w:t>
      </w:r>
      <w:r w:rsidRPr="00E82E1F">
        <w:rPr>
          <w:sz w:val="24"/>
          <w:szCs w:val="24"/>
          <w:lang w:val="en-GB"/>
        </w:rPr>
        <w:t xml:space="preserve"> components of </w:t>
      </w:r>
      <w:r w:rsidRPr="00E82E1F">
        <w:rPr>
          <w:i/>
          <w:sz w:val="24"/>
          <w:szCs w:val="24"/>
          <w:lang w:val="en-GB"/>
        </w:rPr>
        <w:t>β</w:t>
      </w:r>
      <w:r w:rsidRPr="00E82E1F">
        <w:rPr>
          <w:i/>
          <w:sz w:val="24"/>
          <w:szCs w:val="24"/>
          <w:vertAlign w:val="subscript"/>
          <w:lang w:val="en-GB"/>
        </w:rPr>
        <w:t>2</w:t>
      </w:r>
      <w:r w:rsidRPr="00E82E1F">
        <w:rPr>
          <w:sz w:val="24"/>
          <w:szCs w:val="24"/>
          <w:lang w:val="en-GB"/>
        </w:rPr>
        <w:t xml:space="preserve"> equal zero. </w:t>
      </w:r>
      <w:r w:rsidR="008230EF" w:rsidRPr="00E82E1F">
        <w:rPr>
          <w:sz w:val="24"/>
          <w:szCs w:val="24"/>
          <w:lang w:val="en-GB"/>
        </w:rPr>
        <w:t>With</w:t>
      </w:r>
      <w:r w:rsidRPr="00E82E1F">
        <w:rPr>
          <w:sz w:val="24"/>
          <w:szCs w:val="24"/>
          <w:lang w:val="en-GB"/>
        </w:rPr>
        <w:t xml:space="preserve"> our research, the </w:t>
      </w:r>
      <w:r w:rsidR="008D4FF2" w:rsidRPr="00E82E1F">
        <w:rPr>
          <w:sz w:val="24"/>
          <w:szCs w:val="24"/>
          <w:lang w:val="en-GB"/>
        </w:rPr>
        <w:t xml:space="preserve">dimension of the </w:t>
      </w:r>
      <w:r w:rsidRPr="00E82E1F">
        <w:rPr>
          <w:sz w:val="24"/>
          <w:szCs w:val="24"/>
          <w:lang w:val="en-GB"/>
        </w:rPr>
        <w:t xml:space="preserve">model space </w:t>
      </w:r>
      <w:r w:rsidRPr="00E82E1F">
        <w:rPr>
          <w:i/>
          <w:sz w:val="24"/>
          <w:szCs w:val="24"/>
          <w:lang w:val="en-GB"/>
        </w:rPr>
        <w:t>I</w:t>
      </w:r>
      <w:r w:rsidRPr="00E82E1F">
        <w:rPr>
          <w:sz w:val="24"/>
          <w:szCs w:val="24"/>
          <w:lang w:val="en-GB"/>
        </w:rPr>
        <w:t xml:space="preserve"> equals </w:t>
      </w:r>
      <w:r w:rsidR="00D62538" w:rsidRPr="00E82E1F">
        <w:rPr>
          <w:sz w:val="24"/>
          <w:szCs w:val="24"/>
          <w:lang w:val="en-GB"/>
        </w:rPr>
        <w:t>2</w:t>
      </w:r>
      <w:r w:rsidR="00D62538" w:rsidRPr="00E82E1F">
        <w:rPr>
          <w:sz w:val="24"/>
          <w:szCs w:val="24"/>
          <w:vertAlign w:val="superscript"/>
          <w:lang w:val="en-GB"/>
        </w:rPr>
        <w:t>2</w:t>
      </w:r>
      <w:r w:rsidR="0021595D" w:rsidRPr="00E82E1F">
        <w:rPr>
          <w:sz w:val="24"/>
          <w:szCs w:val="24"/>
          <w:vertAlign w:val="superscript"/>
          <w:lang w:val="en-GB"/>
        </w:rPr>
        <w:t>6</w:t>
      </w:r>
      <w:r w:rsidRPr="00E82E1F">
        <w:rPr>
          <w:sz w:val="24"/>
          <w:szCs w:val="24"/>
          <w:lang w:val="en-GB"/>
        </w:rPr>
        <w:t xml:space="preserve"> (approximately </w:t>
      </w:r>
      <w:r w:rsidR="0021595D" w:rsidRPr="00E82E1F">
        <w:rPr>
          <w:sz w:val="24"/>
          <w:szCs w:val="24"/>
          <w:lang w:val="en-GB"/>
        </w:rPr>
        <w:t>6.71</w:t>
      </w:r>
      <w:r w:rsidR="00D62538" w:rsidRPr="00E82E1F">
        <w:rPr>
          <w:sz w:val="24"/>
          <w:szCs w:val="24"/>
          <w:lang w:val="en-GB"/>
        </w:rPr>
        <w:t>*10</w:t>
      </w:r>
      <w:r w:rsidR="0021595D" w:rsidRPr="00E82E1F">
        <w:rPr>
          <w:sz w:val="24"/>
          <w:szCs w:val="24"/>
          <w:vertAlign w:val="superscript"/>
          <w:lang w:val="en-GB"/>
        </w:rPr>
        <w:t>7</w:t>
      </w:r>
      <w:r w:rsidRPr="00E82E1F">
        <w:rPr>
          <w:sz w:val="24"/>
          <w:szCs w:val="24"/>
          <w:lang w:val="en-GB"/>
        </w:rPr>
        <w:t xml:space="preserve">). </w:t>
      </w:r>
      <w:r w:rsidR="00E371A0" w:rsidRPr="00E82E1F">
        <w:rPr>
          <w:sz w:val="24"/>
          <w:szCs w:val="24"/>
          <w:lang w:val="en-GB"/>
        </w:rPr>
        <w:t xml:space="preserve">To give an example, if the research is directed to test whether endowment or legal origin theory robustly explains stock market development, a simplified research question </w:t>
      </w:r>
      <w:r w:rsidR="008230EF" w:rsidRPr="00E82E1F">
        <w:rPr>
          <w:sz w:val="24"/>
          <w:szCs w:val="24"/>
          <w:lang w:val="en-GB"/>
        </w:rPr>
        <w:t xml:space="preserve">that was </w:t>
      </w:r>
      <w:r w:rsidR="00E371A0" w:rsidRPr="00E82E1F">
        <w:rPr>
          <w:sz w:val="24"/>
          <w:szCs w:val="24"/>
          <w:lang w:val="en-GB"/>
        </w:rPr>
        <w:t xml:space="preserve">investigated </w:t>
      </w:r>
      <w:r w:rsidR="008230EF" w:rsidRPr="00E82E1F">
        <w:rPr>
          <w:sz w:val="24"/>
          <w:szCs w:val="24"/>
          <w:lang w:val="en-GB"/>
        </w:rPr>
        <w:t>by</w:t>
      </w:r>
      <w:r w:rsidR="00E371A0" w:rsidRPr="00E82E1F">
        <w:rPr>
          <w:sz w:val="24"/>
          <w:szCs w:val="24"/>
          <w:lang w:val="en-GB"/>
        </w:rPr>
        <w:t xml:space="preserve"> B</w:t>
      </w:r>
      <w:bookmarkStart w:id="70" w:name="OLE_LINK35"/>
      <w:bookmarkStart w:id="71" w:name="OLE_LINK36"/>
      <w:r w:rsidR="00E371A0" w:rsidRPr="00E82E1F">
        <w:rPr>
          <w:sz w:val="24"/>
          <w:szCs w:val="24"/>
          <w:lang w:val="en-GB"/>
        </w:rPr>
        <w:t xml:space="preserve">eck, </w:t>
      </w:r>
      <w:proofErr w:type="spellStart"/>
      <w:r w:rsidR="00E371A0" w:rsidRPr="00E82E1F">
        <w:rPr>
          <w:sz w:val="24"/>
          <w:szCs w:val="24"/>
          <w:lang w:val="en-GB"/>
        </w:rPr>
        <w:t>Demirgüç-Kunt</w:t>
      </w:r>
      <w:proofErr w:type="spellEnd"/>
      <w:r w:rsidR="00E371A0" w:rsidRPr="00E82E1F">
        <w:rPr>
          <w:sz w:val="24"/>
          <w:szCs w:val="24"/>
          <w:lang w:val="en-GB"/>
        </w:rPr>
        <w:t xml:space="preserve"> </w:t>
      </w:r>
      <w:r w:rsidR="008230EF" w:rsidRPr="00E82E1F">
        <w:rPr>
          <w:sz w:val="24"/>
          <w:szCs w:val="24"/>
          <w:lang w:val="en-GB"/>
        </w:rPr>
        <w:t>and</w:t>
      </w:r>
      <w:r w:rsidR="00E371A0" w:rsidRPr="00E82E1F">
        <w:rPr>
          <w:sz w:val="24"/>
          <w:szCs w:val="24"/>
          <w:lang w:val="en-GB"/>
        </w:rPr>
        <w:t xml:space="preserve"> Levine (2003),</w:t>
      </w:r>
      <w:bookmarkEnd w:id="70"/>
      <w:bookmarkEnd w:id="71"/>
      <w:r w:rsidR="00E371A0" w:rsidRPr="00E82E1F">
        <w:rPr>
          <w:sz w:val="24"/>
          <w:szCs w:val="24"/>
          <w:lang w:val="en-GB"/>
        </w:rPr>
        <w:t xml:space="preserve"> then </w:t>
      </w:r>
      <w:r w:rsidR="00E371A0" w:rsidRPr="00E82E1F">
        <w:rPr>
          <w:i/>
          <w:sz w:val="24"/>
          <w:szCs w:val="24"/>
          <w:lang w:val="en-GB"/>
        </w:rPr>
        <w:t>k</w:t>
      </w:r>
      <w:r w:rsidR="00E371A0" w:rsidRPr="00E82E1F">
        <w:rPr>
          <w:i/>
          <w:sz w:val="24"/>
          <w:szCs w:val="24"/>
          <w:vertAlign w:val="subscript"/>
          <w:lang w:val="en-GB"/>
        </w:rPr>
        <w:t>2</w:t>
      </w:r>
      <w:r w:rsidR="00E371A0" w:rsidRPr="00E82E1F">
        <w:rPr>
          <w:sz w:val="24"/>
          <w:szCs w:val="24"/>
          <w:lang w:val="en-GB"/>
        </w:rPr>
        <w:t>=2. Further, suppose that there are no free variables except for the constan</w:t>
      </w:r>
      <w:r w:rsidR="009002C2" w:rsidRPr="00E82E1F">
        <w:rPr>
          <w:sz w:val="24"/>
          <w:szCs w:val="24"/>
          <w:lang w:val="en-GB"/>
        </w:rPr>
        <w:t>t</w:t>
      </w:r>
      <w:r w:rsidR="00E371A0" w:rsidRPr="00E82E1F">
        <w:rPr>
          <w:sz w:val="24"/>
          <w:szCs w:val="24"/>
          <w:lang w:val="en-GB"/>
        </w:rPr>
        <w:t>. T</w:t>
      </w:r>
      <w:r w:rsidR="009002C2" w:rsidRPr="00E82E1F">
        <w:rPr>
          <w:sz w:val="24"/>
          <w:szCs w:val="24"/>
          <w:lang w:val="en-GB"/>
        </w:rPr>
        <w:t>herefore, t</w:t>
      </w:r>
      <w:r w:rsidR="00E371A0" w:rsidRPr="00E82E1F">
        <w:rPr>
          <w:sz w:val="24"/>
          <w:szCs w:val="24"/>
          <w:lang w:val="en-GB"/>
        </w:rPr>
        <w:t xml:space="preserve">he </w:t>
      </w:r>
      <w:r w:rsidR="008D4FF2" w:rsidRPr="00E82E1F">
        <w:rPr>
          <w:sz w:val="24"/>
          <w:szCs w:val="24"/>
          <w:lang w:val="en-GB"/>
        </w:rPr>
        <w:t xml:space="preserve">dimension of the </w:t>
      </w:r>
      <w:r w:rsidR="00E371A0" w:rsidRPr="00E82E1F">
        <w:rPr>
          <w:sz w:val="24"/>
          <w:szCs w:val="24"/>
          <w:lang w:val="en-GB"/>
        </w:rPr>
        <w:t xml:space="preserve">model space is </w:t>
      </w:r>
      <w:r w:rsidR="009002C2" w:rsidRPr="00E82E1F">
        <w:rPr>
          <w:sz w:val="24"/>
          <w:szCs w:val="24"/>
          <w:lang w:val="en-GB"/>
        </w:rPr>
        <w:t>four</w:t>
      </w:r>
      <w:r w:rsidR="00E371A0" w:rsidRPr="00E82E1F">
        <w:rPr>
          <w:sz w:val="24"/>
          <w:szCs w:val="24"/>
          <w:lang w:val="en-GB"/>
        </w:rPr>
        <w:t xml:space="preserve">: </w:t>
      </w:r>
      <w:r w:rsidR="00372588" w:rsidRPr="00E82E1F">
        <w:rPr>
          <w:sz w:val="24"/>
          <w:szCs w:val="24"/>
          <w:lang w:val="en-GB"/>
        </w:rPr>
        <w:t xml:space="preserve">One </w:t>
      </w:r>
      <w:r w:rsidR="00E371A0" w:rsidRPr="00E82E1F">
        <w:rPr>
          <w:sz w:val="24"/>
          <w:szCs w:val="24"/>
          <w:lang w:val="en-GB"/>
        </w:rPr>
        <w:t xml:space="preserve">regression with only the intercept, one with the intercept and both endowment proxies and legal </w:t>
      </w:r>
      <w:proofErr w:type="gramStart"/>
      <w:r w:rsidR="00E371A0" w:rsidRPr="00E82E1F">
        <w:rPr>
          <w:sz w:val="24"/>
          <w:szCs w:val="24"/>
          <w:lang w:val="en-GB"/>
        </w:rPr>
        <w:t>origins,</w:t>
      </w:r>
      <w:proofErr w:type="gramEnd"/>
      <w:r w:rsidR="00E371A0" w:rsidRPr="00E82E1F">
        <w:rPr>
          <w:sz w:val="24"/>
          <w:szCs w:val="24"/>
          <w:lang w:val="en-GB"/>
        </w:rPr>
        <w:t xml:space="preserve"> </w:t>
      </w:r>
      <w:r w:rsidR="008230EF" w:rsidRPr="00E82E1F">
        <w:rPr>
          <w:sz w:val="24"/>
          <w:szCs w:val="24"/>
          <w:lang w:val="en-GB"/>
        </w:rPr>
        <w:t xml:space="preserve">and </w:t>
      </w:r>
      <w:r w:rsidR="00E371A0" w:rsidRPr="00E82E1F">
        <w:rPr>
          <w:sz w:val="24"/>
          <w:szCs w:val="24"/>
          <w:lang w:val="en-GB"/>
        </w:rPr>
        <w:t xml:space="preserve">the </w:t>
      </w:r>
      <w:r w:rsidR="008230EF" w:rsidRPr="00E82E1F">
        <w:rPr>
          <w:sz w:val="24"/>
          <w:szCs w:val="24"/>
          <w:lang w:val="en-GB"/>
        </w:rPr>
        <w:t>remaining</w:t>
      </w:r>
      <w:r w:rsidR="00E371A0" w:rsidRPr="00E82E1F">
        <w:rPr>
          <w:sz w:val="24"/>
          <w:szCs w:val="24"/>
          <w:lang w:val="en-GB"/>
        </w:rPr>
        <w:t xml:space="preserve"> two with the intercept and either endowment proxies or legal origins. </w:t>
      </w:r>
    </w:p>
    <w:p w:rsidR="005C0ECB" w:rsidRPr="00E82E1F" w:rsidRDefault="00AB1057" w:rsidP="00510ED6">
      <w:pPr>
        <w:spacing w:beforeLines="100"/>
        <w:mirrorIndents/>
        <w:rPr>
          <w:sz w:val="24"/>
          <w:szCs w:val="24"/>
          <w:lang w:val="en-GB"/>
        </w:rPr>
      </w:pPr>
      <w:r w:rsidRPr="00510ED6">
        <w:rPr>
          <w:b/>
          <w:sz w:val="28"/>
          <w:szCs w:val="24"/>
          <w:lang w:val="en-GB"/>
        </w:rPr>
        <w:lastRenderedPageBreak/>
        <w:t xml:space="preserve">4. </w:t>
      </w:r>
      <w:r w:rsidR="0076719D" w:rsidRPr="00510ED6">
        <w:rPr>
          <w:b/>
          <w:sz w:val="28"/>
          <w:szCs w:val="24"/>
          <w:lang w:val="en-GB"/>
        </w:rPr>
        <w:t>Discussions of o</w:t>
      </w:r>
      <w:r w:rsidRPr="00510ED6">
        <w:rPr>
          <w:b/>
          <w:sz w:val="28"/>
          <w:szCs w:val="24"/>
          <w:lang w:val="en-GB"/>
        </w:rPr>
        <w:t xml:space="preserve">utputs </w:t>
      </w:r>
    </w:p>
    <w:p w:rsidR="009A1693" w:rsidRPr="00E82E1F" w:rsidRDefault="009A1693" w:rsidP="00510ED6">
      <w:pPr>
        <w:spacing w:beforeLines="100"/>
        <w:mirrorIndents/>
        <w:rPr>
          <w:sz w:val="24"/>
          <w:szCs w:val="24"/>
          <w:lang w:val="en-GB"/>
        </w:rPr>
      </w:pPr>
      <w:r w:rsidRPr="00E82E1F">
        <w:rPr>
          <w:b/>
          <w:sz w:val="24"/>
          <w:szCs w:val="24"/>
          <w:lang w:val="en-GB"/>
        </w:rPr>
        <w:t xml:space="preserve">4.1. </w:t>
      </w:r>
      <w:r w:rsidR="00B7137B" w:rsidRPr="00E82E1F">
        <w:rPr>
          <w:b/>
          <w:sz w:val="24"/>
          <w:szCs w:val="24"/>
          <w:lang w:val="en-GB"/>
        </w:rPr>
        <w:t>Sampling bias</w:t>
      </w:r>
      <w:r w:rsidRPr="00E82E1F">
        <w:rPr>
          <w:b/>
          <w:sz w:val="24"/>
          <w:szCs w:val="24"/>
          <w:lang w:val="en-GB"/>
        </w:rPr>
        <w:t xml:space="preserve"> </w:t>
      </w:r>
    </w:p>
    <w:p w:rsidR="00E07BF9" w:rsidRDefault="009A1693" w:rsidP="00E07BF9">
      <w:pPr>
        <w:spacing w:beforeLines="100"/>
        <w:mirrorIndents/>
        <w:rPr>
          <w:rFonts w:hint="eastAsia"/>
          <w:sz w:val="24"/>
          <w:szCs w:val="24"/>
          <w:lang w:val="en-GB"/>
        </w:rPr>
      </w:pPr>
      <w:r w:rsidRPr="00E82E1F">
        <w:rPr>
          <w:sz w:val="24"/>
          <w:szCs w:val="24"/>
          <w:lang w:val="en-GB"/>
        </w:rPr>
        <w:t>To show that</w:t>
      </w:r>
      <w:r w:rsidR="003E7339" w:rsidRPr="00E82E1F">
        <w:rPr>
          <w:sz w:val="24"/>
          <w:szCs w:val="24"/>
          <w:lang w:val="en-GB"/>
        </w:rPr>
        <w:t xml:space="preserve"> sampling</w:t>
      </w:r>
      <w:r w:rsidRPr="00E82E1F">
        <w:rPr>
          <w:sz w:val="24"/>
          <w:szCs w:val="24"/>
          <w:lang w:val="en-GB"/>
        </w:rPr>
        <w:t xml:space="preserve"> </w:t>
      </w:r>
      <w:r w:rsidR="002B468D" w:rsidRPr="00E82E1F">
        <w:rPr>
          <w:sz w:val="24"/>
          <w:szCs w:val="24"/>
          <w:lang w:val="en-GB"/>
        </w:rPr>
        <w:t>is</w:t>
      </w:r>
      <w:r w:rsidR="0013560A" w:rsidRPr="00E82E1F">
        <w:rPr>
          <w:sz w:val="24"/>
          <w:szCs w:val="24"/>
          <w:lang w:val="en-GB"/>
        </w:rPr>
        <w:t xml:space="preserve"> </w:t>
      </w:r>
      <w:r w:rsidRPr="00E82E1F">
        <w:rPr>
          <w:sz w:val="24"/>
          <w:szCs w:val="24"/>
          <w:lang w:val="en-GB"/>
        </w:rPr>
        <w:t xml:space="preserve">not a source of bias that </w:t>
      </w:r>
      <w:r w:rsidR="00037340" w:rsidRPr="00E82E1F">
        <w:rPr>
          <w:sz w:val="24"/>
          <w:szCs w:val="24"/>
          <w:lang w:val="en-GB"/>
        </w:rPr>
        <w:t xml:space="preserve">leads to our conclusion that ANTISDI is not robustly correlated with stock market outcome variables, </w:t>
      </w:r>
      <w:r w:rsidRPr="00E82E1F">
        <w:rPr>
          <w:sz w:val="24"/>
          <w:szCs w:val="24"/>
          <w:lang w:val="en-GB"/>
        </w:rPr>
        <w:t>we first replicate the prior analysis reported in Table 6 of DLLS (2008) with</w:t>
      </w:r>
      <w:r w:rsidR="0069555B" w:rsidRPr="00E82E1F">
        <w:rPr>
          <w:sz w:val="24"/>
          <w:szCs w:val="24"/>
          <w:lang w:val="en-GB"/>
        </w:rPr>
        <w:t xml:space="preserve"> their model specification and</w:t>
      </w:r>
      <w:r w:rsidRPr="00E82E1F">
        <w:rPr>
          <w:sz w:val="24"/>
          <w:szCs w:val="24"/>
          <w:lang w:val="en-GB"/>
        </w:rPr>
        <w:t xml:space="preserve"> the smaller sample of 48 countries</w:t>
      </w:r>
      <w:r w:rsidR="00384162" w:rsidRPr="00E82E1F">
        <w:rPr>
          <w:sz w:val="24"/>
          <w:szCs w:val="24"/>
          <w:lang w:val="en-GB"/>
        </w:rPr>
        <w:t xml:space="preserve"> and districts</w:t>
      </w:r>
      <w:r w:rsidRPr="00E82E1F">
        <w:rPr>
          <w:sz w:val="24"/>
          <w:szCs w:val="24"/>
          <w:lang w:val="en-GB"/>
        </w:rPr>
        <w:t xml:space="preserve">. The </w:t>
      </w:r>
      <w:r w:rsidR="0018699F" w:rsidRPr="00E82E1F">
        <w:rPr>
          <w:sz w:val="24"/>
          <w:szCs w:val="24"/>
          <w:lang w:val="en-GB"/>
        </w:rPr>
        <w:t xml:space="preserve">results are shown in Table </w:t>
      </w:r>
      <w:r w:rsidRPr="00E82E1F">
        <w:rPr>
          <w:sz w:val="24"/>
          <w:szCs w:val="24"/>
          <w:lang w:val="en-GB"/>
        </w:rPr>
        <w:t xml:space="preserve">2. Unsurprisingly, </w:t>
      </w:r>
      <w:r w:rsidR="0013560A" w:rsidRPr="00E82E1F">
        <w:rPr>
          <w:sz w:val="24"/>
          <w:szCs w:val="24"/>
          <w:lang w:val="en-GB"/>
        </w:rPr>
        <w:t xml:space="preserve">the </w:t>
      </w:r>
      <w:r w:rsidR="008C5B55" w:rsidRPr="00E82E1F">
        <w:rPr>
          <w:sz w:val="24"/>
          <w:szCs w:val="24"/>
          <w:lang w:val="en-GB"/>
        </w:rPr>
        <w:t>ANTISDI</w:t>
      </w:r>
      <w:r w:rsidRPr="00E82E1F">
        <w:rPr>
          <w:sz w:val="24"/>
          <w:szCs w:val="24"/>
          <w:lang w:val="en-GB"/>
        </w:rPr>
        <w:t xml:space="preserve"> is significant in the</w:t>
      </w:r>
      <w:r w:rsidR="0018699F" w:rsidRPr="00E82E1F">
        <w:rPr>
          <w:sz w:val="24"/>
          <w:szCs w:val="24"/>
          <w:lang w:val="en-GB"/>
        </w:rPr>
        <w:t xml:space="preserve"> first</w:t>
      </w:r>
      <w:r w:rsidRPr="00E82E1F">
        <w:rPr>
          <w:sz w:val="24"/>
          <w:szCs w:val="24"/>
          <w:lang w:val="en-GB"/>
        </w:rPr>
        <w:t xml:space="preserve"> three regressions</w:t>
      </w:r>
      <w:r w:rsidR="008230EF" w:rsidRPr="00E82E1F">
        <w:rPr>
          <w:sz w:val="24"/>
          <w:szCs w:val="24"/>
          <w:lang w:val="en-GB"/>
        </w:rPr>
        <w:t>,</w:t>
      </w:r>
      <w:r w:rsidRPr="00E82E1F">
        <w:rPr>
          <w:sz w:val="24"/>
          <w:szCs w:val="24"/>
          <w:lang w:val="en-GB"/>
        </w:rPr>
        <w:t xml:space="preserve"> with </w:t>
      </w:r>
      <w:r w:rsidR="008230EF" w:rsidRPr="00E82E1F">
        <w:rPr>
          <w:sz w:val="24"/>
          <w:szCs w:val="24"/>
          <w:lang w:val="en-GB"/>
        </w:rPr>
        <w:t xml:space="preserve">the </w:t>
      </w:r>
      <w:r w:rsidRPr="00E82E1F">
        <w:rPr>
          <w:sz w:val="24"/>
          <w:szCs w:val="24"/>
          <w:lang w:val="en-GB"/>
        </w:rPr>
        <w:t>dependent variables</w:t>
      </w:r>
      <w:r w:rsidR="008C5B55" w:rsidRPr="00E82E1F">
        <w:rPr>
          <w:sz w:val="24"/>
          <w:szCs w:val="24"/>
          <w:lang w:val="en-GB"/>
        </w:rPr>
        <w:t xml:space="preserve"> CMMKT</w:t>
      </w:r>
      <w:r w:rsidR="0018699F" w:rsidRPr="00E82E1F">
        <w:rPr>
          <w:sz w:val="24"/>
          <w:szCs w:val="24"/>
          <w:lang w:val="en-GB"/>
        </w:rPr>
        <w:t xml:space="preserve">, </w:t>
      </w:r>
      <w:r w:rsidR="008C5B55" w:rsidRPr="00E82E1F">
        <w:rPr>
          <w:sz w:val="24"/>
          <w:szCs w:val="24"/>
          <w:lang w:val="en-GB"/>
        </w:rPr>
        <w:t>LNLISTED, and IPO</w:t>
      </w:r>
      <w:r w:rsidR="0018699F" w:rsidRPr="00E82E1F">
        <w:rPr>
          <w:sz w:val="24"/>
          <w:szCs w:val="24"/>
          <w:lang w:val="en-GB"/>
        </w:rPr>
        <w:t xml:space="preserve">, </w:t>
      </w:r>
      <w:r w:rsidR="00913B0D" w:rsidRPr="00E82E1F">
        <w:rPr>
          <w:sz w:val="24"/>
          <w:szCs w:val="24"/>
          <w:lang w:val="en-GB"/>
        </w:rPr>
        <w:t>and</w:t>
      </w:r>
      <w:r w:rsidR="0018699F" w:rsidRPr="00E82E1F">
        <w:rPr>
          <w:sz w:val="24"/>
          <w:szCs w:val="24"/>
          <w:lang w:val="en-GB"/>
        </w:rPr>
        <w:t xml:space="preserve"> insignificant in the</w:t>
      </w:r>
      <w:r w:rsidR="00F119F9" w:rsidRPr="00E82E1F">
        <w:rPr>
          <w:sz w:val="24"/>
          <w:szCs w:val="24"/>
          <w:lang w:val="en-GB"/>
        </w:rPr>
        <w:t xml:space="preserve"> fourth</w:t>
      </w:r>
      <w:r w:rsidR="0018699F" w:rsidRPr="00E82E1F">
        <w:rPr>
          <w:sz w:val="24"/>
          <w:szCs w:val="24"/>
          <w:lang w:val="en-GB"/>
        </w:rPr>
        <w:t xml:space="preserve"> regression with the dependent variable </w:t>
      </w:r>
      <w:r w:rsidR="00F119F9" w:rsidRPr="00E82E1F">
        <w:rPr>
          <w:sz w:val="24"/>
          <w:szCs w:val="24"/>
          <w:lang w:val="en-GB"/>
        </w:rPr>
        <w:t>TRADE</w:t>
      </w:r>
      <w:r w:rsidR="008230EF" w:rsidRPr="00E82E1F">
        <w:rPr>
          <w:sz w:val="24"/>
          <w:szCs w:val="24"/>
          <w:lang w:val="en-GB"/>
        </w:rPr>
        <w:t>, which</w:t>
      </w:r>
      <w:r w:rsidR="006C2A49" w:rsidRPr="00E82E1F">
        <w:rPr>
          <w:sz w:val="24"/>
          <w:szCs w:val="24"/>
          <w:lang w:val="en-GB"/>
        </w:rPr>
        <w:t xml:space="preserve"> </w:t>
      </w:r>
      <w:r w:rsidRPr="00E82E1F">
        <w:rPr>
          <w:sz w:val="24"/>
          <w:szCs w:val="24"/>
          <w:lang w:val="en-GB"/>
        </w:rPr>
        <w:t xml:space="preserve">is not </w:t>
      </w:r>
      <w:r w:rsidR="006C2A49" w:rsidRPr="00E82E1F">
        <w:rPr>
          <w:sz w:val="24"/>
          <w:szCs w:val="24"/>
          <w:lang w:val="en-GB"/>
        </w:rPr>
        <w:t>reported</w:t>
      </w:r>
      <w:r w:rsidRPr="00E82E1F">
        <w:rPr>
          <w:sz w:val="24"/>
          <w:szCs w:val="24"/>
          <w:lang w:val="en-GB"/>
        </w:rPr>
        <w:t xml:space="preserve"> in</w:t>
      </w:r>
      <w:r w:rsidR="00F119F9" w:rsidRPr="00E82E1F">
        <w:rPr>
          <w:sz w:val="24"/>
          <w:szCs w:val="24"/>
          <w:lang w:val="en-GB"/>
        </w:rPr>
        <w:t xml:space="preserve"> the analysis</w:t>
      </w:r>
      <w:r w:rsidR="004D5B92" w:rsidRPr="00E82E1F">
        <w:rPr>
          <w:sz w:val="24"/>
          <w:szCs w:val="24"/>
          <w:lang w:val="en-GB"/>
        </w:rPr>
        <w:t xml:space="preserve"> of DLLS</w:t>
      </w:r>
      <w:r w:rsidRPr="00E82E1F">
        <w:rPr>
          <w:sz w:val="24"/>
          <w:szCs w:val="24"/>
          <w:lang w:val="en-GB"/>
        </w:rPr>
        <w:t xml:space="preserve"> (2008).</w:t>
      </w:r>
    </w:p>
    <w:p w:rsidR="00A641D5" w:rsidRPr="00234284" w:rsidRDefault="00A641D5" w:rsidP="00E07BF9">
      <w:pPr>
        <w:spacing w:beforeLines="100"/>
        <w:mirrorIndents/>
        <w:jc w:val="center"/>
        <w:rPr>
          <w:b/>
          <w:sz w:val="28"/>
          <w:szCs w:val="28"/>
          <w:lang w:val="en-GB"/>
        </w:rPr>
      </w:pPr>
      <w:r w:rsidRPr="00234284">
        <w:rPr>
          <w:b/>
          <w:sz w:val="28"/>
          <w:szCs w:val="28"/>
          <w:lang w:val="en-GB"/>
        </w:rPr>
        <w:t xml:space="preserve">Table 2 Results of OLS estimation </w:t>
      </w:r>
      <w:r>
        <w:rPr>
          <w:rFonts w:hint="eastAsia"/>
          <w:b/>
          <w:sz w:val="28"/>
          <w:szCs w:val="28"/>
          <w:lang w:val="en-GB"/>
        </w:rPr>
        <w:t>testing sampling bias</w:t>
      </w:r>
    </w:p>
    <w:p w:rsidR="00A641D5" w:rsidRPr="00234284" w:rsidRDefault="00A641D5" w:rsidP="00A641D5">
      <w:pPr>
        <w:adjustRightInd w:val="0"/>
        <w:snapToGrid w:val="0"/>
        <w:rPr>
          <w:szCs w:val="21"/>
          <w:lang w:val="en-GB"/>
        </w:rPr>
      </w:pPr>
      <w:r w:rsidRPr="00234284">
        <w:rPr>
          <w:szCs w:val="21"/>
          <w:lang w:val="en-GB"/>
        </w:rPr>
        <w:t xml:space="preserve">The regression estimated is: </w:t>
      </w:r>
      <w:r w:rsidRPr="00234284">
        <w:rPr>
          <w:i/>
          <w:szCs w:val="21"/>
          <w:lang w:val="en-GB"/>
        </w:rPr>
        <w:t>Y=a + b * X</w:t>
      </w:r>
      <w:r>
        <w:rPr>
          <w:rFonts w:hint="eastAsia"/>
          <w:i/>
          <w:szCs w:val="21"/>
          <w:lang w:val="en-GB"/>
        </w:rPr>
        <w:t xml:space="preserve"> </w:t>
      </w:r>
      <w:r w:rsidRPr="00234284">
        <w:rPr>
          <w:i/>
          <w:szCs w:val="21"/>
          <w:lang w:val="en-GB"/>
        </w:rPr>
        <w:t>+ε</w:t>
      </w:r>
      <w:r w:rsidRPr="00234284">
        <w:rPr>
          <w:szCs w:val="21"/>
          <w:lang w:val="en-GB"/>
        </w:rPr>
        <w:t>, where the</w:t>
      </w:r>
      <w:r w:rsidRPr="00234284">
        <w:rPr>
          <w:lang w:val="en-GB"/>
        </w:rPr>
        <w:t xml:space="preserve"> </w:t>
      </w:r>
      <w:r w:rsidRPr="00234284">
        <w:rPr>
          <w:szCs w:val="21"/>
          <w:lang w:val="en-GB"/>
        </w:rPr>
        <w:t>variable “</w:t>
      </w:r>
      <w:r w:rsidRPr="00234284">
        <w:rPr>
          <w:i/>
          <w:szCs w:val="21"/>
          <w:lang w:val="en-GB"/>
        </w:rPr>
        <w:t>Y</w:t>
      </w:r>
      <w:r w:rsidRPr="00234284">
        <w:rPr>
          <w:szCs w:val="21"/>
          <w:lang w:val="en-GB"/>
        </w:rPr>
        <w:t>” represents four dependent variables of interest, namely</w:t>
      </w:r>
      <w:r>
        <w:rPr>
          <w:szCs w:val="21"/>
          <w:lang w:val="en-GB"/>
        </w:rPr>
        <w:t>,</w:t>
      </w:r>
      <w:r w:rsidRPr="00234284">
        <w:rPr>
          <w:szCs w:val="21"/>
          <w:lang w:val="en-GB"/>
        </w:rPr>
        <w:t xml:space="preserve"> CMMKT, LNLISTED, IPO and TRADE. “</w:t>
      </w:r>
      <w:r w:rsidRPr="00234284">
        <w:rPr>
          <w:i/>
          <w:szCs w:val="21"/>
          <w:lang w:val="en-GB"/>
        </w:rPr>
        <w:t>X</w:t>
      </w:r>
      <w:r w:rsidRPr="00234284">
        <w:rPr>
          <w:szCs w:val="21"/>
          <w:lang w:val="en-GB"/>
        </w:rPr>
        <w:t xml:space="preserve">” represents three </w:t>
      </w:r>
      <w:r>
        <w:rPr>
          <w:rFonts w:hint="eastAsia"/>
          <w:szCs w:val="21"/>
          <w:lang w:val="en-GB"/>
        </w:rPr>
        <w:t xml:space="preserve">independent </w:t>
      </w:r>
      <w:r w:rsidRPr="00234284">
        <w:rPr>
          <w:szCs w:val="21"/>
          <w:lang w:val="en-GB"/>
        </w:rPr>
        <w:t>variables, namely</w:t>
      </w:r>
      <w:r>
        <w:rPr>
          <w:szCs w:val="21"/>
          <w:lang w:val="en-GB"/>
        </w:rPr>
        <w:t>,</w:t>
      </w:r>
      <w:r w:rsidRPr="00234284">
        <w:rPr>
          <w:szCs w:val="21"/>
          <w:lang w:val="en-GB"/>
        </w:rPr>
        <w:t xml:space="preserve"> “anti-self-dealing index”, “time to collect on a bounced check”, and “GDP per capita”. The regressions are estimated using Ordinary Least Squares.</w:t>
      </w:r>
    </w:p>
    <w:tbl>
      <w:tblPr>
        <w:tblW w:w="0" w:type="auto"/>
        <w:jc w:val="center"/>
        <w:tblInd w:w="-1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2"/>
        <w:gridCol w:w="1326"/>
        <w:gridCol w:w="1299"/>
        <w:gridCol w:w="1276"/>
        <w:gridCol w:w="1288"/>
      </w:tblGrid>
      <w:tr w:rsidR="00A641D5" w:rsidRPr="00234284" w:rsidTr="00A641D5">
        <w:trPr>
          <w:trHeight w:val="225"/>
          <w:jc w:val="center"/>
        </w:trPr>
        <w:tc>
          <w:tcPr>
            <w:tcW w:w="2472" w:type="dxa"/>
            <w:tcBorders>
              <w:tl2br w:val="single" w:sz="4" w:space="0" w:color="auto"/>
            </w:tcBorders>
            <w:vAlign w:val="bottom"/>
          </w:tcPr>
          <w:p w:rsidR="00A641D5" w:rsidRPr="00234284" w:rsidRDefault="00A641D5" w:rsidP="00A641D5">
            <w:pPr>
              <w:adjustRightInd w:val="0"/>
              <w:snapToGrid w:val="0"/>
              <w:jc w:val="right"/>
              <w:rPr>
                <w:color w:val="000000"/>
                <w:kern w:val="0"/>
                <w:szCs w:val="21"/>
                <w:lang w:val="en-GB"/>
              </w:rPr>
            </w:pPr>
            <w:r w:rsidRPr="00234284">
              <w:rPr>
                <w:color w:val="000000"/>
                <w:kern w:val="0"/>
                <w:szCs w:val="21"/>
                <w:lang w:val="en-GB"/>
              </w:rPr>
              <w:t>Dependent variables</w:t>
            </w:r>
          </w:p>
          <w:p w:rsidR="00A641D5" w:rsidRPr="00234284" w:rsidRDefault="00A641D5" w:rsidP="00A641D5">
            <w:pPr>
              <w:adjustRightInd w:val="0"/>
              <w:snapToGrid w:val="0"/>
              <w:rPr>
                <w:color w:val="000000"/>
                <w:kern w:val="0"/>
                <w:szCs w:val="21"/>
                <w:lang w:val="en-GB"/>
              </w:rPr>
            </w:pPr>
            <w:r w:rsidRPr="00234284">
              <w:rPr>
                <w:color w:val="000000"/>
                <w:kern w:val="0"/>
                <w:szCs w:val="21"/>
                <w:lang w:val="en-GB"/>
              </w:rPr>
              <w:t>Independent variables</w:t>
            </w:r>
          </w:p>
        </w:tc>
        <w:tc>
          <w:tcPr>
            <w:tcW w:w="1326" w:type="dxa"/>
            <w:vAlign w:val="bottom"/>
          </w:tcPr>
          <w:p w:rsidR="00A641D5" w:rsidRPr="00234284" w:rsidRDefault="00A641D5" w:rsidP="00A641D5">
            <w:pPr>
              <w:adjustRightInd w:val="0"/>
              <w:snapToGrid w:val="0"/>
              <w:jc w:val="center"/>
              <w:rPr>
                <w:color w:val="000000"/>
                <w:kern w:val="0"/>
                <w:szCs w:val="21"/>
                <w:lang w:val="en-GB"/>
              </w:rPr>
            </w:pPr>
            <w:r w:rsidRPr="00234284">
              <w:rPr>
                <w:color w:val="000000"/>
                <w:kern w:val="0"/>
                <w:szCs w:val="21"/>
                <w:lang w:val="en-GB"/>
              </w:rPr>
              <w:t>CMMKT</w:t>
            </w:r>
          </w:p>
        </w:tc>
        <w:tc>
          <w:tcPr>
            <w:tcW w:w="1299" w:type="dxa"/>
            <w:vAlign w:val="bottom"/>
          </w:tcPr>
          <w:p w:rsidR="00A641D5" w:rsidRPr="00234284" w:rsidRDefault="00A641D5" w:rsidP="00A641D5">
            <w:pPr>
              <w:adjustRightInd w:val="0"/>
              <w:snapToGrid w:val="0"/>
              <w:jc w:val="center"/>
              <w:rPr>
                <w:color w:val="000000"/>
                <w:kern w:val="0"/>
                <w:szCs w:val="21"/>
                <w:lang w:val="en-GB"/>
              </w:rPr>
            </w:pPr>
            <w:r w:rsidRPr="00234284">
              <w:rPr>
                <w:szCs w:val="21"/>
                <w:lang w:val="en-GB"/>
              </w:rPr>
              <w:t>LNLISTED</w:t>
            </w:r>
          </w:p>
        </w:tc>
        <w:tc>
          <w:tcPr>
            <w:tcW w:w="1276" w:type="dxa"/>
            <w:vAlign w:val="bottom"/>
          </w:tcPr>
          <w:p w:rsidR="00A641D5" w:rsidRPr="00234284" w:rsidRDefault="00A641D5" w:rsidP="00A641D5">
            <w:pPr>
              <w:adjustRightInd w:val="0"/>
              <w:snapToGrid w:val="0"/>
              <w:jc w:val="center"/>
              <w:rPr>
                <w:color w:val="000000"/>
                <w:kern w:val="0"/>
                <w:szCs w:val="21"/>
                <w:lang w:val="en-GB"/>
              </w:rPr>
            </w:pPr>
            <w:r w:rsidRPr="00234284">
              <w:rPr>
                <w:szCs w:val="21"/>
                <w:lang w:val="en-GB"/>
              </w:rPr>
              <w:t>IPO</w:t>
            </w:r>
          </w:p>
        </w:tc>
        <w:tc>
          <w:tcPr>
            <w:tcW w:w="1288" w:type="dxa"/>
            <w:vAlign w:val="bottom"/>
          </w:tcPr>
          <w:p w:rsidR="00A641D5" w:rsidRPr="00234284" w:rsidRDefault="00A641D5" w:rsidP="00A641D5">
            <w:pPr>
              <w:adjustRightInd w:val="0"/>
              <w:snapToGrid w:val="0"/>
              <w:jc w:val="center"/>
              <w:rPr>
                <w:color w:val="000000"/>
                <w:kern w:val="0"/>
                <w:szCs w:val="21"/>
                <w:lang w:val="en-GB"/>
              </w:rPr>
            </w:pPr>
            <w:r w:rsidRPr="00234284">
              <w:rPr>
                <w:szCs w:val="21"/>
                <w:lang w:val="en-GB"/>
              </w:rPr>
              <w:t>TRADE</w:t>
            </w:r>
          </w:p>
        </w:tc>
      </w:tr>
      <w:tr w:rsidR="00A641D5" w:rsidRPr="00234284" w:rsidTr="00A641D5">
        <w:trPr>
          <w:trHeight w:val="225"/>
          <w:jc w:val="center"/>
        </w:trPr>
        <w:tc>
          <w:tcPr>
            <w:tcW w:w="2472" w:type="dxa"/>
            <w:vAlign w:val="bottom"/>
          </w:tcPr>
          <w:p w:rsidR="00A641D5" w:rsidRPr="00234284" w:rsidRDefault="00A641D5" w:rsidP="00A641D5">
            <w:pPr>
              <w:adjustRightInd w:val="0"/>
              <w:snapToGrid w:val="0"/>
              <w:rPr>
                <w:color w:val="000000"/>
                <w:kern w:val="0"/>
                <w:szCs w:val="21"/>
                <w:lang w:val="en-GB"/>
              </w:rPr>
            </w:pPr>
            <w:r w:rsidRPr="00234284">
              <w:rPr>
                <w:color w:val="000000"/>
                <w:kern w:val="0"/>
                <w:szCs w:val="21"/>
                <w:lang w:val="en-GB"/>
              </w:rPr>
              <w:t>Anti-self-dealing index</w:t>
            </w:r>
          </w:p>
          <w:p w:rsidR="00A641D5" w:rsidRPr="00234284" w:rsidRDefault="00A641D5" w:rsidP="00A641D5">
            <w:pPr>
              <w:adjustRightInd w:val="0"/>
              <w:snapToGrid w:val="0"/>
              <w:rPr>
                <w:color w:val="000000"/>
                <w:kern w:val="0"/>
                <w:szCs w:val="21"/>
                <w:lang w:val="en-GB"/>
              </w:rPr>
            </w:pPr>
          </w:p>
        </w:tc>
        <w:tc>
          <w:tcPr>
            <w:tcW w:w="1326" w:type="dxa"/>
          </w:tcPr>
          <w:p w:rsidR="00A641D5" w:rsidRPr="00234284" w:rsidRDefault="00A641D5" w:rsidP="00A641D5">
            <w:pPr>
              <w:adjustRightInd w:val="0"/>
              <w:snapToGrid w:val="0"/>
              <w:jc w:val="center"/>
              <w:rPr>
                <w:szCs w:val="21"/>
                <w:lang w:val="en-GB"/>
              </w:rPr>
            </w:pPr>
            <w:r w:rsidRPr="00234284">
              <w:rPr>
                <w:szCs w:val="21"/>
                <w:lang w:val="en-GB"/>
              </w:rPr>
              <w:t>76.1634*</w:t>
            </w:r>
          </w:p>
          <w:p w:rsidR="00A641D5" w:rsidRPr="00234284" w:rsidRDefault="00A641D5" w:rsidP="00A641D5">
            <w:pPr>
              <w:adjustRightInd w:val="0"/>
              <w:snapToGrid w:val="0"/>
              <w:jc w:val="center"/>
              <w:rPr>
                <w:szCs w:val="21"/>
                <w:lang w:val="en-GB"/>
              </w:rPr>
            </w:pPr>
            <w:r w:rsidRPr="00234284">
              <w:rPr>
                <w:szCs w:val="21"/>
                <w:lang w:val="en-GB"/>
              </w:rPr>
              <w:t>(39.09545)</w:t>
            </w:r>
          </w:p>
        </w:tc>
        <w:tc>
          <w:tcPr>
            <w:tcW w:w="1299" w:type="dxa"/>
          </w:tcPr>
          <w:p w:rsidR="00A641D5" w:rsidRPr="00234284" w:rsidRDefault="00A641D5" w:rsidP="00A641D5">
            <w:pPr>
              <w:adjustRightInd w:val="0"/>
              <w:snapToGrid w:val="0"/>
              <w:jc w:val="center"/>
              <w:rPr>
                <w:szCs w:val="21"/>
                <w:lang w:val="en-GB"/>
              </w:rPr>
            </w:pPr>
            <w:r w:rsidRPr="00234284">
              <w:rPr>
                <w:szCs w:val="21"/>
                <w:lang w:val="en-GB"/>
              </w:rPr>
              <w:t>50.0525***</w:t>
            </w:r>
          </w:p>
          <w:p w:rsidR="00A641D5" w:rsidRPr="00234284" w:rsidRDefault="00A641D5" w:rsidP="00A641D5">
            <w:pPr>
              <w:adjustRightInd w:val="0"/>
              <w:snapToGrid w:val="0"/>
              <w:jc w:val="center"/>
              <w:rPr>
                <w:szCs w:val="21"/>
                <w:lang w:val="en-GB"/>
              </w:rPr>
            </w:pPr>
            <w:r w:rsidRPr="00234284">
              <w:rPr>
                <w:szCs w:val="21"/>
                <w:lang w:val="en-GB"/>
              </w:rPr>
              <w:t>(17.06564)</w:t>
            </w:r>
          </w:p>
        </w:tc>
        <w:tc>
          <w:tcPr>
            <w:tcW w:w="1276" w:type="dxa"/>
          </w:tcPr>
          <w:p w:rsidR="00A641D5" w:rsidRPr="00234284" w:rsidRDefault="00A641D5" w:rsidP="00A641D5">
            <w:pPr>
              <w:adjustRightInd w:val="0"/>
              <w:snapToGrid w:val="0"/>
              <w:jc w:val="center"/>
              <w:rPr>
                <w:szCs w:val="21"/>
                <w:lang w:val="en-GB"/>
              </w:rPr>
            </w:pPr>
            <w:r w:rsidRPr="00234284">
              <w:rPr>
                <w:szCs w:val="21"/>
                <w:lang w:val="en-GB"/>
              </w:rPr>
              <w:t>3.9128**</w:t>
            </w:r>
          </w:p>
          <w:p w:rsidR="00A641D5" w:rsidRPr="00234284" w:rsidRDefault="00A641D5" w:rsidP="00A641D5">
            <w:pPr>
              <w:adjustRightInd w:val="0"/>
              <w:snapToGrid w:val="0"/>
              <w:jc w:val="center"/>
              <w:rPr>
                <w:szCs w:val="21"/>
                <w:lang w:val="en-GB"/>
              </w:rPr>
            </w:pPr>
            <w:r w:rsidRPr="00234284">
              <w:rPr>
                <w:szCs w:val="21"/>
                <w:lang w:val="en-GB"/>
              </w:rPr>
              <w:t>(1.805301)</w:t>
            </w:r>
          </w:p>
        </w:tc>
        <w:tc>
          <w:tcPr>
            <w:tcW w:w="1288" w:type="dxa"/>
          </w:tcPr>
          <w:p w:rsidR="00A641D5" w:rsidRPr="00234284" w:rsidRDefault="00A641D5" w:rsidP="00A641D5">
            <w:pPr>
              <w:adjustRightInd w:val="0"/>
              <w:snapToGrid w:val="0"/>
              <w:jc w:val="center"/>
              <w:rPr>
                <w:szCs w:val="21"/>
                <w:lang w:val="en-GB"/>
              </w:rPr>
            </w:pPr>
            <w:r w:rsidRPr="00234284">
              <w:rPr>
                <w:szCs w:val="21"/>
                <w:lang w:val="en-GB"/>
              </w:rPr>
              <w:t>-1.0308</w:t>
            </w:r>
          </w:p>
          <w:p w:rsidR="00A641D5" w:rsidRPr="00234284" w:rsidRDefault="00A641D5" w:rsidP="00A641D5">
            <w:pPr>
              <w:adjustRightInd w:val="0"/>
              <w:snapToGrid w:val="0"/>
              <w:jc w:val="center"/>
              <w:rPr>
                <w:szCs w:val="21"/>
                <w:lang w:val="en-GB"/>
              </w:rPr>
            </w:pPr>
            <w:r w:rsidRPr="00234284">
              <w:rPr>
                <w:szCs w:val="21"/>
                <w:lang w:val="en-GB"/>
              </w:rPr>
              <w:t>(24.27067)</w:t>
            </w:r>
          </w:p>
        </w:tc>
      </w:tr>
      <w:tr w:rsidR="00A641D5" w:rsidRPr="00234284" w:rsidTr="00A641D5">
        <w:trPr>
          <w:trHeight w:val="225"/>
          <w:jc w:val="center"/>
        </w:trPr>
        <w:tc>
          <w:tcPr>
            <w:tcW w:w="2472" w:type="dxa"/>
            <w:vAlign w:val="bottom"/>
          </w:tcPr>
          <w:p w:rsidR="00A641D5" w:rsidRPr="00234284" w:rsidRDefault="00A641D5" w:rsidP="00A641D5">
            <w:pPr>
              <w:adjustRightInd w:val="0"/>
              <w:snapToGrid w:val="0"/>
              <w:rPr>
                <w:color w:val="000000"/>
                <w:kern w:val="0"/>
                <w:szCs w:val="21"/>
                <w:lang w:val="en-GB"/>
              </w:rPr>
            </w:pPr>
            <w:r w:rsidRPr="00234284">
              <w:rPr>
                <w:color w:val="000000"/>
                <w:kern w:val="0"/>
                <w:szCs w:val="21"/>
                <w:lang w:val="en-GB"/>
              </w:rPr>
              <w:t>Time to collect on a bounced check</w:t>
            </w:r>
          </w:p>
        </w:tc>
        <w:tc>
          <w:tcPr>
            <w:tcW w:w="1326" w:type="dxa"/>
          </w:tcPr>
          <w:p w:rsidR="00A641D5" w:rsidRPr="00234284" w:rsidRDefault="00A641D5" w:rsidP="00A641D5">
            <w:pPr>
              <w:adjustRightInd w:val="0"/>
              <w:snapToGrid w:val="0"/>
              <w:jc w:val="center"/>
              <w:rPr>
                <w:szCs w:val="21"/>
                <w:lang w:val="en-GB"/>
              </w:rPr>
            </w:pPr>
            <w:r w:rsidRPr="00234284">
              <w:rPr>
                <w:szCs w:val="21"/>
                <w:lang w:val="en-GB"/>
              </w:rPr>
              <w:t>-22.5998**</w:t>
            </w:r>
          </w:p>
          <w:p w:rsidR="00A641D5" w:rsidRPr="00234284" w:rsidRDefault="00A641D5" w:rsidP="00A641D5">
            <w:pPr>
              <w:adjustRightInd w:val="0"/>
              <w:snapToGrid w:val="0"/>
              <w:jc w:val="center"/>
              <w:rPr>
                <w:szCs w:val="21"/>
                <w:lang w:val="en-GB"/>
              </w:rPr>
            </w:pPr>
            <w:r w:rsidRPr="00234284">
              <w:rPr>
                <w:szCs w:val="21"/>
                <w:lang w:val="en-GB"/>
              </w:rPr>
              <w:t>(9.738229)</w:t>
            </w:r>
          </w:p>
        </w:tc>
        <w:tc>
          <w:tcPr>
            <w:tcW w:w="1299" w:type="dxa"/>
          </w:tcPr>
          <w:p w:rsidR="00A641D5" w:rsidRPr="00234284" w:rsidRDefault="00A641D5" w:rsidP="00A641D5">
            <w:pPr>
              <w:adjustRightInd w:val="0"/>
              <w:snapToGrid w:val="0"/>
              <w:jc w:val="center"/>
              <w:rPr>
                <w:szCs w:val="21"/>
                <w:lang w:val="en-GB"/>
              </w:rPr>
            </w:pPr>
            <w:r w:rsidRPr="00234284">
              <w:rPr>
                <w:szCs w:val="21"/>
                <w:lang w:val="en-GB"/>
              </w:rPr>
              <w:t>-0.1941</w:t>
            </w:r>
          </w:p>
          <w:p w:rsidR="00A641D5" w:rsidRPr="00234284" w:rsidRDefault="00A641D5" w:rsidP="00A641D5">
            <w:pPr>
              <w:adjustRightInd w:val="0"/>
              <w:snapToGrid w:val="0"/>
              <w:jc w:val="center"/>
              <w:rPr>
                <w:szCs w:val="21"/>
                <w:lang w:val="en-GB"/>
              </w:rPr>
            </w:pPr>
            <w:r w:rsidRPr="00234284">
              <w:rPr>
                <w:szCs w:val="21"/>
                <w:lang w:val="en-GB"/>
              </w:rPr>
              <w:t>(5.529378)</w:t>
            </w:r>
          </w:p>
        </w:tc>
        <w:tc>
          <w:tcPr>
            <w:tcW w:w="1276" w:type="dxa"/>
          </w:tcPr>
          <w:p w:rsidR="00A641D5" w:rsidRPr="00234284" w:rsidRDefault="00A641D5" w:rsidP="00A641D5">
            <w:pPr>
              <w:adjustRightInd w:val="0"/>
              <w:snapToGrid w:val="0"/>
              <w:jc w:val="center"/>
              <w:rPr>
                <w:szCs w:val="21"/>
                <w:lang w:val="en-GB"/>
              </w:rPr>
            </w:pPr>
            <w:r w:rsidRPr="00234284">
              <w:rPr>
                <w:szCs w:val="21"/>
                <w:lang w:val="en-GB"/>
              </w:rPr>
              <w:t>0.3887</w:t>
            </w:r>
          </w:p>
          <w:p w:rsidR="00A641D5" w:rsidRPr="00234284" w:rsidRDefault="00A641D5" w:rsidP="00A641D5">
            <w:pPr>
              <w:adjustRightInd w:val="0"/>
              <w:snapToGrid w:val="0"/>
              <w:jc w:val="center"/>
              <w:rPr>
                <w:szCs w:val="21"/>
                <w:lang w:val="en-GB"/>
              </w:rPr>
            </w:pPr>
            <w:r w:rsidRPr="00234284">
              <w:rPr>
                <w:szCs w:val="21"/>
                <w:lang w:val="en-GB"/>
              </w:rPr>
              <w:t>(0.5589768)</w:t>
            </w:r>
          </w:p>
        </w:tc>
        <w:tc>
          <w:tcPr>
            <w:tcW w:w="1288" w:type="dxa"/>
          </w:tcPr>
          <w:p w:rsidR="00A641D5" w:rsidRPr="00234284" w:rsidRDefault="00A641D5" w:rsidP="00A641D5">
            <w:pPr>
              <w:adjustRightInd w:val="0"/>
              <w:snapToGrid w:val="0"/>
              <w:jc w:val="center"/>
              <w:rPr>
                <w:szCs w:val="21"/>
                <w:lang w:val="en-GB"/>
              </w:rPr>
            </w:pPr>
            <w:r w:rsidRPr="00234284">
              <w:rPr>
                <w:szCs w:val="21"/>
                <w:lang w:val="en-GB"/>
              </w:rPr>
              <w:t>-29.2071***</w:t>
            </w:r>
          </w:p>
          <w:p w:rsidR="00A641D5" w:rsidRPr="00234284" w:rsidRDefault="00A641D5" w:rsidP="00A641D5">
            <w:pPr>
              <w:adjustRightInd w:val="0"/>
              <w:snapToGrid w:val="0"/>
              <w:jc w:val="center"/>
              <w:rPr>
                <w:szCs w:val="21"/>
                <w:lang w:val="en-GB"/>
              </w:rPr>
            </w:pPr>
            <w:r w:rsidRPr="00234284">
              <w:rPr>
                <w:szCs w:val="21"/>
                <w:lang w:val="en-GB"/>
              </w:rPr>
              <w:t>(10.13397)</w:t>
            </w:r>
          </w:p>
        </w:tc>
      </w:tr>
      <w:tr w:rsidR="00A641D5" w:rsidRPr="00234284" w:rsidTr="00A641D5">
        <w:trPr>
          <w:trHeight w:val="225"/>
          <w:jc w:val="center"/>
        </w:trPr>
        <w:tc>
          <w:tcPr>
            <w:tcW w:w="2472" w:type="dxa"/>
            <w:vAlign w:val="bottom"/>
          </w:tcPr>
          <w:p w:rsidR="00A641D5" w:rsidRPr="00234284" w:rsidRDefault="00A641D5" w:rsidP="00A641D5">
            <w:pPr>
              <w:adjustRightInd w:val="0"/>
              <w:snapToGrid w:val="0"/>
              <w:rPr>
                <w:color w:val="000000"/>
                <w:kern w:val="0"/>
                <w:szCs w:val="21"/>
                <w:lang w:val="en-GB"/>
              </w:rPr>
            </w:pPr>
            <w:r w:rsidRPr="00234284">
              <w:rPr>
                <w:color w:val="000000"/>
                <w:kern w:val="0"/>
                <w:szCs w:val="21"/>
                <w:lang w:val="en-GB"/>
              </w:rPr>
              <w:t>GDP per capita</w:t>
            </w:r>
          </w:p>
          <w:p w:rsidR="00A641D5" w:rsidRPr="00234284" w:rsidRDefault="00A641D5" w:rsidP="00A641D5">
            <w:pPr>
              <w:adjustRightInd w:val="0"/>
              <w:snapToGrid w:val="0"/>
              <w:rPr>
                <w:color w:val="000000"/>
                <w:kern w:val="0"/>
                <w:szCs w:val="21"/>
                <w:lang w:val="en-GB"/>
              </w:rPr>
            </w:pPr>
          </w:p>
        </w:tc>
        <w:tc>
          <w:tcPr>
            <w:tcW w:w="1326" w:type="dxa"/>
          </w:tcPr>
          <w:p w:rsidR="00A641D5" w:rsidRPr="00234284" w:rsidRDefault="00A641D5" w:rsidP="00A641D5">
            <w:pPr>
              <w:adjustRightInd w:val="0"/>
              <w:snapToGrid w:val="0"/>
              <w:jc w:val="center"/>
              <w:rPr>
                <w:szCs w:val="21"/>
                <w:lang w:val="en-GB"/>
              </w:rPr>
            </w:pPr>
            <w:r w:rsidRPr="00234284">
              <w:rPr>
                <w:szCs w:val="21"/>
                <w:lang w:val="en-GB"/>
              </w:rPr>
              <w:t>15.7183***</w:t>
            </w:r>
          </w:p>
          <w:p w:rsidR="00A641D5" w:rsidRPr="00234284" w:rsidRDefault="00A641D5" w:rsidP="00A641D5">
            <w:pPr>
              <w:adjustRightInd w:val="0"/>
              <w:snapToGrid w:val="0"/>
              <w:jc w:val="center"/>
              <w:rPr>
                <w:szCs w:val="21"/>
                <w:lang w:val="en-GB"/>
              </w:rPr>
            </w:pPr>
            <w:r w:rsidRPr="00234284">
              <w:rPr>
                <w:szCs w:val="21"/>
                <w:lang w:val="en-GB"/>
              </w:rPr>
              <w:t>(5.30491)</w:t>
            </w:r>
          </w:p>
        </w:tc>
        <w:tc>
          <w:tcPr>
            <w:tcW w:w="1299" w:type="dxa"/>
          </w:tcPr>
          <w:p w:rsidR="00A641D5" w:rsidRPr="00234284" w:rsidRDefault="00A641D5" w:rsidP="00A641D5">
            <w:pPr>
              <w:adjustRightInd w:val="0"/>
              <w:snapToGrid w:val="0"/>
              <w:jc w:val="center"/>
              <w:rPr>
                <w:szCs w:val="21"/>
                <w:lang w:val="en-GB"/>
              </w:rPr>
            </w:pPr>
            <w:r w:rsidRPr="00234284">
              <w:rPr>
                <w:szCs w:val="21"/>
                <w:lang w:val="en-GB"/>
              </w:rPr>
              <w:t>7.5921***</w:t>
            </w:r>
          </w:p>
          <w:p w:rsidR="00A641D5" w:rsidRPr="00234284" w:rsidRDefault="00A641D5" w:rsidP="00A641D5">
            <w:pPr>
              <w:adjustRightInd w:val="0"/>
              <w:snapToGrid w:val="0"/>
              <w:jc w:val="center"/>
              <w:rPr>
                <w:szCs w:val="21"/>
                <w:lang w:val="en-GB"/>
              </w:rPr>
            </w:pPr>
            <w:r w:rsidRPr="00234284">
              <w:rPr>
                <w:szCs w:val="21"/>
                <w:lang w:val="en-GB"/>
              </w:rPr>
              <w:t>(1.74676)</w:t>
            </w:r>
          </w:p>
        </w:tc>
        <w:tc>
          <w:tcPr>
            <w:tcW w:w="1276" w:type="dxa"/>
          </w:tcPr>
          <w:p w:rsidR="00A641D5" w:rsidRPr="00234284" w:rsidRDefault="00A641D5" w:rsidP="00A641D5">
            <w:pPr>
              <w:adjustRightInd w:val="0"/>
              <w:snapToGrid w:val="0"/>
              <w:jc w:val="center"/>
              <w:rPr>
                <w:szCs w:val="21"/>
                <w:lang w:val="en-GB"/>
              </w:rPr>
            </w:pPr>
            <w:r w:rsidRPr="00234284">
              <w:rPr>
                <w:szCs w:val="21"/>
                <w:lang w:val="en-GB"/>
              </w:rPr>
              <w:t>1.0360***</w:t>
            </w:r>
          </w:p>
          <w:p w:rsidR="00A641D5" w:rsidRPr="00234284" w:rsidRDefault="00A641D5" w:rsidP="00A641D5">
            <w:pPr>
              <w:adjustRightInd w:val="0"/>
              <w:snapToGrid w:val="0"/>
              <w:jc w:val="center"/>
              <w:rPr>
                <w:szCs w:val="21"/>
                <w:lang w:val="en-GB"/>
              </w:rPr>
            </w:pPr>
            <w:r w:rsidRPr="00234284">
              <w:rPr>
                <w:szCs w:val="21"/>
                <w:lang w:val="en-GB"/>
              </w:rPr>
              <w:t>(0.2142326)</w:t>
            </w:r>
          </w:p>
        </w:tc>
        <w:tc>
          <w:tcPr>
            <w:tcW w:w="1288" w:type="dxa"/>
          </w:tcPr>
          <w:p w:rsidR="00A641D5" w:rsidRPr="00234284" w:rsidRDefault="00A641D5" w:rsidP="00A641D5">
            <w:pPr>
              <w:adjustRightInd w:val="0"/>
              <w:snapToGrid w:val="0"/>
              <w:jc w:val="center"/>
              <w:rPr>
                <w:szCs w:val="21"/>
                <w:lang w:val="en-GB"/>
              </w:rPr>
            </w:pPr>
            <w:r w:rsidRPr="00234284">
              <w:rPr>
                <w:szCs w:val="21"/>
                <w:lang w:val="en-GB"/>
              </w:rPr>
              <w:t>15.9889***</w:t>
            </w:r>
          </w:p>
          <w:p w:rsidR="00A641D5" w:rsidRPr="00234284" w:rsidRDefault="00A641D5" w:rsidP="00A641D5">
            <w:pPr>
              <w:adjustRightInd w:val="0"/>
              <w:snapToGrid w:val="0"/>
              <w:jc w:val="center"/>
              <w:rPr>
                <w:szCs w:val="21"/>
                <w:lang w:val="en-GB"/>
              </w:rPr>
            </w:pPr>
            <w:r w:rsidRPr="00234284">
              <w:rPr>
                <w:szCs w:val="21"/>
                <w:lang w:val="en-GB"/>
              </w:rPr>
              <w:t>(4.523028)</w:t>
            </w:r>
          </w:p>
        </w:tc>
      </w:tr>
      <w:tr w:rsidR="00A641D5" w:rsidRPr="00234284" w:rsidTr="00A641D5">
        <w:trPr>
          <w:trHeight w:val="225"/>
          <w:jc w:val="center"/>
        </w:trPr>
        <w:tc>
          <w:tcPr>
            <w:tcW w:w="2472" w:type="dxa"/>
            <w:vAlign w:val="bottom"/>
          </w:tcPr>
          <w:p w:rsidR="00A641D5" w:rsidRPr="00234284" w:rsidRDefault="00A641D5" w:rsidP="00A641D5">
            <w:pPr>
              <w:adjustRightInd w:val="0"/>
              <w:snapToGrid w:val="0"/>
              <w:rPr>
                <w:color w:val="000000"/>
                <w:kern w:val="0"/>
                <w:szCs w:val="21"/>
                <w:lang w:val="en-GB"/>
              </w:rPr>
            </w:pPr>
            <w:r w:rsidRPr="00234284">
              <w:rPr>
                <w:color w:val="000000"/>
                <w:kern w:val="0"/>
                <w:szCs w:val="21"/>
                <w:lang w:val="en-GB"/>
              </w:rPr>
              <w:t>Constant</w:t>
            </w:r>
          </w:p>
          <w:p w:rsidR="00A641D5" w:rsidRPr="00234284" w:rsidRDefault="00A641D5" w:rsidP="00A641D5">
            <w:pPr>
              <w:adjustRightInd w:val="0"/>
              <w:snapToGrid w:val="0"/>
              <w:rPr>
                <w:color w:val="000000"/>
                <w:kern w:val="0"/>
                <w:szCs w:val="21"/>
                <w:lang w:val="en-GB"/>
              </w:rPr>
            </w:pPr>
          </w:p>
        </w:tc>
        <w:tc>
          <w:tcPr>
            <w:tcW w:w="1326" w:type="dxa"/>
          </w:tcPr>
          <w:p w:rsidR="00A641D5" w:rsidRPr="00234284" w:rsidRDefault="00A641D5" w:rsidP="00A641D5">
            <w:pPr>
              <w:adjustRightInd w:val="0"/>
              <w:snapToGrid w:val="0"/>
              <w:jc w:val="center"/>
              <w:rPr>
                <w:szCs w:val="21"/>
                <w:lang w:val="en-GB"/>
              </w:rPr>
            </w:pPr>
            <w:r w:rsidRPr="00234284">
              <w:rPr>
                <w:szCs w:val="21"/>
                <w:lang w:val="en-GB"/>
              </w:rPr>
              <w:t>17.8875</w:t>
            </w:r>
          </w:p>
          <w:p w:rsidR="00A641D5" w:rsidRPr="00234284" w:rsidRDefault="00A641D5" w:rsidP="00A641D5">
            <w:pPr>
              <w:adjustRightInd w:val="0"/>
              <w:snapToGrid w:val="0"/>
              <w:jc w:val="center"/>
              <w:rPr>
                <w:szCs w:val="21"/>
                <w:lang w:val="en-GB"/>
              </w:rPr>
            </w:pPr>
            <w:r w:rsidRPr="00234284">
              <w:rPr>
                <w:szCs w:val="21"/>
                <w:lang w:val="en-GB"/>
              </w:rPr>
              <w:t>(67.29334)</w:t>
            </w:r>
          </w:p>
        </w:tc>
        <w:tc>
          <w:tcPr>
            <w:tcW w:w="1299" w:type="dxa"/>
          </w:tcPr>
          <w:p w:rsidR="00A641D5" w:rsidRPr="00234284" w:rsidRDefault="00A641D5" w:rsidP="00A641D5">
            <w:pPr>
              <w:adjustRightInd w:val="0"/>
              <w:snapToGrid w:val="0"/>
              <w:jc w:val="center"/>
              <w:rPr>
                <w:szCs w:val="21"/>
                <w:lang w:val="en-GB"/>
              </w:rPr>
            </w:pPr>
            <w:r w:rsidRPr="00234284">
              <w:rPr>
                <w:szCs w:val="21"/>
                <w:lang w:val="en-GB"/>
              </w:rPr>
              <w:t>-65.4276</w:t>
            </w:r>
          </w:p>
          <w:p w:rsidR="00A641D5" w:rsidRPr="00234284" w:rsidRDefault="00A641D5" w:rsidP="00A641D5">
            <w:pPr>
              <w:adjustRightInd w:val="0"/>
              <w:snapToGrid w:val="0"/>
              <w:jc w:val="center"/>
              <w:rPr>
                <w:szCs w:val="21"/>
                <w:lang w:val="en-GB"/>
              </w:rPr>
            </w:pPr>
            <w:r w:rsidRPr="00234284">
              <w:rPr>
                <w:szCs w:val="21"/>
                <w:lang w:val="en-GB"/>
              </w:rPr>
              <w:t>(40.72796)</w:t>
            </w:r>
          </w:p>
        </w:tc>
        <w:tc>
          <w:tcPr>
            <w:tcW w:w="1276" w:type="dxa"/>
          </w:tcPr>
          <w:p w:rsidR="00A641D5" w:rsidRPr="00234284" w:rsidRDefault="00A641D5" w:rsidP="00A641D5">
            <w:pPr>
              <w:adjustRightInd w:val="0"/>
              <w:snapToGrid w:val="0"/>
              <w:jc w:val="center"/>
              <w:rPr>
                <w:szCs w:val="21"/>
                <w:lang w:val="en-GB"/>
              </w:rPr>
            </w:pPr>
            <w:r w:rsidRPr="00234284">
              <w:rPr>
                <w:szCs w:val="21"/>
                <w:lang w:val="en-GB"/>
              </w:rPr>
              <w:t>-10.1349**</w:t>
            </w:r>
          </w:p>
          <w:p w:rsidR="00A641D5" w:rsidRPr="00234284" w:rsidRDefault="00A641D5" w:rsidP="00A641D5">
            <w:pPr>
              <w:adjustRightInd w:val="0"/>
              <w:snapToGrid w:val="0"/>
              <w:jc w:val="center"/>
              <w:rPr>
                <w:szCs w:val="21"/>
                <w:lang w:val="en-GB"/>
              </w:rPr>
            </w:pPr>
            <w:r w:rsidRPr="00234284">
              <w:rPr>
                <w:szCs w:val="21"/>
                <w:lang w:val="en-GB"/>
              </w:rPr>
              <w:t>(4.283676)</w:t>
            </w:r>
          </w:p>
        </w:tc>
        <w:tc>
          <w:tcPr>
            <w:tcW w:w="1288" w:type="dxa"/>
          </w:tcPr>
          <w:p w:rsidR="00A641D5" w:rsidRPr="00234284" w:rsidRDefault="00A641D5" w:rsidP="00A641D5">
            <w:pPr>
              <w:adjustRightInd w:val="0"/>
              <w:snapToGrid w:val="0"/>
              <w:jc w:val="center"/>
              <w:rPr>
                <w:szCs w:val="21"/>
                <w:lang w:val="en-GB"/>
              </w:rPr>
            </w:pPr>
            <w:r w:rsidRPr="00234284">
              <w:rPr>
                <w:szCs w:val="21"/>
                <w:lang w:val="en-GB"/>
              </w:rPr>
              <w:t>62.7409</w:t>
            </w:r>
          </w:p>
          <w:p w:rsidR="00A641D5" w:rsidRPr="00234284" w:rsidRDefault="00A641D5" w:rsidP="00A641D5">
            <w:pPr>
              <w:adjustRightInd w:val="0"/>
              <w:snapToGrid w:val="0"/>
              <w:jc w:val="center"/>
              <w:rPr>
                <w:szCs w:val="21"/>
                <w:lang w:val="en-GB"/>
              </w:rPr>
            </w:pPr>
            <w:r w:rsidRPr="00234284">
              <w:rPr>
                <w:szCs w:val="21"/>
                <w:lang w:val="en-GB"/>
              </w:rPr>
              <w:t>(61.34448)</w:t>
            </w:r>
          </w:p>
        </w:tc>
      </w:tr>
      <w:tr w:rsidR="00A641D5" w:rsidRPr="00234284" w:rsidTr="00A641D5">
        <w:trPr>
          <w:trHeight w:val="225"/>
          <w:jc w:val="center"/>
        </w:trPr>
        <w:tc>
          <w:tcPr>
            <w:tcW w:w="2472" w:type="dxa"/>
            <w:vAlign w:val="bottom"/>
          </w:tcPr>
          <w:p w:rsidR="00A641D5" w:rsidRPr="00234284" w:rsidRDefault="00A641D5" w:rsidP="00A641D5">
            <w:pPr>
              <w:adjustRightInd w:val="0"/>
              <w:snapToGrid w:val="0"/>
              <w:rPr>
                <w:color w:val="000000"/>
                <w:kern w:val="0"/>
                <w:szCs w:val="21"/>
                <w:lang w:val="en-GB"/>
              </w:rPr>
            </w:pPr>
            <w:r w:rsidRPr="00234284">
              <w:rPr>
                <w:color w:val="000000"/>
                <w:kern w:val="0"/>
                <w:szCs w:val="21"/>
                <w:lang w:val="en-GB"/>
              </w:rPr>
              <w:t>R-squared</w:t>
            </w:r>
          </w:p>
        </w:tc>
        <w:tc>
          <w:tcPr>
            <w:tcW w:w="1326" w:type="dxa"/>
            <w:vAlign w:val="bottom"/>
          </w:tcPr>
          <w:p w:rsidR="00A641D5" w:rsidRPr="00234284" w:rsidRDefault="00A641D5" w:rsidP="00A641D5">
            <w:pPr>
              <w:adjustRightInd w:val="0"/>
              <w:snapToGrid w:val="0"/>
              <w:jc w:val="center"/>
              <w:rPr>
                <w:color w:val="000000"/>
                <w:kern w:val="0"/>
                <w:szCs w:val="21"/>
                <w:lang w:val="en-GB"/>
              </w:rPr>
            </w:pPr>
            <w:r w:rsidRPr="00234284">
              <w:rPr>
                <w:color w:val="000000"/>
                <w:kern w:val="0"/>
                <w:szCs w:val="21"/>
                <w:lang w:val="en-GB"/>
              </w:rPr>
              <w:t>0.3946</w:t>
            </w:r>
          </w:p>
        </w:tc>
        <w:tc>
          <w:tcPr>
            <w:tcW w:w="1299" w:type="dxa"/>
            <w:vAlign w:val="bottom"/>
          </w:tcPr>
          <w:p w:rsidR="00A641D5" w:rsidRPr="00234284" w:rsidRDefault="00A641D5" w:rsidP="00A641D5">
            <w:pPr>
              <w:adjustRightInd w:val="0"/>
              <w:snapToGrid w:val="0"/>
              <w:jc w:val="center"/>
              <w:rPr>
                <w:color w:val="000000"/>
                <w:kern w:val="0"/>
                <w:szCs w:val="21"/>
                <w:lang w:val="en-GB"/>
              </w:rPr>
            </w:pPr>
            <w:r w:rsidRPr="00234284">
              <w:rPr>
                <w:color w:val="000000"/>
                <w:kern w:val="0"/>
                <w:szCs w:val="21"/>
                <w:lang w:val="en-GB"/>
              </w:rPr>
              <w:t>0.4433</w:t>
            </w:r>
          </w:p>
        </w:tc>
        <w:tc>
          <w:tcPr>
            <w:tcW w:w="1276" w:type="dxa"/>
            <w:vAlign w:val="bottom"/>
          </w:tcPr>
          <w:p w:rsidR="00A641D5" w:rsidRPr="00234284" w:rsidRDefault="00A641D5" w:rsidP="00A641D5">
            <w:pPr>
              <w:adjustRightInd w:val="0"/>
              <w:snapToGrid w:val="0"/>
              <w:jc w:val="center"/>
              <w:rPr>
                <w:color w:val="000000"/>
                <w:kern w:val="0"/>
                <w:szCs w:val="21"/>
                <w:lang w:val="en-GB"/>
              </w:rPr>
            </w:pPr>
            <w:r w:rsidRPr="00234284">
              <w:rPr>
                <w:color w:val="000000"/>
                <w:kern w:val="0"/>
                <w:szCs w:val="21"/>
                <w:lang w:val="en-GB"/>
              </w:rPr>
              <w:t>0.3865</w:t>
            </w:r>
          </w:p>
        </w:tc>
        <w:tc>
          <w:tcPr>
            <w:tcW w:w="1288" w:type="dxa"/>
            <w:vAlign w:val="bottom"/>
          </w:tcPr>
          <w:p w:rsidR="00A641D5" w:rsidRPr="00234284" w:rsidRDefault="00A641D5" w:rsidP="00A641D5">
            <w:pPr>
              <w:adjustRightInd w:val="0"/>
              <w:snapToGrid w:val="0"/>
              <w:jc w:val="center"/>
              <w:rPr>
                <w:color w:val="000000"/>
                <w:kern w:val="0"/>
                <w:szCs w:val="21"/>
                <w:lang w:val="en-GB"/>
              </w:rPr>
            </w:pPr>
            <w:r w:rsidRPr="00234284">
              <w:rPr>
                <w:color w:val="000000"/>
                <w:kern w:val="0"/>
                <w:szCs w:val="21"/>
                <w:lang w:val="en-GB"/>
              </w:rPr>
              <w:t>0.3952</w:t>
            </w:r>
          </w:p>
        </w:tc>
      </w:tr>
      <w:tr w:rsidR="00A641D5" w:rsidRPr="00234284" w:rsidTr="00A641D5">
        <w:trPr>
          <w:trHeight w:val="225"/>
          <w:jc w:val="center"/>
        </w:trPr>
        <w:tc>
          <w:tcPr>
            <w:tcW w:w="2472" w:type="dxa"/>
            <w:vAlign w:val="bottom"/>
          </w:tcPr>
          <w:p w:rsidR="00A641D5" w:rsidRPr="00234284" w:rsidRDefault="00A641D5" w:rsidP="00A641D5">
            <w:pPr>
              <w:adjustRightInd w:val="0"/>
              <w:snapToGrid w:val="0"/>
              <w:rPr>
                <w:color w:val="000000"/>
                <w:kern w:val="0"/>
                <w:szCs w:val="21"/>
                <w:lang w:val="en-GB"/>
              </w:rPr>
            </w:pPr>
            <w:r w:rsidRPr="00234284">
              <w:rPr>
                <w:color w:val="000000"/>
                <w:kern w:val="0"/>
                <w:szCs w:val="21"/>
                <w:lang w:val="en-GB"/>
              </w:rPr>
              <w:t>Observation</w:t>
            </w:r>
          </w:p>
        </w:tc>
        <w:tc>
          <w:tcPr>
            <w:tcW w:w="1326" w:type="dxa"/>
            <w:vAlign w:val="bottom"/>
          </w:tcPr>
          <w:p w:rsidR="00A641D5" w:rsidRPr="00234284" w:rsidRDefault="00A641D5" w:rsidP="00A641D5">
            <w:pPr>
              <w:adjustRightInd w:val="0"/>
              <w:snapToGrid w:val="0"/>
              <w:jc w:val="center"/>
              <w:rPr>
                <w:color w:val="000000"/>
                <w:kern w:val="0"/>
                <w:szCs w:val="21"/>
                <w:lang w:val="en-GB"/>
              </w:rPr>
            </w:pPr>
            <w:r w:rsidRPr="00234284">
              <w:rPr>
                <w:color w:val="000000"/>
                <w:kern w:val="0"/>
                <w:szCs w:val="21"/>
                <w:lang w:val="en-GB"/>
              </w:rPr>
              <w:t>48</w:t>
            </w:r>
          </w:p>
        </w:tc>
        <w:tc>
          <w:tcPr>
            <w:tcW w:w="1299" w:type="dxa"/>
            <w:vAlign w:val="bottom"/>
          </w:tcPr>
          <w:p w:rsidR="00A641D5" w:rsidRPr="00234284" w:rsidRDefault="00A641D5" w:rsidP="00A641D5">
            <w:pPr>
              <w:adjustRightInd w:val="0"/>
              <w:snapToGrid w:val="0"/>
              <w:jc w:val="center"/>
              <w:rPr>
                <w:color w:val="000000"/>
                <w:kern w:val="0"/>
                <w:szCs w:val="21"/>
                <w:lang w:val="en-GB"/>
              </w:rPr>
            </w:pPr>
            <w:r w:rsidRPr="00234284">
              <w:rPr>
                <w:color w:val="000000"/>
                <w:kern w:val="0"/>
                <w:szCs w:val="21"/>
                <w:lang w:val="en-GB"/>
              </w:rPr>
              <w:t>48</w:t>
            </w:r>
          </w:p>
        </w:tc>
        <w:tc>
          <w:tcPr>
            <w:tcW w:w="1276" w:type="dxa"/>
            <w:vAlign w:val="bottom"/>
          </w:tcPr>
          <w:p w:rsidR="00A641D5" w:rsidRPr="00234284" w:rsidRDefault="00A641D5" w:rsidP="00A641D5">
            <w:pPr>
              <w:adjustRightInd w:val="0"/>
              <w:snapToGrid w:val="0"/>
              <w:jc w:val="center"/>
              <w:rPr>
                <w:color w:val="000000"/>
                <w:kern w:val="0"/>
                <w:szCs w:val="21"/>
                <w:lang w:val="en-GB"/>
              </w:rPr>
            </w:pPr>
            <w:r w:rsidRPr="00234284">
              <w:rPr>
                <w:color w:val="000000"/>
                <w:kern w:val="0"/>
                <w:szCs w:val="21"/>
                <w:lang w:val="en-GB"/>
              </w:rPr>
              <w:t>48</w:t>
            </w:r>
          </w:p>
        </w:tc>
        <w:tc>
          <w:tcPr>
            <w:tcW w:w="1288" w:type="dxa"/>
            <w:vAlign w:val="bottom"/>
          </w:tcPr>
          <w:p w:rsidR="00A641D5" w:rsidRPr="00234284" w:rsidRDefault="00A641D5" w:rsidP="00A641D5">
            <w:pPr>
              <w:adjustRightInd w:val="0"/>
              <w:snapToGrid w:val="0"/>
              <w:jc w:val="center"/>
              <w:rPr>
                <w:color w:val="000000"/>
                <w:kern w:val="0"/>
                <w:szCs w:val="21"/>
                <w:lang w:val="en-GB"/>
              </w:rPr>
            </w:pPr>
            <w:r w:rsidRPr="00234284">
              <w:rPr>
                <w:color w:val="000000"/>
                <w:kern w:val="0"/>
                <w:szCs w:val="21"/>
                <w:lang w:val="en-GB"/>
              </w:rPr>
              <w:t>48</w:t>
            </w:r>
          </w:p>
        </w:tc>
      </w:tr>
    </w:tbl>
    <w:p w:rsidR="00A641D5" w:rsidRPr="00234284" w:rsidRDefault="00A641D5" w:rsidP="00A641D5">
      <w:pPr>
        <w:adjustRightInd w:val="0"/>
        <w:snapToGrid w:val="0"/>
        <w:rPr>
          <w:szCs w:val="21"/>
          <w:lang w:val="en-GB"/>
        </w:rPr>
      </w:pPr>
      <w:r w:rsidRPr="00234284">
        <w:rPr>
          <w:szCs w:val="21"/>
          <w:lang w:val="en-GB"/>
        </w:rPr>
        <w:t xml:space="preserve">Notes: </w:t>
      </w:r>
      <w:r w:rsidRPr="00234284">
        <w:rPr>
          <w:szCs w:val="21"/>
          <w:vertAlign w:val="superscript"/>
          <w:lang w:val="en-GB"/>
        </w:rPr>
        <w:t>a</w:t>
      </w:r>
      <w:r w:rsidRPr="00234284">
        <w:rPr>
          <w:szCs w:val="21"/>
          <w:lang w:val="en-GB"/>
        </w:rPr>
        <w:t xml:space="preserve"> </w:t>
      </w:r>
      <w:proofErr w:type="gramStart"/>
      <w:r w:rsidRPr="00234284">
        <w:rPr>
          <w:szCs w:val="21"/>
          <w:lang w:val="en-GB"/>
        </w:rPr>
        <w:t>The</w:t>
      </w:r>
      <w:proofErr w:type="gramEnd"/>
      <w:r w:rsidRPr="00234284">
        <w:rPr>
          <w:szCs w:val="21"/>
          <w:lang w:val="en-GB"/>
        </w:rPr>
        <w:t xml:space="preserve"> sample includes 48 economies. </w:t>
      </w:r>
    </w:p>
    <w:p w:rsidR="00A641D5" w:rsidRPr="00234284" w:rsidRDefault="00A641D5" w:rsidP="00A641D5">
      <w:pPr>
        <w:adjustRightInd w:val="0"/>
        <w:snapToGrid w:val="0"/>
        <w:rPr>
          <w:szCs w:val="21"/>
          <w:lang w:val="en-GB"/>
        </w:rPr>
      </w:pPr>
      <w:proofErr w:type="gramStart"/>
      <w:r w:rsidRPr="00234284">
        <w:rPr>
          <w:szCs w:val="21"/>
          <w:vertAlign w:val="superscript"/>
          <w:lang w:val="en-GB"/>
        </w:rPr>
        <w:t>b</w:t>
      </w:r>
      <w:proofErr w:type="gramEnd"/>
      <w:r w:rsidRPr="00234284">
        <w:rPr>
          <w:szCs w:val="21"/>
          <w:lang w:val="en-GB"/>
        </w:rPr>
        <w:t xml:space="preserve"> The regression specification follows the one employed in Table 6 of DLLS (2008). </w:t>
      </w:r>
    </w:p>
    <w:p w:rsidR="00A641D5" w:rsidRPr="00234284" w:rsidRDefault="00A641D5" w:rsidP="00A641D5">
      <w:pPr>
        <w:adjustRightInd w:val="0"/>
        <w:snapToGrid w:val="0"/>
        <w:rPr>
          <w:szCs w:val="21"/>
          <w:lang w:val="en-GB"/>
        </w:rPr>
      </w:pPr>
      <w:proofErr w:type="gramStart"/>
      <w:r w:rsidRPr="00234284">
        <w:rPr>
          <w:szCs w:val="21"/>
          <w:vertAlign w:val="superscript"/>
          <w:lang w:val="en-GB"/>
        </w:rPr>
        <w:t>c</w:t>
      </w:r>
      <w:proofErr w:type="gramEnd"/>
      <w:r w:rsidRPr="00234284">
        <w:rPr>
          <w:szCs w:val="21"/>
          <w:lang w:val="en-GB"/>
        </w:rPr>
        <w:t xml:space="preserve"> The robust t-statistics are reported in the parentheses. </w:t>
      </w:r>
    </w:p>
    <w:p w:rsidR="00E07BF9" w:rsidRPr="00E82E1F" w:rsidRDefault="00A641D5" w:rsidP="00E07BF9">
      <w:pPr>
        <w:adjustRightInd w:val="0"/>
        <w:snapToGrid w:val="0"/>
        <w:rPr>
          <w:sz w:val="24"/>
          <w:szCs w:val="24"/>
          <w:lang w:val="en-GB"/>
        </w:rPr>
      </w:pPr>
      <w:proofErr w:type="gramStart"/>
      <w:r w:rsidRPr="00234284">
        <w:rPr>
          <w:szCs w:val="21"/>
          <w:vertAlign w:val="superscript"/>
          <w:lang w:val="en-GB"/>
        </w:rPr>
        <w:t>d</w:t>
      </w:r>
      <w:proofErr w:type="gramEnd"/>
      <w:r w:rsidRPr="00234284">
        <w:rPr>
          <w:szCs w:val="21"/>
          <w:lang w:val="en-GB"/>
        </w:rPr>
        <w:t xml:space="preserve"> *, **, *** indicate 10%, 5%, and 1% levels of significance, respectively.</w:t>
      </w:r>
    </w:p>
    <w:p w:rsidR="00D21C5B" w:rsidRPr="00E82E1F" w:rsidRDefault="00D21C5B" w:rsidP="00E07BF9">
      <w:pPr>
        <w:spacing w:beforeLines="100"/>
        <w:mirrorIndents/>
        <w:rPr>
          <w:sz w:val="24"/>
          <w:szCs w:val="24"/>
          <w:lang w:val="en-GB"/>
        </w:rPr>
      </w:pPr>
      <w:r w:rsidRPr="00E82E1F">
        <w:rPr>
          <w:b/>
          <w:sz w:val="24"/>
          <w:szCs w:val="24"/>
          <w:lang w:val="en-GB"/>
        </w:rPr>
        <w:t>4.2. BMA analysis</w:t>
      </w:r>
    </w:p>
    <w:p w:rsidR="00157529" w:rsidRPr="00E82E1F" w:rsidRDefault="00157529" w:rsidP="00E07BF9">
      <w:pPr>
        <w:spacing w:beforeLines="100"/>
        <w:mirrorIndents/>
        <w:rPr>
          <w:sz w:val="24"/>
          <w:szCs w:val="24"/>
          <w:lang w:val="en-GB"/>
        </w:rPr>
      </w:pPr>
      <w:r w:rsidRPr="00E82E1F">
        <w:rPr>
          <w:sz w:val="24"/>
          <w:szCs w:val="24"/>
          <w:lang w:val="en-GB"/>
        </w:rPr>
        <w:t xml:space="preserve">The outputs of </w:t>
      </w:r>
      <w:r w:rsidR="008230EF" w:rsidRPr="00E82E1F">
        <w:rPr>
          <w:sz w:val="24"/>
          <w:szCs w:val="24"/>
          <w:lang w:val="en-GB"/>
        </w:rPr>
        <w:t xml:space="preserve">the </w:t>
      </w:r>
      <w:r w:rsidRPr="00E82E1F">
        <w:rPr>
          <w:sz w:val="24"/>
          <w:szCs w:val="24"/>
          <w:lang w:val="en-GB"/>
        </w:rPr>
        <w:t>BMA analysis with</w:t>
      </w:r>
      <w:r w:rsidR="004F0D62" w:rsidRPr="00E82E1F">
        <w:rPr>
          <w:sz w:val="24"/>
          <w:szCs w:val="24"/>
          <w:lang w:val="en-GB"/>
        </w:rPr>
        <w:t xml:space="preserve"> 4 dependent variables and</w:t>
      </w:r>
      <w:r w:rsidR="00B7137B" w:rsidRPr="00E82E1F">
        <w:rPr>
          <w:sz w:val="24"/>
          <w:szCs w:val="24"/>
          <w:lang w:val="en-GB"/>
        </w:rPr>
        <w:t xml:space="preserve"> 26</w:t>
      </w:r>
      <w:r w:rsidRPr="00E82E1F">
        <w:rPr>
          <w:sz w:val="24"/>
          <w:szCs w:val="24"/>
          <w:lang w:val="en-GB"/>
        </w:rPr>
        <w:t xml:space="preserve"> doubtful variables</w:t>
      </w:r>
      <w:r w:rsidR="004F0D62" w:rsidRPr="00E82E1F">
        <w:rPr>
          <w:sz w:val="24"/>
          <w:szCs w:val="24"/>
          <w:lang w:val="en-GB"/>
        </w:rPr>
        <w:t xml:space="preserve"> </w:t>
      </w:r>
      <w:r w:rsidRPr="00E82E1F">
        <w:rPr>
          <w:sz w:val="24"/>
          <w:szCs w:val="24"/>
          <w:lang w:val="en-GB"/>
        </w:rPr>
        <w:t>are reported in Table 3. The</w:t>
      </w:r>
      <w:r w:rsidR="008D4FF2" w:rsidRPr="00E82E1F">
        <w:rPr>
          <w:sz w:val="24"/>
          <w:szCs w:val="24"/>
          <w:lang w:val="en-GB"/>
        </w:rPr>
        <w:t xml:space="preserve"> dimension of the</w:t>
      </w:r>
      <w:r w:rsidRPr="00E82E1F">
        <w:rPr>
          <w:sz w:val="24"/>
          <w:szCs w:val="24"/>
          <w:lang w:val="en-GB"/>
        </w:rPr>
        <w:t xml:space="preserve"> model space is 2</w:t>
      </w:r>
      <w:r w:rsidRPr="00E82E1F">
        <w:rPr>
          <w:sz w:val="24"/>
          <w:szCs w:val="24"/>
          <w:vertAlign w:val="superscript"/>
          <w:lang w:val="en-GB"/>
        </w:rPr>
        <w:t>2</w:t>
      </w:r>
      <w:r w:rsidR="00B7137B" w:rsidRPr="00E82E1F">
        <w:rPr>
          <w:sz w:val="24"/>
          <w:szCs w:val="24"/>
          <w:vertAlign w:val="superscript"/>
          <w:lang w:val="en-GB"/>
        </w:rPr>
        <w:t>6</w:t>
      </w:r>
      <w:r w:rsidRPr="00E82E1F">
        <w:rPr>
          <w:sz w:val="24"/>
          <w:szCs w:val="24"/>
          <w:lang w:val="en-GB"/>
        </w:rPr>
        <w:t xml:space="preserve"> </w:t>
      </w:r>
      <w:r w:rsidR="00C85D52" w:rsidRPr="00E82E1F">
        <w:rPr>
          <w:sz w:val="24"/>
          <w:szCs w:val="24"/>
          <w:lang w:val="en-GB"/>
        </w:rPr>
        <w:t xml:space="preserve">(approximately </w:t>
      </w:r>
      <w:r w:rsidR="0050396B" w:rsidRPr="00E82E1F">
        <w:rPr>
          <w:sz w:val="24"/>
          <w:szCs w:val="24"/>
          <w:lang w:val="en-GB"/>
        </w:rPr>
        <w:t>6.71</w:t>
      </w:r>
      <w:r w:rsidR="00596C04" w:rsidRPr="00E82E1F">
        <w:rPr>
          <w:sz w:val="24"/>
          <w:szCs w:val="24"/>
          <w:lang w:val="en-GB"/>
        </w:rPr>
        <w:t>*10</w:t>
      </w:r>
      <w:r w:rsidR="0050396B" w:rsidRPr="00E82E1F">
        <w:rPr>
          <w:sz w:val="24"/>
          <w:szCs w:val="24"/>
          <w:vertAlign w:val="superscript"/>
          <w:lang w:val="en-GB"/>
        </w:rPr>
        <w:t>7</w:t>
      </w:r>
      <w:r w:rsidR="00CF2A7F" w:rsidRPr="00E82E1F">
        <w:rPr>
          <w:sz w:val="24"/>
          <w:szCs w:val="24"/>
          <w:lang w:val="en-GB"/>
        </w:rPr>
        <w:t>) for each p</w:t>
      </w:r>
      <w:r w:rsidRPr="00E82E1F">
        <w:rPr>
          <w:sz w:val="24"/>
          <w:szCs w:val="24"/>
          <w:lang w:val="en-GB"/>
        </w:rPr>
        <w:t xml:space="preserve">anel, </w:t>
      </w:r>
      <w:r w:rsidR="00737007" w:rsidRPr="00E82E1F">
        <w:rPr>
          <w:sz w:val="24"/>
          <w:szCs w:val="24"/>
          <w:lang w:val="en-GB"/>
        </w:rPr>
        <w:t>which</w:t>
      </w:r>
      <w:r w:rsidRPr="00E82E1F">
        <w:rPr>
          <w:sz w:val="24"/>
          <w:szCs w:val="24"/>
          <w:lang w:val="en-GB"/>
        </w:rPr>
        <w:t xml:space="preserve"> has three columns. The first column reports the estimated coefficients for each </w:t>
      </w:r>
      <w:proofErr w:type="spellStart"/>
      <w:r w:rsidRPr="00E82E1F">
        <w:rPr>
          <w:sz w:val="24"/>
          <w:szCs w:val="24"/>
          <w:lang w:val="en-GB"/>
        </w:rPr>
        <w:t>regr</w:t>
      </w:r>
      <w:r w:rsidR="00C121AB" w:rsidRPr="00E82E1F">
        <w:rPr>
          <w:sz w:val="24"/>
          <w:szCs w:val="24"/>
          <w:lang w:val="en-GB"/>
        </w:rPr>
        <w:t>essor</w:t>
      </w:r>
      <w:proofErr w:type="spellEnd"/>
      <w:r w:rsidR="00C121AB" w:rsidRPr="00E82E1F">
        <w:rPr>
          <w:sz w:val="24"/>
          <w:szCs w:val="24"/>
          <w:lang w:val="en-GB"/>
        </w:rPr>
        <w:t xml:space="preserve">, and the </w:t>
      </w:r>
      <w:r w:rsidR="00913B0D" w:rsidRPr="00E82E1F">
        <w:rPr>
          <w:sz w:val="24"/>
          <w:szCs w:val="24"/>
          <w:lang w:val="en-GB"/>
        </w:rPr>
        <w:t>other</w:t>
      </w:r>
      <w:r w:rsidR="008230EF" w:rsidRPr="00E82E1F">
        <w:rPr>
          <w:sz w:val="24"/>
          <w:szCs w:val="24"/>
          <w:lang w:val="en-GB"/>
        </w:rPr>
        <w:t xml:space="preserve"> </w:t>
      </w:r>
      <w:r w:rsidR="00C121AB" w:rsidRPr="00E82E1F">
        <w:rPr>
          <w:sz w:val="24"/>
          <w:szCs w:val="24"/>
          <w:lang w:val="en-GB"/>
        </w:rPr>
        <w:t xml:space="preserve">two </w:t>
      </w:r>
      <w:proofErr w:type="gramStart"/>
      <w:r w:rsidR="0013560A" w:rsidRPr="00E82E1F">
        <w:rPr>
          <w:sz w:val="24"/>
          <w:szCs w:val="24"/>
          <w:lang w:val="en-GB"/>
        </w:rPr>
        <w:t>report</w:t>
      </w:r>
      <w:proofErr w:type="gramEnd"/>
      <w:r w:rsidR="0013560A" w:rsidRPr="00E82E1F">
        <w:rPr>
          <w:sz w:val="24"/>
          <w:szCs w:val="24"/>
          <w:lang w:val="en-GB"/>
        </w:rPr>
        <w:t xml:space="preserve"> </w:t>
      </w:r>
      <w:r w:rsidR="008230EF" w:rsidRPr="00E82E1F">
        <w:rPr>
          <w:sz w:val="24"/>
          <w:szCs w:val="24"/>
          <w:lang w:val="en-GB"/>
        </w:rPr>
        <w:t xml:space="preserve">the </w:t>
      </w:r>
      <w:r w:rsidR="003D688F" w:rsidRPr="00E82E1F">
        <w:rPr>
          <w:sz w:val="24"/>
          <w:szCs w:val="24"/>
          <w:lang w:val="en-GB"/>
        </w:rPr>
        <w:t>respective</w:t>
      </w:r>
      <w:r w:rsidRPr="00E82E1F">
        <w:rPr>
          <w:sz w:val="24"/>
          <w:szCs w:val="24"/>
          <w:lang w:val="en-GB"/>
        </w:rPr>
        <w:t xml:space="preserve"> t-statistic and </w:t>
      </w:r>
      <w:r w:rsidR="003D688F" w:rsidRPr="00E82E1F">
        <w:rPr>
          <w:sz w:val="24"/>
          <w:szCs w:val="24"/>
          <w:lang w:val="en-GB"/>
        </w:rPr>
        <w:t>posterior inclusion probability (PIP)</w:t>
      </w:r>
      <w:r w:rsidR="00B8779C">
        <w:rPr>
          <w:rStyle w:val="a6"/>
          <w:sz w:val="24"/>
          <w:szCs w:val="24"/>
          <w:lang w:val="en-GB"/>
        </w:rPr>
        <w:footnoteReference w:id="25"/>
      </w:r>
      <w:r w:rsidRPr="00E82E1F">
        <w:rPr>
          <w:sz w:val="24"/>
          <w:szCs w:val="24"/>
          <w:lang w:val="en-GB"/>
        </w:rPr>
        <w:t xml:space="preserve">. </w:t>
      </w:r>
      <w:r w:rsidR="003D688F" w:rsidRPr="00E82E1F">
        <w:rPr>
          <w:sz w:val="24"/>
          <w:szCs w:val="24"/>
          <w:lang w:val="en-GB"/>
        </w:rPr>
        <w:t xml:space="preserve">A </w:t>
      </w:r>
      <w:proofErr w:type="spellStart"/>
      <w:r w:rsidR="003D688F" w:rsidRPr="00E82E1F">
        <w:rPr>
          <w:sz w:val="24"/>
          <w:szCs w:val="24"/>
          <w:lang w:val="en-GB"/>
        </w:rPr>
        <w:t>regressor</w:t>
      </w:r>
      <w:proofErr w:type="spellEnd"/>
      <w:r w:rsidR="003D688F" w:rsidRPr="00E82E1F">
        <w:rPr>
          <w:sz w:val="24"/>
          <w:szCs w:val="24"/>
          <w:lang w:val="en-GB"/>
        </w:rPr>
        <w:t xml:space="preserve"> is</w:t>
      </w:r>
      <w:r w:rsidR="00234284" w:rsidRPr="00E82E1F">
        <w:rPr>
          <w:sz w:val="24"/>
          <w:szCs w:val="24"/>
          <w:lang w:val="en-GB"/>
        </w:rPr>
        <w:t xml:space="preserve"> </w:t>
      </w:r>
      <w:r w:rsidR="00913B0D" w:rsidRPr="00E82E1F">
        <w:rPr>
          <w:sz w:val="24"/>
          <w:szCs w:val="24"/>
          <w:lang w:val="en-GB"/>
        </w:rPr>
        <w:t>viewed</w:t>
      </w:r>
      <w:r w:rsidR="003D688F" w:rsidRPr="00E82E1F">
        <w:rPr>
          <w:sz w:val="24"/>
          <w:szCs w:val="24"/>
          <w:lang w:val="en-GB"/>
        </w:rPr>
        <w:t xml:space="preserve"> as robustly correlated with the dependent variable if the corresponding t-statistic is g</w:t>
      </w:r>
      <w:r w:rsidR="00E0038A" w:rsidRPr="00E82E1F">
        <w:rPr>
          <w:sz w:val="24"/>
          <w:szCs w:val="24"/>
          <w:lang w:val="en-GB"/>
        </w:rPr>
        <w:t xml:space="preserve">reater than 1 in absolute value </w:t>
      </w:r>
      <w:r w:rsidR="003D688F" w:rsidRPr="00E82E1F">
        <w:rPr>
          <w:sz w:val="24"/>
          <w:szCs w:val="24"/>
          <w:lang w:val="en-GB"/>
        </w:rPr>
        <w:t xml:space="preserve">or </w:t>
      </w:r>
      <w:r w:rsidR="008230EF" w:rsidRPr="00E82E1F">
        <w:rPr>
          <w:sz w:val="24"/>
          <w:szCs w:val="24"/>
          <w:lang w:val="en-GB"/>
        </w:rPr>
        <w:t xml:space="preserve">if </w:t>
      </w:r>
      <w:r w:rsidR="003D688F" w:rsidRPr="00E82E1F">
        <w:rPr>
          <w:sz w:val="24"/>
          <w:szCs w:val="24"/>
          <w:lang w:val="en-GB"/>
        </w:rPr>
        <w:t xml:space="preserve">PIP is larger than 0.5, in which case the adjusted </w:t>
      </w:r>
      <w:r w:rsidR="003D688F" w:rsidRPr="00E82E1F">
        <w:rPr>
          <w:sz w:val="24"/>
          <w:szCs w:val="24"/>
          <w:lang w:val="en-GB"/>
        </w:rPr>
        <w:lastRenderedPageBreak/>
        <w:t>R</w:t>
      </w:r>
      <w:r w:rsidR="003D688F" w:rsidRPr="00E82E1F">
        <w:rPr>
          <w:sz w:val="24"/>
          <w:szCs w:val="24"/>
          <w:vertAlign w:val="superscript"/>
          <w:lang w:val="en-GB"/>
        </w:rPr>
        <w:t>2</w:t>
      </w:r>
      <w:r w:rsidR="003D688F" w:rsidRPr="00E82E1F">
        <w:rPr>
          <w:sz w:val="24"/>
          <w:szCs w:val="24"/>
          <w:lang w:val="en-GB"/>
        </w:rPr>
        <w:t xml:space="preserve"> </w:t>
      </w:r>
      <w:r w:rsidR="008230EF" w:rsidRPr="00E82E1F">
        <w:rPr>
          <w:sz w:val="24"/>
          <w:szCs w:val="24"/>
          <w:lang w:val="en-GB"/>
        </w:rPr>
        <w:t xml:space="preserve">will </w:t>
      </w:r>
      <w:proofErr w:type="gramStart"/>
      <w:r w:rsidR="003D688F" w:rsidRPr="00E82E1F">
        <w:rPr>
          <w:sz w:val="24"/>
          <w:szCs w:val="24"/>
          <w:lang w:val="en-GB"/>
        </w:rPr>
        <w:t>rise</w:t>
      </w:r>
      <w:proofErr w:type="gramEnd"/>
      <w:r w:rsidR="003D688F" w:rsidRPr="00E82E1F">
        <w:rPr>
          <w:sz w:val="24"/>
          <w:szCs w:val="24"/>
          <w:lang w:val="en-GB"/>
        </w:rPr>
        <w:t xml:space="preserve"> after the corresponding </w:t>
      </w:r>
      <w:proofErr w:type="spellStart"/>
      <w:r w:rsidR="003D688F" w:rsidRPr="00E82E1F">
        <w:rPr>
          <w:sz w:val="24"/>
          <w:szCs w:val="24"/>
          <w:lang w:val="en-GB"/>
        </w:rPr>
        <w:t>regressor</w:t>
      </w:r>
      <w:proofErr w:type="spellEnd"/>
      <w:r w:rsidR="008230EF" w:rsidRPr="00E82E1F">
        <w:rPr>
          <w:sz w:val="24"/>
          <w:szCs w:val="24"/>
          <w:lang w:val="en-GB"/>
        </w:rPr>
        <w:t xml:space="preserve"> is included</w:t>
      </w:r>
      <w:r w:rsidR="003D688F" w:rsidRPr="00E82E1F">
        <w:rPr>
          <w:sz w:val="24"/>
          <w:szCs w:val="24"/>
          <w:lang w:val="en-GB"/>
        </w:rPr>
        <w:t xml:space="preserve"> (MPP, 2010; De Luca </w:t>
      </w:r>
      <w:r w:rsidR="00EE0A03" w:rsidRPr="00E82E1F">
        <w:rPr>
          <w:sz w:val="24"/>
          <w:szCs w:val="24"/>
          <w:lang w:val="en-GB"/>
        </w:rPr>
        <w:t>and</w:t>
      </w:r>
      <w:r w:rsidR="003D688F" w:rsidRPr="00E82E1F">
        <w:rPr>
          <w:sz w:val="24"/>
          <w:szCs w:val="24"/>
          <w:lang w:val="en-GB"/>
        </w:rPr>
        <w:t xml:space="preserve"> Magnus, 2011).</w:t>
      </w:r>
    </w:p>
    <w:p w:rsidR="00682704" w:rsidRPr="00E82E1F" w:rsidRDefault="00FE6D4A" w:rsidP="00E07BF9">
      <w:pPr>
        <w:spacing w:beforeLines="100"/>
        <w:mirrorIndents/>
        <w:rPr>
          <w:sz w:val="24"/>
          <w:szCs w:val="24"/>
          <w:lang w:val="en-GB"/>
        </w:rPr>
      </w:pPr>
      <w:r w:rsidRPr="00E82E1F">
        <w:rPr>
          <w:sz w:val="24"/>
          <w:szCs w:val="24"/>
          <w:lang w:val="en-GB"/>
        </w:rPr>
        <w:t>A general observation from Table 3 is that the established positive correlations between “on-the-book” shareholder protection rules and the proxies for stock market development are fragile. In sharp contrast to its high significance in</w:t>
      </w:r>
      <w:r w:rsidR="00A52584" w:rsidRPr="00E82E1F">
        <w:rPr>
          <w:sz w:val="24"/>
          <w:szCs w:val="24"/>
          <w:lang w:val="en-GB"/>
        </w:rPr>
        <w:t xml:space="preserve"> </w:t>
      </w:r>
      <w:r w:rsidR="00913B0D" w:rsidRPr="00E82E1F">
        <w:rPr>
          <w:sz w:val="24"/>
          <w:szCs w:val="24"/>
          <w:lang w:val="en-GB"/>
        </w:rPr>
        <w:t xml:space="preserve">the </w:t>
      </w:r>
      <w:r w:rsidR="00A52584" w:rsidRPr="00E82E1F">
        <w:rPr>
          <w:sz w:val="24"/>
          <w:szCs w:val="24"/>
          <w:lang w:val="en-GB"/>
        </w:rPr>
        <w:t>regressions reported in Table 2</w:t>
      </w:r>
      <w:r w:rsidRPr="00E82E1F">
        <w:rPr>
          <w:sz w:val="24"/>
          <w:szCs w:val="24"/>
          <w:lang w:val="en-GB"/>
        </w:rPr>
        <w:t xml:space="preserve"> of the previous subsection, the ANTISDI is not robustly correlated with any of the dependent variables in all four panels. Similarly</w:t>
      </w:r>
      <w:r w:rsidR="00913B0D" w:rsidRPr="00E82E1F">
        <w:rPr>
          <w:sz w:val="24"/>
          <w:szCs w:val="24"/>
          <w:lang w:val="en-GB"/>
        </w:rPr>
        <w:t>,</w:t>
      </w:r>
      <w:r w:rsidRPr="00E82E1F">
        <w:rPr>
          <w:sz w:val="24"/>
          <w:szCs w:val="24"/>
          <w:lang w:val="en-GB"/>
        </w:rPr>
        <w:t xml:space="preserve"> the RANTIDRI has no robust correlations with the four dependent variables, which is already shown in DLLS (2008)</w:t>
      </w:r>
      <w:r w:rsidR="00AE5CE7" w:rsidRPr="00E82E1F">
        <w:rPr>
          <w:sz w:val="24"/>
          <w:szCs w:val="24"/>
          <w:lang w:val="en-GB"/>
        </w:rPr>
        <w:t>,</w:t>
      </w:r>
      <w:r w:rsidRPr="00E82E1F">
        <w:rPr>
          <w:sz w:val="24"/>
          <w:szCs w:val="24"/>
          <w:lang w:val="en-GB"/>
        </w:rPr>
        <w:t xml:space="preserve"> </w:t>
      </w:r>
      <w:r w:rsidR="00AE5CE7" w:rsidRPr="00E82E1F">
        <w:rPr>
          <w:sz w:val="24"/>
          <w:szCs w:val="24"/>
          <w:lang w:val="en-GB"/>
        </w:rPr>
        <w:t>in which</w:t>
      </w:r>
      <w:r w:rsidRPr="00E82E1F">
        <w:rPr>
          <w:sz w:val="24"/>
          <w:szCs w:val="24"/>
          <w:lang w:val="en-GB"/>
        </w:rPr>
        <w:t xml:space="preserve"> RANTIDRI loses its explanatory power when ANTISDI is included in </w:t>
      </w:r>
      <w:r w:rsidR="00AE5CE7" w:rsidRPr="00E82E1F">
        <w:rPr>
          <w:sz w:val="24"/>
          <w:szCs w:val="24"/>
          <w:lang w:val="en-GB"/>
        </w:rPr>
        <w:t xml:space="preserve">the </w:t>
      </w:r>
      <w:r w:rsidRPr="00E82E1F">
        <w:rPr>
          <w:sz w:val="24"/>
          <w:szCs w:val="24"/>
          <w:lang w:val="en-GB"/>
        </w:rPr>
        <w:t>model specification.</w:t>
      </w:r>
    </w:p>
    <w:p w:rsidR="00FE6D4A" w:rsidRPr="00E82E1F" w:rsidRDefault="00682704" w:rsidP="00E07BF9">
      <w:pPr>
        <w:spacing w:beforeLines="100"/>
        <w:mirrorIndents/>
        <w:rPr>
          <w:sz w:val="24"/>
          <w:szCs w:val="24"/>
          <w:lang w:val="en-GB"/>
        </w:rPr>
      </w:pPr>
      <w:r w:rsidRPr="00E82E1F">
        <w:rPr>
          <w:sz w:val="24"/>
          <w:szCs w:val="24"/>
          <w:lang w:val="en-GB"/>
        </w:rPr>
        <w:t xml:space="preserve">In addition, the doubtful variables differ in their explanatory power with respect to different proxies for stock market development. When conducting empirical studies, investigators frequently employ a one-size-fits-all specification to explain different proxies for stock market development, although they recognize that these proxies represent different aspects of the stock market. BMA analysis suggests that this </w:t>
      </w:r>
      <w:r w:rsidR="00A52584" w:rsidRPr="00E82E1F">
        <w:rPr>
          <w:sz w:val="24"/>
          <w:szCs w:val="24"/>
          <w:lang w:val="en-GB"/>
        </w:rPr>
        <w:t xml:space="preserve">treatment </w:t>
      </w:r>
      <w:r w:rsidRPr="00E82E1F">
        <w:rPr>
          <w:sz w:val="24"/>
          <w:szCs w:val="24"/>
          <w:lang w:val="en-GB"/>
        </w:rPr>
        <w:t xml:space="preserve">could be biased. </w:t>
      </w:r>
    </w:p>
    <w:p w:rsidR="003D2D68" w:rsidRPr="00E82E1F" w:rsidRDefault="006757F4" w:rsidP="00E07BF9">
      <w:pPr>
        <w:spacing w:beforeLines="100"/>
        <w:mirrorIndents/>
        <w:rPr>
          <w:sz w:val="24"/>
          <w:szCs w:val="24"/>
          <w:lang w:val="en-GB"/>
        </w:rPr>
      </w:pPr>
      <w:r w:rsidRPr="00E82E1F">
        <w:rPr>
          <w:sz w:val="24"/>
          <w:szCs w:val="24"/>
          <w:lang w:val="en-GB"/>
        </w:rPr>
        <w:t>In Panel A, NANALYSTS (t-statistics</w:t>
      </w:r>
      <w:r w:rsidR="00EE2EFA" w:rsidRPr="00E82E1F">
        <w:rPr>
          <w:sz w:val="24"/>
          <w:szCs w:val="24"/>
          <w:lang w:val="en-GB"/>
        </w:rPr>
        <w:t>=1.24</w:t>
      </w:r>
      <w:r w:rsidRPr="00E82E1F">
        <w:rPr>
          <w:sz w:val="24"/>
          <w:szCs w:val="24"/>
          <w:lang w:val="en-GB"/>
        </w:rPr>
        <w:t>)</w:t>
      </w:r>
      <w:r w:rsidR="009C0E73" w:rsidRPr="00E82E1F">
        <w:rPr>
          <w:sz w:val="24"/>
          <w:szCs w:val="24"/>
          <w:lang w:val="en-GB"/>
        </w:rPr>
        <w:t xml:space="preserve"> proxy for the analysts’ activities </w:t>
      </w:r>
      <w:r w:rsidR="005F65A3" w:rsidRPr="00E82E1F">
        <w:rPr>
          <w:sz w:val="24"/>
          <w:szCs w:val="24"/>
          <w:lang w:val="en-GB"/>
        </w:rPr>
        <w:t xml:space="preserve">and </w:t>
      </w:r>
      <w:r w:rsidR="00EE2EFA" w:rsidRPr="00E82E1F">
        <w:rPr>
          <w:sz w:val="24"/>
          <w:szCs w:val="24"/>
          <w:lang w:val="en-GB"/>
        </w:rPr>
        <w:t>TRADEOPENNESS (t-statistics=1.67</w:t>
      </w:r>
      <w:r w:rsidR="005F65A3" w:rsidRPr="00E82E1F">
        <w:rPr>
          <w:sz w:val="24"/>
          <w:szCs w:val="24"/>
          <w:lang w:val="en-GB"/>
        </w:rPr>
        <w:t xml:space="preserve">) proxy for the political power of incumbents are </w:t>
      </w:r>
      <w:r w:rsidR="009C0E73" w:rsidRPr="00E82E1F">
        <w:rPr>
          <w:sz w:val="24"/>
          <w:szCs w:val="24"/>
          <w:lang w:val="en-GB"/>
        </w:rPr>
        <w:t>shown to be</w:t>
      </w:r>
      <w:r w:rsidRPr="00E82E1F">
        <w:rPr>
          <w:sz w:val="24"/>
          <w:szCs w:val="24"/>
          <w:lang w:val="en-GB"/>
        </w:rPr>
        <w:t xml:space="preserve"> robustly correlated with the dependent variable CMMKT</w:t>
      </w:r>
      <w:r w:rsidR="005F65A3" w:rsidRPr="00E82E1F">
        <w:rPr>
          <w:sz w:val="24"/>
          <w:szCs w:val="24"/>
          <w:lang w:val="en-GB"/>
        </w:rPr>
        <w:t xml:space="preserve">. The </w:t>
      </w:r>
      <w:r w:rsidR="00CB1E48" w:rsidRPr="00E82E1F">
        <w:rPr>
          <w:sz w:val="24"/>
          <w:szCs w:val="24"/>
          <w:lang w:val="en-GB"/>
        </w:rPr>
        <w:t xml:space="preserve">coefficient </w:t>
      </w:r>
      <w:r w:rsidR="005F65A3" w:rsidRPr="00E82E1F">
        <w:rPr>
          <w:sz w:val="24"/>
          <w:szCs w:val="24"/>
          <w:lang w:val="en-GB"/>
        </w:rPr>
        <w:t>of</w:t>
      </w:r>
      <w:r w:rsidR="00CB1E48" w:rsidRPr="00E82E1F">
        <w:rPr>
          <w:sz w:val="24"/>
          <w:szCs w:val="24"/>
          <w:lang w:val="en-GB"/>
        </w:rPr>
        <w:t xml:space="preserve"> variable</w:t>
      </w:r>
      <w:r w:rsidR="005F65A3" w:rsidRPr="00E82E1F">
        <w:rPr>
          <w:sz w:val="24"/>
          <w:szCs w:val="24"/>
          <w:lang w:val="en-GB"/>
        </w:rPr>
        <w:t xml:space="preserve"> NANALYSTS </w:t>
      </w:r>
      <w:r w:rsidR="00AC0079" w:rsidRPr="00E82E1F">
        <w:rPr>
          <w:sz w:val="24"/>
          <w:szCs w:val="24"/>
          <w:lang w:val="en-GB"/>
        </w:rPr>
        <w:t>confirms the</w:t>
      </w:r>
      <w:r w:rsidR="00E3472A" w:rsidRPr="00E82E1F">
        <w:rPr>
          <w:sz w:val="24"/>
          <w:szCs w:val="24"/>
          <w:lang w:val="en-GB"/>
        </w:rPr>
        <w:t xml:space="preserve"> </w:t>
      </w:r>
      <w:r w:rsidR="00E22D58" w:rsidRPr="00E82E1F">
        <w:rPr>
          <w:sz w:val="24"/>
          <w:szCs w:val="24"/>
          <w:lang w:val="en-GB"/>
        </w:rPr>
        <w:t>positive effects</w:t>
      </w:r>
      <w:r w:rsidR="00E3472A" w:rsidRPr="00E82E1F">
        <w:rPr>
          <w:sz w:val="24"/>
          <w:szCs w:val="24"/>
          <w:lang w:val="en-GB"/>
        </w:rPr>
        <w:t xml:space="preserve"> of private</w:t>
      </w:r>
      <w:r w:rsidR="00E22D58" w:rsidRPr="00E82E1F">
        <w:rPr>
          <w:sz w:val="24"/>
          <w:szCs w:val="24"/>
          <w:lang w:val="en-GB"/>
        </w:rPr>
        <w:t xml:space="preserve"> efforts in</w:t>
      </w:r>
      <w:r w:rsidR="00E3472A" w:rsidRPr="00E82E1F">
        <w:rPr>
          <w:sz w:val="24"/>
          <w:szCs w:val="24"/>
          <w:lang w:val="en-GB"/>
        </w:rPr>
        <w:t xml:space="preserve"> information disclosure and</w:t>
      </w:r>
      <w:r w:rsidR="00AC0079" w:rsidRPr="00E82E1F">
        <w:rPr>
          <w:sz w:val="24"/>
          <w:szCs w:val="24"/>
          <w:lang w:val="en-GB"/>
        </w:rPr>
        <w:t xml:space="preserve"> monitoring. </w:t>
      </w:r>
      <w:r w:rsidR="003D2D68" w:rsidRPr="00E82E1F">
        <w:rPr>
          <w:sz w:val="24"/>
          <w:szCs w:val="24"/>
          <w:lang w:val="en-GB"/>
        </w:rPr>
        <w:t xml:space="preserve">In addition, </w:t>
      </w:r>
      <w:r w:rsidR="005F65A3" w:rsidRPr="00E82E1F">
        <w:rPr>
          <w:sz w:val="24"/>
          <w:szCs w:val="24"/>
          <w:lang w:val="en-GB"/>
        </w:rPr>
        <w:t xml:space="preserve">the positive effect of </w:t>
      </w:r>
      <w:r w:rsidR="003D2D68" w:rsidRPr="00E82E1F">
        <w:rPr>
          <w:sz w:val="24"/>
          <w:szCs w:val="24"/>
          <w:lang w:val="en-GB"/>
        </w:rPr>
        <w:t xml:space="preserve">TRADEOPENNESS is consistent with the empirical conclusion observed in </w:t>
      </w:r>
      <w:proofErr w:type="spellStart"/>
      <w:r w:rsidR="003D2D68" w:rsidRPr="00E82E1F">
        <w:rPr>
          <w:sz w:val="24"/>
          <w:szCs w:val="24"/>
          <w:lang w:val="en-GB"/>
        </w:rPr>
        <w:t>Rajan</w:t>
      </w:r>
      <w:proofErr w:type="spellEnd"/>
      <w:r w:rsidR="003D2D68" w:rsidRPr="00E82E1F">
        <w:rPr>
          <w:sz w:val="24"/>
          <w:szCs w:val="24"/>
          <w:lang w:val="en-GB"/>
        </w:rPr>
        <w:t xml:space="preserve"> and </w:t>
      </w:r>
      <w:proofErr w:type="spellStart"/>
      <w:r w:rsidR="003D2D68" w:rsidRPr="00E82E1F">
        <w:rPr>
          <w:sz w:val="24"/>
          <w:szCs w:val="24"/>
          <w:lang w:val="en-GB"/>
        </w:rPr>
        <w:t>Zingales</w:t>
      </w:r>
      <w:proofErr w:type="spellEnd"/>
      <w:r w:rsidR="003D2D68" w:rsidRPr="00E82E1F">
        <w:rPr>
          <w:sz w:val="24"/>
          <w:szCs w:val="24"/>
          <w:lang w:val="en-GB"/>
        </w:rPr>
        <w:t xml:space="preserve"> (2003), who argue that TRADEOPENNESS is negatively correlated with the political power of incumbent industrial and financial groups that repress financial development and hence facilitate stock market development.</w:t>
      </w:r>
    </w:p>
    <w:p w:rsidR="00A641D5" w:rsidRDefault="00A412C4" w:rsidP="00E07BF9">
      <w:pPr>
        <w:spacing w:beforeLines="100"/>
        <w:mirrorIndents/>
        <w:rPr>
          <w:sz w:val="24"/>
          <w:szCs w:val="24"/>
          <w:lang w:val="en-GB"/>
        </w:rPr>
      </w:pPr>
      <w:r w:rsidRPr="00E82E1F">
        <w:rPr>
          <w:sz w:val="24"/>
          <w:szCs w:val="24"/>
          <w:lang w:val="en-GB"/>
        </w:rPr>
        <w:t>Additionally, Panel B reports that</w:t>
      </w:r>
      <w:r w:rsidR="005F65A3" w:rsidRPr="00E82E1F">
        <w:rPr>
          <w:sz w:val="24"/>
          <w:szCs w:val="24"/>
          <w:lang w:val="en-GB"/>
        </w:rPr>
        <w:t xml:space="preserve"> </w:t>
      </w:r>
      <w:r w:rsidRPr="00E82E1F">
        <w:rPr>
          <w:sz w:val="24"/>
          <w:szCs w:val="24"/>
          <w:lang w:val="en-GB"/>
        </w:rPr>
        <w:t>GDPPERCAPITA (t-statistics</w:t>
      </w:r>
      <w:r w:rsidR="000E6FA2" w:rsidRPr="00E82E1F">
        <w:rPr>
          <w:sz w:val="24"/>
          <w:szCs w:val="24"/>
          <w:lang w:val="en-GB"/>
        </w:rPr>
        <w:t>=3.63</w:t>
      </w:r>
      <w:r w:rsidR="00EE2EFA" w:rsidRPr="00E82E1F">
        <w:rPr>
          <w:sz w:val="24"/>
          <w:szCs w:val="24"/>
          <w:lang w:val="en-GB"/>
        </w:rPr>
        <w:t>), PENFORCEMENT (t=2.92), CATHOLIC (t=-1.54</w:t>
      </w:r>
      <w:r w:rsidRPr="00E82E1F">
        <w:rPr>
          <w:sz w:val="24"/>
          <w:szCs w:val="24"/>
          <w:lang w:val="en-GB"/>
        </w:rPr>
        <w:t>), and TRADEOPENNESS (t=</w:t>
      </w:r>
      <w:r w:rsidR="00EE2EFA" w:rsidRPr="00E82E1F">
        <w:rPr>
          <w:sz w:val="24"/>
          <w:szCs w:val="24"/>
          <w:lang w:val="en-GB"/>
        </w:rPr>
        <w:t>1.86</w:t>
      </w:r>
      <w:r w:rsidRPr="00E82E1F">
        <w:rPr>
          <w:sz w:val="24"/>
          <w:szCs w:val="24"/>
          <w:lang w:val="en-GB"/>
        </w:rPr>
        <w:t xml:space="preserve">) are robustly correlated with the dependent variable LNLISTED. According to </w:t>
      </w:r>
      <w:r w:rsidR="003F0451" w:rsidRPr="00E82E1F">
        <w:rPr>
          <w:sz w:val="24"/>
          <w:szCs w:val="24"/>
          <w:lang w:val="en-GB"/>
        </w:rPr>
        <w:t xml:space="preserve">La </w:t>
      </w:r>
      <w:proofErr w:type="spellStart"/>
      <w:r w:rsidR="003F0451" w:rsidRPr="00E82E1F">
        <w:rPr>
          <w:sz w:val="24"/>
          <w:szCs w:val="24"/>
          <w:lang w:val="en-GB"/>
        </w:rPr>
        <w:t>Porta</w:t>
      </w:r>
      <w:proofErr w:type="spellEnd"/>
      <w:r w:rsidR="003F0451" w:rsidRPr="00E82E1F">
        <w:rPr>
          <w:sz w:val="24"/>
          <w:szCs w:val="24"/>
          <w:lang w:val="en-GB"/>
        </w:rPr>
        <w:t xml:space="preserve"> et al.</w:t>
      </w:r>
      <w:r w:rsidRPr="00E82E1F">
        <w:rPr>
          <w:sz w:val="24"/>
          <w:szCs w:val="24"/>
          <w:lang w:val="en-GB"/>
        </w:rPr>
        <w:t xml:space="preserve"> (2006), the </w:t>
      </w:r>
      <w:r w:rsidRPr="00E82E1F">
        <w:rPr>
          <w:i/>
          <w:sz w:val="24"/>
          <w:szCs w:val="24"/>
          <w:lang w:val="en-GB"/>
        </w:rPr>
        <w:t>de jure</w:t>
      </w:r>
      <w:r w:rsidRPr="00E82E1F">
        <w:rPr>
          <w:sz w:val="24"/>
          <w:szCs w:val="24"/>
          <w:lang w:val="en-GB"/>
        </w:rPr>
        <w:t xml:space="preserve"> power enjoyed by public regulators, as measured by PENFORCEMENT, is important for public regulators to intervene and investigate the crimes of corporate insiders, which should be positively correlated with the stock market development. In addition, CATHOLIC is shown to have a negative</w:t>
      </w:r>
      <w:r w:rsidR="00EE2EFA" w:rsidRPr="00E82E1F">
        <w:rPr>
          <w:sz w:val="24"/>
          <w:szCs w:val="24"/>
          <w:lang w:val="en-GB"/>
        </w:rPr>
        <w:t xml:space="preserve"> coefficient</w:t>
      </w:r>
      <w:r w:rsidRPr="00E82E1F">
        <w:rPr>
          <w:sz w:val="24"/>
          <w:szCs w:val="24"/>
          <w:lang w:val="en-GB"/>
        </w:rPr>
        <w:t>, indicating that Catholic countries have relatively few listed firms per capita</w:t>
      </w:r>
      <w:r w:rsidR="00442639" w:rsidRPr="00E82E1F">
        <w:rPr>
          <w:sz w:val="24"/>
          <w:szCs w:val="24"/>
          <w:lang w:val="en-GB"/>
        </w:rPr>
        <w:t xml:space="preserve">. The negative </w:t>
      </w:r>
      <w:r w:rsidRPr="00E82E1F">
        <w:rPr>
          <w:sz w:val="24"/>
          <w:szCs w:val="24"/>
          <w:lang w:val="en-GB"/>
        </w:rPr>
        <w:t>effect</w:t>
      </w:r>
      <w:r w:rsidR="00442639" w:rsidRPr="00E82E1F">
        <w:rPr>
          <w:sz w:val="24"/>
          <w:szCs w:val="24"/>
          <w:lang w:val="en-GB"/>
        </w:rPr>
        <w:t xml:space="preserve"> i</w:t>
      </w:r>
      <w:r w:rsidRPr="00E82E1F">
        <w:rPr>
          <w:sz w:val="24"/>
          <w:szCs w:val="24"/>
          <w:lang w:val="en-GB"/>
        </w:rPr>
        <w:t xml:space="preserve">s similar to that reported by </w:t>
      </w:r>
      <w:proofErr w:type="spellStart"/>
      <w:r w:rsidRPr="00E82E1F">
        <w:rPr>
          <w:sz w:val="24"/>
          <w:szCs w:val="24"/>
          <w:lang w:val="en-GB"/>
        </w:rPr>
        <w:t>Stulz</w:t>
      </w:r>
      <w:proofErr w:type="spellEnd"/>
      <w:r w:rsidRPr="00E82E1F">
        <w:rPr>
          <w:sz w:val="24"/>
          <w:szCs w:val="24"/>
          <w:lang w:val="en-GB"/>
        </w:rPr>
        <w:t xml:space="preserve"> and Williamson (2003) </w:t>
      </w:r>
      <w:r w:rsidR="00442639" w:rsidRPr="00E82E1F">
        <w:rPr>
          <w:sz w:val="24"/>
          <w:szCs w:val="24"/>
          <w:lang w:val="en-GB"/>
        </w:rPr>
        <w:t>on</w:t>
      </w:r>
      <w:r w:rsidRPr="00E82E1F">
        <w:rPr>
          <w:sz w:val="24"/>
          <w:szCs w:val="24"/>
          <w:lang w:val="en-GB"/>
        </w:rPr>
        <w:t xml:space="preserve"> debt markets.</w:t>
      </w:r>
      <w:r w:rsidR="00E07BF9">
        <w:rPr>
          <w:sz w:val="24"/>
          <w:szCs w:val="24"/>
          <w:lang w:val="en-GB"/>
        </w:rPr>
        <w:t xml:space="preserve"> </w:t>
      </w:r>
    </w:p>
    <w:p w:rsidR="00A641D5" w:rsidRDefault="00A641D5" w:rsidP="00E82E1F">
      <w:pPr>
        <w:spacing w:line="360" w:lineRule="auto"/>
        <w:rPr>
          <w:sz w:val="24"/>
          <w:szCs w:val="24"/>
          <w:lang w:val="en-GB"/>
        </w:rPr>
        <w:sectPr w:rsidR="00A641D5" w:rsidSect="000664F3">
          <w:footnotePr>
            <w:numFmt w:val="chicago"/>
            <w:numRestart w:val="eachSect"/>
          </w:footnotePr>
          <w:pgSz w:w="11906" w:h="16838"/>
          <w:pgMar w:top="1440" w:right="1800" w:bottom="1440" w:left="1800" w:header="851" w:footer="992" w:gutter="0"/>
          <w:cols w:space="720"/>
          <w:docGrid w:type="lines" w:linePitch="312"/>
        </w:sectPr>
      </w:pPr>
    </w:p>
    <w:p w:rsidR="00A641D5" w:rsidRPr="00234284" w:rsidRDefault="00A641D5" w:rsidP="00A641D5">
      <w:pPr>
        <w:adjustRightInd w:val="0"/>
        <w:snapToGrid w:val="0"/>
        <w:jc w:val="center"/>
        <w:rPr>
          <w:b/>
          <w:sz w:val="28"/>
          <w:szCs w:val="28"/>
          <w:lang w:val="en-GB"/>
        </w:rPr>
      </w:pPr>
      <w:r w:rsidRPr="00234284">
        <w:rPr>
          <w:b/>
          <w:sz w:val="28"/>
          <w:szCs w:val="28"/>
          <w:lang w:val="en-GB"/>
        </w:rPr>
        <w:lastRenderedPageBreak/>
        <w:t>Table 3 Results of BMA estimation</w:t>
      </w:r>
    </w:p>
    <w:p w:rsidR="00A641D5" w:rsidRPr="00234284" w:rsidRDefault="00A641D5" w:rsidP="00A641D5">
      <w:pPr>
        <w:adjustRightInd w:val="0"/>
        <w:snapToGrid w:val="0"/>
        <w:rPr>
          <w:sz w:val="24"/>
          <w:szCs w:val="24"/>
          <w:lang w:val="en-GB"/>
        </w:rPr>
      </w:pPr>
    </w:p>
    <w:tbl>
      <w:tblPr>
        <w:tblW w:w="12515"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160"/>
        <w:gridCol w:w="1084"/>
        <w:gridCol w:w="566"/>
        <w:gridCol w:w="1219"/>
        <w:gridCol w:w="949"/>
        <w:gridCol w:w="682"/>
        <w:gridCol w:w="1179"/>
        <w:gridCol w:w="815"/>
        <w:gridCol w:w="566"/>
        <w:gridCol w:w="1138"/>
        <w:gridCol w:w="683"/>
        <w:gridCol w:w="566"/>
      </w:tblGrid>
      <w:tr w:rsidR="00A641D5" w:rsidRPr="00234284" w:rsidTr="00A641D5">
        <w:trPr>
          <w:trHeight w:val="270"/>
          <w:jc w:val="center"/>
        </w:trPr>
        <w:tc>
          <w:tcPr>
            <w:tcW w:w="1908" w:type="dxa"/>
            <w:shd w:val="clear" w:color="auto" w:fill="auto"/>
            <w:noWrap/>
            <w:vAlign w:val="bottom"/>
            <w:hideMark/>
          </w:tcPr>
          <w:p w:rsidR="00A641D5" w:rsidRPr="00234284" w:rsidRDefault="00A641D5" w:rsidP="00A641D5">
            <w:pPr>
              <w:widowControl/>
              <w:adjustRightInd w:val="0"/>
              <w:snapToGrid w:val="0"/>
              <w:jc w:val="center"/>
              <w:rPr>
                <w:color w:val="000000"/>
                <w:kern w:val="0"/>
                <w:szCs w:val="21"/>
                <w:lang w:val="en-GB"/>
              </w:rPr>
            </w:pPr>
          </w:p>
        </w:tc>
        <w:tc>
          <w:tcPr>
            <w:tcW w:w="2810" w:type="dxa"/>
            <w:gridSpan w:val="3"/>
            <w:shd w:val="clear" w:color="auto" w:fill="auto"/>
            <w:vAlign w:val="bottom"/>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Panel A</w:t>
            </w:r>
          </w:p>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 xml:space="preserve">Dependent variable: </w:t>
            </w:r>
          </w:p>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CMMKT</w:t>
            </w:r>
          </w:p>
        </w:tc>
        <w:tc>
          <w:tcPr>
            <w:tcW w:w="2850" w:type="dxa"/>
            <w:gridSpan w:val="3"/>
            <w:shd w:val="clear" w:color="auto" w:fill="auto"/>
            <w:noWrap/>
            <w:vAlign w:val="bottom"/>
            <w:hideMark/>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Panel B</w:t>
            </w:r>
          </w:p>
          <w:p w:rsidR="00A641D5" w:rsidRPr="00234284" w:rsidRDefault="00A641D5" w:rsidP="00A641D5">
            <w:pPr>
              <w:widowControl/>
              <w:adjustRightInd w:val="0"/>
              <w:snapToGrid w:val="0"/>
              <w:jc w:val="center"/>
              <w:rPr>
                <w:b/>
                <w:szCs w:val="21"/>
                <w:lang w:val="en-GB"/>
              </w:rPr>
            </w:pPr>
            <w:r w:rsidRPr="00234284">
              <w:rPr>
                <w:b/>
                <w:color w:val="000000"/>
                <w:kern w:val="0"/>
                <w:szCs w:val="21"/>
                <w:lang w:val="en-GB"/>
              </w:rPr>
              <w:t>Dependent variable:</w:t>
            </w:r>
            <w:r w:rsidRPr="00234284">
              <w:rPr>
                <w:b/>
                <w:szCs w:val="21"/>
                <w:lang w:val="en-GB"/>
              </w:rPr>
              <w:t xml:space="preserve"> </w:t>
            </w:r>
          </w:p>
          <w:p w:rsidR="00A641D5" w:rsidRPr="00234284" w:rsidRDefault="00A641D5" w:rsidP="00A641D5">
            <w:pPr>
              <w:widowControl/>
              <w:adjustRightInd w:val="0"/>
              <w:snapToGrid w:val="0"/>
              <w:jc w:val="center"/>
              <w:rPr>
                <w:b/>
                <w:szCs w:val="21"/>
                <w:lang w:val="en-GB"/>
              </w:rPr>
            </w:pPr>
            <w:r w:rsidRPr="00234284">
              <w:rPr>
                <w:b/>
                <w:szCs w:val="21"/>
                <w:lang w:val="en-GB"/>
              </w:rPr>
              <w:t>LN</w:t>
            </w:r>
            <w:r w:rsidRPr="00234284">
              <w:rPr>
                <w:b/>
                <w:color w:val="000000"/>
                <w:kern w:val="0"/>
                <w:szCs w:val="21"/>
                <w:lang w:val="en-GB"/>
              </w:rPr>
              <w:t>LISTED</w:t>
            </w:r>
          </w:p>
        </w:tc>
        <w:tc>
          <w:tcPr>
            <w:tcW w:w="2560" w:type="dxa"/>
            <w:gridSpan w:val="3"/>
            <w:shd w:val="clear" w:color="auto" w:fill="auto"/>
            <w:vAlign w:val="bottom"/>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Panel C</w:t>
            </w:r>
          </w:p>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 xml:space="preserve">Dependent variable: </w:t>
            </w:r>
          </w:p>
          <w:p w:rsidR="00A641D5" w:rsidRPr="00234284" w:rsidRDefault="00A641D5" w:rsidP="00A641D5">
            <w:pPr>
              <w:widowControl/>
              <w:adjustRightInd w:val="0"/>
              <w:snapToGrid w:val="0"/>
              <w:jc w:val="center"/>
              <w:rPr>
                <w:b/>
                <w:szCs w:val="21"/>
                <w:lang w:val="en-GB"/>
              </w:rPr>
            </w:pPr>
            <w:r w:rsidRPr="00234284">
              <w:rPr>
                <w:b/>
                <w:color w:val="000000"/>
                <w:kern w:val="0"/>
                <w:szCs w:val="21"/>
                <w:lang w:val="en-GB"/>
              </w:rPr>
              <w:t>IPO</w:t>
            </w:r>
          </w:p>
        </w:tc>
        <w:tc>
          <w:tcPr>
            <w:tcW w:w="2387" w:type="dxa"/>
            <w:gridSpan w:val="3"/>
            <w:shd w:val="clear" w:color="auto" w:fill="auto"/>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Panel D</w:t>
            </w:r>
          </w:p>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 xml:space="preserve">Dependent variable: </w:t>
            </w:r>
          </w:p>
          <w:p w:rsidR="00A641D5" w:rsidRPr="00234284" w:rsidRDefault="00A641D5" w:rsidP="00A641D5">
            <w:pPr>
              <w:widowControl/>
              <w:adjustRightInd w:val="0"/>
              <w:snapToGrid w:val="0"/>
              <w:jc w:val="center"/>
              <w:rPr>
                <w:b/>
                <w:szCs w:val="21"/>
                <w:lang w:val="en-GB"/>
              </w:rPr>
            </w:pPr>
            <w:r w:rsidRPr="00234284">
              <w:rPr>
                <w:b/>
                <w:color w:val="000000"/>
                <w:kern w:val="0"/>
                <w:szCs w:val="21"/>
                <w:lang w:val="en-GB"/>
              </w:rPr>
              <w:t>TRADE</w:t>
            </w:r>
          </w:p>
        </w:tc>
      </w:tr>
      <w:tr w:rsidR="00A641D5" w:rsidRPr="00234284" w:rsidTr="00A641D5">
        <w:trPr>
          <w:trHeight w:val="270"/>
          <w:jc w:val="center"/>
        </w:trPr>
        <w:tc>
          <w:tcPr>
            <w:tcW w:w="1908" w:type="dxa"/>
            <w:shd w:val="clear" w:color="auto" w:fill="auto"/>
            <w:noWrap/>
            <w:vAlign w:val="bottom"/>
            <w:hideMark/>
          </w:tcPr>
          <w:p w:rsidR="00A641D5" w:rsidRPr="003F7610" w:rsidRDefault="00A641D5" w:rsidP="00A641D5">
            <w:pPr>
              <w:widowControl/>
              <w:adjustRightInd w:val="0"/>
              <w:snapToGrid w:val="0"/>
              <w:jc w:val="left"/>
              <w:rPr>
                <w:b/>
                <w:color w:val="000000"/>
                <w:kern w:val="0"/>
                <w:szCs w:val="18"/>
                <w:lang w:val="en-GB"/>
              </w:rPr>
            </w:pPr>
            <w:r w:rsidRPr="003F7610">
              <w:rPr>
                <w:b/>
                <w:color w:val="000000"/>
                <w:kern w:val="0"/>
                <w:szCs w:val="18"/>
                <w:lang w:val="en-GB"/>
              </w:rPr>
              <w:t>Doubtful variables</w:t>
            </w:r>
          </w:p>
        </w:tc>
        <w:tc>
          <w:tcPr>
            <w:tcW w:w="1160" w:type="dxa"/>
            <w:shd w:val="clear" w:color="auto" w:fill="auto"/>
            <w:noWrap/>
            <w:vAlign w:val="bottom"/>
            <w:hideMark/>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coefficient</w:t>
            </w:r>
          </w:p>
        </w:tc>
        <w:tc>
          <w:tcPr>
            <w:tcW w:w="1084" w:type="dxa"/>
            <w:shd w:val="clear" w:color="auto" w:fill="auto"/>
            <w:noWrap/>
            <w:vAlign w:val="bottom"/>
            <w:hideMark/>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t-stat</w:t>
            </w:r>
          </w:p>
        </w:tc>
        <w:tc>
          <w:tcPr>
            <w:tcW w:w="566" w:type="dxa"/>
            <w:shd w:val="clear" w:color="auto" w:fill="auto"/>
            <w:vAlign w:val="bottom"/>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pip</w:t>
            </w:r>
          </w:p>
        </w:tc>
        <w:tc>
          <w:tcPr>
            <w:tcW w:w="1219" w:type="dxa"/>
            <w:shd w:val="clear" w:color="auto" w:fill="auto"/>
            <w:noWrap/>
            <w:vAlign w:val="bottom"/>
            <w:hideMark/>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coefficient</w:t>
            </w:r>
          </w:p>
        </w:tc>
        <w:tc>
          <w:tcPr>
            <w:tcW w:w="949" w:type="dxa"/>
            <w:shd w:val="clear" w:color="auto" w:fill="auto"/>
            <w:noWrap/>
            <w:vAlign w:val="bottom"/>
            <w:hideMark/>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t-stat</w:t>
            </w:r>
          </w:p>
        </w:tc>
        <w:tc>
          <w:tcPr>
            <w:tcW w:w="682" w:type="dxa"/>
            <w:shd w:val="clear" w:color="auto" w:fill="auto"/>
            <w:vAlign w:val="bottom"/>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pip</w:t>
            </w:r>
          </w:p>
        </w:tc>
        <w:tc>
          <w:tcPr>
            <w:tcW w:w="1179" w:type="dxa"/>
            <w:shd w:val="clear" w:color="auto" w:fill="auto"/>
            <w:noWrap/>
            <w:vAlign w:val="bottom"/>
            <w:hideMark/>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coefficient</w:t>
            </w:r>
          </w:p>
        </w:tc>
        <w:tc>
          <w:tcPr>
            <w:tcW w:w="815" w:type="dxa"/>
            <w:shd w:val="clear" w:color="auto" w:fill="auto"/>
            <w:noWrap/>
            <w:vAlign w:val="bottom"/>
            <w:hideMark/>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t-stat</w:t>
            </w:r>
          </w:p>
        </w:tc>
        <w:tc>
          <w:tcPr>
            <w:tcW w:w="566" w:type="dxa"/>
            <w:shd w:val="clear" w:color="auto" w:fill="auto"/>
            <w:vAlign w:val="bottom"/>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pip</w:t>
            </w:r>
          </w:p>
        </w:tc>
        <w:tc>
          <w:tcPr>
            <w:tcW w:w="1138" w:type="dxa"/>
            <w:vAlign w:val="bottom"/>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coefficient</w:t>
            </w:r>
          </w:p>
        </w:tc>
        <w:tc>
          <w:tcPr>
            <w:tcW w:w="683" w:type="dxa"/>
            <w:vAlign w:val="bottom"/>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t-stat</w:t>
            </w:r>
          </w:p>
        </w:tc>
        <w:tc>
          <w:tcPr>
            <w:tcW w:w="566" w:type="dxa"/>
            <w:vAlign w:val="bottom"/>
          </w:tcPr>
          <w:p w:rsidR="00A641D5" w:rsidRPr="00234284" w:rsidRDefault="00A641D5" w:rsidP="00A641D5">
            <w:pPr>
              <w:widowControl/>
              <w:adjustRightInd w:val="0"/>
              <w:snapToGrid w:val="0"/>
              <w:jc w:val="center"/>
              <w:rPr>
                <w:b/>
                <w:color w:val="000000"/>
                <w:kern w:val="0"/>
                <w:szCs w:val="21"/>
                <w:lang w:val="en-GB"/>
              </w:rPr>
            </w:pPr>
            <w:r w:rsidRPr="00234284">
              <w:rPr>
                <w:b/>
                <w:color w:val="000000"/>
                <w:kern w:val="0"/>
                <w:szCs w:val="21"/>
                <w:lang w:val="en-GB"/>
              </w:rPr>
              <w:t>pip</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antisdi</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8.465448</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0.32</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0.13</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-0.3907158</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-0.06</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0.053112</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0.1</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38" w:type="dxa"/>
            <w:vAlign w:val="center"/>
          </w:tcPr>
          <w:p w:rsidR="00A641D5" w:rsidRDefault="00A641D5" w:rsidP="00A641D5">
            <w:pPr>
              <w:jc w:val="right"/>
              <w:rPr>
                <w:color w:val="000000"/>
                <w:sz w:val="18"/>
                <w:szCs w:val="18"/>
              </w:rPr>
            </w:pPr>
            <w:r>
              <w:rPr>
                <w:color w:val="000000"/>
                <w:sz w:val="18"/>
                <w:szCs w:val="18"/>
              </w:rPr>
              <w:t>0.1609706</w:t>
            </w:r>
          </w:p>
        </w:tc>
        <w:tc>
          <w:tcPr>
            <w:tcW w:w="683" w:type="dxa"/>
            <w:vAlign w:val="center"/>
          </w:tcPr>
          <w:p w:rsidR="00A641D5" w:rsidRDefault="00A641D5" w:rsidP="00A641D5">
            <w:pPr>
              <w:jc w:val="right"/>
              <w:rPr>
                <w:color w:val="000000"/>
                <w:sz w:val="18"/>
                <w:szCs w:val="18"/>
              </w:rPr>
            </w:pPr>
            <w:r>
              <w:rPr>
                <w:color w:val="000000"/>
                <w:sz w:val="18"/>
                <w:szCs w:val="18"/>
              </w:rPr>
              <w:t>0.02</w:t>
            </w:r>
          </w:p>
        </w:tc>
        <w:tc>
          <w:tcPr>
            <w:tcW w:w="566" w:type="dxa"/>
            <w:vAlign w:val="center"/>
          </w:tcPr>
          <w:p w:rsidR="00A641D5" w:rsidRDefault="00A641D5" w:rsidP="00A641D5">
            <w:pPr>
              <w:jc w:val="right"/>
              <w:rPr>
                <w:color w:val="000000"/>
                <w:sz w:val="18"/>
                <w:szCs w:val="18"/>
              </w:rPr>
            </w:pPr>
            <w:r>
              <w:rPr>
                <w:color w:val="000000"/>
                <w:sz w:val="18"/>
                <w:szCs w:val="18"/>
              </w:rPr>
              <w:t>0.04</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r w:rsidRPr="003F7610">
              <w:rPr>
                <w:color w:val="000000"/>
                <w:szCs w:val="18"/>
              </w:rPr>
              <w:t>check</w:t>
            </w:r>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-1.027823</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-0.19</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0.07</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1.016896</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0.33</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0.14</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0.0585975</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0.23</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0.08</w:t>
            </w:r>
          </w:p>
        </w:tc>
        <w:tc>
          <w:tcPr>
            <w:tcW w:w="1138" w:type="dxa"/>
            <w:vAlign w:val="center"/>
          </w:tcPr>
          <w:p w:rsidR="00A641D5" w:rsidRDefault="00A641D5" w:rsidP="00A641D5">
            <w:pPr>
              <w:jc w:val="right"/>
              <w:rPr>
                <w:color w:val="000000"/>
                <w:sz w:val="18"/>
                <w:szCs w:val="18"/>
              </w:rPr>
            </w:pPr>
            <w:r>
              <w:rPr>
                <w:color w:val="000000"/>
                <w:sz w:val="18"/>
                <w:szCs w:val="18"/>
              </w:rPr>
              <w:t>-1.977815</w:t>
            </w:r>
          </w:p>
        </w:tc>
        <w:tc>
          <w:tcPr>
            <w:tcW w:w="683" w:type="dxa"/>
            <w:vAlign w:val="center"/>
          </w:tcPr>
          <w:p w:rsidR="00A641D5" w:rsidRDefault="00A641D5" w:rsidP="00A641D5">
            <w:pPr>
              <w:jc w:val="right"/>
              <w:rPr>
                <w:color w:val="000000"/>
                <w:sz w:val="18"/>
                <w:szCs w:val="18"/>
              </w:rPr>
            </w:pPr>
            <w:r>
              <w:rPr>
                <w:color w:val="000000"/>
                <w:sz w:val="18"/>
                <w:szCs w:val="18"/>
              </w:rPr>
              <w:t>-0.31</w:t>
            </w:r>
          </w:p>
        </w:tc>
        <w:tc>
          <w:tcPr>
            <w:tcW w:w="566" w:type="dxa"/>
            <w:vAlign w:val="center"/>
          </w:tcPr>
          <w:p w:rsidR="00A641D5" w:rsidRDefault="00A641D5" w:rsidP="00A641D5">
            <w:pPr>
              <w:jc w:val="right"/>
              <w:rPr>
                <w:color w:val="000000"/>
                <w:sz w:val="18"/>
                <w:szCs w:val="18"/>
              </w:rPr>
            </w:pPr>
            <w:r>
              <w:rPr>
                <w:color w:val="000000"/>
                <w:sz w:val="18"/>
                <w:szCs w:val="18"/>
              </w:rPr>
              <w:t>0.12</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gdppercapita</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4.359441</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0.49</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0.25</w:t>
            </w:r>
          </w:p>
        </w:tc>
        <w:tc>
          <w:tcPr>
            <w:tcW w:w="1219" w:type="dxa"/>
            <w:shd w:val="clear" w:color="auto" w:fill="auto"/>
            <w:noWrap/>
            <w:vAlign w:val="center"/>
          </w:tcPr>
          <w:p w:rsidR="00A641D5" w:rsidRPr="005D5525" w:rsidRDefault="00A641D5" w:rsidP="00A641D5">
            <w:pPr>
              <w:jc w:val="right"/>
              <w:rPr>
                <w:b/>
                <w:color w:val="000000"/>
                <w:sz w:val="18"/>
                <w:szCs w:val="18"/>
              </w:rPr>
            </w:pPr>
            <w:r w:rsidRPr="005D5525">
              <w:rPr>
                <w:b/>
                <w:color w:val="000000"/>
                <w:sz w:val="18"/>
                <w:szCs w:val="18"/>
              </w:rPr>
              <w:t>12.524</w:t>
            </w:r>
            <w:r w:rsidRPr="005D5525">
              <w:rPr>
                <w:rFonts w:hint="eastAsia"/>
                <w:b/>
                <w:color w:val="000000"/>
                <w:sz w:val="18"/>
                <w:szCs w:val="18"/>
              </w:rPr>
              <w:t>*</w:t>
            </w:r>
          </w:p>
        </w:tc>
        <w:tc>
          <w:tcPr>
            <w:tcW w:w="949" w:type="dxa"/>
            <w:shd w:val="clear" w:color="auto" w:fill="auto"/>
            <w:noWrap/>
            <w:vAlign w:val="center"/>
          </w:tcPr>
          <w:p w:rsidR="00A641D5" w:rsidRPr="005D5525" w:rsidRDefault="00A641D5" w:rsidP="00A641D5">
            <w:pPr>
              <w:jc w:val="right"/>
              <w:rPr>
                <w:b/>
                <w:color w:val="000000"/>
                <w:sz w:val="18"/>
                <w:szCs w:val="18"/>
              </w:rPr>
            </w:pPr>
            <w:r w:rsidRPr="005D5525">
              <w:rPr>
                <w:b/>
                <w:color w:val="000000"/>
                <w:sz w:val="18"/>
                <w:szCs w:val="18"/>
              </w:rPr>
              <w:t>3.63</w:t>
            </w:r>
          </w:p>
        </w:tc>
        <w:tc>
          <w:tcPr>
            <w:tcW w:w="682" w:type="dxa"/>
            <w:shd w:val="clear" w:color="auto" w:fill="auto"/>
            <w:vAlign w:val="center"/>
          </w:tcPr>
          <w:p w:rsidR="00A641D5" w:rsidRPr="005D5525" w:rsidRDefault="00A641D5" w:rsidP="00A641D5">
            <w:pPr>
              <w:jc w:val="right"/>
              <w:rPr>
                <w:b/>
                <w:color w:val="000000"/>
                <w:sz w:val="18"/>
                <w:szCs w:val="18"/>
              </w:rPr>
            </w:pPr>
            <w:r w:rsidRPr="005D5525">
              <w:rPr>
                <w:b/>
                <w:color w:val="000000"/>
                <w:sz w:val="18"/>
                <w:szCs w:val="18"/>
              </w:rPr>
              <w:t>0.99</w:t>
            </w:r>
          </w:p>
        </w:tc>
        <w:tc>
          <w:tcPr>
            <w:tcW w:w="1179" w:type="dxa"/>
            <w:shd w:val="clear" w:color="auto" w:fill="auto"/>
            <w:noWrap/>
            <w:vAlign w:val="center"/>
          </w:tcPr>
          <w:p w:rsidR="00A641D5" w:rsidRPr="005D5525" w:rsidRDefault="00A641D5" w:rsidP="00A641D5">
            <w:pPr>
              <w:jc w:val="right"/>
              <w:rPr>
                <w:b/>
                <w:color w:val="000000"/>
                <w:sz w:val="18"/>
                <w:szCs w:val="18"/>
              </w:rPr>
            </w:pPr>
            <w:r w:rsidRPr="005D5525">
              <w:rPr>
                <w:b/>
                <w:color w:val="000000"/>
                <w:sz w:val="18"/>
                <w:szCs w:val="18"/>
              </w:rPr>
              <w:t>1.082995</w:t>
            </w:r>
            <w:r w:rsidRPr="005D5525">
              <w:rPr>
                <w:rFonts w:hint="eastAsia"/>
                <w:b/>
                <w:color w:val="000000"/>
                <w:sz w:val="18"/>
                <w:szCs w:val="18"/>
              </w:rPr>
              <w:t>*</w:t>
            </w:r>
          </w:p>
        </w:tc>
        <w:tc>
          <w:tcPr>
            <w:tcW w:w="815" w:type="dxa"/>
            <w:shd w:val="clear" w:color="auto" w:fill="auto"/>
            <w:noWrap/>
            <w:vAlign w:val="center"/>
          </w:tcPr>
          <w:p w:rsidR="00A641D5" w:rsidRPr="005D5525" w:rsidRDefault="00A641D5" w:rsidP="00A641D5">
            <w:pPr>
              <w:jc w:val="right"/>
              <w:rPr>
                <w:b/>
                <w:color w:val="000000"/>
                <w:sz w:val="18"/>
                <w:szCs w:val="18"/>
              </w:rPr>
            </w:pPr>
            <w:r w:rsidRPr="005D5525">
              <w:rPr>
                <w:b/>
                <w:color w:val="000000"/>
                <w:sz w:val="18"/>
                <w:szCs w:val="18"/>
              </w:rPr>
              <w:t>2.67</w:t>
            </w:r>
          </w:p>
        </w:tc>
        <w:tc>
          <w:tcPr>
            <w:tcW w:w="566" w:type="dxa"/>
            <w:shd w:val="clear" w:color="auto" w:fill="auto"/>
            <w:vAlign w:val="center"/>
          </w:tcPr>
          <w:p w:rsidR="00A641D5" w:rsidRPr="005D5525" w:rsidRDefault="00A641D5" w:rsidP="00A641D5">
            <w:pPr>
              <w:jc w:val="right"/>
              <w:rPr>
                <w:b/>
                <w:color w:val="000000"/>
                <w:sz w:val="18"/>
                <w:szCs w:val="18"/>
              </w:rPr>
            </w:pPr>
            <w:r w:rsidRPr="005D5525">
              <w:rPr>
                <w:b/>
                <w:color w:val="000000"/>
                <w:sz w:val="18"/>
                <w:szCs w:val="18"/>
              </w:rPr>
              <w:t>0.93</w:t>
            </w:r>
          </w:p>
        </w:tc>
        <w:tc>
          <w:tcPr>
            <w:tcW w:w="1138" w:type="dxa"/>
            <w:vAlign w:val="center"/>
          </w:tcPr>
          <w:p w:rsidR="00A641D5" w:rsidRDefault="00A641D5" w:rsidP="00A641D5">
            <w:pPr>
              <w:jc w:val="right"/>
              <w:rPr>
                <w:color w:val="000000"/>
                <w:sz w:val="18"/>
                <w:szCs w:val="18"/>
              </w:rPr>
            </w:pPr>
            <w:r>
              <w:rPr>
                <w:color w:val="000000"/>
                <w:sz w:val="18"/>
                <w:szCs w:val="18"/>
              </w:rPr>
              <w:t>0.3977456</w:t>
            </w:r>
          </w:p>
        </w:tc>
        <w:tc>
          <w:tcPr>
            <w:tcW w:w="683" w:type="dxa"/>
            <w:vAlign w:val="center"/>
          </w:tcPr>
          <w:p w:rsidR="00A641D5" w:rsidRDefault="00A641D5" w:rsidP="00A641D5">
            <w:pPr>
              <w:jc w:val="right"/>
              <w:rPr>
                <w:color w:val="000000"/>
                <w:sz w:val="18"/>
                <w:szCs w:val="18"/>
              </w:rPr>
            </w:pPr>
            <w:r>
              <w:rPr>
                <w:color w:val="000000"/>
                <w:sz w:val="18"/>
                <w:szCs w:val="18"/>
              </w:rPr>
              <w:t>0.17</w:t>
            </w:r>
          </w:p>
        </w:tc>
        <w:tc>
          <w:tcPr>
            <w:tcW w:w="566" w:type="dxa"/>
            <w:vAlign w:val="center"/>
          </w:tcPr>
          <w:p w:rsidR="00A641D5" w:rsidRDefault="00A641D5" w:rsidP="00A641D5">
            <w:pPr>
              <w:jc w:val="right"/>
              <w:rPr>
                <w:color w:val="000000"/>
                <w:sz w:val="18"/>
                <w:szCs w:val="18"/>
              </w:rPr>
            </w:pPr>
            <w:r>
              <w:rPr>
                <w:color w:val="000000"/>
                <w:sz w:val="18"/>
                <w:szCs w:val="18"/>
              </w:rPr>
              <w:t>0.07</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rantidri</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0.2639076</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0.11</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0.598527</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0.32</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0.13</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0.0093528</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0.1</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38" w:type="dxa"/>
            <w:vAlign w:val="center"/>
          </w:tcPr>
          <w:p w:rsidR="00A641D5" w:rsidRDefault="00A641D5" w:rsidP="00A641D5">
            <w:pPr>
              <w:jc w:val="right"/>
              <w:rPr>
                <w:color w:val="000000"/>
                <w:sz w:val="18"/>
                <w:szCs w:val="18"/>
              </w:rPr>
            </w:pPr>
            <w:r>
              <w:rPr>
                <w:color w:val="000000"/>
                <w:sz w:val="18"/>
                <w:szCs w:val="18"/>
              </w:rPr>
              <w:t>0.0132113</w:t>
            </w:r>
          </w:p>
        </w:tc>
        <w:tc>
          <w:tcPr>
            <w:tcW w:w="683" w:type="dxa"/>
            <w:vAlign w:val="center"/>
          </w:tcPr>
          <w:p w:rsidR="00A641D5" w:rsidRDefault="00A641D5" w:rsidP="00A641D5">
            <w:pPr>
              <w:jc w:val="right"/>
              <w:rPr>
                <w:color w:val="000000"/>
                <w:sz w:val="18"/>
                <w:szCs w:val="18"/>
              </w:rPr>
            </w:pPr>
            <w:r>
              <w:rPr>
                <w:color w:val="000000"/>
                <w:sz w:val="18"/>
                <w:szCs w:val="18"/>
              </w:rPr>
              <w:t>0.01</w:t>
            </w:r>
          </w:p>
        </w:tc>
        <w:tc>
          <w:tcPr>
            <w:tcW w:w="566" w:type="dxa"/>
            <w:vAlign w:val="center"/>
          </w:tcPr>
          <w:p w:rsidR="00A641D5" w:rsidRDefault="00A641D5" w:rsidP="00A641D5">
            <w:pPr>
              <w:jc w:val="right"/>
              <w:rPr>
                <w:color w:val="000000"/>
                <w:sz w:val="18"/>
                <w:szCs w:val="18"/>
              </w:rPr>
            </w:pPr>
            <w:r>
              <w:rPr>
                <w:color w:val="000000"/>
                <w:sz w:val="18"/>
                <w:szCs w:val="18"/>
              </w:rPr>
              <w:t>0.04</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onevote</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0.0495706</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0.01</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-0.2624602</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-0.15</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0.007667</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0.05</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38" w:type="dxa"/>
            <w:vAlign w:val="center"/>
          </w:tcPr>
          <w:p w:rsidR="00A641D5" w:rsidRDefault="00A641D5" w:rsidP="00A641D5">
            <w:pPr>
              <w:jc w:val="right"/>
              <w:rPr>
                <w:color w:val="000000"/>
                <w:sz w:val="18"/>
                <w:szCs w:val="18"/>
              </w:rPr>
            </w:pPr>
            <w:r>
              <w:rPr>
                <w:color w:val="000000"/>
                <w:sz w:val="18"/>
                <w:szCs w:val="18"/>
              </w:rPr>
              <w:t>0.7519027</w:t>
            </w:r>
          </w:p>
        </w:tc>
        <w:tc>
          <w:tcPr>
            <w:tcW w:w="683" w:type="dxa"/>
            <w:vAlign w:val="center"/>
          </w:tcPr>
          <w:p w:rsidR="00A641D5" w:rsidRDefault="00A641D5" w:rsidP="00A641D5">
            <w:pPr>
              <w:jc w:val="right"/>
              <w:rPr>
                <w:color w:val="000000"/>
                <w:sz w:val="18"/>
                <w:szCs w:val="18"/>
              </w:rPr>
            </w:pPr>
            <w:r>
              <w:rPr>
                <w:color w:val="000000"/>
                <w:sz w:val="18"/>
                <w:szCs w:val="18"/>
              </w:rPr>
              <w:t>0.16</w:t>
            </w:r>
          </w:p>
        </w:tc>
        <w:tc>
          <w:tcPr>
            <w:tcW w:w="566" w:type="dxa"/>
            <w:vAlign w:val="center"/>
          </w:tcPr>
          <w:p w:rsidR="00A641D5" w:rsidRDefault="00A641D5" w:rsidP="00A641D5">
            <w:pPr>
              <w:jc w:val="right"/>
              <w:rPr>
                <w:color w:val="000000"/>
                <w:sz w:val="18"/>
                <w:szCs w:val="18"/>
              </w:rPr>
            </w:pPr>
            <w:r>
              <w:rPr>
                <w:color w:val="000000"/>
                <w:sz w:val="18"/>
                <w:szCs w:val="18"/>
              </w:rPr>
              <w:t>0.06</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frenchlo</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-2.138087</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-0.24</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0.09</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-3.454036</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-0.45</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0.22</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-0.0133241</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-0.06</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38" w:type="dxa"/>
            <w:vAlign w:val="center"/>
          </w:tcPr>
          <w:p w:rsidR="00A641D5" w:rsidRDefault="00A641D5" w:rsidP="00A641D5">
            <w:pPr>
              <w:jc w:val="right"/>
              <w:rPr>
                <w:color w:val="000000"/>
                <w:sz w:val="18"/>
                <w:szCs w:val="18"/>
              </w:rPr>
            </w:pPr>
            <w:r>
              <w:rPr>
                <w:color w:val="000000"/>
                <w:sz w:val="18"/>
                <w:szCs w:val="18"/>
              </w:rPr>
              <w:t>-4.35427</w:t>
            </w:r>
          </w:p>
        </w:tc>
        <w:tc>
          <w:tcPr>
            <w:tcW w:w="683" w:type="dxa"/>
            <w:vAlign w:val="center"/>
          </w:tcPr>
          <w:p w:rsidR="00A641D5" w:rsidRDefault="00A641D5" w:rsidP="00A641D5">
            <w:pPr>
              <w:jc w:val="right"/>
              <w:rPr>
                <w:color w:val="000000"/>
                <w:sz w:val="18"/>
                <w:szCs w:val="18"/>
              </w:rPr>
            </w:pPr>
            <w:r>
              <w:rPr>
                <w:color w:val="000000"/>
                <w:sz w:val="18"/>
                <w:szCs w:val="18"/>
              </w:rPr>
              <w:t>-0.4</w:t>
            </w:r>
          </w:p>
        </w:tc>
        <w:tc>
          <w:tcPr>
            <w:tcW w:w="566" w:type="dxa"/>
            <w:vAlign w:val="center"/>
          </w:tcPr>
          <w:p w:rsidR="00A641D5" w:rsidRDefault="00A641D5" w:rsidP="00A641D5">
            <w:pPr>
              <w:jc w:val="right"/>
              <w:rPr>
                <w:color w:val="000000"/>
                <w:sz w:val="18"/>
                <w:szCs w:val="18"/>
              </w:rPr>
            </w:pPr>
            <w:r>
              <w:rPr>
                <w:color w:val="000000"/>
                <w:sz w:val="18"/>
                <w:szCs w:val="18"/>
              </w:rPr>
              <w:t>0.18</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commonlo</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0.4939346</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0.08</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0.1660344</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0.07</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9" w:type="dxa"/>
            <w:shd w:val="clear" w:color="auto" w:fill="auto"/>
            <w:noWrap/>
            <w:vAlign w:val="center"/>
          </w:tcPr>
          <w:p w:rsidR="00A641D5" w:rsidRPr="005D5525" w:rsidRDefault="00A641D5" w:rsidP="00A641D5">
            <w:pPr>
              <w:jc w:val="right"/>
              <w:rPr>
                <w:b/>
                <w:color w:val="000000"/>
                <w:sz w:val="18"/>
                <w:szCs w:val="18"/>
              </w:rPr>
            </w:pPr>
            <w:r w:rsidRPr="005D5525">
              <w:rPr>
                <w:b/>
                <w:color w:val="000000"/>
                <w:sz w:val="18"/>
                <w:szCs w:val="18"/>
              </w:rPr>
              <w:t>2.380417</w:t>
            </w:r>
            <w:r w:rsidRPr="005D5525">
              <w:rPr>
                <w:rFonts w:hint="eastAsia"/>
                <w:b/>
                <w:color w:val="000000"/>
                <w:sz w:val="18"/>
                <w:szCs w:val="18"/>
              </w:rPr>
              <w:t>*</w:t>
            </w:r>
          </w:p>
        </w:tc>
        <w:tc>
          <w:tcPr>
            <w:tcW w:w="815" w:type="dxa"/>
            <w:shd w:val="clear" w:color="auto" w:fill="auto"/>
            <w:noWrap/>
            <w:vAlign w:val="center"/>
          </w:tcPr>
          <w:p w:rsidR="00A641D5" w:rsidRPr="005D5525" w:rsidRDefault="00A641D5" w:rsidP="00A641D5">
            <w:pPr>
              <w:jc w:val="right"/>
              <w:rPr>
                <w:b/>
                <w:color w:val="000000"/>
                <w:sz w:val="18"/>
                <w:szCs w:val="18"/>
              </w:rPr>
            </w:pPr>
            <w:r w:rsidRPr="005D5525">
              <w:rPr>
                <w:b/>
                <w:color w:val="000000"/>
                <w:sz w:val="18"/>
                <w:szCs w:val="18"/>
              </w:rPr>
              <w:t>1.84</w:t>
            </w:r>
          </w:p>
        </w:tc>
        <w:tc>
          <w:tcPr>
            <w:tcW w:w="566" w:type="dxa"/>
            <w:shd w:val="clear" w:color="auto" w:fill="auto"/>
            <w:vAlign w:val="center"/>
          </w:tcPr>
          <w:p w:rsidR="00A641D5" w:rsidRPr="005D5525" w:rsidRDefault="00A641D5" w:rsidP="00A641D5">
            <w:pPr>
              <w:jc w:val="right"/>
              <w:rPr>
                <w:b/>
                <w:color w:val="000000"/>
                <w:sz w:val="18"/>
                <w:szCs w:val="18"/>
              </w:rPr>
            </w:pPr>
            <w:r w:rsidRPr="005D5525">
              <w:rPr>
                <w:b/>
                <w:color w:val="000000"/>
                <w:sz w:val="18"/>
                <w:szCs w:val="18"/>
              </w:rPr>
              <w:t>0.84</w:t>
            </w:r>
          </w:p>
        </w:tc>
        <w:tc>
          <w:tcPr>
            <w:tcW w:w="1138" w:type="dxa"/>
            <w:vAlign w:val="center"/>
          </w:tcPr>
          <w:p w:rsidR="00A641D5" w:rsidRDefault="00A641D5" w:rsidP="00A641D5">
            <w:pPr>
              <w:jc w:val="right"/>
              <w:rPr>
                <w:color w:val="000000"/>
                <w:sz w:val="18"/>
                <w:szCs w:val="18"/>
              </w:rPr>
            </w:pPr>
            <w:r>
              <w:rPr>
                <w:color w:val="000000"/>
                <w:sz w:val="18"/>
                <w:szCs w:val="18"/>
              </w:rPr>
              <w:t>0.8381168</w:t>
            </w:r>
          </w:p>
        </w:tc>
        <w:tc>
          <w:tcPr>
            <w:tcW w:w="683" w:type="dxa"/>
            <w:vAlign w:val="center"/>
          </w:tcPr>
          <w:p w:rsidR="00A641D5" w:rsidRDefault="00A641D5" w:rsidP="00A641D5">
            <w:pPr>
              <w:jc w:val="right"/>
              <w:rPr>
                <w:color w:val="000000"/>
                <w:sz w:val="18"/>
                <w:szCs w:val="18"/>
              </w:rPr>
            </w:pPr>
            <w:r>
              <w:rPr>
                <w:color w:val="000000"/>
                <w:sz w:val="18"/>
                <w:szCs w:val="18"/>
              </w:rPr>
              <w:t>0.16</w:t>
            </w:r>
          </w:p>
        </w:tc>
        <w:tc>
          <w:tcPr>
            <w:tcW w:w="566" w:type="dxa"/>
            <w:vAlign w:val="center"/>
          </w:tcPr>
          <w:p w:rsidR="00A641D5" w:rsidRDefault="00A641D5" w:rsidP="00A641D5">
            <w:pPr>
              <w:jc w:val="right"/>
              <w:rPr>
                <w:color w:val="000000"/>
                <w:sz w:val="18"/>
                <w:szCs w:val="18"/>
              </w:rPr>
            </w:pPr>
            <w:r>
              <w:rPr>
                <w:color w:val="000000"/>
                <w:sz w:val="18"/>
                <w:szCs w:val="18"/>
              </w:rPr>
              <w:t>0.06</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germanlo</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0.101393</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0.02</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0.0306244</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0.01</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0.0129603</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0.05</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38" w:type="dxa"/>
            <w:vAlign w:val="center"/>
          </w:tcPr>
          <w:p w:rsidR="00A641D5" w:rsidRDefault="00A641D5" w:rsidP="00A641D5">
            <w:pPr>
              <w:jc w:val="right"/>
              <w:rPr>
                <w:color w:val="000000"/>
                <w:sz w:val="18"/>
                <w:szCs w:val="18"/>
              </w:rPr>
            </w:pPr>
            <w:r>
              <w:rPr>
                <w:color w:val="000000"/>
                <w:sz w:val="18"/>
                <w:szCs w:val="18"/>
              </w:rPr>
              <w:t>0.9214838</w:t>
            </w:r>
          </w:p>
        </w:tc>
        <w:tc>
          <w:tcPr>
            <w:tcW w:w="683" w:type="dxa"/>
            <w:vAlign w:val="center"/>
          </w:tcPr>
          <w:p w:rsidR="00A641D5" w:rsidRDefault="00A641D5" w:rsidP="00A641D5">
            <w:pPr>
              <w:jc w:val="right"/>
              <w:rPr>
                <w:color w:val="000000"/>
                <w:sz w:val="18"/>
                <w:szCs w:val="18"/>
              </w:rPr>
            </w:pPr>
            <w:r>
              <w:rPr>
                <w:color w:val="000000"/>
                <w:sz w:val="18"/>
                <w:szCs w:val="18"/>
              </w:rPr>
              <w:t>0.15</w:t>
            </w:r>
          </w:p>
        </w:tc>
        <w:tc>
          <w:tcPr>
            <w:tcW w:w="566" w:type="dxa"/>
            <w:vAlign w:val="center"/>
          </w:tcPr>
          <w:p w:rsidR="00A641D5" w:rsidRDefault="00A641D5" w:rsidP="00A641D5">
            <w:pPr>
              <w:jc w:val="right"/>
              <w:rPr>
                <w:color w:val="000000"/>
                <w:sz w:val="18"/>
                <w:szCs w:val="18"/>
              </w:rPr>
            </w:pPr>
            <w:r>
              <w:rPr>
                <w:color w:val="000000"/>
                <w:sz w:val="18"/>
                <w:szCs w:val="18"/>
              </w:rPr>
              <w:t>0.05</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mixedlo</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0.9363471</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0.13</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0.2855339</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0.12</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-0.0618223</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-0.13</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38" w:type="dxa"/>
            <w:vAlign w:val="center"/>
          </w:tcPr>
          <w:p w:rsidR="00A641D5" w:rsidRDefault="00A641D5" w:rsidP="00A641D5">
            <w:pPr>
              <w:jc w:val="right"/>
              <w:rPr>
                <w:color w:val="000000"/>
                <w:sz w:val="18"/>
                <w:szCs w:val="18"/>
              </w:rPr>
            </w:pPr>
            <w:r>
              <w:rPr>
                <w:color w:val="000000"/>
                <w:sz w:val="18"/>
                <w:szCs w:val="18"/>
              </w:rPr>
              <w:t>-0.0213024</w:t>
            </w:r>
          </w:p>
        </w:tc>
        <w:tc>
          <w:tcPr>
            <w:tcW w:w="683" w:type="dxa"/>
            <w:vAlign w:val="center"/>
          </w:tcPr>
          <w:p w:rsidR="00A641D5" w:rsidRDefault="00A641D5" w:rsidP="00A641D5">
            <w:pPr>
              <w:jc w:val="right"/>
              <w:rPr>
                <w:color w:val="000000"/>
                <w:sz w:val="18"/>
                <w:szCs w:val="18"/>
              </w:rPr>
            </w:pPr>
            <w:r>
              <w:rPr>
                <w:color w:val="000000"/>
                <w:sz w:val="18"/>
                <w:szCs w:val="18"/>
              </w:rPr>
              <w:t>-0.01</w:t>
            </w:r>
          </w:p>
        </w:tc>
        <w:tc>
          <w:tcPr>
            <w:tcW w:w="566" w:type="dxa"/>
            <w:vAlign w:val="center"/>
          </w:tcPr>
          <w:p w:rsidR="00A641D5" w:rsidRDefault="00A641D5" w:rsidP="00A641D5">
            <w:pPr>
              <w:jc w:val="right"/>
              <w:rPr>
                <w:color w:val="000000"/>
                <w:sz w:val="18"/>
                <w:szCs w:val="18"/>
              </w:rPr>
            </w:pPr>
            <w:r>
              <w:rPr>
                <w:color w:val="000000"/>
                <w:sz w:val="18"/>
                <w:szCs w:val="18"/>
              </w:rPr>
              <w:t>0.04</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r w:rsidRPr="003F7610">
              <w:rPr>
                <w:color w:val="000000"/>
                <w:szCs w:val="18"/>
              </w:rPr>
              <w:t>disclosure</w:t>
            </w:r>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21.45044</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0.49</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0.24</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-0.0449039</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-0.01</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0.6502807</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0.39</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0.18</w:t>
            </w:r>
          </w:p>
        </w:tc>
        <w:tc>
          <w:tcPr>
            <w:tcW w:w="1138" w:type="dxa"/>
            <w:vAlign w:val="center"/>
          </w:tcPr>
          <w:p w:rsidR="00A641D5" w:rsidRDefault="00A641D5" w:rsidP="00A641D5">
            <w:pPr>
              <w:jc w:val="right"/>
              <w:rPr>
                <w:color w:val="000000"/>
                <w:sz w:val="18"/>
                <w:szCs w:val="18"/>
              </w:rPr>
            </w:pPr>
            <w:r>
              <w:rPr>
                <w:color w:val="000000"/>
                <w:sz w:val="18"/>
                <w:szCs w:val="18"/>
              </w:rPr>
              <w:t>7.245904</w:t>
            </w:r>
          </w:p>
        </w:tc>
        <w:tc>
          <w:tcPr>
            <w:tcW w:w="683" w:type="dxa"/>
            <w:vAlign w:val="center"/>
          </w:tcPr>
          <w:p w:rsidR="00A641D5" w:rsidRDefault="00A641D5" w:rsidP="00A641D5">
            <w:pPr>
              <w:jc w:val="right"/>
              <w:rPr>
                <w:color w:val="000000"/>
                <w:sz w:val="18"/>
                <w:szCs w:val="18"/>
              </w:rPr>
            </w:pPr>
            <w:r>
              <w:rPr>
                <w:color w:val="000000"/>
                <w:sz w:val="18"/>
                <w:szCs w:val="18"/>
              </w:rPr>
              <w:t>0.33</w:t>
            </w:r>
          </w:p>
        </w:tc>
        <w:tc>
          <w:tcPr>
            <w:tcW w:w="566" w:type="dxa"/>
            <w:vAlign w:val="center"/>
          </w:tcPr>
          <w:p w:rsidR="00A641D5" w:rsidRDefault="00A641D5" w:rsidP="00A641D5">
            <w:pPr>
              <w:jc w:val="right"/>
              <w:rPr>
                <w:color w:val="000000"/>
                <w:sz w:val="18"/>
                <w:szCs w:val="18"/>
              </w:rPr>
            </w:pPr>
            <w:r>
              <w:rPr>
                <w:color w:val="000000"/>
                <w:sz w:val="18"/>
                <w:szCs w:val="18"/>
              </w:rPr>
              <w:t>0.14</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nanalysts</w:t>
            </w:r>
            <w:proofErr w:type="spellEnd"/>
          </w:p>
        </w:tc>
        <w:tc>
          <w:tcPr>
            <w:tcW w:w="1160" w:type="dxa"/>
            <w:shd w:val="clear" w:color="auto" w:fill="auto"/>
            <w:noWrap/>
            <w:vAlign w:val="center"/>
          </w:tcPr>
          <w:p w:rsidR="00A641D5" w:rsidRPr="00613053" w:rsidRDefault="00A641D5" w:rsidP="00A641D5">
            <w:pPr>
              <w:jc w:val="right"/>
              <w:rPr>
                <w:b/>
                <w:color w:val="000000"/>
                <w:sz w:val="18"/>
                <w:szCs w:val="18"/>
              </w:rPr>
            </w:pPr>
            <w:r w:rsidRPr="00613053">
              <w:rPr>
                <w:b/>
                <w:color w:val="000000"/>
                <w:sz w:val="18"/>
                <w:szCs w:val="18"/>
              </w:rPr>
              <w:t>2.192506</w:t>
            </w:r>
            <w:r w:rsidRPr="00613053">
              <w:rPr>
                <w:rFonts w:hint="eastAsia"/>
                <w:b/>
                <w:color w:val="000000"/>
                <w:sz w:val="18"/>
                <w:szCs w:val="18"/>
              </w:rPr>
              <w:t>*</w:t>
            </w:r>
          </w:p>
        </w:tc>
        <w:tc>
          <w:tcPr>
            <w:tcW w:w="1084" w:type="dxa"/>
            <w:shd w:val="clear" w:color="auto" w:fill="auto"/>
            <w:noWrap/>
            <w:vAlign w:val="center"/>
          </w:tcPr>
          <w:p w:rsidR="00A641D5" w:rsidRPr="00613053" w:rsidRDefault="00A641D5" w:rsidP="00A641D5">
            <w:pPr>
              <w:jc w:val="right"/>
              <w:rPr>
                <w:b/>
                <w:color w:val="000000"/>
                <w:sz w:val="18"/>
                <w:szCs w:val="18"/>
              </w:rPr>
            </w:pPr>
            <w:r w:rsidRPr="00613053">
              <w:rPr>
                <w:b/>
                <w:color w:val="000000"/>
                <w:sz w:val="18"/>
                <w:szCs w:val="18"/>
              </w:rPr>
              <w:t>1.24</w:t>
            </w:r>
          </w:p>
        </w:tc>
        <w:tc>
          <w:tcPr>
            <w:tcW w:w="566" w:type="dxa"/>
            <w:shd w:val="clear" w:color="auto" w:fill="auto"/>
            <w:vAlign w:val="center"/>
          </w:tcPr>
          <w:p w:rsidR="00A641D5" w:rsidRPr="00613053" w:rsidRDefault="00A641D5" w:rsidP="00A641D5">
            <w:pPr>
              <w:jc w:val="right"/>
              <w:rPr>
                <w:b/>
                <w:color w:val="000000"/>
                <w:sz w:val="18"/>
                <w:szCs w:val="18"/>
              </w:rPr>
            </w:pPr>
            <w:r w:rsidRPr="00613053">
              <w:rPr>
                <w:b/>
                <w:color w:val="000000"/>
                <w:sz w:val="18"/>
                <w:szCs w:val="18"/>
              </w:rPr>
              <w:t>0.67</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-0.2212014</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-0.53</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0.27</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0.0070599</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0.24</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0.09</w:t>
            </w:r>
          </w:p>
        </w:tc>
        <w:tc>
          <w:tcPr>
            <w:tcW w:w="1138" w:type="dxa"/>
            <w:vAlign w:val="center"/>
          </w:tcPr>
          <w:p w:rsidR="00A641D5" w:rsidRPr="00613053" w:rsidRDefault="00A641D5" w:rsidP="00A641D5">
            <w:pPr>
              <w:jc w:val="right"/>
              <w:rPr>
                <w:b/>
                <w:color w:val="000000"/>
                <w:sz w:val="18"/>
                <w:szCs w:val="18"/>
              </w:rPr>
            </w:pPr>
            <w:r w:rsidRPr="00613053">
              <w:rPr>
                <w:b/>
                <w:color w:val="000000"/>
                <w:sz w:val="18"/>
                <w:szCs w:val="18"/>
              </w:rPr>
              <w:t>3.93507</w:t>
            </w:r>
            <w:r w:rsidRPr="00613053">
              <w:rPr>
                <w:rFonts w:hint="eastAsia"/>
                <w:b/>
                <w:color w:val="000000"/>
                <w:sz w:val="18"/>
                <w:szCs w:val="18"/>
              </w:rPr>
              <w:t>*</w:t>
            </w:r>
          </w:p>
        </w:tc>
        <w:tc>
          <w:tcPr>
            <w:tcW w:w="683" w:type="dxa"/>
            <w:vAlign w:val="center"/>
          </w:tcPr>
          <w:p w:rsidR="00A641D5" w:rsidRPr="00613053" w:rsidRDefault="00A641D5" w:rsidP="00A641D5">
            <w:pPr>
              <w:jc w:val="right"/>
              <w:rPr>
                <w:b/>
                <w:color w:val="000000"/>
                <w:sz w:val="18"/>
                <w:szCs w:val="18"/>
              </w:rPr>
            </w:pPr>
            <w:r w:rsidRPr="00613053">
              <w:rPr>
                <w:b/>
                <w:color w:val="000000"/>
                <w:sz w:val="18"/>
                <w:szCs w:val="18"/>
              </w:rPr>
              <w:t>4.25</w:t>
            </w:r>
          </w:p>
        </w:tc>
        <w:tc>
          <w:tcPr>
            <w:tcW w:w="566" w:type="dxa"/>
            <w:vAlign w:val="center"/>
          </w:tcPr>
          <w:p w:rsidR="00A641D5" w:rsidRPr="00613053" w:rsidRDefault="00A641D5" w:rsidP="00A641D5">
            <w:pPr>
              <w:jc w:val="right"/>
              <w:rPr>
                <w:b/>
                <w:color w:val="000000"/>
                <w:sz w:val="18"/>
                <w:szCs w:val="18"/>
              </w:rPr>
            </w:pPr>
            <w:r w:rsidRPr="00613053">
              <w:rPr>
                <w:b/>
                <w:color w:val="000000"/>
                <w:sz w:val="18"/>
                <w:szCs w:val="18"/>
              </w:rPr>
              <w:t>0.99</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penforcement</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2.338942</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0.17</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219" w:type="dxa"/>
            <w:shd w:val="clear" w:color="auto" w:fill="auto"/>
            <w:noWrap/>
            <w:vAlign w:val="center"/>
          </w:tcPr>
          <w:p w:rsidR="00A641D5" w:rsidRPr="00613053" w:rsidRDefault="00A641D5" w:rsidP="00A641D5">
            <w:pPr>
              <w:jc w:val="right"/>
              <w:rPr>
                <w:b/>
                <w:color w:val="000000"/>
                <w:sz w:val="18"/>
                <w:szCs w:val="18"/>
              </w:rPr>
            </w:pPr>
            <w:r w:rsidRPr="00613053">
              <w:rPr>
                <w:b/>
                <w:color w:val="000000"/>
                <w:sz w:val="18"/>
                <w:szCs w:val="18"/>
              </w:rPr>
              <w:t>43.37354</w:t>
            </w:r>
            <w:r w:rsidRPr="00613053">
              <w:rPr>
                <w:rFonts w:hint="eastAsia"/>
                <w:b/>
                <w:color w:val="000000"/>
                <w:sz w:val="18"/>
                <w:szCs w:val="18"/>
              </w:rPr>
              <w:t>*</w:t>
            </w:r>
          </w:p>
        </w:tc>
        <w:tc>
          <w:tcPr>
            <w:tcW w:w="949" w:type="dxa"/>
            <w:shd w:val="clear" w:color="auto" w:fill="auto"/>
            <w:noWrap/>
            <w:vAlign w:val="center"/>
          </w:tcPr>
          <w:p w:rsidR="00A641D5" w:rsidRPr="00613053" w:rsidRDefault="00A641D5" w:rsidP="00A641D5">
            <w:pPr>
              <w:jc w:val="right"/>
              <w:rPr>
                <w:b/>
                <w:color w:val="000000"/>
                <w:sz w:val="18"/>
                <w:szCs w:val="18"/>
              </w:rPr>
            </w:pPr>
            <w:r w:rsidRPr="00613053">
              <w:rPr>
                <w:b/>
                <w:color w:val="000000"/>
                <w:sz w:val="18"/>
                <w:szCs w:val="18"/>
              </w:rPr>
              <w:t>2.92</w:t>
            </w:r>
          </w:p>
        </w:tc>
        <w:tc>
          <w:tcPr>
            <w:tcW w:w="682" w:type="dxa"/>
            <w:shd w:val="clear" w:color="auto" w:fill="auto"/>
            <w:vAlign w:val="center"/>
          </w:tcPr>
          <w:p w:rsidR="00A641D5" w:rsidRPr="00613053" w:rsidRDefault="00A641D5" w:rsidP="00A641D5">
            <w:pPr>
              <w:jc w:val="right"/>
              <w:rPr>
                <w:b/>
                <w:color w:val="000000"/>
                <w:sz w:val="18"/>
                <w:szCs w:val="18"/>
              </w:rPr>
            </w:pPr>
            <w:r w:rsidRPr="00613053">
              <w:rPr>
                <w:b/>
                <w:color w:val="000000"/>
                <w:sz w:val="18"/>
                <w:szCs w:val="18"/>
              </w:rPr>
              <w:t>0.96</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0.3049804</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0.28</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0.11</w:t>
            </w:r>
          </w:p>
        </w:tc>
        <w:tc>
          <w:tcPr>
            <w:tcW w:w="1138" w:type="dxa"/>
            <w:vAlign w:val="center"/>
          </w:tcPr>
          <w:p w:rsidR="00A641D5" w:rsidRDefault="00A641D5" w:rsidP="00A641D5">
            <w:pPr>
              <w:jc w:val="right"/>
              <w:rPr>
                <w:color w:val="000000"/>
                <w:sz w:val="18"/>
                <w:szCs w:val="18"/>
              </w:rPr>
            </w:pPr>
            <w:r>
              <w:rPr>
                <w:color w:val="000000"/>
                <w:sz w:val="18"/>
                <w:szCs w:val="18"/>
              </w:rPr>
              <w:t>0.4594175</w:t>
            </w:r>
          </w:p>
        </w:tc>
        <w:tc>
          <w:tcPr>
            <w:tcW w:w="683" w:type="dxa"/>
            <w:vAlign w:val="center"/>
          </w:tcPr>
          <w:p w:rsidR="00A641D5" w:rsidRDefault="00A641D5" w:rsidP="00A641D5">
            <w:pPr>
              <w:jc w:val="right"/>
              <w:rPr>
                <w:color w:val="000000"/>
                <w:sz w:val="18"/>
                <w:szCs w:val="18"/>
              </w:rPr>
            </w:pPr>
            <w:r>
              <w:rPr>
                <w:color w:val="000000"/>
                <w:sz w:val="18"/>
                <w:szCs w:val="18"/>
              </w:rPr>
              <w:t>0.07</w:t>
            </w:r>
          </w:p>
        </w:tc>
        <w:tc>
          <w:tcPr>
            <w:tcW w:w="566" w:type="dxa"/>
            <w:vAlign w:val="center"/>
          </w:tcPr>
          <w:p w:rsidR="00A641D5" w:rsidRDefault="00A641D5" w:rsidP="00A641D5">
            <w:pPr>
              <w:jc w:val="right"/>
              <w:rPr>
                <w:color w:val="000000"/>
                <w:sz w:val="18"/>
                <w:szCs w:val="18"/>
              </w:rPr>
            </w:pPr>
            <w:r>
              <w:rPr>
                <w:color w:val="000000"/>
                <w:sz w:val="18"/>
                <w:szCs w:val="18"/>
              </w:rPr>
              <w:t>0.04</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lang w:val="en-GB"/>
              </w:rPr>
              <w:t>itprosecution</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2.504776</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0.24</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0.09</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0.1702793</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0.08</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0.0068958</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0.04</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38" w:type="dxa"/>
            <w:vAlign w:val="center"/>
          </w:tcPr>
          <w:p w:rsidR="00A641D5" w:rsidRDefault="00A641D5" w:rsidP="00A641D5">
            <w:pPr>
              <w:jc w:val="right"/>
              <w:rPr>
                <w:color w:val="000000"/>
                <w:sz w:val="18"/>
                <w:szCs w:val="18"/>
              </w:rPr>
            </w:pPr>
            <w:r>
              <w:rPr>
                <w:color w:val="000000"/>
                <w:sz w:val="18"/>
                <w:szCs w:val="18"/>
              </w:rPr>
              <w:t>0.5420711</w:t>
            </w:r>
          </w:p>
        </w:tc>
        <w:tc>
          <w:tcPr>
            <w:tcW w:w="683" w:type="dxa"/>
            <w:vAlign w:val="center"/>
          </w:tcPr>
          <w:p w:rsidR="00A641D5" w:rsidRDefault="00A641D5" w:rsidP="00A641D5">
            <w:pPr>
              <w:jc w:val="right"/>
              <w:rPr>
                <w:color w:val="000000"/>
                <w:sz w:val="18"/>
                <w:szCs w:val="18"/>
              </w:rPr>
            </w:pPr>
            <w:r>
              <w:rPr>
                <w:color w:val="000000"/>
                <w:sz w:val="18"/>
                <w:szCs w:val="18"/>
              </w:rPr>
              <w:t>0.12</w:t>
            </w:r>
          </w:p>
        </w:tc>
        <w:tc>
          <w:tcPr>
            <w:tcW w:w="566" w:type="dxa"/>
            <w:vAlign w:val="center"/>
          </w:tcPr>
          <w:p w:rsidR="00A641D5" w:rsidRDefault="00A641D5" w:rsidP="00A641D5">
            <w:pPr>
              <w:jc w:val="right"/>
              <w:rPr>
                <w:color w:val="000000"/>
                <w:sz w:val="18"/>
                <w:szCs w:val="18"/>
              </w:rPr>
            </w:pPr>
            <w:r>
              <w:rPr>
                <w:color w:val="000000"/>
                <w:sz w:val="18"/>
                <w:szCs w:val="18"/>
              </w:rPr>
              <w:t>0.05</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r w:rsidRPr="003F7610">
              <w:rPr>
                <w:color w:val="000000"/>
                <w:szCs w:val="18"/>
              </w:rPr>
              <w:t>property</w:t>
            </w:r>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0.0457797</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0.18</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0.07</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-0.0144485</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-0.16</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0.001283</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0.1</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38" w:type="dxa"/>
            <w:vAlign w:val="center"/>
          </w:tcPr>
          <w:p w:rsidR="00A641D5" w:rsidRDefault="00A641D5" w:rsidP="00A641D5">
            <w:pPr>
              <w:jc w:val="right"/>
              <w:rPr>
                <w:color w:val="000000"/>
                <w:sz w:val="18"/>
                <w:szCs w:val="18"/>
              </w:rPr>
            </w:pPr>
            <w:r>
              <w:rPr>
                <w:color w:val="000000"/>
                <w:sz w:val="18"/>
                <w:szCs w:val="18"/>
              </w:rPr>
              <w:t>0.0625131</w:t>
            </w:r>
          </w:p>
        </w:tc>
        <w:tc>
          <w:tcPr>
            <w:tcW w:w="683" w:type="dxa"/>
            <w:vAlign w:val="center"/>
          </w:tcPr>
          <w:p w:rsidR="00A641D5" w:rsidRDefault="00A641D5" w:rsidP="00A641D5">
            <w:pPr>
              <w:jc w:val="right"/>
              <w:rPr>
                <w:color w:val="000000"/>
                <w:sz w:val="18"/>
                <w:szCs w:val="18"/>
              </w:rPr>
            </w:pPr>
            <w:r>
              <w:rPr>
                <w:color w:val="000000"/>
                <w:sz w:val="18"/>
                <w:szCs w:val="18"/>
              </w:rPr>
              <w:t>0.26</w:t>
            </w:r>
          </w:p>
        </w:tc>
        <w:tc>
          <w:tcPr>
            <w:tcW w:w="566" w:type="dxa"/>
            <w:vAlign w:val="center"/>
          </w:tcPr>
          <w:p w:rsidR="00A641D5" w:rsidRDefault="00A641D5" w:rsidP="00A641D5">
            <w:pPr>
              <w:jc w:val="right"/>
              <w:rPr>
                <w:color w:val="000000"/>
                <w:sz w:val="18"/>
                <w:szCs w:val="18"/>
              </w:rPr>
            </w:pPr>
            <w:r>
              <w:rPr>
                <w:color w:val="000000"/>
                <w:sz w:val="18"/>
                <w:szCs w:val="18"/>
              </w:rPr>
              <w:t>0.1</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r w:rsidRPr="003F7610">
              <w:rPr>
                <w:color w:val="000000"/>
                <w:szCs w:val="18"/>
              </w:rPr>
              <w:t>origin</w:t>
            </w:r>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2.514344</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0.23</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0.08</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-9.257004</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-0.82</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0.47</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0.0034214</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0.02</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38" w:type="dxa"/>
            <w:vAlign w:val="center"/>
          </w:tcPr>
          <w:p w:rsidR="00A641D5" w:rsidRDefault="00A641D5" w:rsidP="00A641D5">
            <w:pPr>
              <w:jc w:val="right"/>
              <w:rPr>
                <w:color w:val="000000"/>
                <w:sz w:val="18"/>
                <w:szCs w:val="18"/>
              </w:rPr>
            </w:pPr>
            <w:r>
              <w:rPr>
                <w:color w:val="000000"/>
                <w:sz w:val="18"/>
                <w:szCs w:val="18"/>
              </w:rPr>
              <w:t>1.342572</w:t>
            </w:r>
          </w:p>
        </w:tc>
        <w:tc>
          <w:tcPr>
            <w:tcW w:w="683" w:type="dxa"/>
            <w:vAlign w:val="center"/>
          </w:tcPr>
          <w:p w:rsidR="00A641D5" w:rsidRDefault="00A641D5" w:rsidP="00A641D5">
            <w:pPr>
              <w:jc w:val="right"/>
              <w:rPr>
                <w:color w:val="000000"/>
                <w:sz w:val="18"/>
                <w:szCs w:val="18"/>
              </w:rPr>
            </w:pPr>
            <w:r>
              <w:rPr>
                <w:color w:val="000000"/>
                <w:sz w:val="18"/>
                <w:szCs w:val="18"/>
              </w:rPr>
              <w:t>0.19</w:t>
            </w:r>
          </w:p>
        </w:tc>
        <w:tc>
          <w:tcPr>
            <w:tcW w:w="566" w:type="dxa"/>
            <w:vAlign w:val="center"/>
          </w:tcPr>
          <w:p w:rsidR="00A641D5" w:rsidRDefault="00A641D5" w:rsidP="00A641D5">
            <w:pPr>
              <w:jc w:val="right"/>
              <w:rPr>
                <w:color w:val="000000"/>
                <w:sz w:val="18"/>
                <w:szCs w:val="18"/>
              </w:rPr>
            </w:pPr>
            <w:r>
              <w:rPr>
                <w:color w:val="000000"/>
                <w:sz w:val="18"/>
                <w:szCs w:val="18"/>
              </w:rPr>
              <w:t>0.07</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r w:rsidRPr="003F7610">
              <w:rPr>
                <w:color w:val="000000"/>
                <w:szCs w:val="18"/>
              </w:rPr>
              <w:t>latitude</w:t>
            </w:r>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4.990144</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0.21</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0.09</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-0.624003</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-0.1</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0.080016</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0.1</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38" w:type="dxa"/>
            <w:vAlign w:val="center"/>
          </w:tcPr>
          <w:p w:rsidR="00A641D5" w:rsidRDefault="00A641D5" w:rsidP="00A641D5">
            <w:pPr>
              <w:jc w:val="right"/>
              <w:rPr>
                <w:color w:val="000000"/>
                <w:sz w:val="18"/>
                <w:szCs w:val="18"/>
              </w:rPr>
            </w:pPr>
            <w:r>
              <w:rPr>
                <w:color w:val="000000"/>
                <w:sz w:val="18"/>
                <w:szCs w:val="18"/>
              </w:rPr>
              <w:t>3.593528</w:t>
            </w:r>
          </w:p>
        </w:tc>
        <w:tc>
          <w:tcPr>
            <w:tcW w:w="683" w:type="dxa"/>
            <w:vAlign w:val="center"/>
          </w:tcPr>
          <w:p w:rsidR="00A641D5" w:rsidRDefault="00A641D5" w:rsidP="00A641D5">
            <w:pPr>
              <w:jc w:val="right"/>
              <w:rPr>
                <w:color w:val="000000"/>
                <w:sz w:val="18"/>
                <w:szCs w:val="18"/>
              </w:rPr>
            </w:pPr>
            <w:r>
              <w:rPr>
                <w:color w:val="000000"/>
                <w:sz w:val="18"/>
                <w:szCs w:val="18"/>
              </w:rPr>
              <w:t>0.23</w:t>
            </w:r>
          </w:p>
        </w:tc>
        <w:tc>
          <w:tcPr>
            <w:tcW w:w="566" w:type="dxa"/>
            <w:vAlign w:val="center"/>
          </w:tcPr>
          <w:p w:rsidR="00A641D5" w:rsidRDefault="00A641D5" w:rsidP="00A641D5">
            <w:pPr>
              <w:jc w:val="right"/>
              <w:rPr>
                <w:color w:val="000000"/>
                <w:sz w:val="18"/>
                <w:szCs w:val="18"/>
              </w:rPr>
            </w:pPr>
            <w:r>
              <w:rPr>
                <w:color w:val="000000"/>
                <w:sz w:val="18"/>
                <w:szCs w:val="18"/>
              </w:rPr>
              <w:t>0.08</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r w:rsidRPr="003F7610">
              <w:rPr>
                <w:color w:val="000000"/>
                <w:szCs w:val="18"/>
              </w:rPr>
              <w:t>catholic</w:t>
            </w:r>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-1.325287</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-0.19</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0.07</w:t>
            </w:r>
          </w:p>
        </w:tc>
        <w:tc>
          <w:tcPr>
            <w:tcW w:w="1219" w:type="dxa"/>
            <w:shd w:val="clear" w:color="auto" w:fill="auto"/>
            <w:noWrap/>
            <w:vAlign w:val="center"/>
          </w:tcPr>
          <w:p w:rsidR="00A641D5" w:rsidRPr="00613053" w:rsidRDefault="00A641D5" w:rsidP="00A641D5">
            <w:pPr>
              <w:jc w:val="right"/>
              <w:rPr>
                <w:b/>
                <w:color w:val="000000"/>
                <w:sz w:val="18"/>
                <w:szCs w:val="18"/>
              </w:rPr>
            </w:pPr>
            <w:r w:rsidRPr="00613053">
              <w:rPr>
                <w:b/>
                <w:color w:val="000000"/>
                <w:sz w:val="18"/>
                <w:szCs w:val="18"/>
              </w:rPr>
              <w:t>-14.86166</w:t>
            </w:r>
            <w:r w:rsidRPr="00613053">
              <w:rPr>
                <w:rFonts w:hint="eastAsia"/>
                <w:b/>
                <w:color w:val="000000"/>
                <w:sz w:val="18"/>
                <w:szCs w:val="18"/>
              </w:rPr>
              <w:t>*</w:t>
            </w:r>
          </w:p>
        </w:tc>
        <w:tc>
          <w:tcPr>
            <w:tcW w:w="949" w:type="dxa"/>
            <w:shd w:val="clear" w:color="auto" w:fill="auto"/>
            <w:noWrap/>
            <w:vAlign w:val="center"/>
          </w:tcPr>
          <w:p w:rsidR="00A641D5" w:rsidRPr="00613053" w:rsidRDefault="00A641D5" w:rsidP="00A641D5">
            <w:pPr>
              <w:jc w:val="right"/>
              <w:rPr>
                <w:b/>
                <w:color w:val="000000"/>
                <w:sz w:val="18"/>
                <w:szCs w:val="18"/>
              </w:rPr>
            </w:pPr>
            <w:r w:rsidRPr="00613053">
              <w:rPr>
                <w:b/>
                <w:color w:val="000000"/>
                <w:sz w:val="18"/>
                <w:szCs w:val="18"/>
              </w:rPr>
              <w:t>-1.54</w:t>
            </w:r>
          </w:p>
        </w:tc>
        <w:tc>
          <w:tcPr>
            <w:tcW w:w="682" w:type="dxa"/>
            <w:shd w:val="clear" w:color="auto" w:fill="auto"/>
            <w:vAlign w:val="center"/>
          </w:tcPr>
          <w:p w:rsidR="00A641D5" w:rsidRPr="00613053" w:rsidRDefault="00A641D5" w:rsidP="00A641D5">
            <w:pPr>
              <w:jc w:val="right"/>
              <w:rPr>
                <w:b/>
                <w:color w:val="000000"/>
                <w:sz w:val="18"/>
                <w:szCs w:val="18"/>
              </w:rPr>
            </w:pPr>
            <w:r w:rsidRPr="00613053">
              <w:rPr>
                <w:b/>
                <w:color w:val="000000"/>
                <w:sz w:val="18"/>
                <w:szCs w:val="18"/>
              </w:rPr>
              <w:t>0.79</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-0.0588643</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-0.2</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0.07</w:t>
            </w:r>
          </w:p>
        </w:tc>
        <w:tc>
          <w:tcPr>
            <w:tcW w:w="1138" w:type="dxa"/>
            <w:vAlign w:val="center"/>
          </w:tcPr>
          <w:p w:rsidR="00A641D5" w:rsidRDefault="00A641D5" w:rsidP="00A641D5">
            <w:pPr>
              <w:jc w:val="right"/>
              <w:rPr>
                <w:color w:val="000000"/>
                <w:sz w:val="18"/>
                <w:szCs w:val="18"/>
              </w:rPr>
            </w:pPr>
            <w:r>
              <w:rPr>
                <w:color w:val="000000"/>
                <w:sz w:val="18"/>
                <w:szCs w:val="18"/>
              </w:rPr>
              <w:t>-3.415822</w:t>
            </w:r>
          </w:p>
        </w:tc>
        <w:tc>
          <w:tcPr>
            <w:tcW w:w="683" w:type="dxa"/>
            <w:vAlign w:val="center"/>
          </w:tcPr>
          <w:p w:rsidR="00A641D5" w:rsidRDefault="00A641D5" w:rsidP="00A641D5">
            <w:pPr>
              <w:jc w:val="right"/>
              <w:rPr>
                <w:color w:val="000000"/>
                <w:sz w:val="18"/>
                <w:szCs w:val="18"/>
              </w:rPr>
            </w:pPr>
            <w:r>
              <w:rPr>
                <w:color w:val="000000"/>
                <w:sz w:val="18"/>
                <w:szCs w:val="18"/>
              </w:rPr>
              <w:t>-0.36</w:t>
            </w:r>
          </w:p>
        </w:tc>
        <w:tc>
          <w:tcPr>
            <w:tcW w:w="566" w:type="dxa"/>
            <w:vAlign w:val="center"/>
          </w:tcPr>
          <w:p w:rsidR="00A641D5" w:rsidRDefault="00A641D5" w:rsidP="00A641D5">
            <w:pPr>
              <w:jc w:val="right"/>
              <w:rPr>
                <w:color w:val="000000"/>
                <w:sz w:val="18"/>
                <w:szCs w:val="18"/>
              </w:rPr>
            </w:pPr>
            <w:r>
              <w:rPr>
                <w:color w:val="000000"/>
                <w:sz w:val="18"/>
                <w:szCs w:val="18"/>
              </w:rPr>
              <w:t>0.15</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r w:rsidRPr="003F7610">
              <w:rPr>
                <w:color w:val="000000"/>
                <w:szCs w:val="18"/>
              </w:rPr>
              <w:t>protestant</w:t>
            </w:r>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0.6023518</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0.1</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-1.628368</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-0.29</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0.12</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-0.0030098</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-0.02</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38" w:type="dxa"/>
            <w:vAlign w:val="center"/>
          </w:tcPr>
          <w:p w:rsidR="00A641D5" w:rsidRDefault="00A641D5" w:rsidP="00A641D5">
            <w:pPr>
              <w:jc w:val="right"/>
              <w:rPr>
                <w:color w:val="000000"/>
                <w:sz w:val="18"/>
                <w:szCs w:val="18"/>
              </w:rPr>
            </w:pPr>
            <w:r>
              <w:rPr>
                <w:color w:val="000000"/>
                <w:sz w:val="18"/>
                <w:szCs w:val="18"/>
              </w:rPr>
              <w:t>2.249285</w:t>
            </w:r>
          </w:p>
        </w:tc>
        <w:tc>
          <w:tcPr>
            <w:tcW w:w="683" w:type="dxa"/>
            <w:vAlign w:val="center"/>
          </w:tcPr>
          <w:p w:rsidR="00A641D5" w:rsidRDefault="00A641D5" w:rsidP="00A641D5">
            <w:pPr>
              <w:jc w:val="right"/>
              <w:rPr>
                <w:color w:val="000000"/>
                <w:sz w:val="18"/>
                <w:szCs w:val="18"/>
              </w:rPr>
            </w:pPr>
            <w:r>
              <w:rPr>
                <w:color w:val="000000"/>
                <w:sz w:val="18"/>
                <w:szCs w:val="18"/>
              </w:rPr>
              <w:t>0.27</w:t>
            </w:r>
          </w:p>
        </w:tc>
        <w:tc>
          <w:tcPr>
            <w:tcW w:w="566" w:type="dxa"/>
            <w:vAlign w:val="center"/>
          </w:tcPr>
          <w:p w:rsidR="00A641D5" w:rsidRDefault="00A641D5" w:rsidP="00A641D5">
            <w:pPr>
              <w:jc w:val="right"/>
              <w:rPr>
                <w:color w:val="000000"/>
                <w:sz w:val="18"/>
                <w:szCs w:val="18"/>
              </w:rPr>
            </w:pPr>
            <w:r>
              <w:rPr>
                <w:color w:val="000000"/>
                <w:sz w:val="18"/>
                <w:szCs w:val="18"/>
              </w:rPr>
              <w:t>0.1</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muslim</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-0.6093499</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-0.1</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-0.1645338</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-0.07</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0.0245376</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0.09</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38" w:type="dxa"/>
            <w:vAlign w:val="center"/>
          </w:tcPr>
          <w:p w:rsidR="00A641D5" w:rsidRDefault="00A641D5" w:rsidP="00A641D5">
            <w:pPr>
              <w:jc w:val="right"/>
              <w:rPr>
                <w:color w:val="000000"/>
                <w:sz w:val="18"/>
                <w:szCs w:val="18"/>
              </w:rPr>
            </w:pPr>
            <w:r>
              <w:rPr>
                <w:color w:val="000000"/>
                <w:sz w:val="18"/>
                <w:szCs w:val="18"/>
              </w:rPr>
              <w:t>-0.2241955</w:t>
            </w:r>
          </w:p>
        </w:tc>
        <w:tc>
          <w:tcPr>
            <w:tcW w:w="683" w:type="dxa"/>
            <w:vAlign w:val="center"/>
          </w:tcPr>
          <w:p w:rsidR="00A641D5" w:rsidRDefault="00A641D5" w:rsidP="00A641D5">
            <w:pPr>
              <w:jc w:val="right"/>
              <w:rPr>
                <w:color w:val="000000"/>
                <w:sz w:val="18"/>
                <w:szCs w:val="18"/>
              </w:rPr>
            </w:pPr>
            <w:r>
              <w:rPr>
                <w:color w:val="000000"/>
                <w:sz w:val="18"/>
                <w:szCs w:val="18"/>
              </w:rPr>
              <w:t>-0.06</w:t>
            </w:r>
          </w:p>
        </w:tc>
        <w:tc>
          <w:tcPr>
            <w:tcW w:w="566" w:type="dxa"/>
            <w:vAlign w:val="center"/>
          </w:tcPr>
          <w:p w:rsidR="00A641D5" w:rsidRDefault="00A641D5" w:rsidP="00A641D5">
            <w:pPr>
              <w:jc w:val="right"/>
              <w:rPr>
                <w:color w:val="000000"/>
                <w:sz w:val="18"/>
                <w:szCs w:val="18"/>
              </w:rPr>
            </w:pPr>
            <w:r>
              <w:rPr>
                <w:color w:val="000000"/>
                <w:sz w:val="18"/>
                <w:szCs w:val="18"/>
              </w:rPr>
              <w:t>0.04</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buddhist</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-8.712656</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-0.37</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0.16</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-0.6287112</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-0.17</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-0.0428049</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-0.12</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38" w:type="dxa"/>
            <w:vAlign w:val="center"/>
          </w:tcPr>
          <w:p w:rsidR="00A641D5" w:rsidRDefault="00A641D5" w:rsidP="00A641D5">
            <w:pPr>
              <w:jc w:val="right"/>
              <w:rPr>
                <w:color w:val="000000"/>
                <w:sz w:val="18"/>
                <w:szCs w:val="18"/>
              </w:rPr>
            </w:pPr>
            <w:r>
              <w:rPr>
                <w:color w:val="000000"/>
                <w:sz w:val="18"/>
                <w:szCs w:val="18"/>
              </w:rPr>
              <w:t>-1.142912</w:t>
            </w:r>
          </w:p>
        </w:tc>
        <w:tc>
          <w:tcPr>
            <w:tcW w:w="683" w:type="dxa"/>
            <w:vAlign w:val="center"/>
          </w:tcPr>
          <w:p w:rsidR="00A641D5" w:rsidRDefault="00A641D5" w:rsidP="00A641D5">
            <w:pPr>
              <w:jc w:val="right"/>
              <w:rPr>
                <w:color w:val="000000"/>
                <w:sz w:val="18"/>
                <w:szCs w:val="18"/>
              </w:rPr>
            </w:pPr>
            <w:r>
              <w:rPr>
                <w:color w:val="000000"/>
                <w:sz w:val="18"/>
                <w:szCs w:val="18"/>
              </w:rPr>
              <w:t>-0.16</w:t>
            </w:r>
          </w:p>
        </w:tc>
        <w:tc>
          <w:tcPr>
            <w:tcW w:w="566" w:type="dxa"/>
            <w:vAlign w:val="center"/>
          </w:tcPr>
          <w:p w:rsidR="00A641D5" w:rsidRDefault="00A641D5" w:rsidP="00A641D5">
            <w:pPr>
              <w:jc w:val="right"/>
              <w:rPr>
                <w:color w:val="000000"/>
                <w:sz w:val="18"/>
                <w:szCs w:val="18"/>
              </w:rPr>
            </w:pPr>
            <w:r>
              <w:rPr>
                <w:color w:val="000000"/>
                <w:sz w:val="18"/>
                <w:szCs w:val="18"/>
              </w:rPr>
              <w:t>0.06</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r w:rsidRPr="003F7610">
              <w:rPr>
                <w:color w:val="000000"/>
                <w:szCs w:val="18"/>
              </w:rPr>
              <w:t>newspaper</w:t>
            </w:r>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0.1254197</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0.04</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-0.0138601</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-0.01</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0.0242873</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0.11</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38" w:type="dxa"/>
            <w:vAlign w:val="center"/>
          </w:tcPr>
          <w:p w:rsidR="00A641D5" w:rsidRDefault="00A641D5" w:rsidP="00A641D5">
            <w:pPr>
              <w:jc w:val="right"/>
              <w:rPr>
                <w:color w:val="000000"/>
                <w:sz w:val="18"/>
                <w:szCs w:val="18"/>
              </w:rPr>
            </w:pPr>
            <w:r>
              <w:rPr>
                <w:color w:val="000000"/>
                <w:sz w:val="18"/>
                <w:szCs w:val="18"/>
              </w:rPr>
              <w:t>1.352092</w:t>
            </w:r>
          </w:p>
        </w:tc>
        <w:tc>
          <w:tcPr>
            <w:tcW w:w="683" w:type="dxa"/>
            <w:vAlign w:val="center"/>
          </w:tcPr>
          <w:p w:rsidR="00A641D5" w:rsidRDefault="00A641D5" w:rsidP="00A641D5">
            <w:pPr>
              <w:jc w:val="right"/>
              <w:rPr>
                <w:color w:val="000000"/>
                <w:sz w:val="18"/>
                <w:szCs w:val="18"/>
              </w:rPr>
            </w:pPr>
            <w:r>
              <w:rPr>
                <w:color w:val="000000"/>
                <w:sz w:val="18"/>
                <w:szCs w:val="18"/>
              </w:rPr>
              <w:t>0.3</w:t>
            </w:r>
          </w:p>
        </w:tc>
        <w:tc>
          <w:tcPr>
            <w:tcW w:w="566" w:type="dxa"/>
            <w:vAlign w:val="center"/>
          </w:tcPr>
          <w:p w:rsidR="00A641D5" w:rsidRDefault="00A641D5" w:rsidP="00A641D5">
            <w:pPr>
              <w:jc w:val="right"/>
              <w:rPr>
                <w:color w:val="000000"/>
                <w:sz w:val="18"/>
                <w:szCs w:val="18"/>
              </w:rPr>
            </w:pPr>
            <w:r>
              <w:rPr>
                <w:color w:val="000000"/>
                <w:sz w:val="18"/>
                <w:szCs w:val="18"/>
              </w:rPr>
              <w:t>0.12</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registercost</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-1.79744</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-0.2</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0.07</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0.7483625</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0.22</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0.08</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-0.0117011</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-0.05</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38" w:type="dxa"/>
            <w:vAlign w:val="center"/>
          </w:tcPr>
          <w:p w:rsidR="00A641D5" w:rsidRDefault="00A641D5" w:rsidP="00A641D5">
            <w:pPr>
              <w:jc w:val="right"/>
              <w:rPr>
                <w:color w:val="000000"/>
                <w:sz w:val="18"/>
                <w:szCs w:val="18"/>
              </w:rPr>
            </w:pPr>
            <w:r>
              <w:rPr>
                <w:color w:val="000000"/>
                <w:sz w:val="18"/>
                <w:szCs w:val="18"/>
              </w:rPr>
              <w:t>-0.1706753</w:t>
            </w:r>
          </w:p>
        </w:tc>
        <w:tc>
          <w:tcPr>
            <w:tcW w:w="683" w:type="dxa"/>
            <w:vAlign w:val="center"/>
          </w:tcPr>
          <w:p w:rsidR="00A641D5" w:rsidRDefault="00A641D5" w:rsidP="00A641D5">
            <w:pPr>
              <w:jc w:val="right"/>
              <w:rPr>
                <w:color w:val="000000"/>
                <w:sz w:val="18"/>
                <w:szCs w:val="18"/>
              </w:rPr>
            </w:pPr>
            <w:r>
              <w:rPr>
                <w:color w:val="000000"/>
                <w:sz w:val="18"/>
                <w:szCs w:val="18"/>
              </w:rPr>
              <w:t>-0.05</w:t>
            </w:r>
          </w:p>
        </w:tc>
        <w:tc>
          <w:tcPr>
            <w:tcW w:w="566" w:type="dxa"/>
            <w:vAlign w:val="center"/>
          </w:tcPr>
          <w:p w:rsidR="00A641D5" w:rsidRDefault="00A641D5" w:rsidP="00A641D5">
            <w:pPr>
              <w:jc w:val="right"/>
              <w:rPr>
                <w:color w:val="000000"/>
                <w:sz w:val="18"/>
                <w:szCs w:val="18"/>
              </w:rPr>
            </w:pPr>
            <w:r>
              <w:rPr>
                <w:color w:val="000000"/>
                <w:sz w:val="18"/>
                <w:szCs w:val="18"/>
              </w:rPr>
              <w:t>0.04</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lang w:val="en-GB"/>
              </w:rPr>
              <w:lastRenderedPageBreak/>
              <w:t>ethnolinguistic</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3.832411</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0.18</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0.08</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0.550641</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0.12</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0.0094652</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0.02</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38" w:type="dxa"/>
            <w:vAlign w:val="center"/>
          </w:tcPr>
          <w:p w:rsidR="00A641D5" w:rsidRDefault="00A641D5" w:rsidP="00A641D5">
            <w:pPr>
              <w:jc w:val="right"/>
              <w:rPr>
                <w:color w:val="000000"/>
                <w:sz w:val="18"/>
                <w:szCs w:val="18"/>
              </w:rPr>
            </w:pPr>
            <w:r>
              <w:rPr>
                <w:color w:val="000000"/>
                <w:sz w:val="18"/>
                <w:szCs w:val="18"/>
              </w:rPr>
              <w:t>0.133577</w:t>
            </w:r>
          </w:p>
        </w:tc>
        <w:tc>
          <w:tcPr>
            <w:tcW w:w="683" w:type="dxa"/>
            <w:vAlign w:val="center"/>
          </w:tcPr>
          <w:p w:rsidR="00A641D5" w:rsidRDefault="00A641D5" w:rsidP="00A641D5">
            <w:pPr>
              <w:jc w:val="right"/>
              <w:rPr>
                <w:color w:val="000000"/>
                <w:sz w:val="18"/>
                <w:szCs w:val="18"/>
              </w:rPr>
            </w:pPr>
            <w:r>
              <w:rPr>
                <w:color w:val="000000"/>
                <w:sz w:val="18"/>
                <w:szCs w:val="18"/>
              </w:rPr>
              <w:t>0.02</w:t>
            </w:r>
          </w:p>
        </w:tc>
        <w:tc>
          <w:tcPr>
            <w:tcW w:w="566" w:type="dxa"/>
            <w:vAlign w:val="center"/>
          </w:tcPr>
          <w:p w:rsidR="00A641D5" w:rsidRDefault="00A641D5" w:rsidP="00A641D5">
            <w:pPr>
              <w:jc w:val="right"/>
              <w:rPr>
                <w:color w:val="000000"/>
                <w:sz w:val="18"/>
                <w:szCs w:val="18"/>
              </w:rPr>
            </w:pPr>
            <w:r>
              <w:rPr>
                <w:color w:val="000000"/>
                <w:sz w:val="18"/>
                <w:szCs w:val="18"/>
              </w:rPr>
              <w:t>0.04</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lang w:val="en-GB"/>
              </w:rPr>
              <w:t>tradeopenness</w:t>
            </w:r>
            <w:proofErr w:type="spellEnd"/>
          </w:p>
        </w:tc>
        <w:tc>
          <w:tcPr>
            <w:tcW w:w="1160" w:type="dxa"/>
            <w:shd w:val="clear" w:color="auto" w:fill="auto"/>
            <w:noWrap/>
            <w:vAlign w:val="center"/>
          </w:tcPr>
          <w:p w:rsidR="00A641D5" w:rsidRPr="00613053" w:rsidRDefault="00A641D5" w:rsidP="00A641D5">
            <w:pPr>
              <w:jc w:val="right"/>
              <w:rPr>
                <w:b/>
                <w:color w:val="000000"/>
                <w:sz w:val="18"/>
                <w:szCs w:val="18"/>
              </w:rPr>
            </w:pPr>
            <w:r w:rsidRPr="00613053">
              <w:rPr>
                <w:b/>
                <w:color w:val="000000"/>
                <w:sz w:val="18"/>
                <w:szCs w:val="18"/>
              </w:rPr>
              <w:t>0.3667119</w:t>
            </w:r>
            <w:r w:rsidRPr="00613053">
              <w:rPr>
                <w:rFonts w:hint="eastAsia"/>
                <w:b/>
                <w:color w:val="000000"/>
                <w:sz w:val="18"/>
                <w:szCs w:val="18"/>
              </w:rPr>
              <w:t>*</w:t>
            </w:r>
          </w:p>
        </w:tc>
        <w:tc>
          <w:tcPr>
            <w:tcW w:w="1084" w:type="dxa"/>
            <w:shd w:val="clear" w:color="auto" w:fill="auto"/>
            <w:noWrap/>
            <w:vAlign w:val="center"/>
          </w:tcPr>
          <w:p w:rsidR="00A641D5" w:rsidRPr="00613053" w:rsidRDefault="00A641D5" w:rsidP="00A641D5">
            <w:pPr>
              <w:jc w:val="right"/>
              <w:rPr>
                <w:b/>
                <w:color w:val="000000"/>
                <w:sz w:val="18"/>
                <w:szCs w:val="18"/>
              </w:rPr>
            </w:pPr>
            <w:r w:rsidRPr="00613053">
              <w:rPr>
                <w:b/>
                <w:color w:val="000000"/>
                <w:sz w:val="18"/>
                <w:szCs w:val="18"/>
              </w:rPr>
              <w:t>1.67</w:t>
            </w:r>
          </w:p>
        </w:tc>
        <w:tc>
          <w:tcPr>
            <w:tcW w:w="566" w:type="dxa"/>
            <w:shd w:val="clear" w:color="auto" w:fill="auto"/>
            <w:vAlign w:val="center"/>
          </w:tcPr>
          <w:p w:rsidR="00A641D5" w:rsidRPr="00613053" w:rsidRDefault="00A641D5" w:rsidP="00A641D5">
            <w:pPr>
              <w:jc w:val="right"/>
              <w:rPr>
                <w:b/>
                <w:color w:val="000000"/>
                <w:sz w:val="18"/>
                <w:szCs w:val="18"/>
              </w:rPr>
            </w:pPr>
            <w:r w:rsidRPr="00613053">
              <w:rPr>
                <w:b/>
                <w:color w:val="000000"/>
                <w:sz w:val="18"/>
                <w:szCs w:val="18"/>
              </w:rPr>
              <w:t>0.81</w:t>
            </w:r>
          </w:p>
        </w:tc>
        <w:tc>
          <w:tcPr>
            <w:tcW w:w="1219" w:type="dxa"/>
            <w:shd w:val="clear" w:color="auto" w:fill="auto"/>
            <w:noWrap/>
            <w:vAlign w:val="center"/>
          </w:tcPr>
          <w:p w:rsidR="00A641D5" w:rsidRPr="00613053" w:rsidRDefault="00A641D5" w:rsidP="00A641D5">
            <w:pPr>
              <w:jc w:val="right"/>
              <w:rPr>
                <w:b/>
                <w:color w:val="000000"/>
                <w:sz w:val="18"/>
                <w:szCs w:val="18"/>
              </w:rPr>
            </w:pPr>
            <w:r w:rsidRPr="00613053">
              <w:rPr>
                <w:b/>
                <w:color w:val="000000"/>
                <w:sz w:val="18"/>
                <w:szCs w:val="18"/>
              </w:rPr>
              <w:t>0.1340797</w:t>
            </w:r>
            <w:r w:rsidRPr="00613053">
              <w:rPr>
                <w:rFonts w:hint="eastAsia"/>
                <w:b/>
                <w:color w:val="000000"/>
                <w:sz w:val="18"/>
                <w:szCs w:val="18"/>
              </w:rPr>
              <w:t>*</w:t>
            </w:r>
          </w:p>
        </w:tc>
        <w:tc>
          <w:tcPr>
            <w:tcW w:w="949" w:type="dxa"/>
            <w:shd w:val="clear" w:color="auto" w:fill="auto"/>
            <w:noWrap/>
            <w:vAlign w:val="center"/>
          </w:tcPr>
          <w:p w:rsidR="00A641D5" w:rsidRPr="00613053" w:rsidRDefault="00A641D5" w:rsidP="00A641D5">
            <w:pPr>
              <w:jc w:val="right"/>
              <w:rPr>
                <w:b/>
                <w:color w:val="000000"/>
                <w:sz w:val="18"/>
                <w:szCs w:val="18"/>
              </w:rPr>
            </w:pPr>
            <w:r w:rsidRPr="00613053">
              <w:rPr>
                <w:b/>
                <w:color w:val="000000"/>
                <w:sz w:val="18"/>
                <w:szCs w:val="18"/>
              </w:rPr>
              <w:t>1.86</w:t>
            </w:r>
          </w:p>
        </w:tc>
        <w:tc>
          <w:tcPr>
            <w:tcW w:w="682" w:type="dxa"/>
            <w:shd w:val="clear" w:color="auto" w:fill="auto"/>
            <w:vAlign w:val="center"/>
          </w:tcPr>
          <w:p w:rsidR="00A641D5" w:rsidRPr="00613053" w:rsidRDefault="00A641D5" w:rsidP="00A641D5">
            <w:pPr>
              <w:jc w:val="right"/>
              <w:rPr>
                <w:b/>
                <w:color w:val="000000"/>
                <w:sz w:val="18"/>
                <w:szCs w:val="18"/>
              </w:rPr>
            </w:pPr>
            <w:r w:rsidRPr="00613053">
              <w:rPr>
                <w:b/>
                <w:color w:val="000000"/>
                <w:sz w:val="18"/>
                <w:szCs w:val="18"/>
              </w:rPr>
              <w:t>0.85</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0.0004609</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0.19</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0.07</w:t>
            </w:r>
          </w:p>
        </w:tc>
        <w:tc>
          <w:tcPr>
            <w:tcW w:w="1138" w:type="dxa"/>
            <w:vAlign w:val="center"/>
          </w:tcPr>
          <w:p w:rsidR="00A641D5" w:rsidRDefault="00A641D5" w:rsidP="00A641D5">
            <w:pPr>
              <w:jc w:val="right"/>
              <w:rPr>
                <w:color w:val="000000"/>
                <w:sz w:val="18"/>
                <w:szCs w:val="18"/>
              </w:rPr>
            </w:pPr>
            <w:r>
              <w:rPr>
                <w:color w:val="000000"/>
                <w:sz w:val="18"/>
                <w:szCs w:val="18"/>
              </w:rPr>
              <w:t>-0.0009832</w:t>
            </w:r>
          </w:p>
        </w:tc>
        <w:tc>
          <w:tcPr>
            <w:tcW w:w="683" w:type="dxa"/>
            <w:vAlign w:val="center"/>
          </w:tcPr>
          <w:p w:rsidR="00A641D5" w:rsidRDefault="00A641D5" w:rsidP="00A641D5">
            <w:pPr>
              <w:jc w:val="right"/>
              <w:rPr>
                <w:color w:val="000000"/>
                <w:sz w:val="18"/>
                <w:szCs w:val="18"/>
              </w:rPr>
            </w:pPr>
            <w:r>
              <w:rPr>
                <w:color w:val="000000"/>
                <w:sz w:val="18"/>
                <w:szCs w:val="18"/>
              </w:rPr>
              <w:t>-0.04</w:t>
            </w:r>
          </w:p>
        </w:tc>
        <w:tc>
          <w:tcPr>
            <w:tcW w:w="566" w:type="dxa"/>
            <w:vAlign w:val="center"/>
          </w:tcPr>
          <w:p w:rsidR="00A641D5" w:rsidRDefault="00A641D5" w:rsidP="00A641D5">
            <w:pPr>
              <w:jc w:val="right"/>
              <w:rPr>
                <w:color w:val="000000"/>
                <w:sz w:val="18"/>
                <w:szCs w:val="18"/>
              </w:rPr>
            </w:pPr>
            <w:r>
              <w:rPr>
                <w:color w:val="000000"/>
                <w:sz w:val="18"/>
                <w:szCs w:val="18"/>
              </w:rPr>
              <w:t>0.04</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r w:rsidRPr="003F7610">
              <w:rPr>
                <w:color w:val="000000"/>
                <w:szCs w:val="18"/>
              </w:rPr>
              <w:t>employment</w:t>
            </w:r>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-10.38397</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-0.33</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0.14</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-1.755256</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-0.23</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0.09</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-0.0048078</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-0.01</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38" w:type="dxa"/>
            <w:vAlign w:val="center"/>
          </w:tcPr>
          <w:p w:rsidR="00A641D5" w:rsidRDefault="00A641D5" w:rsidP="00A641D5">
            <w:pPr>
              <w:jc w:val="right"/>
              <w:rPr>
                <w:color w:val="000000"/>
                <w:sz w:val="18"/>
                <w:szCs w:val="18"/>
              </w:rPr>
            </w:pPr>
            <w:r>
              <w:rPr>
                <w:color w:val="000000"/>
                <w:sz w:val="18"/>
                <w:szCs w:val="18"/>
              </w:rPr>
              <w:t>-1.716961</w:t>
            </w:r>
          </w:p>
        </w:tc>
        <w:tc>
          <w:tcPr>
            <w:tcW w:w="683" w:type="dxa"/>
            <w:vAlign w:val="center"/>
          </w:tcPr>
          <w:p w:rsidR="00A641D5" w:rsidRDefault="00A641D5" w:rsidP="00A641D5">
            <w:pPr>
              <w:jc w:val="right"/>
              <w:rPr>
                <w:color w:val="000000"/>
                <w:sz w:val="18"/>
                <w:szCs w:val="18"/>
              </w:rPr>
            </w:pPr>
            <w:r>
              <w:rPr>
                <w:color w:val="000000"/>
                <w:sz w:val="18"/>
                <w:szCs w:val="18"/>
              </w:rPr>
              <w:t>-0.15</w:t>
            </w:r>
          </w:p>
        </w:tc>
        <w:tc>
          <w:tcPr>
            <w:tcW w:w="566" w:type="dxa"/>
            <w:vAlign w:val="center"/>
          </w:tcPr>
          <w:p w:rsidR="00A641D5" w:rsidRDefault="00A641D5" w:rsidP="00A641D5">
            <w:pPr>
              <w:jc w:val="right"/>
              <w:rPr>
                <w:color w:val="000000"/>
                <w:sz w:val="18"/>
                <w:szCs w:val="18"/>
              </w:rPr>
            </w:pPr>
            <w:r>
              <w:rPr>
                <w:color w:val="000000"/>
                <w:sz w:val="18"/>
                <w:szCs w:val="18"/>
              </w:rPr>
              <w:t>0.06</w:t>
            </w:r>
          </w:p>
        </w:tc>
      </w:tr>
      <w:tr w:rsidR="00A641D5" w:rsidRPr="00234284" w:rsidTr="00A641D5">
        <w:trPr>
          <w:trHeight w:val="270"/>
          <w:jc w:val="center"/>
        </w:trPr>
        <w:tc>
          <w:tcPr>
            <w:tcW w:w="1908" w:type="dxa"/>
            <w:shd w:val="clear" w:color="auto" w:fill="auto"/>
            <w:noWrap/>
            <w:vAlign w:val="center"/>
            <w:hideMark/>
          </w:tcPr>
          <w:p w:rsidR="00A641D5" w:rsidRPr="003F7610" w:rsidRDefault="00A641D5" w:rsidP="00A641D5">
            <w:pPr>
              <w:rPr>
                <w:color w:val="000000"/>
                <w:szCs w:val="18"/>
              </w:rPr>
            </w:pPr>
            <w:proofErr w:type="spellStart"/>
            <w:r w:rsidRPr="003F7610">
              <w:rPr>
                <w:color w:val="000000"/>
                <w:szCs w:val="18"/>
              </w:rPr>
              <w:t>pinstab</w:t>
            </w:r>
            <w:proofErr w:type="spellEnd"/>
          </w:p>
        </w:tc>
        <w:tc>
          <w:tcPr>
            <w:tcW w:w="1160" w:type="dxa"/>
            <w:shd w:val="clear" w:color="auto" w:fill="auto"/>
            <w:noWrap/>
            <w:vAlign w:val="center"/>
          </w:tcPr>
          <w:p w:rsidR="00A641D5" w:rsidRDefault="00A641D5" w:rsidP="00A641D5">
            <w:pPr>
              <w:jc w:val="right"/>
              <w:rPr>
                <w:color w:val="000000"/>
                <w:sz w:val="18"/>
                <w:szCs w:val="18"/>
              </w:rPr>
            </w:pPr>
            <w:r>
              <w:rPr>
                <w:color w:val="000000"/>
                <w:sz w:val="18"/>
                <w:szCs w:val="18"/>
              </w:rPr>
              <w:t>-0.1120533</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-0.02</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219" w:type="dxa"/>
            <w:shd w:val="clear" w:color="auto" w:fill="auto"/>
            <w:noWrap/>
            <w:vAlign w:val="center"/>
          </w:tcPr>
          <w:p w:rsidR="00A641D5" w:rsidRDefault="00A641D5" w:rsidP="00A641D5">
            <w:pPr>
              <w:jc w:val="right"/>
              <w:rPr>
                <w:color w:val="000000"/>
                <w:sz w:val="18"/>
                <w:szCs w:val="18"/>
              </w:rPr>
            </w:pPr>
            <w:r>
              <w:rPr>
                <w:color w:val="000000"/>
                <w:sz w:val="18"/>
                <w:szCs w:val="18"/>
              </w:rPr>
              <w:t>-0.3917351</w:t>
            </w:r>
          </w:p>
        </w:tc>
        <w:tc>
          <w:tcPr>
            <w:tcW w:w="949" w:type="dxa"/>
            <w:shd w:val="clear" w:color="auto" w:fill="auto"/>
            <w:noWrap/>
            <w:vAlign w:val="center"/>
          </w:tcPr>
          <w:p w:rsidR="00A641D5" w:rsidRDefault="00A641D5" w:rsidP="00A641D5">
            <w:pPr>
              <w:jc w:val="right"/>
              <w:rPr>
                <w:color w:val="000000"/>
                <w:sz w:val="18"/>
                <w:szCs w:val="18"/>
              </w:rPr>
            </w:pPr>
            <w:r>
              <w:rPr>
                <w:color w:val="000000"/>
                <w:sz w:val="18"/>
                <w:szCs w:val="18"/>
              </w:rPr>
              <w:t>-0.14</w:t>
            </w:r>
          </w:p>
        </w:tc>
        <w:tc>
          <w:tcPr>
            <w:tcW w:w="682"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9" w:type="dxa"/>
            <w:shd w:val="clear" w:color="auto" w:fill="auto"/>
            <w:noWrap/>
            <w:vAlign w:val="center"/>
          </w:tcPr>
          <w:p w:rsidR="00A641D5" w:rsidRDefault="00A641D5" w:rsidP="00A641D5">
            <w:pPr>
              <w:jc w:val="right"/>
              <w:rPr>
                <w:color w:val="000000"/>
                <w:sz w:val="18"/>
                <w:szCs w:val="18"/>
              </w:rPr>
            </w:pPr>
            <w:r>
              <w:rPr>
                <w:color w:val="000000"/>
                <w:sz w:val="18"/>
                <w:szCs w:val="18"/>
              </w:rPr>
              <w:t>0.1791251</w:t>
            </w:r>
          </w:p>
        </w:tc>
        <w:tc>
          <w:tcPr>
            <w:tcW w:w="815" w:type="dxa"/>
            <w:shd w:val="clear" w:color="auto" w:fill="auto"/>
            <w:noWrap/>
            <w:vAlign w:val="center"/>
          </w:tcPr>
          <w:p w:rsidR="00A641D5" w:rsidRDefault="00A641D5" w:rsidP="00A641D5">
            <w:pPr>
              <w:jc w:val="right"/>
              <w:rPr>
                <w:color w:val="000000"/>
                <w:sz w:val="18"/>
                <w:szCs w:val="18"/>
              </w:rPr>
            </w:pPr>
            <w:r>
              <w:rPr>
                <w:color w:val="000000"/>
                <w:sz w:val="18"/>
                <w:szCs w:val="18"/>
              </w:rPr>
              <w:t>0.25</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0.09</w:t>
            </w:r>
          </w:p>
        </w:tc>
        <w:tc>
          <w:tcPr>
            <w:tcW w:w="1138" w:type="dxa"/>
            <w:vAlign w:val="center"/>
          </w:tcPr>
          <w:p w:rsidR="00A641D5" w:rsidRDefault="00A641D5" w:rsidP="00A641D5">
            <w:pPr>
              <w:jc w:val="right"/>
              <w:rPr>
                <w:color w:val="000000"/>
                <w:sz w:val="18"/>
                <w:szCs w:val="18"/>
              </w:rPr>
            </w:pPr>
            <w:r>
              <w:rPr>
                <w:color w:val="000000"/>
                <w:sz w:val="18"/>
                <w:szCs w:val="18"/>
              </w:rPr>
              <w:t>0.1584461</w:t>
            </w:r>
          </w:p>
        </w:tc>
        <w:tc>
          <w:tcPr>
            <w:tcW w:w="683" w:type="dxa"/>
            <w:vAlign w:val="center"/>
          </w:tcPr>
          <w:p w:rsidR="00A641D5" w:rsidRDefault="00A641D5" w:rsidP="00A641D5">
            <w:pPr>
              <w:jc w:val="right"/>
              <w:rPr>
                <w:color w:val="000000"/>
                <w:sz w:val="18"/>
                <w:szCs w:val="18"/>
              </w:rPr>
            </w:pPr>
            <w:r>
              <w:rPr>
                <w:color w:val="000000"/>
                <w:sz w:val="18"/>
                <w:szCs w:val="18"/>
              </w:rPr>
              <w:t>0.03</w:t>
            </w:r>
          </w:p>
        </w:tc>
        <w:tc>
          <w:tcPr>
            <w:tcW w:w="566" w:type="dxa"/>
            <w:vAlign w:val="center"/>
          </w:tcPr>
          <w:p w:rsidR="00A641D5" w:rsidRDefault="00A641D5" w:rsidP="00A641D5">
            <w:pPr>
              <w:jc w:val="right"/>
              <w:rPr>
                <w:color w:val="000000"/>
                <w:sz w:val="18"/>
                <w:szCs w:val="18"/>
              </w:rPr>
            </w:pPr>
            <w:r>
              <w:rPr>
                <w:color w:val="000000"/>
                <w:sz w:val="18"/>
                <w:szCs w:val="18"/>
              </w:rPr>
              <w:t>0.04</w:t>
            </w:r>
          </w:p>
        </w:tc>
      </w:tr>
      <w:tr w:rsidR="00A641D5" w:rsidRPr="00234284" w:rsidTr="00A641D5">
        <w:trPr>
          <w:trHeight w:val="270"/>
          <w:jc w:val="center"/>
        </w:trPr>
        <w:tc>
          <w:tcPr>
            <w:tcW w:w="1908" w:type="dxa"/>
            <w:shd w:val="clear" w:color="auto" w:fill="auto"/>
            <w:noWrap/>
            <w:vAlign w:val="bottom"/>
            <w:hideMark/>
          </w:tcPr>
          <w:p w:rsidR="00A641D5" w:rsidRPr="003F7610" w:rsidRDefault="00A641D5" w:rsidP="00A641D5">
            <w:pPr>
              <w:widowControl/>
              <w:adjustRightInd w:val="0"/>
              <w:snapToGrid w:val="0"/>
              <w:jc w:val="left"/>
              <w:rPr>
                <w:b/>
                <w:color w:val="000000"/>
                <w:kern w:val="0"/>
                <w:szCs w:val="18"/>
                <w:lang w:val="en-GB"/>
              </w:rPr>
            </w:pPr>
          </w:p>
        </w:tc>
        <w:tc>
          <w:tcPr>
            <w:tcW w:w="1160" w:type="dxa"/>
            <w:shd w:val="clear" w:color="auto" w:fill="auto"/>
            <w:noWrap/>
            <w:vAlign w:val="bottom"/>
          </w:tcPr>
          <w:p w:rsidR="00A641D5" w:rsidRPr="00234284" w:rsidRDefault="00A641D5" w:rsidP="00A641D5">
            <w:pPr>
              <w:widowControl/>
              <w:adjustRightInd w:val="0"/>
              <w:snapToGrid w:val="0"/>
              <w:jc w:val="center"/>
              <w:rPr>
                <w:b/>
                <w:color w:val="000000"/>
                <w:kern w:val="0"/>
                <w:szCs w:val="21"/>
                <w:lang w:val="en-GB"/>
              </w:rPr>
            </w:pPr>
          </w:p>
        </w:tc>
        <w:tc>
          <w:tcPr>
            <w:tcW w:w="1084" w:type="dxa"/>
            <w:shd w:val="clear" w:color="auto" w:fill="auto"/>
            <w:noWrap/>
            <w:vAlign w:val="bottom"/>
          </w:tcPr>
          <w:p w:rsidR="00A641D5" w:rsidRPr="00234284" w:rsidRDefault="00A641D5" w:rsidP="00A641D5">
            <w:pPr>
              <w:widowControl/>
              <w:adjustRightInd w:val="0"/>
              <w:snapToGrid w:val="0"/>
              <w:jc w:val="center"/>
              <w:rPr>
                <w:b/>
                <w:color w:val="000000"/>
                <w:kern w:val="0"/>
                <w:szCs w:val="21"/>
                <w:lang w:val="en-GB"/>
              </w:rPr>
            </w:pPr>
          </w:p>
        </w:tc>
        <w:tc>
          <w:tcPr>
            <w:tcW w:w="566" w:type="dxa"/>
            <w:shd w:val="clear" w:color="auto" w:fill="auto"/>
            <w:vAlign w:val="bottom"/>
          </w:tcPr>
          <w:p w:rsidR="00A641D5" w:rsidRPr="00234284" w:rsidRDefault="00A641D5" w:rsidP="00A641D5">
            <w:pPr>
              <w:widowControl/>
              <w:adjustRightInd w:val="0"/>
              <w:snapToGrid w:val="0"/>
              <w:jc w:val="center"/>
              <w:rPr>
                <w:b/>
                <w:color w:val="000000"/>
                <w:kern w:val="0"/>
                <w:szCs w:val="21"/>
                <w:lang w:val="en-GB"/>
              </w:rPr>
            </w:pPr>
          </w:p>
        </w:tc>
        <w:tc>
          <w:tcPr>
            <w:tcW w:w="1219" w:type="dxa"/>
            <w:shd w:val="clear" w:color="auto" w:fill="auto"/>
            <w:noWrap/>
            <w:vAlign w:val="bottom"/>
          </w:tcPr>
          <w:p w:rsidR="00A641D5" w:rsidRPr="00234284" w:rsidRDefault="00A641D5" w:rsidP="00A641D5">
            <w:pPr>
              <w:widowControl/>
              <w:adjustRightInd w:val="0"/>
              <w:snapToGrid w:val="0"/>
              <w:jc w:val="center"/>
              <w:rPr>
                <w:b/>
                <w:color w:val="000000"/>
                <w:kern w:val="0"/>
                <w:szCs w:val="21"/>
                <w:lang w:val="en-GB"/>
              </w:rPr>
            </w:pPr>
          </w:p>
        </w:tc>
        <w:tc>
          <w:tcPr>
            <w:tcW w:w="949" w:type="dxa"/>
            <w:shd w:val="clear" w:color="auto" w:fill="auto"/>
            <w:noWrap/>
            <w:vAlign w:val="bottom"/>
          </w:tcPr>
          <w:p w:rsidR="00A641D5" w:rsidRPr="00234284" w:rsidRDefault="00A641D5" w:rsidP="00A641D5">
            <w:pPr>
              <w:widowControl/>
              <w:adjustRightInd w:val="0"/>
              <w:snapToGrid w:val="0"/>
              <w:jc w:val="center"/>
              <w:rPr>
                <w:b/>
                <w:color w:val="000000"/>
                <w:kern w:val="0"/>
                <w:szCs w:val="21"/>
                <w:lang w:val="en-GB"/>
              </w:rPr>
            </w:pPr>
          </w:p>
        </w:tc>
        <w:tc>
          <w:tcPr>
            <w:tcW w:w="682" w:type="dxa"/>
            <w:shd w:val="clear" w:color="auto" w:fill="auto"/>
            <w:vAlign w:val="bottom"/>
          </w:tcPr>
          <w:p w:rsidR="00A641D5" w:rsidRPr="00234284" w:rsidRDefault="00A641D5" w:rsidP="00A641D5">
            <w:pPr>
              <w:widowControl/>
              <w:adjustRightInd w:val="0"/>
              <w:snapToGrid w:val="0"/>
              <w:jc w:val="center"/>
              <w:rPr>
                <w:b/>
                <w:color w:val="000000"/>
                <w:kern w:val="0"/>
                <w:szCs w:val="21"/>
                <w:lang w:val="en-GB"/>
              </w:rPr>
            </w:pPr>
          </w:p>
        </w:tc>
        <w:tc>
          <w:tcPr>
            <w:tcW w:w="1179" w:type="dxa"/>
            <w:shd w:val="clear" w:color="auto" w:fill="auto"/>
            <w:noWrap/>
            <w:vAlign w:val="bottom"/>
          </w:tcPr>
          <w:p w:rsidR="00A641D5" w:rsidRPr="00234284" w:rsidRDefault="00A641D5" w:rsidP="00A641D5">
            <w:pPr>
              <w:widowControl/>
              <w:adjustRightInd w:val="0"/>
              <w:snapToGrid w:val="0"/>
              <w:jc w:val="center"/>
              <w:rPr>
                <w:b/>
                <w:color w:val="000000"/>
                <w:kern w:val="0"/>
                <w:szCs w:val="21"/>
                <w:lang w:val="en-GB"/>
              </w:rPr>
            </w:pPr>
          </w:p>
        </w:tc>
        <w:tc>
          <w:tcPr>
            <w:tcW w:w="815" w:type="dxa"/>
            <w:shd w:val="clear" w:color="auto" w:fill="auto"/>
            <w:noWrap/>
            <w:vAlign w:val="bottom"/>
          </w:tcPr>
          <w:p w:rsidR="00A641D5" w:rsidRPr="00234284" w:rsidRDefault="00A641D5" w:rsidP="00A641D5">
            <w:pPr>
              <w:widowControl/>
              <w:adjustRightInd w:val="0"/>
              <w:snapToGrid w:val="0"/>
              <w:jc w:val="center"/>
              <w:rPr>
                <w:b/>
                <w:color w:val="000000"/>
                <w:kern w:val="0"/>
                <w:szCs w:val="21"/>
                <w:lang w:val="en-GB"/>
              </w:rPr>
            </w:pPr>
          </w:p>
        </w:tc>
        <w:tc>
          <w:tcPr>
            <w:tcW w:w="566" w:type="dxa"/>
            <w:shd w:val="clear" w:color="auto" w:fill="auto"/>
            <w:vAlign w:val="bottom"/>
          </w:tcPr>
          <w:p w:rsidR="00A641D5" w:rsidRPr="00234284" w:rsidRDefault="00A641D5" w:rsidP="00A641D5">
            <w:pPr>
              <w:widowControl/>
              <w:adjustRightInd w:val="0"/>
              <w:snapToGrid w:val="0"/>
              <w:jc w:val="center"/>
              <w:rPr>
                <w:b/>
                <w:color w:val="000000"/>
                <w:kern w:val="0"/>
                <w:szCs w:val="21"/>
                <w:lang w:val="en-GB"/>
              </w:rPr>
            </w:pPr>
          </w:p>
        </w:tc>
        <w:tc>
          <w:tcPr>
            <w:tcW w:w="1138" w:type="dxa"/>
            <w:vAlign w:val="bottom"/>
          </w:tcPr>
          <w:p w:rsidR="00A641D5" w:rsidRPr="00234284" w:rsidRDefault="00A641D5" w:rsidP="00A641D5">
            <w:pPr>
              <w:widowControl/>
              <w:adjustRightInd w:val="0"/>
              <w:snapToGrid w:val="0"/>
              <w:jc w:val="center"/>
              <w:rPr>
                <w:b/>
                <w:color w:val="000000"/>
                <w:kern w:val="0"/>
                <w:szCs w:val="21"/>
                <w:lang w:val="en-GB"/>
              </w:rPr>
            </w:pPr>
          </w:p>
        </w:tc>
        <w:tc>
          <w:tcPr>
            <w:tcW w:w="683" w:type="dxa"/>
            <w:vAlign w:val="bottom"/>
          </w:tcPr>
          <w:p w:rsidR="00A641D5" w:rsidRPr="00234284" w:rsidRDefault="00A641D5" w:rsidP="00A641D5">
            <w:pPr>
              <w:widowControl/>
              <w:adjustRightInd w:val="0"/>
              <w:snapToGrid w:val="0"/>
              <w:jc w:val="center"/>
              <w:rPr>
                <w:b/>
                <w:color w:val="000000"/>
                <w:kern w:val="0"/>
                <w:szCs w:val="21"/>
                <w:lang w:val="en-GB"/>
              </w:rPr>
            </w:pPr>
          </w:p>
        </w:tc>
        <w:tc>
          <w:tcPr>
            <w:tcW w:w="566" w:type="dxa"/>
            <w:vAlign w:val="bottom"/>
          </w:tcPr>
          <w:p w:rsidR="00A641D5" w:rsidRPr="00234284" w:rsidRDefault="00A641D5" w:rsidP="00A641D5">
            <w:pPr>
              <w:widowControl/>
              <w:adjustRightInd w:val="0"/>
              <w:snapToGrid w:val="0"/>
              <w:jc w:val="center"/>
              <w:rPr>
                <w:b/>
                <w:color w:val="000000"/>
                <w:kern w:val="0"/>
                <w:szCs w:val="21"/>
                <w:lang w:val="en-GB"/>
              </w:rPr>
            </w:pPr>
          </w:p>
        </w:tc>
      </w:tr>
      <w:tr w:rsidR="00A641D5" w:rsidRPr="00234284" w:rsidTr="00A641D5">
        <w:trPr>
          <w:trHeight w:val="270"/>
          <w:jc w:val="center"/>
        </w:trPr>
        <w:tc>
          <w:tcPr>
            <w:tcW w:w="1908" w:type="dxa"/>
            <w:shd w:val="clear" w:color="auto" w:fill="auto"/>
            <w:noWrap/>
            <w:vAlign w:val="bottom"/>
            <w:hideMark/>
          </w:tcPr>
          <w:p w:rsidR="00A641D5" w:rsidRPr="003F7610" w:rsidRDefault="00A641D5" w:rsidP="00A641D5">
            <w:pPr>
              <w:widowControl/>
              <w:adjustRightInd w:val="0"/>
              <w:snapToGrid w:val="0"/>
              <w:jc w:val="left"/>
              <w:rPr>
                <w:color w:val="000000"/>
                <w:kern w:val="0"/>
                <w:szCs w:val="18"/>
                <w:lang w:val="en-GB"/>
              </w:rPr>
            </w:pPr>
            <w:r w:rsidRPr="003F7610">
              <w:rPr>
                <w:color w:val="000000"/>
                <w:kern w:val="0"/>
                <w:szCs w:val="18"/>
                <w:lang w:val="en-GB"/>
              </w:rPr>
              <w:t>constant</w:t>
            </w:r>
          </w:p>
        </w:tc>
        <w:tc>
          <w:tcPr>
            <w:tcW w:w="1160" w:type="dxa"/>
            <w:shd w:val="clear" w:color="auto" w:fill="auto"/>
            <w:noWrap/>
            <w:vAlign w:val="center"/>
          </w:tcPr>
          <w:p w:rsidR="00A641D5" w:rsidRPr="00234284" w:rsidRDefault="00A641D5" w:rsidP="00A641D5">
            <w:pPr>
              <w:jc w:val="right"/>
              <w:rPr>
                <w:color w:val="000000"/>
                <w:szCs w:val="21"/>
                <w:lang w:val="en-GB"/>
              </w:rPr>
            </w:pPr>
            <w:r>
              <w:rPr>
                <w:color w:val="000000"/>
                <w:sz w:val="18"/>
                <w:szCs w:val="18"/>
              </w:rPr>
              <w:t>-32.31503</w:t>
            </w:r>
          </w:p>
        </w:tc>
        <w:tc>
          <w:tcPr>
            <w:tcW w:w="1084" w:type="dxa"/>
            <w:shd w:val="clear" w:color="auto" w:fill="auto"/>
            <w:noWrap/>
            <w:vAlign w:val="center"/>
          </w:tcPr>
          <w:p w:rsidR="00A641D5" w:rsidRDefault="00A641D5" w:rsidP="00A641D5">
            <w:pPr>
              <w:jc w:val="right"/>
              <w:rPr>
                <w:color w:val="000000"/>
                <w:sz w:val="18"/>
                <w:szCs w:val="18"/>
              </w:rPr>
            </w:pPr>
            <w:r>
              <w:rPr>
                <w:color w:val="000000"/>
                <w:sz w:val="18"/>
                <w:szCs w:val="18"/>
              </w:rPr>
              <w:t>-0.39</w:t>
            </w:r>
          </w:p>
        </w:tc>
        <w:tc>
          <w:tcPr>
            <w:tcW w:w="566" w:type="dxa"/>
            <w:shd w:val="clear" w:color="auto" w:fill="auto"/>
            <w:vAlign w:val="center"/>
          </w:tcPr>
          <w:p w:rsidR="00A641D5" w:rsidRDefault="00A641D5" w:rsidP="00A641D5">
            <w:pPr>
              <w:jc w:val="right"/>
              <w:rPr>
                <w:color w:val="000000"/>
                <w:sz w:val="18"/>
                <w:szCs w:val="18"/>
              </w:rPr>
            </w:pPr>
            <w:r>
              <w:rPr>
                <w:color w:val="000000"/>
                <w:sz w:val="18"/>
                <w:szCs w:val="18"/>
              </w:rPr>
              <w:t>1</w:t>
            </w:r>
          </w:p>
        </w:tc>
        <w:tc>
          <w:tcPr>
            <w:tcW w:w="1219" w:type="dxa"/>
            <w:shd w:val="clear" w:color="auto" w:fill="auto"/>
            <w:noWrap/>
            <w:vAlign w:val="center"/>
          </w:tcPr>
          <w:p w:rsidR="00A641D5" w:rsidRPr="005D5525" w:rsidRDefault="00A641D5" w:rsidP="00A641D5">
            <w:pPr>
              <w:jc w:val="right"/>
              <w:rPr>
                <w:b/>
                <w:color w:val="000000"/>
                <w:szCs w:val="21"/>
                <w:lang w:val="en-GB"/>
              </w:rPr>
            </w:pPr>
            <w:r w:rsidRPr="005D5525">
              <w:rPr>
                <w:b/>
                <w:color w:val="000000"/>
                <w:sz w:val="18"/>
                <w:szCs w:val="18"/>
              </w:rPr>
              <w:t>-110.41</w:t>
            </w:r>
            <w:r w:rsidRPr="005D5525">
              <w:rPr>
                <w:rFonts w:hint="eastAsia"/>
                <w:b/>
                <w:color w:val="000000"/>
                <w:sz w:val="18"/>
                <w:szCs w:val="18"/>
              </w:rPr>
              <w:t>*</w:t>
            </w:r>
          </w:p>
        </w:tc>
        <w:tc>
          <w:tcPr>
            <w:tcW w:w="949" w:type="dxa"/>
            <w:shd w:val="clear" w:color="auto" w:fill="auto"/>
            <w:noWrap/>
            <w:vAlign w:val="center"/>
          </w:tcPr>
          <w:p w:rsidR="00A641D5" w:rsidRPr="005D5525" w:rsidRDefault="00A641D5" w:rsidP="00A641D5">
            <w:pPr>
              <w:jc w:val="right"/>
              <w:rPr>
                <w:b/>
                <w:color w:val="000000"/>
                <w:sz w:val="18"/>
                <w:szCs w:val="18"/>
              </w:rPr>
            </w:pPr>
            <w:r w:rsidRPr="005D5525">
              <w:rPr>
                <w:b/>
                <w:color w:val="000000"/>
                <w:sz w:val="18"/>
                <w:szCs w:val="18"/>
              </w:rPr>
              <w:t>-3.34</w:t>
            </w:r>
          </w:p>
        </w:tc>
        <w:tc>
          <w:tcPr>
            <w:tcW w:w="682" w:type="dxa"/>
            <w:shd w:val="clear" w:color="auto" w:fill="auto"/>
            <w:vAlign w:val="center"/>
          </w:tcPr>
          <w:p w:rsidR="00A641D5" w:rsidRPr="005D5525" w:rsidRDefault="00A641D5" w:rsidP="00A641D5">
            <w:pPr>
              <w:jc w:val="right"/>
              <w:rPr>
                <w:b/>
                <w:color w:val="000000"/>
                <w:sz w:val="18"/>
                <w:szCs w:val="18"/>
              </w:rPr>
            </w:pPr>
            <w:r w:rsidRPr="005D5525">
              <w:rPr>
                <w:b/>
                <w:color w:val="000000"/>
                <w:sz w:val="18"/>
                <w:szCs w:val="18"/>
              </w:rPr>
              <w:t>1</w:t>
            </w:r>
          </w:p>
        </w:tc>
        <w:tc>
          <w:tcPr>
            <w:tcW w:w="1179" w:type="dxa"/>
            <w:shd w:val="clear" w:color="auto" w:fill="auto"/>
            <w:noWrap/>
            <w:vAlign w:val="center"/>
          </w:tcPr>
          <w:p w:rsidR="00A641D5" w:rsidRPr="005D5525" w:rsidRDefault="00A641D5" w:rsidP="00A641D5">
            <w:pPr>
              <w:jc w:val="right"/>
              <w:rPr>
                <w:b/>
                <w:color w:val="000000"/>
                <w:szCs w:val="21"/>
                <w:lang w:val="en-GB"/>
              </w:rPr>
            </w:pPr>
            <w:r w:rsidRPr="005D5525">
              <w:rPr>
                <w:b/>
                <w:color w:val="000000"/>
                <w:sz w:val="18"/>
                <w:szCs w:val="18"/>
              </w:rPr>
              <w:t>-8.566456</w:t>
            </w:r>
            <w:r w:rsidRPr="005D5525">
              <w:rPr>
                <w:rFonts w:hint="eastAsia"/>
                <w:b/>
                <w:color w:val="000000"/>
                <w:sz w:val="18"/>
                <w:szCs w:val="18"/>
              </w:rPr>
              <w:t>*</w:t>
            </w:r>
          </w:p>
        </w:tc>
        <w:tc>
          <w:tcPr>
            <w:tcW w:w="815" w:type="dxa"/>
            <w:shd w:val="clear" w:color="auto" w:fill="auto"/>
            <w:noWrap/>
            <w:vAlign w:val="center"/>
          </w:tcPr>
          <w:p w:rsidR="00A641D5" w:rsidRPr="005D5525" w:rsidRDefault="00A641D5" w:rsidP="00A641D5">
            <w:pPr>
              <w:jc w:val="right"/>
              <w:rPr>
                <w:b/>
                <w:color w:val="000000"/>
                <w:sz w:val="18"/>
                <w:szCs w:val="18"/>
              </w:rPr>
            </w:pPr>
            <w:r w:rsidRPr="005D5525">
              <w:rPr>
                <w:b/>
                <w:color w:val="000000"/>
                <w:sz w:val="18"/>
                <w:szCs w:val="18"/>
              </w:rPr>
              <w:t>-2.54</w:t>
            </w:r>
          </w:p>
        </w:tc>
        <w:tc>
          <w:tcPr>
            <w:tcW w:w="566" w:type="dxa"/>
            <w:shd w:val="clear" w:color="auto" w:fill="auto"/>
            <w:vAlign w:val="center"/>
          </w:tcPr>
          <w:p w:rsidR="00A641D5" w:rsidRPr="005D5525" w:rsidRDefault="00A641D5" w:rsidP="00A641D5">
            <w:pPr>
              <w:jc w:val="right"/>
              <w:rPr>
                <w:b/>
                <w:color w:val="000000"/>
                <w:sz w:val="18"/>
                <w:szCs w:val="18"/>
              </w:rPr>
            </w:pPr>
            <w:r w:rsidRPr="005D5525">
              <w:rPr>
                <w:b/>
                <w:color w:val="000000"/>
                <w:sz w:val="18"/>
                <w:szCs w:val="18"/>
              </w:rPr>
              <w:t>1</w:t>
            </w:r>
          </w:p>
        </w:tc>
        <w:tc>
          <w:tcPr>
            <w:tcW w:w="1138" w:type="dxa"/>
            <w:vAlign w:val="center"/>
          </w:tcPr>
          <w:p w:rsidR="00A641D5" w:rsidRPr="00234284" w:rsidRDefault="00A641D5" w:rsidP="00A641D5">
            <w:pPr>
              <w:jc w:val="right"/>
              <w:rPr>
                <w:b/>
                <w:color w:val="000000"/>
                <w:szCs w:val="21"/>
                <w:lang w:val="en-GB"/>
              </w:rPr>
            </w:pPr>
            <w:r>
              <w:rPr>
                <w:color w:val="000000"/>
                <w:sz w:val="18"/>
                <w:szCs w:val="18"/>
              </w:rPr>
              <w:t>-2.947554</w:t>
            </w:r>
          </w:p>
        </w:tc>
        <w:tc>
          <w:tcPr>
            <w:tcW w:w="683" w:type="dxa"/>
            <w:vAlign w:val="center"/>
          </w:tcPr>
          <w:p w:rsidR="00A641D5" w:rsidRDefault="00A641D5" w:rsidP="00A641D5">
            <w:pPr>
              <w:jc w:val="right"/>
              <w:rPr>
                <w:color w:val="000000"/>
                <w:sz w:val="18"/>
                <w:szCs w:val="18"/>
              </w:rPr>
            </w:pPr>
            <w:r>
              <w:rPr>
                <w:color w:val="000000"/>
                <w:sz w:val="18"/>
                <w:szCs w:val="18"/>
              </w:rPr>
              <w:t>-0.06</w:t>
            </w:r>
          </w:p>
        </w:tc>
        <w:tc>
          <w:tcPr>
            <w:tcW w:w="566" w:type="dxa"/>
            <w:vAlign w:val="center"/>
          </w:tcPr>
          <w:p w:rsidR="00A641D5" w:rsidRDefault="00A641D5" w:rsidP="00A641D5">
            <w:pPr>
              <w:jc w:val="right"/>
              <w:rPr>
                <w:color w:val="000000"/>
                <w:sz w:val="18"/>
                <w:szCs w:val="18"/>
              </w:rPr>
            </w:pPr>
            <w:r>
              <w:rPr>
                <w:color w:val="000000"/>
                <w:sz w:val="18"/>
                <w:szCs w:val="18"/>
              </w:rPr>
              <w:t>1</w:t>
            </w:r>
          </w:p>
        </w:tc>
      </w:tr>
    </w:tbl>
    <w:p w:rsidR="00A641D5" w:rsidRPr="00234284" w:rsidRDefault="00A641D5" w:rsidP="00A641D5">
      <w:pPr>
        <w:tabs>
          <w:tab w:val="right" w:pos="13958"/>
        </w:tabs>
        <w:adjustRightInd w:val="0"/>
        <w:snapToGrid w:val="0"/>
        <w:rPr>
          <w:szCs w:val="21"/>
          <w:lang w:val="en-GB"/>
        </w:rPr>
      </w:pPr>
      <w:r w:rsidRPr="00234284">
        <w:rPr>
          <w:szCs w:val="21"/>
          <w:lang w:val="en-GB"/>
        </w:rPr>
        <w:t xml:space="preserve">Notes: </w:t>
      </w:r>
      <w:r w:rsidRPr="00234284">
        <w:rPr>
          <w:szCs w:val="21"/>
          <w:vertAlign w:val="superscript"/>
          <w:lang w:val="en-GB"/>
        </w:rPr>
        <w:t>a</w:t>
      </w:r>
      <w:r w:rsidRPr="00234284">
        <w:rPr>
          <w:szCs w:val="21"/>
          <w:lang w:val="en-GB"/>
        </w:rPr>
        <w:t xml:space="preserve"> </w:t>
      </w:r>
      <w:proofErr w:type="gramStart"/>
      <w:r w:rsidRPr="00234284">
        <w:rPr>
          <w:szCs w:val="21"/>
          <w:lang w:val="en-GB"/>
        </w:rPr>
        <w:t>The</w:t>
      </w:r>
      <w:proofErr w:type="gramEnd"/>
      <w:r w:rsidRPr="00234284">
        <w:rPr>
          <w:szCs w:val="21"/>
          <w:lang w:val="en-GB"/>
        </w:rPr>
        <w:t xml:space="preserve"> sample includes 48 economies.  </w:t>
      </w:r>
      <w:r w:rsidRPr="00234284">
        <w:rPr>
          <w:szCs w:val="21"/>
          <w:lang w:val="en-GB"/>
        </w:rPr>
        <w:tab/>
      </w:r>
    </w:p>
    <w:p w:rsidR="00A641D5" w:rsidRPr="00234284" w:rsidRDefault="00A641D5" w:rsidP="00A641D5">
      <w:pPr>
        <w:adjustRightInd w:val="0"/>
        <w:snapToGrid w:val="0"/>
        <w:rPr>
          <w:szCs w:val="21"/>
          <w:lang w:val="en-GB"/>
        </w:rPr>
      </w:pPr>
      <w:r w:rsidRPr="00234284">
        <w:rPr>
          <w:szCs w:val="21"/>
          <w:vertAlign w:val="superscript"/>
          <w:lang w:val="en-GB"/>
        </w:rPr>
        <w:t>b</w:t>
      </w:r>
      <w:r w:rsidRPr="00234284">
        <w:rPr>
          <w:szCs w:val="21"/>
          <w:lang w:val="en-GB"/>
        </w:rPr>
        <w:t xml:space="preserve"> The regression estimated is: </w:t>
      </w:r>
      <w:r w:rsidRPr="00234284">
        <w:rPr>
          <w:i/>
          <w:szCs w:val="21"/>
          <w:lang w:val="en-GB"/>
        </w:rPr>
        <w:t>y=</w:t>
      </w:r>
      <w:proofErr w:type="spellStart"/>
      <w:r w:rsidRPr="00234284">
        <w:rPr>
          <w:i/>
          <w:szCs w:val="21"/>
          <w:lang w:val="en-GB"/>
        </w:rPr>
        <w:t>α+Xβ+ε</w:t>
      </w:r>
      <w:proofErr w:type="spellEnd"/>
      <w:r w:rsidRPr="00234284">
        <w:rPr>
          <w:szCs w:val="21"/>
          <w:lang w:val="en-GB"/>
        </w:rPr>
        <w:t>, where the variable</w:t>
      </w:r>
      <w:r w:rsidRPr="00234284">
        <w:rPr>
          <w:i/>
          <w:szCs w:val="21"/>
          <w:lang w:val="en-GB"/>
        </w:rPr>
        <w:t xml:space="preserve"> </w:t>
      </w:r>
      <w:r w:rsidRPr="00234284">
        <w:rPr>
          <w:szCs w:val="21"/>
          <w:lang w:val="en-GB"/>
        </w:rPr>
        <w:t>“</w:t>
      </w:r>
      <w:r w:rsidRPr="00234284">
        <w:rPr>
          <w:i/>
          <w:szCs w:val="21"/>
          <w:lang w:val="en-GB"/>
        </w:rPr>
        <w:t>y</w:t>
      </w:r>
      <w:r w:rsidRPr="00234284">
        <w:rPr>
          <w:szCs w:val="21"/>
          <w:lang w:val="en-GB"/>
        </w:rPr>
        <w:t>” represents four dependent variables, namely</w:t>
      </w:r>
      <w:r>
        <w:rPr>
          <w:szCs w:val="21"/>
          <w:lang w:val="en-GB"/>
        </w:rPr>
        <w:t>,</w:t>
      </w:r>
      <w:r w:rsidRPr="00234284">
        <w:rPr>
          <w:szCs w:val="21"/>
          <w:lang w:val="en-GB"/>
        </w:rPr>
        <w:t xml:space="preserve"> CMMKT, LNLISTED, IPO and TRADE,</w:t>
      </w:r>
      <w:r>
        <w:rPr>
          <w:szCs w:val="21"/>
          <w:lang w:val="en-GB"/>
        </w:rPr>
        <w:t xml:space="preserve"> </w:t>
      </w:r>
      <w:r w:rsidRPr="00234284">
        <w:rPr>
          <w:szCs w:val="21"/>
          <w:lang w:val="en-GB"/>
        </w:rPr>
        <w:t>“</w:t>
      </w:r>
      <w:r w:rsidRPr="00234284">
        <w:rPr>
          <w:i/>
          <w:szCs w:val="21"/>
          <w:lang w:val="en-GB"/>
        </w:rPr>
        <w:t>X</w:t>
      </w:r>
      <w:r w:rsidRPr="00234284">
        <w:rPr>
          <w:szCs w:val="21"/>
          <w:lang w:val="en-GB"/>
        </w:rPr>
        <w:t xml:space="preserve">” is a vector of </w:t>
      </w:r>
      <w:r>
        <w:rPr>
          <w:szCs w:val="21"/>
          <w:lang w:val="en-GB"/>
        </w:rPr>
        <w:t>2</w:t>
      </w:r>
      <w:r>
        <w:rPr>
          <w:rFonts w:hint="eastAsia"/>
          <w:szCs w:val="21"/>
          <w:lang w:val="en-GB"/>
        </w:rPr>
        <w:t>6</w:t>
      </w:r>
      <w:r w:rsidRPr="00234284">
        <w:rPr>
          <w:szCs w:val="21"/>
          <w:lang w:val="en-GB"/>
        </w:rPr>
        <w:t xml:space="preserve"> doubtful variables</w:t>
      </w:r>
      <w:r>
        <w:rPr>
          <w:rFonts w:hint="eastAsia"/>
          <w:szCs w:val="21"/>
          <w:lang w:val="en-GB"/>
        </w:rPr>
        <w:t xml:space="preserve">, </w:t>
      </w:r>
      <w:r>
        <w:rPr>
          <w:szCs w:val="21"/>
          <w:lang w:val="en-GB"/>
        </w:rPr>
        <w:t>and</w:t>
      </w:r>
      <w:r>
        <w:rPr>
          <w:rFonts w:hint="eastAsia"/>
          <w:szCs w:val="21"/>
          <w:lang w:val="en-GB"/>
        </w:rPr>
        <w:t xml:space="preserve"> </w:t>
      </w:r>
      <w:r>
        <w:rPr>
          <w:szCs w:val="21"/>
          <w:lang w:val="en-GB"/>
        </w:rPr>
        <w:t>“</w:t>
      </w:r>
      <w:r w:rsidRPr="00234284">
        <w:rPr>
          <w:i/>
          <w:szCs w:val="21"/>
          <w:lang w:val="en-GB"/>
        </w:rPr>
        <w:t>α</w:t>
      </w:r>
      <w:r>
        <w:rPr>
          <w:szCs w:val="21"/>
          <w:lang w:val="en-GB"/>
        </w:rPr>
        <w:t>”</w:t>
      </w:r>
      <w:r>
        <w:rPr>
          <w:rFonts w:hint="eastAsia"/>
          <w:szCs w:val="21"/>
          <w:lang w:val="en-GB"/>
        </w:rPr>
        <w:t xml:space="preserve"> is the constant term, which is fixed in our model specification</w:t>
      </w:r>
      <w:r w:rsidRPr="00234284">
        <w:rPr>
          <w:szCs w:val="21"/>
          <w:lang w:val="en-GB"/>
        </w:rPr>
        <w:t>.</w:t>
      </w:r>
    </w:p>
    <w:p w:rsidR="00A641D5" w:rsidRPr="00234284" w:rsidRDefault="00A641D5" w:rsidP="00A641D5">
      <w:pPr>
        <w:adjustRightInd w:val="0"/>
        <w:snapToGrid w:val="0"/>
        <w:rPr>
          <w:szCs w:val="21"/>
          <w:lang w:val="en-GB"/>
        </w:rPr>
      </w:pPr>
      <w:proofErr w:type="gramStart"/>
      <w:r w:rsidRPr="00234284">
        <w:rPr>
          <w:szCs w:val="21"/>
          <w:vertAlign w:val="superscript"/>
          <w:lang w:val="en-GB"/>
        </w:rPr>
        <w:t>c</w:t>
      </w:r>
      <w:proofErr w:type="gramEnd"/>
      <w:r w:rsidRPr="00234284">
        <w:rPr>
          <w:szCs w:val="21"/>
          <w:lang w:val="en-GB"/>
        </w:rPr>
        <w:t xml:space="preserve"> For regressions with dependent variables CMMKT, LNLISTED, and TRADE, the </w:t>
      </w:r>
      <w:proofErr w:type="spellStart"/>
      <w:r w:rsidRPr="00234284">
        <w:rPr>
          <w:szCs w:val="21"/>
          <w:lang w:val="en-GB"/>
        </w:rPr>
        <w:t>regressors</w:t>
      </w:r>
      <w:proofErr w:type="spellEnd"/>
      <w:r w:rsidRPr="00234284">
        <w:rPr>
          <w:szCs w:val="21"/>
          <w:lang w:val="en-GB"/>
        </w:rPr>
        <w:t xml:space="preserve"> ITPROSECUTION and TRADEOPENNESS are included with observations for year 1999; for regression</w:t>
      </w:r>
      <w:r>
        <w:rPr>
          <w:szCs w:val="21"/>
          <w:lang w:val="en-GB"/>
        </w:rPr>
        <w:t>s</w:t>
      </w:r>
      <w:r w:rsidRPr="00234284">
        <w:rPr>
          <w:szCs w:val="21"/>
          <w:lang w:val="en-GB"/>
        </w:rPr>
        <w:t xml:space="preserve"> with dependent variable IPO, these two </w:t>
      </w:r>
      <w:proofErr w:type="spellStart"/>
      <w:r w:rsidRPr="00234284">
        <w:rPr>
          <w:szCs w:val="21"/>
          <w:lang w:val="en-GB"/>
        </w:rPr>
        <w:t>regressors</w:t>
      </w:r>
      <w:proofErr w:type="spellEnd"/>
      <w:r w:rsidRPr="00234284">
        <w:rPr>
          <w:szCs w:val="21"/>
          <w:lang w:val="en-GB"/>
        </w:rPr>
        <w:t xml:space="preserve"> are included with observations for year 1996. This strategy reflects the fact that these two subsets of dependent variables cover different time intervals.</w:t>
      </w:r>
    </w:p>
    <w:p w:rsidR="00A641D5" w:rsidRPr="00234284" w:rsidRDefault="00A641D5" w:rsidP="00A641D5">
      <w:pPr>
        <w:adjustRightInd w:val="0"/>
        <w:snapToGrid w:val="0"/>
        <w:rPr>
          <w:szCs w:val="21"/>
          <w:lang w:val="en-GB"/>
        </w:rPr>
      </w:pPr>
      <w:r w:rsidRPr="00234284">
        <w:rPr>
          <w:szCs w:val="21"/>
          <w:vertAlign w:val="superscript"/>
          <w:lang w:val="en-GB"/>
        </w:rPr>
        <w:t>d</w:t>
      </w:r>
      <w:r w:rsidRPr="00234284">
        <w:rPr>
          <w:szCs w:val="21"/>
          <w:lang w:val="en-GB"/>
        </w:rPr>
        <w:t xml:space="preserve"> * indicates that the t-ratio is greater than one in absolute value for free variables and that either t-ratio is greater than one in absolute value or PIP is larger than 0.5 for doubtful variables.</w:t>
      </w:r>
    </w:p>
    <w:p w:rsidR="00A641D5" w:rsidRPr="00A641D5" w:rsidRDefault="00A641D5" w:rsidP="00E82E1F">
      <w:pPr>
        <w:spacing w:line="360" w:lineRule="auto"/>
        <w:rPr>
          <w:sz w:val="24"/>
          <w:szCs w:val="24"/>
          <w:lang w:val="en-GB"/>
        </w:rPr>
      </w:pPr>
    </w:p>
    <w:p w:rsidR="00A641D5" w:rsidRDefault="00A641D5" w:rsidP="00E82E1F">
      <w:pPr>
        <w:spacing w:line="360" w:lineRule="auto"/>
        <w:rPr>
          <w:sz w:val="24"/>
          <w:szCs w:val="24"/>
          <w:lang w:val="en-GB"/>
        </w:rPr>
      </w:pPr>
    </w:p>
    <w:p w:rsidR="00A641D5" w:rsidRDefault="00A641D5" w:rsidP="00E82E1F">
      <w:pPr>
        <w:spacing w:line="360" w:lineRule="auto"/>
        <w:rPr>
          <w:sz w:val="24"/>
          <w:szCs w:val="24"/>
          <w:lang w:val="en-GB"/>
        </w:rPr>
      </w:pPr>
    </w:p>
    <w:p w:rsidR="00A641D5" w:rsidRDefault="00A641D5" w:rsidP="00E82E1F">
      <w:pPr>
        <w:spacing w:line="360" w:lineRule="auto"/>
        <w:rPr>
          <w:sz w:val="24"/>
          <w:szCs w:val="24"/>
          <w:lang w:val="en-GB"/>
        </w:rPr>
      </w:pPr>
    </w:p>
    <w:p w:rsidR="00A641D5" w:rsidRDefault="00A641D5" w:rsidP="00E82E1F">
      <w:pPr>
        <w:spacing w:line="360" w:lineRule="auto"/>
        <w:rPr>
          <w:sz w:val="24"/>
          <w:szCs w:val="24"/>
          <w:lang w:val="en-GB"/>
        </w:rPr>
      </w:pPr>
    </w:p>
    <w:p w:rsidR="00A641D5" w:rsidRDefault="00A641D5" w:rsidP="00E82E1F">
      <w:pPr>
        <w:spacing w:line="360" w:lineRule="auto"/>
        <w:rPr>
          <w:sz w:val="24"/>
          <w:szCs w:val="24"/>
          <w:lang w:val="en-GB"/>
        </w:rPr>
        <w:sectPr w:rsidR="00A641D5" w:rsidSect="00A641D5">
          <w:footnotePr>
            <w:numFmt w:val="chicago"/>
            <w:numRestart w:val="eachSect"/>
          </w:footnotePr>
          <w:pgSz w:w="16838" w:h="11906" w:orient="landscape"/>
          <w:pgMar w:top="1440" w:right="1800" w:bottom="1440" w:left="1800" w:header="851" w:footer="992" w:gutter="0"/>
          <w:cols w:space="720"/>
          <w:docGrid w:type="lines" w:linePitch="312"/>
        </w:sectPr>
      </w:pPr>
    </w:p>
    <w:p w:rsidR="00E07BF9" w:rsidRDefault="00E07BF9" w:rsidP="00E07BF9">
      <w:pPr>
        <w:spacing w:beforeLines="100"/>
        <w:mirrorIndents/>
        <w:rPr>
          <w:rFonts w:hint="eastAsia"/>
          <w:sz w:val="24"/>
          <w:szCs w:val="24"/>
          <w:lang w:val="en-GB"/>
        </w:rPr>
      </w:pPr>
      <w:r w:rsidRPr="00E82E1F">
        <w:rPr>
          <w:sz w:val="24"/>
          <w:szCs w:val="24"/>
          <w:lang w:val="en-GB"/>
        </w:rPr>
        <w:lastRenderedPageBreak/>
        <w:t xml:space="preserve">Thirdly, GDPPERCAPITA (t-statistics=2.67) and COMMONLO (t=1.84) have significant correlation with the dependent variable IPO as is reported in Panel C. The positive effect of COMMONLO on IPO </w:t>
      </w:r>
      <w:r w:rsidRPr="00E82E1F">
        <w:rPr>
          <w:sz w:val="24"/>
          <w:szCs w:val="24"/>
        </w:rPr>
        <w:t xml:space="preserve">suggests that common law countries have relatively large IPO markets and </w:t>
      </w:r>
      <w:r w:rsidRPr="00E82E1F">
        <w:rPr>
          <w:sz w:val="24"/>
          <w:szCs w:val="24"/>
          <w:lang w:val="en-GB"/>
        </w:rPr>
        <w:t>provides supporting evidence to legal origin theory. Finally, in Panel D, NANALYSTS (t=4.25) is significant in explaining TRADE, the proxy for stock market liquidity. The results show that securities analysts’ efforts in finding new information and monitoring are crucial for encouraging investors to participate in trading in the stock markets.</w:t>
      </w:r>
    </w:p>
    <w:p w:rsidR="00E07BF9" w:rsidRDefault="0076719D" w:rsidP="00E07BF9">
      <w:pPr>
        <w:spacing w:beforeLines="100"/>
        <w:mirrorIndents/>
        <w:rPr>
          <w:rFonts w:hint="eastAsia"/>
          <w:b/>
          <w:sz w:val="28"/>
          <w:szCs w:val="24"/>
          <w:lang w:val="en-GB"/>
        </w:rPr>
      </w:pPr>
      <w:r w:rsidRPr="00E07BF9">
        <w:rPr>
          <w:b/>
          <w:sz w:val="28"/>
          <w:szCs w:val="24"/>
          <w:lang w:val="en-GB"/>
        </w:rPr>
        <w:t xml:space="preserve">5. Robustness check </w:t>
      </w:r>
    </w:p>
    <w:p w:rsidR="00E07BF9" w:rsidRDefault="008A585E" w:rsidP="00E07BF9">
      <w:pPr>
        <w:spacing w:beforeLines="100"/>
        <w:mirrorIndents/>
        <w:rPr>
          <w:rFonts w:hint="eastAsia"/>
          <w:sz w:val="24"/>
          <w:szCs w:val="24"/>
          <w:lang w:val="en-GB"/>
        </w:rPr>
      </w:pPr>
      <w:r w:rsidRPr="00E82E1F">
        <w:rPr>
          <w:sz w:val="24"/>
          <w:szCs w:val="24"/>
          <w:lang w:val="en-GB"/>
        </w:rPr>
        <w:t>In this section, we show that our conclusions are robust to the varied data set and</w:t>
      </w:r>
      <w:r w:rsidR="006D13C1" w:rsidRPr="00E82E1F">
        <w:rPr>
          <w:sz w:val="24"/>
          <w:szCs w:val="24"/>
          <w:lang w:val="en-GB"/>
        </w:rPr>
        <w:t xml:space="preserve"> </w:t>
      </w:r>
      <w:r w:rsidR="00EE2EFA" w:rsidRPr="00E82E1F">
        <w:rPr>
          <w:sz w:val="24"/>
          <w:szCs w:val="24"/>
          <w:lang w:val="en-GB"/>
        </w:rPr>
        <w:t xml:space="preserve">empirical </w:t>
      </w:r>
      <w:r w:rsidR="006D13C1" w:rsidRPr="00E82E1F">
        <w:rPr>
          <w:sz w:val="24"/>
          <w:szCs w:val="24"/>
          <w:lang w:val="en-GB"/>
        </w:rPr>
        <w:t>method</w:t>
      </w:r>
      <w:r w:rsidRPr="00E82E1F">
        <w:rPr>
          <w:sz w:val="24"/>
          <w:szCs w:val="24"/>
          <w:lang w:val="en-GB"/>
        </w:rPr>
        <w:t>. On one hand, some of the theoretical determinants of stock market development are excluded</w:t>
      </w:r>
      <w:r w:rsidR="00EE2EFA" w:rsidRPr="00E82E1F">
        <w:rPr>
          <w:sz w:val="24"/>
          <w:szCs w:val="24"/>
          <w:lang w:val="en-GB"/>
        </w:rPr>
        <w:t xml:space="preserve"> in the previous analysis</w:t>
      </w:r>
      <w:r w:rsidRPr="00E82E1F">
        <w:rPr>
          <w:sz w:val="24"/>
          <w:szCs w:val="24"/>
          <w:lang w:val="en-GB"/>
        </w:rPr>
        <w:t xml:space="preserve"> due to missing observations. </w:t>
      </w:r>
      <w:r w:rsidR="00BC0297" w:rsidRPr="00E82E1F">
        <w:rPr>
          <w:sz w:val="24"/>
          <w:szCs w:val="24"/>
          <w:lang w:val="en-GB"/>
        </w:rPr>
        <w:t xml:space="preserve">In section 5.1., </w:t>
      </w:r>
      <w:r w:rsidR="00183EC6" w:rsidRPr="00E82E1F">
        <w:rPr>
          <w:sz w:val="24"/>
          <w:szCs w:val="24"/>
          <w:lang w:val="en-GB"/>
        </w:rPr>
        <w:t xml:space="preserve">we </w:t>
      </w:r>
      <w:r w:rsidR="00CB1E48" w:rsidRPr="00E82E1F">
        <w:rPr>
          <w:sz w:val="24"/>
          <w:szCs w:val="24"/>
          <w:lang w:val="en-GB"/>
        </w:rPr>
        <w:t xml:space="preserve">therefore </w:t>
      </w:r>
      <w:r w:rsidRPr="00E82E1F">
        <w:rPr>
          <w:sz w:val="24"/>
          <w:szCs w:val="24"/>
          <w:lang w:val="en-GB"/>
        </w:rPr>
        <w:t>employ</w:t>
      </w:r>
      <w:r w:rsidR="00183EC6" w:rsidRPr="00E82E1F">
        <w:rPr>
          <w:sz w:val="24"/>
          <w:szCs w:val="24"/>
          <w:lang w:val="en-GB"/>
        </w:rPr>
        <w:t xml:space="preserve"> two indices </w:t>
      </w:r>
      <w:r w:rsidR="00CD24D6" w:rsidRPr="00E82E1F">
        <w:rPr>
          <w:sz w:val="24"/>
          <w:szCs w:val="24"/>
          <w:lang w:val="en-GB"/>
        </w:rPr>
        <w:t>updated</w:t>
      </w:r>
      <w:r w:rsidR="00183EC6" w:rsidRPr="00E82E1F">
        <w:rPr>
          <w:sz w:val="24"/>
          <w:szCs w:val="24"/>
          <w:lang w:val="en-GB"/>
        </w:rPr>
        <w:t xml:space="preserve"> by </w:t>
      </w:r>
      <w:proofErr w:type="spellStart"/>
      <w:r w:rsidR="00183EC6" w:rsidRPr="00E82E1F">
        <w:rPr>
          <w:sz w:val="24"/>
          <w:szCs w:val="24"/>
          <w:lang w:val="en-GB"/>
        </w:rPr>
        <w:t>Spamann</w:t>
      </w:r>
      <w:proofErr w:type="spellEnd"/>
      <w:r w:rsidR="00183EC6" w:rsidRPr="00E82E1F">
        <w:rPr>
          <w:sz w:val="24"/>
          <w:szCs w:val="24"/>
          <w:lang w:val="en-GB"/>
        </w:rPr>
        <w:t xml:space="preserve"> (2010)</w:t>
      </w:r>
      <w:r w:rsidR="00CD24D6" w:rsidRPr="00E82E1F">
        <w:rPr>
          <w:sz w:val="24"/>
          <w:szCs w:val="24"/>
          <w:lang w:val="en-GB"/>
        </w:rPr>
        <w:t xml:space="preserve"> and one</w:t>
      </w:r>
      <w:r w:rsidR="00080746" w:rsidRPr="00E82E1F">
        <w:rPr>
          <w:sz w:val="24"/>
          <w:szCs w:val="24"/>
          <w:lang w:val="en-GB"/>
        </w:rPr>
        <w:t xml:space="preserve"> constructed</w:t>
      </w:r>
      <w:r w:rsidR="00CD24D6" w:rsidRPr="00E82E1F">
        <w:rPr>
          <w:sz w:val="24"/>
          <w:szCs w:val="24"/>
          <w:lang w:val="en-GB"/>
        </w:rPr>
        <w:t xml:space="preserve"> by Jackson and Roe (2009). </w:t>
      </w:r>
      <w:r w:rsidRPr="00E82E1F">
        <w:rPr>
          <w:sz w:val="24"/>
          <w:szCs w:val="24"/>
          <w:lang w:val="en-GB"/>
        </w:rPr>
        <w:t>On the other</w:t>
      </w:r>
      <w:r w:rsidR="00DB4924" w:rsidRPr="00E82E1F">
        <w:rPr>
          <w:sz w:val="24"/>
          <w:szCs w:val="24"/>
          <w:lang w:val="en-GB"/>
        </w:rPr>
        <w:t>,</w:t>
      </w:r>
      <w:r w:rsidRPr="00E82E1F">
        <w:rPr>
          <w:sz w:val="24"/>
          <w:szCs w:val="24"/>
          <w:lang w:val="en-GB"/>
        </w:rPr>
        <w:t xml:space="preserve"> </w:t>
      </w:r>
      <w:r w:rsidR="006D13C1" w:rsidRPr="00E82E1F">
        <w:rPr>
          <w:sz w:val="24"/>
          <w:szCs w:val="24"/>
          <w:lang w:val="en-GB"/>
        </w:rPr>
        <w:t xml:space="preserve">we analyze the question from a </w:t>
      </w:r>
      <w:r w:rsidRPr="00E82E1F">
        <w:rPr>
          <w:sz w:val="24"/>
          <w:szCs w:val="24"/>
          <w:lang w:val="en-GB"/>
        </w:rPr>
        <w:t>variable selection</w:t>
      </w:r>
      <w:r w:rsidR="006D13C1" w:rsidRPr="00E82E1F">
        <w:rPr>
          <w:sz w:val="24"/>
          <w:szCs w:val="24"/>
          <w:lang w:val="en-GB"/>
        </w:rPr>
        <w:t xml:space="preserve"> perspective</w:t>
      </w:r>
      <w:r w:rsidRPr="00E82E1F">
        <w:rPr>
          <w:sz w:val="24"/>
          <w:szCs w:val="24"/>
          <w:lang w:val="en-GB"/>
        </w:rPr>
        <w:t>. I</w:t>
      </w:r>
      <w:r w:rsidR="00CD24D6" w:rsidRPr="00E82E1F">
        <w:rPr>
          <w:sz w:val="24"/>
          <w:szCs w:val="24"/>
          <w:lang w:val="en-GB"/>
        </w:rPr>
        <w:t xml:space="preserve">n </w:t>
      </w:r>
      <w:r w:rsidR="00283B12" w:rsidRPr="00E82E1F">
        <w:rPr>
          <w:sz w:val="24"/>
          <w:szCs w:val="24"/>
          <w:lang w:val="en-GB"/>
        </w:rPr>
        <w:t xml:space="preserve">section </w:t>
      </w:r>
      <w:r w:rsidR="00CD24D6" w:rsidRPr="00E82E1F">
        <w:rPr>
          <w:sz w:val="24"/>
          <w:szCs w:val="24"/>
          <w:lang w:val="en-GB"/>
        </w:rPr>
        <w:t>5.2., we employ</w:t>
      </w:r>
      <w:r w:rsidR="00283B12" w:rsidRPr="00E82E1F">
        <w:rPr>
          <w:sz w:val="24"/>
          <w:szCs w:val="24"/>
          <w:lang w:val="en-GB"/>
        </w:rPr>
        <w:t xml:space="preserve"> </w:t>
      </w:r>
      <w:r w:rsidR="006D13C1" w:rsidRPr="00E82E1F">
        <w:rPr>
          <w:sz w:val="24"/>
          <w:szCs w:val="24"/>
          <w:lang w:val="en-GB"/>
        </w:rPr>
        <w:t>SBE</w:t>
      </w:r>
      <w:r w:rsidR="00283B12" w:rsidRPr="00E82E1F">
        <w:rPr>
          <w:sz w:val="24"/>
          <w:szCs w:val="24"/>
          <w:lang w:val="en-GB"/>
        </w:rPr>
        <w:t xml:space="preserve"> to </w:t>
      </w:r>
      <w:r w:rsidRPr="00E82E1F">
        <w:rPr>
          <w:sz w:val="24"/>
          <w:szCs w:val="24"/>
          <w:lang w:val="en-GB"/>
        </w:rPr>
        <w:t xml:space="preserve">show that our conclusions are not driven by the </w:t>
      </w:r>
      <w:r w:rsidR="00966924" w:rsidRPr="00E82E1F">
        <w:rPr>
          <w:sz w:val="24"/>
          <w:szCs w:val="24"/>
          <w:lang w:val="en-GB"/>
        </w:rPr>
        <w:t>Bayesian</w:t>
      </w:r>
      <w:r w:rsidRPr="00E82E1F">
        <w:rPr>
          <w:sz w:val="24"/>
          <w:szCs w:val="24"/>
          <w:lang w:val="en-GB"/>
        </w:rPr>
        <w:t xml:space="preserve"> algorithm. </w:t>
      </w:r>
    </w:p>
    <w:p w:rsidR="00E07BF9" w:rsidRDefault="00D86931" w:rsidP="00E07BF9">
      <w:pPr>
        <w:spacing w:beforeLines="100"/>
        <w:mirrorIndents/>
        <w:rPr>
          <w:rFonts w:hint="eastAsia"/>
          <w:b/>
          <w:sz w:val="24"/>
          <w:szCs w:val="24"/>
          <w:lang w:val="en-GB"/>
        </w:rPr>
      </w:pPr>
      <w:r w:rsidRPr="00E82E1F">
        <w:rPr>
          <w:b/>
          <w:sz w:val="24"/>
          <w:szCs w:val="24"/>
          <w:lang w:val="en-GB"/>
        </w:rPr>
        <w:t xml:space="preserve">5.1. BMA </w:t>
      </w:r>
      <w:r w:rsidR="00AD69BF" w:rsidRPr="00E82E1F">
        <w:rPr>
          <w:b/>
          <w:sz w:val="24"/>
          <w:szCs w:val="24"/>
          <w:lang w:val="en-GB"/>
        </w:rPr>
        <w:t xml:space="preserve">analysis </w:t>
      </w:r>
      <w:r w:rsidRPr="00E82E1F">
        <w:rPr>
          <w:b/>
          <w:sz w:val="24"/>
          <w:szCs w:val="24"/>
          <w:lang w:val="en-GB"/>
        </w:rPr>
        <w:t xml:space="preserve">with </w:t>
      </w:r>
      <w:r w:rsidR="00AD69BF" w:rsidRPr="00E82E1F">
        <w:rPr>
          <w:b/>
          <w:sz w:val="24"/>
          <w:szCs w:val="24"/>
          <w:lang w:val="en-GB"/>
        </w:rPr>
        <w:t>a different sample</w:t>
      </w:r>
      <w:bookmarkStart w:id="72" w:name="OLE_LINK24"/>
      <w:bookmarkStart w:id="73" w:name="OLE_LINK25"/>
    </w:p>
    <w:p w:rsidR="00D86931" w:rsidRDefault="00E349E4" w:rsidP="00E07BF9">
      <w:pPr>
        <w:spacing w:beforeLines="100"/>
        <w:mirrorIndents/>
        <w:rPr>
          <w:rFonts w:hint="eastAsia"/>
          <w:sz w:val="24"/>
          <w:szCs w:val="24"/>
          <w:lang w:val="en-GB"/>
        </w:rPr>
      </w:pPr>
      <w:proofErr w:type="spellStart"/>
      <w:r w:rsidRPr="00E82E1F">
        <w:rPr>
          <w:sz w:val="24"/>
          <w:szCs w:val="24"/>
          <w:lang w:val="en-GB"/>
        </w:rPr>
        <w:t>Spamann</w:t>
      </w:r>
      <w:proofErr w:type="spellEnd"/>
      <w:r w:rsidRPr="00E82E1F">
        <w:rPr>
          <w:sz w:val="24"/>
          <w:szCs w:val="24"/>
          <w:lang w:val="en-GB"/>
        </w:rPr>
        <w:t xml:space="preserve"> (2010) updates</w:t>
      </w:r>
      <w:r w:rsidR="00450F3C" w:rsidRPr="00E82E1F">
        <w:rPr>
          <w:sz w:val="24"/>
          <w:szCs w:val="24"/>
          <w:lang w:val="en-GB"/>
        </w:rPr>
        <w:t xml:space="preserve"> two indices</w:t>
      </w:r>
      <w:r w:rsidRPr="00E82E1F">
        <w:rPr>
          <w:sz w:val="24"/>
          <w:szCs w:val="24"/>
          <w:lang w:val="en-GB"/>
        </w:rPr>
        <w:t xml:space="preserve"> </w:t>
      </w:r>
      <w:r w:rsidR="00F332BD" w:rsidRPr="00E82E1F">
        <w:rPr>
          <w:sz w:val="24"/>
          <w:szCs w:val="24"/>
          <w:lang w:val="en-GB"/>
        </w:rPr>
        <w:t>ONEVOTE and ANTIDRI proposed by LLSV (1998)</w:t>
      </w:r>
      <w:r w:rsidRPr="00E82E1F">
        <w:rPr>
          <w:sz w:val="24"/>
          <w:szCs w:val="24"/>
          <w:lang w:val="en-GB"/>
        </w:rPr>
        <w:t xml:space="preserve">. </w:t>
      </w:r>
      <w:r w:rsidR="00450F3C" w:rsidRPr="00E82E1F">
        <w:rPr>
          <w:sz w:val="24"/>
          <w:szCs w:val="24"/>
          <w:lang w:val="en-GB"/>
        </w:rPr>
        <w:t>H</w:t>
      </w:r>
      <w:r w:rsidR="00CF033F" w:rsidRPr="00E82E1F">
        <w:rPr>
          <w:sz w:val="24"/>
          <w:szCs w:val="24"/>
          <w:lang w:val="en-GB"/>
        </w:rPr>
        <w:t xml:space="preserve">e finds that the original </w:t>
      </w:r>
      <w:bookmarkStart w:id="74" w:name="OLE_LINK66"/>
      <w:bookmarkStart w:id="75" w:name="OLE_LINK67"/>
      <w:r w:rsidR="00CF033F" w:rsidRPr="00E82E1F">
        <w:rPr>
          <w:sz w:val="24"/>
          <w:szCs w:val="24"/>
          <w:lang w:val="en-GB"/>
        </w:rPr>
        <w:t>ANTIDRI</w:t>
      </w:r>
      <w:bookmarkEnd w:id="74"/>
      <w:bookmarkEnd w:id="75"/>
      <w:r w:rsidR="00CF033F" w:rsidRPr="00E82E1F">
        <w:rPr>
          <w:sz w:val="24"/>
          <w:szCs w:val="24"/>
          <w:lang w:val="en-GB"/>
        </w:rPr>
        <w:t xml:space="preserve"> is constructed with errors and </w:t>
      </w:r>
      <w:r w:rsidRPr="00E82E1F">
        <w:rPr>
          <w:sz w:val="24"/>
          <w:szCs w:val="24"/>
          <w:lang w:val="en-GB"/>
        </w:rPr>
        <w:t>proposes a corrected</w:t>
      </w:r>
      <w:r w:rsidR="00CF033F" w:rsidRPr="00E82E1F">
        <w:rPr>
          <w:sz w:val="24"/>
          <w:szCs w:val="24"/>
          <w:lang w:val="en-GB"/>
        </w:rPr>
        <w:t xml:space="preserve"> version of</w:t>
      </w:r>
      <w:r w:rsidRPr="00E82E1F">
        <w:rPr>
          <w:sz w:val="24"/>
          <w:szCs w:val="24"/>
          <w:lang w:val="en-GB"/>
        </w:rPr>
        <w:t xml:space="preserve"> </w:t>
      </w:r>
      <w:r w:rsidR="00CF033F" w:rsidRPr="00E82E1F">
        <w:rPr>
          <w:sz w:val="24"/>
          <w:szCs w:val="24"/>
          <w:lang w:val="en-GB"/>
        </w:rPr>
        <w:t>ANTIDRI (ANTIDRI_SP)</w:t>
      </w:r>
      <w:r w:rsidR="00450F3C" w:rsidRPr="00E82E1F">
        <w:rPr>
          <w:sz w:val="24"/>
          <w:szCs w:val="24"/>
          <w:lang w:val="en-GB"/>
        </w:rPr>
        <w:t xml:space="preserve">. Furthermore, he reconsiders the “one share-one vote” principle and constructs the variable ONEVOTE_SP based </w:t>
      </w:r>
      <w:r w:rsidR="000D3E41" w:rsidRPr="00E82E1F">
        <w:rPr>
          <w:sz w:val="24"/>
          <w:szCs w:val="24"/>
          <w:lang w:val="en-GB"/>
        </w:rPr>
        <w:t xml:space="preserve">on </w:t>
      </w:r>
      <w:r w:rsidR="00750DC0" w:rsidRPr="00E82E1F">
        <w:rPr>
          <w:sz w:val="24"/>
          <w:szCs w:val="24"/>
          <w:lang w:val="en-GB"/>
        </w:rPr>
        <w:t>whether</w:t>
      </w:r>
      <w:r w:rsidR="000D3E41" w:rsidRPr="00E82E1F">
        <w:rPr>
          <w:sz w:val="24"/>
          <w:szCs w:val="24"/>
          <w:lang w:val="en-GB"/>
        </w:rPr>
        <w:t xml:space="preserve"> the legal rules mandate that the voting and cash-flow rights should be proportional. In addition, </w:t>
      </w:r>
      <w:r w:rsidR="003F264B" w:rsidRPr="00E82E1F">
        <w:rPr>
          <w:sz w:val="24"/>
          <w:szCs w:val="24"/>
          <w:lang w:val="en-GB"/>
        </w:rPr>
        <w:t>Jackson</w:t>
      </w:r>
      <w:bookmarkEnd w:id="72"/>
      <w:bookmarkEnd w:id="73"/>
      <w:r w:rsidR="003F264B" w:rsidRPr="00E82E1F">
        <w:rPr>
          <w:sz w:val="24"/>
          <w:szCs w:val="24"/>
          <w:lang w:val="en-GB"/>
        </w:rPr>
        <w:t xml:space="preserve"> </w:t>
      </w:r>
      <w:r w:rsidR="000A1FB8" w:rsidRPr="00E82E1F">
        <w:rPr>
          <w:sz w:val="24"/>
          <w:szCs w:val="24"/>
          <w:lang w:val="en-GB"/>
        </w:rPr>
        <w:t>and</w:t>
      </w:r>
      <w:r w:rsidR="00BC2201" w:rsidRPr="00E82E1F">
        <w:rPr>
          <w:sz w:val="24"/>
          <w:szCs w:val="24"/>
          <w:lang w:val="en-GB"/>
        </w:rPr>
        <w:t xml:space="preserve"> Roe (2009</w:t>
      </w:r>
      <w:r w:rsidR="003F264B" w:rsidRPr="00E82E1F">
        <w:rPr>
          <w:sz w:val="24"/>
          <w:szCs w:val="24"/>
          <w:lang w:val="en-GB"/>
        </w:rPr>
        <w:t xml:space="preserve">) </w:t>
      </w:r>
      <w:r w:rsidR="000D3E41" w:rsidRPr="00E82E1F">
        <w:rPr>
          <w:sz w:val="24"/>
          <w:szCs w:val="24"/>
          <w:lang w:val="en-GB"/>
        </w:rPr>
        <w:t>put forward</w:t>
      </w:r>
      <w:r w:rsidR="003F264B" w:rsidRPr="00E82E1F">
        <w:rPr>
          <w:sz w:val="24"/>
          <w:szCs w:val="24"/>
          <w:lang w:val="en-GB"/>
        </w:rPr>
        <w:t xml:space="preserve"> a resource-based theory of regulation</w:t>
      </w:r>
      <w:r w:rsidR="00640DE5" w:rsidRPr="00E82E1F">
        <w:rPr>
          <w:sz w:val="24"/>
          <w:szCs w:val="24"/>
          <w:lang w:val="en-GB"/>
        </w:rPr>
        <w:t>,</w:t>
      </w:r>
      <w:r w:rsidR="003F264B" w:rsidRPr="00E82E1F">
        <w:rPr>
          <w:sz w:val="24"/>
          <w:szCs w:val="24"/>
          <w:lang w:val="en-GB"/>
        </w:rPr>
        <w:t xml:space="preserve"> arguing that </w:t>
      </w:r>
      <w:bookmarkStart w:id="76" w:name="OLE_LINK20"/>
      <w:bookmarkStart w:id="77" w:name="OLE_LINK21"/>
      <w:r w:rsidR="003F264B" w:rsidRPr="00E82E1F">
        <w:rPr>
          <w:sz w:val="24"/>
          <w:szCs w:val="24"/>
          <w:lang w:val="en-GB"/>
        </w:rPr>
        <w:t>STAFF</w:t>
      </w:r>
      <w:bookmarkEnd w:id="76"/>
      <w:bookmarkEnd w:id="77"/>
      <w:r w:rsidR="003F264B" w:rsidRPr="00E82E1F">
        <w:rPr>
          <w:sz w:val="24"/>
          <w:szCs w:val="24"/>
          <w:lang w:val="en-GB"/>
        </w:rPr>
        <w:t xml:space="preserve">, </w:t>
      </w:r>
      <w:r w:rsidR="000A1FB8" w:rsidRPr="00E82E1F">
        <w:rPr>
          <w:sz w:val="24"/>
          <w:szCs w:val="24"/>
          <w:lang w:val="en-GB"/>
        </w:rPr>
        <w:t xml:space="preserve">the </w:t>
      </w:r>
      <w:r w:rsidR="003F264B" w:rsidRPr="00E82E1F">
        <w:rPr>
          <w:sz w:val="24"/>
          <w:szCs w:val="24"/>
          <w:lang w:val="en-GB"/>
        </w:rPr>
        <w:t xml:space="preserve">proxy for the resources owned by the public enforcers, predicts stock market development. </w:t>
      </w:r>
      <w:r w:rsidR="000D3E41" w:rsidRPr="00E82E1F">
        <w:rPr>
          <w:sz w:val="24"/>
          <w:szCs w:val="24"/>
          <w:lang w:val="en-GB"/>
        </w:rPr>
        <w:t>To incorporate these three variables, our sample size is reduced to 44 economies</w:t>
      </w:r>
      <w:r w:rsidR="006D19C5" w:rsidRPr="00E82E1F">
        <w:rPr>
          <w:sz w:val="24"/>
          <w:szCs w:val="24"/>
          <w:lang w:val="en-GB"/>
        </w:rPr>
        <w:t xml:space="preserve"> and 2</w:t>
      </w:r>
      <w:r w:rsidR="0050396B" w:rsidRPr="00E82E1F">
        <w:rPr>
          <w:sz w:val="24"/>
          <w:szCs w:val="24"/>
          <w:lang w:val="en-GB"/>
        </w:rPr>
        <w:t>7</w:t>
      </w:r>
      <w:r w:rsidR="006D19C5" w:rsidRPr="00E82E1F">
        <w:rPr>
          <w:sz w:val="24"/>
          <w:szCs w:val="24"/>
          <w:lang w:val="en-GB"/>
        </w:rPr>
        <w:t xml:space="preserve"> doubtful variables</w:t>
      </w:r>
      <w:r w:rsidR="000D3E41" w:rsidRPr="00E82E1F">
        <w:rPr>
          <w:sz w:val="24"/>
          <w:szCs w:val="24"/>
          <w:lang w:val="en-GB"/>
        </w:rPr>
        <w:t>.</w:t>
      </w:r>
      <w:r w:rsidR="00B8779C">
        <w:rPr>
          <w:rStyle w:val="a6"/>
          <w:sz w:val="24"/>
          <w:szCs w:val="24"/>
          <w:lang w:val="en-GB"/>
        </w:rPr>
        <w:footnoteReference w:id="26"/>
      </w:r>
      <w:r w:rsidR="00B8779C">
        <w:rPr>
          <w:rFonts w:hint="eastAsia"/>
          <w:sz w:val="24"/>
          <w:szCs w:val="24"/>
          <w:lang w:val="en-GB"/>
        </w:rPr>
        <w:t xml:space="preserve"> </w:t>
      </w:r>
      <w:r w:rsidR="00013ADD" w:rsidRPr="00E82E1F">
        <w:rPr>
          <w:sz w:val="24"/>
          <w:szCs w:val="24"/>
          <w:lang w:val="en-GB"/>
        </w:rPr>
        <w:t>The outputs of the BMA analysis</w:t>
      </w:r>
      <w:r w:rsidR="005D2BFE" w:rsidRPr="00E82E1F">
        <w:rPr>
          <w:sz w:val="24"/>
          <w:szCs w:val="24"/>
          <w:lang w:val="en-GB"/>
        </w:rPr>
        <w:t xml:space="preserve"> </w:t>
      </w:r>
      <w:r w:rsidR="00A7747D" w:rsidRPr="00E82E1F">
        <w:rPr>
          <w:sz w:val="24"/>
          <w:szCs w:val="24"/>
          <w:lang w:val="en-GB"/>
        </w:rPr>
        <w:t>with this variant data set</w:t>
      </w:r>
      <w:r w:rsidR="00013ADD" w:rsidRPr="00E82E1F">
        <w:rPr>
          <w:sz w:val="24"/>
          <w:szCs w:val="24"/>
          <w:lang w:val="en-GB"/>
        </w:rPr>
        <w:t xml:space="preserve"> are reported in Table 4</w:t>
      </w:r>
      <w:r w:rsidR="008869A8" w:rsidRPr="00E82E1F">
        <w:rPr>
          <w:sz w:val="24"/>
          <w:szCs w:val="24"/>
          <w:lang w:val="en-GB"/>
        </w:rPr>
        <w:t xml:space="preserve">, </w:t>
      </w:r>
      <w:r w:rsidR="0004128E" w:rsidRPr="00E82E1F">
        <w:rPr>
          <w:sz w:val="24"/>
          <w:szCs w:val="24"/>
          <w:lang w:val="en-GB"/>
        </w:rPr>
        <w:t xml:space="preserve">in which </w:t>
      </w:r>
      <w:r w:rsidR="008869A8" w:rsidRPr="00E82E1F">
        <w:rPr>
          <w:sz w:val="24"/>
          <w:szCs w:val="24"/>
          <w:lang w:val="en-GB"/>
        </w:rPr>
        <w:t>the dimension of the model space is 2</w:t>
      </w:r>
      <w:r w:rsidR="008869A8" w:rsidRPr="00E82E1F">
        <w:rPr>
          <w:sz w:val="24"/>
          <w:szCs w:val="24"/>
          <w:vertAlign w:val="superscript"/>
          <w:lang w:val="en-GB"/>
        </w:rPr>
        <w:t>2</w:t>
      </w:r>
      <w:r w:rsidR="0050396B" w:rsidRPr="00E82E1F">
        <w:rPr>
          <w:sz w:val="24"/>
          <w:szCs w:val="24"/>
          <w:vertAlign w:val="superscript"/>
          <w:lang w:val="en-GB"/>
        </w:rPr>
        <w:t>7</w:t>
      </w:r>
      <w:r w:rsidR="0050396B" w:rsidRPr="00E82E1F">
        <w:rPr>
          <w:sz w:val="24"/>
          <w:szCs w:val="24"/>
          <w:lang w:val="en-GB"/>
        </w:rPr>
        <w:t xml:space="preserve"> (approximately 1.34</w:t>
      </w:r>
      <w:r w:rsidR="008869A8" w:rsidRPr="00E82E1F">
        <w:rPr>
          <w:sz w:val="24"/>
          <w:szCs w:val="24"/>
          <w:lang w:val="en-GB"/>
        </w:rPr>
        <w:t>*10</w:t>
      </w:r>
      <w:r w:rsidR="0050396B" w:rsidRPr="00E82E1F">
        <w:rPr>
          <w:sz w:val="24"/>
          <w:szCs w:val="24"/>
          <w:vertAlign w:val="superscript"/>
          <w:lang w:val="en-GB"/>
        </w:rPr>
        <w:t>8</w:t>
      </w:r>
      <w:r w:rsidR="006B5572" w:rsidRPr="00E82E1F">
        <w:rPr>
          <w:sz w:val="24"/>
          <w:szCs w:val="24"/>
          <w:lang w:val="en-GB"/>
        </w:rPr>
        <w:t>) for each panel</w:t>
      </w:r>
      <w:r w:rsidR="00013ADD" w:rsidRPr="00E82E1F">
        <w:rPr>
          <w:sz w:val="24"/>
          <w:szCs w:val="24"/>
          <w:lang w:val="en-GB"/>
        </w:rPr>
        <w:t xml:space="preserve">. </w:t>
      </w:r>
    </w:p>
    <w:p w:rsidR="00A641D5" w:rsidRDefault="00A641D5" w:rsidP="00E07BF9">
      <w:pPr>
        <w:spacing w:before="100"/>
        <w:mirrorIndents/>
        <w:rPr>
          <w:sz w:val="24"/>
          <w:szCs w:val="24"/>
          <w:lang w:val="en-GB"/>
        </w:rPr>
        <w:sectPr w:rsidR="00A641D5" w:rsidSect="000664F3">
          <w:footnotePr>
            <w:numFmt w:val="chicago"/>
            <w:numRestart w:val="eachSect"/>
          </w:footnotePr>
          <w:pgSz w:w="11906" w:h="16838"/>
          <w:pgMar w:top="1440" w:right="1800" w:bottom="1440" w:left="1800" w:header="851" w:footer="992" w:gutter="0"/>
          <w:cols w:space="720"/>
          <w:docGrid w:type="lines" w:linePitch="312"/>
        </w:sectPr>
      </w:pPr>
    </w:p>
    <w:p w:rsidR="00A641D5" w:rsidRPr="00234284" w:rsidRDefault="00A641D5" w:rsidP="00A641D5">
      <w:pPr>
        <w:adjustRightInd w:val="0"/>
        <w:snapToGrid w:val="0"/>
        <w:jc w:val="center"/>
        <w:rPr>
          <w:sz w:val="24"/>
          <w:szCs w:val="24"/>
          <w:lang w:val="en-GB"/>
        </w:rPr>
      </w:pPr>
      <w:r w:rsidRPr="00234284">
        <w:rPr>
          <w:b/>
          <w:sz w:val="28"/>
          <w:szCs w:val="28"/>
          <w:lang w:val="en-GB"/>
        </w:rPr>
        <w:lastRenderedPageBreak/>
        <w:t>Table 4 Results of robustness checks of the BMA estimation</w:t>
      </w:r>
    </w:p>
    <w:p w:rsidR="00A641D5" w:rsidRPr="00234284" w:rsidRDefault="00A641D5" w:rsidP="00A641D5">
      <w:pPr>
        <w:adjustRightInd w:val="0"/>
        <w:snapToGrid w:val="0"/>
        <w:jc w:val="center"/>
        <w:rPr>
          <w:sz w:val="24"/>
          <w:szCs w:val="24"/>
          <w:lang w:val="en-GB"/>
        </w:rPr>
      </w:pPr>
    </w:p>
    <w:tbl>
      <w:tblPr>
        <w:tblW w:w="11508" w:type="dxa"/>
        <w:jc w:val="center"/>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1138"/>
        <w:gridCol w:w="825"/>
        <w:gridCol w:w="551"/>
        <w:gridCol w:w="1276"/>
        <w:gridCol w:w="850"/>
        <w:gridCol w:w="567"/>
        <w:gridCol w:w="1138"/>
        <w:gridCol w:w="714"/>
        <w:gridCol w:w="531"/>
        <w:gridCol w:w="1172"/>
        <w:gridCol w:w="683"/>
        <w:gridCol w:w="597"/>
      </w:tblGrid>
      <w:tr w:rsidR="00A641D5" w:rsidRPr="003162E3" w:rsidTr="00E87B9A">
        <w:trPr>
          <w:trHeight w:val="270"/>
          <w:jc w:val="center"/>
        </w:trPr>
        <w:tc>
          <w:tcPr>
            <w:tcW w:w="1466" w:type="dxa"/>
            <w:shd w:val="clear" w:color="auto" w:fill="auto"/>
            <w:noWrap/>
            <w:vAlign w:val="bottom"/>
            <w:hideMark/>
          </w:tcPr>
          <w:p w:rsidR="00A641D5" w:rsidRPr="003162E3" w:rsidRDefault="00A641D5" w:rsidP="00A641D5">
            <w:pPr>
              <w:widowControl/>
              <w:adjustRightInd w:val="0"/>
              <w:snapToGrid w:val="0"/>
              <w:jc w:val="center"/>
              <w:rPr>
                <w:color w:val="000000"/>
                <w:kern w:val="0"/>
                <w:szCs w:val="21"/>
                <w:lang w:val="en-GB"/>
              </w:rPr>
            </w:pPr>
          </w:p>
        </w:tc>
        <w:tc>
          <w:tcPr>
            <w:tcW w:w="2514" w:type="dxa"/>
            <w:gridSpan w:val="3"/>
            <w:shd w:val="clear" w:color="auto" w:fill="auto"/>
            <w:vAlign w:val="bottom"/>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Panel A</w:t>
            </w:r>
          </w:p>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 xml:space="preserve">Dependent variable: </w:t>
            </w:r>
          </w:p>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CMMKT</w:t>
            </w:r>
          </w:p>
        </w:tc>
        <w:tc>
          <w:tcPr>
            <w:tcW w:w="2693" w:type="dxa"/>
            <w:gridSpan w:val="3"/>
            <w:shd w:val="clear" w:color="auto" w:fill="auto"/>
            <w:noWrap/>
            <w:vAlign w:val="bottom"/>
            <w:hideMark/>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Panel B</w:t>
            </w:r>
          </w:p>
          <w:p w:rsidR="00A641D5" w:rsidRPr="003162E3" w:rsidRDefault="00A641D5" w:rsidP="00A641D5">
            <w:pPr>
              <w:widowControl/>
              <w:adjustRightInd w:val="0"/>
              <w:snapToGrid w:val="0"/>
              <w:jc w:val="center"/>
              <w:rPr>
                <w:b/>
                <w:szCs w:val="21"/>
                <w:lang w:val="en-GB"/>
              </w:rPr>
            </w:pPr>
            <w:r w:rsidRPr="003162E3">
              <w:rPr>
                <w:b/>
                <w:color w:val="000000"/>
                <w:kern w:val="0"/>
                <w:szCs w:val="21"/>
                <w:lang w:val="en-GB"/>
              </w:rPr>
              <w:t>Dependent variable:</w:t>
            </w:r>
            <w:r w:rsidRPr="003162E3">
              <w:rPr>
                <w:b/>
                <w:szCs w:val="21"/>
                <w:lang w:val="en-GB"/>
              </w:rPr>
              <w:t xml:space="preserve"> </w:t>
            </w:r>
          </w:p>
          <w:p w:rsidR="00A641D5" w:rsidRPr="003162E3" w:rsidRDefault="00A641D5" w:rsidP="00A641D5">
            <w:pPr>
              <w:widowControl/>
              <w:adjustRightInd w:val="0"/>
              <w:snapToGrid w:val="0"/>
              <w:jc w:val="center"/>
              <w:rPr>
                <w:b/>
                <w:szCs w:val="21"/>
                <w:lang w:val="en-GB"/>
              </w:rPr>
            </w:pPr>
            <w:r w:rsidRPr="003162E3">
              <w:rPr>
                <w:b/>
                <w:szCs w:val="21"/>
                <w:lang w:val="en-GB"/>
              </w:rPr>
              <w:t>LN</w:t>
            </w:r>
            <w:r w:rsidRPr="003162E3">
              <w:rPr>
                <w:b/>
                <w:color w:val="000000"/>
                <w:kern w:val="0"/>
                <w:szCs w:val="21"/>
                <w:lang w:val="en-GB"/>
              </w:rPr>
              <w:t>LISTED</w:t>
            </w:r>
          </w:p>
        </w:tc>
        <w:tc>
          <w:tcPr>
            <w:tcW w:w="2383" w:type="dxa"/>
            <w:gridSpan w:val="3"/>
            <w:shd w:val="clear" w:color="auto" w:fill="auto"/>
            <w:vAlign w:val="bottom"/>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Panel C</w:t>
            </w:r>
          </w:p>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 xml:space="preserve">Dependent variable: </w:t>
            </w:r>
          </w:p>
          <w:p w:rsidR="00A641D5" w:rsidRPr="003162E3" w:rsidRDefault="00A641D5" w:rsidP="00A641D5">
            <w:pPr>
              <w:widowControl/>
              <w:adjustRightInd w:val="0"/>
              <w:snapToGrid w:val="0"/>
              <w:jc w:val="center"/>
              <w:rPr>
                <w:b/>
                <w:szCs w:val="21"/>
                <w:lang w:val="en-GB"/>
              </w:rPr>
            </w:pPr>
            <w:r w:rsidRPr="003162E3">
              <w:rPr>
                <w:b/>
                <w:color w:val="000000"/>
                <w:kern w:val="0"/>
                <w:szCs w:val="21"/>
                <w:lang w:val="en-GB"/>
              </w:rPr>
              <w:t>IPO</w:t>
            </w:r>
          </w:p>
        </w:tc>
        <w:tc>
          <w:tcPr>
            <w:tcW w:w="2452" w:type="dxa"/>
            <w:gridSpan w:val="3"/>
            <w:shd w:val="clear" w:color="auto" w:fill="auto"/>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Panel D</w:t>
            </w:r>
          </w:p>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Dependent variable:</w:t>
            </w:r>
          </w:p>
          <w:p w:rsidR="00A641D5" w:rsidRPr="003162E3" w:rsidRDefault="00A641D5" w:rsidP="00A641D5">
            <w:pPr>
              <w:widowControl/>
              <w:adjustRightInd w:val="0"/>
              <w:snapToGrid w:val="0"/>
              <w:jc w:val="center"/>
              <w:rPr>
                <w:b/>
                <w:szCs w:val="21"/>
                <w:lang w:val="en-GB"/>
              </w:rPr>
            </w:pPr>
            <w:r w:rsidRPr="003162E3">
              <w:rPr>
                <w:b/>
                <w:color w:val="000000"/>
                <w:kern w:val="0"/>
                <w:szCs w:val="21"/>
                <w:lang w:val="en-GB"/>
              </w:rPr>
              <w:t>TRADE</w:t>
            </w:r>
          </w:p>
        </w:tc>
      </w:tr>
      <w:tr w:rsidR="00E87B9A" w:rsidRPr="003162E3" w:rsidTr="00E87B9A">
        <w:trPr>
          <w:trHeight w:val="270"/>
          <w:jc w:val="center"/>
        </w:trPr>
        <w:tc>
          <w:tcPr>
            <w:tcW w:w="1466" w:type="dxa"/>
            <w:shd w:val="clear" w:color="auto" w:fill="auto"/>
            <w:noWrap/>
            <w:vAlign w:val="bottom"/>
            <w:hideMark/>
          </w:tcPr>
          <w:p w:rsidR="00A641D5" w:rsidRPr="003162E3" w:rsidRDefault="00A641D5" w:rsidP="00A641D5">
            <w:pPr>
              <w:widowControl/>
              <w:adjustRightInd w:val="0"/>
              <w:snapToGrid w:val="0"/>
              <w:jc w:val="left"/>
              <w:rPr>
                <w:b/>
                <w:color w:val="000000"/>
                <w:kern w:val="0"/>
                <w:szCs w:val="21"/>
                <w:lang w:val="en-GB"/>
              </w:rPr>
            </w:pPr>
            <w:r w:rsidRPr="003162E3">
              <w:rPr>
                <w:b/>
                <w:color w:val="000000"/>
                <w:kern w:val="0"/>
                <w:szCs w:val="21"/>
                <w:lang w:val="en-GB"/>
              </w:rPr>
              <w:t>Doubtful variables</w:t>
            </w:r>
          </w:p>
        </w:tc>
        <w:tc>
          <w:tcPr>
            <w:tcW w:w="1138" w:type="dxa"/>
            <w:shd w:val="clear" w:color="auto" w:fill="auto"/>
            <w:noWrap/>
            <w:vAlign w:val="bottom"/>
            <w:hideMark/>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coefficient</w:t>
            </w:r>
          </w:p>
        </w:tc>
        <w:tc>
          <w:tcPr>
            <w:tcW w:w="825" w:type="dxa"/>
            <w:shd w:val="clear" w:color="auto" w:fill="auto"/>
            <w:noWrap/>
            <w:vAlign w:val="bottom"/>
            <w:hideMark/>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t-stat</w:t>
            </w:r>
          </w:p>
        </w:tc>
        <w:tc>
          <w:tcPr>
            <w:tcW w:w="551" w:type="dxa"/>
            <w:shd w:val="clear" w:color="auto" w:fill="auto"/>
            <w:vAlign w:val="bottom"/>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pip</w:t>
            </w:r>
          </w:p>
        </w:tc>
        <w:tc>
          <w:tcPr>
            <w:tcW w:w="1276" w:type="dxa"/>
            <w:shd w:val="clear" w:color="auto" w:fill="auto"/>
            <w:noWrap/>
            <w:vAlign w:val="bottom"/>
            <w:hideMark/>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coefficient</w:t>
            </w:r>
          </w:p>
        </w:tc>
        <w:tc>
          <w:tcPr>
            <w:tcW w:w="850" w:type="dxa"/>
            <w:shd w:val="clear" w:color="auto" w:fill="auto"/>
            <w:noWrap/>
            <w:vAlign w:val="bottom"/>
            <w:hideMark/>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t-stat</w:t>
            </w:r>
          </w:p>
        </w:tc>
        <w:tc>
          <w:tcPr>
            <w:tcW w:w="567" w:type="dxa"/>
            <w:shd w:val="clear" w:color="auto" w:fill="auto"/>
            <w:vAlign w:val="bottom"/>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pip</w:t>
            </w:r>
          </w:p>
        </w:tc>
        <w:tc>
          <w:tcPr>
            <w:tcW w:w="1138" w:type="dxa"/>
            <w:shd w:val="clear" w:color="auto" w:fill="auto"/>
            <w:noWrap/>
            <w:vAlign w:val="bottom"/>
            <w:hideMark/>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coefficient</w:t>
            </w:r>
          </w:p>
        </w:tc>
        <w:tc>
          <w:tcPr>
            <w:tcW w:w="714" w:type="dxa"/>
            <w:shd w:val="clear" w:color="auto" w:fill="auto"/>
            <w:noWrap/>
            <w:vAlign w:val="bottom"/>
            <w:hideMark/>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t-stat</w:t>
            </w:r>
          </w:p>
        </w:tc>
        <w:tc>
          <w:tcPr>
            <w:tcW w:w="531" w:type="dxa"/>
            <w:shd w:val="clear" w:color="auto" w:fill="auto"/>
            <w:vAlign w:val="bottom"/>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pip</w:t>
            </w:r>
          </w:p>
        </w:tc>
        <w:tc>
          <w:tcPr>
            <w:tcW w:w="1172" w:type="dxa"/>
            <w:vAlign w:val="bottom"/>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coefficient</w:t>
            </w:r>
          </w:p>
        </w:tc>
        <w:tc>
          <w:tcPr>
            <w:tcW w:w="683" w:type="dxa"/>
            <w:vAlign w:val="bottom"/>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t-stat</w:t>
            </w:r>
          </w:p>
        </w:tc>
        <w:tc>
          <w:tcPr>
            <w:tcW w:w="597" w:type="dxa"/>
            <w:vAlign w:val="bottom"/>
          </w:tcPr>
          <w:p w:rsidR="00A641D5" w:rsidRPr="003162E3" w:rsidRDefault="00A641D5" w:rsidP="00A641D5">
            <w:pPr>
              <w:widowControl/>
              <w:adjustRightInd w:val="0"/>
              <w:snapToGrid w:val="0"/>
              <w:jc w:val="center"/>
              <w:rPr>
                <w:b/>
                <w:color w:val="000000"/>
                <w:kern w:val="0"/>
                <w:szCs w:val="21"/>
                <w:lang w:val="en-GB"/>
              </w:rPr>
            </w:pPr>
            <w:r w:rsidRPr="003162E3">
              <w:rPr>
                <w:b/>
                <w:color w:val="000000"/>
                <w:kern w:val="0"/>
                <w:szCs w:val="21"/>
                <w:lang w:val="en-GB"/>
              </w:rPr>
              <w:t>pip</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color w:val="000000"/>
                <w:szCs w:val="21"/>
              </w:rPr>
              <w:t>antisdi</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9.231953</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0.33</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0.14</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2.99742</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0.32</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0.13</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0.0047229</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0.01</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2" w:type="dxa"/>
            <w:vAlign w:val="center"/>
          </w:tcPr>
          <w:p w:rsidR="00A641D5" w:rsidRDefault="00A641D5" w:rsidP="00A641D5">
            <w:pPr>
              <w:jc w:val="right"/>
              <w:rPr>
                <w:color w:val="000000"/>
                <w:sz w:val="18"/>
                <w:szCs w:val="18"/>
              </w:rPr>
            </w:pPr>
            <w:r>
              <w:rPr>
                <w:color w:val="000000"/>
                <w:sz w:val="18"/>
                <w:szCs w:val="18"/>
              </w:rPr>
              <w:t>0.2987173</w:t>
            </w:r>
          </w:p>
        </w:tc>
        <w:tc>
          <w:tcPr>
            <w:tcW w:w="683" w:type="dxa"/>
            <w:vAlign w:val="center"/>
          </w:tcPr>
          <w:p w:rsidR="00A641D5" w:rsidRDefault="00A641D5" w:rsidP="00A641D5">
            <w:pPr>
              <w:jc w:val="right"/>
              <w:rPr>
                <w:color w:val="000000"/>
                <w:sz w:val="18"/>
                <w:szCs w:val="18"/>
              </w:rPr>
            </w:pPr>
            <w:r>
              <w:rPr>
                <w:color w:val="000000"/>
                <w:sz w:val="18"/>
                <w:szCs w:val="18"/>
              </w:rPr>
              <w:t>0.04</w:t>
            </w:r>
          </w:p>
        </w:tc>
        <w:tc>
          <w:tcPr>
            <w:tcW w:w="597" w:type="dxa"/>
            <w:vAlign w:val="center"/>
          </w:tcPr>
          <w:p w:rsidR="00A641D5" w:rsidRDefault="00A641D5" w:rsidP="00A641D5">
            <w:pPr>
              <w:jc w:val="right"/>
              <w:rPr>
                <w:color w:val="000000"/>
                <w:sz w:val="18"/>
                <w:szCs w:val="18"/>
              </w:rPr>
            </w:pPr>
            <w:r>
              <w:rPr>
                <w:color w:val="000000"/>
                <w:sz w:val="18"/>
                <w:szCs w:val="18"/>
              </w:rPr>
              <w:t>0.04</w:t>
            </w:r>
          </w:p>
        </w:tc>
      </w:tr>
      <w:tr w:rsidR="00E87B9A" w:rsidRPr="003162E3" w:rsidTr="00E87B9A">
        <w:trPr>
          <w:trHeight w:val="270"/>
          <w:jc w:val="center"/>
        </w:trPr>
        <w:tc>
          <w:tcPr>
            <w:tcW w:w="1466" w:type="dxa"/>
            <w:shd w:val="clear" w:color="auto" w:fill="auto"/>
            <w:noWrap/>
            <w:vAlign w:val="center"/>
          </w:tcPr>
          <w:p w:rsidR="00A641D5" w:rsidRPr="003162E3" w:rsidRDefault="00A641D5" w:rsidP="00A641D5">
            <w:pPr>
              <w:rPr>
                <w:color w:val="000000"/>
                <w:szCs w:val="21"/>
              </w:rPr>
            </w:pPr>
            <w:r w:rsidRPr="003162E3">
              <w:rPr>
                <w:color w:val="000000"/>
                <w:szCs w:val="21"/>
              </w:rPr>
              <w:t>check</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-0.8699835</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-0.17</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0.1639762</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0.12</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0.0656963</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0.24</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0.09</w:t>
            </w:r>
          </w:p>
        </w:tc>
        <w:tc>
          <w:tcPr>
            <w:tcW w:w="1172" w:type="dxa"/>
            <w:vAlign w:val="center"/>
          </w:tcPr>
          <w:p w:rsidR="00A641D5" w:rsidRDefault="00A641D5" w:rsidP="00A641D5">
            <w:pPr>
              <w:jc w:val="right"/>
              <w:rPr>
                <w:color w:val="000000"/>
                <w:sz w:val="18"/>
                <w:szCs w:val="18"/>
              </w:rPr>
            </w:pPr>
            <w:r>
              <w:rPr>
                <w:color w:val="000000"/>
                <w:sz w:val="18"/>
                <w:szCs w:val="18"/>
              </w:rPr>
              <w:t>-1.70039</w:t>
            </w:r>
          </w:p>
        </w:tc>
        <w:tc>
          <w:tcPr>
            <w:tcW w:w="683" w:type="dxa"/>
            <w:vAlign w:val="center"/>
          </w:tcPr>
          <w:p w:rsidR="00A641D5" w:rsidRDefault="00A641D5" w:rsidP="00A641D5">
            <w:pPr>
              <w:jc w:val="right"/>
              <w:rPr>
                <w:color w:val="000000"/>
                <w:sz w:val="18"/>
                <w:szCs w:val="18"/>
              </w:rPr>
            </w:pPr>
            <w:r>
              <w:rPr>
                <w:color w:val="000000"/>
                <w:sz w:val="18"/>
                <w:szCs w:val="18"/>
              </w:rPr>
              <w:t>-0.28</w:t>
            </w:r>
          </w:p>
        </w:tc>
        <w:tc>
          <w:tcPr>
            <w:tcW w:w="597" w:type="dxa"/>
            <w:vAlign w:val="center"/>
          </w:tcPr>
          <w:p w:rsidR="00A641D5" w:rsidRDefault="00A641D5" w:rsidP="00A641D5">
            <w:pPr>
              <w:jc w:val="right"/>
              <w:rPr>
                <w:color w:val="000000"/>
                <w:sz w:val="18"/>
                <w:szCs w:val="18"/>
              </w:rPr>
            </w:pPr>
            <w:r>
              <w:rPr>
                <w:color w:val="000000"/>
                <w:sz w:val="18"/>
                <w:szCs w:val="18"/>
              </w:rPr>
              <w:t>0.11</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color w:val="000000"/>
                <w:szCs w:val="21"/>
              </w:rPr>
              <w:t>gdppercapita</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3.291711</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0.4</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0.19</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2.003384</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0.55</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0.3</w:t>
            </w:r>
          </w:p>
        </w:tc>
        <w:tc>
          <w:tcPr>
            <w:tcW w:w="1138" w:type="dxa"/>
            <w:shd w:val="clear" w:color="auto" w:fill="auto"/>
            <w:noWrap/>
            <w:vAlign w:val="center"/>
          </w:tcPr>
          <w:p w:rsidR="00A641D5" w:rsidRPr="003162E3" w:rsidRDefault="00A641D5" w:rsidP="00A641D5">
            <w:pPr>
              <w:jc w:val="right"/>
              <w:rPr>
                <w:b/>
                <w:color w:val="000000"/>
                <w:sz w:val="18"/>
                <w:szCs w:val="18"/>
              </w:rPr>
            </w:pPr>
            <w:r w:rsidRPr="003162E3">
              <w:rPr>
                <w:b/>
                <w:color w:val="000000"/>
                <w:sz w:val="18"/>
                <w:szCs w:val="18"/>
              </w:rPr>
              <w:t>1.187422</w:t>
            </w:r>
            <w:r w:rsidRPr="003162E3">
              <w:rPr>
                <w:rFonts w:hint="eastAsia"/>
                <w:b/>
                <w:color w:val="000000"/>
                <w:sz w:val="18"/>
                <w:szCs w:val="18"/>
              </w:rPr>
              <w:t>*</w:t>
            </w:r>
          </w:p>
        </w:tc>
        <w:tc>
          <w:tcPr>
            <w:tcW w:w="714" w:type="dxa"/>
            <w:shd w:val="clear" w:color="auto" w:fill="auto"/>
            <w:noWrap/>
            <w:vAlign w:val="center"/>
          </w:tcPr>
          <w:p w:rsidR="00A641D5" w:rsidRPr="003162E3" w:rsidRDefault="00A641D5" w:rsidP="00A641D5">
            <w:pPr>
              <w:jc w:val="right"/>
              <w:rPr>
                <w:b/>
                <w:color w:val="000000"/>
                <w:sz w:val="18"/>
                <w:szCs w:val="18"/>
              </w:rPr>
            </w:pPr>
            <w:r w:rsidRPr="003162E3">
              <w:rPr>
                <w:b/>
                <w:color w:val="000000"/>
                <w:sz w:val="18"/>
                <w:szCs w:val="18"/>
              </w:rPr>
              <w:t>2.5</w:t>
            </w:r>
          </w:p>
        </w:tc>
        <w:tc>
          <w:tcPr>
            <w:tcW w:w="531" w:type="dxa"/>
            <w:shd w:val="clear" w:color="auto" w:fill="auto"/>
            <w:vAlign w:val="center"/>
          </w:tcPr>
          <w:p w:rsidR="00A641D5" w:rsidRPr="003162E3" w:rsidRDefault="00A641D5" w:rsidP="00A641D5">
            <w:pPr>
              <w:jc w:val="right"/>
              <w:rPr>
                <w:b/>
                <w:color w:val="000000"/>
                <w:sz w:val="18"/>
                <w:szCs w:val="18"/>
              </w:rPr>
            </w:pPr>
            <w:r w:rsidRPr="003162E3">
              <w:rPr>
                <w:b/>
                <w:color w:val="000000"/>
                <w:sz w:val="18"/>
                <w:szCs w:val="18"/>
              </w:rPr>
              <w:t>0.91</w:t>
            </w:r>
          </w:p>
        </w:tc>
        <w:tc>
          <w:tcPr>
            <w:tcW w:w="1172" w:type="dxa"/>
            <w:vAlign w:val="center"/>
          </w:tcPr>
          <w:p w:rsidR="00A641D5" w:rsidRDefault="00A641D5" w:rsidP="00A641D5">
            <w:pPr>
              <w:jc w:val="right"/>
              <w:rPr>
                <w:color w:val="000000"/>
                <w:sz w:val="18"/>
                <w:szCs w:val="18"/>
              </w:rPr>
            </w:pPr>
            <w:r>
              <w:rPr>
                <w:color w:val="000000"/>
                <w:sz w:val="18"/>
                <w:szCs w:val="18"/>
              </w:rPr>
              <w:t>0.3500049</w:t>
            </w:r>
          </w:p>
        </w:tc>
        <w:tc>
          <w:tcPr>
            <w:tcW w:w="683" w:type="dxa"/>
            <w:vAlign w:val="center"/>
          </w:tcPr>
          <w:p w:rsidR="00A641D5" w:rsidRDefault="00A641D5" w:rsidP="00A641D5">
            <w:pPr>
              <w:jc w:val="right"/>
              <w:rPr>
                <w:color w:val="000000"/>
                <w:sz w:val="18"/>
                <w:szCs w:val="18"/>
              </w:rPr>
            </w:pPr>
            <w:r>
              <w:rPr>
                <w:color w:val="000000"/>
                <w:sz w:val="18"/>
                <w:szCs w:val="18"/>
              </w:rPr>
              <w:t>0.15</w:t>
            </w:r>
          </w:p>
        </w:tc>
        <w:tc>
          <w:tcPr>
            <w:tcW w:w="597" w:type="dxa"/>
            <w:vAlign w:val="center"/>
          </w:tcPr>
          <w:p w:rsidR="00A641D5" w:rsidRDefault="00A641D5" w:rsidP="00A641D5">
            <w:pPr>
              <w:jc w:val="right"/>
              <w:rPr>
                <w:color w:val="000000"/>
                <w:sz w:val="18"/>
                <w:szCs w:val="18"/>
              </w:rPr>
            </w:pPr>
            <w:r>
              <w:rPr>
                <w:color w:val="000000"/>
                <w:sz w:val="18"/>
                <w:szCs w:val="18"/>
              </w:rPr>
              <w:t>0.06</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color w:val="000000"/>
                <w:szCs w:val="21"/>
              </w:rPr>
              <w:t>antidri_sp</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0.2121881</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0.09</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0.5794723</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0.3</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0.12</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-0.0153151</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-0.14</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2" w:type="dxa"/>
            <w:vAlign w:val="center"/>
          </w:tcPr>
          <w:p w:rsidR="00A641D5" w:rsidRDefault="00A641D5" w:rsidP="00A641D5">
            <w:pPr>
              <w:jc w:val="right"/>
              <w:rPr>
                <w:color w:val="000000"/>
                <w:sz w:val="18"/>
                <w:szCs w:val="18"/>
              </w:rPr>
            </w:pPr>
            <w:r>
              <w:rPr>
                <w:color w:val="000000"/>
                <w:sz w:val="18"/>
                <w:szCs w:val="18"/>
              </w:rPr>
              <w:t>-0.1389017</w:t>
            </w:r>
          </w:p>
        </w:tc>
        <w:tc>
          <w:tcPr>
            <w:tcW w:w="683" w:type="dxa"/>
            <w:vAlign w:val="center"/>
          </w:tcPr>
          <w:p w:rsidR="00A641D5" w:rsidRDefault="00A641D5" w:rsidP="00A641D5">
            <w:pPr>
              <w:jc w:val="right"/>
              <w:rPr>
                <w:color w:val="000000"/>
                <w:sz w:val="18"/>
                <w:szCs w:val="18"/>
              </w:rPr>
            </w:pPr>
            <w:r>
              <w:rPr>
                <w:color w:val="000000"/>
                <w:sz w:val="18"/>
                <w:szCs w:val="18"/>
              </w:rPr>
              <w:t>-0.08</w:t>
            </w:r>
          </w:p>
        </w:tc>
        <w:tc>
          <w:tcPr>
            <w:tcW w:w="597" w:type="dxa"/>
            <w:vAlign w:val="center"/>
          </w:tcPr>
          <w:p w:rsidR="00A641D5" w:rsidRDefault="00A641D5" w:rsidP="00A641D5">
            <w:pPr>
              <w:jc w:val="right"/>
              <w:rPr>
                <w:color w:val="000000"/>
                <w:sz w:val="18"/>
                <w:szCs w:val="18"/>
              </w:rPr>
            </w:pPr>
            <w:r>
              <w:rPr>
                <w:color w:val="000000"/>
                <w:sz w:val="18"/>
                <w:szCs w:val="18"/>
              </w:rPr>
              <w:t>0.04</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color w:val="000000"/>
                <w:szCs w:val="21"/>
              </w:rPr>
              <w:t>onevote_sp</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0.1085203</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0.02</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0.1416722</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0.08</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-0.0298662</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-0.12</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2" w:type="dxa"/>
            <w:vAlign w:val="center"/>
          </w:tcPr>
          <w:p w:rsidR="00A641D5" w:rsidRDefault="00A641D5" w:rsidP="00A641D5">
            <w:pPr>
              <w:jc w:val="right"/>
              <w:rPr>
                <w:color w:val="000000"/>
                <w:sz w:val="18"/>
                <w:szCs w:val="18"/>
              </w:rPr>
            </w:pPr>
            <w:r>
              <w:rPr>
                <w:color w:val="000000"/>
                <w:sz w:val="18"/>
                <w:szCs w:val="18"/>
              </w:rPr>
              <w:t>0.3214887</w:t>
            </w:r>
          </w:p>
        </w:tc>
        <w:tc>
          <w:tcPr>
            <w:tcW w:w="683" w:type="dxa"/>
            <w:vAlign w:val="center"/>
          </w:tcPr>
          <w:p w:rsidR="00A641D5" w:rsidRDefault="00A641D5" w:rsidP="00A641D5">
            <w:pPr>
              <w:jc w:val="right"/>
              <w:rPr>
                <w:color w:val="000000"/>
                <w:sz w:val="18"/>
                <w:szCs w:val="18"/>
              </w:rPr>
            </w:pPr>
            <w:r>
              <w:rPr>
                <w:color w:val="000000"/>
                <w:sz w:val="18"/>
                <w:szCs w:val="18"/>
              </w:rPr>
              <w:t>0.08</w:t>
            </w:r>
          </w:p>
        </w:tc>
        <w:tc>
          <w:tcPr>
            <w:tcW w:w="597" w:type="dxa"/>
            <w:vAlign w:val="center"/>
          </w:tcPr>
          <w:p w:rsidR="00A641D5" w:rsidRDefault="00A641D5" w:rsidP="00A641D5">
            <w:pPr>
              <w:jc w:val="right"/>
              <w:rPr>
                <w:color w:val="000000"/>
                <w:sz w:val="18"/>
                <w:szCs w:val="18"/>
              </w:rPr>
            </w:pPr>
            <w:r>
              <w:rPr>
                <w:color w:val="000000"/>
                <w:sz w:val="18"/>
                <w:szCs w:val="18"/>
              </w:rPr>
              <w:t>0.04</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color w:val="000000"/>
                <w:szCs w:val="21"/>
              </w:rPr>
              <w:t>frenchlo</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-1.75433</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-0.21</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0.08</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-4.353759</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-0.57</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0.29</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-0.0056825</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-0.02</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72" w:type="dxa"/>
            <w:vAlign w:val="center"/>
          </w:tcPr>
          <w:p w:rsidR="00A641D5" w:rsidRDefault="00A641D5" w:rsidP="00A641D5">
            <w:pPr>
              <w:jc w:val="right"/>
              <w:rPr>
                <w:color w:val="000000"/>
                <w:sz w:val="18"/>
                <w:szCs w:val="18"/>
              </w:rPr>
            </w:pPr>
            <w:r>
              <w:rPr>
                <w:color w:val="000000"/>
                <w:sz w:val="18"/>
                <w:szCs w:val="18"/>
              </w:rPr>
              <w:t>-3.275787</w:t>
            </w:r>
          </w:p>
        </w:tc>
        <w:tc>
          <w:tcPr>
            <w:tcW w:w="683" w:type="dxa"/>
            <w:vAlign w:val="center"/>
          </w:tcPr>
          <w:p w:rsidR="00A641D5" w:rsidRDefault="00A641D5" w:rsidP="00A641D5">
            <w:pPr>
              <w:jc w:val="right"/>
              <w:rPr>
                <w:color w:val="000000"/>
                <w:sz w:val="18"/>
                <w:szCs w:val="18"/>
              </w:rPr>
            </w:pPr>
            <w:r>
              <w:rPr>
                <w:color w:val="000000"/>
                <w:sz w:val="18"/>
                <w:szCs w:val="18"/>
              </w:rPr>
              <w:t>-0.33</w:t>
            </w:r>
          </w:p>
        </w:tc>
        <w:tc>
          <w:tcPr>
            <w:tcW w:w="597" w:type="dxa"/>
            <w:vAlign w:val="center"/>
          </w:tcPr>
          <w:p w:rsidR="00A641D5" w:rsidRDefault="00A641D5" w:rsidP="00A641D5">
            <w:pPr>
              <w:jc w:val="right"/>
              <w:rPr>
                <w:color w:val="000000"/>
                <w:sz w:val="18"/>
                <w:szCs w:val="18"/>
              </w:rPr>
            </w:pPr>
            <w:r>
              <w:rPr>
                <w:color w:val="000000"/>
                <w:sz w:val="18"/>
                <w:szCs w:val="18"/>
              </w:rPr>
              <w:t>0.14</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color w:val="000000"/>
                <w:szCs w:val="21"/>
              </w:rPr>
              <w:t>commonlo</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0.3244599</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0.05</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-0.0597206</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-0.03</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38" w:type="dxa"/>
            <w:shd w:val="clear" w:color="auto" w:fill="auto"/>
            <w:noWrap/>
            <w:vAlign w:val="center"/>
          </w:tcPr>
          <w:p w:rsidR="00A641D5" w:rsidRPr="003162E3" w:rsidRDefault="00A641D5" w:rsidP="00A641D5">
            <w:pPr>
              <w:jc w:val="right"/>
              <w:rPr>
                <w:b/>
                <w:color w:val="000000"/>
                <w:sz w:val="18"/>
                <w:szCs w:val="18"/>
              </w:rPr>
            </w:pPr>
            <w:r w:rsidRPr="003162E3">
              <w:rPr>
                <w:b/>
                <w:color w:val="000000"/>
                <w:sz w:val="18"/>
                <w:szCs w:val="18"/>
              </w:rPr>
              <w:t>2.619932</w:t>
            </w:r>
            <w:r w:rsidRPr="003162E3">
              <w:rPr>
                <w:rFonts w:hint="eastAsia"/>
                <w:b/>
                <w:color w:val="000000"/>
                <w:sz w:val="18"/>
                <w:szCs w:val="18"/>
              </w:rPr>
              <w:t>*</w:t>
            </w:r>
          </w:p>
        </w:tc>
        <w:tc>
          <w:tcPr>
            <w:tcW w:w="714" w:type="dxa"/>
            <w:shd w:val="clear" w:color="auto" w:fill="auto"/>
            <w:noWrap/>
            <w:vAlign w:val="center"/>
          </w:tcPr>
          <w:p w:rsidR="00A641D5" w:rsidRPr="003162E3" w:rsidRDefault="00A641D5" w:rsidP="00A641D5">
            <w:pPr>
              <w:jc w:val="right"/>
              <w:rPr>
                <w:b/>
                <w:color w:val="000000"/>
                <w:sz w:val="18"/>
                <w:szCs w:val="18"/>
              </w:rPr>
            </w:pPr>
            <w:r w:rsidRPr="003162E3">
              <w:rPr>
                <w:b/>
                <w:color w:val="000000"/>
                <w:sz w:val="18"/>
                <w:szCs w:val="18"/>
              </w:rPr>
              <w:t>1.93</w:t>
            </w:r>
          </w:p>
        </w:tc>
        <w:tc>
          <w:tcPr>
            <w:tcW w:w="531" w:type="dxa"/>
            <w:shd w:val="clear" w:color="auto" w:fill="auto"/>
            <w:vAlign w:val="center"/>
          </w:tcPr>
          <w:p w:rsidR="00A641D5" w:rsidRPr="003162E3" w:rsidRDefault="00A641D5" w:rsidP="00A641D5">
            <w:pPr>
              <w:jc w:val="right"/>
              <w:rPr>
                <w:b/>
                <w:color w:val="000000"/>
                <w:sz w:val="18"/>
                <w:szCs w:val="18"/>
              </w:rPr>
            </w:pPr>
            <w:r w:rsidRPr="003162E3">
              <w:rPr>
                <w:b/>
                <w:color w:val="000000"/>
                <w:sz w:val="18"/>
                <w:szCs w:val="18"/>
              </w:rPr>
              <w:t>0.85</w:t>
            </w:r>
          </w:p>
        </w:tc>
        <w:tc>
          <w:tcPr>
            <w:tcW w:w="1172" w:type="dxa"/>
            <w:vAlign w:val="center"/>
          </w:tcPr>
          <w:p w:rsidR="00A641D5" w:rsidRDefault="00A641D5" w:rsidP="00A641D5">
            <w:pPr>
              <w:jc w:val="right"/>
              <w:rPr>
                <w:color w:val="000000"/>
                <w:sz w:val="18"/>
                <w:szCs w:val="18"/>
              </w:rPr>
            </w:pPr>
            <w:r>
              <w:rPr>
                <w:color w:val="000000"/>
                <w:sz w:val="18"/>
                <w:szCs w:val="18"/>
              </w:rPr>
              <w:t>0.7873206</w:t>
            </w:r>
          </w:p>
        </w:tc>
        <w:tc>
          <w:tcPr>
            <w:tcW w:w="683" w:type="dxa"/>
            <w:vAlign w:val="center"/>
          </w:tcPr>
          <w:p w:rsidR="00A641D5" w:rsidRDefault="00A641D5" w:rsidP="00A641D5">
            <w:pPr>
              <w:jc w:val="right"/>
              <w:rPr>
                <w:color w:val="000000"/>
                <w:sz w:val="18"/>
                <w:szCs w:val="18"/>
              </w:rPr>
            </w:pPr>
            <w:r>
              <w:rPr>
                <w:color w:val="000000"/>
                <w:sz w:val="18"/>
                <w:szCs w:val="18"/>
              </w:rPr>
              <w:t>0.15</w:t>
            </w:r>
          </w:p>
        </w:tc>
        <w:tc>
          <w:tcPr>
            <w:tcW w:w="597" w:type="dxa"/>
            <w:vAlign w:val="center"/>
          </w:tcPr>
          <w:p w:rsidR="00A641D5" w:rsidRDefault="00A641D5" w:rsidP="00A641D5">
            <w:pPr>
              <w:jc w:val="right"/>
              <w:rPr>
                <w:color w:val="000000"/>
                <w:sz w:val="18"/>
                <w:szCs w:val="18"/>
              </w:rPr>
            </w:pPr>
            <w:r>
              <w:rPr>
                <w:color w:val="000000"/>
                <w:sz w:val="18"/>
                <w:szCs w:val="18"/>
              </w:rPr>
              <w:t>0.06</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color w:val="000000"/>
                <w:szCs w:val="21"/>
              </w:rPr>
              <w:t>germanlo</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0.2401179</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0.04</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0.039904</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0.02</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0.0145806</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0.06</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72" w:type="dxa"/>
            <w:vAlign w:val="center"/>
          </w:tcPr>
          <w:p w:rsidR="00A641D5" w:rsidRDefault="00A641D5" w:rsidP="00A641D5">
            <w:pPr>
              <w:jc w:val="right"/>
              <w:rPr>
                <w:color w:val="000000"/>
                <w:sz w:val="18"/>
                <w:szCs w:val="18"/>
              </w:rPr>
            </w:pPr>
            <w:r>
              <w:rPr>
                <w:color w:val="000000"/>
                <w:sz w:val="18"/>
                <w:szCs w:val="18"/>
              </w:rPr>
              <w:t>0.932627</w:t>
            </w:r>
          </w:p>
        </w:tc>
        <w:tc>
          <w:tcPr>
            <w:tcW w:w="683" w:type="dxa"/>
            <w:vAlign w:val="center"/>
          </w:tcPr>
          <w:p w:rsidR="00A641D5" w:rsidRDefault="00A641D5" w:rsidP="00A641D5">
            <w:pPr>
              <w:jc w:val="right"/>
              <w:rPr>
                <w:color w:val="000000"/>
                <w:sz w:val="18"/>
                <w:szCs w:val="18"/>
              </w:rPr>
            </w:pPr>
            <w:r>
              <w:rPr>
                <w:color w:val="000000"/>
                <w:sz w:val="18"/>
                <w:szCs w:val="18"/>
              </w:rPr>
              <w:t>0.14</w:t>
            </w:r>
          </w:p>
        </w:tc>
        <w:tc>
          <w:tcPr>
            <w:tcW w:w="597" w:type="dxa"/>
            <w:vAlign w:val="center"/>
          </w:tcPr>
          <w:p w:rsidR="00A641D5" w:rsidRDefault="00A641D5" w:rsidP="00A641D5">
            <w:pPr>
              <w:jc w:val="right"/>
              <w:rPr>
                <w:color w:val="000000"/>
                <w:sz w:val="18"/>
                <w:szCs w:val="18"/>
              </w:rPr>
            </w:pPr>
            <w:r>
              <w:rPr>
                <w:color w:val="000000"/>
                <w:sz w:val="18"/>
                <w:szCs w:val="18"/>
              </w:rPr>
              <w:t>0.05</w:t>
            </w:r>
          </w:p>
        </w:tc>
      </w:tr>
      <w:tr w:rsidR="00E87B9A" w:rsidRPr="003162E3" w:rsidTr="00E87B9A">
        <w:trPr>
          <w:trHeight w:val="270"/>
          <w:jc w:val="center"/>
        </w:trPr>
        <w:tc>
          <w:tcPr>
            <w:tcW w:w="1466" w:type="dxa"/>
            <w:shd w:val="clear" w:color="auto" w:fill="auto"/>
            <w:noWrap/>
            <w:vAlign w:val="center"/>
          </w:tcPr>
          <w:p w:rsidR="00A641D5" w:rsidRPr="003162E3" w:rsidRDefault="00A641D5" w:rsidP="00A641D5">
            <w:pPr>
              <w:rPr>
                <w:color w:val="000000"/>
                <w:szCs w:val="21"/>
              </w:rPr>
            </w:pPr>
            <w:proofErr w:type="spellStart"/>
            <w:r w:rsidRPr="003162E3">
              <w:rPr>
                <w:color w:val="000000"/>
                <w:szCs w:val="21"/>
              </w:rPr>
              <w:t>mixedlo</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0.9032099</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0.11</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1.224201</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0.26</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0.09</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-0.1047157</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-0.17</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0.07</w:t>
            </w:r>
          </w:p>
        </w:tc>
        <w:tc>
          <w:tcPr>
            <w:tcW w:w="1172" w:type="dxa"/>
            <w:vAlign w:val="center"/>
          </w:tcPr>
          <w:p w:rsidR="00A641D5" w:rsidRDefault="00A641D5" w:rsidP="00A641D5">
            <w:pPr>
              <w:jc w:val="right"/>
              <w:rPr>
                <w:color w:val="000000"/>
                <w:sz w:val="18"/>
                <w:szCs w:val="18"/>
              </w:rPr>
            </w:pPr>
            <w:r>
              <w:rPr>
                <w:color w:val="000000"/>
                <w:sz w:val="18"/>
                <w:szCs w:val="18"/>
              </w:rPr>
              <w:t>-0.131869</w:t>
            </w:r>
          </w:p>
        </w:tc>
        <w:tc>
          <w:tcPr>
            <w:tcW w:w="683" w:type="dxa"/>
            <w:vAlign w:val="center"/>
          </w:tcPr>
          <w:p w:rsidR="00A641D5" w:rsidRDefault="00A641D5" w:rsidP="00A641D5">
            <w:pPr>
              <w:jc w:val="right"/>
              <w:rPr>
                <w:color w:val="000000"/>
                <w:sz w:val="18"/>
                <w:szCs w:val="18"/>
              </w:rPr>
            </w:pPr>
            <w:r>
              <w:rPr>
                <w:color w:val="000000"/>
                <w:sz w:val="18"/>
                <w:szCs w:val="18"/>
              </w:rPr>
              <w:t>-0.03</w:t>
            </w:r>
          </w:p>
        </w:tc>
        <w:tc>
          <w:tcPr>
            <w:tcW w:w="597" w:type="dxa"/>
            <w:vAlign w:val="center"/>
          </w:tcPr>
          <w:p w:rsidR="00A641D5" w:rsidRDefault="00A641D5" w:rsidP="00A641D5">
            <w:pPr>
              <w:jc w:val="right"/>
              <w:rPr>
                <w:color w:val="000000"/>
                <w:sz w:val="18"/>
                <w:szCs w:val="18"/>
              </w:rPr>
            </w:pPr>
            <w:r>
              <w:rPr>
                <w:color w:val="000000"/>
                <w:sz w:val="18"/>
                <w:szCs w:val="18"/>
              </w:rPr>
              <w:t>0.04</w:t>
            </w:r>
          </w:p>
        </w:tc>
      </w:tr>
      <w:tr w:rsidR="00E87B9A" w:rsidRPr="003162E3" w:rsidTr="00E87B9A">
        <w:trPr>
          <w:trHeight w:val="270"/>
          <w:jc w:val="center"/>
        </w:trPr>
        <w:tc>
          <w:tcPr>
            <w:tcW w:w="1466" w:type="dxa"/>
            <w:shd w:val="clear" w:color="auto" w:fill="auto"/>
            <w:noWrap/>
            <w:vAlign w:val="center"/>
          </w:tcPr>
          <w:p w:rsidR="00A641D5" w:rsidRPr="003162E3" w:rsidRDefault="00A641D5" w:rsidP="00A641D5">
            <w:pPr>
              <w:rPr>
                <w:color w:val="000000"/>
                <w:szCs w:val="21"/>
              </w:rPr>
            </w:pPr>
            <w:r w:rsidRPr="003162E3">
              <w:rPr>
                <w:color w:val="000000"/>
                <w:szCs w:val="21"/>
              </w:rPr>
              <w:t>disclosure</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25.31572</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0.53</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0.27</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4.29161</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0.37</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0.16</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0.5991213</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0.35</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0.15</w:t>
            </w:r>
          </w:p>
        </w:tc>
        <w:tc>
          <w:tcPr>
            <w:tcW w:w="1172" w:type="dxa"/>
            <w:vAlign w:val="center"/>
          </w:tcPr>
          <w:p w:rsidR="00A641D5" w:rsidRDefault="00A641D5" w:rsidP="00A641D5">
            <w:pPr>
              <w:jc w:val="right"/>
              <w:rPr>
                <w:color w:val="000000"/>
                <w:sz w:val="18"/>
                <w:szCs w:val="18"/>
              </w:rPr>
            </w:pPr>
            <w:r>
              <w:rPr>
                <w:color w:val="000000"/>
                <w:sz w:val="18"/>
                <w:szCs w:val="18"/>
              </w:rPr>
              <w:t>7.387872</w:t>
            </w:r>
          </w:p>
        </w:tc>
        <w:tc>
          <w:tcPr>
            <w:tcW w:w="683" w:type="dxa"/>
            <w:vAlign w:val="center"/>
          </w:tcPr>
          <w:p w:rsidR="00A641D5" w:rsidRDefault="00A641D5" w:rsidP="00A641D5">
            <w:pPr>
              <w:jc w:val="right"/>
              <w:rPr>
                <w:color w:val="000000"/>
                <w:sz w:val="18"/>
                <w:szCs w:val="18"/>
              </w:rPr>
            </w:pPr>
            <w:r>
              <w:rPr>
                <w:color w:val="000000"/>
                <w:sz w:val="18"/>
                <w:szCs w:val="18"/>
              </w:rPr>
              <w:t>0.33</w:t>
            </w:r>
          </w:p>
        </w:tc>
        <w:tc>
          <w:tcPr>
            <w:tcW w:w="597" w:type="dxa"/>
            <w:vAlign w:val="center"/>
          </w:tcPr>
          <w:p w:rsidR="00A641D5" w:rsidRDefault="00A641D5" w:rsidP="00A641D5">
            <w:pPr>
              <w:jc w:val="right"/>
              <w:rPr>
                <w:color w:val="000000"/>
                <w:sz w:val="18"/>
                <w:szCs w:val="18"/>
              </w:rPr>
            </w:pPr>
            <w:r>
              <w:rPr>
                <w:color w:val="000000"/>
                <w:sz w:val="18"/>
                <w:szCs w:val="18"/>
              </w:rPr>
              <w:t>0.13</w:t>
            </w:r>
          </w:p>
        </w:tc>
      </w:tr>
      <w:tr w:rsidR="00E87B9A" w:rsidRPr="003162E3" w:rsidTr="00E87B9A">
        <w:trPr>
          <w:trHeight w:val="270"/>
          <w:jc w:val="center"/>
        </w:trPr>
        <w:tc>
          <w:tcPr>
            <w:tcW w:w="1466" w:type="dxa"/>
            <w:shd w:val="clear" w:color="auto" w:fill="auto"/>
            <w:noWrap/>
            <w:vAlign w:val="center"/>
          </w:tcPr>
          <w:p w:rsidR="00A641D5" w:rsidRPr="003162E3" w:rsidRDefault="00A641D5" w:rsidP="00A641D5">
            <w:pPr>
              <w:rPr>
                <w:color w:val="000000"/>
                <w:szCs w:val="21"/>
              </w:rPr>
            </w:pPr>
            <w:proofErr w:type="spellStart"/>
            <w:r w:rsidRPr="003162E3">
              <w:rPr>
                <w:color w:val="000000"/>
                <w:szCs w:val="21"/>
              </w:rPr>
              <w:t>nanalysts</w:t>
            </w:r>
            <w:proofErr w:type="spellEnd"/>
          </w:p>
        </w:tc>
        <w:tc>
          <w:tcPr>
            <w:tcW w:w="1138" w:type="dxa"/>
            <w:shd w:val="clear" w:color="auto" w:fill="auto"/>
            <w:noWrap/>
            <w:vAlign w:val="center"/>
          </w:tcPr>
          <w:p w:rsidR="00A641D5" w:rsidRPr="003162E3" w:rsidRDefault="00A641D5" w:rsidP="00A641D5">
            <w:pPr>
              <w:jc w:val="right"/>
              <w:rPr>
                <w:b/>
                <w:color w:val="000000"/>
                <w:sz w:val="18"/>
                <w:szCs w:val="18"/>
              </w:rPr>
            </w:pPr>
            <w:r w:rsidRPr="003162E3">
              <w:rPr>
                <w:b/>
                <w:color w:val="000000"/>
                <w:sz w:val="18"/>
                <w:szCs w:val="18"/>
              </w:rPr>
              <w:t>2.213395</w:t>
            </w:r>
            <w:r>
              <w:rPr>
                <w:rFonts w:hint="eastAsia"/>
                <w:b/>
                <w:color w:val="000000"/>
                <w:sz w:val="18"/>
                <w:szCs w:val="18"/>
              </w:rPr>
              <w:t>*</w:t>
            </w:r>
          </w:p>
        </w:tc>
        <w:tc>
          <w:tcPr>
            <w:tcW w:w="825" w:type="dxa"/>
            <w:shd w:val="clear" w:color="auto" w:fill="auto"/>
            <w:noWrap/>
            <w:vAlign w:val="center"/>
          </w:tcPr>
          <w:p w:rsidR="00A641D5" w:rsidRPr="003162E3" w:rsidRDefault="00A641D5" w:rsidP="00A641D5">
            <w:pPr>
              <w:jc w:val="right"/>
              <w:rPr>
                <w:b/>
                <w:color w:val="000000"/>
                <w:sz w:val="18"/>
                <w:szCs w:val="18"/>
              </w:rPr>
            </w:pPr>
            <w:r w:rsidRPr="003162E3">
              <w:rPr>
                <w:b/>
                <w:color w:val="000000"/>
                <w:sz w:val="18"/>
                <w:szCs w:val="18"/>
              </w:rPr>
              <w:t>1.22</w:t>
            </w:r>
          </w:p>
        </w:tc>
        <w:tc>
          <w:tcPr>
            <w:tcW w:w="551" w:type="dxa"/>
            <w:shd w:val="clear" w:color="auto" w:fill="auto"/>
            <w:vAlign w:val="center"/>
          </w:tcPr>
          <w:p w:rsidR="00A641D5" w:rsidRPr="003162E3" w:rsidRDefault="00A641D5" w:rsidP="00A641D5">
            <w:pPr>
              <w:jc w:val="right"/>
              <w:rPr>
                <w:b/>
                <w:color w:val="000000"/>
                <w:sz w:val="18"/>
                <w:szCs w:val="18"/>
              </w:rPr>
            </w:pPr>
            <w:r w:rsidRPr="003162E3">
              <w:rPr>
                <w:b/>
                <w:color w:val="000000"/>
                <w:sz w:val="18"/>
                <w:szCs w:val="18"/>
              </w:rPr>
              <w:t>0.66</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-0.01174</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-0.08</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0.00604</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0.22</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0.08</w:t>
            </w:r>
          </w:p>
        </w:tc>
        <w:tc>
          <w:tcPr>
            <w:tcW w:w="1172" w:type="dxa"/>
            <w:vAlign w:val="center"/>
          </w:tcPr>
          <w:p w:rsidR="00A641D5" w:rsidRPr="003162E3" w:rsidRDefault="00A641D5" w:rsidP="00A641D5">
            <w:pPr>
              <w:jc w:val="right"/>
              <w:rPr>
                <w:b/>
                <w:color w:val="000000"/>
                <w:sz w:val="18"/>
                <w:szCs w:val="18"/>
              </w:rPr>
            </w:pPr>
            <w:r w:rsidRPr="003162E3">
              <w:rPr>
                <w:b/>
                <w:color w:val="000000"/>
                <w:sz w:val="18"/>
                <w:szCs w:val="18"/>
              </w:rPr>
              <w:t>3.964728</w:t>
            </w:r>
            <w:r w:rsidRPr="003162E3">
              <w:rPr>
                <w:rFonts w:hint="eastAsia"/>
                <w:b/>
                <w:color w:val="000000"/>
                <w:sz w:val="18"/>
                <w:szCs w:val="18"/>
              </w:rPr>
              <w:t>*</w:t>
            </w:r>
          </w:p>
        </w:tc>
        <w:tc>
          <w:tcPr>
            <w:tcW w:w="683" w:type="dxa"/>
            <w:vAlign w:val="center"/>
          </w:tcPr>
          <w:p w:rsidR="00A641D5" w:rsidRPr="003162E3" w:rsidRDefault="00A641D5" w:rsidP="00A641D5">
            <w:pPr>
              <w:jc w:val="right"/>
              <w:rPr>
                <w:b/>
                <w:color w:val="000000"/>
                <w:sz w:val="18"/>
                <w:szCs w:val="18"/>
              </w:rPr>
            </w:pPr>
            <w:r w:rsidRPr="003162E3">
              <w:rPr>
                <w:b/>
                <w:color w:val="000000"/>
                <w:sz w:val="18"/>
                <w:szCs w:val="18"/>
              </w:rPr>
              <w:t>3.89</w:t>
            </w:r>
          </w:p>
        </w:tc>
        <w:tc>
          <w:tcPr>
            <w:tcW w:w="597" w:type="dxa"/>
            <w:vAlign w:val="center"/>
          </w:tcPr>
          <w:p w:rsidR="00A641D5" w:rsidRPr="003162E3" w:rsidRDefault="00A641D5" w:rsidP="00A641D5">
            <w:pPr>
              <w:jc w:val="right"/>
              <w:rPr>
                <w:b/>
                <w:color w:val="000000"/>
                <w:sz w:val="18"/>
                <w:szCs w:val="18"/>
              </w:rPr>
            </w:pPr>
            <w:r w:rsidRPr="003162E3">
              <w:rPr>
                <w:b/>
                <w:color w:val="000000"/>
                <w:sz w:val="18"/>
                <w:szCs w:val="18"/>
              </w:rPr>
              <w:t>0.98</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color w:val="000000"/>
                <w:szCs w:val="21"/>
              </w:rPr>
              <w:t>penforcement</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1.191638</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0.09</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2.304707</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0.25</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0.1</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0.2548037</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0.25</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0.09</w:t>
            </w:r>
          </w:p>
        </w:tc>
        <w:tc>
          <w:tcPr>
            <w:tcW w:w="1172" w:type="dxa"/>
            <w:vAlign w:val="center"/>
          </w:tcPr>
          <w:p w:rsidR="00A641D5" w:rsidRDefault="00A641D5" w:rsidP="00A641D5">
            <w:pPr>
              <w:jc w:val="right"/>
              <w:rPr>
                <w:color w:val="000000"/>
                <w:sz w:val="18"/>
                <w:szCs w:val="18"/>
              </w:rPr>
            </w:pPr>
            <w:r>
              <w:rPr>
                <w:color w:val="000000"/>
                <w:sz w:val="18"/>
                <w:szCs w:val="18"/>
              </w:rPr>
              <w:t>0.4041131</w:t>
            </w:r>
          </w:p>
        </w:tc>
        <w:tc>
          <w:tcPr>
            <w:tcW w:w="683" w:type="dxa"/>
            <w:vAlign w:val="center"/>
          </w:tcPr>
          <w:p w:rsidR="00A641D5" w:rsidRDefault="00A641D5" w:rsidP="00A641D5">
            <w:pPr>
              <w:jc w:val="right"/>
              <w:rPr>
                <w:color w:val="000000"/>
                <w:sz w:val="18"/>
                <w:szCs w:val="18"/>
              </w:rPr>
            </w:pPr>
            <w:r>
              <w:rPr>
                <w:color w:val="000000"/>
                <w:sz w:val="18"/>
                <w:szCs w:val="18"/>
              </w:rPr>
              <w:t>0.06</w:t>
            </w:r>
          </w:p>
        </w:tc>
        <w:tc>
          <w:tcPr>
            <w:tcW w:w="597" w:type="dxa"/>
            <w:vAlign w:val="center"/>
          </w:tcPr>
          <w:p w:rsidR="00A641D5" w:rsidRDefault="00A641D5" w:rsidP="00A641D5">
            <w:pPr>
              <w:jc w:val="right"/>
              <w:rPr>
                <w:color w:val="000000"/>
                <w:sz w:val="18"/>
                <w:szCs w:val="18"/>
              </w:rPr>
            </w:pPr>
            <w:r>
              <w:rPr>
                <w:color w:val="000000"/>
                <w:sz w:val="18"/>
                <w:szCs w:val="18"/>
              </w:rPr>
              <w:t>0.04</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rFonts w:hint="eastAsia"/>
                <w:color w:val="000000"/>
                <w:szCs w:val="21"/>
                <w:lang w:val="en-GB"/>
              </w:rPr>
              <w:t>i</w:t>
            </w:r>
            <w:r w:rsidRPr="003162E3">
              <w:rPr>
                <w:color w:val="000000"/>
                <w:szCs w:val="21"/>
                <w:lang w:val="en-GB"/>
              </w:rPr>
              <w:t>tprosecution</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4.585646</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0.31</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0.12</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4.386917</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0.58</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0.31</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0.0075303</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0.04</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72" w:type="dxa"/>
            <w:vAlign w:val="center"/>
          </w:tcPr>
          <w:p w:rsidR="00A641D5" w:rsidRDefault="00A641D5" w:rsidP="00A641D5">
            <w:pPr>
              <w:jc w:val="right"/>
              <w:rPr>
                <w:color w:val="000000"/>
                <w:sz w:val="18"/>
                <w:szCs w:val="18"/>
              </w:rPr>
            </w:pPr>
            <w:r>
              <w:rPr>
                <w:color w:val="000000"/>
                <w:sz w:val="18"/>
                <w:szCs w:val="18"/>
              </w:rPr>
              <w:t>1.028818</w:t>
            </w:r>
          </w:p>
        </w:tc>
        <w:tc>
          <w:tcPr>
            <w:tcW w:w="683" w:type="dxa"/>
            <w:vAlign w:val="center"/>
          </w:tcPr>
          <w:p w:rsidR="00A641D5" w:rsidRDefault="00A641D5" w:rsidP="00A641D5">
            <w:pPr>
              <w:jc w:val="right"/>
              <w:rPr>
                <w:color w:val="000000"/>
                <w:sz w:val="18"/>
                <w:szCs w:val="18"/>
              </w:rPr>
            </w:pPr>
            <w:r>
              <w:rPr>
                <w:color w:val="000000"/>
                <w:sz w:val="18"/>
                <w:szCs w:val="18"/>
              </w:rPr>
              <w:t>0.16</w:t>
            </w:r>
          </w:p>
        </w:tc>
        <w:tc>
          <w:tcPr>
            <w:tcW w:w="597" w:type="dxa"/>
            <w:vAlign w:val="center"/>
          </w:tcPr>
          <w:p w:rsidR="00A641D5" w:rsidRDefault="00A641D5" w:rsidP="00A641D5">
            <w:pPr>
              <w:jc w:val="right"/>
              <w:rPr>
                <w:color w:val="000000"/>
                <w:sz w:val="18"/>
                <w:szCs w:val="18"/>
              </w:rPr>
            </w:pPr>
            <w:r>
              <w:rPr>
                <w:color w:val="000000"/>
                <w:sz w:val="18"/>
                <w:szCs w:val="18"/>
              </w:rPr>
              <w:t>0.06</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r w:rsidRPr="003162E3">
              <w:rPr>
                <w:color w:val="000000"/>
                <w:szCs w:val="21"/>
              </w:rPr>
              <w:t>staff</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0.6119403</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0.69</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0.38</w:t>
            </w:r>
          </w:p>
        </w:tc>
        <w:tc>
          <w:tcPr>
            <w:tcW w:w="1276" w:type="dxa"/>
            <w:shd w:val="clear" w:color="auto" w:fill="auto"/>
            <w:noWrap/>
            <w:vAlign w:val="center"/>
          </w:tcPr>
          <w:p w:rsidR="00A641D5" w:rsidRPr="003162E3" w:rsidRDefault="00A641D5" w:rsidP="00A641D5">
            <w:pPr>
              <w:jc w:val="right"/>
              <w:rPr>
                <w:b/>
                <w:color w:val="000000"/>
                <w:sz w:val="18"/>
                <w:szCs w:val="18"/>
              </w:rPr>
            </w:pPr>
            <w:r w:rsidRPr="003162E3">
              <w:rPr>
                <w:b/>
                <w:color w:val="000000"/>
                <w:sz w:val="18"/>
                <w:szCs w:val="18"/>
              </w:rPr>
              <w:t>1.145044</w:t>
            </w:r>
            <w:r w:rsidRPr="003162E3">
              <w:rPr>
                <w:rFonts w:hint="eastAsia"/>
                <w:b/>
                <w:color w:val="000000"/>
                <w:sz w:val="18"/>
                <w:szCs w:val="18"/>
              </w:rPr>
              <w:t>*</w:t>
            </w:r>
          </w:p>
        </w:tc>
        <w:tc>
          <w:tcPr>
            <w:tcW w:w="850" w:type="dxa"/>
            <w:shd w:val="clear" w:color="auto" w:fill="auto"/>
            <w:noWrap/>
            <w:vAlign w:val="center"/>
          </w:tcPr>
          <w:p w:rsidR="00A641D5" w:rsidRPr="003162E3" w:rsidRDefault="00A641D5" w:rsidP="00A641D5">
            <w:pPr>
              <w:jc w:val="right"/>
              <w:rPr>
                <w:b/>
                <w:color w:val="000000"/>
                <w:sz w:val="18"/>
                <w:szCs w:val="18"/>
              </w:rPr>
            </w:pPr>
            <w:r w:rsidRPr="003162E3">
              <w:rPr>
                <w:b/>
                <w:color w:val="000000"/>
                <w:sz w:val="18"/>
                <w:szCs w:val="18"/>
              </w:rPr>
              <w:t>4.08</w:t>
            </w:r>
          </w:p>
        </w:tc>
        <w:tc>
          <w:tcPr>
            <w:tcW w:w="567" w:type="dxa"/>
            <w:shd w:val="clear" w:color="auto" w:fill="auto"/>
            <w:vAlign w:val="center"/>
          </w:tcPr>
          <w:p w:rsidR="00A641D5" w:rsidRPr="003162E3" w:rsidRDefault="00A641D5" w:rsidP="00A641D5">
            <w:pPr>
              <w:jc w:val="right"/>
              <w:rPr>
                <w:b/>
                <w:color w:val="000000"/>
                <w:sz w:val="18"/>
                <w:szCs w:val="18"/>
              </w:rPr>
            </w:pPr>
            <w:r w:rsidRPr="003162E3">
              <w:rPr>
                <w:b/>
                <w:color w:val="000000"/>
                <w:sz w:val="18"/>
                <w:szCs w:val="18"/>
              </w:rPr>
              <w:t>0.98</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0.0040917</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0.23</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0.09</w:t>
            </w:r>
          </w:p>
        </w:tc>
        <w:tc>
          <w:tcPr>
            <w:tcW w:w="1172" w:type="dxa"/>
            <w:vAlign w:val="center"/>
          </w:tcPr>
          <w:p w:rsidR="00A641D5" w:rsidRDefault="00A641D5" w:rsidP="00A641D5">
            <w:pPr>
              <w:jc w:val="right"/>
              <w:rPr>
                <w:color w:val="000000"/>
                <w:sz w:val="18"/>
                <w:szCs w:val="18"/>
              </w:rPr>
            </w:pPr>
            <w:r>
              <w:rPr>
                <w:color w:val="000000"/>
                <w:sz w:val="18"/>
                <w:szCs w:val="18"/>
              </w:rPr>
              <w:t>0.0305008</w:t>
            </w:r>
          </w:p>
        </w:tc>
        <w:tc>
          <w:tcPr>
            <w:tcW w:w="683" w:type="dxa"/>
            <w:vAlign w:val="center"/>
          </w:tcPr>
          <w:p w:rsidR="00A641D5" w:rsidRDefault="00A641D5" w:rsidP="00A641D5">
            <w:pPr>
              <w:jc w:val="right"/>
              <w:rPr>
                <w:color w:val="000000"/>
                <w:sz w:val="18"/>
                <w:szCs w:val="18"/>
              </w:rPr>
            </w:pPr>
            <w:r>
              <w:rPr>
                <w:color w:val="000000"/>
                <w:sz w:val="18"/>
                <w:szCs w:val="18"/>
              </w:rPr>
              <w:t>0.18</w:t>
            </w:r>
          </w:p>
        </w:tc>
        <w:tc>
          <w:tcPr>
            <w:tcW w:w="597" w:type="dxa"/>
            <w:vAlign w:val="center"/>
          </w:tcPr>
          <w:p w:rsidR="00A641D5" w:rsidRDefault="00A641D5" w:rsidP="00A641D5">
            <w:pPr>
              <w:jc w:val="right"/>
              <w:rPr>
                <w:color w:val="000000"/>
                <w:sz w:val="18"/>
                <w:szCs w:val="18"/>
              </w:rPr>
            </w:pPr>
            <w:r>
              <w:rPr>
                <w:color w:val="000000"/>
                <w:sz w:val="18"/>
                <w:szCs w:val="18"/>
              </w:rPr>
              <w:t>0.06</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r w:rsidRPr="003162E3">
              <w:rPr>
                <w:color w:val="000000"/>
                <w:szCs w:val="21"/>
              </w:rPr>
              <w:t>property</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0.0315551</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0.14</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-0.0055118</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-0.06</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0.0009293</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0.08</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2" w:type="dxa"/>
            <w:vAlign w:val="center"/>
          </w:tcPr>
          <w:p w:rsidR="00A641D5" w:rsidRDefault="00A641D5" w:rsidP="00A641D5">
            <w:pPr>
              <w:jc w:val="right"/>
              <w:rPr>
                <w:color w:val="000000"/>
                <w:sz w:val="18"/>
                <w:szCs w:val="18"/>
              </w:rPr>
            </w:pPr>
            <w:r>
              <w:rPr>
                <w:color w:val="000000"/>
                <w:sz w:val="18"/>
                <w:szCs w:val="18"/>
              </w:rPr>
              <w:t>0.0565315</w:t>
            </w:r>
          </w:p>
        </w:tc>
        <w:tc>
          <w:tcPr>
            <w:tcW w:w="683" w:type="dxa"/>
            <w:vAlign w:val="center"/>
          </w:tcPr>
          <w:p w:rsidR="00A641D5" w:rsidRDefault="00A641D5" w:rsidP="00A641D5">
            <w:pPr>
              <w:jc w:val="right"/>
              <w:rPr>
                <w:color w:val="000000"/>
                <w:sz w:val="18"/>
                <w:szCs w:val="18"/>
              </w:rPr>
            </w:pPr>
            <w:r>
              <w:rPr>
                <w:color w:val="000000"/>
                <w:sz w:val="18"/>
                <w:szCs w:val="18"/>
              </w:rPr>
              <w:t>0.24</w:t>
            </w:r>
          </w:p>
        </w:tc>
        <w:tc>
          <w:tcPr>
            <w:tcW w:w="597" w:type="dxa"/>
            <w:vAlign w:val="center"/>
          </w:tcPr>
          <w:p w:rsidR="00A641D5" w:rsidRDefault="00A641D5" w:rsidP="00A641D5">
            <w:pPr>
              <w:jc w:val="right"/>
              <w:rPr>
                <w:color w:val="000000"/>
                <w:sz w:val="18"/>
                <w:szCs w:val="18"/>
              </w:rPr>
            </w:pPr>
            <w:r>
              <w:rPr>
                <w:color w:val="000000"/>
                <w:sz w:val="18"/>
                <w:szCs w:val="18"/>
              </w:rPr>
              <w:t>0.09</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r w:rsidRPr="003162E3">
              <w:rPr>
                <w:color w:val="000000"/>
                <w:szCs w:val="21"/>
              </w:rPr>
              <w:t>origin</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2.484849</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0.23</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0.08</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-0.5683517</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-0.16</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0.07</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0.0029247</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0.01</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72" w:type="dxa"/>
            <w:vAlign w:val="center"/>
          </w:tcPr>
          <w:p w:rsidR="00A641D5" w:rsidRDefault="00A641D5" w:rsidP="00A641D5">
            <w:pPr>
              <w:jc w:val="right"/>
              <w:rPr>
                <w:color w:val="000000"/>
                <w:sz w:val="18"/>
                <w:szCs w:val="18"/>
              </w:rPr>
            </w:pPr>
            <w:r>
              <w:rPr>
                <w:color w:val="000000"/>
                <w:sz w:val="18"/>
                <w:szCs w:val="18"/>
              </w:rPr>
              <w:t>1.25646</w:t>
            </w:r>
          </w:p>
        </w:tc>
        <w:tc>
          <w:tcPr>
            <w:tcW w:w="683" w:type="dxa"/>
            <w:vAlign w:val="center"/>
          </w:tcPr>
          <w:p w:rsidR="00A641D5" w:rsidRDefault="00A641D5" w:rsidP="00A641D5">
            <w:pPr>
              <w:jc w:val="right"/>
              <w:rPr>
                <w:color w:val="000000"/>
                <w:sz w:val="18"/>
                <w:szCs w:val="18"/>
              </w:rPr>
            </w:pPr>
            <w:r>
              <w:rPr>
                <w:color w:val="000000"/>
                <w:sz w:val="18"/>
                <w:szCs w:val="18"/>
              </w:rPr>
              <w:t>0.18</w:t>
            </w:r>
          </w:p>
        </w:tc>
        <w:tc>
          <w:tcPr>
            <w:tcW w:w="597" w:type="dxa"/>
            <w:vAlign w:val="center"/>
          </w:tcPr>
          <w:p w:rsidR="00A641D5" w:rsidRDefault="00A641D5" w:rsidP="00A641D5">
            <w:pPr>
              <w:jc w:val="right"/>
              <w:rPr>
                <w:color w:val="000000"/>
                <w:sz w:val="18"/>
                <w:szCs w:val="18"/>
              </w:rPr>
            </w:pPr>
            <w:r>
              <w:rPr>
                <w:color w:val="000000"/>
                <w:sz w:val="18"/>
                <w:szCs w:val="18"/>
              </w:rPr>
              <w:t>0.06</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r w:rsidRPr="003162E3">
              <w:rPr>
                <w:color w:val="000000"/>
                <w:szCs w:val="21"/>
              </w:rPr>
              <w:t>latitude</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2.075489</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0.12</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-0.1302158</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-0.02</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0.1030342</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0.12</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2" w:type="dxa"/>
            <w:vAlign w:val="center"/>
          </w:tcPr>
          <w:p w:rsidR="00A641D5" w:rsidRDefault="00A641D5" w:rsidP="00A641D5">
            <w:pPr>
              <w:jc w:val="right"/>
              <w:rPr>
                <w:color w:val="000000"/>
                <w:sz w:val="18"/>
                <w:szCs w:val="18"/>
              </w:rPr>
            </w:pPr>
            <w:r>
              <w:rPr>
                <w:color w:val="000000"/>
                <w:sz w:val="18"/>
                <w:szCs w:val="18"/>
              </w:rPr>
              <w:t>2.769638</w:t>
            </w:r>
          </w:p>
        </w:tc>
        <w:tc>
          <w:tcPr>
            <w:tcW w:w="683" w:type="dxa"/>
            <w:vAlign w:val="center"/>
          </w:tcPr>
          <w:p w:rsidR="00A641D5" w:rsidRDefault="00A641D5" w:rsidP="00A641D5">
            <w:pPr>
              <w:jc w:val="right"/>
              <w:rPr>
                <w:color w:val="000000"/>
                <w:sz w:val="18"/>
                <w:szCs w:val="18"/>
              </w:rPr>
            </w:pPr>
            <w:r>
              <w:rPr>
                <w:color w:val="000000"/>
                <w:sz w:val="18"/>
                <w:szCs w:val="18"/>
              </w:rPr>
              <w:t>0.19</w:t>
            </w:r>
          </w:p>
        </w:tc>
        <w:tc>
          <w:tcPr>
            <w:tcW w:w="597" w:type="dxa"/>
            <w:vAlign w:val="center"/>
          </w:tcPr>
          <w:p w:rsidR="00A641D5" w:rsidRDefault="00A641D5" w:rsidP="00A641D5">
            <w:pPr>
              <w:jc w:val="right"/>
              <w:rPr>
                <w:color w:val="000000"/>
                <w:sz w:val="18"/>
                <w:szCs w:val="18"/>
              </w:rPr>
            </w:pPr>
            <w:r>
              <w:rPr>
                <w:color w:val="000000"/>
                <w:sz w:val="18"/>
                <w:szCs w:val="18"/>
              </w:rPr>
              <w:t>0.07</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r w:rsidRPr="003162E3">
              <w:rPr>
                <w:color w:val="000000"/>
                <w:szCs w:val="21"/>
              </w:rPr>
              <w:t>catholic</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-1.196427</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-0.18</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0.07</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-5.571627</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-0.63</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0.35</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-0.0300649</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-0.13</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2" w:type="dxa"/>
            <w:vAlign w:val="center"/>
          </w:tcPr>
          <w:p w:rsidR="00A641D5" w:rsidRDefault="00A641D5" w:rsidP="00A641D5">
            <w:pPr>
              <w:jc w:val="right"/>
              <w:rPr>
                <w:color w:val="000000"/>
                <w:sz w:val="18"/>
                <w:szCs w:val="18"/>
              </w:rPr>
            </w:pPr>
            <w:r>
              <w:rPr>
                <w:color w:val="000000"/>
                <w:sz w:val="18"/>
                <w:szCs w:val="18"/>
              </w:rPr>
              <w:t>-4.077827</w:t>
            </w:r>
          </w:p>
        </w:tc>
        <w:tc>
          <w:tcPr>
            <w:tcW w:w="683" w:type="dxa"/>
            <w:vAlign w:val="center"/>
          </w:tcPr>
          <w:p w:rsidR="00A641D5" w:rsidRDefault="00A641D5" w:rsidP="00A641D5">
            <w:pPr>
              <w:jc w:val="right"/>
              <w:rPr>
                <w:color w:val="000000"/>
                <w:sz w:val="18"/>
                <w:szCs w:val="18"/>
              </w:rPr>
            </w:pPr>
            <w:r>
              <w:rPr>
                <w:color w:val="000000"/>
                <w:sz w:val="18"/>
                <w:szCs w:val="18"/>
              </w:rPr>
              <w:t>-0.38</w:t>
            </w:r>
          </w:p>
        </w:tc>
        <w:tc>
          <w:tcPr>
            <w:tcW w:w="597" w:type="dxa"/>
            <w:vAlign w:val="center"/>
          </w:tcPr>
          <w:p w:rsidR="00A641D5" w:rsidRDefault="00A641D5" w:rsidP="00A641D5">
            <w:pPr>
              <w:jc w:val="right"/>
              <w:rPr>
                <w:color w:val="000000"/>
                <w:sz w:val="18"/>
                <w:szCs w:val="18"/>
              </w:rPr>
            </w:pPr>
            <w:r>
              <w:rPr>
                <w:color w:val="000000"/>
                <w:sz w:val="18"/>
                <w:szCs w:val="18"/>
              </w:rPr>
              <w:t>0.16</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r w:rsidRPr="003162E3">
              <w:rPr>
                <w:color w:val="000000"/>
                <w:szCs w:val="21"/>
              </w:rPr>
              <w:t>protestant</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0.449312</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0.08</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-0.5506327</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-0.13</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0.07</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-0.0003723</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72" w:type="dxa"/>
            <w:vAlign w:val="center"/>
          </w:tcPr>
          <w:p w:rsidR="00A641D5" w:rsidRDefault="00A641D5" w:rsidP="00A641D5">
            <w:pPr>
              <w:jc w:val="right"/>
              <w:rPr>
                <w:color w:val="000000"/>
                <w:sz w:val="18"/>
                <w:szCs w:val="18"/>
              </w:rPr>
            </w:pPr>
            <w:r>
              <w:rPr>
                <w:color w:val="000000"/>
                <w:sz w:val="18"/>
                <w:szCs w:val="18"/>
              </w:rPr>
              <w:t>2.10185</w:t>
            </w:r>
          </w:p>
        </w:tc>
        <w:tc>
          <w:tcPr>
            <w:tcW w:w="683" w:type="dxa"/>
            <w:vAlign w:val="center"/>
          </w:tcPr>
          <w:p w:rsidR="00A641D5" w:rsidRDefault="00A641D5" w:rsidP="00A641D5">
            <w:pPr>
              <w:jc w:val="right"/>
              <w:rPr>
                <w:color w:val="000000"/>
                <w:sz w:val="18"/>
                <w:szCs w:val="18"/>
              </w:rPr>
            </w:pPr>
            <w:r>
              <w:rPr>
                <w:color w:val="000000"/>
                <w:sz w:val="18"/>
                <w:szCs w:val="18"/>
              </w:rPr>
              <w:t>0.26</w:t>
            </w:r>
          </w:p>
        </w:tc>
        <w:tc>
          <w:tcPr>
            <w:tcW w:w="597" w:type="dxa"/>
            <w:vAlign w:val="center"/>
          </w:tcPr>
          <w:p w:rsidR="00A641D5" w:rsidRDefault="00A641D5" w:rsidP="00A641D5">
            <w:pPr>
              <w:jc w:val="right"/>
              <w:rPr>
                <w:color w:val="000000"/>
                <w:sz w:val="18"/>
                <w:szCs w:val="18"/>
              </w:rPr>
            </w:pPr>
            <w:r>
              <w:rPr>
                <w:color w:val="000000"/>
                <w:sz w:val="18"/>
                <w:szCs w:val="18"/>
              </w:rPr>
              <w:t>0.1</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color w:val="000000"/>
                <w:szCs w:val="21"/>
              </w:rPr>
              <w:t>muslim</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-0.0829432</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-0.01</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-0.4237459</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-0.12</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0.0237085</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0.08</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72" w:type="dxa"/>
            <w:vAlign w:val="center"/>
          </w:tcPr>
          <w:p w:rsidR="00A641D5" w:rsidRDefault="00A641D5" w:rsidP="00A641D5">
            <w:pPr>
              <w:jc w:val="right"/>
              <w:rPr>
                <w:color w:val="000000"/>
                <w:sz w:val="18"/>
                <w:szCs w:val="18"/>
              </w:rPr>
            </w:pPr>
            <w:r>
              <w:rPr>
                <w:color w:val="000000"/>
                <w:sz w:val="18"/>
                <w:szCs w:val="18"/>
              </w:rPr>
              <w:t>-0.0141977</w:t>
            </w:r>
          </w:p>
        </w:tc>
        <w:tc>
          <w:tcPr>
            <w:tcW w:w="683" w:type="dxa"/>
            <w:vAlign w:val="center"/>
          </w:tcPr>
          <w:p w:rsidR="00A641D5" w:rsidRDefault="00A641D5" w:rsidP="00A641D5">
            <w:pPr>
              <w:jc w:val="right"/>
              <w:rPr>
                <w:color w:val="000000"/>
                <w:sz w:val="18"/>
                <w:szCs w:val="18"/>
              </w:rPr>
            </w:pPr>
            <w:r>
              <w:rPr>
                <w:color w:val="000000"/>
                <w:sz w:val="18"/>
                <w:szCs w:val="18"/>
              </w:rPr>
              <w:t>0</w:t>
            </w:r>
          </w:p>
        </w:tc>
        <w:tc>
          <w:tcPr>
            <w:tcW w:w="597" w:type="dxa"/>
            <w:vAlign w:val="center"/>
          </w:tcPr>
          <w:p w:rsidR="00A641D5" w:rsidRDefault="00A641D5" w:rsidP="00A641D5">
            <w:pPr>
              <w:jc w:val="right"/>
              <w:rPr>
                <w:color w:val="000000"/>
                <w:sz w:val="18"/>
                <w:szCs w:val="18"/>
              </w:rPr>
            </w:pPr>
            <w:r>
              <w:rPr>
                <w:color w:val="000000"/>
                <w:sz w:val="18"/>
                <w:szCs w:val="18"/>
              </w:rPr>
              <w:t>0.04</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color w:val="000000"/>
                <w:szCs w:val="21"/>
              </w:rPr>
              <w:t>buddhist</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-4.822641</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-0.26</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0.1</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-1.412124</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-0.23</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0.08</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-0.0619864</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-0.14</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2" w:type="dxa"/>
            <w:vAlign w:val="center"/>
          </w:tcPr>
          <w:p w:rsidR="00A641D5" w:rsidRDefault="00A641D5" w:rsidP="00A641D5">
            <w:pPr>
              <w:jc w:val="right"/>
              <w:rPr>
                <w:color w:val="000000"/>
                <w:sz w:val="18"/>
                <w:szCs w:val="18"/>
              </w:rPr>
            </w:pPr>
            <w:r>
              <w:rPr>
                <w:color w:val="000000"/>
                <w:sz w:val="18"/>
                <w:szCs w:val="18"/>
              </w:rPr>
              <w:t>-1.205434</w:t>
            </w:r>
          </w:p>
        </w:tc>
        <w:tc>
          <w:tcPr>
            <w:tcW w:w="683" w:type="dxa"/>
            <w:vAlign w:val="center"/>
          </w:tcPr>
          <w:p w:rsidR="00A641D5" w:rsidRDefault="00A641D5" w:rsidP="00A641D5">
            <w:pPr>
              <w:jc w:val="right"/>
              <w:rPr>
                <w:color w:val="000000"/>
                <w:sz w:val="18"/>
                <w:szCs w:val="18"/>
              </w:rPr>
            </w:pPr>
            <w:r>
              <w:rPr>
                <w:color w:val="000000"/>
                <w:sz w:val="18"/>
                <w:szCs w:val="18"/>
              </w:rPr>
              <w:t>-0.15</w:t>
            </w:r>
          </w:p>
        </w:tc>
        <w:tc>
          <w:tcPr>
            <w:tcW w:w="597" w:type="dxa"/>
            <w:vAlign w:val="center"/>
          </w:tcPr>
          <w:p w:rsidR="00A641D5" w:rsidRDefault="00A641D5" w:rsidP="00A641D5">
            <w:pPr>
              <w:jc w:val="right"/>
              <w:rPr>
                <w:color w:val="000000"/>
                <w:sz w:val="18"/>
                <w:szCs w:val="18"/>
              </w:rPr>
            </w:pPr>
            <w:r>
              <w:rPr>
                <w:color w:val="000000"/>
                <w:sz w:val="18"/>
                <w:szCs w:val="18"/>
              </w:rPr>
              <w:t>0.05</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r w:rsidRPr="003162E3">
              <w:rPr>
                <w:color w:val="000000"/>
                <w:szCs w:val="21"/>
              </w:rPr>
              <w:t>newspaper</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0.1400433</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0.04</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0.0623719</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0.04</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0.0414599</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0.16</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72" w:type="dxa"/>
            <w:vAlign w:val="center"/>
          </w:tcPr>
          <w:p w:rsidR="00A641D5" w:rsidRDefault="00A641D5" w:rsidP="00A641D5">
            <w:pPr>
              <w:jc w:val="right"/>
              <w:rPr>
                <w:color w:val="000000"/>
                <w:sz w:val="18"/>
                <w:szCs w:val="18"/>
              </w:rPr>
            </w:pPr>
            <w:r>
              <w:rPr>
                <w:color w:val="000000"/>
                <w:sz w:val="18"/>
                <w:szCs w:val="18"/>
              </w:rPr>
              <w:t>1.357537</w:t>
            </w:r>
          </w:p>
        </w:tc>
        <w:tc>
          <w:tcPr>
            <w:tcW w:w="683" w:type="dxa"/>
            <w:vAlign w:val="center"/>
          </w:tcPr>
          <w:p w:rsidR="00A641D5" w:rsidRDefault="00A641D5" w:rsidP="00A641D5">
            <w:pPr>
              <w:jc w:val="right"/>
              <w:rPr>
                <w:color w:val="000000"/>
                <w:sz w:val="18"/>
                <w:szCs w:val="18"/>
              </w:rPr>
            </w:pPr>
            <w:r>
              <w:rPr>
                <w:color w:val="000000"/>
                <w:sz w:val="18"/>
                <w:szCs w:val="18"/>
              </w:rPr>
              <w:t>0.28</w:t>
            </w:r>
          </w:p>
        </w:tc>
        <w:tc>
          <w:tcPr>
            <w:tcW w:w="597" w:type="dxa"/>
            <w:vAlign w:val="center"/>
          </w:tcPr>
          <w:p w:rsidR="00A641D5" w:rsidRDefault="00A641D5" w:rsidP="00A641D5">
            <w:pPr>
              <w:jc w:val="right"/>
              <w:rPr>
                <w:color w:val="000000"/>
                <w:sz w:val="18"/>
                <w:szCs w:val="18"/>
              </w:rPr>
            </w:pPr>
            <w:r>
              <w:rPr>
                <w:color w:val="000000"/>
                <w:sz w:val="18"/>
                <w:szCs w:val="18"/>
              </w:rPr>
              <w:t>0.11</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color w:val="000000"/>
                <w:szCs w:val="21"/>
              </w:rPr>
              <w:lastRenderedPageBreak/>
              <w:t>registercost</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-1.340576</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-0.17</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-0.2871111</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-0.11</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-0.0023243</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-0.01</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72" w:type="dxa"/>
            <w:vAlign w:val="center"/>
          </w:tcPr>
          <w:p w:rsidR="00A641D5" w:rsidRDefault="00A641D5" w:rsidP="00A641D5">
            <w:pPr>
              <w:jc w:val="right"/>
              <w:rPr>
                <w:color w:val="000000"/>
                <w:sz w:val="18"/>
                <w:szCs w:val="18"/>
              </w:rPr>
            </w:pPr>
            <w:r>
              <w:rPr>
                <w:color w:val="000000"/>
                <w:sz w:val="18"/>
                <w:szCs w:val="18"/>
              </w:rPr>
              <w:t>-0.117425</w:t>
            </w:r>
          </w:p>
        </w:tc>
        <w:tc>
          <w:tcPr>
            <w:tcW w:w="683" w:type="dxa"/>
            <w:vAlign w:val="center"/>
          </w:tcPr>
          <w:p w:rsidR="00A641D5" w:rsidRDefault="00A641D5" w:rsidP="00A641D5">
            <w:pPr>
              <w:jc w:val="right"/>
              <w:rPr>
                <w:color w:val="000000"/>
                <w:sz w:val="18"/>
                <w:szCs w:val="18"/>
              </w:rPr>
            </w:pPr>
            <w:r>
              <w:rPr>
                <w:color w:val="000000"/>
                <w:sz w:val="18"/>
                <w:szCs w:val="18"/>
              </w:rPr>
              <w:t>-0.03</w:t>
            </w:r>
          </w:p>
        </w:tc>
        <w:tc>
          <w:tcPr>
            <w:tcW w:w="597" w:type="dxa"/>
            <w:vAlign w:val="center"/>
          </w:tcPr>
          <w:p w:rsidR="00A641D5" w:rsidRDefault="00A641D5" w:rsidP="00A641D5">
            <w:pPr>
              <w:jc w:val="right"/>
              <w:rPr>
                <w:color w:val="000000"/>
                <w:sz w:val="18"/>
                <w:szCs w:val="18"/>
              </w:rPr>
            </w:pPr>
            <w:r>
              <w:rPr>
                <w:color w:val="000000"/>
                <w:sz w:val="18"/>
                <w:szCs w:val="18"/>
              </w:rPr>
              <w:t>0.04</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rFonts w:hint="eastAsia"/>
                <w:color w:val="000000"/>
                <w:szCs w:val="21"/>
                <w:lang w:val="en-GB"/>
              </w:rPr>
              <w:t>e</w:t>
            </w:r>
            <w:r w:rsidRPr="003162E3">
              <w:rPr>
                <w:color w:val="000000"/>
                <w:szCs w:val="21"/>
                <w:lang w:val="en-GB"/>
              </w:rPr>
              <w:t>thnolinguistic</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2.915321</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0.16</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0.3656614</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0.08</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-0.0205208</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-0.04</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72" w:type="dxa"/>
            <w:vAlign w:val="center"/>
          </w:tcPr>
          <w:p w:rsidR="00A641D5" w:rsidRDefault="00A641D5" w:rsidP="00A641D5">
            <w:pPr>
              <w:jc w:val="right"/>
              <w:rPr>
                <w:color w:val="000000"/>
                <w:sz w:val="18"/>
                <w:szCs w:val="18"/>
              </w:rPr>
            </w:pPr>
            <w:r>
              <w:rPr>
                <w:color w:val="000000"/>
                <w:sz w:val="18"/>
                <w:szCs w:val="18"/>
              </w:rPr>
              <w:t>0.2272953</w:t>
            </w:r>
          </w:p>
        </w:tc>
        <w:tc>
          <w:tcPr>
            <w:tcW w:w="683" w:type="dxa"/>
            <w:vAlign w:val="center"/>
          </w:tcPr>
          <w:p w:rsidR="00A641D5" w:rsidRDefault="00A641D5" w:rsidP="00A641D5">
            <w:pPr>
              <w:jc w:val="right"/>
              <w:rPr>
                <w:color w:val="000000"/>
                <w:sz w:val="18"/>
                <w:szCs w:val="18"/>
              </w:rPr>
            </w:pPr>
            <w:r>
              <w:rPr>
                <w:color w:val="000000"/>
                <w:sz w:val="18"/>
                <w:szCs w:val="18"/>
              </w:rPr>
              <w:t>0.03</w:t>
            </w:r>
          </w:p>
        </w:tc>
        <w:tc>
          <w:tcPr>
            <w:tcW w:w="597" w:type="dxa"/>
            <w:vAlign w:val="center"/>
          </w:tcPr>
          <w:p w:rsidR="00A641D5" w:rsidRDefault="00A641D5" w:rsidP="00A641D5">
            <w:pPr>
              <w:jc w:val="right"/>
              <w:rPr>
                <w:color w:val="000000"/>
                <w:sz w:val="18"/>
                <w:szCs w:val="18"/>
              </w:rPr>
            </w:pPr>
            <w:r>
              <w:rPr>
                <w:color w:val="000000"/>
                <w:sz w:val="18"/>
                <w:szCs w:val="18"/>
              </w:rPr>
              <w:t>0.04</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rFonts w:hint="eastAsia"/>
                <w:color w:val="000000"/>
                <w:szCs w:val="21"/>
                <w:lang w:val="en-GB"/>
              </w:rPr>
              <w:t>t</w:t>
            </w:r>
            <w:r w:rsidRPr="003162E3">
              <w:rPr>
                <w:color w:val="000000"/>
                <w:szCs w:val="21"/>
                <w:lang w:val="en-GB"/>
              </w:rPr>
              <w:t>radeopenness</w:t>
            </w:r>
            <w:proofErr w:type="spellEnd"/>
          </w:p>
        </w:tc>
        <w:tc>
          <w:tcPr>
            <w:tcW w:w="1138" w:type="dxa"/>
            <w:shd w:val="clear" w:color="auto" w:fill="auto"/>
            <w:noWrap/>
            <w:vAlign w:val="center"/>
          </w:tcPr>
          <w:p w:rsidR="00A641D5" w:rsidRPr="003162E3" w:rsidRDefault="00A641D5" w:rsidP="00A641D5">
            <w:pPr>
              <w:jc w:val="right"/>
              <w:rPr>
                <w:b/>
                <w:color w:val="000000"/>
                <w:sz w:val="18"/>
                <w:szCs w:val="18"/>
              </w:rPr>
            </w:pPr>
            <w:r w:rsidRPr="003162E3">
              <w:rPr>
                <w:b/>
                <w:color w:val="000000"/>
                <w:sz w:val="18"/>
                <w:szCs w:val="18"/>
              </w:rPr>
              <w:t>0.2249076</w:t>
            </w:r>
            <w:r>
              <w:rPr>
                <w:rFonts w:hint="eastAsia"/>
                <w:b/>
                <w:color w:val="000000"/>
                <w:sz w:val="18"/>
                <w:szCs w:val="18"/>
              </w:rPr>
              <w:t>*</w:t>
            </w:r>
          </w:p>
        </w:tc>
        <w:tc>
          <w:tcPr>
            <w:tcW w:w="825" w:type="dxa"/>
            <w:shd w:val="clear" w:color="auto" w:fill="auto"/>
            <w:noWrap/>
            <w:vAlign w:val="center"/>
          </w:tcPr>
          <w:p w:rsidR="00A641D5" w:rsidRPr="003162E3" w:rsidRDefault="00A641D5" w:rsidP="00A641D5">
            <w:pPr>
              <w:jc w:val="right"/>
              <w:rPr>
                <w:b/>
                <w:color w:val="000000"/>
                <w:sz w:val="18"/>
                <w:szCs w:val="18"/>
              </w:rPr>
            </w:pPr>
            <w:r w:rsidRPr="003162E3">
              <w:rPr>
                <w:b/>
                <w:color w:val="000000"/>
                <w:sz w:val="18"/>
                <w:szCs w:val="18"/>
              </w:rPr>
              <w:t>0.91</w:t>
            </w:r>
          </w:p>
        </w:tc>
        <w:tc>
          <w:tcPr>
            <w:tcW w:w="551" w:type="dxa"/>
            <w:shd w:val="clear" w:color="auto" w:fill="auto"/>
            <w:vAlign w:val="center"/>
          </w:tcPr>
          <w:p w:rsidR="00A641D5" w:rsidRPr="003162E3" w:rsidRDefault="00A641D5" w:rsidP="00A641D5">
            <w:pPr>
              <w:jc w:val="right"/>
              <w:rPr>
                <w:b/>
                <w:color w:val="000000"/>
                <w:sz w:val="18"/>
                <w:szCs w:val="18"/>
              </w:rPr>
            </w:pPr>
            <w:r w:rsidRPr="003162E3">
              <w:rPr>
                <w:b/>
                <w:color w:val="000000"/>
                <w:sz w:val="18"/>
                <w:szCs w:val="18"/>
              </w:rPr>
              <w:t>0.51</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0.004801</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0.17</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0.06</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0.0002896</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0.14</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0.05</w:t>
            </w:r>
          </w:p>
        </w:tc>
        <w:tc>
          <w:tcPr>
            <w:tcW w:w="1172" w:type="dxa"/>
            <w:vAlign w:val="center"/>
          </w:tcPr>
          <w:p w:rsidR="00A641D5" w:rsidRDefault="00A641D5" w:rsidP="00A641D5">
            <w:pPr>
              <w:jc w:val="right"/>
              <w:rPr>
                <w:color w:val="000000"/>
                <w:sz w:val="18"/>
                <w:szCs w:val="18"/>
              </w:rPr>
            </w:pPr>
            <w:r>
              <w:rPr>
                <w:color w:val="000000"/>
                <w:sz w:val="18"/>
                <w:szCs w:val="18"/>
              </w:rPr>
              <w:t>-0.0017069</w:t>
            </w:r>
          </w:p>
        </w:tc>
        <w:tc>
          <w:tcPr>
            <w:tcW w:w="683" w:type="dxa"/>
            <w:vAlign w:val="center"/>
          </w:tcPr>
          <w:p w:rsidR="00A641D5" w:rsidRDefault="00A641D5" w:rsidP="00A641D5">
            <w:pPr>
              <w:jc w:val="right"/>
              <w:rPr>
                <w:color w:val="000000"/>
                <w:sz w:val="18"/>
                <w:szCs w:val="18"/>
              </w:rPr>
            </w:pPr>
            <w:r>
              <w:rPr>
                <w:color w:val="000000"/>
                <w:sz w:val="18"/>
                <w:szCs w:val="18"/>
              </w:rPr>
              <w:t>-0.06</w:t>
            </w:r>
          </w:p>
        </w:tc>
        <w:tc>
          <w:tcPr>
            <w:tcW w:w="597" w:type="dxa"/>
            <w:vAlign w:val="center"/>
          </w:tcPr>
          <w:p w:rsidR="00A641D5" w:rsidRDefault="00A641D5" w:rsidP="00A641D5">
            <w:pPr>
              <w:jc w:val="right"/>
              <w:rPr>
                <w:color w:val="000000"/>
                <w:sz w:val="18"/>
                <w:szCs w:val="18"/>
              </w:rPr>
            </w:pPr>
            <w:r>
              <w:rPr>
                <w:color w:val="000000"/>
                <w:sz w:val="18"/>
                <w:szCs w:val="18"/>
              </w:rPr>
              <w:t>0.04</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r w:rsidRPr="003162E3">
              <w:rPr>
                <w:color w:val="000000"/>
                <w:szCs w:val="21"/>
              </w:rPr>
              <w:t>employment</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-3.768245</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-0.19</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0.07</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-0.2170581</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-0.05</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0.0119929</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0.02</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172" w:type="dxa"/>
            <w:vAlign w:val="center"/>
          </w:tcPr>
          <w:p w:rsidR="00A641D5" w:rsidRDefault="00A641D5" w:rsidP="00A641D5">
            <w:pPr>
              <w:jc w:val="right"/>
              <w:rPr>
                <w:color w:val="000000"/>
                <w:sz w:val="18"/>
                <w:szCs w:val="18"/>
              </w:rPr>
            </w:pPr>
            <w:r>
              <w:rPr>
                <w:color w:val="000000"/>
                <w:sz w:val="18"/>
                <w:szCs w:val="18"/>
              </w:rPr>
              <w:t>-1.177344</w:t>
            </w:r>
          </w:p>
        </w:tc>
        <w:tc>
          <w:tcPr>
            <w:tcW w:w="683" w:type="dxa"/>
            <w:vAlign w:val="center"/>
          </w:tcPr>
          <w:p w:rsidR="00A641D5" w:rsidRDefault="00A641D5" w:rsidP="00A641D5">
            <w:pPr>
              <w:jc w:val="right"/>
              <w:rPr>
                <w:color w:val="000000"/>
                <w:sz w:val="18"/>
                <w:szCs w:val="18"/>
              </w:rPr>
            </w:pPr>
            <w:r>
              <w:rPr>
                <w:color w:val="000000"/>
                <w:sz w:val="18"/>
                <w:szCs w:val="18"/>
              </w:rPr>
              <w:t>-0.11</w:t>
            </w:r>
          </w:p>
        </w:tc>
        <w:tc>
          <w:tcPr>
            <w:tcW w:w="597" w:type="dxa"/>
            <w:vAlign w:val="center"/>
          </w:tcPr>
          <w:p w:rsidR="00A641D5" w:rsidRDefault="00A641D5" w:rsidP="00A641D5">
            <w:pPr>
              <w:jc w:val="right"/>
              <w:rPr>
                <w:color w:val="000000"/>
                <w:sz w:val="18"/>
                <w:szCs w:val="18"/>
              </w:rPr>
            </w:pPr>
            <w:r>
              <w:rPr>
                <w:color w:val="000000"/>
                <w:sz w:val="18"/>
                <w:szCs w:val="18"/>
              </w:rPr>
              <w:t>0.05</w:t>
            </w:r>
          </w:p>
        </w:tc>
      </w:tr>
      <w:tr w:rsidR="00E87B9A" w:rsidRPr="003162E3" w:rsidTr="00E87B9A">
        <w:trPr>
          <w:trHeight w:val="270"/>
          <w:jc w:val="center"/>
        </w:trPr>
        <w:tc>
          <w:tcPr>
            <w:tcW w:w="1466" w:type="dxa"/>
            <w:shd w:val="clear" w:color="auto" w:fill="auto"/>
            <w:noWrap/>
            <w:vAlign w:val="center"/>
            <w:hideMark/>
          </w:tcPr>
          <w:p w:rsidR="00A641D5" w:rsidRPr="003162E3" w:rsidRDefault="00A641D5" w:rsidP="00A641D5">
            <w:pPr>
              <w:rPr>
                <w:color w:val="000000"/>
                <w:szCs w:val="21"/>
              </w:rPr>
            </w:pPr>
            <w:proofErr w:type="spellStart"/>
            <w:r w:rsidRPr="003162E3">
              <w:rPr>
                <w:color w:val="000000"/>
                <w:szCs w:val="21"/>
              </w:rPr>
              <w:t>pinstab</w:t>
            </w:r>
            <w:proofErr w:type="spellEnd"/>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-0.2213327</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-0.03</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0.04</w:t>
            </w:r>
          </w:p>
        </w:tc>
        <w:tc>
          <w:tcPr>
            <w:tcW w:w="1276" w:type="dxa"/>
            <w:shd w:val="clear" w:color="auto" w:fill="auto"/>
            <w:noWrap/>
            <w:vAlign w:val="center"/>
          </w:tcPr>
          <w:p w:rsidR="00A641D5" w:rsidRDefault="00A641D5" w:rsidP="00A641D5">
            <w:pPr>
              <w:jc w:val="right"/>
              <w:rPr>
                <w:color w:val="000000"/>
                <w:sz w:val="18"/>
                <w:szCs w:val="18"/>
              </w:rPr>
            </w:pPr>
            <w:r>
              <w:rPr>
                <w:color w:val="000000"/>
                <w:sz w:val="18"/>
                <w:szCs w:val="18"/>
              </w:rPr>
              <w:t>-0.8162005</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-0.19</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0.07</w:t>
            </w:r>
          </w:p>
        </w:tc>
        <w:tc>
          <w:tcPr>
            <w:tcW w:w="1138" w:type="dxa"/>
            <w:shd w:val="clear" w:color="auto" w:fill="auto"/>
            <w:noWrap/>
            <w:vAlign w:val="center"/>
          </w:tcPr>
          <w:p w:rsidR="00A641D5" w:rsidRDefault="00A641D5" w:rsidP="00A641D5">
            <w:pPr>
              <w:jc w:val="right"/>
              <w:rPr>
                <w:color w:val="000000"/>
                <w:sz w:val="18"/>
                <w:szCs w:val="18"/>
              </w:rPr>
            </w:pPr>
            <w:r>
              <w:rPr>
                <w:color w:val="000000"/>
                <w:sz w:val="18"/>
                <w:szCs w:val="18"/>
              </w:rPr>
              <w:t>0.2126067</w:t>
            </w:r>
          </w:p>
        </w:tc>
        <w:tc>
          <w:tcPr>
            <w:tcW w:w="714" w:type="dxa"/>
            <w:shd w:val="clear" w:color="auto" w:fill="auto"/>
            <w:noWrap/>
            <w:vAlign w:val="center"/>
          </w:tcPr>
          <w:p w:rsidR="00A641D5" w:rsidRDefault="00A641D5" w:rsidP="00A641D5">
            <w:pPr>
              <w:jc w:val="right"/>
              <w:rPr>
                <w:color w:val="000000"/>
                <w:sz w:val="18"/>
                <w:szCs w:val="18"/>
              </w:rPr>
            </w:pPr>
            <w:r>
              <w:rPr>
                <w:color w:val="000000"/>
                <w:sz w:val="18"/>
                <w:szCs w:val="18"/>
              </w:rPr>
              <w:t>0.27</w:t>
            </w:r>
          </w:p>
        </w:tc>
        <w:tc>
          <w:tcPr>
            <w:tcW w:w="531" w:type="dxa"/>
            <w:shd w:val="clear" w:color="auto" w:fill="auto"/>
            <w:vAlign w:val="center"/>
          </w:tcPr>
          <w:p w:rsidR="00A641D5" w:rsidRDefault="00A641D5" w:rsidP="00A641D5">
            <w:pPr>
              <w:jc w:val="right"/>
              <w:rPr>
                <w:color w:val="000000"/>
                <w:sz w:val="18"/>
                <w:szCs w:val="18"/>
              </w:rPr>
            </w:pPr>
            <w:r>
              <w:rPr>
                <w:color w:val="000000"/>
                <w:sz w:val="18"/>
                <w:szCs w:val="18"/>
              </w:rPr>
              <w:t>0.1</w:t>
            </w:r>
          </w:p>
        </w:tc>
        <w:tc>
          <w:tcPr>
            <w:tcW w:w="1172" w:type="dxa"/>
            <w:vAlign w:val="center"/>
          </w:tcPr>
          <w:p w:rsidR="00A641D5" w:rsidRDefault="00A641D5" w:rsidP="00A641D5">
            <w:pPr>
              <w:jc w:val="right"/>
              <w:rPr>
                <w:color w:val="000000"/>
                <w:sz w:val="18"/>
                <w:szCs w:val="18"/>
              </w:rPr>
            </w:pPr>
            <w:r>
              <w:rPr>
                <w:color w:val="000000"/>
                <w:sz w:val="18"/>
                <w:szCs w:val="18"/>
              </w:rPr>
              <w:t>0.1998215</w:t>
            </w:r>
          </w:p>
        </w:tc>
        <w:tc>
          <w:tcPr>
            <w:tcW w:w="683" w:type="dxa"/>
            <w:vAlign w:val="center"/>
          </w:tcPr>
          <w:p w:rsidR="00A641D5" w:rsidRDefault="00A641D5" w:rsidP="00A641D5">
            <w:pPr>
              <w:jc w:val="right"/>
              <w:rPr>
                <w:color w:val="000000"/>
                <w:sz w:val="18"/>
                <w:szCs w:val="18"/>
              </w:rPr>
            </w:pPr>
            <w:r>
              <w:rPr>
                <w:color w:val="000000"/>
                <w:sz w:val="18"/>
                <w:szCs w:val="18"/>
              </w:rPr>
              <w:t>0.04</w:t>
            </w:r>
          </w:p>
        </w:tc>
        <w:tc>
          <w:tcPr>
            <w:tcW w:w="597" w:type="dxa"/>
            <w:vAlign w:val="center"/>
          </w:tcPr>
          <w:p w:rsidR="00A641D5" w:rsidRDefault="00A641D5" w:rsidP="00A641D5">
            <w:pPr>
              <w:jc w:val="right"/>
              <w:rPr>
                <w:color w:val="000000"/>
                <w:sz w:val="18"/>
                <w:szCs w:val="18"/>
              </w:rPr>
            </w:pPr>
            <w:r>
              <w:rPr>
                <w:color w:val="000000"/>
                <w:sz w:val="18"/>
                <w:szCs w:val="18"/>
              </w:rPr>
              <w:t>0.04</w:t>
            </w:r>
          </w:p>
        </w:tc>
      </w:tr>
      <w:tr w:rsidR="00E87B9A" w:rsidRPr="003162E3" w:rsidTr="00E87B9A">
        <w:trPr>
          <w:trHeight w:val="270"/>
          <w:jc w:val="center"/>
        </w:trPr>
        <w:tc>
          <w:tcPr>
            <w:tcW w:w="1466" w:type="dxa"/>
            <w:shd w:val="clear" w:color="auto" w:fill="auto"/>
            <w:noWrap/>
            <w:vAlign w:val="bottom"/>
            <w:hideMark/>
          </w:tcPr>
          <w:p w:rsidR="00A641D5" w:rsidRPr="003162E3" w:rsidRDefault="00A641D5" w:rsidP="00A641D5">
            <w:pPr>
              <w:widowControl/>
              <w:adjustRightInd w:val="0"/>
              <w:snapToGrid w:val="0"/>
              <w:jc w:val="left"/>
              <w:rPr>
                <w:b/>
                <w:color w:val="000000"/>
                <w:kern w:val="0"/>
                <w:szCs w:val="21"/>
                <w:lang w:val="en-GB"/>
              </w:rPr>
            </w:pPr>
          </w:p>
        </w:tc>
        <w:tc>
          <w:tcPr>
            <w:tcW w:w="1138" w:type="dxa"/>
            <w:shd w:val="clear" w:color="auto" w:fill="auto"/>
            <w:noWrap/>
            <w:vAlign w:val="bottom"/>
          </w:tcPr>
          <w:p w:rsidR="00A641D5" w:rsidRPr="003162E3" w:rsidRDefault="00A641D5" w:rsidP="00A641D5">
            <w:pPr>
              <w:widowControl/>
              <w:adjustRightInd w:val="0"/>
              <w:snapToGrid w:val="0"/>
              <w:jc w:val="center"/>
              <w:rPr>
                <w:b/>
                <w:color w:val="000000"/>
                <w:kern w:val="0"/>
                <w:szCs w:val="21"/>
                <w:lang w:val="en-GB"/>
              </w:rPr>
            </w:pPr>
          </w:p>
        </w:tc>
        <w:tc>
          <w:tcPr>
            <w:tcW w:w="825" w:type="dxa"/>
            <w:shd w:val="clear" w:color="auto" w:fill="auto"/>
            <w:noWrap/>
            <w:vAlign w:val="bottom"/>
          </w:tcPr>
          <w:p w:rsidR="00A641D5" w:rsidRPr="003162E3" w:rsidRDefault="00A641D5" w:rsidP="00A641D5">
            <w:pPr>
              <w:widowControl/>
              <w:adjustRightInd w:val="0"/>
              <w:snapToGrid w:val="0"/>
              <w:jc w:val="center"/>
              <w:rPr>
                <w:b/>
                <w:color w:val="000000"/>
                <w:kern w:val="0"/>
                <w:szCs w:val="21"/>
                <w:lang w:val="en-GB"/>
              </w:rPr>
            </w:pPr>
          </w:p>
        </w:tc>
        <w:tc>
          <w:tcPr>
            <w:tcW w:w="551" w:type="dxa"/>
            <w:shd w:val="clear" w:color="auto" w:fill="auto"/>
            <w:vAlign w:val="bottom"/>
          </w:tcPr>
          <w:p w:rsidR="00A641D5" w:rsidRPr="003162E3" w:rsidRDefault="00A641D5" w:rsidP="00A641D5">
            <w:pPr>
              <w:widowControl/>
              <w:adjustRightInd w:val="0"/>
              <w:snapToGrid w:val="0"/>
              <w:jc w:val="center"/>
              <w:rPr>
                <w:b/>
                <w:color w:val="000000"/>
                <w:kern w:val="0"/>
                <w:szCs w:val="21"/>
                <w:lang w:val="en-GB"/>
              </w:rPr>
            </w:pPr>
          </w:p>
        </w:tc>
        <w:tc>
          <w:tcPr>
            <w:tcW w:w="1276" w:type="dxa"/>
            <w:shd w:val="clear" w:color="auto" w:fill="auto"/>
            <w:noWrap/>
            <w:vAlign w:val="bottom"/>
          </w:tcPr>
          <w:p w:rsidR="00A641D5" w:rsidRPr="003162E3" w:rsidRDefault="00A641D5" w:rsidP="00A641D5">
            <w:pPr>
              <w:widowControl/>
              <w:adjustRightInd w:val="0"/>
              <w:snapToGrid w:val="0"/>
              <w:jc w:val="center"/>
              <w:rPr>
                <w:b/>
                <w:color w:val="000000"/>
                <w:kern w:val="0"/>
                <w:szCs w:val="21"/>
                <w:lang w:val="en-GB"/>
              </w:rPr>
            </w:pPr>
          </w:p>
        </w:tc>
        <w:tc>
          <w:tcPr>
            <w:tcW w:w="850" w:type="dxa"/>
            <w:shd w:val="clear" w:color="auto" w:fill="auto"/>
            <w:noWrap/>
            <w:vAlign w:val="bottom"/>
          </w:tcPr>
          <w:p w:rsidR="00A641D5" w:rsidRPr="003162E3" w:rsidRDefault="00A641D5" w:rsidP="00A641D5">
            <w:pPr>
              <w:widowControl/>
              <w:adjustRightInd w:val="0"/>
              <w:snapToGrid w:val="0"/>
              <w:jc w:val="center"/>
              <w:rPr>
                <w:b/>
                <w:color w:val="000000"/>
                <w:kern w:val="0"/>
                <w:szCs w:val="21"/>
                <w:lang w:val="en-GB"/>
              </w:rPr>
            </w:pPr>
          </w:p>
        </w:tc>
        <w:tc>
          <w:tcPr>
            <w:tcW w:w="567" w:type="dxa"/>
            <w:shd w:val="clear" w:color="auto" w:fill="auto"/>
            <w:vAlign w:val="bottom"/>
          </w:tcPr>
          <w:p w:rsidR="00A641D5" w:rsidRPr="003162E3" w:rsidRDefault="00A641D5" w:rsidP="00A641D5">
            <w:pPr>
              <w:widowControl/>
              <w:adjustRightInd w:val="0"/>
              <w:snapToGrid w:val="0"/>
              <w:jc w:val="center"/>
              <w:rPr>
                <w:b/>
                <w:color w:val="000000"/>
                <w:kern w:val="0"/>
                <w:szCs w:val="21"/>
                <w:lang w:val="en-GB"/>
              </w:rPr>
            </w:pPr>
          </w:p>
        </w:tc>
        <w:tc>
          <w:tcPr>
            <w:tcW w:w="1138" w:type="dxa"/>
            <w:shd w:val="clear" w:color="auto" w:fill="auto"/>
            <w:noWrap/>
            <w:vAlign w:val="bottom"/>
          </w:tcPr>
          <w:p w:rsidR="00A641D5" w:rsidRPr="003162E3" w:rsidRDefault="00A641D5" w:rsidP="00A641D5">
            <w:pPr>
              <w:widowControl/>
              <w:adjustRightInd w:val="0"/>
              <w:snapToGrid w:val="0"/>
              <w:jc w:val="center"/>
              <w:rPr>
                <w:b/>
                <w:color w:val="000000"/>
                <w:kern w:val="0"/>
                <w:szCs w:val="21"/>
                <w:lang w:val="en-GB"/>
              </w:rPr>
            </w:pPr>
          </w:p>
        </w:tc>
        <w:tc>
          <w:tcPr>
            <w:tcW w:w="714" w:type="dxa"/>
            <w:shd w:val="clear" w:color="auto" w:fill="auto"/>
            <w:noWrap/>
            <w:vAlign w:val="bottom"/>
          </w:tcPr>
          <w:p w:rsidR="00A641D5" w:rsidRPr="003162E3" w:rsidRDefault="00A641D5" w:rsidP="00A641D5">
            <w:pPr>
              <w:widowControl/>
              <w:adjustRightInd w:val="0"/>
              <w:snapToGrid w:val="0"/>
              <w:jc w:val="center"/>
              <w:rPr>
                <w:b/>
                <w:color w:val="000000"/>
                <w:kern w:val="0"/>
                <w:szCs w:val="21"/>
                <w:lang w:val="en-GB"/>
              </w:rPr>
            </w:pPr>
          </w:p>
        </w:tc>
        <w:tc>
          <w:tcPr>
            <w:tcW w:w="531" w:type="dxa"/>
            <w:shd w:val="clear" w:color="auto" w:fill="auto"/>
            <w:vAlign w:val="bottom"/>
          </w:tcPr>
          <w:p w:rsidR="00A641D5" w:rsidRPr="003162E3" w:rsidRDefault="00A641D5" w:rsidP="00A641D5">
            <w:pPr>
              <w:widowControl/>
              <w:adjustRightInd w:val="0"/>
              <w:snapToGrid w:val="0"/>
              <w:jc w:val="center"/>
              <w:rPr>
                <w:b/>
                <w:color w:val="000000"/>
                <w:kern w:val="0"/>
                <w:szCs w:val="21"/>
                <w:lang w:val="en-GB"/>
              </w:rPr>
            </w:pPr>
          </w:p>
        </w:tc>
        <w:tc>
          <w:tcPr>
            <w:tcW w:w="1172" w:type="dxa"/>
            <w:vAlign w:val="bottom"/>
          </w:tcPr>
          <w:p w:rsidR="00A641D5" w:rsidRPr="003162E3" w:rsidRDefault="00A641D5" w:rsidP="00A641D5">
            <w:pPr>
              <w:widowControl/>
              <w:adjustRightInd w:val="0"/>
              <w:snapToGrid w:val="0"/>
              <w:jc w:val="center"/>
              <w:rPr>
                <w:b/>
                <w:color w:val="000000"/>
                <w:kern w:val="0"/>
                <w:szCs w:val="21"/>
                <w:lang w:val="en-GB"/>
              </w:rPr>
            </w:pPr>
          </w:p>
        </w:tc>
        <w:tc>
          <w:tcPr>
            <w:tcW w:w="683" w:type="dxa"/>
            <w:vAlign w:val="bottom"/>
          </w:tcPr>
          <w:p w:rsidR="00A641D5" w:rsidRPr="003162E3" w:rsidRDefault="00A641D5" w:rsidP="00A641D5">
            <w:pPr>
              <w:widowControl/>
              <w:adjustRightInd w:val="0"/>
              <w:snapToGrid w:val="0"/>
              <w:jc w:val="center"/>
              <w:rPr>
                <w:b/>
                <w:color w:val="000000"/>
                <w:kern w:val="0"/>
                <w:szCs w:val="21"/>
                <w:lang w:val="en-GB"/>
              </w:rPr>
            </w:pPr>
          </w:p>
        </w:tc>
        <w:tc>
          <w:tcPr>
            <w:tcW w:w="597" w:type="dxa"/>
            <w:vAlign w:val="bottom"/>
          </w:tcPr>
          <w:p w:rsidR="00A641D5" w:rsidRPr="003162E3" w:rsidRDefault="00A641D5" w:rsidP="00A641D5">
            <w:pPr>
              <w:widowControl/>
              <w:adjustRightInd w:val="0"/>
              <w:snapToGrid w:val="0"/>
              <w:jc w:val="center"/>
              <w:rPr>
                <w:b/>
                <w:color w:val="000000"/>
                <w:kern w:val="0"/>
                <w:szCs w:val="21"/>
                <w:lang w:val="en-GB"/>
              </w:rPr>
            </w:pPr>
          </w:p>
        </w:tc>
      </w:tr>
      <w:tr w:rsidR="00E87B9A" w:rsidRPr="003162E3" w:rsidTr="00E87B9A">
        <w:trPr>
          <w:trHeight w:val="270"/>
          <w:jc w:val="center"/>
        </w:trPr>
        <w:tc>
          <w:tcPr>
            <w:tcW w:w="1466" w:type="dxa"/>
            <w:shd w:val="clear" w:color="auto" w:fill="auto"/>
            <w:noWrap/>
            <w:vAlign w:val="bottom"/>
            <w:hideMark/>
          </w:tcPr>
          <w:p w:rsidR="00A641D5" w:rsidRPr="003162E3" w:rsidRDefault="00A641D5" w:rsidP="00A641D5">
            <w:pPr>
              <w:widowControl/>
              <w:adjustRightInd w:val="0"/>
              <w:snapToGrid w:val="0"/>
              <w:jc w:val="left"/>
              <w:rPr>
                <w:color w:val="000000"/>
                <w:kern w:val="0"/>
                <w:szCs w:val="21"/>
                <w:lang w:val="en-GB"/>
              </w:rPr>
            </w:pPr>
            <w:r>
              <w:rPr>
                <w:rFonts w:hint="eastAsia"/>
                <w:color w:val="000000"/>
                <w:kern w:val="0"/>
                <w:szCs w:val="21"/>
                <w:lang w:val="en-GB"/>
              </w:rPr>
              <w:t>constant</w:t>
            </w:r>
          </w:p>
        </w:tc>
        <w:tc>
          <w:tcPr>
            <w:tcW w:w="1138" w:type="dxa"/>
            <w:shd w:val="clear" w:color="auto" w:fill="auto"/>
            <w:noWrap/>
            <w:vAlign w:val="center"/>
          </w:tcPr>
          <w:p w:rsidR="00A641D5" w:rsidRPr="003162E3" w:rsidRDefault="00A641D5" w:rsidP="00A641D5">
            <w:pPr>
              <w:jc w:val="center"/>
              <w:rPr>
                <w:color w:val="000000"/>
                <w:szCs w:val="21"/>
                <w:lang w:val="en-GB"/>
              </w:rPr>
            </w:pPr>
            <w:r>
              <w:rPr>
                <w:color w:val="000000"/>
                <w:sz w:val="18"/>
                <w:szCs w:val="18"/>
              </w:rPr>
              <w:t>-26.10953</w:t>
            </w:r>
          </w:p>
        </w:tc>
        <w:tc>
          <w:tcPr>
            <w:tcW w:w="825" w:type="dxa"/>
            <w:shd w:val="clear" w:color="auto" w:fill="auto"/>
            <w:noWrap/>
            <w:vAlign w:val="center"/>
          </w:tcPr>
          <w:p w:rsidR="00A641D5" w:rsidRDefault="00A641D5" w:rsidP="00A641D5">
            <w:pPr>
              <w:jc w:val="right"/>
              <w:rPr>
                <w:color w:val="000000"/>
                <w:sz w:val="18"/>
                <w:szCs w:val="18"/>
              </w:rPr>
            </w:pPr>
            <w:r>
              <w:rPr>
                <w:color w:val="000000"/>
                <w:sz w:val="18"/>
                <w:szCs w:val="18"/>
              </w:rPr>
              <w:t>-0.33</w:t>
            </w:r>
          </w:p>
        </w:tc>
        <w:tc>
          <w:tcPr>
            <w:tcW w:w="551" w:type="dxa"/>
            <w:shd w:val="clear" w:color="auto" w:fill="auto"/>
            <w:vAlign w:val="center"/>
          </w:tcPr>
          <w:p w:rsidR="00A641D5" w:rsidRDefault="00A641D5" w:rsidP="00A641D5">
            <w:pPr>
              <w:jc w:val="right"/>
              <w:rPr>
                <w:color w:val="000000"/>
                <w:sz w:val="18"/>
                <w:szCs w:val="18"/>
              </w:rPr>
            </w:pPr>
            <w:r>
              <w:rPr>
                <w:color w:val="000000"/>
                <w:sz w:val="18"/>
                <w:szCs w:val="18"/>
              </w:rPr>
              <w:t>1</w:t>
            </w:r>
          </w:p>
        </w:tc>
        <w:tc>
          <w:tcPr>
            <w:tcW w:w="1276" w:type="dxa"/>
            <w:shd w:val="clear" w:color="auto" w:fill="auto"/>
            <w:noWrap/>
            <w:vAlign w:val="center"/>
          </w:tcPr>
          <w:p w:rsidR="00A641D5" w:rsidRPr="003162E3" w:rsidRDefault="00A641D5" w:rsidP="00A641D5">
            <w:pPr>
              <w:jc w:val="center"/>
              <w:rPr>
                <w:color w:val="000000"/>
                <w:szCs w:val="21"/>
                <w:lang w:val="en-GB"/>
              </w:rPr>
            </w:pPr>
            <w:r>
              <w:rPr>
                <w:color w:val="000000"/>
                <w:sz w:val="18"/>
                <w:szCs w:val="18"/>
              </w:rPr>
              <w:t>-15.38059</w:t>
            </w:r>
          </w:p>
        </w:tc>
        <w:tc>
          <w:tcPr>
            <w:tcW w:w="850" w:type="dxa"/>
            <w:shd w:val="clear" w:color="auto" w:fill="auto"/>
            <w:noWrap/>
            <w:vAlign w:val="center"/>
          </w:tcPr>
          <w:p w:rsidR="00A641D5" w:rsidRDefault="00A641D5" w:rsidP="00A641D5">
            <w:pPr>
              <w:jc w:val="right"/>
              <w:rPr>
                <w:color w:val="000000"/>
                <w:sz w:val="18"/>
                <w:szCs w:val="18"/>
              </w:rPr>
            </w:pPr>
            <w:r>
              <w:rPr>
                <w:color w:val="000000"/>
                <w:sz w:val="18"/>
                <w:szCs w:val="18"/>
              </w:rPr>
              <w:t>-0.48</w:t>
            </w:r>
          </w:p>
        </w:tc>
        <w:tc>
          <w:tcPr>
            <w:tcW w:w="567" w:type="dxa"/>
            <w:shd w:val="clear" w:color="auto" w:fill="auto"/>
            <w:vAlign w:val="center"/>
          </w:tcPr>
          <w:p w:rsidR="00A641D5" w:rsidRDefault="00A641D5" w:rsidP="00A641D5">
            <w:pPr>
              <w:jc w:val="right"/>
              <w:rPr>
                <w:color w:val="000000"/>
                <w:sz w:val="18"/>
                <w:szCs w:val="18"/>
              </w:rPr>
            </w:pPr>
            <w:r>
              <w:rPr>
                <w:color w:val="000000"/>
                <w:sz w:val="18"/>
                <w:szCs w:val="18"/>
              </w:rPr>
              <w:t>1</w:t>
            </w:r>
          </w:p>
        </w:tc>
        <w:tc>
          <w:tcPr>
            <w:tcW w:w="1138" w:type="dxa"/>
            <w:shd w:val="clear" w:color="auto" w:fill="auto"/>
            <w:noWrap/>
            <w:vAlign w:val="center"/>
          </w:tcPr>
          <w:p w:rsidR="00A641D5" w:rsidRPr="003162E3" w:rsidRDefault="00A641D5" w:rsidP="00A641D5">
            <w:pPr>
              <w:jc w:val="center"/>
              <w:rPr>
                <w:b/>
                <w:color w:val="000000"/>
                <w:szCs w:val="21"/>
                <w:lang w:val="en-GB"/>
              </w:rPr>
            </w:pPr>
            <w:r w:rsidRPr="003162E3">
              <w:rPr>
                <w:b/>
                <w:color w:val="000000"/>
                <w:sz w:val="18"/>
                <w:szCs w:val="18"/>
              </w:rPr>
              <w:t>-9.629286</w:t>
            </w:r>
            <w:r w:rsidRPr="003162E3">
              <w:rPr>
                <w:rFonts w:hint="eastAsia"/>
                <w:b/>
                <w:color w:val="000000"/>
                <w:sz w:val="18"/>
                <w:szCs w:val="18"/>
              </w:rPr>
              <w:t>*</w:t>
            </w:r>
          </w:p>
        </w:tc>
        <w:tc>
          <w:tcPr>
            <w:tcW w:w="714" w:type="dxa"/>
            <w:shd w:val="clear" w:color="auto" w:fill="auto"/>
            <w:noWrap/>
            <w:vAlign w:val="center"/>
          </w:tcPr>
          <w:p w:rsidR="00A641D5" w:rsidRPr="003162E3" w:rsidRDefault="00A641D5" w:rsidP="00A641D5">
            <w:pPr>
              <w:jc w:val="right"/>
              <w:rPr>
                <w:b/>
                <w:color w:val="000000"/>
                <w:sz w:val="18"/>
                <w:szCs w:val="18"/>
              </w:rPr>
            </w:pPr>
            <w:r w:rsidRPr="003162E3">
              <w:rPr>
                <w:b/>
                <w:color w:val="000000"/>
                <w:sz w:val="18"/>
                <w:szCs w:val="18"/>
              </w:rPr>
              <w:t>-2.46</w:t>
            </w:r>
          </w:p>
        </w:tc>
        <w:tc>
          <w:tcPr>
            <w:tcW w:w="531" w:type="dxa"/>
            <w:shd w:val="clear" w:color="auto" w:fill="auto"/>
            <w:vAlign w:val="center"/>
          </w:tcPr>
          <w:p w:rsidR="00A641D5" w:rsidRPr="003162E3" w:rsidRDefault="00A641D5" w:rsidP="00A641D5">
            <w:pPr>
              <w:jc w:val="right"/>
              <w:rPr>
                <w:b/>
                <w:color w:val="000000"/>
                <w:sz w:val="18"/>
                <w:szCs w:val="18"/>
              </w:rPr>
            </w:pPr>
            <w:r w:rsidRPr="003162E3">
              <w:rPr>
                <w:b/>
                <w:color w:val="000000"/>
                <w:sz w:val="18"/>
                <w:szCs w:val="18"/>
              </w:rPr>
              <w:t>1</w:t>
            </w:r>
          </w:p>
        </w:tc>
        <w:tc>
          <w:tcPr>
            <w:tcW w:w="1172" w:type="dxa"/>
            <w:vAlign w:val="center"/>
          </w:tcPr>
          <w:p w:rsidR="00A641D5" w:rsidRPr="003162E3" w:rsidRDefault="00A641D5" w:rsidP="00A641D5">
            <w:pPr>
              <w:jc w:val="center"/>
              <w:rPr>
                <w:color w:val="000000"/>
                <w:szCs w:val="21"/>
                <w:lang w:val="en-GB"/>
              </w:rPr>
            </w:pPr>
            <w:r>
              <w:rPr>
                <w:color w:val="000000"/>
                <w:sz w:val="18"/>
                <w:szCs w:val="18"/>
              </w:rPr>
              <w:t>-3.831801</w:t>
            </w:r>
          </w:p>
        </w:tc>
        <w:tc>
          <w:tcPr>
            <w:tcW w:w="683" w:type="dxa"/>
            <w:vAlign w:val="center"/>
          </w:tcPr>
          <w:p w:rsidR="00A641D5" w:rsidRDefault="00A641D5" w:rsidP="00A641D5">
            <w:pPr>
              <w:jc w:val="right"/>
              <w:rPr>
                <w:color w:val="000000"/>
                <w:sz w:val="18"/>
                <w:szCs w:val="18"/>
              </w:rPr>
            </w:pPr>
            <w:r>
              <w:rPr>
                <w:color w:val="000000"/>
                <w:sz w:val="18"/>
                <w:szCs w:val="18"/>
              </w:rPr>
              <w:t>-0.08</w:t>
            </w:r>
          </w:p>
        </w:tc>
        <w:tc>
          <w:tcPr>
            <w:tcW w:w="597" w:type="dxa"/>
            <w:vAlign w:val="center"/>
          </w:tcPr>
          <w:p w:rsidR="00A641D5" w:rsidRDefault="00A641D5" w:rsidP="00A641D5">
            <w:pPr>
              <w:jc w:val="right"/>
              <w:rPr>
                <w:color w:val="000000"/>
                <w:sz w:val="18"/>
                <w:szCs w:val="18"/>
              </w:rPr>
            </w:pPr>
            <w:r>
              <w:rPr>
                <w:color w:val="000000"/>
                <w:sz w:val="18"/>
                <w:szCs w:val="18"/>
              </w:rPr>
              <w:t>1</w:t>
            </w:r>
          </w:p>
        </w:tc>
      </w:tr>
    </w:tbl>
    <w:p w:rsidR="00A641D5" w:rsidRPr="00234284" w:rsidRDefault="00A641D5" w:rsidP="00A641D5">
      <w:pPr>
        <w:tabs>
          <w:tab w:val="right" w:pos="13958"/>
        </w:tabs>
        <w:adjustRightInd w:val="0"/>
        <w:snapToGrid w:val="0"/>
        <w:rPr>
          <w:szCs w:val="21"/>
          <w:lang w:val="en-GB"/>
        </w:rPr>
      </w:pPr>
      <w:r w:rsidRPr="00234284">
        <w:rPr>
          <w:szCs w:val="21"/>
          <w:lang w:val="en-GB"/>
        </w:rPr>
        <w:t xml:space="preserve">Notes: </w:t>
      </w:r>
      <w:r w:rsidRPr="00234284">
        <w:rPr>
          <w:szCs w:val="21"/>
          <w:vertAlign w:val="superscript"/>
          <w:lang w:val="en-GB"/>
        </w:rPr>
        <w:t>a</w:t>
      </w:r>
      <w:r w:rsidRPr="00234284">
        <w:rPr>
          <w:szCs w:val="21"/>
          <w:lang w:val="en-GB"/>
        </w:rPr>
        <w:t xml:space="preserve"> </w:t>
      </w:r>
      <w:proofErr w:type="gramStart"/>
      <w:r w:rsidRPr="00234284">
        <w:rPr>
          <w:szCs w:val="21"/>
          <w:lang w:val="en-GB"/>
        </w:rPr>
        <w:t>The</w:t>
      </w:r>
      <w:proofErr w:type="gramEnd"/>
      <w:r w:rsidRPr="00234284">
        <w:rPr>
          <w:szCs w:val="21"/>
          <w:lang w:val="en-GB"/>
        </w:rPr>
        <w:t xml:space="preserve"> sample includes 44 economies.  </w:t>
      </w:r>
      <w:r w:rsidRPr="00234284">
        <w:rPr>
          <w:szCs w:val="21"/>
          <w:lang w:val="en-GB"/>
        </w:rPr>
        <w:tab/>
      </w:r>
    </w:p>
    <w:p w:rsidR="00A641D5" w:rsidRPr="00234284" w:rsidRDefault="00A641D5" w:rsidP="00A641D5">
      <w:pPr>
        <w:adjustRightInd w:val="0"/>
        <w:snapToGrid w:val="0"/>
        <w:rPr>
          <w:szCs w:val="21"/>
          <w:lang w:val="en-GB"/>
        </w:rPr>
      </w:pPr>
      <w:r w:rsidRPr="00234284">
        <w:rPr>
          <w:szCs w:val="21"/>
          <w:vertAlign w:val="superscript"/>
          <w:lang w:val="en-GB"/>
        </w:rPr>
        <w:t>b</w:t>
      </w:r>
      <w:r w:rsidRPr="00234284">
        <w:rPr>
          <w:szCs w:val="21"/>
          <w:lang w:val="en-GB"/>
        </w:rPr>
        <w:t xml:space="preserve"> The regression estimated is: </w:t>
      </w:r>
      <w:r w:rsidRPr="00234284">
        <w:rPr>
          <w:i/>
          <w:szCs w:val="21"/>
          <w:lang w:val="en-GB"/>
        </w:rPr>
        <w:t>y=</w:t>
      </w:r>
      <w:proofErr w:type="spellStart"/>
      <w:r w:rsidRPr="00234284">
        <w:rPr>
          <w:i/>
          <w:szCs w:val="21"/>
          <w:lang w:val="en-GB"/>
        </w:rPr>
        <w:t>α+Xβ+ε</w:t>
      </w:r>
      <w:proofErr w:type="spellEnd"/>
      <w:r w:rsidRPr="00234284">
        <w:rPr>
          <w:szCs w:val="21"/>
          <w:lang w:val="en-GB"/>
        </w:rPr>
        <w:t>, where the variable</w:t>
      </w:r>
      <w:r w:rsidRPr="00234284">
        <w:rPr>
          <w:i/>
          <w:szCs w:val="21"/>
          <w:lang w:val="en-GB"/>
        </w:rPr>
        <w:t xml:space="preserve"> </w:t>
      </w:r>
      <w:r w:rsidRPr="00234284">
        <w:rPr>
          <w:szCs w:val="21"/>
          <w:lang w:val="en-GB"/>
        </w:rPr>
        <w:t>“</w:t>
      </w:r>
      <w:r w:rsidRPr="00234284">
        <w:rPr>
          <w:i/>
          <w:szCs w:val="21"/>
          <w:lang w:val="en-GB"/>
        </w:rPr>
        <w:t>y</w:t>
      </w:r>
      <w:r w:rsidRPr="00234284">
        <w:rPr>
          <w:szCs w:val="21"/>
          <w:lang w:val="en-GB"/>
        </w:rPr>
        <w:t>” represents four dependent variables, namely</w:t>
      </w:r>
      <w:r>
        <w:rPr>
          <w:szCs w:val="21"/>
          <w:lang w:val="en-GB"/>
        </w:rPr>
        <w:t>,</w:t>
      </w:r>
      <w:r w:rsidRPr="00234284">
        <w:rPr>
          <w:szCs w:val="21"/>
          <w:lang w:val="en-GB"/>
        </w:rPr>
        <w:t xml:space="preserve"> CMMKT, LNLISTED, IPO and TRADE, “</w:t>
      </w:r>
      <w:r w:rsidRPr="00234284">
        <w:rPr>
          <w:i/>
          <w:szCs w:val="21"/>
          <w:lang w:val="en-GB"/>
        </w:rPr>
        <w:t>X</w:t>
      </w:r>
      <w:r w:rsidRPr="00234284">
        <w:rPr>
          <w:szCs w:val="21"/>
          <w:lang w:val="en-GB"/>
        </w:rPr>
        <w:t>” is</w:t>
      </w:r>
      <w:r>
        <w:rPr>
          <w:szCs w:val="21"/>
          <w:lang w:val="en-GB"/>
        </w:rPr>
        <w:t xml:space="preserve"> a vector of 2</w:t>
      </w:r>
      <w:r>
        <w:rPr>
          <w:rFonts w:hint="eastAsia"/>
          <w:szCs w:val="21"/>
          <w:lang w:val="en-GB"/>
        </w:rPr>
        <w:t>7</w:t>
      </w:r>
      <w:r w:rsidRPr="00234284">
        <w:rPr>
          <w:szCs w:val="21"/>
          <w:lang w:val="en-GB"/>
        </w:rPr>
        <w:t xml:space="preserve"> doubtful variables</w:t>
      </w:r>
      <w:r>
        <w:rPr>
          <w:rFonts w:hint="eastAsia"/>
          <w:szCs w:val="21"/>
          <w:lang w:val="en-GB"/>
        </w:rPr>
        <w:t>,</w:t>
      </w:r>
      <w:r w:rsidRPr="00606716">
        <w:rPr>
          <w:szCs w:val="21"/>
          <w:lang w:val="en-GB"/>
        </w:rPr>
        <w:t xml:space="preserve"> </w:t>
      </w:r>
      <w:r>
        <w:rPr>
          <w:szCs w:val="21"/>
          <w:lang w:val="en-GB"/>
        </w:rPr>
        <w:t>and</w:t>
      </w:r>
      <w:r>
        <w:rPr>
          <w:rFonts w:hint="eastAsia"/>
          <w:szCs w:val="21"/>
          <w:lang w:val="en-GB"/>
        </w:rPr>
        <w:t xml:space="preserve"> </w:t>
      </w:r>
      <w:r>
        <w:rPr>
          <w:szCs w:val="21"/>
          <w:lang w:val="en-GB"/>
        </w:rPr>
        <w:t>“</w:t>
      </w:r>
      <w:r w:rsidRPr="00234284">
        <w:rPr>
          <w:i/>
          <w:szCs w:val="21"/>
          <w:lang w:val="en-GB"/>
        </w:rPr>
        <w:t>α</w:t>
      </w:r>
      <w:r>
        <w:rPr>
          <w:szCs w:val="21"/>
          <w:lang w:val="en-GB"/>
        </w:rPr>
        <w:t>”</w:t>
      </w:r>
      <w:r>
        <w:rPr>
          <w:rFonts w:hint="eastAsia"/>
          <w:szCs w:val="21"/>
          <w:lang w:val="en-GB"/>
        </w:rPr>
        <w:t xml:space="preserve"> is the constant term, which is fixed in our model specification</w:t>
      </w:r>
      <w:r w:rsidRPr="00234284">
        <w:rPr>
          <w:szCs w:val="21"/>
          <w:lang w:val="en-GB"/>
        </w:rPr>
        <w:t>.</w:t>
      </w:r>
    </w:p>
    <w:p w:rsidR="00A641D5" w:rsidRPr="00234284" w:rsidRDefault="00A641D5" w:rsidP="00A641D5">
      <w:pPr>
        <w:adjustRightInd w:val="0"/>
        <w:snapToGrid w:val="0"/>
        <w:rPr>
          <w:szCs w:val="21"/>
          <w:lang w:val="en-GB"/>
        </w:rPr>
      </w:pPr>
      <w:proofErr w:type="gramStart"/>
      <w:r w:rsidRPr="00234284">
        <w:rPr>
          <w:szCs w:val="21"/>
          <w:vertAlign w:val="superscript"/>
          <w:lang w:val="en-GB"/>
        </w:rPr>
        <w:t>c</w:t>
      </w:r>
      <w:proofErr w:type="gramEnd"/>
      <w:r w:rsidRPr="00234284">
        <w:rPr>
          <w:szCs w:val="21"/>
          <w:lang w:val="en-GB"/>
        </w:rPr>
        <w:t xml:space="preserve"> For regressions with dependent variables CMMKT, LNLISTED, and TRADE, the </w:t>
      </w:r>
      <w:proofErr w:type="spellStart"/>
      <w:r w:rsidRPr="00234284">
        <w:rPr>
          <w:szCs w:val="21"/>
          <w:lang w:val="en-GB"/>
        </w:rPr>
        <w:t>regressors</w:t>
      </w:r>
      <w:proofErr w:type="spellEnd"/>
      <w:r w:rsidRPr="00234284">
        <w:rPr>
          <w:szCs w:val="21"/>
          <w:lang w:val="en-GB"/>
        </w:rPr>
        <w:t xml:space="preserve"> ITPROSECUTION and TRADEOPENNESS are included with observations for year 1999; for regression</w:t>
      </w:r>
      <w:r>
        <w:rPr>
          <w:szCs w:val="21"/>
          <w:lang w:val="en-GB"/>
        </w:rPr>
        <w:t>s</w:t>
      </w:r>
      <w:r w:rsidRPr="00234284">
        <w:rPr>
          <w:szCs w:val="21"/>
          <w:lang w:val="en-GB"/>
        </w:rPr>
        <w:t xml:space="preserve"> with dependent variable IPO, these two </w:t>
      </w:r>
      <w:proofErr w:type="spellStart"/>
      <w:r w:rsidRPr="00234284">
        <w:rPr>
          <w:szCs w:val="21"/>
          <w:lang w:val="en-GB"/>
        </w:rPr>
        <w:t>regressors</w:t>
      </w:r>
      <w:proofErr w:type="spellEnd"/>
      <w:r w:rsidRPr="00234284">
        <w:rPr>
          <w:szCs w:val="21"/>
          <w:lang w:val="en-GB"/>
        </w:rPr>
        <w:t xml:space="preserve"> are included with observations for year 1996. This strategy reflects the fact that these two subsets of dependent variables cover different time intervals.</w:t>
      </w:r>
    </w:p>
    <w:p w:rsidR="00A641D5" w:rsidRPr="00234284" w:rsidRDefault="00A641D5" w:rsidP="00A641D5">
      <w:pPr>
        <w:adjustRightInd w:val="0"/>
        <w:snapToGrid w:val="0"/>
        <w:rPr>
          <w:szCs w:val="21"/>
          <w:lang w:val="en-GB"/>
        </w:rPr>
      </w:pPr>
      <w:r w:rsidRPr="00234284">
        <w:rPr>
          <w:szCs w:val="21"/>
          <w:vertAlign w:val="superscript"/>
          <w:lang w:val="en-GB"/>
        </w:rPr>
        <w:t>d</w:t>
      </w:r>
      <w:r w:rsidRPr="00234284">
        <w:rPr>
          <w:szCs w:val="21"/>
          <w:lang w:val="en-GB"/>
        </w:rPr>
        <w:t xml:space="preserve"> * indicates that the t-ratio is greater than one in absolute value for free variables and that either t-ratio is greater than one in absolute value or PIP is larger than 0.5 for doubtful variables.</w:t>
      </w:r>
    </w:p>
    <w:p w:rsidR="00A641D5" w:rsidRPr="00A641D5" w:rsidRDefault="00A641D5" w:rsidP="00E82E1F">
      <w:pPr>
        <w:spacing w:line="360" w:lineRule="auto"/>
        <w:rPr>
          <w:sz w:val="24"/>
          <w:szCs w:val="24"/>
          <w:lang w:val="en-GB"/>
        </w:rPr>
      </w:pPr>
    </w:p>
    <w:p w:rsidR="00A641D5" w:rsidRDefault="00A641D5" w:rsidP="00E82E1F">
      <w:pPr>
        <w:spacing w:line="360" w:lineRule="auto"/>
        <w:rPr>
          <w:sz w:val="24"/>
          <w:szCs w:val="24"/>
          <w:lang w:val="en-GB"/>
        </w:rPr>
      </w:pPr>
    </w:p>
    <w:p w:rsidR="00A641D5" w:rsidRDefault="00A641D5" w:rsidP="00E82E1F">
      <w:pPr>
        <w:spacing w:line="360" w:lineRule="auto"/>
        <w:rPr>
          <w:rFonts w:hint="eastAsia"/>
          <w:sz w:val="24"/>
          <w:szCs w:val="24"/>
          <w:lang w:val="en-GB"/>
        </w:rPr>
      </w:pPr>
    </w:p>
    <w:p w:rsidR="00E07BF9" w:rsidRDefault="00E07BF9" w:rsidP="00E82E1F">
      <w:pPr>
        <w:spacing w:line="360" w:lineRule="auto"/>
        <w:rPr>
          <w:rFonts w:hint="eastAsia"/>
          <w:sz w:val="24"/>
          <w:szCs w:val="24"/>
          <w:lang w:val="en-GB"/>
        </w:rPr>
      </w:pPr>
    </w:p>
    <w:p w:rsidR="00E07BF9" w:rsidRDefault="00E07BF9" w:rsidP="00E82E1F">
      <w:pPr>
        <w:spacing w:line="360" w:lineRule="auto"/>
        <w:rPr>
          <w:rFonts w:hint="eastAsia"/>
          <w:sz w:val="24"/>
          <w:szCs w:val="24"/>
          <w:lang w:val="en-GB"/>
        </w:rPr>
      </w:pPr>
    </w:p>
    <w:p w:rsidR="00E07BF9" w:rsidRDefault="00E07BF9" w:rsidP="00E82E1F">
      <w:pPr>
        <w:spacing w:line="360" w:lineRule="auto"/>
        <w:rPr>
          <w:rFonts w:hint="eastAsia"/>
          <w:sz w:val="24"/>
          <w:szCs w:val="24"/>
          <w:lang w:val="en-GB"/>
        </w:rPr>
      </w:pPr>
    </w:p>
    <w:p w:rsidR="00E07BF9" w:rsidRDefault="00E07BF9" w:rsidP="00E82E1F">
      <w:pPr>
        <w:spacing w:line="360" w:lineRule="auto"/>
        <w:rPr>
          <w:sz w:val="24"/>
          <w:szCs w:val="24"/>
          <w:lang w:val="en-GB"/>
        </w:rPr>
        <w:sectPr w:rsidR="00E07BF9" w:rsidSect="00A641D5">
          <w:footnotePr>
            <w:numFmt w:val="chicago"/>
            <w:numRestart w:val="eachSect"/>
          </w:footnotePr>
          <w:pgSz w:w="16838" w:h="11906" w:orient="landscape"/>
          <w:pgMar w:top="1440" w:right="1800" w:bottom="1440" w:left="1800" w:header="851" w:footer="992" w:gutter="0"/>
          <w:cols w:space="720"/>
          <w:docGrid w:type="lines" w:linePitch="312"/>
        </w:sectPr>
      </w:pPr>
    </w:p>
    <w:p w:rsidR="00E07BF9" w:rsidRDefault="00E07BF9" w:rsidP="00E07BF9">
      <w:pPr>
        <w:spacing w:beforeLines="100"/>
        <w:mirrorIndents/>
        <w:rPr>
          <w:sz w:val="24"/>
          <w:szCs w:val="24"/>
          <w:lang w:val="en-GB"/>
        </w:rPr>
      </w:pPr>
      <w:r w:rsidRPr="00E82E1F">
        <w:rPr>
          <w:sz w:val="24"/>
          <w:szCs w:val="24"/>
          <w:lang w:val="en-GB"/>
        </w:rPr>
        <w:lastRenderedPageBreak/>
        <w:t xml:space="preserve">In general, the results of BMA analysis with a different data set are similar to those reported in Section 4. The ANTISDI is not correlated with any of the four dependent variables, nor is the ANTIDRI_SP. In addition, the variable STAFF (t=4.08) shows significant predictive power for LNLISTED in Panel B. The result is consistent with that reported by Jackson and Roe (2009) that resources owned by public regulators have strong predictive power for stock market development. However, one caveat is that STAFF is observed for the year 2005, which could lead to reverse causality, </w:t>
      </w:r>
      <w:r w:rsidRPr="00E82E1F">
        <w:rPr>
          <w:i/>
          <w:sz w:val="24"/>
          <w:szCs w:val="24"/>
          <w:lang w:val="en-GB"/>
        </w:rPr>
        <w:t>i.e.</w:t>
      </w:r>
      <w:r w:rsidRPr="00E82E1F">
        <w:rPr>
          <w:sz w:val="24"/>
          <w:szCs w:val="24"/>
          <w:lang w:val="en-GB"/>
        </w:rPr>
        <w:t xml:space="preserve">, more per capita listed firms lead to larger public enforcers. </w:t>
      </w:r>
    </w:p>
    <w:p w:rsidR="00E07BF9" w:rsidRPr="00E82E1F" w:rsidRDefault="00E07BF9" w:rsidP="00E07BF9">
      <w:pPr>
        <w:spacing w:beforeLines="100"/>
        <w:mirrorIndents/>
        <w:rPr>
          <w:sz w:val="24"/>
          <w:szCs w:val="24"/>
          <w:lang w:val="en-GB"/>
        </w:rPr>
      </w:pPr>
      <w:r w:rsidRPr="00E82E1F">
        <w:rPr>
          <w:b/>
          <w:sz w:val="24"/>
          <w:szCs w:val="24"/>
          <w:lang w:val="en-GB"/>
        </w:rPr>
        <w:t xml:space="preserve">5.2. </w:t>
      </w:r>
      <w:bookmarkStart w:id="78" w:name="OLE_LINK83"/>
      <w:bookmarkStart w:id="79" w:name="OLE_LINK84"/>
      <w:r w:rsidRPr="00E82E1F">
        <w:rPr>
          <w:b/>
          <w:sz w:val="24"/>
          <w:szCs w:val="24"/>
          <w:lang w:val="en-GB"/>
        </w:rPr>
        <w:t>Stepwise backward elimination</w:t>
      </w:r>
      <w:bookmarkEnd w:id="78"/>
      <w:bookmarkEnd w:id="79"/>
    </w:p>
    <w:p w:rsidR="00E07BF9" w:rsidRDefault="00E07BF9" w:rsidP="00E07BF9">
      <w:pPr>
        <w:spacing w:beforeLines="100"/>
        <w:mirrorIndents/>
        <w:rPr>
          <w:rFonts w:hint="eastAsia"/>
          <w:sz w:val="24"/>
          <w:szCs w:val="24"/>
          <w:lang w:val="en-GB"/>
        </w:rPr>
      </w:pPr>
      <w:r w:rsidRPr="00E82E1F">
        <w:rPr>
          <w:sz w:val="24"/>
          <w:szCs w:val="24"/>
          <w:lang w:val="en-GB"/>
        </w:rPr>
        <w:t xml:space="preserve">To show that our findings are consistent when different empirical method is employed, we adopt the variable selection algorithm, SBE, which is discussed and realized by </w:t>
      </w:r>
      <w:bookmarkStart w:id="80" w:name="OLE_LINK26"/>
      <w:bookmarkStart w:id="81" w:name="OLE_LINK27"/>
      <w:r w:rsidRPr="00E82E1F">
        <w:rPr>
          <w:sz w:val="24"/>
          <w:szCs w:val="24"/>
          <w:lang w:val="en-GB"/>
        </w:rPr>
        <w:t>Lindsey</w:t>
      </w:r>
      <w:bookmarkEnd w:id="80"/>
      <w:bookmarkEnd w:id="81"/>
      <w:r w:rsidRPr="00E82E1F">
        <w:rPr>
          <w:sz w:val="24"/>
          <w:szCs w:val="24"/>
          <w:lang w:val="en-GB"/>
        </w:rPr>
        <w:t xml:space="preserve"> and </w:t>
      </w:r>
      <w:proofErr w:type="spellStart"/>
      <w:r w:rsidRPr="00E82E1F">
        <w:rPr>
          <w:sz w:val="24"/>
          <w:szCs w:val="24"/>
          <w:lang w:val="en-GB"/>
        </w:rPr>
        <w:t>Sheather</w:t>
      </w:r>
      <w:proofErr w:type="spellEnd"/>
      <w:r w:rsidRPr="00E82E1F">
        <w:rPr>
          <w:sz w:val="24"/>
          <w:szCs w:val="24"/>
          <w:lang w:val="en-GB"/>
        </w:rPr>
        <w:t xml:space="preserve"> (2010), to select the optimal predictors of stock market development. SBE works as follows: It starts from a general model with all candidate </w:t>
      </w:r>
      <w:proofErr w:type="spellStart"/>
      <w:r w:rsidRPr="00E82E1F">
        <w:rPr>
          <w:sz w:val="24"/>
          <w:szCs w:val="24"/>
          <w:lang w:val="en-GB"/>
        </w:rPr>
        <w:t>regressors</w:t>
      </w:r>
      <w:proofErr w:type="spellEnd"/>
      <w:r w:rsidRPr="00E82E1F">
        <w:rPr>
          <w:sz w:val="24"/>
          <w:szCs w:val="24"/>
          <w:lang w:val="en-GB"/>
        </w:rPr>
        <w:t xml:space="preserve"> and then eliminates </w:t>
      </w:r>
      <w:proofErr w:type="spellStart"/>
      <w:r w:rsidRPr="00E82E1F">
        <w:rPr>
          <w:sz w:val="24"/>
          <w:szCs w:val="24"/>
          <w:lang w:val="en-GB"/>
        </w:rPr>
        <w:t>regressors</w:t>
      </w:r>
      <w:proofErr w:type="spellEnd"/>
      <w:r w:rsidRPr="00E82E1F">
        <w:rPr>
          <w:sz w:val="24"/>
          <w:szCs w:val="24"/>
          <w:lang w:val="en-GB"/>
        </w:rPr>
        <w:t xml:space="preserve"> using any of the two information criteria</w:t>
      </w:r>
      <w:bookmarkStart w:id="82" w:name="OLE_LINK61"/>
      <w:r w:rsidRPr="00E82E1F">
        <w:rPr>
          <w:sz w:val="24"/>
          <w:szCs w:val="24"/>
          <w:lang w:val="en-GB"/>
        </w:rPr>
        <w:t>: Adjusted R-squared</w:t>
      </w:r>
      <w:bookmarkEnd w:id="82"/>
      <w:r w:rsidRPr="00E82E1F">
        <w:rPr>
          <w:sz w:val="24"/>
          <w:szCs w:val="24"/>
          <w:lang w:val="en-GB"/>
        </w:rPr>
        <w:t xml:space="preserve"> and </w:t>
      </w:r>
      <w:proofErr w:type="spellStart"/>
      <w:r w:rsidRPr="00E82E1F">
        <w:rPr>
          <w:sz w:val="24"/>
          <w:szCs w:val="24"/>
          <w:lang w:val="en-GB"/>
        </w:rPr>
        <w:t>Akaike</w:t>
      </w:r>
      <w:proofErr w:type="spellEnd"/>
      <w:r w:rsidRPr="00E82E1F">
        <w:rPr>
          <w:sz w:val="24"/>
          <w:szCs w:val="24"/>
          <w:lang w:val="en-GB"/>
        </w:rPr>
        <w:t xml:space="preserve"> information criterion (AIC). The algorithm attempts to identify the model that optimizes the information criteria. </w:t>
      </w:r>
    </w:p>
    <w:p w:rsidR="00E07BF9" w:rsidRDefault="00E07BF9" w:rsidP="00E07BF9">
      <w:pPr>
        <w:spacing w:beforeLines="100"/>
        <w:mirrorIndents/>
        <w:rPr>
          <w:rFonts w:hint="eastAsia"/>
          <w:sz w:val="24"/>
          <w:szCs w:val="24"/>
          <w:lang w:val="en-GB"/>
        </w:rPr>
      </w:pPr>
      <w:r w:rsidRPr="00E82E1F">
        <w:rPr>
          <w:sz w:val="24"/>
          <w:szCs w:val="24"/>
          <w:lang w:val="en-GB"/>
        </w:rPr>
        <w:t xml:space="preserve">To maintain the largest possible sample size, we employ our original data set with 48 countries and districts used in Section 4, rather than the one with 44 countries and districts used in Section 5.1. Hence, there are 26 candidate explanatory variables. The outputs are reported in Table 5, which unsurprisingly confirm the conclusions made in the previous section that </w:t>
      </w:r>
      <w:bookmarkStart w:id="83" w:name="OLE_LINK14"/>
      <w:bookmarkStart w:id="84" w:name="OLE_LINK15"/>
      <w:r w:rsidRPr="00E82E1F">
        <w:rPr>
          <w:sz w:val="24"/>
          <w:szCs w:val="24"/>
          <w:lang w:val="en-GB"/>
        </w:rPr>
        <w:t>ANTISDI</w:t>
      </w:r>
      <w:bookmarkEnd w:id="83"/>
      <w:bookmarkEnd w:id="84"/>
      <w:r w:rsidRPr="00E82E1F">
        <w:rPr>
          <w:sz w:val="24"/>
          <w:szCs w:val="24"/>
          <w:lang w:val="en-GB"/>
        </w:rPr>
        <w:t xml:space="preserve"> is not positively correlated with stock market development. Although selected as one of the predictors for LNLISTED, it is negative in magnitude, which conflicts with its theoretically positive effects. In addition, RANTIDR is selected as one of the predictors for LNLISTED and is positive in magnitude and selected as one of the predictors for TRADE but is negative in magnitude. Finally, diverse sets of variables are selected as the optimal predictors with respect to different outcome variables, which confirm our previous concern about the validity of “one-size-fits-all” model specification. </w:t>
      </w:r>
    </w:p>
    <w:p w:rsidR="00E07BF9" w:rsidRPr="00E82E1F" w:rsidRDefault="00E07BF9" w:rsidP="00E07BF9">
      <w:pPr>
        <w:spacing w:beforeLines="100"/>
        <w:mirrorIndents/>
        <w:rPr>
          <w:sz w:val="24"/>
          <w:szCs w:val="24"/>
          <w:lang w:val="en-GB"/>
        </w:rPr>
      </w:pPr>
      <w:r w:rsidRPr="00E82E1F">
        <w:rPr>
          <w:sz w:val="24"/>
          <w:szCs w:val="24"/>
          <w:lang w:val="en-GB"/>
        </w:rPr>
        <w:t xml:space="preserve"> </w:t>
      </w:r>
    </w:p>
    <w:p w:rsidR="00E07BF9" w:rsidRDefault="00E07BF9" w:rsidP="00E82E1F">
      <w:pPr>
        <w:spacing w:line="360" w:lineRule="auto"/>
        <w:rPr>
          <w:rFonts w:hint="eastAsia"/>
          <w:sz w:val="24"/>
          <w:szCs w:val="24"/>
          <w:lang w:val="en-GB"/>
        </w:rPr>
      </w:pPr>
    </w:p>
    <w:p w:rsidR="00E07BF9" w:rsidRDefault="00E07BF9" w:rsidP="00E82E1F">
      <w:pPr>
        <w:spacing w:line="360" w:lineRule="auto"/>
        <w:rPr>
          <w:rFonts w:hint="eastAsia"/>
          <w:sz w:val="24"/>
          <w:szCs w:val="24"/>
          <w:lang w:val="en-GB"/>
        </w:rPr>
      </w:pPr>
    </w:p>
    <w:p w:rsidR="00E07BF9" w:rsidRPr="00E07BF9" w:rsidRDefault="00E07BF9" w:rsidP="00E82E1F">
      <w:pPr>
        <w:spacing w:line="360" w:lineRule="auto"/>
        <w:rPr>
          <w:sz w:val="24"/>
          <w:szCs w:val="24"/>
          <w:lang w:val="en-GB"/>
        </w:rPr>
        <w:sectPr w:rsidR="00E07BF9" w:rsidRPr="00E07BF9" w:rsidSect="00E07BF9">
          <w:footnotePr>
            <w:numFmt w:val="chicago"/>
            <w:numRestart w:val="eachSect"/>
          </w:footnotePr>
          <w:pgSz w:w="11906" w:h="16838"/>
          <w:pgMar w:top="1800" w:right="1440" w:bottom="1800" w:left="1440" w:header="851" w:footer="992" w:gutter="0"/>
          <w:cols w:space="720"/>
          <w:docGrid w:type="lines" w:linePitch="312"/>
        </w:sectPr>
      </w:pPr>
    </w:p>
    <w:p w:rsidR="00E87B9A" w:rsidRDefault="00E87B9A" w:rsidP="00E87B9A">
      <w:pPr>
        <w:adjustRightInd w:val="0"/>
        <w:snapToGrid w:val="0"/>
        <w:jc w:val="center"/>
        <w:rPr>
          <w:b/>
          <w:sz w:val="28"/>
          <w:szCs w:val="28"/>
          <w:lang w:val="en-GB"/>
        </w:rPr>
      </w:pPr>
      <w:r w:rsidRPr="00234284">
        <w:rPr>
          <w:b/>
          <w:sz w:val="28"/>
          <w:szCs w:val="28"/>
          <w:lang w:val="en-GB"/>
        </w:rPr>
        <w:lastRenderedPageBreak/>
        <w:t>Table 5 Results of stepwise backward elimination</w:t>
      </w:r>
    </w:p>
    <w:p w:rsidR="00E87B9A" w:rsidRPr="00234284" w:rsidRDefault="00E87B9A" w:rsidP="00E87B9A">
      <w:pPr>
        <w:adjustRightInd w:val="0"/>
        <w:snapToGrid w:val="0"/>
        <w:jc w:val="center"/>
        <w:rPr>
          <w:b/>
          <w:sz w:val="28"/>
          <w:szCs w:val="28"/>
          <w:lang w:val="en-GB"/>
        </w:rPr>
      </w:pPr>
    </w:p>
    <w:tbl>
      <w:tblPr>
        <w:tblW w:w="0" w:type="auto"/>
        <w:jc w:val="center"/>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63"/>
        <w:gridCol w:w="709"/>
        <w:gridCol w:w="1276"/>
        <w:gridCol w:w="1276"/>
        <w:gridCol w:w="708"/>
        <w:gridCol w:w="1418"/>
        <w:gridCol w:w="1276"/>
        <w:gridCol w:w="708"/>
        <w:gridCol w:w="1418"/>
        <w:gridCol w:w="1276"/>
        <w:gridCol w:w="738"/>
      </w:tblGrid>
      <w:tr w:rsidR="00E87B9A" w:rsidRPr="0010572E" w:rsidTr="00E87B9A">
        <w:trPr>
          <w:trHeight w:val="244"/>
          <w:jc w:val="center"/>
        </w:trPr>
        <w:tc>
          <w:tcPr>
            <w:tcW w:w="6408" w:type="dxa"/>
            <w:gridSpan w:val="6"/>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Panel A</w:t>
            </w:r>
          </w:p>
          <w:p w:rsidR="00E87B9A" w:rsidRPr="0010572E" w:rsidRDefault="00E87B9A" w:rsidP="00510ED6">
            <w:pPr>
              <w:adjustRightInd w:val="0"/>
              <w:snapToGrid w:val="0"/>
              <w:jc w:val="center"/>
              <w:rPr>
                <w:color w:val="000000"/>
                <w:kern w:val="0"/>
                <w:sz w:val="18"/>
                <w:szCs w:val="18"/>
                <w:lang w:val="en-GB"/>
              </w:rPr>
            </w:pPr>
            <w:r w:rsidRPr="0010572E">
              <w:rPr>
                <w:b/>
                <w:color w:val="000000"/>
                <w:kern w:val="0"/>
                <w:sz w:val="18"/>
                <w:szCs w:val="18"/>
                <w:lang w:val="en-GB"/>
              </w:rPr>
              <w:t>Dependent Variable: CMMKT</w:t>
            </w:r>
          </w:p>
        </w:tc>
        <w:tc>
          <w:tcPr>
            <w:tcW w:w="6834" w:type="dxa"/>
            <w:gridSpan w:val="6"/>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Panel B</w:t>
            </w:r>
          </w:p>
          <w:p w:rsidR="00E87B9A" w:rsidRPr="0010572E" w:rsidRDefault="00E87B9A" w:rsidP="00510ED6">
            <w:pPr>
              <w:adjustRightInd w:val="0"/>
              <w:snapToGrid w:val="0"/>
              <w:jc w:val="center"/>
              <w:rPr>
                <w:color w:val="000000"/>
                <w:kern w:val="0"/>
                <w:sz w:val="18"/>
                <w:szCs w:val="18"/>
                <w:lang w:val="en-GB"/>
              </w:rPr>
            </w:pPr>
            <w:r w:rsidRPr="0010572E">
              <w:rPr>
                <w:b/>
                <w:color w:val="000000"/>
                <w:kern w:val="0"/>
                <w:sz w:val="18"/>
                <w:szCs w:val="18"/>
                <w:lang w:val="en-GB"/>
              </w:rPr>
              <w:t>Dependent Variable: LNLISTED</w:t>
            </w:r>
          </w:p>
        </w:tc>
      </w:tr>
      <w:tr w:rsidR="00E87B9A" w:rsidRPr="0010572E" w:rsidTr="00E87B9A">
        <w:trPr>
          <w:trHeight w:val="367"/>
          <w:jc w:val="center"/>
        </w:trPr>
        <w:tc>
          <w:tcPr>
            <w:tcW w:w="3148" w:type="dxa"/>
            <w:gridSpan w:val="3"/>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Adjusted R</w:t>
            </w:r>
            <w:r w:rsidRPr="0010572E">
              <w:rPr>
                <w:b/>
                <w:color w:val="000000"/>
                <w:kern w:val="0"/>
                <w:sz w:val="18"/>
                <w:szCs w:val="18"/>
                <w:vertAlign w:val="superscript"/>
                <w:lang w:val="en-GB"/>
              </w:rPr>
              <w:t>2</w:t>
            </w:r>
          </w:p>
        </w:tc>
        <w:tc>
          <w:tcPr>
            <w:tcW w:w="3260" w:type="dxa"/>
            <w:gridSpan w:val="3"/>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AIC</w:t>
            </w:r>
          </w:p>
        </w:tc>
        <w:tc>
          <w:tcPr>
            <w:tcW w:w="3402" w:type="dxa"/>
            <w:gridSpan w:val="3"/>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Adjusted R</w:t>
            </w:r>
            <w:r w:rsidRPr="0010572E">
              <w:rPr>
                <w:b/>
                <w:color w:val="000000"/>
                <w:kern w:val="0"/>
                <w:sz w:val="18"/>
                <w:szCs w:val="18"/>
                <w:vertAlign w:val="superscript"/>
                <w:lang w:val="en-GB"/>
              </w:rPr>
              <w:t>2</w:t>
            </w:r>
          </w:p>
        </w:tc>
        <w:tc>
          <w:tcPr>
            <w:tcW w:w="3432" w:type="dxa"/>
            <w:gridSpan w:val="3"/>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AIC</w:t>
            </w:r>
          </w:p>
        </w:tc>
      </w:tr>
      <w:tr w:rsidR="00E87B9A" w:rsidRPr="0010572E" w:rsidTr="00E87B9A">
        <w:trPr>
          <w:trHeight w:val="270"/>
          <w:jc w:val="center"/>
        </w:trPr>
        <w:tc>
          <w:tcPr>
            <w:tcW w:w="1276"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variables</w:t>
            </w:r>
          </w:p>
        </w:tc>
        <w:tc>
          <w:tcPr>
            <w:tcW w:w="1163"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coefficient</w:t>
            </w:r>
          </w:p>
        </w:tc>
        <w:tc>
          <w:tcPr>
            <w:tcW w:w="709"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t-stat</w:t>
            </w:r>
          </w:p>
        </w:tc>
        <w:tc>
          <w:tcPr>
            <w:tcW w:w="1276"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variables</w:t>
            </w:r>
          </w:p>
        </w:tc>
        <w:tc>
          <w:tcPr>
            <w:tcW w:w="1276"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coefficient</w:t>
            </w:r>
          </w:p>
        </w:tc>
        <w:tc>
          <w:tcPr>
            <w:tcW w:w="708"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t-stat</w:t>
            </w:r>
          </w:p>
        </w:tc>
        <w:tc>
          <w:tcPr>
            <w:tcW w:w="1418"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variables</w:t>
            </w:r>
          </w:p>
        </w:tc>
        <w:tc>
          <w:tcPr>
            <w:tcW w:w="1276"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coefficient</w:t>
            </w:r>
          </w:p>
        </w:tc>
        <w:tc>
          <w:tcPr>
            <w:tcW w:w="708"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t-stat</w:t>
            </w:r>
          </w:p>
        </w:tc>
        <w:tc>
          <w:tcPr>
            <w:tcW w:w="1418"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variables</w:t>
            </w:r>
          </w:p>
        </w:tc>
        <w:tc>
          <w:tcPr>
            <w:tcW w:w="1276"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coefficient</w:t>
            </w:r>
          </w:p>
        </w:tc>
        <w:tc>
          <w:tcPr>
            <w:tcW w:w="738"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t-stat</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gdppercapita</w:t>
            </w:r>
            <w:proofErr w:type="spellEnd"/>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14.05767*</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1.82</w:t>
            </w:r>
          </w:p>
        </w:tc>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gdppercapita</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15.65006**</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2.06</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antisdi</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-34.0457**</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-2.22</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antisdi</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-31.1083**</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-2.07</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disclosure</w:t>
            </w:r>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68.72203</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1.63</w:t>
            </w:r>
          </w:p>
        </w:tc>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disclosure</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73.167*</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1.74</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check</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6.937857</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1.69</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check</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7.652627*</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1.89</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nanalysts</w:t>
            </w:r>
            <w:proofErr w:type="spellEnd"/>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1.795097</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1.53</w:t>
            </w:r>
          </w:p>
        </w:tc>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nanalysts</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1.819698</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1.55</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gdppercapita</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18.03766***</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7.12</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gdppercapita</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17.50402***</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7.05</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receptive</w:t>
            </w:r>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-31.8408</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-1.62</w:t>
            </w:r>
          </w:p>
        </w:tc>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receptive</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-30.815</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-1.57</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rantidri</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8.720184***</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3.07</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rantidri</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8.342457***</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2.96</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catholic</w:t>
            </w:r>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-42.3168</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-1.66</w:t>
            </w:r>
          </w:p>
        </w:tc>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catholic</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-41.6003</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-1.63</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onevote</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-5.24046</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-1.02</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nanalysts</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-0.71251*</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-1.98</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protestant</w:t>
            </w:r>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-45.1576*</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-1.69</w:t>
            </w:r>
          </w:p>
        </w:tc>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protestant</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-43.08</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-1.62</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nanalysts</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-0.73752**</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-2.05</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penforcement</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50.06216***</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4.36</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muslim</w:t>
            </w:r>
            <w:proofErr w:type="spellEnd"/>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-36.0971</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-1.25</w:t>
            </w:r>
          </w:p>
        </w:tc>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muslim</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-44.3019</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-1.59</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penforcement</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52.9775***</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4.48</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origin</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-17.3487**</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-2.41</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buddhist</w:t>
            </w:r>
            <w:proofErr w:type="spellEnd"/>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-93.5103***</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-2.96</w:t>
            </w:r>
          </w:p>
        </w:tc>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buddhist</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-91.1366***</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-2.89</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origin</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-18.6125**</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-2.55</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catholic</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-35.3398***</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-4.78</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registercost</w:t>
            </w:r>
            <w:proofErr w:type="spellEnd"/>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-22.1311</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-1.02</w:t>
            </w:r>
          </w:p>
        </w:tc>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tradeopenness</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0.345416**</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2.53</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catholic</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-35.3318***</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-4.78</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protestant</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-12.5771</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-1.49</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tradeopenness</w:t>
            </w:r>
            <w:proofErr w:type="spellEnd"/>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0.344421**</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2.52</w:t>
            </w:r>
          </w:p>
        </w:tc>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employment</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-60.7918</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-1.4</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protestant</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-12.4109</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-1.47</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muslim</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-11.7952</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-1.39</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employment</w:t>
            </w:r>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-65.847</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-1.51</w:t>
            </w:r>
          </w:p>
        </w:tc>
        <w:tc>
          <w:tcPr>
            <w:tcW w:w="1276" w:type="dxa"/>
            <w:vAlign w:val="center"/>
          </w:tcPr>
          <w:p w:rsidR="00E87B9A" w:rsidRPr="0010572E" w:rsidRDefault="00E87B9A" w:rsidP="00510ED6">
            <w:pPr>
              <w:jc w:val="right"/>
              <w:rPr>
                <w:color w:val="000000"/>
                <w:sz w:val="18"/>
                <w:szCs w:val="18"/>
                <w:lang w:val="en-GB"/>
              </w:rPr>
            </w:pPr>
          </w:p>
        </w:tc>
        <w:tc>
          <w:tcPr>
            <w:tcW w:w="1276" w:type="dxa"/>
            <w:vAlign w:val="center"/>
          </w:tcPr>
          <w:p w:rsidR="00E87B9A" w:rsidRPr="0010572E" w:rsidRDefault="00E87B9A" w:rsidP="00510ED6">
            <w:pPr>
              <w:jc w:val="right"/>
              <w:rPr>
                <w:color w:val="000000"/>
                <w:sz w:val="18"/>
                <w:szCs w:val="18"/>
                <w:lang w:val="en-GB"/>
              </w:rPr>
            </w:pPr>
          </w:p>
        </w:tc>
        <w:tc>
          <w:tcPr>
            <w:tcW w:w="708" w:type="dxa"/>
            <w:vAlign w:val="center"/>
          </w:tcPr>
          <w:p w:rsidR="00E87B9A" w:rsidRPr="0010572E" w:rsidRDefault="00E87B9A" w:rsidP="00510ED6">
            <w:pPr>
              <w:jc w:val="right"/>
              <w:rPr>
                <w:color w:val="000000"/>
                <w:sz w:val="18"/>
                <w:szCs w:val="18"/>
                <w:lang w:val="en-GB"/>
              </w:rPr>
            </w:pP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muslim</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-9.80664</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-1.13</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buddhist</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-20.8368**</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-2.22</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p>
        </w:tc>
        <w:tc>
          <w:tcPr>
            <w:tcW w:w="1163" w:type="dxa"/>
            <w:vAlign w:val="center"/>
          </w:tcPr>
          <w:p w:rsidR="00E87B9A" w:rsidRPr="0010572E" w:rsidRDefault="00E87B9A" w:rsidP="00510ED6">
            <w:pPr>
              <w:jc w:val="right"/>
              <w:rPr>
                <w:color w:val="000000"/>
                <w:sz w:val="18"/>
                <w:szCs w:val="18"/>
                <w:lang w:val="en-GB"/>
              </w:rPr>
            </w:pPr>
          </w:p>
        </w:tc>
        <w:tc>
          <w:tcPr>
            <w:tcW w:w="709" w:type="dxa"/>
            <w:vAlign w:val="center"/>
          </w:tcPr>
          <w:p w:rsidR="00E87B9A" w:rsidRPr="0010572E" w:rsidRDefault="00E87B9A" w:rsidP="00510ED6">
            <w:pPr>
              <w:jc w:val="right"/>
              <w:rPr>
                <w:color w:val="000000"/>
                <w:sz w:val="18"/>
                <w:szCs w:val="18"/>
                <w:lang w:val="en-GB"/>
              </w:rPr>
            </w:pPr>
          </w:p>
        </w:tc>
        <w:tc>
          <w:tcPr>
            <w:tcW w:w="1276" w:type="dxa"/>
            <w:vAlign w:val="center"/>
          </w:tcPr>
          <w:p w:rsidR="00E87B9A" w:rsidRPr="0010572E" w:rsidRDefault="00E87B9A" w:rsidP="00510ED6">
            <w:pPr>
              <w:jc w:val="left"/>
              <w:rPr>
                <w:sz w:val="18"/>
                <w:szCs w:val="18"/>
                <w:lang w:val="en-GB"/>
              </w:rPr>
            </w:pPr>
          </w:p>
        </w:tc>
        <w:tc>
          <w:tcPr>
            <w:tcW w:w="1276" w:type="dxa"/>
            <w:vAlign w:val="center"/>
          </w:tcPr>
          <w:p w:rsidR="00E87B9A" w:rsidRPr="0010572E" w:rsidRDefault="00E87B9A" w:rsidP="00510ED6">
            <w:pPr>
              <w:jc w:val="right"/>
              <w:rPr>
                <w:color w:val="000000"/>
                <w:sz w:val="18"/>
                <w:szCs w:val="18"/>
                <w:lang w:val="en-GB"/>
              </w:rPr>
            </w:pPr>
          </w:p>
        </w:tc>
        <w:tc>
          <w:tcPr>
            <w:tcW w:w="708" w:type="dxa"/>
            <w:vAlign w:val="center"/>
          </w:tcPr>
          <w:p w:rsidR="00E87B9A" w:rsidRPr="0010572E" w:rsidRDefault="00E87B9A" w:rsidP="00510ED6">
            <w:pPr>
              <w:jc w:val="right"/>
              <w:rPr>
                <w:color w:val="000000"/>
                <w:sz w:val="18"/>
                <w:szCs w:val="18"/>
                <w:lang w:val="en-GB"/>
              </w:rPr>
            </w:pP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buddhist</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-18.8139*</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-1.96</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tradeopenness</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0.181624***</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4.15</w:t>
            </w:r>
          </w:p>
        </w:tc>
      </w:tr>
      <w:tr w:rsidR="00E87B9A" w:rsidRPr="0010572E" w:rsidTr="00E87B9A">
        <w:trPr>
          <w:trHeight w:val="270"/>
          <w:jc w:val="center"/>
        </w:trPr>
        <w:tc>
          <w:tcPr>
            <w:tcW w:w="1276" w:type="dxa"/>
            <w:vAlign w:val="center"/>
          </w:tcPr>
          <w:p w:rsidR="00E87B9A" w:rsidRPr="0010572E" w:rsidRDefault="00E87B9A" w:rsidP="00510ED6">
            <w:pPr>
              <w:adjustRightInd w:val="0"/>
              <w:snapToGrid w:val="0"/>
              <w:rPr>
                <w:sz w:val="18"/>
                <w:szCs w:val="18"/>
                <w:lang w:val="en-GB"/>
              </w:rPr>
            </w:pPr>
          </w:p>
        </w:tc>
        <w:tc>
          <w:tcPr>
            <w:tcW w:w="1163" w:type="dxa"/>
            <w:vAlign w:val="center"/>
          </w:tcPr>
          <w:p w:rsidR="00E87B9A" w:rsidRPr="0010572E" w:rsidRDefault="00E87B9A" w:rsidP="00510ED6">
            <w:pPr>
              <w:adjustRightInd w:val="0"/>
              <w:snapToGrid w:val="0"/>
              <w:jc w:val="right"/>
              <w:rPr>
                <w:sz w:val="18"/>
                <w:szCs w:val="18"/>
                <w:lang w:val="en-GB"/>
              </w:rPr>
            </w:pPr>
          </w:p>
        </w:tc>
        <w:tc>
          <w:tcPr>
            <w:tcW w:w="709" w:type="dxa"/>
            <w:vAlign w:val="center"/>
          </w:tcPr>
          <w:p w:rsidR="00E87B9A" w:rsidRPr="0010572E" w:rsidRDefault="00E87B9A" w:rsidP="00510ED6">
            <w:pPr>
              <w:adjustRightInd w:val="0"/>
              <w:snapToGrid w:val="0"/>
              <w:jc w:val="right"/>
              <w:rPr>
                <w:sz w:val="18"/>
                <w:szCs w:val="18"/>
                <w:lang w:val="en-GB"/>
              </w:rPr>
            </w:pPr>
          </w:p>
        </w:tc>
        <w:tc>
          <w:tcPr>
            <w:tcW w:w="1276" w:type="dxa"/>
            <w:vAlign w:val="center"/>
          </w:tcPr>
          <w:p w:rsidR="00E87B9A" w:rsidRPr="0010572E" w:rsidRDefault="00E87B9A" w:rsidP="00510ED6">
            <w:pPr>
              <w:adjustRightInd w:val="0"/>
              <w:snapToGrid w:val="0"/>
              <w:rPr>
                <w:sz w:val="18"/>
                <w:szCs w:val="18"/>
                <w:lang w:val="en-GB"/>
              </w:rPr>
            </w:pPr>
          </w:p>
        </w:tc>
        <w:tc>
          <w:tcPr>
            <w:tcW w:w="1276" w:type="dxa"/>
            <w:vAlign w:val="center"/>
          </w:tcPr>
          <w:p w:rsidR="00E87B9A" w:rsidRPr="0010572E" w:rsidRDefault="00E87B9A" w:rsidP="00510ED6">
            <w:pPr>
              <w:adjustRightInd w:val="0"/>
              <w:snapToGrid w:val="0"/>
              <w:jc w:val="right"/>
              <w:rPr>
                <w:sz w:val="18"/>
                <w:szCs w:val="18"/>
                <w:lang w:val="en-GB"/>
              </w:rPr>
            </w:pPr>
          </w:p>
        </w:tc>
        <w:tc>
          <w:tcPr>
            <w:tcW w:w="708" w:type="dxa"/>
            <w:vAlign w:val="center"/>
          </w:tcPr>
          <w:p w:rsidR="00E87B9A" w:rsidRPr="0010572E" w:rsidRDefault="00E87B9A" w:rsidP="00510ED6">
            <w:pPr>
              <w:adjustRightInd w:val="0"/>
              <w:snapToGrid w:val="0"/>
              <w:rPr>
                <w:sz w:val="18"/>
                <w:szCs w:val="18"/>
                <w:lang w:val="en-GB"/>
              </w:rPr>
            </w:pP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tradeopenness</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0.177509***</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4.04</w:t>
            </w:r>
          </w:p>
        </w:tc>
        <w:tc>
          <w:tcPr>
            <w:tcW w:w="1418" w:type="dxa"/>
            <w:vAlign w:val="center"/>
          </w:tcPr>
          <w:p w:rsidR="00E87B9A" w:rsidRPr="0010572E" w:rsidRDefault="00E87B9A" w:rsidP="00510ED6">
            <w:pPr>
              <w:rPr>
                <w:color w:val="000000"/>
                <w:sz w:val="18"/>
                <w:szCs w:val="18"/>
                <w:lang w:val="en-GB"/>
              </w:rPr>
            </w:pPr>
          </w:p>
        </w:tc>
        <w:tc>
          <w:tcPr>
            <w:tcW w:w="1276" w:type="dxa"/>
            <w:vAlign w:val="center"/>
          </w:tcPr>
          <w:p w:rsidR="00E87B9A" w:rsidRPr="0010572E" w:rsidRDefault="00E87B9A" w:rsidP="00510ED6">
            <w:pPr>
              <w:jc w:val="right"/>
              <w:rPr>
                <w:color w:val="000000"/>
                <w:sz w:val="18"/>
                <w:szCs w:val="18"/>
                <w:lang w:val="en-GB"/>
              </w:rPr>
            </w:pPr>
          </w:p>
        </w:tc>
        <w:tc>
          <w:tcPr>
            <w:tcW w:w="738" w:type="dxa"/>
            <w:vAlign w:val="center"/>
          </w:tcPr>
          <w:p w:rsidR="00E87B9A" w:rsidRPr="0010572E" w:rsidRDefault="00E87B9A" w:rsidP="00510ED6">
            <w:pPr>
              <w:jc w:val="right"/>
              <w:rPr>
                <w:color w:val="000000"/>
                <w:sz w:val="18"/>
                <w:szCs w:val="18"/>
                <w:lang w:val="en-GB"/>
              </w:rPr>
            </w:pP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constant</w:t>
            </w:r>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-51.289</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-0.71</w:t>
            </w:r>
          </w:p>
        </w:tc>
        <w:tc>
          <w:tcPr>
            <w:tcW w:w="1276" w:type="dxa"/>
            <w:vAlign w:val="center"/>
          </w:tcPr>
          <w:p w:rsidR="00E87B9A" w:rsidRPr="0010572E" w:rsidRDefault="00E87B9A" w:rsidP="00510ED6">
            <w:pPr>
              <w:jc w:val="left"/>
              <w:rPr>
                <w:sz w:val="18"/>
                <w:szCs w:val="18"/>
                <w:lang w:val="en-GB"/>
              </w:rPr>
            </w:pPr>
            <w:r w:rsidRPr="0010572E">
              <w:rPr>
                <w:sz w:val="18"/>
                <w:szCs w:val="18"/>
                <w:lang w:val="en-GB"/>
              </w:rPr>
              <w:t>constant</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-76.542</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-1.13</w:t>
            </w:r>
          </w:p>
        </w:tc>
        <w:tc>
          <w:tcPr>
            <w:tcW w:w="1418" w:type="dxa"/>
            <w:vAlign w:val="center"/>
          </w:tcPr>
          <w:p w:rsidR="00E87B9A" w:rsidRPr="0010572E" w:rsidRDefault="00E87B9A" w:rsidP="00510ED6">
            <w:pPr>
              <w:adjustRightInd w:val="0"/>
              <w:snapToGrid w:val="0"/>
              <w:rPr>
                <w:sz w:val="18"/>
                <w:szCs w:val="18"/>
                <w:lang w:val="en-GB"/>
              </w:rPr>
            </w:pPr>
            <w:r w:rsidRPr="0010572E">
              <w:rPr>
                <w:sz w:val="18"/>
                <w:szCs w:val="18"/>
                <w:lang w:val="en-GB"/>
              </w:rPr>
              <w:t>constant</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-189.761***</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-5.35</w:t>
            </w:r>
          </w:p>
        </w:tc>
        <w:tc>
          <w:tcPr>
            <w:tcW w:w="1418" w:type="dxa"/>
            <w:vAlign w:val="center"/>
          </w:tcPr>
          <w:p w:rsidR="00E87B9A" w:rsidRPr="00934207" w:rsidRDefault="00E87B9A" w:rsidP="00510ED6">
            <w:pPr>
              <w:jc w:val="left"/>
              <w:rPr>
                <w:sz w:val="18"/>
                <w:szCs w:val="21"/>
                <w:lang w:val="en-GB"/>
              </w:rPr>
            </w:pPr>
            <w:r w:rsidRPr="00934207">
              <w:rPr>
                <w:sz w:val="18"/>
                <w:szCs w:val="21"/>
                <w:lang w:val="en-GB"/>
              </w:rPr>
              <w:t>constant</w:t>
            </w:r>
          </w:p>
        </w:tc>
        <w:tc>
          <w:tcPr>
            <w:tcW w:w="1276" w:type="dxa"/>
            <w:vAlign w:val="center"/>
          </w:tcPr>
          <w:p w:rsidR="00E87B9A" w:rsidRPr="00934207" w:rsidRDefault="00E87B9A" w:rsidP="00510ED6">
            <w:pPr>
              <w:jc w:val="right"/>
              <w:rPr>
                <w:rFonts w:ascii="宋体" w:hAnsi="宋体" w:cs="宋体"/>
                <w:color w:val="000000"/>
                <w:sz w:val="18"/>
                <w:szCs w:val="21"/>
                <w:lang w:val="en-GB"/>
              </w:rPr>
            </w:pPr>
            <w:r w:rsidRPr="00934207">
              <w:rPr>
                <w:color w:val="000000"/>
                <w:sz w:val="18"/>
                <w:szCs w:val="21"/>
                <w:lang w:val="en-GB"/>
              </w:rPr>
              <w:t>-188.98***</w:t>
            </w:r>
          </w:p>
        </w:tc>
        <w:tc>
          <w:tcPr>
            <w:tcW w:w="738" w:type="dxa"/>
            <w:vAlign w:val="center"/>
          </w:tcPr>
          <w:p w:rsidR="00E87B9A" w:rsidRPr="00934207" w:rsidRDefault="00E87B9A" w:rsidP="00510ED6">
            <w:pPr>
              <w:jc w:val="right"/>
              <w:rPr>
                <w:rFonts w:ascii="宋体" w:hAnsi="宋体" w:cs="宋体"/>
                <w:color w:val="000000"/>
                <w:sz w:val="18"/>
                <w:szCs w:val="21"/>
                <w:lang w:val="en-GB"/>
              </w:rPr>
            </w:pPr>
            <w:r w:rsidRPr="00934207">
              <w:rPr>
                <w:color w:val="000000"/>
                <w:sz w:val="18"/>
                <w:szCs w:val="21"/>
                <w:lang w:val="en-GB"/>
              </w:rPr>
              <w:t>-5.33</w:t>
            </w:r>
          </w:p>
        </w:tc>
      </w:tr>
      <w:tr w:rsidR="00E87B9A" w:rsidRPr="0010572E" w:rsidTr="00E87B9A">
        <w:trPr>
          <w:trHeight w:val="270"/>
          <w:jc w:val="center"/>
        </w:trPr>
        <w:tc>
          <w:tcPr>
            <w:tcW w:w="1276" w:type="dxa"/>
            <w:vAlign w:val="center"/>
          </w:tcPr>
          <w:p w:rsidR="00E87B9A" w:rsidRPr="0010572E" w:rsidRDefault="00E87B9A" w:rsidP="00510ED6">
            <w:pPr>
              <w:adjustRightInd w:val="0"/>
              <w:snapToGrid w:val="0"/>
              <w:rPr>
                <w:sz w:val="18"/>
                <w:szCs w:val="18"/>
                <w:lang w:val="en-GB"/>
              </w:rPr>
            </w:pPr>
            <w:r w:rsidRPr="0010572E">
              <w:rPr>
                <w:sz w:val="18"/>
                <w:szCs w:val="18"/>
                <w:lang w:val="en-GB"/>
              </w:rPr>
              <w:t>Adjust R</w:t>
            </w:r>
            <w:r w:rsidRPr="0010572E">
              <w:rPr>
                <w:sz w:val="18"/>
                <w:szCs w:val="18"/>
                <w:vertAlign w:val="superscript"/>
                <w:lang w:val="en-GB"/>
              </w:rPr>
              <w:t>2</w:t>
            </w:r>
          </w:p>
        </w:tc>
        <w:tc>
          <w:tcPr>
            <w:tcW w:w="1163" w:type="dxa"/>
            <w:vAlign w:val="center"/>
          </w:tcPr>
          <w:p w:rsidR="00E87B9A" w:rsidRPr="0010572E" w:rsidRDefault="00E87B9A" w:rsidP="00510ED6">
            <w:pPr>
              <w:adjustRightInd w:val="0"/>
              <w:snapToGrid w:val="0"/>
              <w:jc w:val="right"/>
              <w:rPr>
                <w:sz w:val="18"/>
                <w:szCs w:val="18"/>
                <w:lang w:val="en-GB"/>
              </w:rPr>
            </w:pPr>
            <w:r w:rsidRPr="0010572E">
              <w:rPr>
                <w:sz w:val="18"/>
                <w:szCs w:val="18"/>
                <w:lang w:val="en-GB"/>
              </w:rPr>
              <w:t>0.5561</w:t>
            </w:r>
          </w:p>
        </w:tc>
        <w:tc>
          <w:tcPr>
            <w:tcW w:w="709" w:type="dxa"/>
            <w:vAlign w:val="center"/>
          </w:tcPr>
          <w:p w:rsidR="00E87B9A" w:rsidRPr="0010572E" w:rsidRDefault="00E87B9A" w:rsidP="00510ED6">
            <w:pPr>
              <w:adjustRightInd w:val="0"/>
              <w:snapToGrid w:val="0"/>
              <w:jc w:val="right"/>
              <w:rPr>
                <w:sz w:val="18"/>
                <w:szCs w:val="18"/>
                <w:lang w:val="en-GB"/>
              </w:rPr>
            </w:pPr>
          </w:p>
        </w:tc>
        <w:tc>
          <w:tcPr>
            <w:tcW w:w="1276" w:type="dxa"/>
            <w:vAlign w:val="center"/>
          </w:tcPr>
          <w:p w:rsidR="00E87B9A" w:rsidRPr="0010572E" w:rsidRDefault="00E87B9A" w:rsidP="00510ED6">
            <w:pPr>
              <w:adjustRightInd w:val="0"/>
              <w:snapToGrid w:val="0"/>
              <w:rPr>
                <w:sz w:val="18"/>
                <w:szCs w:val="18"/>
                <w:lang w:val="en-GB"/>
              </w:rPr>
            </w:pPr>
            <w:r w:rsidRPr="0010572E">
              <w:rPr>
                <w:sz w:val="18"/>
                <w:szCs w:val="18"/>
                <w:lang w:val="en-GB"/>
              </w:rPr>
              <w:t>Adjust R</w:t>
            </w:r>
            <w:r w:rsidRPr="0010572E">
              <w:rPr>
                <w:sz w:val="18"/>
                <w:szCs w:val="18"/>
                <w:vertAlign w:val="superscript"/>
                <w:lang w:val="en-GB"/>
              </w:rPr>
              <w:t>2</w:t>
            </w:r>
          </w:p>
        </w:tc>
        <w:tc>
          <w:tcPr>
            <w:tcW w:w="1276" w:type="dxa"/>
            <w:vAlign w:val="center"/>
          </w:tcPr>
          <w:p w:rsidR="00E87B9A" w:rsidRPr="0010572E" w:rsidRDefault="00E87B9A" w:rsidP="00510ED6">
            <w:pPr>
              <w:adjustRightInd w:val="0"/>
              <w:snapToGrid w:val="0"/>
              <w:jc w:val="right"/>
              <w:rPr>
                <w:sz w:val="18"/>
                <w:szCs w:val="18"/>
                <w:lang w:val="en-GB"/>
              </w:rPr>
            </w:pPr>
            <w:r w:rsidRPr="0010572E">
              <w:rPr>
                <w:sz w:val="18"/>
                <w:szCs w:val="18"/>
                <w:lang w:val="en-GB"/>
              </w:rPr>
              <w:t>0.5557</w:t>
            </w:r>
          </w:p>
        </w:tc>
        <w:tc>
          <w:tcPr>
            <w:tcW w:w="708" w:type="dxa"/>
            <w:vAlign w:val="center"/>
          </w:tcPr>
          <w:p w:rsidR="00E87B9A" w:rsidRPr="0010572E" w:rsidRDefault="00E87B9A" w:rsidP="00510ED6">
            <w:pPr>
              <w:adjustRightInd w:val="0"/>
              <w:snapToGrid w:val="0"/>
              <w:rPr>
                <w:sz w:val="18"/>
                <w:szCs w:val="18"/>
                <w:lang w:val="en-GB"/>
              </w:rPr>
            </w:pPr>
          </w:p>
        </w:tc>
        <w:tc>
          <w:tcPr>
            <w:tcW w:w="1418" w:type="dxa"/>
            <w:vAlign w:val="center"/>
          </w:tcPr>
          <w:p w:rsidR="00E87B9A" w:rsidRPr="0010572E" w:rsidRDefault="00E87B9A" w:rsidP="00510ED6">
            <w:pPr>
              <w:adjustRightInd w:val="0"/>
              <w:snapToGrid w:val="0"/>
              <w:rPr>
                <w:sz w:val="18"/>
                <w:szCs w:val="18"/>
                <w:lang w:val="en-GB"/>
              </w:rPr>
            </w:pPr>
            <w:r w:rsidRPr="0010572E">
              <w:rPr>
                <w:sz w:val="18"/>
                <w:szCs w:val="18"/>
                <w:lang w:val="en-GB"/>
              </w:rPr>
              <w:t>Adjust R</w:t>
            </w:r>
            <w:r w:rsidRPr="0010572E">
              <w:rPr>
                <w:sz w:val="18"/>
                <w:szCs w:val="18"/>
                <w:vertAlign w:val="superscript"/>
                <w:lang w:val="en-GB"/>
              </w:rPr>
              <w:t>2</w:t>
            </w:r>
          </w:p>
        </w:tc>
        <w:tc>
          <w:tcPr>
            <w:tcW w:w="1276" w:type="dxa"/>
            <w:vAlign w:val="center"/>
          </w:tcPr>
          <w:p w:rsidR="00E87B9A" w:rsidRPr="0010572E" w:rsidRDefault="00E87B9A" w:rsidP="00510ED6">
            <w:pPr>
              <w:adjustRightInd w:val="0"/>
              <w:snapToGrid w:val="0"/>
              <w:jc w:val="right"/>
              <w:rPr>
                <w:sz w:val="18"/>
                <w:szCs w:val="18"/>
                <w:lang w:val="en-GB"/>
              </w:rPr>
            </w:pPr>
            <w:r w:rsidRPr="0010572E">
              <w:rPr>
                <w:sz w:val="18"/>
                <w:szCs w:val="18"/>
                <w:lang w:val="en-GB"/>
              </w:rPr>
              <w:t>0.7741</w:t>
            </w:r>
          </w:p>
        </w:tc>
        <w:tc>
          <w:tcPr>
            <w:tcW w:w="708" w:type="dxa"/>
            <w:vAlign w:val="center"/>
          </w:tcPr>
          <w:p w:rsidR="00E87B9A" w:rsidRPr="0010572E" w:rsidRDefault="00E87B9A" w:rsidP="00510ED6">
            <w:pPr>
              <w:adjustRightInd w:val="0"/>
              <w:snapToGrid w:val="0"/>
              <w:jc w:val="right"/>
              <w:rPr>
                <w:sz w:val="18"/>
                <w:szCs w:val="18"/>
                <w:lang w:val="en-GB"/>
              </w:rPr>
            </w:pPr>
          </w:p>
        </w:tc>
        <w:tc>
          <w:tcPr>
            <w:tcW w:w="1418" w:type="dxa"/>
            <w:vAlign w:val="center"/>
          </w:tcPr>
          <w:p w:rsidR="00E87B9A" w:rsidRPr="00934207" w:rsidRDefault="00E87B9A" w:rsidP="00510ED6">
            <w:pPr>
              <w:adjustRightInd w:val="0"/>
              <w:snapToGrid w:val="0"/>
              <w:rPr>
                <w:sz w:val="18"/>
                <w:szCs w:val="21"/>
                <w:lang w:val="en-GB"/>
              </w:rPr>
            </w:pPr>
            <w:r w:rsidRPr="00934207">
              <w:rPr>
                <w:sz w:val="18"/>
                <w:szCs w:val="21"/>
                <w:lang w:val="en-GB"/>
              </w:rPr>
              <w:t>Adjust R</w:t>
            </w:r>
            <w:r w:rsidRPr="00934207">
              <w:rPr>
                <w:sz w:val="18"/>
                <w:szCs w:val="21"/>
                <w:vertAlign w:val="superscript"/>
                <w:lang w:val="en-GB"/>
              </w:rPr>
              <w:t>2</w:t>
            </w:r>
          </w:p>
        </w:tc>
        <w:tc>
          <w:tcPr>
            <w:tcW w:w="1276" w:type="dxa"/>
            <w:vAlign w:val="center"/>
          </w:tcPr>
          <w:p w:rsidR="00E87B9A" w:rsidRPr="00934207" w:rsidRDefault="00E87B9A" w:rsidP="00510ED6">
            <w:pPr>
              <w:adjustRightInd w:val="0"/>
              <w:snapToGrid w:val="0"/>
              <w:jc w:val="right"/>
              <w:rPr>
                <w:sz w:val="18"/>
                <w:szCs w:val="21"/>
                <w:lang w:val="en-GB"/>
              </w:rPr>
            </w:pPr>
            <w:r w:rsidRPr="00934207">
              <w:rPr>
                <w:sz w:val="18"/>
                <w:szCs w:val="21"/>
                <w:lang w:val="en-GB"/>
              </w:rPr>
              <w:t>0.7738</w:t>
            </w:r>
          </w:p>
        </w:tc>
        <w:tc>
          <w:tcPr>
            <w:tcW w:w="738" w:type="dxa"/>
            <w:vAlign w:val="center"/>
          </w:tcPr>
          <w:p w:rsidR="00E87B9A" w:rsidRPr="00934207" w:rsidRDefault="00E87B9A" w:rsidP="00510ED6">
            <w:pPr>
              <w:adjustRightInd w:val="0"/>
              <w:snapToGrid w:val="0"/>
              <w:rPr>
                <w:sz w:val="18"/>
                <w:szCs w:val="21"/>
                <w:lang w:val="en-GB"/>
              </w:rPr>
            </w:pPr>
          </w:p>
        </w:tc>
      </w:tr>
      <w:tr w:rsidR="00E87B9A" w:rsidRPr="0010572E" w:rsidTr="00E87B9A">
        <w:trPr>
          <w:trHeight w:val="244"/>
          <w:jc w:val="center"/>
        </w:trPr>
        <w:tc>
          <w:tcPr>
            <w:tcW w:w="6408" w:type="dxa"/>
            <w:gridSpan w:val="6"/>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Panel C</w:t>
            </w:r>
          </w:p>
          <w:p w:rsidR="00E87B9A" w:rsidRPr="0010572E" w:rsidRDefault="00E87B9A" w:rsidP="00510ED6">
            <w:pPr>
              <w:adjustRightInd w:val="0"/>
              <w:snapToGrid w:val="0"/>
              <w:jc w:val="center"/>
              <w:rPr>
                <w:color w:val="000000"/>
                <w:kern w:val="0"/>
                <w:sz w:val="18"/>
                <w:szCs w:val="18"/>
                <w:lang w:val="en-GB"/>
              </w:rPr>
            </w:pPr>
            <w:r w:rsidRPr="0010572E">
              <w:rPr>
                <w:b/>
                <w:color w:val="000000"/>
                <w:kern w:val="0"/>
                <w:sz w:val="18"/>
                <w:szCs w:val="18"/>
                <w:lang w:val="en-GB"/>
              </w:rPr>
              <w:t>Dependent Variable: IPO</w:t>
            </w:r>
          </w:p>
        </w:tc>
        <w:tc>
          <w:tcPr>
            <w:tcW w:w="6834" w:type="dxa"/>
            <w:gridSpan w:val="6"/>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Panel D</w:t>
            </w:r>
          </w:p>
          <w:p w:rsidR="00E87B9A" w:rsidRPr="0010572E" w:rsidRDefault="00E87B9A" w:rsidP="00510ED6">
            <w:pPr>
              <w:adjustRightInd w:val="0"/>
              <w:snapToGrid w:val="0"/>
              <w:jc w:val="center"/>
              <w:rPr>
                <w:color w:val="000000"/>
                <w:kern w:val="0"/>
                <w:sz w:val="18"/>
                <w:szCs w:val="18"/>
                <w:lang w:val="en-GB"/>
              </w:rPr>
            </w:pPr>
            <w:r w:rsidRPr="0010572E">
              <w:rPr>
                <w:b/>
                <w:color w:val="000000"/>
                <w:kern w:val="0"/>
                <w:sz w:val="18"/>
                <w:szCs w:val="18"/>
                <w:lang w:val="en-GB"/>
              </w:rPr>
              <w:t>Dependent Variable: TRADE</w:t>
            </w:r>
          </w:p>
        </w:tc>
      </w:tr>
      <w:tr w:rsidR="00E87B9A" w:rsidRPr="0010572E" w:rsidTr="00E87B9A">
        <w:trPr>
          <w:trHeight w:val="367"/>
          <w:jc w:val="center"/>
        </w:trPr>
        <w:tc>
          <w:tcPr>
            <w:tcW w:w="3148" w:type="dxa"/>
            <w:gridSpan w:val="3"/>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Adjusted R</w:t>
            </w:r>
            <w:r w:rsidRPr="0010572E">
              <w:rPr>
                <w:b/>
                <w:color w:val="000000"/>
                <w:kern w:val="0"/>
                <w:sz w:val="18"/>
                <w:szCs w:val="18"/>
                <w:vertAlign w:val="superscript"/>
                <w:lang w:val="en-GB"/>
              </w:rPr>
              <w:t>2</w:t>
            </w:r>
          </w:p>
        </w:tc>
        <w:tc>
          <w:tcPr>
            <w:tcW w:w="3260" w:type="dxa"/>
            <w:gridSpan w:val="3"/>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AIC</w:t>
            </w:r>
          </w:p>
        </w:tc>
        <w:tc>
          <w:tcPr>
            <w:tcW w:w="3402" w:type="dxa"/>
            <w:gridSpan w:val="3"/>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Adjusted R</w:t>
            </w:r>
            <w:r w:rsidRPr="0010572E">
              <w:rPr>
                <w:b/>
                <w:color w:val="000000"/>
                <w:kern w:val="0"/>
                <w:sz w:val="18"/>
                <w:szCs w:val="18"/>
                <w:vertAlign w:val="superscript"/>
                <w:lang w:val="en-GB"/>
              </w:rPr>
              <w:t>2</w:t>
            </w:r>
          </w:p>
        </w:tc>
        <w:tc>
          <w:tcPr>
            <w:tcW w:w="3432" w:type="dxa"/>
            <w:gridSpan w:val="3"/>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AIC</w:t>
            </w:r>
          </w:p>
        </w:tc>
      </w:tr>
      <w:tr w:rsidR="00E87B9A" w:rsidRPr="0010572E" w:rsidTr="00E87B9A">
        <w:trPr>
          <w:trHeight w:val="270"/>
          <w:jc w:val="center"/>
        </w:trPr>
        <w:tc>
          <w:tcPr>
            <w:tcW w:w="1276"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variables</w:t>
            </w:r>
          </w:p>
        </w:tc>
        <w:tc>
          <w:tcPr>
            <w:tcW w:w="1163"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coefficient</w:t>
            </w:r>
          </w:p>
        </w:tc>
        <w:tc>
          <w:tcPr>
            <w:tcW w:w="709"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t-stat</w:t>
            </w:r>
          </w:p>
        </w:tc>
        <w:tc>
          <w:tcPr>
            <w:tcW w:w="1276"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variables</w:t>
            </w:r>
          </w:p>
        </w:tc>
        <w:tc>
          <w:tcPr>
            <w:tcW w:w="1276"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coefficient</w:t>
            </w:r>
          </w:p>
        </w:tc>
        <w:tc>
          <w:tcPr>
            <w:tcW w:w="708"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t-stat</w:t>
            </w:r>
          </w:p>
        </w:tc>
        <w:tc>
          <w:tcPr>
            <w:tcW w:w="1418"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variables</w:t>
            </w:r>
          </w:p>
        </w:tc>
        <w:tc>
          <w:tcPr>
            <w:tcW w:w="1276"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coefficient</w:t>
            </w:r>
          </w:p>
        </w:tc>
        <w:tc>
          <w:tcPr>
            <w:tcW w:w="708"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t-stat</w:t>
            </w:r>
          </w:p>
        </w:tc>
        <w:tc>
          <w:tcPr>
            <w:tcW w:w="1418"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variables</w:t>
            </w:r>
          </w:p>
        </w:tc>
        <w:tc>
          <w:tcPr>
            <w:tcW w:w="1276"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coefficient</w:t>
            </w:r>
          </w:p>
        </w:tc>
        <w:tc>
          <w:tcPr>
            <w:tcW w:w="738" w:type="dxa"/>
            <w:vAlign w:val="bottom"/>
          </w:tcPr>
          <w:p w:rsidR="00E87B9A" w:rsidRPr="0010572E" w:rsidRDefault="00E87B9A" w:rsidP="00510ED6">
            <w:pPr>
              <w:adjustRightInd w:val="0"/>
              <w:snapToGrid w:val="0"/>
              <w:jc w:val="center"/>
              <w:rPr>
                <w:b/>
                <w:color w:val="000000"/>
                <w:kern w:val="0"/>
                <w:sz w:val="18"/>
                <w:szCs w:val="18"/>
                <w:lang w:val="en-GB"/>
              </w:rPr>
            </w:pPr>
            <w:r w:rsidRPr="0010572E">
              <w:rPr>
                <w:b/>
                <w:color w:val="000000"/>
                <w:kern w:val="0"/>
                <w:sz w:val="18"/>
                <w:szCs w:val="18"/>
                <w:lang w:val="en-GB"/>
              </w:rPr>
              <w:t>t-stat</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check</w:t>
            </w:r>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1.911109***</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3.22</w:t>
            </w:r>
          </w:p>
        </w:tc>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check</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1.911109***</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3.22</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rantidri</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-10.2765</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-1.57</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rantidri</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-8.86597</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-1.37</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gdppercapita</w:t>
            </w:r>
            <w:proofErr w:type="spellEnd"/>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1.548581***</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3.84</w:t>
            </w:r>
          </w:p>
        </w:tc>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gdppercapita</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1.548581***</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3.84</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disclosure</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101.0772**</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2.7</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disclosure</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94.08629**</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2.53</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disclosure</w:t>
            </w:r>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3.476144*</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w:t>
            </w:r>
          </w:p>
        </w:tc>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disclosure</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3.476144*</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nanalysts</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2.449634**</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2.59</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nanalysts</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2.30254**</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2.44</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nanalysts</w:t>
            </w:r>
            <w:proofErr w:type="spellEnd"/>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0.10838*</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1.88</w:t>
            </w:r>
          </w:p>
        </w:tc>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nanalysts</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0.10838*</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1.88</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penforcement</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-55.5679*</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penforcement</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-44.2885</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lastRenderedPageBreak/>
              <w:t>receptive</w:t>
            </w:r>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-1.55627</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-1.46</w:t>
            </w:r>
          </w:p>
        </w:tc>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receptive</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-1.55627</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-1.46</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itprosecution</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33.83439**</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2.03</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itprosecution</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29.92404*</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1.82</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origin</w:t>
            </w:r>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-1.65976</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-1.35</w:t>
            </w:r>
          </w:p>
        </w:tc>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origin</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-1.65976</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-1.35</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property</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1.138246**</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2.37</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property</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0.859464*</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2.02</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catholic</w:t>
            </w:r>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-1.84116**</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-2.17</w:t>
            </w:r>
          </w:p>
        </w:tc>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catholic</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-1.84116**</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-2.17</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receptive</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-64.5997***</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-3.45</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receptive</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-50.8269***</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-3.39</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buddhist</w:t>
            </w:r>
            <w:proofErr w:type="spellEnd"/>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-2.91613**</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-2.39</w:t>
            </w:r>
          </w:p>
        </w:tc>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buddhist</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-2.91613**</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-2.39</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origin</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-24.8648</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-1.22</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muslim</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-23.5413</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-1.38</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tradeopenness</w:t>
            </w:r>
            <w:proofErr w:type="spellEnd"/>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0.010817*</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1.69</w:t>
            </w:r>
          </w:p>
        </w:tc>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tradeopenness</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0.010817*</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1.69</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muslim</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-28.6992</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-1.64</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buddhist</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-56.7615**</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-2.47</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employment</w:t>
            </w:r>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-3.38163*</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-1.7</w:t>
            </w:r>
          </w:p>
        </w:tc>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employment</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-3.38163*</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-1.7</w:t>
            </w:r>
          </w:p>
        </w:tc>
        <w:tc>
          <w:tcPr>
            <w:tcW w:w="1418"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buddhist</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-67.5244***</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-2.75</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employment</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-55.7882</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-1.51</w:t>
            </w:r>
          </w:p>
        </w:tc>
      </w:tr>
      <w:tr w:rsidR="00E87B9A" w:rsidRPr="0010572E" w:rsidTr="00E87B9A">
        <w:trPr>
          <w:trHeight w:val="270"/>
          <w:jc w:val="center"/>
        </w:trPr>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pinstab</w:t>
            </w:r>
            <w:proofErr w:type="spellEnd"/>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1.673907</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1.26</w:t>
            </w:r>
          </w:p>
        </w:tc>
        <w:tc>
          <w:tcPr>
            <w:tcW w:w="1276" w:type="dxa"/>
            <w:vAlign w:val="center"/>
          </w:tcPr>
          <w:p w:rsidR="00E87B9A" w:rsidRPr="0010572E" w:rsidRDefault="00E87B9A" w:rsidP="00510ED6">
            <w:pPr>
              <w:rPr>
                <w:color w:val="000000"/>
                <w:sz w:val="18"/>
                <w:szCs w:val="18"/>
                <w:lang w:val="en-GB"/>
              </w:rPr>
            </w:pPr>
            <w:proofErr w:type="spellStart"/>
            <w:r w:rsidRPr="0010572E">
              <w:rPr>
                <w:color w:val="000000"/>
                <w:sz w:val="18"/>
                <w:szCs w:val="18"/>
                <w:lang w:val="en-GB"/>
              </w:rPr>
              <w:t>pinstab</w:t>
            </w:r>
            <w:proofErr w:type="spellEnd"/>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1.673907</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1.26</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employment</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-53.8834</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-1.47</w:t>
            </w:r>
          </w:p>
        </w:tc>
        <w:tc>
          <w:tcPr>
            <w:tcW w:w="1418" w:type="dxa"/>
            <w:vAlign w:val="center"/>
          </w:tcPr>
          <w:p w:rsidR="00E87B9A" w:rsidRPr="0010572E" w:rsidRDefault="00E87B9A" w:rsidP="00510ED6">
            <w:pPr>
              <w:rPr>
                <w:color w:val="000000"/>
                <w:sz w:val="18"/>
                <w:szCs w:val="18"/>
                <w:lang w:val="en-GB"/>
              </w:rPr>
            </w:pPr>
          </w:p>
        </w:tc>
        <w:tc>
          <w:tcPr>
            <w:tcW w:w="1276" w:type="dxa"/>
            <w:vAlign w:val="center"/>
          </w:tcPr>
          <w:p w:rsidR="00E87B9A" w:rsidRPr="0010572E" w:rsidRDefault="00E87B9A" w:rsidP="00510ED6">
            <w:pPr>
              <w:jc w:val="right"/>
              <w:rPr>
                <w:color w:val="000000"/>
                <w:sz w:val="18"/>
                <w:szCs w:val="18"/>
                <w:lang w:val="en-GB"/>
              </w:rPr>
            </w:pPr>
          </w:p>
        </w:tc>
        <w:tc>
          <w:tcPr>
            <w:tcW w:w="738" w:type="dxa"/>
            <w:vAlign w:val="center"/>
          </w:tcPr>
          <w:p w:rsidR="00E87B9A" w:rsidRPr="0010572E" w:rsidRDefault="00E87B9A" w:rsidP="00510ED6">
            <w:pPr>
              <w:jc w:val="right"/>
              <w:rPr>
                <w:color w:val="000000"/>
                <w:sz w:val="18"/>
                <w:szCs w:val="18"/>
                <w:lang w:val="en-GB"/>
              </w:rPr>
            </w:pPr>
          </w:p>
        </w:tc>
      </w:tr>
      <w:tr w:rsidR="00E87B9A" w:rsidRPr="0010572E" w:rsidTr="00E87B9A">
        <w:trPr>
          <w:trHeight w:val="270"/>
          <w:jc w:val="center"/>
        </w:trPr>
        <w:tc>
          <w:tcPr>
            <w:tcW w:w="1276" w:type="dxa"/>
            <w:vAlign w:val="center"/>
          </w:tcPr>
          <w:p w:rsidR="00E87B9A" w:rsidRPr="0010572E" w:rsidRDefault="00E87B9A" w:rsidP="00510ED6">
            <w:pPr>
              <w:jc w:val="left"/>
              <w:rPr>
                <w:sz w:val="18"/>
                <w:szCs w:val="18"/>
                <w:lang w:val="en-GB"/>
              </w:rPr>
            </w:pPr>
            <w:r w:rsidRPr="0010572E">
              <w:rPr>
                <w:sz w:val="18"/>
                <w:szCs w:val="18"/>
                <w:lang w:val="en-GB"/>
              </w:rPr>
              <w:t>constant</w:t>
            </w:r>
          </w:p>
        </w:tc>
        <w:tc>
          <w:tcPr>
            <w:tcW w:w="1163"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-21.9192***</w:t>
            </w:r>
          </w:p>
        </w:tc>
        <w:tc>
          <w:tcPr>
            <w:tcW w:w="709"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-4.39</w:t>
            </w:r>
          </w:p>
        </w:tc>
        <w:tc>
          <w:tcPr>
            <w:tcW w:w="1276" w:type="dxa"/>
            <w:vAlign w:val="center"/>
          </w:tcPr>
          <w:p w:rsidR="00E87B9A" w:rsidRPr="0010572E" w:rsidRDefault="00E87B9A" w:rsidP="00510ED6">
            <w:pPr>
              <w:rPr>
                <w:color w:val="000000"/>
                <w:sz w:val="18"/>
                <w:szCs w:val="18"/>
                <w:lang w:val="en-GB"/>
              </w:rPr>
            </w:pPr>
            <w:r w:rsidRPr="0010572E">
              <w:rPr>
                <w:color w:val="000000"/>
                <w:sz w:val="18"/>
                <w:szCs w:val="18"/>
                <w:lang w:val="en-GB"/>
              </w:rPr>
              <w:t>constant</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-21.9192***</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-4.39</w:t>
            </w:r>
          </w:p>
        </w:tc>
        <w:tc>
          <w:tcPr>
            <w:tcW w:w="1418" w:type="dxa"/>
            <w:vAlign w:val="center"/>
          </w:tcPr>
          <w:p w:rsidR="00E87B9A" w:rsidRPr="0010572E" w:rsidRDefault="00E87B9A" w:rsidP="00510ED6">
            <w:pPr>
              <w:adjustRightInd w:val="0"/>
              <w:snapToGrid w:val="0"/>
              <w:rPr>
                <w:sz w:val="18"/>
                <w:szCs w:val="18"/>
                <w:lang w:val="en-GB"/>
              </w:rPr>
            </w:pPr>
            <w:r w:rsidRPr="0010572E">
              <w:rPr>
                <w:sz w:val="18"/>
                <w:szCs w:val="18"/>
                <w:lang w:val="en-GB"/>
              </w:rPr>
              <w:t>constant</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-24.2731</w:t>
            </w:r>
          </w:p>
        </w:tc>
        <w:tc>
          <w:tcPr>
            <w:tcW w:w="70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-0.55</w:t>
            </w:r>
          </w:p>
        </w:tc>
        <w:tc>
          <w:tcPr>
            <w:tcW w:w="1418" w:type="dxa"/>
            <w:vAlign w:val="center"/>
          </w:tcPr>
          <w:p w:rsidR="00E87B9A" w:rsidRPr="0010572E" w:rsidRDefault="00E87B9A" w:rsidP="00510ED6">
            <w:pPr>
              <w:rPr>
                <w:color w:val="000000"/>
                <w:sz w:val="18"/>
                <w:szCs w:val="18"/>
                <w:lang w:val="en-GB"/>
              </w:rPr>
            </w:pPr>
            <w:r w:rsidRPr="0010572E">
              <w:rPr>
                <w:color w:val="000000"/>
                <w:sz w:val="18"/>
                <w:szCs w:val="18"/>
                <w:lang w:val="en-GB"/>
              </w:rPr>
              <w:t>constant</w:t>
            </w:r>
          </w:p>
        </w:tc>
        <w:tc>
          <w:tcPr>
            <w:tcW w:w="1276"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-15.3454</w:t>
            </w:r>
          </w:p>
        </w:tc>
        <w:tc>
          <w:tcPr>
            <w:tcW w:w="738" w:type="dxa"/>
            <w:vAlign w:val="center"/>
          </w:tcPr>
          <w:p w:rsidR="00E87B9A" w:rsidRPr="0010572E" w:rsidRDefault="00E87B9A" w:rsidP="00510ED6">
            <w:pPr>
              <w:jc w:val="right"/>
              <w:rPr>
                <w:color w:val="000000"/>
                <w:sz w:val="18"/>
                <w:szCs w:val="18"/>
                <w:lang w:val="en-GB"/>
              </w:rPr>
            </w:pPr>
            <w:r w:rsidRPr="0010572E">
              <w:rPr>
                <w:color w:val="000000"/>
                <w:sz w:val="18"/>
                <w:szCs w:val="18"/>
                <w:lang w:val="en-GB"/>
              </w:rPr>
              <w:t>-0.35</w:t>
            </w:r>
          </w:p>
        </w:tc>
      </w:tr>
      <w:tr w:rsidR="00E87B9A" w:rsidRPr="0010572E" w:rsidTr="00E87B9A">
        <w:trPr>
          <w:trHeight w:val="270"/>
          <w:jc w:val="center"/>
        </w:trPr>
        <w:tc>
          <w:tcPr>
            <w:tcW w:w="1276" w:type="dxa"/>
            <w:vAlign w:val="center"/>
          </w:tcPr>
          <w:p w:rsidR="00E87B9A" w:rsidRPr="0010572E" w:rsidRDefault="00E87B9A" w:rsidP="00510ED6">
            <w:pPr>
              <w:adjustRightInd w:val="0"/>
              <w:snapToGrid w:val="0"/>
              <w:rPr>
                <w:sz w:val="18"/>
                <w:szCs w:val="18"/>
                <w:lang w:val="en-GB"/>
              </w:rPr>
            </w:pPr>
            <w:r w:rsidRPr="0010572E">
              <w:rPr>
                <w:sz w:val="18"/>
                <w:szCs w:val="18"/>
                <w:lang w:val="en-GB"/>
              </w:rPr>
              <w:t>Adjust R</w:t>
            </w:r>
            <w:r w:rsidRPr="0010572E">
              <w:rPr>
                <w:sz w:val="18"/>
                <w:szCs w:val="18"/>
                <w:vertAlign w:val="superscript"/>
                <w:lang w:val="en-GB"/>
              </w:rPr>
              <w:t>2</w:t>
            </w:r>
          </w:p>
        </w:tc>
        <w:tc>
          <w:tcPr>
            <w:tcW w:w="1163" w:type="dxa"/>
            <w:vAlign w:val="center"/>
          </w:tcPr>
          <w:p w:rsidR="00E87B9A" w:rsidRPr="0010572E" w:rsidRDefault="00E87B9A" w:rsidP="00510ED6">
            <w:pPr>
              <w:adjustRightInd w:val="0"/>
              <w:snapToGrid w:val="0"/>
              <w:jc w:val="right"/>
              <w:rPr>
                <w:sz w:val="18"/>
                <w:szCs w:val="18"/>
                <w:lang w:val="en-GB"/>
              </w:rPr>
            </w:pPr>
            <w:r w:rsidRPr="0010572E">
              <w:rPr>
                <w:sz w:val="18"/>
                <w:szCs w:val="18"/>
                <w:lang w:val="en-GB"/>
              </w:rPr>
              <w:t>0.5373</w:t>
            </w:r>
          </w:p>
        </w:tc>
        <w:tc>
          <w:tcPr>
            <w:tcW w:w="709" w:type="dxa"/>
            <w:vAlign w:val="center"/>
          </w:tcPr>
          <w:p w:rsidR="00E87B9A" w:rsidRPr="0010572E" w:rsidRDefault="00E87B9A" w:rsidP="00510ED6">
            <w:pPr>
              <w:adjustRightInd w:val="0"/>
              <w:snapToGrid w:val="0"/>
              <w:jc w:val="right"/>
              <w:rPr>
                <w:sz w:val="18"/>
                <w:szCs w:val="18"/>
                <w:lang w:val="en-GB"/>
              </w:rPr>
            </w:pPr>
          </w:p>
        </w:tc>
        <w:tc>
          <w:tcPr>
            <w:tcW w:w="1276" w:type="dxa"/>
            <w:vAlign w:val="center"/>
          </w:tcPr>
          <w:p w:rsidR="00E87B9A" w:rsidRPr="0010572E" w:rsidRDefault="00E87B9A" w:rsidP="00510ED6">
            <w:pPr>
              <w:adjustRightInd w:val="0"/>
              <w:snapToGrid w:val="0"/>
              <w:rPr>
                <w:sz w:val="18"/>
                <w:szCs w:val="18"/>
                <w:lang w:val="en-GB"/>
              </w:rPr>
            </w:pPr>
            <w:r w:rsidRPr="0010572E">
              <w:rPr>
                <w:sz w:val="18"/>
                <w:szCs w:val="18"/>
                <w:lang w:val="en-GB"/>
              </w:rPr>
              <w:t>Adjust R</w:t>
            </w:r>
            <w:r w:rsidRPr="0010572E">
              <w:rPr>
                <w:sz w:val="18"/>
                <w:szCs w:val="18"/>
                <w:vertAlign w:val="superscript"/>
                <w:lang w:val="en-GB"/>
              </w:rPr>
              <w:t>2</w:t>
            </w:r>
          </w:p>
        </w:tc>
        <w:tc>
          <w:tcPr>
            <w:tcW w:w="1276" w:type="dxa"/>
            <w:vAlign w:val="center"/>
          </w:tcPr>
          <w:p w:rsidR="00E87B9A" w:rsidRPr="0010572E" w:rsidRDefault="00E87B9A" w:rsidP="00510ED6">
            <w:pPr>
              <w:adjustRightInd w:val="0"/>
              <w:snapToGrid w:val="0"/>
              <w:jc w:val="right"/>
              <w:rPr>
                <w:sz w:val="18"/>
                <w:szCs w:val="18"/>
                <w:lang w:val="en-GB"/>
              </w:rPr>
            </w:pPr>
            <w:r w:rsidRPr="0010572E">
              <w:rPr>
                <w:sz w:val="18"/>
                <w:szCs w:val="18"/>
                <w:lang w:val="en-GB"/>
              </w:rPr>
              <w:t>0.5373</w:t>
            </w:r>
          </w:p>
        </w:tc>
        <w:tc>
          <w:tcPr>
            <w:tcW w:w="708" w:type="dxa"/>
            <w:vAlign w:val="center"/>
          </w:tcPr>
          <w:p w:rsidR="00E87B9A" w:rsidRPr="0010572E" w:rsidRDefault="00E87B9A" w:rsidP="00510ED6">
            <w:pPr>
              <w:adjustRightInd w:val="0"/>
              <w:snapToGrid w:val="0"/>
              <w:rPr>
                <w:sz w:val="18"/>
                <w:szCs w:val="18"/>
                <w:lang w:val="en-GB"/>
              </w:rPr>
            </w:pPr>
          </w:p>
        </w:tc>
        <w:tc>
          <w:tcPr>
            <w:tcW w:w="1418" w:type="dxa"/>
            <w:vAlign w:val="center"/>
          </w:tcPr>
          <w:p w:rsidR="00E87B9A" w:rsidRPr="0010572E" w:rsidRDefault="00E87B9A" w:rsidP="00510ED6">
            <w:pPr>
              <w:adjustRightInd w:val="0"/>
              <w:snapToGrid w:val="0"/>
              <w:rPr>
                <w:sz w:val="18"/>
                <w:szCs w:val="18"/>
                <w:lang w:val="en-GB"/>
              </w:rPr>
            </w:pPr>
            <w:r w:rsidRPr="0010572E">
              <w:rPr>
                <w:sz w:val="18"/>
                <w:szCs w:val="18"/>
                <w:lang w:val="en-GB"/>
              </w:rPr>
              <w:t>Adjust R</w:t>
            </w:r>
            <w:r w:rsidRPr="0010572E">
              <w:rPr>
                <w:sz w:val="18"/>
                <w:szCs w:val="18"/>
                <w:vertAlign w:val="superscript"/>
                <w:lang w:val="en-GB"/>
              </w:rPr>
              <w:t>2</w:t>
            </w:r>
          </w:p>
        </w:tc>
        <w:tc>
          <w:tcPr>
            <w:tcW w:w="1276" w:type="dxa"/>
            <w:vAlign w:val="center"/>
          </w:tcPr>
          <w:p w:rsidR="00E87B9A" w:rsidRPr="0010572E" w:rsidRDefault="00E87B9A" w:rsidP="00510ED6">
            <w:pPr>
              <w:adjustRightInd w:val="0"/>
              <w:snapToGrid w:val="0"/>
              <w:jc w:val="right"/>
              <w:rPr>
                <w:sz w:val="18"/>
                <w:szCs w:val="18"/>
                <w:lang w:val="en-GB"/>
              </w:rPr>
            </w:pPr>
            <w:r w:rsidRPr="0010572E">
              <w:rPr>
                <w:sz w:val="18"/>
                <w:szCs w:val="18"/>
                <w:lang w:val="en-GB"/>
              </w:rPr>
              <w:t>0.5876</w:t>
            </w:r>
          </w:p>
        </w:tc>
        <w:tc>
          <w:tcPr>
            <w:tcW w:w="708" w:type="dxa"/>
            <w:vAlign w:val="center"/>
          </w:tcPr>
          <w:p w:rsidR="00E87B9A" w:rsidRPr="0010572E" w:rsidRDefault="00E87B9A" w:rsidP="00510ED6">
            <w:pPr>
              <w:adjustRightInd w:val="0"/>
              <w:snapToGrid w:val="0"/>
              <w:jc w:val="right"/>
              <w:rPr>
                <w:sz w:val="18"/>
                <w:szCs w:val="18"/>
                <w:lang w:val="en-GB"/>
              </w:rPr>
            </w:pPr>
          </w:p>
        </w:tc>
        <w:tc>
          <w:tcPr>
            <w:tcW w:w="1418" w:type="dxa"/>
            <w:vAlign w:val="center"/>
          </w:tcPr>
          <w:p w:rsidR="00E87B9A" w:rsidRPr="0010572E" w:rsidRDefault="00E87B9A" w:rsidP="00510ED6">
            <w:pPr>
              <w:adjustRightInd w:val="0"/>
              <w:snapToGrid w:val="0"/>
              <w:rPr>
                <w:sz w:val="18"/>
                <w:szCs w:val="18"/>
                <w:lang w:val="en-GB"/>
              </w:rPr>
            </w:pPr>
            <w:r w:rsidRPr="0010572E">
              <w:rPr>
                <w:sz w:val="18"/>
                <w:szCs w:val="18"/>
                <w:lang w:val="en-GB"/>
              </w:rPr>
              <w:t>Adjust R</w:t>
            </w:r>
            <w:r w:rsidRPr="0010572E">
              <w:rPr>
                <w:sz w:val="18"/>
                <w:szCs w:val="18"/>
                <w:vertAlign w:val="superscript"/>
                <w:lang w:val="en-GB"/>
              </w:rPr>
              <w:t>2</w:t>
            </w:r>
          </w:p>
        </w:tc>
        <w:tc>
          <w:tcPr>
            <w:tcW w:w="1276" w:type="dxa"/>
            <w:vAlign w:val="center"/>
          </w:tcPr>
          <w:p w:rsidR="00E87B9A" w:rsidRPr="0010572E" w:rsidRDefault="00E87B9A" w:rsidP="00510ED6">
            <w:pPr>
              <w:adjustRightInd w:val="0"/>
              <w:snapToGrid w:val="0"/>
              <w:jc w:val="right"/>
              <w:rPr>
                <w:sz w:val="18"/>
                <w:szCs w:val="18"/>
                <w:lang w:val="en-GB"/>
              </w:rPr>
            </w:pPr>
            <w:r w:rsidRPr="0010572E">
              <w:rPr>
                <w:sz w:val="18"/>
                <w:szCs w:val="18"/>
                <w:lang w:val="en-GB"/>
              </w:rPr>
              <w:t>0.5822</w:t>
            </w:r>
          </w:p>
        </w:tc>
        <w:tc>
          <w:tcPr>
            <w:tcW w:w="738" w:type="dxa"/>
            <w:vAlign w:val="center"/>
          </w:tcPr>
          <w:p w:rsidR="00E87B9A" w:rsidRPr="0010572E" w:rsidRDefault="00E87B9A" w:rsidP="00510ED6">
            <w:pPr>
              <w:adjustRightInd w:val="0"/>
              <w:snapToGrid w:val="0"/>
              <w:rPr>
                <w:sz w:val="18"/>
                <w:szCs w:val="18"/>
                <w:lang w:val="en-GB"/>
              </w:rPr>
            </w:pPr>
          </w:p>
        </w:tc>
      </w:tr>
    </w:tbl>
    <w:p w:rsidR="00E87B9A" w:rsidRPr="00234284" w:rsidRDefault="00E87B9A" w:rsidP="00E87B9A">
      <w:pPr>
        <w:tabs>
          <w:tab w:val="right" w:pos="13958"/>
        </w:tabs>
        <w:adjustRightInd w:val="0"/>
        <w:snapToGrid w:val="0"/>
        <w:rPr>
          <w:szCs w:val="21"/>
          <w:lang w:val="en-GB"/>
        </w:rPr>
      </w:pPr>
      <w:r w:rsidRPr="00234284">
        <w:rPr>
          <w:szCs w:val="21"/>
          <w:lang w:val="en-GB"/>
        </w:rPr>
        <w:t xml:space="preserve">Notes: </w:t>
      </w:r>
      <w:r w:rsidRPr="00234284">
        <w:rPr>
          <w:szCs w:val="21"/>
          <w:vertAlign w:val="superscript"/>
          <w:lang w:val="en-GB"/>
        </w:rPr>
        <w:t>a</w:t>
      </w:r>
      <w:r w:rsidRPr="00234284">
        <w:rPr>
          <w:szCs w:val="21"/>
          <w:lang w:val="en-GB"/>
        </w:rPr>
        <w:t xml:space="preserve"> </w:t>
      </w:r>
      <w:proofErr w:type="gramStart"/>
      <w:r w:rsidRPr="00234284">
        <w:rPr>
          <w:szCs w:val="21"/>
          <w:lang w:val="en-GB"/>
        </w:rPr>
        <w:t>The</w:t>
      </w:r>
      <w:proofErr w:type="gramEnd"/>
      <w:r w:rsidRPr="00234284">
        <w:rPr>
          <w:szCs w:val="21"/>
          <w:lang w:val="en-GB"/>
        </w:rPr>
        <w:t xml:space="preserve"> sample includes 48 economies.  </w:t>
      </w:r>
      <w:r w:rsidRPr="00234284">
        <w:rPr>
          <w:szCs w:val="21"/>
          <w:lang w:val="en-GB"/>
        </w:rPr>
        <w:tab/>
      </w:r>
    </w:p>
    <w:p w:rsidR="00E87B9A" w:rsidRPr="00234284" w:rsidRDefault="00E87B9A" w:rsidP="00E87B9A">
      <w:pPr>
        <w:adjustRightInd w:val="0"/>
        <w:snapToGrid w:val="0"/>
        <w:rPr>
          <w:szCs w:val="21"/>
          <w:lang w:val="en-GB"/>
        </w:rPr>
      </w:pPr>
      <w:proofErr w:type="gramStart"/>
      <w:r w:rsidRPr="00234284">
        <w:rPr>
          <w:szCs w:val="21"/>
          <w:vertAlign w:val="superscript"/>
          <w:lang w:val="en-GB"/>
        </w:rPr>
        <w:t>b</w:t>
      </w:r>
      <w:proofErr w:type="gramEnd"/>
      <w:r w:rsidRPr="00234284">
        <w:rPr>
          <w:szCs w:val="21"/>
          <w:lang w:val="en-GB"/>
        </w:rPr>
        <w:t xml:space="preserve"> No variable is fixed in the model specification</w:t>
      </w:r>
      <w:r>
        <w:rPr>
          <w:szCs w:val="21"/>
          <w:lang w:val="en-GB"/>
        </w:rPr>
        <w:t>;</w:t>
      </w:r>
      <w:r w:rsidRPr="00234284">
        <w:rPr>
          <w:szCs w:val="21"/>
          <w:lang w:val="en-GB"/>
        </w:rPr>
        <w:t xml:space="preserve"> hence</w:t>
      </w:r>
      <w:r>
        <w:rPr>
          <w:szCs w:val="21"/>
          <w:lang w:val="en-GB"/>
        </w:rPr>
        <w:t>,</w:t>
      </w:r>
      <w:r w:rsidRPr="00234284">
        <w:rPr>
          <w:szCs w:val="21"/>
          <w:lang w:val="en-GB"/>
        </w:rPr>
        <w:t xml:space="preserve"> there are in total 2</w:t>
      </w:r>
      <w:r>
        <w:rPr>
          <w:rFonts w:hint="eastAsia"/>
          <w:szCs w:val="21"/>
          <w:lang w:val="en-GB"/>
        </w:rPr>
        <w:t>6</w:t>
      </w:r>
      <w:r w:rsidRPr="00234284">
        <w:rPr>
          <w:szCs w:val="21"/>
          <w:lang w:val="en-GB"/>
        </w:rPr>
        <w:t xml:space="preserve"> candidate variables for selection. </w:t>
      </w:r>
    </w:p>
    <w:p w:rsidR="00E87B9A" w:rsidRPr="00234284" w:rsidRDefault="00E87B9A" w:rsidP="00E87B9A">
      <w:pPr>
        <w:adjustRightInd w:val="0"/>
        <w:snapToGrid w:val="0"/>
        <w:rPr>
          <w:szCs w:val="21"/>
          <w:lang w:val="en-GB"/>
        </w:rPr>
      </w:pPr>
      <w:proofErr w:type="gramStart"/>
      <w:r w:rsidRPr="00234284">
        <w:rPr>
          <w:szCs w:val="21"/>
          <w:vertAlign w:val="superscript"/>
          <w:lang w:val="en-GB"/>
        </w:rPr>
        <w:t>c</w:t>
      </w:r>
      <w:proofErr w:type="gramEnd"/>
      <w:r w:rsidRPr="00234284">
        <w:rPr>
          <w:szCs w:val="21"/>
          <w:lang w:val="en-GB"/>
        </w:rPr>
        <w:t xml:space="preserve"> For regressions with dependent variables CMMKT, LNLISTED, and TRADE, the </w:t>
      </w:r>
      <w:proofErr w:type="spellStart"/>
      <w:r w:rsidRPr="00234284">
        <w:rPr>
          <w:szCs w:val="21"/>
          <w:lang w:val="en-GB"/>
        </w:rPr>
        <w:t>regressors</w:t>
      </w:r>
      <w:proofErr w:type="spellEnd"/>
      <w:r w:rsidRPr="00234284">
        <w:rPr>
          <w:szCs w:val="21"/>
          <w:lang w:val="en-GB"/>
        </w:rPr>
        <w:t xml:space="preserve"> ITPROSECUTION and TRADEOPENNESS are included with observations for year 1999; for regression</w:t>
      </w:r>
      <w:r>
        <w:rPr>
          <w:szCs w:val="21"/>
          <w:lang w:val="en-GB"/>
        </w:rPr>
        <w:t>s</w:t>
      </w:r>
      <w:r w:rsidRPr="00234284">
        <w:rPr>
          <w:szCs w:val="21"/>
          <w:lang w:val="en-GB"/>
        </w:rPr>
        <w:t xml:space="preserve"> with dependent variable IPO, these two </w:t>
      </w:r>
      <w:proofErr w:type="spellStart"/>
      <w:r w:rsidRPr="00234284">
        <w:rPr>
          <w:szCs w:val="21"/>
          <w:lang w:val="en-GB"/>
        </w:rPr>
        <w:t>regressors</w:t>
      </w:r>
      <w:proofErr w:type="spellEnd"/>
      <w:r w:rsidRPr="00234284">
        <w:rPr>
          <w:szCs w:val="21"/>
          <w:lang w:val="en-GB"/>
        </w:rPr>
        <w:t xml:space="preserve"> are included with observations for year 1996. This strategy reflects the fact that these two subsets of dependent variables cover different time intervals.</w:t>
      </w:r>
    </w:p>
    <w:p w:rsidR="00E87B9A" w:rsidRPr="00234284" w:rsidRDefault="00E87B9A" w:rsidP="00E87B9A">
      <w:pPr>
        <w:adjustRightInd w:val="0"/>
        <w:snapToGrid w:val="0"/>
        <w:rPr>
          <w:lang w:val="en-GB"/>
        </w:rPr>
      </w:pPr>
      <w:proofErr w:type="gramStart"/>
      <w:r w:rsidRPr="00234284">
        <w:rPr>
          <w:szCs w:val="21"/>
          <w:vertAlign w:val="superscript"/>
          <w:lang w:val="en-GB"/>
        </w:rPr>
        <w:t>d</w:t>
      </w:r>
      <w:proofErr w:type="gramEnd"/>
      <w:r w:rsidRPr="00234284">
        <w:rPr>
          <w:szCs w:val="21"/>
          <w:lang w:val="en-GB"/>
        </w:rPr>
        <w:t xml:space="preserve"> *, **, *** indicate 10%, 5%, and 1% levels of significance, respectively.</w:t>
      </w:r>
    </w:p>
    <w:p w:rsidR="00E87B9A" w:rsidRPr="00E87B9A" w:rsidRDefault="00E87B9A" w:rsidP="00E82E1F">
      <w:pPr>
        <w:spacing w:line="360" w:lineRule="auto"/>
        <w:rPr>
          <w:sz w:val="24"/>
          <w:szCs w:val="24"/>
          <w:lang w:val="en-GB"/>
        </w:rPr>
        <w:sectPr w:rsidR="00E87B9A" w:rsidRPr="00E87B9A" w:rsidSect="00E87B9A">
          <w:footnotePr>
            <w:numFmt w:val="chicago"/>
            <w:numRestart w:val="eachSect"/>
          </w:footnotePr>
          <w:pgSz w:w="16838" w:h="11906" w:orient="landscape"/>
          <w:pgMar w:top="1440" w:right="1800" w:bottom="1440" w:left="1800" w:header="851" w:footer="992" w:gutter="0"/>
          <w:cols w:space="720"/>
          <w:docGrid w:type="lines" w:linePitch="312"/>
        </w:sectPr>
      </w:pPr>
    </w:p>
    <w:p w:rsidR="00E07BF9" w:rsidRDefault="00E07BF9" w:rsidP="00E07BF9">
      <w:pPr>
        <w:spacing w:beforeLines="100"/>
        <w:mirrorIndents/>
        <w:rPr>
          <w:rFonts w:hint="eastAsia"/>
          <w:b/>
          <w:sz w:val="28"/>
          <w:szCs w:val="24"/>
          <w:lang w:val="en-GB"/>
        </w:rPr>
      </w:pPr>
      <w:r w:rsidRPr="00E07BF9">
        <w:rPr>
          <w:b/>
          <w:sz w:val="28"/>
          <w:szCs w:val="24"/>
          <w:lang w:val="en-GB"/>
        </w:rPr>
        <w:lastRenderedPageBreak/>
        <w:t>6. Conclusion</w:t>
      </w:r>
    </w:p>
    <w:p w:rsidR="00E07BF9" w:rsidRPr="00E82E1F" w:rsidRDefault="00E07BF9" w:rsidP="00E07BF9">
      <w:pPr>
        <w:spacing w:beforeLines="100"/>
        <w:mirrorIndents/>
        <w:rPr>
          <w:sz w:val="24"/>
          <w:szCs w:val="24"/>
          <w:lang w:val="en-GB"/>
        </w:rPr>
      </w:pPr>
      <w:r w:rsidRPr="00E82E1F">
        <w:rPr>
          <w:sz w:val="24"/>
          <w:szCs w:val="24"/>
          <w:lang w:val="en-GB"/>
        </w:rPr>
        <w:t xml:space="preserve">The law and finance literature has achieved great successes in terms of academic citations and influence on the policies adopted by the World Bank and the International Monetary Fund. However, the identification strategies undermine its credibility. As was stated at the beginning of this paper, we have great sympathy for the argument that law matters for stock market development and, more generally, economic growth. However, the empirical evidence provided by macro law and finance studies should be viewed sceptically. This paper applies the BMA algorithm to this literature and provides counter-evidence to the conclusions that “law matters” as proposed by DLLS (2008). The study finds that anti-self-dealing rules are not robustly correlated with stock market development after taking model uncertainty into account. Our findings do support the correlation between the information disclosure, political power of incumbents and economic development and stock market development. </w:t>
      </w:r>
    </w:p>
    <w:p w:rsidR="00E07BF9" w:rsidRDefault="00E07BF9" w:rsidP="00E07BF9">
      <w:pPr>
        <w:spacing w:beforeLines="100"/>
        <w:mirrorIndents/>
        <w:rPr>
          <w:rFonts w:hint="eastAsia"/>
          <w:sz w:val="24"/>
          <w:szCs w:val="24"/>
          <w:lang w:val="en-GB"/>
        </w:rPr>
      </w:pPr>
      <w:r w:rsidRPr="00E82E1F">
        <w:rPr>
          <w:sz w:val="24"/>
          <w:szCs w:val="24"/>
          <w:lang w:val="en-GB"/>
        </w:rPr>
        <w:t xml:space="preserve">As was cautioned by </w:t>
      </w:r>
      <w:bookmarkStart w:id="85" w:name="OLE_LINK73"/>
      <w:bookmarkStart w:id="86" w:name="OLE_LINK76"/>
      <w:proofErr w:type="spellStart"/>
      <w:r w:rsidRPr="00E82E1F">
        <w:rPr>
          <w:sz w:val="24"/>
          <w:szCs w:val="24"/>
          <w:lang w:val="en-GB"/>
        </w:rPr>
        <w:t>Klick</w:t>
      </w:r>
      <w:bookmarkEnd w:id="85"/>
      <w:bookmarkEnd w:id="86"/>
      <w:proofErr w:type="spellEnd"/>
      <w:r w:rsidRPr="00E82E1F">
        <w:rPr>
          <w:sz w:val="24"/>
          <w:szCs w:val="24"/>
          <w:lang w:val="en-GB"/>
        </w:rPr>
        <w:t xml:space="preserve"> (2011), scholars who are interested in the effects of legal institutions on development and economic activity should be careful when they attempt to examine these relationships empirically because statistical identification problems such as omitted variables and </w:t>
      </w:r>
      <w:proofErr w:type="spellStart"/>
      <w:r w:rsidRPr="00E82E1F">
        <w:rPr>
          <w:sz w:val="24"/>
          <w:szCs w:val="24"/>
          <w:lang w:val="en-GB"/>
        </w:rPr>
        <w:t>endogeneity</w:t>
      </w:r>
      <w:proofErr w:type="spellEnd"/>
      <w:r w:rsidRPr="00E82E1F">
        <w:rPr>
          <w:sz w:val="24"/>
          <w:szCs w:val="24"/>
          <w:lang w:val="en-GB"/>
        </w:rPr>
        <w:t xml:space="preserve"> are difficult to resolve. In future studies, a deeper understanding of the relationship between legal institutions and economic performance can scarcely be expected unless we find better empirical methods by which the aforementioned problems can be solved convincingly. In addition, before we attempt to measure and codify targeted legal rules, we must learn the nuances of specific laws more deeply (perhaps with the assistance of lawyers), understand the relationships between laws and other governance mechanisms that can be used to support stock markets (substitute or complement), and address the factors that might influence the functioning of a legal system, such as politics, culture, and history. In summary, there is much work to be accomplished before we can persuasively argue that the law truly matters for finance.</w:t>
      </w:r>
    </w:p>
    <w:p w:rsidR="00A66E2C" w:rsidRPr="00E82E1F" w:rsidRDefault="00A66E2C" w:rsidP="00E07BF9">
      <w:pPr>
        <w:spacing w:beforeLines="100"/>
        <w:mirrorIndents/>
        <w:rPr>
          <w:sz w:val="24"/>
          <w:szCs w:val="24"/>
        </w:rPr>
      </w:pPr>
      <w:r w:rsidRPr="00E07BF9">
        <w:rPr>
          <w:b/>
          <w:sz w:val="28"/>
          <w:szCs w:val="24"/>
        </w:rPr>
        <w:t>References</w:t>
      </w:r>
    </w:p>
    <w:p w:rsidR="00B27B4B" w:rsidRPr="00E82E1F" w:rsidRDefault="00E07BF9" w:rsidP="00E07BF9">
      <w:pPr>
        <w:spacing w:beforeLines="100"/>
        <w:mirrorIndents/>
        <w:rPr>
          <w:sz w:val="24"/>
          <w:szCs w:val="24"/>
        </w:rPr>
      </w:pPr>
      <w:r>
        <w:rPr>
          <w:rFonts w:hint="eastAsia"/>
          <w:sz w:val="24"/>
          <w:szCs w:val="24"/>
        </w:rPr>
        <w:t xml:space="preserve">[1] </w:t>
      </w:r>
      <w:proofErr w:type="spellStart"/>
      <w:r w:rsidR="00B27B4B" w:rsidRPr="00E82E1F">
        <w:rPr>
          <w:sz w:val="24"/>
          <w:szCs w:val="24"/>
        </w:rPr>
        <w:t>Acemoglu</w:t>
      </w:r>
      <w:proofErr w:type="spellEnd"/>
      <w:r w:rsidR="00B27B4B" w:rsidRPr="00E82E1F">
        <w:rPr>
          <w:sz w:val="24"/>
          <w:szCs w:val="24"/>
        </w:rPr>
        <w:t xml:space="preserve">, </w:t>
      </w:r>
      <w:proofErr w:type="spellStart"/>
      <w:r w:rsidR="00B27B4B" w:rsidRPr="00E82E1F">
        <w:rPr>
          <w:sz w:val="24"/>
          <w:szCs w:val="24"/>
        </w:rPr>
        <w:t>Daron</w:t>
      </w:r>
      <w:proofErr w:type="spellEnd"/>
      <w:r w:rsidR="00B27B4B" w:rsidRPr="00E82E1F">
        <w:rPr>
          <w:sz w:val="24"/>
          <w:szCs w:val="24"/>
        </w:rPr>
        <w:t>, Simon Johnson and James A. Robinson. "The Colonial Origins of Comparative Development: An Empirical Investigation."</w:t>
      </w:r>
      <w:r w:rsidR="00B27B4B" w:rsidRPr="00E82E1F">
        <w:rPr>
          <w:i/>
          <w:sz w:val="24"/>
          <w:szCs w:val="24"/>
        </w:rPr>
        <w:t xml:space="preserve"> The American Economic Review</w:t>
      </w:r>
      <w:r w:rsidR="00B27B4B" w:rsidRPr="00E82E1F">
        <w:rPr>
          <w:sz w:val="24"/>
          <w:szCs w:val="24"/>
        </w:rPr>
        <w:t xml:space="preserve"> 91, no. 5 (2001): 1369-401.</w:t>
      </w:r>
    </w:p>
    <w:p w:rsidR="00B27B4B" w:rsidRPr="00E82E1F" w:rsidRDefault="00E07BF9" w:rsidP="00E07BF9">
      <w:pPr>
        <w:spacing w:beforeLines="100"/>
        <w:mirrorIndents/>
        <w:rPr>
          <w:sz w:val="24"/>
          <w:szCs w:val="24"/>
        </w:rPr>
      </w:pPr>
      <w:r>
        <w:rPr>
          <w:rFonts w:hint="eastAsia"/>
          <w:sz w:val="24"/>
          <w:szCs w:val="24"/>
        </w:rPr>
        <w:t xml:space="preserve">[2] </w:t>
      </w:r>
      <w:proofErr w:type="spellStart"/>
      <w:r w:rsidR="00B27B4B" w:rsidRPr="00E82E1F">
        <w:rPr>
          <w:sz w:val="24"/>
          <w:szCs w:val="24"/>
        </w:rPr>
        <w:t>Acemoglu</w:t>
      </w:r>
      <w:proofErr w:type="spellEnd"/>
      <w:r w:rsidR="00B27B4B" w:rsidRPr="00E82E1F">
        <w:rPr>
          <w:sz w:val="24"/>
          <w:szCs w:val="24"/>
        </w:rPr>
        <w:t xml:space="preserve">, </w:t>
      </w:r>
      <w:proofErr w:type="spellStart"/>
      <w:r w:rsidR="00B27B4B" w:rsidRPr="00E82E1F">
        <w:rPr>
          <w:sz w:val="24"/>
          <w:szCs w:val="24"/>
        </w:rPr>
        <w:t>Daron</w:t>
      </w:r>
      <w:proofErr w:type="spellEnd"/>
      <w:r w:rsidR="00B27B4B" w:rsidRPr="00E82E1F">
        <w:rPr>
          <w:sz w:val="24"/>
          <w:szCs w:val="24"/>
        </w:rPr>
        <w:t xml:space="preserve"> and Simon Johnson. </w:t>
      </w:r>
      <w:proofErr w:type="gramStart"/>
      <w:r w:rsidR="00B27B4B" w:rsidRPr="00E82E1F">
        <w:rPr>
          <w:sz w:val="24"/>
          <w:szCs w:val="24"/>
        </w:rPr>
        <w:t>"Unbundling Institutions."</w:t>
      </w:r>
      <w:proofErr w:type="gramEnd"/>
      <w:r w:rsidR="00B27B4B" w:rsidRPr="00E82E1F">
        <w:rPr>
          <w:sz w:val="24"/>
          <w:szCs w:val="24"/>
        </w:rPr>
        <w:t xml:space="preserve"> </w:t>
      </w:r>
      <w:r w:rsidR="00B27B4B" w:rsidRPr="00E82E1F">
        <w:rPr>
          <w:i/>
          <w:sz w:val="24"/>
          <w:szCs w:val="24"/>
        </w:rPr>
        <w:t>Journal of Political Economy</w:t>
      </w:r>
      <w:r w:rsidR="00B27B4B" w:rsidRPr="00E82E1F">
        <w:rPr>
          <w:sz w:val="24"/>
          <w:szCs w:val="24"/>
        </w:rPr>
        <w:t xml:space="preserve"> 113, no. 5 (2005): 949-95.</w:t>
      </w:r>
    </w:p>
    <w:p w:rsidR="00B27B4B" w:rsidRPr="00E82E1F" w:rsidRDefault="00E07BF9" w:rsidP="00E07BF9">
      <w:pPr>
        <w:spacing w:beforeLines="100"/>
        <w:mirrorIndents/>
        <w:rPr>
          <w:sz w:val="24"/>
          <w:szCs w:val="24"/>
        </w:rPr>
      </w:pPr>
      <w:r>
        <w:rPr>
          <w:rFonts w:hint="eastAsia"/>
          <w:sz w:val="24"/>
          <w:szCs w:val="24"/>
        </w:rPr>
        <w:t xml:space="preserve">[3] </w:t>
      </w:r>
      <w:proofErr w:type="spellStart"/>
      <w:r w:rsidR="00B27B4B" w:rsidRPr="00E82E1F">
        <w:rPr>
          <w:sz w:val="24"/>
          <w:szCs w:val="24"/>
        </w:rPr>
        <w:t>Armour</w:t>
      </w:r>
      <w:proofErr w:type="spellEnd"/>
      <w:r w:rsidR="00B27B4B" w:rsidRPr="00E82E1F">
        <w:rPr>
          <w:sz w:val="24"/>
          <w:szCs w:val="24"/>
        </w:rPr>
        <w:t xml:space="preserve">, John, Simon </w:t>
      </w:r>
      <w:proofErr w:type="spellStart"/>
      <w:r w:rsidR="00B27B4B" w:rsidRPr="00E82E1F">
        <w:rPr>
          <w:sz w:val="24"/>
          <w:szCs w:val="24"/>
        </w:rPr>
        <w:t>Deakin</w:t>
      </w:r>
      <w:proofErr w:type="spellEnd"/>
      <w:r w:rsidR="00B27B4B" w:rsidRPr="00E82E1F">
        <w:rPr>
          <w:sz w:val="24"/>
          <w:szCs w:val="24"/>
        </w:rPr>
        <w:t xml:space="preserve">, </w:t>
      </w:r>
      <w:proofErr w:type="spellStart"/>
      <w:r w:rsidR="00B27B4B" w:rsidRPr="00E82E1F">
        <w:rPr>
          <w:sz w:val="24"/>
          <w:szCs w:val="24"/>
        </w:rPr>
        <w:t>Prabirjit</w:t>
      </w:r>
      <w:proofErr w:type="spellEnd"/>
      <w:r w:rsidR="00B27B4B" w:rsidRPr="00E82E1F">
        <w:rPr>
          <w:sz w:val="24"/>
          <w:szCs w:val="24"/>
        </w:rPr>
        <w:t xml:space="preserve"> </w:t>
      </w:r>
      <w:proofErr w:type="spellStart"/>
      <w:r w:rsidR="00B27B4B" w:rsidRPr="00E82E1F">
        <w:rPr>
          <w:sz w:val="24"/>
          <w:szCs w:val="24"/>
        </w:rPr>
        <w:t>Sarkar</w:t>
      </w:r>
      <w:proofErr w:type="spellEnd"/>
      <w:r w:rsidR="00B27B4B" w:rsidRPr="00E82E1F">
        <w:rPr>
          <w:sz w:val="24"/>
          <w:szCs w:val="24"/>
        </w:rPr>
        <w:t xml:space="preserve">, Mathias </w:t>
      </w:r>
      <w:proofErr w:type="spellStart"/>
      <w:r w:rsidR="00B27B4B" w:rsidRPr="00E82E1F">
        <w:rPr>
          <w:sz w:val="24"/>
          <w:szCs w:val="24"/>
        </w:rPr>
        <w:t>Siems</w:t>
      </w:r>
      <w:proofErr w:type="spellEnd"/>
      <w:r w:rsidR="00B27B4B" w:rsidRPr="00E82E1F">
        <w:rPr>
          <w:sz w:val="24"/>
          <w:szCs w:val="24"/>
        </w:rPr>
        <w:t xml:space="preserve"> and </w:t>
      </w:r>
      <w:proofErr w:type="spellStart"/>
      <w:r w:rsidR="00B27B4B" w:rsidRPr="00E82E1F">
        <w:rPr>
          <w:sz w:val="24"/>
          <w:szCs w:val="24"/>
        </w:rPr>
        <w:t>Ajit</w:t>
      </w:r>
      <w:proofErr w:type="spellEnd"/>
      <w:r w:rsidR="00B27B4B" w:rsidRPr="00E82E1F">
        <w:rPr>
          <w:sz w:val="24"/>
          <w:szCs w:val="24"/>
        </w:rPr>
        <w:t xml:space="preserve"> Singh. "Shareholder Protection and Stock Market Development: An Empirical Test of the </w:t>
      </w:r>
      <w:r w:rsidR="00B27B4B" w:rsidRPr="00E82E1F">
        <w:rPr>
          <w:sz w:val="24"/>
          <w:szCs w:val="24"/>
        </w:rPr>
        <w:lastRenderedPageBreak/>
        <w:t xml:space="preserve">Legal Origins Hypothesis." </w:t>
      </w:r>
      <w:r w:rsidR="00B27B4B" w:rsidRPr="00E82E1F">
        <w:rPr>
          <w:i/>
          <w:sz w:val="24"/>
          <w:szCs w:val="24"/>
        </w:rPr>
        <w:t>Journal of Empirical Legal Studies</w:t>
      </w:r>
      <w:r w:rsidR="00B27B4B" w:rsidRPr="00E82E1F">
        <w:rPr>
          <w:sz w:val="24"/>
          <w:szCs w:val="24"/>
        </w:rPr>
        <w:t xml:space="preserve"> 6, no. 2 (2009): 343-80.</w:t>
      </w:r>
    </w:p>
    <w:p w:rsidR="00B27B4B" w:rsidRPr="00E82E1F" w:rsidRDefault="00E07BF9" w:rsidP="00E07BF9">
      <w:pPr>
        <w:spacing w:beforeLines="100"/>
        <w:mirrorIndents/>
        <w:rPr>
          <w:sz w:val="24"/>
          <w:szCs w:val="24"/>
        </w:rPr>
      </w:pPr>
      <w:bookmarkStart w:id="87" w:name="OLE_LINK111"/>
      <w:bookmarkStart w:id="88" w:name="OLE_LINK112"/>
      <w:r>
        <w:rPr>
          <w:rFonts w:hint="eastAsia"/>
          <w:sz w:val="24"/>
          <w:szCs w:val="24"/>
        </w:rPr>
        <w:t xml:space="preserve">[4] </w:t>
      </w:r>
      <w:proofErr w:type="spellStart"/>
      <w:r w:rsidR="00B27B4B" w:rsidRPr="00E82E1F">
        <w:rPr>
          <w:sz w:val="24"/>
          <w:szCs w:val="24"/>
        </w:rPr>
        <w:t>Barro</w:t>
      </w:r>
      <w:proofErr w:type="spellEnd"/>
      <w:r w:rsidR="00B27B4B" w:rsidRPr="00E82E1F">
        <w:rPr>
          <w:sz w:val="24"/>
          <w:szCs w:val="24"/>
        </w:rPr>
        <w:t xml:space="preserve">, Robert J. and </w:t>
      </w:r>
      <w:proofErr w:type="spellStart"/>
      <w:r w:rsidR="00B27B4B" w:rsidRPr="00E82E1F">
        <w:rPr>
          <w:sz w:val="24"/>
          <w:szCs w:val="24"/>
        </w:rPr>
        <w:t>Jong-Wha</w:t>
      </w:r>
      <w:proofErr w:type="spellEnd"/>
      <w:r w:rsidR="00B27B4B" w:rsidRPr="00E82E1F">
        <w:rPr>
          <w:sz w:val="24"/>
          <w:szCs w:val="24"/>
        </w:rPr>
        <w:t xml:space="preserve"> Lee</w:t>
      </w:r>
      <w:bookmarkStart w:id="89" w:name="OLE_LINK109"/>
      <w:bookmarkStart w:id="90" w:name="OLE_LINK110"/>
      <w:r w:rsidR="00B27B4B" w:rsidRPr="00E82E1F">
        <w:rPr>
          <w:sz w:val="24"/>
          <w:szCs w:val="24"/>
        </w:rPr>
        <w:t>. "Data set for a panel of 138 countries</w:t>
      </w:r>
      <w:bookmarkEnd w:id="89"/>
      <w:bookmarkEnd w:id="90"/>
      <w:r w:rsidR="00043DBA" w:rsidRPr="00E82E1F">
        <w:rPr>
          <w:sz w:val="24"/>
          <w:szCs w:val="24"/>
        </w:rPr>
        <w:t xml:space="preserve"> (1994).</w:t>
      </w:r>
      <w:r w:rsidR="00B27B4B" w:rsidRPr="00E82E1F">
        <w:rPr>
          <w:sz w:val="24"/>
          <w:szCs w:val="24"/>
        </w:rPr>
        <w:t xml:space="preserve">" </w:t>
      </w:r>
      <w:proofErr w:type="gramStart"/>
      <w:r w:rsidR="00043DBA" w:rsidRPr="00E82E1F">
        <w:rPr>
          <w:sz w:val="24"/>
          <w:szCs w:val="24"/>
        </w:rPr>
        <w:t>A</w:t>
      </w:r>
      <w:r w:rsidR="00B27B4B" w:rsidRPr="00E82E1F">
        <w:rPr>
          <w:sz w:val="24"/>
          <w:szCs w:val="24"/>
        </w:rPr>
        <w:t>vailable at http://www.nber.org/pub/barro.lee/reademe.txt.</w:t>
      </w:r>
      <w:proofErr w:type="gramEnd"/>
    </w:p>
    <w:bookmarkEnd w:id="87"/>
    <w:bookmarkEnd w:id="88"/>
    <w:p w:rsidR="00B27B4B" w:rsidRPr="00E82E1F" w:rsidRDefault="00E07BF9" w:rsidP="00E07BF9">
      <w:pPr>
        <w:spacing w:beforeLines="100"/>
        <w:mirrorIndents/>
        <w:rPr>
          <w:sz w:val="24"/>
          <w:szCs w:val="24"/>
        </w:rPr>
      </w:pPr>
      <w:r>
        <w:rPr>
          <w:rFonts w:hint="eastAsia"/>
          <w:sz w:val="24"/>
          <w:szCs w:val="24"/>
        </w:rPr>
        <w:t xml:space="preserve">[5] </w:t>
      </w:r>
      <w:proofErr w:type="spellStart"/>
      <w:r w:rsidR="00B27B4B" w:rsidRPr="00E82E1F">
        <w:rPr>
          <w:sz w:val="24"/>
          <w:szCs w:val="24"/>
        </w:rPr>
        <w:t>Bazzi</w:t>
      </w:r>
      <w:proofErr w:type="spellEnd"/>
      <w:r w:rsidR="00B27B4B" w:rsidRPr="00E82E1F">
        <w:rPr>
          <w:sz w:val="24"/>
          <w:szCs w:val="24"/>
        </w:rPr>
        <w:t xml:space="preserve">, Samuel and Michael A. Clemens. "Blunt Instruments: Avoiding Common Pitfalls in Identifying the Causes of Economic Growth." </w:t>
      </w:r>
      <w:r w:rsidR="00B27B4B" w:rsidRPr="00E82E1F">
        <w:rPr>
          <w:i/>
          <w:sz w:val="24"/>
          <w:szCs w:val="24"/>
        </w:rPr>
        <w:t>American Economic Journal: Macroeconomics</w:t>
      </w:r>
      <w:r w:rsidR="00B27B4B" w:rsidRPr="00E82E1F">
        <w:rPr>
          <w:sz w:val="24"/>
          <w:szCs w:val="24"/>
        </w:rPr>
        <w:t xml:space="preserve"> 5, no. 2 (2013): 152-86.</w:t>
      </w:r>
    </w:p>
    <w:p w:rsidR="00B27B4B" w:rsidRPr="00E82E1F" w:rsidRDefault="00E07BF9" w:rsidP="00E07BF9">
      <w:pPr>
        <w:spacing w:beforeLines="100"/>
        <w:mirrorIndents/>
        <w:rPr>
          <w:sz w:val="24"/>
          <w:szCs w:val="24"/>
        </w:rPr>
      </w:pPr>
      <w:r>
        <w:rPr>
          <w:rFonts w:hint="eastAsia"/>
          <w:sz w:val="24"/>
          <w:szCs w:val="24"/>
        </w:rPr>
        <w:t xml:space="preserve">[6] </w:t>
      </w:r>
      <w:proofErr w:type="spellStart"/>
      <w:r w:rsidR="00B27B4B" w:rsidRPr="00E82E1F">
        <w:rPr>
          <w:sz w:val="24"/>
          <w:szCs w:val="24"/>
        </w:rPr>
        <w:t>Bebchuk</w:t>
      </w:r>
      <w:proofErr w:type="spellEnd"/>
      <w:r w:rsidR="00B27B4B" w:rsidRPr="00E82E1F">
        <w:rPr>
          <w:sz w:val="24"/>
          <w:szCs w:val="24"/>
        </w:rPr>
        <w:t xml:space="preserve">, Lucian A. and </w:t>
      </w:r>
      <w:proofErr w:type="spellStart"/>
      <w:r w:rsidR="00B27B4B" w:rsidRPr="00E82E1F">
        <w:rPr>
          <w:sz w:val="24"/>
          <w:szCs w:val="24"/>
        </w:rPr>
        <w:t>Assaf</w:t>
      </w:r>
      <w:proofErr w:type="spellEnd"/>
      <w:r w:rsidR="00B27B4B" w:rsidRPr="00E82E1F">
        <w:rPr>
          <w:sz w:val="24"/>
          <w:szCs w:val="24"/>
        </w:rPr>
        <w:t xml:space="preserve"> </w:t>
      </w:r>
      <w:proofErr w:type="spellStart"/>
      <w:r w:rsidR="00B27B4B" w:rsidRPr="00E82E1F">
        <w:rPr>
          <w:sz w:val="24"/>
          <w:szCs w:val="24"/>
        </w:rPr>
        <w:t>Hamdani</w:t>
      </w:r>
      <w:proofErr w:type="spellEnd"/>
      <w:r w:rsidR="00B27B4B" w:rsidRPr="00E82E1F">
        <w:rPr>
          <w:sz w:val="24"/>
          <w:szCs w:val="24"/>
        </w:rPr>
        <w:t xml:space="preserve">. </w:t>
      </w:r>
      <w:proofErr w:type="gramStart"/>
      <w:r w:rsidR="00B27B4B" w:rsidRPr="00E82E1F">
        <w:rPr>
          <w:sz w:val="24"/>
          <w:szCs w:val="24"/>
        </w:rPr>
        <w:t>"</w:t>
      </w:r>
      <w:bookmarkStart w:id="91" w:name="OLE_LINK107"/>
      <w:bookmarkStart w:id="92" w:name="OLE_LINK108"/>
      <w:r w:rsidR="00B27B4B" w:rsidRPr="00E82E1F">
        <w:rPr>
          <w:sz w:val="24"/>
          <w:szCs w:val="24"/>
        </w:rPr>
        <w:t>Elusive Quest for Global Governance Standards</w:t>
      </w:r>
      <w:bookmarkEnd w:id="91"/>
      <w:bookmarkEnd w:id="92"/>
      <w:r w:rsidR="00B27B4B" w:rsidRPr="00E82E1F">
        <w:rPr>
          <w:sz w:val="24"/>
          <w:szCs w:val="24"/>
        </w:rPr>
        <w:t>."</w:t>
      </w:r>
      <w:proofErr w:type="gramEnd"/>
      <w:r w:rsidR="00B27B4B" w:rsidRPr="00E82E1F">
        <w:rPr>
          <w:sz w:val="24"/>
          <w:szCs w:val="24"/>
        </w:rPr>
        <w:t xml:space="preserve"> </w:t>
      </w:r>
      <w:r w:rsidR="00B27B4B" w:rsidRPr="00E82E1F">
        <w:rPr>
          <w:i/>
          <w:sz w:val="24"/>
          <w:szCs w:val="24"/>
        </w:rPr>
        <w:t>U. Pa. L. Rev</w:t>
      </w:r>
      <w:r w:rsidR="00B27B4B" w:rsidRPr="00E82E1F">
        <w:rPr>
          <w:sz w:val="24"/>
          <w:szCs w:val="24"/>
        </w:rPr>
        <w:t xml:space="preserve"> 157 (2009): 1263.</w:t>
      </w:r>
    </w:p>
    <w:p w:rsidR="00B27B4B" w:rsidRPr="00E82E1F" w:rsidRDefault="00E07BF9" w:rsidP="00E07BF9">
      <w:pPr>
        <w:spacing w:beforeLines="100"/>
        <w:mirrorIndents/>
        <w:rPr>
          <w:sz w:val="24"/>
          <w:szCs w:val="24"/>
        </w:rPr>
      </w:pPr>
      <w:r>
        <w:rPr>
          <w:rFonts w:hint="eastAsia"/>
          <w:sz w:val="24"/>
          <w:szCs w:val="24"/>
        </w:rPr>
        <w:t xml:space="preserve">[7] </w:t>
      </w:r>
      <w:r w:rsidR="00B27B4B" w:rsidRPr="00E82E1F">
        <w:rPr>
          <w:sz w:val="24"/>
          <w:szCs w:val="24"/>
        </w:rPr>
        <w:t>Bec</w:t>
      </w:r>
      <w:r w:rsidR="00043DBA" w:rsidRPr="00E82E1F">
        <w:rPr>
          <w:sz w:val="24"/>
          <w:szCs w:val="24"/>
        </w:rPr>
        <w:t xml:space="preserve">k, Thorsten, </w:t>
      </w:r>
      <w:proofErr w:type="spellStart"/>
      <w:r w:rsidR="00043DBA" w:rsidRPr="00E82E1F">
        <w:rPr>
          <w:sz w:val="24"/>
          <w:szCs w:val="24"/>
        </w:rPr>
        <w:t>Asli</w:t>
      </w:r>
      <w:proofErr w:type="spellEnd"/>
      <w:r w:rsidR="00043DBA" w:rsidRPr="00E82E1F">
        <w:rPr>
          <w:sz w:val="24"/>
          <w:szCs w:val="24"/>
        </w:rPr>
        <w:t xml:space="preserve"> </w:t>
      </w:r>
      <w:proofErr w:type="spellStart"/>
      <w:r w:rsidR="00B27B4B" w:rsidRPr="00E82E1F">
        <w:rPr>
          <w:sz w:val="24"/>
          <w:szCs w:val="24"/>
        </w:rPr>
        <w:t>Demirgüç-Kunt</w:t>
      </w:r>
      <w:proofErr w:type="spellEnd"/>
      <w:r w:rsidR="00B27B4B" w:rsidRPr="00E82E1F">
        <w:rPr>
          <w:sz w:val="24"/>
          <w:szCs w:val="24"/>
        </w:rPr>
        <w:t xml:space="preserve"> and Ross Levine. </w:t>
      </w:r>
      <w:proofErr w:type="gramStart"/>
      <w:r w:rsidR="00B27B4B" w:rsidRPr="00E82E1F">
        <w:rPr>
          <w:sz w:val="24"/>
          <w:szCs w:val="24"/>
        </w:rPr>
        <w:t>"Law, Endowments, and Finance."</w:t>
      </w:r>
      <w:proofErr w:type="gramEnd"/>
      <w:r w:rsidR="00B27B4B" w:rsidRPr="00E82E1F">
        <w:rPr>
          <w:sz w:val="24"/>
          <w:szCs w:val="24"/>
        </w:rPr>
        <w:t xml:space="preserve"> </w:t>
      </w:r>
      <w:r w:rsidR="00B27B4B" w:rsidRPr="00E82E1F">
        <w:rPr>
          <w:i/>
          <w:sz w:val="24"/>
          <w:szCs w:val="24"/>
        </w:rPr>
        <w:t>Journal of Financial Economics</w:t>
      </w:r>
      <w:r w:rsidR="00B27B4B" w:rsidRPr="00E82E1F">
        <w:rPr>
          <w:sz w:val="24"/>
          <w:szCs w:val="24"/>
        </w:rPr>
        <w:t xml:space="preserve"> 70, no. 2 (2003): 137-81.</w:t>
      </w:r>
    </w:p>
    <w:p w:rsidR="00B27B4B" w:rsidRPr="00E82E1F" w:rsidRDefault="00E07BF9" w:rsidP="00E07BF9">
      <w:pPr>
        <w:spacing w:beforeLines="100"/>
        <w:mirrorIndents/>
        <w:rPr>
          <w:sz w:val="24"/>
          <w:szCs w:val="24"/>
        </w:rPr>
      </w:pPr>
      <w:r>
        <w:rPr>
          <w:rFonts w:hint="eastAsia"/>
          <w:sz w:val="24"/>
          <w:szCs w:val="24"/>
        </w:rPr>
        <w:t xml:space="preserve">[8] </w:t>
      </w:r>
      <w:r w:rsidR="00B27B4B" w:rsidRPr="00E82E1F">
        <w:rPr>
          <w:sz w:val="24"/>
          <w:szCs w:val="24"/>
        </w:rPr>
        <w:t xml:space="preserve">Becker, Gary S. "Crime and Punishment: An Economic Approach." </w:t>
      </w:r>
      <w:r w:rsidR="00B27B4B" w:rsidRPr="00E82E1F">
        <w:rPr>
          <w:i/>
          <w:sz w:val="24"/>
          <w:szCs w:val="24"/>
        </w:rPr>
        <w:t>Journal of Political Economy</w:t>
      </w:r>
      <w:r w:rsidR="00B27B4B" w:rsidRPr="00E82E1F">
        <w:rPr>
          <w:sz w:val="24"/>
          <w:szCs w:val="24"/>
        </w:rPr>
        <w:t xml:space="preserve"> 76, no. 2 (1968): 169-217.</w:t>
      </w:r>
    </w:p>
    <w:p w:rsidR="00B27B4B" w:rsidRPr="00E82E1F" w:rsidRDefault="00E07BF9" w:rsidP="00E07BF9">
      <w:pPr>
        <w:spacing w:beforeLines="100"/>
        <w:mirrorIndents/>
        <w:rPr>
          <w:sz w:val="24"/>
          <w:szCs w:val="24"/>
        </w:rPr>
      </w:pPr>
      <w:r>
        <w:rPr>
          <w:rFonts w:hint="eastAsia"/>
          <w:sz w:val="24"/>
          <w:szCs w:val="24"/>
        </w:rPr>
        <w:t xml:space="preserve">[9] </w:t>
      </w:r>
      <w:r w:rsidR="00B27B4B" w:rsidRPr="00E82E1F">
        <w:rPr>
          <w:sz w:val="24"/>
          <w:szCs w:val="24"/>
        </w:rPr>
        <w:t xml:space="preserve">Berkowitz, Daniel, Katharina </w:t>
      </w:r>
      <w:proofErr w:type="spellStart"/>
      <w:r w:rsidR="00B27B4B" w:rsidRPr="00E82E1F">
        <w:rPr>
          <w:sz w:val="24"/>
          <w:szCs w:val="24"/>
        </w:rPr>
        <w:t>Pistor</w:t>
      </w:r>
      <w:proofErr w:type="spellEnd"/>
      <w:r w:rsidR="00B27B4B" w:rsidRPr="00E82E1F">
        <w:rPr>
          <w:sz w:val="24"/>
          <w:szCs w:val="24"/>
        </w:rPr>
        <w:t xml:space="preserve"> and Jean-Francois Richard. </w:t>
      </w:r>
      <w:proofErr w:type="gramStart"/>
      <w:r w:rsidR="00B27B4B" w:rsidRPr="00E82E1F">
        <w:rPr>
          <w:sz w:val="24"/>
          <w:szCs w:val="24"/>
        </w:rPr>
        <w:t>"The Transplant Effect."</w:t>
      </w:r>
      <w:proofErr w:type="gramEnd"/>
      <w:r w:rsidR="00B27B4B" w:rsidRPr="00E82E1F">
        <w:rPr>
          <w:sz w:val="24"/>
          <w:szCs w:val="24"/>
        </w:rPr>
        <w:t xml:space="preserve"> </w:t>
      </w:r>
      <w:r w:rsidR="00B27B4B" w:rsidRPr="00E82E1F">
        <w:rPr>
          <w:i/>
          <w:sz w:val="24"/>
          <w:szCs w:val="24"/>
        </w:rPr>
        <w:t>The American Journal of Comparative Law</w:t>
      </w:r>
      <w:r w:rsidR="00B27B4B" w:rsidRPr="00E82E1F">
        <w:rPr>
          <w:sz w:val="24"/>
          <w:szCs w:val="24"/>
        </w:rPr>
        <w:t xml:space="preserve"> 51, no. 1 (2003): 163-203.</w:t>
      </w:r>
    </w:p>
    <w:p w:rsidR="00B27B4B" w:rsidRPr="00E82E1F" w:rsidRDefault="00E07BF9" w:rsidP="00E07BF9">
      <w:pPr>
        <w:spacing w:beforeLines="100"/>
        <w:mirrorIndents/>
        <w:rPr>
          <w:sz w:val="24"/>
          <w:szCs w:val="24"/>
        </w:rPr>
      </w:pPr>
      <w:r>
        <w:rPr>
          <w:rFonts w:hint="eastAsia"/>
          <w:sz w:val="24"/>
          <w:szCs w:val="24"/>
        </w:rPr>
        <w:t xml:space="preserve">[10] </w:t>
      </w:r>
      <w:r w:rsidR="00B27B4B" w:rsidRPr="00E82E1F">
        <w:rPr>
          <w:sz w:val="24"/>
          <w:szCs w:val="24"/>
        </w:rPr>
        <w:t xml:space="preserve">Bhattacharya, </w:t>
      </w:r>
      <w:proofErr w:type="spellStart"/>
      <w:r w:rsidR="00B27B4B" w:rsidRPr="00E82E1F">
        <w:rPr>
          <w:sz w:val="24"/>
          <w:szCs w:val="24"/>
        </w:rPr>
        <w:t>Utpal</w:t>
      </w:r>
      <w:proofErr w:type="spellEnd"/>
      <w:r w:rsidR="00B27B4B" w:rsidRPr="00E82E1F">
        <w:rPr>
          <w:sz w:val="24"/>
          <w:szCs w:val="24"/>
        </w:rPr>
        <w:t xml:space="preserve"> and </w:t>
      </w:r>
      <w:proofErr w:type="spellStart"/>
      <w:r w:rsidR="00B27B4B" w:rsidRPr="00E82E1F">
        <w:rPr>
          <w:sz w:val="24"/>
          <w:szCs w:val="24"/>
        </w:rPr>
        <w:t>Hazem</w:t>
      </w:r>
      <w:proofErr w:type="spellEnd"/>
      <w:r w:rsidR="00B27B4B" w:rsidRPr="00E82E1F">
        <w:rPr>
          <w:sz w:val="24"/>
          <w:szCs w:val="24"/>
        </w:rPr>
        <w:t xml:space="preserve"> </w:t>
      </w:r>
      <w:proofErr w:type="spellStart"/>
      <w:r w:rsidR="00B27B4B" w:rsidRPr="00E82E1F">
        <w:rPr>
          <w:sz w:val="24"/>
          <w:szCs w:val="24"/>
        </w:rPr>
        <w:t>Daouk</w:t>
      </w:r>
      <w:proofErr w:type="spellEnd"/>
      <w:r w:rsidR="00B27B4B" w:rsidRPr="00E82E1F">
        <w:rPr>
          <w:sz w:val="24"/>
          <w:szCs w:val="24"/>
        </w:rPr>
        <w:t xml:space="preserve">. </w:t>
      </w:r>
      <w:proofErr w:type="gramStart"/>
      <w:r w:rsidR="00B27B4B" w:rsidRPr="00E82E1F">
        <w:rPr>
          <w:sz w:val="24"/>
          <w:szCs w:val="24"/>
        </w:rPr>
        <w:t>"The World Price of Insider Trading."</w:t>
      </w:r>
      <w:proofErr w:type="gramEnd"/>
      <w:r w:rsidR="00B27B4B" w:rsidRPr="00E82E1F">
        <w:rPr>
          <w:sz w:val="24"/>
          <w:szCs w:val="24"/>
        </w:rPr>
        <w:t xml:space="preserve"> </w:t>
      </w:r>
      <w:r w:rsidR="00B27B4B" w:rsidRPr="00E82E1F">
        <w:rPr>
          <w:i/>
          <w:sz w:val="24"/>
          <w:szCs w:val="24"/>
        </w:rPr>
        <w:t>The Journal of Finance</w:t>
      </w:r>
      <w:r w:rsidR="00B27B4B" w:rsidRPr="00E82E1F">
        <w:rPr>
          <w:sz w:val="24"/>
          <w:szCs w:val="24"/>
        </w:rPr>
        <w:t xml:space="preserve"> 57, no. 1 (2002): 75-108.</w:t>
      </w:r>
    </w:p>
    <w:p w:rsidR="00B27B4B" w:rsidRPr="00E82E1F" w:rsidRDefault="00E07BF9" w:rsidP="00E07BF9">
      <w:pPr>
        <w:spacing w:beforeLines="100"/>
        <w:mirrorIndents/>
        <w:rPr>
          <w:sz w:val="24"/>
          <w:szCs w:val="24"/>
        </w:rPr>
      </w:pPr>
      <w:r>
        <w:rPr>
          <w:rFonts w:hint="eastAsia"/>
          <w:sz w:val="24"/>
          <w:szCs w:val="24"/>
        </w:rPr>
        <w:t xml:space="preserve">[11] </w:t>
      </w:r>
      <w:r w:rsidR="00B27B4B" w:rsidRPr="00E82E1F">
        <w:rPr>
          <w:sz w:val="24"/>
          <w:szCs w:val="24"/>
        </w:rPr>
        <w:t xml:space="preserve">Black, Bernard S. "The Legal and Institutional Preconditions for Strong Securities Markets." </w:t>
      </w:r>
      <w:r w:rsidR="00B27B4B" w:rsidRPr="00E82E1F">
        <w:rPr>
          <w:i/>
          <w:sz w:val="24"/>
          <w:szCs w:val="24"/>
        </w:rPr>
        <w:t>UCLA L. Rev.</w:t>
      </w:r>
      <w:r w:rsidR="00B27B4B" w:rsidRPr="00E82E1F">
        <w:rPr>
          <w:sz w:val="24"/>
          <w:szCs w:val="24"/>
        </w:rPr>
        <w:t xml:space="preserve"> 48 (2001): 781-855.</w:t>
      </w:r>
    </w:p>
    <w:p w:rsidR="00B27B4B" w:rsidRPr="00E82E1F" w:rsidRDefault="00E07BF9" w:rsidP="00E07BF9">
      <w:pPr>
        <w:spacing w:beforeLines="100"/>
        <w:mirrorIndents/>
        <w:rPr>
          <w:sz w:val="24"/>
          <w:szCs w:val="24"/>
        </w:rPr>
      </w:pPr>
      <w:r>
        <w:rPr>
          <w:rFonts w:hint="eastAsia"/>
          <w:sz w:val="24"/>
          <w:szCs w:val="24"/>
        </w:rPr>
        <w:t xml:space="preserve">[12] </w:t>
      </w:r>
      <w:proofErr w:type="spellStart"/>
      <w:r w:rsidR="00B27B4B" w:rsidRPr="00E82E1F">
        <w:rPr>
          <w:sz w:val="24"/>
          <w:szCs w:val="24"/>
        </w:rPr>
        <w:t>Botero</w:t>
      </w:r>
      <w:proofErr w:type="spellEnd"/>
      <w:r w:rsidR="00B27B4B" w:rsidRPr="00E82E1F">
        <w:rPr>
          <w:sz w:val="24"/>
          <w:szCs w:val="24"/>
        </w:rPr>
        <w:t xml:space="preserve">, Juan C., Simeon </w:t>
      </w:r>
      <w:proofErr w:type="spellStart"/>
      <w:r w:rsidR="00B27B4B" w:rsidRPr="00E82E1F">
        <w:rPr>
          <w:sz w:val="24"/>
          <w:szCs w:val="24"/>
        </w:rPr>
        <w:t>Djankov</w:t>
      </w:r>
      <w:proofErr w:type="spellEnd"/>
      <w:r w:rsidR="00B27B4B" w:rsidRPr="00E82E1F">
        <w:rPr>
          <w:sz w:val="24"/>
          <w:szCs w:val="24"/>
        </w:rPr>
        <w:t xml:space="preserve">, Rafael La </w:t>
      </w:r>
      <w:proofErr w:type="spellStart"/>
      <w:r w:rsidR="00B27B4B" w:rsidRPr="00E82E1F">
        <w:rPr>
          <w:sz w:val="24"/>
          <w:szCs w:val="24"/>
        </w:rPr>
        <w:t>Porta</w:t>
      </w:r>
      <w:proofErr w:type="spellEnd"/>
      <w:r w:rsidR="00B27B4B" w:rsidRPr="00E82E1F">
        <w:rPr>
          <w:sz w:val="24"/>
          <w:szCs w:val="24"/>
        </w:rPr>
        <w:t>, Florencio Lopez-de-</w:t>
      </w:r>
      <w:proofErr w:type="spellStart"/>
      <w:r w:rsidR="00B27B4B" w:rsidRPr="00E82E1F">
        <w:rPr>
          <w:sz w:val="24"/>
          <w:szCs w:val="24"/>
        </w:rPr>
        <w:t>Silanes</w:t>
      </w:r>
      <w:proofErr w:type="spellEnd"/>
      <w:r w:rsidR="00B27B4B" w:rsidRPr="00E82E1F">
        <w:rPr>
          <w:sz w:val="24"/>
          <w:szCs w:val="24"/>
        </w:rPr>
        <w:t xml:space="preserve"> and Andrei </w:t>
      </w:r>
      <w:proofErr w:type="spellStart"/>
      <w:r w:rsidR="00B27B4B" w:rsidRPr="00E82E1F">
        <w:rPr>
          <w:sz w:val="24"/>
          <w:szCs w:val="24"/>
        </w:rPr>
        <w:t>Shleifer</w:t>
      </w:r>
      <w:proofErr w:type="spellEnd"/>
      <w:r w:rsidR="00B27B4B" w:rsidRPr="00E82E1F">
        <w:rPr>
          <w:sz w:val="24"/>
          <w:szCs w:val="24"/>
        </w:rPr>
        <w:t xml:space="preserve">. </w:t>
      </w:r>
      <w:proofErr w:type="gramStart"/>
      <w:r w:rsidR="00B27B4B" w:rsidRPr="00E82E1F">
        <w:rPr>
          <w:sz w:val="24"/>
          <w:szCs w:val="24"/>
        </w:rPr>
        <w:t>"The Regulation of Labor."</w:t>
      </w:r>
      <w:proofErr w:type="gramEnd"/>
      <w:r w:rsidR="00B27B4B" w:rsidRPr="00E82E1F">
        <w:rPr>
          <w:sz w:val="24"/>
          <w:szCs w:val="24"/>
        </w:rPr>
        <w:t xml:space="preserve"> </w:t>
      </w:r>
      <w:r w:rsidR="00B27B4B" w:rsidRPr="00E82E1F">
        <w:rPr>
          <w:i/>
          <w:sz w:val="24"/>
          <w:szCs w:val="24"/>
        </w:rPr>
        <w:t xml:space="preserve">The Quarterly Journal of Economics </w:t>
      </w:r>
      <w:r w:rsidR="00B27B4B" w:rsidRPr="00E82E1F">
        <w:rPr>
          <w:sz w:val="24"/>
          <w:szCs w:val="24"/>
        </w:rPr>
        <w:t>119, no. 4 (2004): 1339-82.</w:t>
      </w:r>
    </w:p>
    <w:p w:rsidR="00B27B4B" w:rsidRPr="00E82E1F" w:rsidRDefault="00E07BF9" w:rsidP="00E07BF9">
      <w:pPr>
        <w:spacing w:beforeLines="100"/>
        <w:mirrorIndents/>
        <w:rPr>
          <w:sz w:val="24"/>
          <w:szCs w:val="24"/>
        </w:rPr>
      </w:pPr>
      <w:r>
        <w:rPr>
          <w:rFonts w:hint="eastAsia"/>
          <w:sz w:val="24"/>
          <w:szCs w:val="24"/>
        </w:rPr>
        <w:t xml:space="preserve">[13] </w:t>
      </w:r>
      <w:r w:rsidR="00B27B4B" w:rsidRPr="00E82E1F">
        <w:rPr>
          <w:sz w:val="24"/>
          <w:szCs w:val="24"/>
        </w:rPr>
        <w:t xml:space="preserve">Brock, William A. and Steven N. </w:t>
      </w:r>
      <w:proofErr w:type="spellStart"/>
      <w:r w:rsidR="00B27B4B" w:rsidRPr="00E82E1F">
        <w:rPr>
          <w:sz w:val="24"/>
          <w:szCs w:val="24"/>
        </w:rPr>
        <w:t>Durlauf</w:t>
      </w:r>
      <w:proofErr w:type="spellEnd"/>
      <w:r w:rsidR="00B27B4B" w:rsidRPr="00E82E1F">
        <w:rPr>
          <w:sz w:val="24"/>
          <w:szCs w:val="24"/>
        </w:rPr>
        <w:t xml:space="preserve">. "What Have We Learned from a Decade of Empirical Research on Growth? </w:t>
      </w:r>
      <w:proofErr w:type="gramStart"/>
      <w:r w:rsidR="00B27B4B" w:rsidRPr="00E82E1F">
        <w:rPr>
          <w:sz w:val="24"/>
          <w:szCs w:val="24"/>
        </w:rPr>
        <w:t>Growth Empirics and Reality."</w:t>
      </w:r>
      <w:proofErr w:type="gramEnd"/>
      <w:r w:rsidR="00B27B4B" w:rsidRPr="00E82E1F">
        <w:rPr>
          <w:sz w:val="24"/>
          <w:szCs w:val="24"/>
        </w:rPr>
        <w:t xml:space="preserve"> </w:t>
      </w:r>
      <w:r w:rsidR="00B27B4B" w:rsidRPr="00E82E1F">
        <w:rPr>
          <w:i/>
          <w:sz w:val="24"/>
          <w:szCs w:val="24"/>
        </w:rPr>
        <w:t>The World Bank Economic Review</w:t>
      </w:r>
      <w:r w:rsidR="00B27B4B" w:rsidRPr="00E82E1F">
        <w:rPr>
          <w:sz w:val="24"/>
          <w:szCs w:val="24"/>
        </w:rPr>
        <w:t xml:space="preserve"> 15, no. 2 (2001): 229-72.</w:t>
      </w:r>
    </w:p>
    <w:p w:rsidR="00B27B4B" w:rsidRPr="00E82E1F" w:rsidRDefault="00E07BF9" w:rsidP="00E07BF9">
      <w:pPr>
        <w:spacing w:beforeLines="100"/>
        <w:mirrorIndents/>
        <w:rPr>
          <w:sz w:val="24"/>
          <w:szCs w:val="24"/>
        </w:rPr>
      </w:pPr>
      <w:r>
        <w:rPr>
          <w:rFonts w:hint="eastAsia"/>
          <w:sz w:val="24"/>
          <w:szCs w:val="24"/>
        </w:rPr>
        <w:t xml:space="preserve">[14] </w:t>
      </w:r>
      <w:r w:rsidR="00B27B4B" w:rsidRPr="00E82E1F">
        <w:rPr>
          <w:sz w:val="24"/>
          <w:szCs w:val="24"/>
        </w:rPr>
        <w:t xml:space="preserve">Chang, James J., </w:t>
      </w:r>
      <w:proofErr w:type="spellStart"/>
      <w:r w:rsidR="00B27B4B" w:rsidRPr="00E82E1F">
        <w:rPr>
          <w:sz w:val="24"/>
          <w:szCs w:val="24"/>
        </w:rPr>
        <w:t>Tarun</w:t>
      </w:r>
      <w:proofErr w:type="spellEnd"/>
      <w:r w:rsidR="00B27B4B" w:rsidRPr="00E82E1F">
        <w:rPr>
          <w:sz w:val="24"/>
          <w:szCs w:val="24"/>
        </w:rPr>
        <w:t xml:space="preserve"> </w:t>
      </w:r>
      <w:proofErr w:type="spellStart"/>
      <w:r w:rsidR="00B27B4B" w:rsidRPr="00E82E1F">
        <w:rPr>
          <w:sz w:val="24"/>
          <w:szCs w:val="24"/>
        </w:rPr>
        <w:t>Khanna</w:t>
      </w:r>
      <w:proofErr w:type="spellEnd"/>
      <w:r w:rsidR="00B27B4B" w:rsidRPr="00E82E1F">
        <w:rPr>
          <w:sz w:val="24"/>
          <w:szCs w:val="24"/>
        </w:rPr>
        <w:t xml:space="preserve"> and Krishna </w:t>
      </w:r>
      <w:proofErr w:type="spellStart"/>
      <w:r w:rsidR="00B27B4B" w:rsidRPr="00E82E1F">
        <w:rPr>
          <w:sz w:val="24"/>
          <w:szCs w:val="24"/>
        </w:rPr>
        <w:t>Palepu</w:t>
      </w:r>
      <w:proofErr w:type="spellEnd"/>
      <w:r w:rsidR="00B27B4B" w:rsidRPr="00E82E1F">
        <w:rPr>
          <w:sz w:val="24"/>
          <w:szCs w:val="24"/>
        </w:rPr>
        <w:t xml:space="preserve">. "Analyst Activity </w:t>
      </w:r>
      <w:proofErr w:type="gramStart"/>
      <w:r w:rsidR="00B27B4B" w:rsidRPr="00E82E1F">
        <w:rPr>
          <w:sz w:val="24"/>
          <w:szCs w:val="24"/>
        </w:rPr>
        <w:t>Around</w:t>
      </w:r>
      <w:proofErr w:type="gramEnd"/>
      <w:r w:rsidR="00B27B4B" w:rsidRPr="00E82E1F">
        <w:rPr>
          <w:sz w:val="24"/>
          <w:szCs w:val="24"/>
        </w:rPr>
        <w:t xml:space="preserve"> the World." </w:t>
      </w:r>
      <w:r w:rsidR="00B27B4B" w:rsidRPr="00E82E1F">
        <w:rPr>
          <w:i/>
          <w:sz w:val="24"/>
          <w:szCs w:val="24"/>
        </w:rPr>
        <w:t>HBS Strategy Unit Working Paper No. 01-061</w:t>
      </w:r>
      <w:r w:rsidR="00B27B4B" w:rsidRPr="00E82E1F">
        <w:rPr>
          <w:sz w:val="24"/>
          <w:szCs w:val="24"/>
        </w:rPr>
        <w:t xml:space="preserve"> (2000), Boston: Harvard Business School.</w:t>
      </w:r>
    </w:p>
    <w:p w:rsidR="00B27B4B" w:rsidRPr="00E82E1F" w:rsidRDefault="00E07BF9" w:rsidP="00E07BF9">
      <w:pPr>
        <w:spacing w:beforeLines="100"/>
        <w:mirrorIndents/>
        <w:rPr>
          <w:sz w:val="24"/>
          <w:szCs w:val="24"/>
        </w:rPr>
      </w:pPr>
      <w:r>
        <w:rPr>
          <w:rFonts w:hint="eastAsia"/>
          <w:sz w:val="24"/>
          <w:szCs w:val="24"/>
        </w:rPr>
        <w:t xml:space="preserve">[15] </w:t>
      </w:r>
      <w:proofErr w:type="spellStart"/>
      <w:r w:rsidR="00B27B4B" w:rsidRPr="00E82E1F">
        <w:rPr>
          <w:sz w:val="24"/>
          <w:szCs w:val="24"/>
        </w:rPr>
        <w:t>Cheffins</w:t>
      </w:r>
      <w:proofErr w:type="spellEnd"/>
      <w:r w:rsidR="00B27B4B" w:rsidRPr="00E82E1F">
        <w:rPr>
          <w:sz w:val="24"/>
          <w:szCs w:val="24"/>
        </w:rPr>
        <w:t xml:space="preserve">, Brian R. "Does Law Matter? </w:t>
      </w:r>
      <w:proofErr w:type="gramStart"/>
      <w:r w:rsidR="00B27B4B" w:rsidRPr="00E82E1F">
        <w:rPr>
          <w:sz w:val="24"/>
          <w:szCs w:val="24"/>
        </w:rPr>
        <w:t>The Separation of Ownership and Control in the United Kingdom."</w:t>
      </w:r>
      <w:proofErr w:type="gramEnd"/>
      <w:r w:rsidR="00B27B4B" w:rsidRPr="00E82E1F">
        <w:rPr>
          <w:sz w:val="24"/>
          <w:szCs w:val="24"/>
        </w:rPr>
        <w:t xml:space="preserve"> </w:t>
      </w:r>
      <w:r w:rsidR="00B27B4B" w:rsidRPr="00E82E1F">
        <w:rPr>
          <w:i/>
          <w:sz w:val="24"/>
          <w:szCs w:val="24"/>
        </w:rPr>
        <w:t>The Journal of Legal Studies</w:t>
      </w:r>
      <w:r w:rsidR="00B27B4B" w:rsidRPr="00E82E1F">
        <w:rPr>
          <w:sz w:val="24"/>
          <w:szCs w:val="24"/>
        </w:rPr>
        <w:t xml:space="preserve"> 30, no. 2 (2001): 459-84.</w:t>
      </w:r>
    </w:p>
    <w:p w:rsidR="00B27B4B" w:rsidRPr="00E82E1F" w:rsidRDefault="00E07BF9" w:rsidP="00E07BF9">
      <w:pPr>
        <w:spacing w:beforeLines="100"/>
        <w:mirrorIndents/>
        <w:rPr>
          <w:sz w:val="24"/>
          <w:szCs w:val="24"/>
        </w:rPr>
      </w:pPr>
      <w:r>
        <w:rPr>
          <w:rFonts w:hint="eastAsia"/>
          <w:sz w:val="24"/>
          <w:szCs w:val="24"/>
        </w:rPr>
        <w:t xml:space="preserve">[16] </w:t>
      </w:r>
      <w:r w:rsidR="00B27B4B" w:rsidRPr="00E82E1F">
        <w:rPr>
          <w:sz w:val="24"/>
          <w:szCs w:val="24"/>
        </w:rPr>
        <w:t xml:space="preserve">Chen, Tao, </w:t>
      </w:r>
      <w:proofErr w:type="spellStart"/>
      <w:r w:rsidR="00B27B4B" w:rsidRPr="00E82E1F">
        <w:rPr>
          <w:sz w:val="24"/>
          <w:szCs w:val="24"/>
        </w:rPr>
        <w:t>Jarrad</w:t>
      </w:r>
      <w:proofErr w:type="spellEnd"/>
      <w:r w:rsidR="00B27B4B" w:rsidRPr="00E82E1F">
        <w:rPr>
          <w:sz w:val="24"/>
          <w:szCs w:val="24"/>
        </w:rPr>
        <w:t xml:space="preserve"> Harford and Chen Lin. "Do Analysts Matter for Governance? </w:t>
      </w:r>
      <w:proofErr w:type="gramStart"/>
      <w:r w:rsidR="00B27B4B" w:rsidRPr="00E82E1F">
        <w:rPr>
          <w:sz w:val="24"/>
          <w:szCs w:val="24"/>
        </w:rPr>
        <w:lastRenderedPageBreak/>
        <w:t>Evidence from Natural Experiments."</w:t>
      </w:r>
      <w:proofErr w:type="gramEnd"/>
      <w:r w:rsidR="00B27B4B" w:rsidRPr="00E82E1F">
        <w:rPr>
          <w:sz w:val="24"/>
          <w:szCs w:val="24"/>
        </w:rPr>
        <w:t xml:space="preserve"> </w:t>
      </w:r>
      <w:r w:rsidR="00B27B4B" w:rsidRPr="00E82E1F">
        <w:rPr>
          <w:i/>
          <w:sz w:val="24"/>
          <w:szCs w:val="24"/>
        </w:rPr>
        <w:t>Journal of Financial Economics</w:t>
      </w:r>
      <w:r w:rsidR="00B27B4B" w:rsidRPr="00E82E1F">
        <w:rPr>
          <w:sz w:val="24"/>
          <w:szCs w:val="24"/>
        </w:rPr>
        <w:t xml:space="preserve"> 115, no. 2 (2015): 383-410.</w:t>
      </w:r>
    </w:p>
    <w:p w:rsidR="00B27B4B" w:rsidRPr="00E82E1F" w:rsidRDefault="005805FB" w:rsidP="00E07BF9">
      <w:pPr>
        <w:spacing w:beforeLines="100"/>
        <w:mirrorIndents/>
        <w:rPr>
          <w:sz w:val="24"/>
          <w:szCs w:val="24"/>
        </w:rPr>
      </w:pPr>
      <w:r>
        <w:rPr>
          <w:rFonts w:hint="eastAsia"/>
          <w:sz w:val="24"/>
          <w:szCs w:val="24"/>
        </w:rPr>
        <w:t xml:space="preserve">[17] </w:t>
      </w:r>
      <w:proofErr w:type="spellStart"/>
      <w:r w:rsidR="00B27B4B" w:rsidRPr="00E82E1F">
        <w:rPr>
          <w:sz w:val="24"/>
          <w:szCs w:val="24"/>
        </w:rPr>
        <w:t>Claessens</w:t>
      </w:r>
      <w:proofErr w:type="spellEnd"/>
      <w:r w:rsidR="00B27B4B" w:rsidRPr="00E82E1F">
        <w:rPr>
          <w:sz w:val="24"/>
          <w:szCs w:val="24"/>
        </w:rPr>
        <w:t xml:space="preserve">, </w:t>
      </w:r>
      <w:proofErr w:type="spellStart"/>
      <w:r w:rsidR="00B27B4B" w:rsidRPr="00E82E1F">
        <w:rPr>
          <w:sz w:val="24"/>
          <w:szCs w:val="24"/>
        </w:rPr>
        <w:t>Stijn</w:t>
      </w:r>
      <w:proofErr w:type="spellEnd"/>
      <w:r w:rsidR="00B27B4B" w:rsidRPr="00E82E1F">
        <w:rPr>
          <w:sz w:val="24"/>
          <w:szCs w:val="24"/>
        </w:rPr>
        <w:t xml:space="preserve"> and Luc </w:t>
      </w:r>
      <w:proofErr w:type="spellStart"/>
      <w:r w:rsidR="00B27B4B" w:rsidRPr="00E82E1F">
        <w:rPr>
          <w:sz w:val="24"/>
          <w:szCs w:val="24"/>
        </w:rPr>
        <w:t>Laeven</w:t>
      </w:r>
      <w:proofErr w:type="spellEnd"/>
      <w:r w:rsidR="00B27B4B" w:rsidRPr="00E82E1F">
        <w:rPr>
          <w:sz w:val="24"/>
          <w:szCs w:val="24"/>
        </w:rPr>
        <w:t xml:space="preserve">. </w:t>
      </w:r>
      <w:proofErr w:type="gramStart"/>
      <w:r w:rsidR="00B27B4B" w:rsidRPr="00E82E1F">
        <w:rPr>
          <w:sz w:val="24"/>
          <w:szCs w:val="24"/>
        </w:rPr>
        <w:t>"Financial Development, Property Rights, and Growth."</w:t>
      </w:r>
      <w:proofErr w:type="gramEnd"/>
      <w:r w:rsidR="00B27B4B" w:rsidRPr="00E82E1F">
        <w:rPr>
          <w:sz w:val="24"/>
          <w:szCs w:val="24"/>
        </w:rPr>
        <w:t xml:space="preserve"> </w:t>
      </w:r>
      <w:r w:rsidR="00B27B4B" w:rsidRPr="00E82E1F">
        <w:rPr>
          <w:i/>
          <w:sz w:val="24"/>
          <w:szCs w:val="24"/>
        </w:rPr>
        <w:t>The Journal of Finance</w:t>
      </w:r>
      <w:r w:rsidR="00B27B4B" w:rsidRPr="00E82E1F">
        <w:rPr>
          <w:sz w:val="24"/>
          <w:szCs w:val="24"/>
        </w:rPr>
        <w:t xml:space="preserve"> 58, no. 6 (2003): 2401-36.</w:t>
      </w:r>
    </w:p>
    <w:p w:rsidR="00B27B4B" w:rsidRPr="00E82E1F" w:rsidRDefault="005805FB" w:rsidP="00E07BF9">
      <w:pPr>
        <w:spacing w:beforeLines="100"/>
        <w:mirrorIndents/>
        <w:rPr>
          <w:sz w:val="24"/>
          <w:szCs w:val="24"/>
        </w:rPr>
      </w:pPr>
      <w:r>
        <w:rPr>
          <w:rFonts w:hint="eastAsia"/>
          <w:sz w:val="24"/>
          <w:szCs w:val="24"/>
        </w:rPr>
        <w:t xml:space="preserve">[18] </w:t>
      </w:r>
      <w:r w:rsidR="00B27B4B" w:rsidRPr="00E82E1F">
        <w:rPr>
          <w:sz w:val="24"/>
          <w:szCs w:val="24"/>
        </w:rPr>
        <w:t xml:space="preserve">Coffee, John C., Jr. "The Rise of Dispersed Ownership: The Roles of Law and the State in the Separation of Ownership and Control." </w:t>
      </w:r>
      <w:r w:rsidR="00B27B4B" w:rsidRPr="00E82E1F">
        <w:rPr>
          <w:i/>
          <w:sz w:val="24"/>
          <w:szCs w:val="24"/>
        </w:rPr>
        <w:t>The Yale Law Journal</w:t>
      </w:r>
      <w:r w:rsidR="00B27B4B" w:rsidRPr="00E82E1F">
        <w:rPr>
          <w:sz w:val="24"/>
          <w:szCs w:val="24"/>
        </w:rPr>
        <w:t xml:space="preserve"> 111, no. 1 (2001): 1-82.</w:t>
      </w:r>
    </w:p>
    <w:p w:rsidR="00B27B4B" w:rsidRPr="00E82E1F" w:rsidRDefault="005805FB" w:rsidP="00E07BF9">
      <w:pPr>
        <w:spacing w:beforeLines="100"/>
        <w:mirrorIndents/>
        <w:rPr>
          <w:sz w:val="24"/>
          <w:szCs w:val="24"/>
        </w:rPr>
      </w:pPr>
      <w:r>
        <w:rPr>
          <w:rFonts w:hint="eastAsia"/>
          <w:sz w:val="24"/>
          <w:szCs w:val="24"/>
        </w:rPr>
        <w:t xml:space="preserve">[19] </w:t>
      </w:r>
      <w:r w:rsidR="00B27B4B" w:rsidRPr="00E82E1F">
        <w:rPr>
          <w:sz w:val="24"/>
          <w:szCs w:val="24"/>
        </w:rPr>
        <w:t>Cumming, Douglas, Sofia Johan and Dan Li. "Exchange Trading Rules and Stock Market Liquidity.</w:t>
      </w:r>
      <w:bookmarkStart w:id="93" w:name="OLE_LINK117"/>
      <w:bookmarkStart w:id="94" w:name="OLE_LINK118"/>
      <w:r w:rsidR="00B27B4B" w:rsidRPr="00E82E1F">
        <w:rPr>
          <w:sz w:val="24"/>
          <w:szCs w:val="24"/>
        </w:rPr>
        <w:t>"</w:t>
      </w:r>
      <w:bookmarkEnd w:id="93"/>
      <w:bookmarkEnd w:id="94"/>
      <w:r w:rsidR="00B27B4B" w:rsidRPr="00E82E1F">
        <w:rPr>
          <w:sz w:val="24"/>
          <w:szCs w:val="24"/>
        </w:rPr>
        <w:t xml:space="preserve"> </w:t>
      </w:r>
      <w:r w:rsidR="00B27B4B" w:rsidRPr="00E82E1F">
        <w:rPr>
          <w:i/>
          <w:sz w:val="24"/>
          <w:szCs w:val="24"/>
        </w:rPr>
        <w:t>Journal of Financial Economics</w:t>
      </w:r>
      <w:r w:rsidR="00B27B4B" w:rsidRPr="00E82E1F">
        <w:rPr>
          <w:sz w:val="24"/>
          <w:szCs w:val="24"/>
        </w:rPr>
        <w:t xml:space="preserve"> 99, no. 3 (2011): 651-71.</w:t>
      </w:r>
    </w:p>
    <w:p w:rsidR="00B27B4B" w:rsidRPr="00E82E1F" w:rsidRDefault="005805FB" w:rsidP="00E07BF9">
      <w:pPr>
        <w:spacing w:beforeLines="100"/>
        <w:mirrorIndents/>
        <w:rPr>
          <w:sz w:val="24"/>
          <w:szCs w:val="24"/>
        </w:rPr>
      </w:pPr>
      <w:proofErr w:type="gramStart"/>
      <w:r>
        <w:rPr>
          <w:rFonts w:hint="eastAsia"/>
          <w:sz w:val="24"/>
          <w:szCs w:val="24"/>
        </w:rPr>
        <w:t xml:space="preserve">[20] </w:t>
      </w:r>
      <w:r w:rsidR="00B27B4B" w:rsidRPr="00E82E1F">
        <w:rPr>
          <w:sz w:val="24"/>
          <w:szCs w:val="24"/>
        </w:rPr>
        <w:t>De Luca, Giuseppe and Jan R. Magnus.</w:t>
      </w:r>
      <w:proofErr w:type="gramEnd"/>
      <w:r w:rsidR="00B27B4B" w:rsidRPr="00E82E1F">
        <w:rPr>
          <w:sz w:val="24"/>
          <w:szCs w:val="24"/>
        </w:rPr>
        <w:t xml:space="preserve"> </w:t>
      </w:r>
      <w:bookmarkStart w:id="95" w:name="OLE_LINK115"/>
      <w:bookmarkStart w:id="96" w:name="OLE_LINK116"/>
      <w:r w:rsidR="00B27B4B" w:rsidRPr="00E82E1F">
        <w:rPr>
          <w:sz w:val="24"/>
          <w:szCs w:val="24"/>
        </w:rPr>
        <w:t xml:space="preserve">"Bayesian Model Averaging and Weighted Average Least Squares: </w:t>
      </w:r>
      <w:proofErr w:type="spellStart"/>
      <w:r w:rsidR="00B27B4B" w:rsidRPr="00E82E1F">
        <w:rPr>
          <w:sz w:val="24"/>
          <w:szCs w:val="24"/>
        </w:rPr>
        <w:t>Equivariance</w:t>
      </w:r>
      <w:proofErr w:type="spellEnd"/>
      <w:r w:rsidR="00B27B4B" w:rsidRPr="00E82E1F">
        <w:rPr>
          <w:sz w:val="24"/>
          <w:szCs w:val="24"/>
        </w:rPr>
        <w:t>, Stability, and Numerical Issues</w:t>
      </w:r>
      <w:bookmarkEnd w:id="95"/>
      <w:bookmarkEnd w:id="96"/>
      <w:r w:rsidR="00B27B4B" w:rsidRPr="00E82E1F">
        <w:rPr>
          <w:sz w:val="24"/>
          <w:szCs w:val="24"/>
        </w:rPr>
        <w:t xml:space="preserve">." </w:t>
      </w:r>
      <w:r w:rsidR="00B27B4B" w:rsidRPr="00E82E1F">
        <w:rPr>
          <w:i/>
          <w:sz w:val="24"/>
          <w:szCs w:val="24"/>
        </w:rPr>
        <w:t xml:space="preserve">The </w:t>
      </w:r>
      <w:proofErr w:type="spellStart"/>
      <w:r w:rsidR="00B27B4B" w:rsidRPr="00E82E1F">
        <w:rPr>
          <w:i/>
          <w:sz w:val="24"/>
          <w:szCs w:val="24"/>
        </w:rPr>
        <w:t>Stata</w:t>
      </w:r>
      <w:proofErr w:type="spellEnd"/>
      <w:r w:rsidR="00B27B4B" w:rsidRPr="00E82E1F">
        <w:rPr>
          <w:i/>
          <w:sz w:val="24"/>
          <w:szCs w:val="24"/>
        </w:rPr>
        <w:t xml:space="preserve"> Journal </w:t>
      </w:r>
      <w:r w:rsidR="00B27B4B" w:rsidRPr="00E82E1F">
        <w:rPr>
          <w:sz w:val="24"/>
          <w:szCs w:val="24"/>
        </w:rPr>
        <w:t>11, no. 4 (2011): 518-544.</w:t>
      </w:r>
    </w:p>
    <w:p w:rsidR="00B27B4B" w:rsidRPr="00E82E1F" w:rsidRDefault="005805FB" w:rsidP="00E07BF9">
      <w:pPr>
        <w:spacing w:beforeLines="100"/>
        <w:mirrorIndents/>
        <w:rPr>
          <w:sz w:val="24"/>
          <w:szCs w:val="24"/>
        </w:rPr>
      </w:pPr>
      <w:r>
        <w:rPr>
          <w:rFonts w:hint="eastAsia"/>
          <w:sz w:val="24"/>
          <w:szCs w:val="24"/>
        </w:rPr>
        <w:t xml:space="preserve">[21] </w:t>
      </w:r>
      <w:proofErr w:type="spellStart"/>
      <w:r w:rsidR="00043DBA" w:rsidRPr="00E82E1F">
        <w:rPr>
          <w:sz w:val="24"/>
          <w:szCs w:val="24"/>
        </w:rPr>
        <w:t>Djankov</w:t>
      </w:r>
      <w:proofErr w:type="spellEnd"/>
      <w:r w:rsidR="00043DBA" w:rsidRPr="00E82E1F">
        <w:rPr>
          <w:sz w:val="24"/>
          <w:szCs w:val="24"/>
        </w:rPr>
        <w:t xml:space="preserve">, Simeon, Rafael </w:t>
      </w:r>
      <w:r w:rsidR="00B27B4B" w:rsidRPr="00E82E1F">
        <w:rPr>
          <w:sz w:val="24"/>
          <w:szCs w:val="24"/>
        </w:rPr>
        <w:t xml:space="preserve">La </w:t>
      </w:r>
      <w:proofErr w:type="spellStart"/>
      <w:r w:rsidR="00B27B4B" w:rsidRPr="00E82E1F">
        <w:rPr>
          <w:sz w:val="24"/>
          <w:szCs w:val="24"/>
        </w:rPr>
        <w:t>Porta</w:t>
      </w:r>
      <w:proofErr w:type="spellEnd"/>
      <w:r w:rsidR="00B27B4B" w:rsidRPr="00E82E1F">
        <w:rPr>
          <w:sz w:val="24"/>
          <w:szCs w:val="24"/>
        </w:rPr>
        <w:t>, Florencio Lopez-de-</w:t>
      </w:r>
      <w:proofErr w:type="spellStart"/>
      <w:r w:rsidR="00B27B4B" w:rsidRPr="00E82E1F">
        <w:rPr>
          <w:sz w:val="24"/>
          <w:szCs w:val="24"/>
        </w:rPr>
        <w:t>Silanes</w:t>
      </w:r>
      <w:proofErr w:type="spellEnd"/>
      <w:r w:rsidR="00B27B4B" w:rsidRPr="00E82E1F">
        <w:rPr>
          <w:sz w:val="24"/>
          <w:szCs w:val="24"/>
        </w:rPr>
        <w:t xml:space="preserve"> and Andrei </w:t>
      </w:r>
      <w:proofErr w:type="spellStart"/>
      <w:r w:rsidR="00B27B4B" w:rsidRPr="00E82E1F">
        <w:rPr>
          <w:sz w:val="24"/>
          <w:szCs w:val="24"/>
        </w:rPr>
        <w:t>Shleifer</w:t>
      </w:r>
      <w:proofErr w:type="spellEnd"/>
      <w:r w:rsidR="00B27B4B" w:rsidRPr="00E82E1F">
        <w:rPr>
          <w:sz w:val="24"/>
          <w:szCs w:val="24"/>
        </w:rPr>
        <w:t>. "</w:t>
      </w:r>
      <w:bookmarkStart w:id="97" w:name="OLE_LINK131"/>
      <w:bookmarkStart w:id="98" w:name="OLE_LINK132"/>
      <w:r w:rsidR="00B27B4B" w:rsidRPr="00E82E1F">
        <w:rPr>
          <w:sz w:val="24"/>
          <w:szCs w:val="24"/>
        </w:rPr>
        <w:t>Courts</w:t>
      </w:r>
      <w:bookmarkEnd w:id="97"/>
      <w:bookmarkEnd w:id="98"/>
      <w:r w:rsidR="00B27B4B" w:rsidRPr="00E82E1F">
        <w:rPr>
          <w:sz w:val="24"/>
          <w:szCs w:val="24"/>
        </w:rPr>
        <w:t xml:space="preserve">." </w:t>
      </w:r>
      <w:r w:rsidR="00B27B4B" w:rsidRPr="00E82E1F">
        <w:rPr>
          <w:i/>
          <w:sz w:val="24"/>
          <w:szCs w:val="24"/>
        </w:rPr>
        <w:t>The Quarterly Journal of Economics</w:t>
      </w:r>
      <w:r w:rsidR="00B27B4B" w:rsidRPr="00E82E1F">
        <w:rPr>
          <w:sz w:val="24"/>
          <w:szCs w:val="24"/>
        </w:rPr>
        <w:t xml:space="preserve"> 118, no. 2 (2003): 453-517.</w:t>
      </w:r>
    </w:p>
    <w:p w:rsidR="00B27B4B" w:rsidRPr="00E82E1F" w:rsidRDefault="005805FB" w:rsidP="00E07BF9">
      <w:pPr>
        <w:spacing w:beforeLines="100"/>
        <w:mirrorIndents/>
        <w:rPr>
          <w:sz w:val="24"/>
          <w:szCs w:val="24"/>
        </w:rPr>
      </w:pPr>
      <w:r>
        <w:rPr>
          <w:rFonts w:hint="eastAsia"/>
          <w:sz w:val="24"/>
          <w:szCs w:val="24"/>
        </w:rPr>
        <w:t xml:space="preserve">[22] </w:t>
      </w:r>
      <w:r w:rsidR="00043DBA" w:rsidRPr="00E82E1F">
        <w:rPr>
          <w:sz w:val="24"/>
          <w:szCs w:val="24"/>
        </w:rPr>
        <w:t xml:space="preserve">———. </w:t>
      </w:r>
      <w:proofErr w:type="gramStart"/>
      <w:r w:rsidR="00B27B4B" w:rsidRPr="00E82E1F">
        <w:rPr>
          <w:sz w:val="24"/>
          <w:szCs w:val="24"/>
        </w:rPr>
        <w:t>"The Law and Economics of Self-Dealing."</w:t>
      </w:r>
      <w:proofErr w:type="gramEnd"/>
      <w:r w:rsidR="00B27B4B" w:rsidRPr="00E82E1F">
        <w:rPr>
          <w:sz w:val="24"/>
          <w:szCs w:val="24"/>
        </w:rPr>
        <w:t xml:space="preserve"> </w:t>
      </w:r>
      <w:r w:rsidR="00B27B4B" w:rsidRPr="00E82E1F">
        <w:rPr>
          <w:i/>
          <w:sz w:val="24"/>
          <w:szCs w:val="24"/>
        </w:rPr>
        <w:t>Journal of Financial Economics</w:t>
      </w:r>
      <w:r w:rsidR="00B27B4B" w:rsidRPr="00E82E1F">
        <w:rPr>
          <w:sz w:val="24"/>
          <w:szCs w:val="24"/>
        </w:rPr>
        <w:t xml:space="preserve"> 88, no. 3 (2008): 430-65.</w:t>
      </w:r>
    </w:p>
    <w:p w:rsidR="00B27B4B" w:rsidRPr="00E82E1F" w:rsidRDefault="005805FB" w:rsidP="00E07BF9">
      <w:pPr>
        <w:spacing w:beforeLines="100"/>
        <w:mirrorIndents/>
        <w:rPr>
          <w:sz w:val="24"/>
          <w:szCs w:val="24"/>
        </w:rPr>
      </w:pPr>
      <w:r>
        <w:rPr>
          <w:rFonts w:hint="eastAsia"/>
          <w:sz w:val="24"/>
          <w:szCs w:val="24"/>
        </w:rPr>
        <w:t xml:space="preserve">[23] </w:t>
      </w:r>
      <w:r w:rsidR="00B27B4B" w:rsidRPr="00E82E1F">
        <w:rPr>
          <w:sz w:val="24"/>
          <w:szCs w:val="24"/>
        </w:rPr>
        <w:t xml:space="preserve">———. </w:t>
      </w:r>
      <w:proofErr w:type="gramStart"/>
      <w:r w:rsidR="00B27B4B" w:rsidRPr="00E82E1F">
        <w:rPr>
          <w:sz w:val="24"/>
          <w:szCs w:val="24"/>
        </w:rPr>
        <w:t>"The Regulation of Entry."</w:t>
      </w:r>
      <w:proofErr w:type="gramEnd"/>
      <w:r w:rsidR="00B27B4B" w:rsidRPr="00E82E1F">
        <w:rPr>
          <w:sz w:val="24"/>
          <w:szCs w:val="24"/>
        </w:rPr>
        <w:t xml:space="preserve"> </w:t>
      </w:r>
      <w:r w:rsidR="00B27B4B" w:rsidRPr="00E82E1F">
        <w:rPr>
          <w:i/>
          <w:sz w:val="24"/>
          <w:szCs w:val="24"/>
        </w:rPr>
        <w:t>The Quarterly Journal of Economics</w:t>
      </w:r>
      <w:r w:rsidR="00B27B4B" w:rsidRPr="00E82E1F">
        <w:rPr>
          <w:sz w:val="24"/>
          <w:szCs w:val="24"/>
        </w:rPr>
        <w:t xml:space="preserve"> 117, no. 1 (2002): 1-37.</w:t>
      </w:r>
    </w:p>
    <w:p w:rsidR="00B27B4B" w:rsidRPr="00E82E1F" w:rsidRDefault="005805FB" w:rsidP="00E07BF9">
      <w:pPr>
        <w:spacing w:beforeLines="100"/>
        <w:mirrorIndents/>
        <w:rPr>
          <w:sz w:val="24"/>
          <w:szCs w:val="24"/>
        </w:rPr>
      </w:pPr>
      <w:r>
        <w:rPr>
          <w:rFonts w:hint="eastAsia"/>
          <w:sz w:val="24"/>
          <w:szCs w:val="24"/>
        </w:rPr>
        <w:t xml:space="preserve">[24] </w:t>
      </w:r>
      <w:proofErr w:type="spellStart"/>
      <w:r w:rsidR="00B27B4B" w:rsidRPr="00E82E1F">
        <w:rPr>
          <w:sz w:val="24"/>
          <w:szCs w:val="24"/>
        </w:rPr>
        <w:t>Dyck</w:t>
      </w:r>
      <w:proofErr w:type="spellEnd"/>
      <w:r w:rsidR="00B27B4B" w:rsidRPr="00E82E1F">
        <w:rPr>
          <w:sz w:val="24"/>
          <w:szCs w:val="24"/>
        </w:rPr>
        <w:t xml:space="preserve">, Alexander and Luigi </w:t>
      </w:r>
      <w:proofErr w:type="spellStart"/>
      <w:r w:rsidR="00B27B4B" w:rsidRPr="00E82E1F">
        <w:rPr>
          <w:sz w:val="24"/>
          <w:szCs w:val="24"/>
        </w:rPr>
        <w:t>Zingales</w:t>
      </w:r>
      <w:proofErr w:type="spellEnd"/>
      <w:r w:rsidR="00B27B4B" w:rsidRPr="00E82E1F">
        <w:rPr>
          <w:sz w:val="24"/>
          <w:szCs w:val="24"/>
        </w:rPr>
        <w:t xml:space="preserve">. </w:t>
      </w:r>
      <w:bookmarkStart w:id="99" w:name="OLE_LINK121"/>
      <w:bookmarkStart w:id="100" w:name="OLE_LINK122"/>
      <w:r w:rsidR="00B27B4B" w:rsidRPr="00E82E1F">
        <w:rPr>
          <w:sz w:val="24"/>
          <w:szCs w:val="24"/>
        </w:rPr>
        <w:t>"</w:t>
      </w:r>
      <w:bookmarkEnd w:id="99"/>
      <w:bookmarkEnd w:id="100"/>
      <w:r w:rsidR="00B27B4B" w:rsidRPr="00E82E1F">
        <w:rPr>
          <w:sz w:val="24"/>
          <w:szCs w:val="24"/>
        </w:rPr>
        <w:t xml:space="preserve">Private Benefits of Control: An International Comparison." </w:t>
      </w:r>
      <w:r w:rsidR="00B27B4B" w:rsidRPr="00E82E1F">
        <w:rPr>
          <w:i/>
          <w:sz w:val="24"/>
          <w:szCs w:val="24"/>
        </w:rPr>
        <w:t>The Journal of Finance</w:t>
      </w:r>
      <w:r w:rsidR="00B27B4B" w:rsidRPr="00E82E1F">
        <w:rPr>
          <w:sz w:val="24"/>
          <w:szCs w:val="24"/>
        </w:rPr>
        <w:t xml:space="preserve"> 59, no. 2 (2004): 537-600.</w:t>
      </w:r>
    </w:p>
    <w:p w:rsidR="00B27B4B" w:rsidRPr="00E82E1F" w:rsidRDefault="005805FB" w:rsidP="00E07BF9">
      <w:pPr>
        <w:spacing w:beforeLines="100"/>
        <w:mirrorIndents/>
        <w:rPr>
          <w:sz w:val="24"/>
          <w:szCs w:val="24"/>
        </w:rPr>
      </w:pPr>
      <w:r>
        <w:rPr>
          <w:rFonts w:hint="eastAsia"/>
          <w:sz w:val="24"/>
          <w:szCs w:val="24"/>
        </w:rPr>
        <w:t xml:space="preserve">[25] </w:t>
      </w:r>
      <w:r w:rsidR="00B27B4B" w:rsidRPr="00E82E1F">
        <w:rPr>
          <w:sz w:val="24"/>
          <w:szCs w:val="24"/>
        </w:rPr>
        <w:t>Easterly, William and Ross Levine. "A</w:t>
      </w:r>
      <w:bookmarkStart w:id="101" w:name="OLE_LINK119"/>
      <w:bookmarkStart w:id="102" w:name="OLE_LINK120"/>
      <w:r w:rsidR="00B27B4B" w:rsidRPr="00E82E1F">
        <w:rPr>
          <w:sz w:val="24"/>
          <w:szCs w:val="24"/>
        </w:rPr>
        <w:t>frica’s Growth Tragedy: Policies and Ethnic Divisions</w:t>
      </w:r>
      <w:bookmarkEnd w:id="101"/>
      <w:bookmarkEnd w:id="102"/>
      <w:r w:rsidR="00B27B4B" w:rsidRPr="00E82E1F">
        <w:rPr>
          <w:sz w:val="24"/>
          <w:szCs w:val="24"/>
        </w:rPr>
        <w:t xml:space="preserve">." </w:t>
      </w:r>
      <w:r w:rsidR="00B27B4B" w:rsidRPr="00E82E1F">
        <w:rPr>
          <w:i/>
          <w:sz w:val="24"/>
          <w:szCs w:val="24"/>
        </w:rPr>
        <w:t>The Quarterly Journal of Economics</w:t>
      </w:r>
      <w:r w:rsidR="00B27B4B" w:rsidRPr="00E82E1F">
        <w:rPr>
          <w:sz w:val="24"/>
          <w:szCs w:val="24"/>
        </w:rPr>
        <w:t xml:space="preserve"> 112, no. 4 (1997): 1203-1250.</w:t>
      </w:r>
    </w:p>
    <w:p w:rsidR="00B27B4B" w:rsidRPr="00E82E1F" w:rsidRDefault="005805FB" w:rsidP="00E07BF9">
      <w:pPr>
        <w:spacing w:beforeLines="100"/>
        <w:mirrorIndents/>
        <w:rPr>
          <w:sz w:val="24"/>
          <w:szCs w:val="24"/>
        </w:rPr>
      </w:pPr>
      <w:r>
        <w:rPr>
          <w:rFonts w:hint="eastAsia"/>
          <w:sz w:val="24"/>
          <w:szCs w:val="24"/>
        </w:rPr>
        <w:t xml:space="preserve">[26] </w:t>
      </w:r>
      <w:r w:rsidR="00B27B4B" w:rsidRPr="00E82E1F">
        <w:rPr>
          <w:sz w:val="24"/>
          <w:szCs w:val="24"/>
        </w:rPr>
        <w:t xml:space="preserve">Fang, Vivian W., Thomas H. </w:t>
      </w:r>
      <w:proofErr w:type="spellStart"/>
      <w:r w:rsidR="00B27B4B" w:rsidRPr="00E82E1F">
        <w:rPr>
          <w:sz w:val="24"/>
          <w:szCs w:val="24"/>
        </w:rPr>
        <w:t>Noe</w:t>
      </w:r>
      <w:proofErr w:type="spellEnd"/>
      <w:r w:rsidR="00B27B4B" w:rsidRPr="00E82E1F">
        <w:rPr>
          <w:sz w:val="24"/>
          <w:szCs w:val="24"/>
        </w:rPr>
        <w:t xml:space="preserve"> and Sheri Tice. </w:t>
      </w:r>
      <w:proofErr w:type="gramStart"/>
      <w:r w:rsidR="00B27B4B" w:rsidRPr="00E82E1F">
        <w:rPr>
          <w:sz w:val="24"/>
          <w:szCs w:val="24"/>
        </w:rPr>
        <w:t>"Stock Market Liquidity and Firm Value."</w:t>
      </w:r>
      <w:proofErr w:type="gramEnd"/>
      <w:r w:rsidR="00B27B4B" w:rsidRPr="00E82E1F">
        <w:rPr>
          <w:sz w:val="24"/>
          <w:szCs w:val="24"/>
        </w:rPr>
        <w:t xml:space="preserve"> </w:t>
      </w:r>
      <w:r w:rsidR="00B27B4B" w:rsidRPr="00E82E1F">
        <w:rPr>
          <w:i/>
          <w:sz w:val="24"/>
          <w:szCs w:val="24"/>
        </w:rPr>
        <w:t>Journal of Financial Economics</w:t>
      </w:r>
      <w:r w:rsidR="00B27B4B" w:rsidRPr="00E82E1F">
        <w:rPr>
          <w:sz w:val="24"/>
          <w:szCs w:val="24"/>
        </w:rPr>
        <w:t xml:space="preserve"> 94, no. 1 (2009): 150-69.</w:t>
      </w:r>
    </w:p>
    <w:p w:rsidR="00B27B4B" w:rsidRPr="00E82E1F" w:rsidRDefault="005805FB" w:rsidP="00E07BF9">
      <w:pPr>
        <w:spacing w:beforeLines="100"/>
        <w:mirrorIndents/>
        <w:rPr>
          <w:sz w:val="24"/>
          <w:szCs w:val="24"/>
        </w:rPr>
      </w:pPr>
      <w:r>
        <w:rPr>
          <w:rFonts w:hint="eastAsia"/>
          <w:sz w:val="24"/>
          <w:szCs w:val="24"/>
        </w:rPr>
        <w:t xml:space="preserve">[27] </w:t>
      </w:r>
      <w:proofErr w:type="spellStart"/>
      <w:r w:rsidR="00B27B4B" w:rsidRPr="00E82E1F">
        <w:rPr>
          <w:sz w:val="24"/>
          <w:szCs w:val="24"/>
        </w:rPr>
        <w:t>Fernández</w:t>
      </w:r>
      <w:proofErr w:type="spellEnd"/>
      <w:r w:rsidR="00B27B4B" w:rsidRPr="00E82E1F">
        <w:rPr>
          <w:sz w:val="24"/>
          <w:szCs w:val="24"/>
        </w:rPr>
        <w:t xml:space="preserve">, Carmen, Eduardo </w:t>
      </w:r>
      <w:proofErr w:type="spellStart"/>
      <w:r w:rsidR="00B27B4B" w:rsidRPr="00E82E1F">
        <w:rPr>
          <w:sz w:val="24"/>
          <w:szCs w:val="24"/>
        </w:rPr>
        <w:t>Ley</w:t>
      </w:r>
      <w:proofErr w:type="spellEnd"/>
      <w:r w:rsidR="00B27B4B" w:rsidRPr="00E82E1F">
        <w:rPr>
          <w:sz w:val="24"/>
          <w:szCs w:val="24"/>
        </w:rPr>
        <w:t xml:space="preserve"> and Mark Steel. </w:t>
      </w:r>
      <w:proofErr w:type="gramStart"/>
      <w:r w:rsidR="00B27B4B" w:rsidRPr="00E82E1F">
        <w:rPr>
          <w:sz w:val="24"/>
          <w:szCs w:val="24"/>
        </w:rPr>
        <w:t>"Model Uncertainty in Cross-Country Growth Regressions."</w:t>
      </w:r>
      <w:proofErr w:type="gramEnd"/>
      <w:r w:rsidR="00B27B4B" w:rsidRPr="00E82E1F">
        <w:rPr>
          <w:sz w:val="24"/>
          <w:szCs w:val="24"/>
        </w:rPr>
        <w:t xml:space="preserve"> </w:t>
      </w:r>
      <w:r w:rsidR="00B27B4B" w:rsidRPr="00E82E1F">
        <w:rPr>
          <w:i/>
          <w:sz w:val="24"/>
          <w:szCs w:val="24"/>
        </w:rPr>
        <w:t>Journal of Applied Econometrics</w:t>
      </w:r>
      <w:r w:rsidR="00B27B4B" w:rsidRPr="00E82E1F">
        <w:rPr>
          <w:sz w:val="24"/>
          <w:szCs w:val="24"/>
        </w:rPr>
        <w:t xml:space="preserve"> 16, no. 5 (2001): 563-76.</w:t>
      </w:r>
    </w:p>
    <w:p w:rsidR="00B27B4B" w:rsidRPr="00E82E1F" w:rsidRDefault="005805FB" w:rsidP="00E07BF9">
      <w:pPr>
        <w:spacing w:beforeLines="100"/>
        <w:mirrorIndents/>
        <w:rPr>
          <w:sz w:val="24"/>
          <w:szCs w:val="24"/>
        </w:rPr>
      </w:pPr>
      <w:r>
        <w:rPr>
          <w:rFonts w:hint="eastAsia"/>
          <w:sz w:val="24"/>
          <w:szCs w:val="24"/>
        </w:rPr>
        <w:t xml:space="preserve">[28] </w:t>
      </w:r>
      <w:r w:rsidR="00B27B4B" w:rsidRPr="00E82E1F">
        <w:rPr>
          <w:sz w:val="24"/>
          <w:szCs w:val="24"/>
        </w:rPr>
        <w:t xml:space="preserve">Franks, Julian, Colin Mayer and Stefano Rossi. "Ownership: Evolution and Regulation." </w:t>
      </w:r>
      <w:r w:rsidR="00B27B4B" w:rsidRPr="00E82E1F">
        <w:rPr>
          <w:i/>
          <w:sz w:val="24"/>
          <w:szCs w:val="24"/>
        </w:rPr>
        <w:t>Review of Financial Studies</w:t>
      </w:r>
      <w:r w:rsidR="00B27B4B" w:rsidRPr="00E82E1F">
        <w:rPr>
          <w:sz w:val="24"/>
          <w:szCs w:val="24"/>
        </w:rPr>
        <w:t xml:space="preserve"> 22, no. 10 (2009): 4009-56.</w:t>
      </w:r>
    </w:p>
    <w:p w:rsidR="00B27B4B" w:rsidRPr="00E82E1F" w:rsidRDefault="005805FB" w:rsidP="00E07BF9">
      <w:pPr>
        <w:spacing w:beforeLines="100"/>
        <w:mirrorIndents/>
        <w:rPr>
          <w:sz w:val="24"/>
          <w:szCs w:val="24"/>
        </w:rPr>
      </w:pPr>
      <w:r>
        <w:rPr>
          <w:rFonts w:hint="eastAsia"/>
          <w:sz w:val="24"/>
          <w:szCs w:val="24"/>
        </w:rPr>
        <w:t xml:space="preserve">[29] </w:t>
      </w:r>
      <w:r w:rsidR="00B27B4B" w:rsidRPr="00E82E1F">
        <w:rPr>
          <w:sz w:val="24"/>
          <w:szCs w:val="24"/>
        </w:rPr>
        <w:t xml:space="preserve">Grossman, Sanford J. and Oliver D. Hart. </w:t>
      </w:r>
      <w:proofErr w:type="gramStart"/>
      <w:r w:rsidR="00B27B4B" w:rsidRPr="00E82E1F">
        <w:rPr>
          <w:sz w:val="24"/>
          <w:szCs w:val="24"/>
        </w:rPr>
        <w:t>"One Share-One Vote and the Market for Corporate Control."</w:t>
      </w:r>
      <w:proofErr w:type="gramEnd"/>
      <w:r w:rsidR="00B27B4B" w:rsidRPr="00E82E1F">
        <w:rPr>
          <w:sz w:val="24"/>
          <w:szCs w:val="24"/>
        </w:rPr>
        <w:t xml:space="preserve"> </w:t>
      </w:r>
      <w:r w:rsidR="00B27B4B" w:rsidRPr="00E82E1F">
        <w:rPr>
          <w:i/>
          <w:sz w:val="24"/>
          <w:szCs w:val="24"/>
        </w:rPr>
        <w:t>Journal of Financial Economics</w:t>
      </w:r>
      <w:r w:rsidR="00B27B4B" w:rsidRPr="00E82E1F">
        <w:rPr>
          <w:sz w:val="24"/>
          <w:szCs w:val="24"/>
        </w:rPr>
        <w:t xml:space="preserve"> 20, no. 0 (1988): 175-202.</w:t>
      </w:r>
    </w:p>
    <w:p w:rsidR="00B27B4B" w:rsidRPr="00E82E1F" w:rsidRDefault="005805FB" w:rsidP="00E07BF9">
      <w:pPr>
        <w:spacing w:beforeLines="100"/>
        <w:mirrorIndents/>
        <w:rPr>
          <w:sz w:val="24"/>
          <w:szCs w:val="24"/>
        </w:rPr>
      </w:pPr>
      <w:r>
        <w:rPr>
          <w:rFonts w:hint="eastAsia"/>
          <w:sz w:val="24"/>
          <w:szCs w:val="24"/>
        </w:rPr>
        <w:lastRenderedPageBreak/>
        <w:t xml:space="preserve">[30] </w:t>
      </w:r>
      <w:proofErr w:type="spellStart"/>
      <w:r w:rsidR="00B27B4B" w:rsidRPr="00E82E1F">
        <w:rPr>
          <w:sz w:val="24"/>
          <w:szCs w:val="24"/>
        </w:rPr>
        <w:t>Guiso</w:t>
      </w:r>
      <w:proofErr w:type="spellEnd"/>
      <w:r w:rsidR="00B27B4B" w:rsidRPr="00E82E1F">
        <w:rPr>
          <w:sz w:val="24"/>
          <w:szCs w:val="24"/>
        </w:rPr>
        <w:t xml:space="preserve">, Luigi, Paola </w:t>
      </w:r>
      <w:proofErr w:type="spellStart"/>
      <w:r w:rsidR="00B27B4B" w:rsidRPr="00E82E1F">
        <w:rPr>
          <w:sz w:val="24"/>
          <w:szCs w:val="24"/>
        </w:rPr>
        <w:t>Sapienza</w:t>
      </w:r>
      <w:proofErr w:type="spellEnd"/>
      <w:r w:rsidR="00B27B4B" w:rsidRPr="00E82E1F">
        <w:rPr>
          <w:sz w:val="24"/>
          <w:szCs w:val="24"/>
        </w:rPr>
        <w:t xml:space="preserve"> and Luigi </w:t>
      </w:r>
      <w:proofErr w:type="spellStart"/>
      <w:r w:rsidR="00B27B4B" w:rsidRPr="00E82E1F">
        <w:rPr>
          <w:sz w:val="24"/>
          <w:szCs w:val="24"/>
        </w:rPr>
        <w:t>Zingales</w:t>
      </w:r>
      <w:proofErr w:type="spellEnd"/>
      <w:r w:rsidR="00B27B4B" w:rsidRPr="00E82E1F">
        <w:rPr>
          <w:sz w:val="24"/>
          <w:szCs w:val="24"/>
        </w:rPr>
        <w:t>. "Does Culture Affect Economic Outcomes</w:t>
      </w:r>
      <w:proofErr w:type="gramStart"/>
      <w:r w:rsidR="00B27B4B" w:rsidRPr="00E82E1F">
        <w:rPr>
          <w:sz w:val="24"/>
          <w:szCs w:val="24"/>
        </w:rPr>
        <w:t>?.</w:t>
      </w:r>
      <w:proofErr w:type="gramEnd"/>
      <w:r w:rsidR="00B27B4B" w:rsidRPr="00E82E1F">
        <w:rPr>
          <w:sz w:val="24"/>
          <w:szCs w:val="24"/>
        </w:rPr>
        <w:t xml:space="preserve">" </w:t>
      </w:r>
      <w:r w:rsidR="00B27B4B" w:rsidRPr="00E82E1F">
        <w:rPr>
          <w:i/>
          <w:sz w:val="24"/>
          <w:szCs w:val="24"/>
        </w:rPr>
        <w:t>Journal of Economic Perspectives</w:t>
      </w:r>
      <w:r w:rsidR="00B27B4B" w:rsidRPr="00E82E1F">
        <w:rPr>
          <w:sz w:val="24"/>
          <w:szCs w:val="24"/>
        </w:rPr>
        <w:t xml:space="preserve"> 20, no. 2 (2006): 23-48.</w:t>
      </w:r>
    </w:p>
    <w:p w:rsidR="00B27B4B" w:rsidRPr="00E82E1F" w:rsidRDefault="005805FB" w:rsidP="00E07BF9">
      <w:pPr>
        <w:spacing w:beforeLines="100"/>
        <w:mirrorIndents/>
        <w:rPr>
          <w:sz w:val="24"/>
          <w:szCs w:val="24"/>
        </w:rPr>
      </w:pPr>
      <w:r>
        <w:rPr>
          <w:rFonts w:hint="eastAsia"/>
          <w:sz w:val="24"/>
          <w:szCs w:val="24"/>
        </w:rPr>
        <w:t xml:space="preserve">[31] </w:t>
      </w:r>
      <w:proofErr w:type="spellStart"/>
      <w:r w:rsidR="00B27B4B" w:rsidRPr="00E82E1F">
        <w:rPr>
          <w:sz w:val="24"/>
          <w:szCs w:val="24"/>
        </w:rPr>
        <w:t>Helland</w:t>
      </w:r>
      <w:proofErr w:type="spellEnd"/>
      <w:r w:rsidR="00B27B4B" w:rsidRPr="00E82E1F">
        <w:rPr>
          <w:sz w:val="24"/>
          <w:szCs w:val="24"/>
        </w:rPr>
        <w:t xml:space="preserve">, Eric and </w:t>
      </w:r>
      <w:proofErr w:type="spellStart"/>
      <w:r w:rsidR="00B27B4B" w:rsidRPr="00E82E1F">
        <w:rPr>
          <w:sz w:val="24"/>
          <w:szCs w:val="24"/>
        </w:rPr>
        <w:t>Klick</w:t>
      </w:r>
      <w:proofErr w:type="spellEnd"/>
      <w:r w:rsidR="00B27B4B" w:rsidRPr="00E82E1F">
        <w:rPr>
          <w:sz w:val="24"/>
          <w:szCs w:val="24"/>
        </w:rPr>
        <w:t xml:space="preserve"> Jonathan</w:t>
      </w:r>
      <w:bookmarkStart w:id="103" w:name="OLE_LINK123"/>
      <w:bookmarkStart w:id="104" w:name="OLE_LINK124"/>
      <w:r w:rsidR="00B27B4B" w:rsidRPr="00E82E1F">
        <w:rPr>
          <w:sz w:val="24"/>
          <w:szCs w:val="24"/>
        </w:rPr>
        <w:t xml:space="preserve">. </w:t>
      </w:r>
      <w:proofErr w:type="gramStart"/>
      <w:r w:rsidR="00B27B4B" w:rsidRPr="00E82E1F">
        <w:rPr>
          <w:sz w:val="24"/>
          <w:szCs w:val="24"/>
        </w:rPr>
        <w:t>"</w:t>
      </w:r>
      <w:bookmarkStart w:id="105" w:name="OLE_LINK125"/>
      <w:bookmarkStart w:id="106" w:name="OLE_LINK126"/>
      <w:r w:rsidR="00B27B4B" w:rsidRPr="00E82E1F">
        <w:rPr>
          <w:sz w:val="24"/>
          <w:szCs w:val="24"/>
        </w:rPr>
        <w:t>Legal Origins and Empirical Credibility</w:t>
      </w:r>
      <w:bookmarkEnd w:id="103"/>
      <w:bookmarkEnd w:id="104"/>
      <w:bookmarkEnd w:id="105"/>
      <w:bookmarkEnd w:id="106"/>
      <w:r w:rsidR="00B27B4B" w:rsidRPr="00E82E1F">
        <w:rPr>
          <w:sz w:val="24"/>
          <w:szCs w:val="24"/>
        </w:rPr>
        <w:t>."</w:t>
      </w:r>
      <w:proofErr w:type="gramEnd"/>
      <w:r w:rsidR="00B27B4B" w:rsidRPr="00E82E1F">
        <w:rPr>
          <w:sz w:val="24"/>
          <w:szCs w:val="24"/>
        </w:rPr>
        <w:t xml:space="preserve"> </w:t>
      </w:r>
      <w:proofErr w:type="gramStart"/>
      <w:r w:rsidR="00B27B4B" w:rsidRPr="00E82E1F">
        <w:rPr>
          <w:sz w:val="24"/>
          <w:szCs w:val="24"/>
        </w:rPr>
        <w:t xml:space="preserve">In </w:t>
      </w:r>
      <w:r w:rsidR="00B27B4B" w:rsidRPr="00E82E1F">
        <w:rPr>
          <w:i/>
          <w:sz w:val="24"/>
          <w:szCs w:val="24"/>
        </w:rPr>
        <w:t>Does Law Matter?</w:t>
      </w:r>
      <w:proofErr w:type="gramEnd"/>
      <w:r w:rsidR="00B27B4B" w:rsidRPr="00E82E1F">
        <w:rPr>
          <w:i/>
          <w:sz w:val="24"/>
          <w:szCs w:val="24"/>
        </w:rPr>
        <w:t xml:space="preserve"> On Law and Economic Growth</w:t>
      </w:r>
      <w:r w:rsidR="00B27B4B" w:rsidRPr="00E82E1F">
        <w:rPr>
          <w:sz w:val="24"/>
          <w:szCs w:val="24"/>
        </w:rPr>
        <w:t xml:space="preserve">, edited by Michael Faure and Jan Smits, pp. 99–114.Cambridge, UK: </w:t>
      </w:r>
      <w:proofErr w:type="spellStart"/>
      <w:r w:rsidR="00B27B4B" w:rsidRPr="00E82E1F">
        <w:rPr>
          <w:sz w:val="24"/>
          <w:szCs w:val="24"/>
        </w:rPr>
        <w:t>Intersentia</w:t>
      </w:r>
      <w:proofErr w:type="spellEnd"/>
      <w:r w:rsidR="00B27B4B" w:rsidRPr="00E82E1F">
        <w:rPr>
          <w:sz w:val="24"/>
          <w:szCs w:val="24"/>
        </w:rPr>
        <w:t xml:space="preserve"> Publishers, 2011.</w:t>
      </w:r>
    </w:p>
    <w:p w:rsidR="00B27B4B" w:rsidRPr="00E82E1F" w:rsidRDefault="005805FB" w:rsidP="00E07BF9">
      <w:pPr>
        <w:spacing w:beforeLines="100"/>
        <w:mirrorIndents/>
        <w:rPr>
          <w:sz w:val="24"/>
          <w:szCs w:val="24"/>
        </w:rPr>
      </w:pPr>
      <w:r>
        <w:rPr>
          <w:rFonts w:hint="eastAsia"/>
          <w:sz w:val="24"/>
          <w:szCs w:val="24"/>
        </w:rPr>
        <w:t xml:space="preserve">[32] </w:t>
      </w:r>
      <w:proofErr w:type="spellStart"/>
      <w:r w:rsidR="00B27B4B" w:rsidRPr="00E82E1F">
        <w:rPr>
          <w:sz w:val="24"/>
          <w:szCs w:val="24"/>
        </w:rPr>
        <w:t>Helwege</w:t>
      </w:r>
      <w:proofErr w:type="spellEnd"/>
      <w:r w:rsidR="00B27B4B" w:rsidRPr="00E82E1F">
        <w:rPr>
          <w:sz w:val="24"/>
          <w:szCs w:val="24"/>
        </w:rPr>
        <w:t xml:space="preserve">, Jean, </w:t>
      </w:r>
      <w:proofErr w:type="spellStart"/>
      <w:r w:rsidR="00B27B4B" w:rsidRPr="00E82E1F">
        <w:rPr>
          <w:sz w:val="24"/>
          <w:szCs w:val="24"/>
        </w:rPr>
        <w:t>Christo</w:t>
      </w:r>
      <w:proofErr w:type="spellEnd"/>
      <w:r w:rsidR="00B27B4B" w:rsidRPr="00E82E1F">
        <w:rPr>
          <w:sz w:val="24"/>
          <w:szCs w:val="24"/>
        </w:rPr>
        <w:t xml:space="preserve"> </w:t>
      </w:r>
      <w:proofErr w:type="spellStart"/>
      <w:r w:rsidR="00B27B4B" w:rsidRPr="00E82E1F">
        <w:rPr>
          <w:sz w:val="24"/>
          <w:szCs w:val="24"/>
        </w:rPr>
        <w:t>Pirinsky</w:t>
      </w:r>
      <w:proofErr w:type="spellEnd"/>
      <w:r w:rsidR="00B27B4B" w:rsidRPr="00E82E1F">
        <w:rPr>
          <w:sz w:val="24"/>
          <w:szCs w:val="24"/>
        </w:rPr>
        <w:t xml:space="preserve"> and </w:t>
      </w:r>
      <w:proofErr w:type="spellStart"/>
      <w:r w:rsidR="00B27B4B" w:rsidRPr="00E82E1F">
        <w:rPr>
          <w:sz w:val="24"/>
          <w:szCs w:val="24"/>
        </w:rPr>
        <w:t>RenÉ</w:t>
      </w:r>
      <w:proofErr w:type="spellEnd"/>
      <w:r w:rsidR="00B27B4B" w:rsidRPr="00E82E1F">
        <w:rPr>
          <w:sz w:val="24"/>
          <w:szCs w:val="24"/>
        </w:rPr>
        <w:t xml:space="preserve"> M. </w:t>
      </w:r>
      <w:proofErr w:type="spellStart"/>
      <w:r w:rsidR="00B27B4B" w:rsidRPr="00E82E1F">
        <w:rPr>
          <w:sz w:val="24"/>
          <w:szCs w:val="24"/>
        </w:rPr>
        <w:t>Stulz</w:t>
      </w:r>
      <w:proofErr w:type="spellEnd"/>
      <w:r w:rsidR="00B27B4B" w:rsidRPr="00E82E1F">
        <w:rPr>
          <w:sz w:val="24"/>
          <w:szCs w:val="24"/>
        </w:rPr>
        <w:t xml:space="preserve">. "Why Do Firms Become Widely Held? </w:t>
      </w:r>
      <w:proofErr w:type="gramStart"/>
      <w:r w:rsidR="00B27B4B" w:rsidRPr="00E82E1F">
        <w:rPr>
          <w:sz w:val="24"/>
          <w:szCs w:val="24"/>
        </w:rPr>
        <w:t>An Analysis of the Dynamics of Corporate Ownership."</w:t>
      </w:r>
      <w:proofErr w:type="gramEnd"/>
      <w:r w:rsidR="00B27B4B" w:rsidRPr="00E82E1F">
        <w:rPr>
          <w:sz w:val="24"/>
          <w:szCs w:val="24"/>
        </w:rPr>
        <w:t xml:space="preserve"> </w:t>
      </w:r>
      <w:r w:rsidR="00B27B4B" w:rsidRPr="00E82E1F">
        <w:rPr>
          <w:i/>
          <w:sz w:val="24"/>
          <w:szCs w:val="24"/>
        </w:rPr>
        <w:t>The Journal of Finance</w:t>
      </w:r>
      <w:r w:rsidR="00B27B4B" w:rsidRPr="00E82E1F">
        <w:rPr>
          <w:sz w:val="24"/>
          <w:szCs w:val="24"/>
        </w:rPr>
        <w:t xml:space="preserve"> 62, no. 3 (2007): 995-1028.</w:t>
      </w:r>
    </w:p>
    <w:p w:rsidR="00B27B4B" w:rsidRPr="00E82E1F" w:rsidRDefault="005805FB" w:rsidP="00E07BF9">
      <w:pPr>
        <w:spacing w:beforeLines="100"/>
        <w:mirrorIndents/>
        <w:rPr>
          <w:sz w:val="24"/>
          <w:szCs w:val="24"/>
        </w:rPr>
      </w:pPr>
      <w:r>
        <w:rPr>
          <w:rFonts w:hint="eastAsia"/>
          <w:sz w:val="24"/>
          <w:szCs w:val="24"/>
        </w:rPr>
        <w:t xml:space="preserve">[33] </w:t>
      </w:r>
      <w:r w:rsidR="00B27B4B" w:rsidRPr="00E82E1F">
        <w:rPr>
          <w:sz w:val="24"/>
          <w:szCs w:val="24"/>
        </w:rPr>
        <w:t xml:space="preserve">Jackson, Howell E. and Mark J. Roe. "Public and Private Enforcement of Securities Laws: Resource-Based Evidence." </w:t>
      </w:r>
      <w:r w:rsidR="00B27B4B" w:rsidRPr="00E82E1F">
        <w:rPr>
          <w:i/>
          <w:sz w:val="24"/>
          <w:szCs w:val="24"/>
        </w:rPr>
        <w:t>Journal of Financial Economics</w:t>
      </w:r>
      <w:r w:rsidR="00B27B4B" w:rsidRPr="00E82E1F">
        <w:rPr>
          <w:sz w:val="24"/>
          <w:szCs w:val="24"/>
        </w:rPr>
        <w:t xml:space="preserve"> 93, no. 2 (2009): 207-38.</w:t>
      </w:r>
    </w:p>
    <w:p w:rsidR="00B27B4B" w:rsidRPr="00E82E1F" w:rsidRDefault="005805FB" w:rsidP="00E07BF9">
      <w:pPr>
        <w:spacing w:beforeLines="100"/>
        <w:mirrorIndents/>
        <w:rPr>
          <w:sz w:val="24"/>
          <w:szCs w:val="24"/>
        </w:rPr>
      </w:pPr>
      <w:r>
        <w:rPr>
          <w:rFonts w:hint="eastAsia"/>
          <w:sz w:val="24"/>
          <w:szCs w:val="24"/>
        </w:rPr>
        <w:t xml:space="preserve">[34] </w:t>
      </w:r>
      <w:proofErr w:type="spellStart"/>
      <w:r w:rsidR="00B27B4B" w:rsidRPr="00E82E1F">
        <w:rPr>
          <w:sz w:val="24"/>
          <w:szCs w:val="24"/>
        </w:rPr>
        <w:t>Klerman</w:t>
      </w:r>
      <w:proofErr w:type="spellEnd"/>
      <w:r w:rsidR="00B27B4B" w:rsidRPr="00E82E1F">
        <w:rPr>
          <w:sz w:val="24"/>
          <w:szCs w:val="24"/>
        </w:rPr>
        <w:t xml:space="preserve">, Daniel M., Paul G. Mahoney, </w:t>
      </w:r>
      <w:proofErr w:type="spellStart"/>
      <w:r w:rsidR="00B27B4B" w:rsidRPr="00E82E1F">
        <w:rPr>
          <w:sz w:val="24"/>
          <w:szCs w:val="24"/>
        </w:rPr>
        <w:t>Holger</w:t>
      </w:r>
      <w:proofErr w:type="spellEnd"/>
      <w:r w:rsidR="00B27B4B" w:rsidRPr="00E82E1F">
        <w:rPr>
          <w:sz w:val="24"/>
          <w:szCs w:val="24"/>
        </w:rPr>
        <w:t xml:space="preserve"> </w:t>
      </w:r>
      <w:proofErr w:type="spellStart"/>
      <w:r w:rsidR="00B27B4B" w:rsidRPr="00E82E1F">
        <w:rPr>
          <w:sz w:val="24"/>
          <w:szCs w:val="24"/>
        </w:rPr>
        <w:t>Spamann</w:t>
      </w:r>
      <w:proofErr w:type="spellEnd"/>
      <w:r w:rsidR="00B27B4B" w:rsidRPr="00E82E1F">
        <w:rPr>
          <w:sz w:val="24"/>
          <w:szCs w:val="24"/>
        </w:rPr>
        <w:t xml:space="preserve"> and Mark I. Weinstein. "Legal Origin or Colonial History</w:t>
      </w:r>
      <w:proofErr w:type="gramStart"/>
      <w:r w:rsidR="00B27B4B" w:rsidRPr="00E82E1F">
        <w:rPr>
          <w:sz w:val="24"/>
          <w:szCs w:val="24"/>
        </w:rPr>
        <w:t>?.</w:t>
      </w:r>
      <w:proofErr w:type="gramEnd"/>
      <w:r w:rsidR="00B27B4B" w:rsidRPr="00E82E1F">
        <w:rPr>
          <w:sz w:val="24"/>
          <w:szCs w:val="24"/>
        </w:rPr>
        <w:t xml:space="preserve">" </w:t>
      </w:r>
      <w:r w:rsidR="00B27B4B" w:rsidRPr="00E82E1F">
        <w:rPr>
          <w:i/>
          <w:sz w:val="24"/>
          <w:szCs w:val="24"/>
        </w:rPr>
        <w:t>Journal of Legal Analysis</w:t>
      </w:r>
      <w:r w:rsidR="00B27B4B" w:rsidRPr="00E82E1F">
        <w:rPr>
          <w:sz w:val="24"/>
          <w:szCs w:val="24"/>
        </w:rPr>
        <w:t xml:space="preserve"> 3, no. 2 (2011): 379-409.</w:t>
      </w:r>
    </w:p>
    <w:p w:rsidR="00B27B4B" w:rsidRPr="00E82E1F" w:rsidRDefault="005805FB" w:rsidP="00E07BF9">
      <w:pPr>
        <w:spacing w:beforeLines="100"/>
        <w:mirrorIndents/>
        <w:rPr>
          <w:sz w:val="24"/>
          <w:szCs w:val="24"/>
        </w:rPr>
      </w:pPr>
      <w:r>
        <w:rPr>
          <w:rFonts w:hint="eastAsia"/>
          <w:sz w:val="24"/>
          <w:szCs w:val="24"/>
        </w:rPr>
        <w:t xml:space="preserve">[35] </w:t>
      </w:r>
      <w:proofErr w:type="spellStart"/>
      <w:r w:rsidR="00B27B4B" w:rsidRPr="00E82E1F">
        <w:rPr>
          <w:sz w:val="24"/>
          <w:szCs w:val="24"/>
        </w:rPr>
        <w:t>Klick</w:t>
      </w:r>
      <w:proofErr w:type="spellEnd"/>
      <w:r w:rsidR="00B27B4B" w:rsidRPr="00E82E1F">
        <w:rPr>
          <w:sz w:val="24"/>
          <w:szCs w:val="24"/>
        </w:rPr>
        <w:t xml:space="preserve">, Jonathan. </w:t>
      </w:r>
      <w:proofErr w:type="gramStart"/>
      <w:r w:rsidR="00B27B4B" w:rsidRPr="00E82E1F">
        <w:rPr>
          <w:i/>
          <w:sz w:val="24"/>
          <w:szCs w:val="24"/>
        </w:rPr>
        <w:t>The Empirical Revolution in Law and Economics</w:t>
      </w:r>
      <w:r w:rsidR="00B27B4B" w:rsidRPr="00E82E1F">
        <w:rPr>
          <w:sz w:val="24"/>
          <w:szCs w:val="24"/>
        </w:rPr>
        <w:t>.</w:t>
      </w:r>
      <w:proofErr w:type="gramEnd"/>
      <w:r w:rsidR="00B27B4B" w:rsidRPr="00E82E1F">
        <w:rPr>
          <w:sz w:val="24"/>
          <w:szCs w:val="24"/>
        </w:rPr>
        <w:t xml:space="preserve"> Den Haag: Boom </w:t>
      </w:r>
      <w:proofErr w:type="spellStart"/>
      <w:r w:rsidR="00B27B4B" w:rsidRPr="00E82E1F">
        <w:rPr>
          <w:sz w:val="24"/>
          <w:szCs w:val="24"/>
        </w:rPr>
        <w:t>Juridische</w:t>
      </w:r>
      <w:proofErr w:type="spellEnd"/>
      <w:r w:rsidR="00B27B4B" w:rsidRPr="00E82E1F">
        <w:rPr>
          <w:sz w:val="24"/>
          <w:szCs w:val="24"/>
        </w:rPr>
        <w:t xml:space="preserve"> </w:t>
      </w:r>
      <w:proofErr w:type="spellStart"/>
      <w:r w:rsidR="00B27B4B" w:rsidRPr="00E82E1F">
        <w:rPr>
          <w:sz w:val="24"/>
          <w:szCs w:val="24"/>
        </w:rPr>
        <w:t>uitgevers</w:t>
      </w:r>
      <w:proofErr w:type="spellEnd"/>
      <w:r w:rsidR="00B27B4B" w:rsidRPr="00E82E1F">
        <w:rPr>
          <w:sz w:val="24"/>
          <w:szCs w:val="24"/>
        </w:rPr>
        <w:t>, 2011.</w:t>
      </w:r>
    </w:p>
    <w:p w:rsidR="00B27B4B" w:rsidRPr="00E82E1F" w:rsidRDefault="005805FB" w:rsidP="00E07BF9">
      <w:pPr>
        <w:spacing w:beforeLines="100"/>
        <w:mirrorIndents/>
        <w:rPr>
          <w:sz w:val="24"/>
          <w:szCs w:val="24"/>
        </w:rPr>
      </w:pPr>
      <w:r>
        <w:rPr>
          <w:rFonts w:hint="eastAsia"/>
          <w:sz w:val="24"/>
          <w:szCs w:val="24"/>
        </w:rPr>
        <w:t xml:space="preserve">[36] </w:t>
      </w:r>
      <w:r w:rsidR="00B27B4B" w:rsidRPr="00E82E1F">
        <w:rPr>
          <w:sz w:val="24"/>
          <w:szCs w:val="24"/>
        </w:rPr>
        <w:t xml:space="preserve">———. </w:t>
      </w:r>
      <w:proofErr w:type="gramStart"/>
      <w:r w:rsidR="00B27B4B" w:rsidRPr="00E82E1F">
        <w:rPr>
          <w:sz w:val="24"/>
          <w:szCs w:val="24"/>
        </w:rPr>
        <w:t>"</w:t>
      </w:r>
      <w:proofErr w:type="spellStart"/>
      <w:r w:rsidR="00B27B4B" w:rsidRPr="00E82E1F">
        <w:rPr>
          <w:sz w:val="24"/>
          <w:szCs w:val="24"/>
        </w:rPr>
        <w:t>Shleifer’s</w:t>
      </w:r>
      <w:proofErr w:type="spellEnd"/>
      <w:r w:rsidR="00B27B4B" w:rsidRPr="00E82E1F">
        <w:rPr>
          <w:sz w:val="24"/>
          <w:szCs w:val="24"/>
        </w:rPr>
        <w:t xml:space="preserve"> Failure."</w:t>
      </w:r>
      <w:proofErr w:type="gramEnd"/>
      <w:r w:rsidR="00B27B4B" w:rsidRPr="00E82E1F">
        <w:rPr>
          <w:sz w:val="24"/>
          <w:szCs w:val="24"/>
        </w:rPr>
        <w:t xml:space="preserve"> </w:t>
      </w:r>
      <w:r w:rsidR="00B27B4B" w:rsidRPr="00E82E1F">
        <w:rPr>
          <w:i/>
          <w:sz w:val="24"/>
          <w:szCs w:val="24"/>
        </w:rPr>
        <w:t xml:space="preserve">Texas Law Review, </w:t>
      </w:r>
      <w:r w:rsidR="00B27B4B" w:rsidRPr="00E82E1F">
        <w:rPr>
          <w:sz w:val="24"/>
          <w:szCs w:val="24"/>
        </w:rPr>
        <w:t xml:space="preserve">91 (2013): 899-961. </w:t>
      </w:r>
    </w:p>
    <w:p w:rsidR="00B27B4B" w:rsidRPr="00E82E1F" w:rsidRDefault="005805FB" w:rsidP="00E07BF9">
      <w:pPr>
        <w:spacing w:beforeLines="100"/>
        <w:mirrorIndents/>
        <w:rPr>
          <w:sz w:val="24"/>
          <w:szCs w:val="24"/>
        </w:rPr>
      </w:pPr>
      <w:r>
        <w:rPr>
          <w:rFonts w:hint="eastAsia"/>
          <w:sz w:val="24"/>
          <w:szCs w:val="24"/>
        </w:rPr>
        <w:t xml:space="preserve">[37] </w:t>
      </w:r>
      <w:proofErr w:type="spellStart"/>
      <w:r w:rsidR="00B27B4B" w:rsidRPr="00E82E1F">
        <w:rPr>
          <w:sz w:val="24"/>
          <w:szCs w:val="24"/>
        </w:rPr>
        <w:t>Kraakman</w:t>
      </w:r>
      <w:proofErr w:type="spellEnd"/>
      <w:r w:rsidR="00B27B4B" w:rsidRPr="00E82E1F">
        <w:rPr>
          <w:sz w:val="24"/>
          <w:szCs w:val="24"/>
        </w:rPr>
        <w:t xml:space="preserve">, </w:t>
      </w:r>
      <w:proofErr w:type="spellStart"/>
      <w:r w:rsidR="00B27B4B" w:rsidRPr="00E82E1F">
        <w:rPr>
          <w:sz w:val="24"/>
          <w:szCs w:val="24"/>
        </w:rPr>
        <w:t>Reinier</w:t>
      </w:r>
      <w:proofErr w:type="spellEnd"/>
      <w:r w:rsidR="00B27B4B" w:rsidRPr="00E82E1F">
        <w:rPr>
          <w:sz w:val="24"/>
          <w:szCs w:val="24"/>
        </w:rPr>
        <w:t xml:space="preserve">, </w:t>
      </w:r>
      <w:proofErr w:type="spellStart"/>
      <w:r w:rsidR="00B27B4B" w:rsidRPr="00E82E1F">
        <w:rPr>
          <w:sz w:val="24"/>
          <w:szCs w:val="24"/>
        </w:rPr>
        <w:t>Armour</w:t>
      </w:r>
      <w:proofErr w:type="spellEnd"/>
      <w:r w:rsidR="00B27B4B" w:rsidRPr="00E82E1F">
        <w:rPr>
          <w:sz w:val="24"/>
          <w:szCs w:val="24"/>
        </w:rPr>
        <w:t xml:space="preserve"> John, Paul Davies, Luca </w:t>
      </w:r>
      <w:proofErr w:type="spellStart"/>
      <w:r w:rsidR="00B27B4B" w:rsidRPr="00E82E1F">
        <w:rPr>
          <w:sz w:val="24"/>
          <w:szCs w:val="24"/>
        </w:rPr>
        <w:t>Enriques</w:t>
      </w:r>
      <w:proofErr w:type="spellEnd"/>
      <w:r w:rsidR="00B27B4B" w:rsidRPr="00E82E1F">
        <w:rPr>
          <w:sz w:val="24"/>
          <w:szCs w:val="24"/>
        </w:rPr>
        <w:t xml:space="preserve">, Henry B. </w:t>
      </w:r>
      <w:proofErr w:type="spellStart"/>
      <w:r w:rsidR="00B27B4B" w:rsidRPr="00E82E1F">
        <w:rPr>
          <w:sz w:val="24"/>
          <w:szCs w:val="24"/>
        </w:rPr>
        <w:t>Hansmann</w:t>
      </w:r>
      <w:proofErr w:type="spellEnd"/>
      <w:r w:rsidR="00B27B4B" w:rsidRPr="00E82E1F">
        <w:rPr>
          <w:sz w:val="24"/>
          <w:szCs w:val="24"/>
        </w:rPr>
        <w:t xml:space="preserve">, </w:t>
      </w:r>
      <w:proofErr w:type="spellStart"/>
      <w:r w:rsidR="00B27B4B" w:rsidRPr="00E82E1F">
        <w:rPr>
          <w:sz w:val="24"/>
          <w:szCs w:val="24"/>
        </w:rPr>
        <w:t>Gérard</w:t>
      </w:r>
      <w:proofErr w:type="spellEnd"/>
      <w:r w:rsidR="00B27B4B" w:rsidRPr="00E82E1F">
        <w:rPr>
          <w:sz w:val="24"/>
          <w:szCs w:val="24"/>
        </w:rPr>
        <w:t xml:space="preserve"> </w:t>
      </w:r>
      <w:proofErr w:type="spellStart"/>
      <w:r w:rsidR="00B27B4B" w:rsidRPr="00E82E1F">
        <w:rPr>
          <w:sz w:val="24"/>
          <w:szCs w:val="24"/>
        </w:rPr>
        <w:t>Hertig</w:t>
      </w:r>
      <w:proofErr w:type="spellEnd"/>
      <w:r w:rsidR="00B27B4B" w:rsidRPr="00E82E1F">
        <w:rPr>
          <w:sz w:val="24"/>
          <w:szCs w:val="24"/>
        </w:rPr>
        <w:t xml:space="preserve">, Klaus J. </w:t>
      </w:r>
      <w:proofErr w:type="spellStart"/>
      <w:r w:rsidR="00B27B4B" w:rsidRPr="00E82E1F">
        <w:rPr>
          <w:sz w:val="24"/>
          <w:szCs w:val="24"/>
        </w:rPr>
        <w:t>Hopt</w:t>
      </w:r>
      <w:proofErr w:type="spellEnd"/>
      <w:r w:rsidR="00B27B4B" w:rsidRPr="00E82E1F">
        <w:rPr>
          <w:sz w:val="24"/>
          <w:szCs w:val="24"/>
        </w:rPr>
        <w:t>, Hideki Kanda, and Edward B. Rock.</w:t>
      </w:r>
      <w:r w:rsidR="00B27B4B" w:rsidRPr="00E82E1F">
        <w:rPr>
          <w:i/>
          <w:sz w:val="24"/>
          <w:szCs w:val="24"/>
        </w:rPr>
        <w:t xml:space="preserve"> The Anatomy of Corporate Law: A Comparative and Functional Approach</w:t>
      </w:r>
      <w:r w:rsidR="00B27B4B" w:rsidRPr="00E82E1F">
        <w:rPr>
          <w:sz w:val="24"/>
          <w:szCs w:val="24"/>
        </w:rPr>
        <w:t>. Oxford: Oxford University Press, 2011.</w:t>
      </w:r>
    </w:p>
    <w:p w:rsidR="00B27B4B" w:rsidRPr="00E82E1F" w:rsidRDefault="005805FB" w:rsidP="00E07BF9">
      <w:pPr>
        <w:spacing w:beforeLines="100"/>
        <w:mirrorIndents/>
        <w:rPr>
          <w:sz w:val="24"/>
          <w:szCs w:val="24"/>
        </w:rPr>
      </w:pPr>
      <w:r>
        <w:rPr>
          <w:rFonts w:hint="eastAsia"/>
          <w:sz w:val="24"/>
          <w:szCs w:val="24"/>
        </w:rPr>
        <w:t xml:space="preserve">[38] </w:t>
      </w:r>
      <w:r w:rsidR="00B27B4B" w:rsidRPr="00E82E1F">
        <w:rPr>
          <w:sz w:val="24"/>
          <w:szCs w:val="24"/>
        </w:rPr>
        <w:t xml:space="preserve">La </w:t>
      </w:r>
      <w:proofErr w:type="spellStart"/>
      <w:r w:rsidR="00B27B4B" w:rsidRPr="00E82E1F">
        <w:rPr>
          <w:sz w:val="24"/>
          <w:szCs w:val="24"/>
        </w:rPr>
        <w:t>Porta</w:t>
      </w:r>
      <w:proofErr w:type="spellEnd"/>
      <w:r w:rsidR="00B27B4B" w:rsidRPr="00E82E1F">
        <w:rPr>
          <w:sz w:val="24"/>
          <w:szCs w:val="24"/>
        </w:rPr>
        <w:t xml:space="preserve">, </w:t>
      </w:r>
      <w:proofErr w:type="gramStart"/>
      <w:r w:rsidR="00B27B4B" w:rsidRPr="00E82E1F">
        <w:rPr>
          <w:sz w:val="24"/>
          <w:szCs w:val="24"/>
        </w:rPr>
        <w:t>Rafael ,</w:t>
      </w:r>
      <w:proofErr w:type="gramEnd"/>
      <w:r w:rsidR="00B27B4B" w:rsidRPr="00E82E1F">
        <w:rPr>
          <w:sz w:val="24"/>
          <w:szCs w:val="24"/>
        </w:rPr>
        <w:t xml:space="preserve"> Florencio Lopez-de-</w:t>
      </w:r>
      <w:proofErr w:type="spellStart"/>
      <w:r w:rsidR="00B27B4B" w:rsidRPr="00E82E1F">
        <w:rPr>
          <w:sz w:val="24"/>
          <w:szCs w:val="24"/>
        </w:rPr>
        <w:t>Silanes</w:t>
      </w:r>
      <w:proofErr w:type="spellEnd"/>
      <w:r w:rsidR="00B27B4B" w:rsidRPr="00E82E1F">
        <w:rPr>
          <w:sz w:val="24"/>
          <w:szCs w:val="24"/>
        </w:rPr>
        <w:t xml:space="preserve"> and Andrei </w:t>
      </w:r>
      <w:proofErr w:type="spellStart"/>
      <w:r w:rsidR="00B27B4B" w:rsidRPr="00E82E1F">
        <w:rPr>
          <w:sz w:val="24"/>
          <w:szCs w:val="24"/>
        </w:rPr>
        <w:t>Shleifer</w:t>
      </w:r>
      <w:proofErr w:type="spellEnd"/>
      <w:r w:rsidR="00B27B4B" w:rsidRPr="00E82E1F">
        <w:rPr>
          <w:sz w:val="24"/>
          <w:szCs w:val="24"/>
        </w:rPr>
        <w:t xml:space="preserve">. </w:t>
      </w:r>
      <w:proofErr w:type="gramStart"/>
      <w:r w:rsidR="00B27B4B" w:rsidRPr="00E82E1F">
        <w:rPr>
          <w:sz w:val="24"/>
          <w:szCs w:val="24"/>
        </w:rPr>
        <w:t>"The Economic Consequences of Legal Origins."</w:t>
      </w:r>
      <w:proofErr w:type="gramEnd"/>
      <w:r w:rsidR="00B27B4B" w:rsidRPr="00E82E1F">
        <w:rPr>
          <w:sz w:val="24"/>
          <w:szCs w:val="24"/>
        </w:rPr>
        <w:t xml:space="preserve"> </w:t>
      </w:r>
      <w:r w:rsidR="00B27B4B" w:rsidRPr="00E82E1F">
        <w:rPr>
          <w:i/>
          <w:sz w:val="24"/>
          <w:szCs w:val="24"/>
        </w:rPr>
        <w:t>Journal of Economic Literature</w:t>
      </w:r>
      <w:r w:rsidR="00B27B4B" w:rsidRPr="00E82E1F">
        <w:rPr>
          <w:sz w:val="24"/>
          <w:szCs w:val="24"/>
        </w:rPr>
        <w:t xml:space="preserve"> 46, no. 2 (2008): 285-332.</w:t>
      </w:r>
    </w:p>
    <w:p w:rsidR="00B27B4B" w:rsidRPr="00E82E1F" w:rsidRDefault="005805FB" w:rsidP="00E07BF9">
      <w:pPr>
        <w:spacing w:beforeLines="100"/>
        <w:mirrorIndents/>
        <w:rPr>
          <w:sz w:val="24"/>
          <w:szCs w:val="24"/>
        </w:rPr>
      </w:pPr>
      <w:r>
        <w:rPr>
          <w:rFonts w:hint="eastAsia"/>
          <w:sz w:val="24"/>
          <w:szCs w:val="24"/>
        </w:rPr>
        <w:t xml:space="preserve">[39] </w:t>
      </w:r>
      <w:r w:rsidR="00B27B4B" w:rsidRPr="00E82E1F">
        <w:rPr>
          <w:sz w:val="24"/>
          <w:szCs w:val="24"/>
        </w:rPr>
        <w:t>———. "What Works in Securities Laws</w:t>
      </w:r>
      <w:proofErr w:type="gramStart"/>
      <w:r w:rsidR="00B27B4B" w:rsidRPr="00E82E1F">
        <w:rPr>
          <w:sz w:val="24"/>
          <w:szCs w:val="24"/>
        </w:rPr>
        <w:t>?</w:t>
      </w:r>
      <w:r w:rsidR="00C01F6D" w:rsidRPr="00E82E1F">
        <w:rPr>
          <w:sz w:val="24"/>
          <w:szCs w:val="24"/>
        </w:rPr>
        <w:t>.</w:t>
      </w:r>
      <w:proofErr w:type="gramEnd"/>
      <w:r w:rsidR="00C01F6D" w:rsidRPr="00E82E1F">
        <w:rPr>
          <w:sz w:val="24"/>
          <w:szCs w:val="24"/>
        </w:rPr>
        <w:t>"</w:t>
      </w:r>
      <w:r w:rsidR="00B27B4B" w:rsidRPr="00E82E1F">
        <w:rPr>
          <w:sz w:val="24"/>
          <w:szCs w:val="24"/>
        </w:rPr>
        <w:t xml:space="preserve"> </w:t>
      </w:r>
      <w:r w:rsidR="00B27B4B" w:rsidRPr="00E82E1F">
        <w:rPr>
          <w:i/>
          <w:sz w:val="24"/>
          <w:szCs w:val="24"/>
        </w:rPr>
        <w:t>The Journal of Finance</w:t>
      </w:r>
      <w:r w:rsidR="00B27B4B" w:rsidRPr="00E82E1F">
        <w:rPr>
          <w:sz w:val="24"/>
          <w:szCs w:val="24"/>
        </w:rPr>
        <w:t xml:space="preserve"> 61, no. 1 (2006): 1-32.</w:t>
      </w:r>
    </w:p>
    <w:p w:rsidR="00B27B4B" w:rsidRPr="00E82E1F" w:rsidRDefault="005805FB" w:rsidP="00E07BF9">
      <w:pPr>
        <w:spacing w:beforeLines="100"/>
        <w:mirrorIndents/>
        <w:rPr>
          <w:sz w:val="24"/>
          <w:szCs w:val="24"/>
        </w:rPr>
      </w:pPr>
      <w:r>
        <w:rPr>
          <w:rFonts w:hint="eastAsia"/>
          <w:sz w:val="24"/>
          <w:szCs w:val="24"/>
        </w:rPr>
        <w:t xml:space="preserve">[40] </w:t>
      </w:r>
      <w:r w:rsidR="00B27B4B" w:rsidRPr="00E82E1F">
        <w:rPr>
          <w:sz w:val="24"/>
          <w:szCs w:val="24"/>
        </w:rPr>
        <w:t xml:space="preserve">La </w:t>
      </w:r>
      <w:proofErr w:type="spellStart"/>
      <w:r w:rsidR="00B27B4B" w:rsidRPr="00E82E1F">
        <w:rPr>
          <w:sz w:val="24"/>
          <w:szCs w:val="24"/>
        </w:rPr>
        <w:t>Porta</w:t>
      </w:r>
      <w:proofErr w:type="spellEnd"/>
      <w:r w:rsidR="00B27B4B" w:rsidRPr="00E82E1F">
        <w:rPr>
          <w:sz w:val="24"/>
          <w:szCs w:val="24"/>
        </w:rPr>
        <w:t xml:space="preserve">, Rafael, </w:t>
      </w:r>
      <w:r w:rsidR="00043DBA" w:rsidRPr="00E82E1F">
        <w:rPr>
          <w:sz w:val="24"/>
          <w:szCs w:val="24"/>
        </w:rPr>
        <w:t>Florencio Lopez-de-</w:t>
      </w:r>
      <w:proofErr w:type="spellStart"/>
      <w:r w:rsidR="00043DBA" w:rsidRPr="00E82E1F">
        <w:rPr>
          <w:sz w:val="24"/>
          <w:szCs w:val="24"/>
        </w:rPr>
        <w:t>Silanes</w:t>
      </w:r>
      <w:proofErr w:type="spellEnd"/>
      <w:r w:rsidR="00B27B4B" w:rsidRPr="00E82E1F">
        <w:rPr>
          <w:sz w:val="24"/>
          <w:szCs w:val="24"/>
        </w:rPr>
        <w:t xml:space="preserve">, Andrei </w:t>
      </w:r>
      <w:proofErr w:type="spellStart"/>
      <w:r w:rsidR="00B27B4B" w:rsidRPr="00E82E1F">
        <w:rPr>
          <w:sz w:val="24"/>
          <w:szCs w:val="24"/>
        </w:rPr>
        <w:t>Shleifer</w:t>
      </w:r>
      <w:proofErr w:type="spellEnd"/>
      <w:r w:rsidR="00B27B4B" w:rsidRPr="00E82E1F">
        <w:rPr>
          <w:sz w:val="24"/>
          <w:szCs w:val="24"/>
        </w:rPr>
        <w:t xml:space="preserve"> and Robert W. </w:t>
      </w:r>
      <w:proofErr w:type="spellStart"/>
      <w:r w:rsidR="00C01F6D" w:rsidRPr="00E82E1F">
        <w:rPr>
          <w:sz w:val="24"/>
          <w:szCs w:val="24"/>
        </w:rPr>
        <w:t>Vishny</w:t>
      </w:r>
      <w:proofErr w:type="spellEnd"/>
      <w:r w:rsidR="00C01F6D" w:rsidRPr="00E82E1F">
        <w:rPr>
          <w:sz w:val="24"/>
          <w:szCs w:val="24"/>
        </w:rPr>
        <w:t xml:space="preserve">. </w:t>
      </w:r>
      <w:proofErr w:type="gramStart"/>
      <w:r w:rsidR="00C01F6D" w:rsidRPr="00E82E1F">
        <w:rPr>
          <w:sz w:val="24"/>
          <w:szCs w:val="24"/>
        </w:rPr>
        <w:t>"Law and Finance."</w:t>
      </w:r>
      <w:proofErr w:type="gramEnd"/>
      <w:r w:rsidR="00B27B4B" w:rsidRPr="00E82E1F">
        <w:rPr>
          <w:sz w:val="24"/>
          <w:szCs w:val="24"/>
        </w:rPr>
        <w:t xml:space="preserve"> </w:t>
      </w:r>
      <w:r w:rsidR="00B27B4B" w:rsidRPr="00E82E1F">
        <w:rPr>
          <w:i/>
          <w:sz w:val="24"/>
          <w:szCs w:val="24"/>
        </w:rPr>
        <w:t>Journal of Political Economy</w:t>
      </w:r>
      <w:r w:rsidR="00B27B4B" w:rsidRPr="00E82E1F">
        <w:rPr>
          <w:sz w:val="24"/>
          <w:szCs w:val="24"/>
        </w:rPr>
        <w:t xml:space="preserve"> 106, no. 6 (1998): 1113-55.</w:t>
      </w:r>
    </w:p>
    <w:p w:rsidR="00B27B4B" w:rsidRPr="00E82E1F" w:rsidRDefault="005805FB" w:rsidP="00E07BF9">
      <w:pPr>
        <w:spacing w:beforeLines="100"/>
        <w:mirrorIndents/>
        <w:rPr>
          <w:sz w:val="24"/>
          <w:szCs w:val="24"/>
        </w:rPr>
      </w:pPr>
      <w:r>
        <w:rPr>
          <w:rFonts w:hint="eastAsia"/>
          <w:sz w:val="24"/>
          <w:szCs w:val="24"/>
        </w:rPr>
        <w:t xml:space="preserve">[41] </w:t>
      </w:r>
      <w:r w:rsidR="00B27B4B" w:rsidRPr="00E82E1F">
        <w:rPr>
          <w:sz w:val="24"/>
          <w:szCs w:val="24"/>
        </w:rPr>
        <w:t xml:space="preserve">———. </w:t>
      </w:r>
      <w:proofErr w:type="gramStart"/>
      <w:r w:rsidR="00B27B4B" w:rsidRPr="00E82E1F">
        <w:rPr>
          <w:sz w:val="24"/>
          <w:szCs w:val="24"/>
        </w:rPr>
        <w:t>"The Quality of Government."</w:t>
      </w:r>
      <w:proofErr w:type="gramEnd"/>
      <w:r w:rsidR="00B27B4B" w:rsidRPr="00E82E1F">
        <w:rPr>
          <w:sz w:val="24"/>
          <w:szCs w:val="24"/>
        </w:rPr>
        <w:t xml:space="preserve"> </w:t>
      </w:r>
      <w:r w:rsidR="00B27B4B" w:rsidRPr="00E82E1F">
        <w:rPr>
          <w:i/>
          <w:sz w:val="24"/>
          <w:szCs w:val="24"/>
        </w:rPr>
        <w:t>Journal of Law, Economics, and Organization</w:t>
      </w:r>
      <w:r w:rsidR="00B27B4B" w:rsidRPr="00E82E1F">
        <w:rPr>
          <w:sz w:val="24"/>
          <w:szCs w:val="24"/>
        </w:rPr>
        <w:t xml:space="preserve"> 15, no. 1 (1999): 222-79.</w:t>
      </w:r>
    </w:p>
    <w:p w:rsidR="00B27B4B" w:rsidRPr="00E82E1F" w:rsidRDefault="005805FB" w:rsidP="00E07BF9">
      <w:pPr>
        <w:spacing w:beforeLines="100"/>
        <w:mirrorIndents/>
        <w:rPr>
          <w:sz w:val="24"/>
          <w:szCs w:val="24"/>
        </w:rPr>
      </w:pPr>
      <w:r>
        <w:rPr>
          <w:rFonts w:hint="eastAsia"/>
          <w:sz w:val="24"/>
          <w:szCs w:val="24"/>
        </w:rPr>
        <w:t xml:space="preserve">[42] </w:t>
      </w:r>
      <w:proofErr w:type="spellStart"/>
      <w:r w:rsidR="00B27B4B" w:rsidRPr="00E82E1F">
        <w:rPr>
          <w:sz w:val="24"/>
          <w:szCs w:val="24"/>
        </w:rPr>
        <w:t>Leamer</w:t>
      </w:r>
      <w:proofErr w:type="spellEnd"/>
      <w:r w:rsidR="00B27B4B" w:rsidRPr="00E82E1F">
        <w:rPr>
          <w:sz w:val="24"/>
          <w:szCs w:val="24"/>
        </w:rPr>
        <w:t>, Edward E. "</w:t>
      </w:r>
      <w:proofErr w:type="gramStart"/>
      <w:r w:rsidR="00B27B4B" w:rsidRPr="00E82E1F">
        <w:rPr>
          <w:sz w:val="24"/>
          <w:szCs w:val="24"/>
        </w:rPr>
        <w:t>Let's</w:t>
      </w:r>
      <w:proofErr w:type="gramEnd"/>
      <w:r w:rsidR="00B27B4B" w:rsidRPr="00E82E1F">
        <w:rPr>
          <w:sz w:val="24"/>
          <w:szCs w:val="24"/>
        </w:rPr>
        <w:t xml:space="preserve"> Take the Con out of Econometrics." </w:t>
      </w:r>
      <w:r w:rsidR="00B27B4B" w:rsidRPr="00E82E1F">
        <w:rPr>
          <w:i/>
          <w:sz w:val="24"/>
          <w:szCs w:val="24"/>
        </w:rPr>
        <w:t>The American Economic Review</w:t>
      </w:r>
      <w:r w:rsidR="00B27B4B" w:rsidRPr="00E82E1F">
        <w:rPr>
          <w:sz w:val="24"/>
          <w:szCs w:val="24"/>
        </w:rPr>
        <w:t xml:space="preserve"> 73, no. 1 (1983): 31-43.</w:t>
      </w:r>
    </w:p>
    <w:p w:rsidR="00B27B4B" w:rsidRPr="00E82E1F" w:rsidRDefault="005805FB" w:rsidP="00E07BF9">
      <w:pPr>
        <w:spacing w:beforeLines="100"/>
        <w:mirrorIndents/>
        <w:rPr>
          <w:sz w:val="24"/>
          <w:szCs w:val="24"/>
        </w:rPr>
      </w:pPr>
      <w:r>
        <w:rPr>
          <w:rFonts w:hint="eastAsia"/>
          <w:sz w:val="24"/>
          <w:szCs w:val="24"/>
        </w:rPr>
        <w:lastRenderedPageBreak/>
        <w:t xml:space="preserve">[43] </w:t>
      </w:r>
      <w:r w:rsidR="00B27B4B" w:rsidRPr="00E82E1F">
        <w:rPr>
          <w:sz w:val="24"/>
          <w:szCs w:val="24"/>
        </w:rPr>
        <w:t xml:space="preserve">———. "Sensitivity Analyses Would Help." </w:t>
      </w:r>
      <w:r w:rsidR="00B27B4B" w:rsidRPr="00E82E1F">
        <w:rPr>
          <w:i/>
          <w:sz w:val="24"/>
          <w:szCs w:val="24"/>
        </w:rPr>
        <w:t>The American Economic Review</w:t>
      </w:r>
      <w:r w:rsidR="00B27B4B" w:rsidRPr="00E82E1F">
        <w:rPr>
          <w:sz w:val="24"/>
          <w:szCs w:val="24"/>
        </w:rPr>
        <w:t xml:space="preserve"> 75, no. 3 (1985): 308-13.</w:t>
      </w:r>
    </w:p>
    <w:p w:rsidR="00B27B4B" w:rsidRPr="00E82E1F" w:rsidRDefault="005805FB" w:rsidP="00E07BF9">
      <w:pPr>
        <w:spacing w:beforeLines="100"/>
        <w:mirrorIndents/>
        <w:rPr>
          <w:sz w:val="24"/>
          <w:szCs w:val="24"/>
        </w:rPr>
      </w:pPr>
      <w:r>
        <w:rPr>
          <w:rFonts w:hint="eastAsia"/>
          <w:sz w:val="24"/>
          <w:szCs w:val="24"/>
        </w:rPr>
        <w:t xml:space="preserve">[44] </w:t>
      </w:r>
      <w:r w:rsidR="00B27B4B" w:rsidRPr="00E82E1F">
        <w:rPr>
          <w:sz w:val="24"/>
          <w:szCs w:val="24"/>
        </w:rPr>
        <w:t xml:space="preserve">Levine, Ross and David </w:t>
      </w:r>
      <w:proofErr w:type="spellStart"/>
      <w:r w:rsidR="00B27B4B" w:rsidRPr="00E82E1F">
        <w:rPr>
          <w:sz w:val="24"/>
          <w:szCs w:val="24"/>
        </w:rPr>
        <w:t>Renelt</w:t>
      </w:r>
      <w:proofErr w:type="spellEnd"/>
      <w:r w:rsidR="00B27B4B" w:rsidRPr="00E82E1F">
        <w:rPr>
          <w:sz w:val="24"/>
          <w:szCs w:val="24"/>
        </w:rPr>
        <w:t xml:space="preserve">. </w:t>
      </w:r>
      <w:proofErr w:type="gramStart"/>
      <w:r w:rsidR="00B27B4B" w:rsidRPr="00E82E1F">
        <w:rPr>
          <w:sz w:val="24"/>
          <w:szCs w:val="24"/>
        </w:rPr>
        <w:t>"A Sensitivity Analysis of Cross-Country Growth Regressions."</w:t>
      </w:r>
      <w:proofErr w:type="gramEnd"/>
      <w:r w:rsidR="00B27B4B" w:rsidRPr="00E82E1F">
        <w:rPr>
          <w:sz w:val="24"/>
          <w:szCs w:val="24"/>
        </w:rPr>
        <w:t xml:space="preserve"> </w:t>
      </w:r>
      <w:r w:rsidR="00B27B4B" w:rsidRPr="00E82E1F">
        <w:rPr>
          <w:i/>
          <w:sz w:val="24"/>
          <w:szCs w:val="24"/>
        </w:rPr>
        <w:t>The American Economic Review</w:t>
      </w:r>
      <w:r w:rsidR="00B27B4B" w:rsidRPr="00E82E1F">
        <w:rPr>
          <w:sz w:val="24"/>
          <w:szCs w:val="24"/>
        </w:rPr>
        <w:t xml:space="preserve"> 82, no. 4 (1992): 942-63.</w:t>
      </w:r>
    </w:p>
    <w:p w:rsidR="00B27B4B" w:rsidRPr="00E82E1F" w:rsidRDefault="005805FB" w:rsidP="00E07BF9">
      <w:pPr>
        <w:spacing w:beforeLines="100"/>
        <w:mirrorIndents/>
        <w:rPr>
          <w:sz w:val="24"/>
          <w:szCs w:val="24"/>
        </w:rPr>
      </w:pPr>
      <w:r>
        <w:rPr>
          <w:rFonts w:hint="eastAsia"/>
          <w:sz w:val="24"/>
          <w:szCs w:val="24"/>
        </w:rPr>
        <w:t xml:space="preserve">[45] </w:t>
      </w:r>
      <w:r w:rsidR="00B27B4B" w:rsidRPr="00E82E1F">
        <w:rPr>
          <w:sz w:val="24"/>
          <w:szCs w:val="24"/>
        </w:rPr>
        <w:t xml:space="preserve">Levine, Ross and Sara </w:t>
      </w:r>
      <w:proofErr w:type="spellStart"/>
      <w:r w:rsidR="00B27B4B" w:rsidRPr="00E82E1F">
        <w:rPr>
          <w:sz w:val="24"/>
          <w:szCs w:val="24"/>
        </w:rPr>
        <w:t>Zervos</w:t>
      </w:r>
      <w:proofErr w:type="spellEnd"/>
      <w:r w:rsidR="00B27B4B" w:rsidRPr="00E82E1F">
        <w:rPr>
          <w:sz w:val="24"/>
          <w:szCs w:val="24"/>
        </w:rPr>
        <w:t xml:space="preserve">. </w:t>
      </w:r>
      <w:proofErr w:type="gramStart"/>
      <w:r w:rsidR="00B27B4B" w:rsidRPr="00E82E1F">
        <w:rPr>
          <w:sz w:val="24"/>
          <w:szCs w:val="24"/>
        </w:rPr>
        <w:t>"Stock Markets, Banks, and Economic Growth."</w:t>
      </w:r>
      <w:proofErr w:type="gramEnd"/>
      <w:r w:rsidR="00B27B4B" w:rsidRPr="00E82E1F">
        <w:rPr>
          <w:sz w:val="24"/>
          <w:szCs w:val="24"/>
        </w:rPr>
        <w:t xml:space="preserve"> </w:t>
      </w:r>
      <w:r w:rsidR="00B27B4B" w:rsidRPr="00E82E1F">
        <w:rPr>
          <w:i/>
          <w:sz w:val="24"/>
          <w:szCs w:val="24"/>
        </w:rPr>
        <w:t>The American Economic Review</w:t>
      </w:r>
      <w:r w:rsidR="00B27B4B" w:rsidRPr="00E82E1F">
        <w:rPr>
          <w:sz w:val="24"/>
          <w:szCs w:val="24"/>
        </w:rPr>
        <w:t xml:space="preserve"> 88, no. 3 (1998): 537-58.</w:t>
      </w:r>
    </w:p>
    <w:p w:rsidR="00B27B4B" w:rsidRPr="00E82E1F" w:rsidRDefault="005805FB" w:rsidP="00E07BF9">
      <w:pPr>
        <w:spacing w:beforeLines="100"/>
        <w:mirrorIndents/>
        <w:rPr>
          <w:sz w:val="24"/>
          <w:szCs w:val="24"/>
        </w:rPr>
      </w:pPr>
      <w:r>
        <w:rPr>
          <w:rFonts w:hint="eastAsia"/>
          <w:sz w:val="24"/>
          <w:szCs w:val="24"/>
        </w:rPr>
        <w:t xml:space="preserve">[46] </w:t>
      </w:r>
      <w:proofErr w:type="gramStart"/>
      <w:r w:rsidR="00B27B4B" w:rsidRPr="00E82E1F">
        <w:rPr>
          <w:sz w:val="24"/>
          <w:szCs w:val="24"/>
        </w:rPr>
        <w:t>Lindsey ,</w:t>
      </w:r>
      <w:proofErr w:type="gramEnd"/>
      <w:r w:rsidR="00B27B4B" w:rsidRPr="00E82E1F">
        <w:rPr>
          <w:sz w:val="24"/>
          <w:szCs w:val="24"/>
        </w:rPr>
        <w:t xml:space="preserve"> Charles and Simon </w:t>
      </w:r>
      <w:proofErr w:type="spellStart"/>
      <w:r w:rsidR="00B27B4B" w:rsidRPr="00E82E1F">
        <w:rPr>
          <w:sz w:val="24"/>
          <w:szCs w:val="24"/>
        </w:rPr>
        <w:t>Sheather</w:t>
      </w:r>
      <w:proofErr w:type="spellEnd"/>
      <w:r w:rsidR="00B27B4B" w:rsidRPr="00E82E1F">
        <w:rPr>
          <w:sz w:val="24"/>
          <w:szCs w:val="24"/>
        </w:rPr>
        <w:t xml:space="preserve">. </w:t>
      </w:r>
      <w:proofErr w:type="gramStart"/>
      <w:r w:rsidR="00B27B4B" w:rsidRPr="00E82E1F">
        <w:rPr>
          <w:sz w:val="24"/>
          <w:szCs w:val="24"/>
        </w:rPr>
        <w:t>"Variable Selection in Linear Regression."</w:t>
      </w:r>
      <w:proofErr w:type="gramEnd"/>
      <w:r w:rsidR="00B27B4B" w:rsidRPr="00E82E1F">
        <w:rPr>
          <w:sz w:val="24"/>
          <w:szCs w:val="24"/>
        </w:rPr>
        <w:t xml:space="preserve"> </w:t>
      </w:r>
      <w:proofErr w:type="gramStart"/>
      <w:r w:rsidR="00B27B4B" w:rsidRPr="00E82E1F">
        <w:rPr>
          <w:i/>
          <w:sz w:val="24"/>
          <w:szCs w:val="24"/>
        </w:rPr>
        <w:t xml:space="preserve">The </w:t>
      </w:r>
      <w:proofErr w:type="spellStart"/>
      <w:r w:rsidR="00B27B4B" w:rsidRPr="00E82E1F">
        <w:rPr>
          <w:i/>
          <w:sz w:val="24"/>
          <w:szCs w:val="24"/>
        </w:rPr>
        <w:t>Stata</w:t>
      </w:r>
      <w:proofErr w:type="spellEnd"/>
      <w:r w:rsidR="00B27B4B" w:rsidRPr="00E82E1F">
        <w:rPr>
          <w:i/>
          <w:sz w:val="24"/>
          <w:szCs w:val="24"/>
        </w:rPr>
        <w:t xml:space="preserve"> Journal</w:t>
      </w:r>
      <w:r w:rsidR="00B27B4B" w:rsidRPr="00E82E1F">
        <w:rPr>
          <w:sz w:val="24"/>
          <w:szCs w:val="24"/>
        </w:rPr>
        <w:t xml:space="preserve"> 10, no. 4 (2010).</w:t>
      </w:r>
      <w:proofErr w:type="gramEnd"/>
    </w:p>
    <w:p w:rsidR="00B27B4B" w:rsidRPr="00E82E1F" w:rsidRDefault="005805FB" w:rsidP="00E07BF9">
      <w:pPr>
        <w:spacing w:beforeLines="100"/>
        <w:mirrorIndents/>
        <w:rPr>
          <w:sz w:val="24"/>
          <w:szCs w:val="24"/>
        </w:rPr>
      </w:pPr>
      <w:r>
        <w:rPr>
          <w:rFonts w:hint="eastAsia"/>
          <w:sz w:val="24"/>
          <w:szCs w:val="24"/>
        </w:rPr>
        <w:t xml:space="preserve">[47] </w:t>
      </w:r>
      <w:r w:rsidR="00B27B4B" w:rsidRPr="00E82E1F">
        <w:rPr>
          <w:sz w:val="24"/>
          <w:szCs w:val="24"/>
        </w:rPr>
        <w:t xml:space="preserve">Magnus, Jan R., Owen Powell and Patricia </w:t>
      </w:r>
      <w:proofErr w:type="spellStart"/>
      <w:r w:rsidR="00B27B4B" w:rsidRPr="00E82E1F">
        <w:rPr>
          <w:sz w:val="24"/>
          <w:szCs w:val="24"/>
        </w:rPr>
        <w:t>Prüfer</w:t>
      </w:r>
      <w:proofErr w:type="spellEnd"/>
      <w:r w:rsidR="00B27B4B" w:rsidRPr="00E82E1F">
        <w:rPr>
          <w:sz w:val="24"/>
          <w:szCs w:val="24"/>
        </w:rPr>
        <w:t xml:space="preserve">. </w:t>
      </w:r>
      <w:proofErr w:type="gramStart"/>
      <w:r w:rsidR="00B27B4B" w:rsidRPr="00E82E1F">
        <w:rPr>
          <w:sz w:val="24"/>
          <w:szCs w:val="24"/>
        </w:rPr>
        <w:t>"A Comparison of Two Model Averaging Techniques with an Application to Growth Empirics."</w:t>
      </w:r>
      <w:proofErr w:type="gramEnd"/>
      <w:r w:rsidR="00B27B4B" w:rsidRPr="00E82E1F">
        <w:rPr>
          <w:i/>
          <w:sz w:val="24"/>
          <w:szCs w:val="24"/>
        </w:rPr>
        <w:t xml:space="preserve"> Journal of Econometrics</w:t>
      </w:r>
      <w:r w:rsidR="00B27B4B" w:rsidRPr="00E82E1F">
        <w:rPr>
          <w:sz w:val="24"/>
          <w:szCs w:val="24"/>
        </w:rPr>
        <w:t xml:space="preserve"> 154, no. 2 (2// 2010): 139-53.</w:t>
      </w:r>
    </w:p>
    <w:p w:rsidR="00B27B4B" w:rsidRPr="00E82E1F" w:rsidRDefault="005805FB" w:rsidP="00E07BF9">
      <w:pPr>
        <w:spacing w:beforeLines="100"/>
        <w:mirrorIndents/>
        <w:rPr>
          <w:sz w:val="24"/>
          <w:szCs w:val="24"/>
        </w:rPr>
      </w:pPr>
      <w:r>
        <w:rPr>
          <w:rFonts w:hint="eastAsia"/>
          <w:sz w:val="24"/>
          <w:szCs w:val="24"/>
        </w:rPr>
        <w:t xml:space="preserve">[48] </w:t>
      </w:r>
      <w:r w:rsidR="00B27B4B" w:rsidRPr="00E82E1F">
        <w:rPr>
          <w:sz w:val="24"/>
          <w:szCs w:val="24"/>
        </w:rPr>
        <w:t xml:space="preserve">Mahoney, Paul G. "The Common Law and Economic Growth: Hayek Might Be Right." </w:t>
      </w:r>
      <w:r w:rsidR="00B27B4B" w:rsidRPr="00E82E1F">
        <w:rPr>
          <w:i/>
          <w:sz w:val="24"/>
          <w:szCs w:val="24"/>
        </w:rPr>
        <w:t>The Journal of Legal Studies</w:t>
      </w:r>
      <w:r w:rsidR="00B27B4B" w:rsidRPr="00E82E1F">
        <w:rPr>
          <w:sz w:val="24"/>
          <w:szCs w:val="24"/>
        </w:rPr>
        <w:t xml:space="preserve"> 30, no. 2 (2001): 503-25.</w:t>
      </w:r>
    </w:p>
    <w:p w:rsidR="00B27B4B" w:rsidRPr="00E82E1F" w:rsidRDefault="005805FB" w:rsidP="00E07BF9">
      <w:pPr>
        <w:spacing w:beforeLines="100"/>
        <w:mirrorIndents/>
        <w:rPr>
          <w:sz w:val="24"/>
          <w:szCs w:val="24"/>
        </w:rPr>
      </w:pPr>
      <w:r>
        <w:rPr>
          <w:rFonts w:hint="eastAsia"/>
          <w:sz w:val="24"/>
          <w:szCs w:val="24"/>
        </w:rPr>
        <w:t xml:space="preserve">[49] </w:t>
      </w:r>
      <w:proofErr w:type="spellStart"/>
      <w:r w:rsidR="00B27B4B" w:rsidRPr="00E82E1F">
        <w:rPr>
          <w:sz w:val="24"/>
          <w:szCs w:val="24"/>
        </w:rPr>
        <w:t>Manne</w:t>
      </w:r>
      <w:proofErr w:type="spellEnd"/>
      <w:r w:rsidR="00B27B4B" w:rsidRPr="00E82E1F">
        <w:rPr>
          <w:sz w:val="24"/>
          <w:szCs w:val="24"/>
        </w:rPr>
        <w:t xml:space="preserve">, Henry. </w:t>
      </w:r>
      <w:proofErr w:type="gramStart"/>
      <w:r w:rsidR="00B27B4B" w:rsidRPr="00E82E1F">
        <w:rPr>
          <w:sz w:val="24"/>
          <w:szCs w:val="24"/>
        </w:rPr>
        <w:t>"Mergers and the Market for Corporate Control."</w:t>
      </w:r>
      <w:proofErr w:type="gramEnd"/>
      <w:r w:rsidR="00B27B4B" w:rsidRPr="00E82E1F">
        <w:rPr>
          <w:sz w:val="24"/>
          <w:szCs w:val="24"/>
        </w:rPr>
        <w:t xml:space="preserve"> </w:t>
      </w:r>
      <w:r w:rsidR="00B27B4B" w:rsidRPr="00E82E1F">
        <w:rPr>
          <w:i/>
          <w:sz w:val="24"/>
          <w:szCs w:val="24"/>
        </w:rPr>
        <w:t>Journal of Political Economy</w:t>
      </w:r>
      <w:r w:rsidR="00B27B4B" w:rsidRPr="00E82E1F">
        <w:rPr>
          <w:sz w:val="24"/>
          <w:szCs w:val="24"/>
        </w:rPr>
        <w:t>, 75 (1965): 110-126.</w:t>
      </w:r>
    </w:p>
    <w:p w:rsidR="00B27B4B" w:rsidRPr="00E82E1F" w:rsidRDefault="005805FB" w:rsidP="00E07BF9">
      <w:pPr>
        <w:spacing w:beforeLines="100"/>
        <w:mirrorIndents/>
        <w:rPr>
          <w:sz w:val="24"/>
          <w:szCs w:val="24"/>
        </w:rPr>
      </w:pPr>
      <w:r>
        <w:rPr>
          <w:rFonts w:hint="eastAsia"/>
          <w:sz w:val="24"/>
          <w:szCs w:val="24"/>
        </w:rPr>
        <w:t xml:space="preserve">[50] </w:t>
      </w:r>
      <w:proofErr w:type="spellStart"/>
      <w:r w:rsidR="00B27B4B" w:rsidRPr="00E82E1F">
        <w:rPr>
          <w:sz w:val="24"/>
          <w:szCs w:val="24"/>
        </w:rPr>
        <w:t>Martynova</w:t>
      </w:r>
      <w:proofErr w:type="spellEnd"/>
      <w:r w:rsidR="00B27B4B" w:rsidRPr="00E82E1F">
        <w:rPr>
          <w:sz w:val="24"/>
          <w:szCs w:val="24"/>
        </w:rPr>
        <w:t xml:space="preserve">, Marina and Luc </w:t>
      </w:r>
      <w:proofErr w:type="spellStart"/>
      <w:r w:rsidR="00B27B4B" w:rsidRPr="00E82E1F">
        <w:rPr>
          <w:sz w:val="24"/>
          <w:szCs w:val="24"/>
        </w:rPr>
        <w:t>Renneboog</w:t>
      </w:r>
      <w:proofErr w:type="spellEnd"/>
      <w:r w:rsidR="00B27B4B" w:rsidRPr="00E82E1F">
        <w:rPr>
          <w:sz w:val="24"/>
          <w:szCs w:val="24"/>
        </w:rPr>
        <w:t xml:space="preserve">. </w:t>
      </w:r>
      <w:proofErr w:type="gramStart"/>
      <w:r w:rsidR="00B27B4B" w:rsidRPr="00E82E1F">
        <w:rPr>
          <w:sz w:val="24"/>
          <w:szCs w:val="24"/>
        </w:rPr>
        <w:t>"Evidence on the International Evolution and Convergence of Corporate Governance Regulations."</w:t>
      </w:r>
      <w:proofErr w:type="gramEnd"/>
      <w:r w:rsidR="00B27B4B" w:rsidRPr="00E82E1F">
        <w:rPr>
          <w:sz w:val="24"/>
          <w:szCs w:val="24"/>
        </w:rPr>
        <w:t xml:space="preserve"> </w:t>
      </w:r>
      <w:r w:rsidR="00B27B4B" w:rsidRPr="00E82E1F">
        <w:rPr>
          <w:i/>
          <w:sz w:val="24"/>
          <w:szCs w:val="24"/>
        </w:rPr>
        <w:t>Journal of Corporate Finance</w:t>
      </w:r>
      <w:r w:rsidR="00B27B4B" w:rsidRPr="00E82E1F">
        <w:rPr>
          <w:sz w:val="24"/>
          <w:szCs w:val="24"/>
        </w:rPr>
        <w:t xml:space="preserve"> 17, no. 5 (2011): 1531-57.</w:t>
      </w:r>
    </w:p>
    <w:p w:rsidR="00B27B4B" w:rsidRPr="00E82E1F" w:rsidRDefault="005805FB" w:rsidP="00E07BF9">
      <w:pPr>
        <w:spacing w:beforeLines="100"/>
        <w:mirrorIndents/>
        <w:rPr>
          <w:sz w:val="24"/>
          <w:szCs w:val="24"/>
        </w:rPr>
      </w:pPr>
      <w:r>
        <w:rPr>
          <w:rFonts w:hint="eastAsia"/>
          <w:sz w:val="24"/>
          <w:szCs w:val="24"/>
        </w:rPr>
        <w:t xml:space="preserve">[51] </w:t>
      </w:r>
      <w:proofErr w:type="spellStart"/>
      <w:r w:rsidR="00B27B4B" w:rsidRPr="00E82E1F">
        <w:rPr>
          <w:sz w:val="24"/>
          <w:szCs w:val="24"/>
        </w:rPr>
        <w:t>Pagano</w:t>
      </w:r>
      <w:proofErr w:type="spellEnd"/>
      <w:r w:rsidR="00B27B4B" w:rsidRPr="00E82E1F">
        <w:rPr>
          <w:sz w:val="24"/>
          <w:szCs w:val="24"/>
        </w:rPr>
        <w:t xml:space="preserve">, Marco and Paolo </w:t>
      </w:r>
      <w:proofErr w:type="spellStart"/>
      <w:r w:rsidR="00B27B4B" w:rsidRPr="00E82E1F">
        <w:rPr>
          <w:sz w:val="24"/>
          <w:szCs w:val="24"/>
        </w:rPr>
        <w:t>Volpin</w:t>
      </w:r>
      <w:proofErr w:type="spellEnd"/>
      <w:r w:rsidR="00B27B4B" w:rsidRPr="00E82E1F">
        <w:rPr>
          <w:sz w:val="24"/>
          <w:szCs w:val="24"/>
        </w:rPr>
        <w:t xml:space="preserve">. </w:t>
      </w:r>
      <w:proofErr w:type="gramStart"/>
      <w:r w:rsidR="00B27B4B" w:rsidRPr="00E82E1F">
        <w:rPr>
          <w:sz w:val="24"/>
          <w:szCs w:val="24"/>
        </w:rPr>
        <w:t>"Alfred Marshall Lecture Shareholder Protection, Stock Market Development, and Politics."</w:t>
      </w:r>
      <w:proofErr w:type="gramEnd"/>
      <w:r w:rsidR="00B27B4B" w:rsidRPr="00E82E1F">
        <w:rPr>
          <w:sz w:val="24"/>
          <w:szCs w:val="24"/>
        </w:rPr>
        <w:t xml:space="preserve"> </w:t>
      </w:r>
      <w:r w:rsidR="00B27B4B" w:rsidRPr="00E82E1F">
        <w:rPr>
          <w:i/>
          <w:sz w:val="24"/>
          <w:szCs w:val="24"/>
        </w:rPr>
        <w:t>Journal of the European Economic Association</w:t>
      </w:r>
      <w:r w:rsidR="00B27B4B" w:rsidRPr="00E82E1F">
        <w:rPr>
          <w:sz w:val="24"/>
          <w:szCs w:val="24"/>
        </w:rPr>
        <w:t xml:space="preserve"> 4, no. 2-3 (2006): 315-41.</w:t>
      </w:r>
    </w:p>
    <w:p w:rsidR="00B27B4B" w:rsidRPr="00E82E1F" w:rsidRDefault="005805FB" w:rsidP="00E07BF9">
      <w:pPr>
        <w:spacing w:beforeLines="100"/>
        <w:mirrorIndents/>
        <w:rPr>
          <w:sz w:val="24"/>
          <w:szCs w:val="24"/>
        </w:rPr>
      </w:pPr>
      <w:r>
        <w:rPr>
          <w:rFonts w:hint="eastAsia"/>
          <w:sz w:val="24"/>
          <w:szCs w:val="24"/>
        </w:rPr>
        <w:t xml:space="preserve">[52] </w:t>
      </w:r>
      <w:proofErr w:type="spellStart"/>
      <w:r w:rsidR="00B27B4B" w:rsidRPr="00E82E1F">
        <w:rPr>
          <w:sz w:val="24"/>
          <w:szCs w:val="24"/>
        </w:rPr>
        <w:t>Raftery</w:t>
      </w:r>
      <w:proofErr w:type="spellEnd"/>
      <w:r w:rsidR="00B27B4B" w:rsidRPr="00E82E1F">
        <w:rPr>
          <w:sz w:val="24"/>
          <w:szCs w:val="24"/>
        </w:rPr>
        <w:t xml:space="preserve">, Adrian E., David Madigan and Jennifer A. </w:t>
      </w:r>
      <w:proofErr w:type="spellStart"/>
      <w:r w:rsidR="00B27B4B" w:rsidRPr="00E82E1F">
        <w:rPr>
          <w:sz w:val="24"/>
          <w:szCs w:val="24"/>
        </w:rPr>
        <w:t>Hoeting</w:t>
      </w:r>
      <w:proofErr w:type="spellEnd"/>
      <w:r w:rsidR="00B27B4B" w:rsidRPr="00E82E1F">
        <w:rPr>
          <w:sz w:val="24"/>
          <w:szCs w:val="24"/>
        </w:rPr>
        <w:t xml:space="preserve">. </w:t>
      </w:r>
      <w:proofErr w:type="gramStart"/>
      <w:r w:rsidR="00B27B4B" w:rsidRPr="00E82E1F">
        <w:rPr>
          <w:sz w:val="24"/>
          <w:szCs w:val="24"/>
        </w:rPr>
        <w:t>"Bayesian Model Averaging for Linear Regression Models."</w:t>
      </w:r>
      <w:proofErr w:type="gramEnd"/>
      <w:r w:rsidR="00B27B4B" w:rsidRPr="00E82E1F">
        <w:rPr>
          <w:sz w:val="24"/>
          <w:szCs w:val="24"/>
        </w:rPr>
        <w:t xml:space="preserve"> </w:t>
      </w:r>
      <w:r w:rsidR="00B27B4B" w:rsidRPr="00E82E1F">
        <w:rPr>
          <w:i/>
          <w:sz w:val="24"/>
          <w:szCs w:val="24"/>
        </w:rPr>
        <w:t>Journal of the American Statistical Association</w:t>
      </w:r>
      <w:r w:rsidR="00B27B4B" w:rsidRPr="00E82E1F">
        <w:rPr>
          <w:sz w:val="24"/>
          <w:szCs w:val="24"/>
        </w:rPr>
        <w:t xml:space="preserve"> 92, no. 437 (1997): 179-91.</w:t>
      </w:r>
    </w:p>
    <w:p w:rsidR="00B27B4B" w:rsidRPr="00E82E1F" w:rsidRDefault="005805FB" w:rsidP="00E07BF9">
      <w:pPr>
        <w:spacing w:beforeLines="100"/>
        <w:mirrorIndents/>
        <w:rPr>
          <w:sz w:val="24"/>
          <w:szCs w:val="24"/>
        </w:rPr>
      </w:pPr>
      <w:r>
        <w:rPr>
          <w:rFonts w:hint="eastAsia"/>
          <w:sz w:val="24"/>
          <w:szCs w:val="24"/>
        </w:rPr>
        <w:t xml:space="preserve">[53] </w:t>
      </w:r>
      <w:proofErr w:type="spellStart"/>
      <w:r w:rsidR="00B27B4B" w:rsidRPr="00E82E1F">
        <w:rPr>
          <w:sz w:val="24"/>
          <w:szCs w:val="24"/>
        </w:rPr>
        <w:t>Rajan</w:t>
      </w:r>
      <w:proofErr w:type="spellEnd"/>
      <w:r w:rsidR="00B27B4B" w:rsidRPr="00E82E1F">
        <w:rPr>
          <w:sz w:val="24"/>
          <w:szCs w:val="24"/>
        </w:rPr>
        <w:t xml:space="preserve">, </w:t>
      </w:r>
      <w:proofErr w:type="spellStart"/>
      <w:r w:rsidR="00B27B4B" w:rsidRPr="00E82E1F">
        <w:rPr>
          <w:sz w:val="24"/>
          <w:szCs w:val="24"/>
        </w:rPr>
        <w:t>Raghuram</w:t>
      </w:r>
      <w:proofErr w:type="spellEnd"/>
      <w:r w:rsidR="00B27B4B" w:rsidRPr="00E82E1F">
        <w:rPr>
          <w:sz w:val="24"/>
          <w:szCs w:val="24"/>
        </w:rPr>
        <w:t xml:space="preserve"> G. and Luigi </w:t>
      </w:r>
      <w:proofErr w:type="spellStart"/>
      <w:r w:rsidR="00B27B4B" w:rsidRPr="00E82E1F">
        <w:rPr>
          <w:sz w:val="24"/>
          <w:szCs w:val="24"/>
        </w:rPr>
        <w:t>Zingales</w:t>
      </w:r>
      <w:proofErr w:type="spellEnd"/>
      <w:r w:rsidR="00B27B4B" w:rsidRPr="00E82E1F">
        <w:rPr>
          <w:sz w:val="24"/>
          <w:szCs w:val="24"/>
        </w:rPr>
        <w:t xml:space="preserve">. "The Great Reversals: The Politics of Financial Development in the Twentieth Century." </w:t>
      </w:r>
      <w:r w:rsidR="00B27B4B" w:rsidRPr="00E82E1F">
        <w:rPr>
          <w:i/>
          <w:sz w:val="24"/>
          <w:szCs w:val="24"/>
        </w:rPr>
        <w:t>Journal of Financial Economics</w:t>
      </w:r>
      <w:r w:rsidR="00B27B4B" w:rsidRPr="00E82E1F">
        <w:rPr>
          <w:sz w:val="24"/>
          <w:szCs w:val="24"/>
        </w:rPr>
        <w:t xml:space="preserve"> 69, no. 1 (2003): 5-50.</w:t>
      </w:r>
    </w:p>
    <w:p w:rsidR="00B27B4B" w:rsidRPr="00E82E1F" w:rsidRDefault="005805FB" w:rsidP="00E07BF9">
      <w:pPr>
        <w:spacing w:beforeLines="100"/>
        <w:mirrorIndents/>
        <w:rPr>
          <w:sz w:val="24"/>
          <w:szCs w:val="24"/>
        </w:rPr>
      </w:pPr>
      <w:r>
        <w:rPr>
          <w:rFonts w:hint="eastAsia"/>
          <w:sz w:val="24"/>
          <w:szCs w:val="24"/>
        </w:rPr>
        <w:t xml:space="preserve">[54] </w:t>
      </w:r>
      <w:r w:rsidR="00B27B4B" w:rsidRPr="00E82E1F">
        <w:rPr>
          <w:sz w:val="24"/>
          <w:szCs w:val="24"/>
        </w:rPr>
        <w:t xml:space="preserve">Roe, Mark J. "Legal Origins, Politics, and Modern Stock Markets." </w:t>
      </w:r>
      <w:r w:rsidR="00B27B4B" w:rsidRPr="00E82E1F">
        <w:rPr>
          <w:i/>
          <w:sz w:val="24"/>
          <w:szCs w:val="24"/>
        </w:rPr>
        <w:t>Harvard Law Review</w:t>
      </w:r>
      <w:r w:rsidR="00B27B4B" w:rsidRPr="00E82E1F">
        <w:rPr>
          <w:sz w:val="24"/>
          <w:szCs w:val="24"/>
        </w:rPr>
        <w:t xml:space="preserve"> 120, no. 2 (2006): 460-527.</w:t>
      </w:r>
    </w:p>
    <w:p w:rsidR="00B27B4B" w:rsidRPr="00E82E1F" w:rsidRDefault="005805FB" w:rsidP="00E07BF9">
      <w:pPr>
        <w:spacing w:beforeLines="100"/>
        <w:mirrorIndents/>
        <w:rPr>
          <w:sz w:val="24"/>
          <w:szCs w:val="24"/>
        </w:rPr>
      </w:pPr>
      <w:r>
        <w:rPr>
          <w:rFonts w:hint="eastAsia"/>
          <w:sz w:val="24"/>
          <w:szCs w:val="24"/>
        </w:rPr>
        <w:t xml:space="preserve">[55] </w:t>
      </w:r>
      <w:r w:rsidR="00B27B4B" w:rsidRPr="00E82E1F">
        <w:rPr>
          <w:sz w:val="24"/>
          <w:szCs w:val="24"/>
        </w:rPr>
        <w:t xml:space="preserve">Roe, Mark J. and Jordan I. Siegel. "Political Instability: Effects on Financial Development, Roots in the Severity of Economic Inequality." </w:t>
      </w:r>
      <w:r w:rsidR="00B27B4B" w:rsidRPr="00E82E1F">
        <w:rPr>
          <w:i/>
          <w:sz w:val="24"/>
          <w:szCs w:val="24"/>
        </w:rPr>
        <w:t>Journal of Comparative Economics</w:t>
      </w:r>
      <w:r w:rsidR="00B27B4B" w:rsidRPr="00E82E1F">
        <w:rPr>
          <w:sz w:val="24"/>
          <w:szCs w:val="24"/>
        </w:rPr>
        <w:t xml:space="preserve"> 39, no. 3 (2011): 279-309.</w:t>
      </w:r>
    </w:p>
    <w:p w:rsidR="00B27B4B" w:rsidRPr="00E82E1F" w:rsidRDefault="005805FB" w:rsidP="00E07BF9">
      <w:pPr>
        <w:spacing w:beforeLines="100"/>
        <w:mirrorIndents/>
        <w:rPr>
          <w:sz w:val="24"/>
          <w:szCs w:val="24"/>
        </w:rPr>
      </w:pPr>
      <w:r>
        <w:rPr>
          <w:rFonts w:hint="eastAsia"/>
          <w:sz w:val="24"/>
          <w:szCs w:val="24"/>
        </w:rPr>
        <w:lastRenderedPageBreak/>
        <w:t xml:space="preserve">[56] </w:t>
      </w:r>
      <w:proofErr w:type="spellStart"/>
      <w:r w:rsidR="00B27B4B" w:rsidRPr="00E82E1F">
        <w:rPr>
          <w:sz w:val="24"/>
          <w:szCs w:val="24"/>
        </w:rPr>
        <w:t>Sala</w:t>
      </w:r>
      <w:proofErr w:type="spellEnd"/>
      <w:r w:rsidR="00B27B4B" w:rsidRPr="00E82E1F">
        <w:rPr>
          <w:sz w:val="24"/>
          <w:szCs w:val="24"/>
        </w:rPr>
        <w:t>-</w:t>
      </w:r>
      <w:proofErr w:type="spellStart"/>
      <w:r w:rsidR="00B27B4B" w:rsidRPr="00E82E1F">
        <w:rPr>
          <w:sz w:val="24"/>
          <w:szCs w:val="24"/>
        </w:rPr>
        <w:t>i</w:t>
      </w:r>
      <w:proofErr w:type="spellEnd"/>
      <w:r w:rsidR="00B27B4B" w:rsidRPr="00E82E1F">
        <w:rPr>
          <w:sz w:val="24"/>
          <w:szCs w:val="24"/>
        </w:rPr>
        <w:t xml:space="preserve">-Martin, Xavier, </w:t>
      </w:r>
      <w:proofErr w:type="spellStart"/>
      <w:r w:rsidR="00B27B4B" w:rsidRPr="00E82E1F">
        <w:rPr>
          <w:sz w:val="24"/>
          <w:szCs w:val="24"/>
        </w:rPr>
        <w:t>Gernot</w:t>
      </w:r>
      <w:proofErr w:type="spellEnd"/>
      <w:r w:rsidR="00B27B4B" w:rsidRPr="00E82E1F">
        <w:rPr>
          <w:sz w:val="24"/>
          <w:szCs w:val="24"/>
        </w:rPr>
        <w:t xml:space="preserve"> </w:t>
      </w:r>
      <w:proofErr w:type="spellStart"/>
      <w:r w:rsidR="00B27B4B" w:rsidRPr="00E82E1F">
        <w:rPr>
          <w:sz w:val="24"/>
          <w:szCs w:val="24"/>
        </w:rPr>
        <w:t>Doppelhofer</w:t>
      </w:r>
      <w:proofErr w:type="spellEnd"/>
      <w:r w:rsidR="00B27B4B" w:rsidRPr="00E82E1F">
        <w:rPr>
          <w:sz w:val="24"/>
          <w:szCs w:val="24"/>
        </w:rPr>
        <w:t xml:space="preserve"> and Ronald I. Miller. "Determinants of Long-Term Growth: A Bayesian Averaging of Classical Estimates (</w:t>
      </w:r>
      <w:proofErr w:type="spellStart"/>
      <w:r w:rsidR="00B27B4B" w:rsidRPr="00E82E1F">
        <w:rPr>
          <w:sz w:val="24"/>
          <w:szCs w:val="24"/>
        </w:rPr>
        <w:t>Bace</w:t>
      </w:r>
      <w:proofErr w:type="spellEnd"/>
      <w:r w:rsidR="00B27B4B" w:rsidRPr="00E82E1F">
        <w:rPr>
          <w:sz w:val="24"/>
          <w:szCs w:val="24"/>
        </w:rPr>
        <w:t xml:space="preserve">) Approach." </w:t>
      </w:r>
      <w:r w:rsidR="00B27B4B" w:rsidRPr="00E82E1F">
        <w:rPr>
          <w:i/>
          <w:sz w:val="24"/>
          <w:szCs w:val="24"/>
        </w:rPr>
        <w:t>The American Economic Review</w:t>
      </w:r>
      <w:r w:rsidR="00B27B4B" w:rsidRPr="00E82E1F">
        <w:rPr>
          <w:sz w:val="24"/>
          <w:szCs w:val="24"/>
        </w:rPr>
        <w:t xml:space="preserve"> 94, no. 4 (2004): 813-35.</w:t>
      </w:r>
    </w:p>
    <w:p w:rsidR="00B27B4B" w:rsidRPr="00E82E1F" w:rsidRDefault="005805FB" w:rsidP="00E07BF9">
      <w:pPr>
        <w:spacing w:beforeLines="100"/>
        <w:mirrorIndents/>
        <w:rPr>
          <w:sz w:val="24"/>
          <w:szCs w:val="24"/>
        </w:rPr>
      </w:pPr>
      <w:r>
        <w:rPr>
          <w:rFonts w:hint="eastAsia"/>
          <w:sz w:val="24"/>
          <w:szCs w:val="24"/>
        </w:rPr>
        <w:t xml:space="preserve">[57] </w:t>
      </w:r>
      <w:proofErr w:type="spellStart"/>
      <w:r w:rsidR="009D7AC7" w:rsidRPr="00E82E1F">
        <w:rPr>
          <w:sz w:val="24"/>
          <w:szCs w:val="24"/>
        </w:rPr>
        <w:t>Sala</w:t>
      </w:r>
      <w:proofErr w:type="spellEnd"/>
      <w:r w:rsidR="009D7AC7" w:rsidRPr="00E82E1F">
        <w:rPr>
          <w:sz w:val="24"/>
          <w:szCs w:val="24"/>
        </w:rPr>
        <w:t>-</w:t>
      </w:r>
      <w:proofErr w:type="spellStart"/>
      <w:r w:rsidR="009D7AC7" w:rsidRPr="00E82E1F">
        <w:rPr>
          <w:sz w:val="24"/>
          <w:szCs w:val="24"/>
        </w:rPr>
        <w:t>i</w:t>
      </w:r>
      <w:proofErr w:type="spellEnd"/>
      <w:r w:rsidR="00B27B4B" w:rsidRPr="00E82E1F">
        <w:rPr>
          <w:sz w:val="24"/>
          <w:szCs w:val="24"/>
        </w:rPr>
        <w:t xml:space="preserve">-Martin, Xavier X. "I Just Ran Two Million Regressions." </w:t>
      </w:r>
      <w:r w:rsidR="00B27B4B" w:rsidRPr="00E82E1F">
        <w:rPr>
          <w:i/>
          <w:sz w:val="24"/>
          <w:szCs w:val="24"/>
        </w:rPr>
        <w:t>The American Economic Review</w:t>
      </w:r>
      <w:r w:rsidR="00B27B4B" w:rsidRPr="00E82E1F">
        <w:rPr>
          <w:sz w:val="24"/>
          <w:szCs w:val="24"/>
        </w:rPr>
        <w:t xml:space="preserve"> 87, no. 2 (1997): 178-83.</w:t>
      </w:r>
    </w:p>
    <w:p w:rsidR="00B27B4B" w:rsidRPr="00E82E1F" w:rsidRDefault="005805FB" w:rsidP="00E07BF9">
      <w:pPr>
        <w:spacing w:beforeLines="100"/>
        <w:mirrorIndents/>
        <w:rPr>
          <w:sz w:val="24"/>
          <w:szCs w:val="24"/>
        </w:rPr>
      </w:pPr>
      <w:r>
        <w:rPr>
          <w:rFonts w:hint="eastAsia"/>
          <w:sz w:val="24"/>
          <w:szCs w:val="24"/>
        </w:rPr>
        <w:t xml:space="preserve">[58] </w:t>
      </w:r>
      <w:proofErr w:type="spellStart"/>
      <w:r w:rsidR="00B27B4B" w:rsidRPr="00E82E1F">
        <w:rPr>
          <w:sz w:val="24"/>
          <w:szCs w:val="24"/>
        </w:rPr>
        <w:t>Shleifer</w:t>
      </w:r>
      <w:proofErr w:type="spellEnd"/>
      <w:r w:rsidR="00B27B4B" w:rsidRPr="00E82E1F">
        <w:rPr>
          <w:sz w:val="24"/>
          <w:szCs w:val="24"/>
        </w:rPr>
        <w:t xml:space="preserve">, Andrei. </w:t>
      </w:r>
      <w:proofErr w:type="gramStart"/>
      <w:r w:rsidR="00B27B4B" w:rsidRPr="00E82E1F">
        <w:rPr>
          <w:sz w:val="24"/>
          <w:szCs w:val="24"/>
        </w:rPr>
        <w:t>"Understanding Regulation."</w:t>
      </w:r>
      <w:proofErr w:type="gramEnd"/>
      <w:r w:rsidR="00B27B4B" w:rsidRPr="00E82E1F">
        <w:rPr>
          <w:sz w:val="24"/>
          <w:szCs w:val="24"/>
        </w:rPr>
        <w:t xml:space="preserve"> </w:t>
      </w:r>
      <w:r w:rsidR="00B27B4B" w:rsidRPr="00E82E1F">
        <w:rPr>
          <w:i/>
          <w:sz w:val="24"/>
          <w:szCs w:val="24"/>
        </w:rPr>
        <w:t>European Financial Management</w:t>
      </w:r>
      <w:r w:rsidR="00B27B4B" w:rsidRPr="00E82E1F">
        <w:rPr>
          <w:sz w:val="24"/>
          <w:szCs w:val="24"/>
        </w:rPr>
        <w:t xml:space="preserve"> 11, no. 4 (2005): 439-51.</w:t>
      </w:r>
    </w:p>
    <w:p w:rsidR="00B27B4B" w:rsidRPr="00E82E1F" w:rsidRDefault="005805FB" w:rsidP="00E07BF9">
      <w:pPr>
        <w:spacing w:beforeLines="100"/>
        <w:mirrorIndents/>
        <w:rPr>
          <w:sz w:val="24"/>
          <w:szCs w:val="24"/>
        </w:rPr>
      </w:pPr>
      <w:r>
        <w:rPr>
          <w:rFonts w:hint="eastAsia"/>
          <w:sz w:val="24"/>
          <w:szCs w:val="24"/>
        </w:rPr>
        <w:t xml:space="preserve">[59] </w:t>
      </w:r>
      <w:proofErr w:type="spellStart"/>
      <w:r w:rsidR="00B27B4B" w:rsidRPr="00E82E1F">
        <w:rPr>
          <w:sz w:val="24"/>
          <w:szCs w:val="24"/>
        </w:rPr>
        <w:t>Shleifer</w:t>
      </w:r>
      <w:proofErr w:type="spellEnd"/>
      <w:r w:rsidR="00B27B4B" w:rsidRPr="00E82E1F">
        <w:rPr>
          <w:sz w:val="24"/>
          <w:szCs w:val="24"/>
        </w:rPr>
        <w:t xml:space="preserve">, Andrei and Robert W. </w:t>
      </w:r>
      <w:proofErr w:type="spellStart"/>
      <w:r w:rsidR="00B27B4B" w:rsidRPr="00E82E1F">
        <w:rPr>
          <w:sz w:val="24"/>
          <w:szCs w:val="24"/>
        </w:rPr>
        <w:t>Vishny</w:t>
      </w:r>
      <w:proofErr w:type="spellEnd"/>
      <w:r w:rsidR="00B27B4B" w:rsidRPr="00E82E1F">
        <w:rPr>
          <w:sz w:val="24"/>
          <w:szCs w:val="24"/>
        </w:rPr>
        <w:t xml:space="preserve">. </w:t>
      </w:r>
      <w:proofErr w:type="gramStart"/>
      <w:r w:rsidR="00B27B4B" w:rsidRPr="00E82E1F">
        <w:rPr>
          <w:sz w:val="24"/>
          <w:szCs w:val="24"/>
        </w:rPr>
        <w:t>"A Survey of Corporate Governance."</w:t>
      </w:r>
      <w:proofErr w:type="gramEnd"/>
      <w:r w:rsidR="00B27B4B" w:rsidRPr="00E82E1F">
        <w:rPr>
          <w:sz w:val="24"/>
          <w:szCs w:val="24"/>
        </w:rPr>
        <w:t xml:space="preserve"> </w:t>
      </w:r>
      <w:r w:rsidR="00B27B4B" w:rsidRPr="00E82E1F">
        <w:rPr>
          <w:i/>
          <w:sz w:val="24"/>
          <w:szCs w:val="24"/>
        </w:rPr>
        <w:t>The Journal of Finance</w:t>
      </w:r>
      <w:r w:rsidR="00B27B4B" w:rsidRPr="00E82E1F">
        <w:rPr>
          <w:sz w:val="24"/>
          <w:szCs w:val="24"/>
        </w:rPr>
        <w:t xml:space="preserve"> 52, no. 2 (1997): 737-83.</w:t>
      </w:r>
    </w:p>
    <w:p w:rsidR="00B27B4B" w:rsidRPr="00E82E1F" w:rsidRDefault="005805FB" w:rsidP="00E07BF9">
      <w:pPr>
        <w:spacing w:beforeLines="100"/>
        <w:mirrorIndents/>
        <w:rPr>
          <w:sz w:val="24"/>
          <w:szCs w:val="24"/>
        </w:rPr>
      </w:pPr>
      <w:r>
        <w:rPr>
          <w:rFonts w:hint="eastAsia"/>
          <w:sz w:val="24"/>
          <w:szCs w:val="24"/>
        </w:rPr>
        <w:t xml:space="preserve">[60] </w:t>
      </w:r>
      <w:proofErr w:type="spellStart"/>
      <w:r w:rsidR="00B27B4B" w:rsidRPr="00E82E1F">
        <w:rPr>
          <w:sz w:val="24"/>
          <w:szCs w:val="24"/>
        </w:rPr>
        <w:t>Spamann</w:t>
      </w:r>
      <w:proofErr w:type="spellEnd"/>
      <w:r w:rsidR="00B27B4B" w:rsidRPr="00E82E1F">
        <w:rPr>
          <w:sz w:val="24"/>
          <w:szCs w:val="24"/>
        </w:rPr>
        <w:t xml:space="preserve">, </w:t>
      </w:r>
      <w:proofErr w:type="spellStart"/>
      <w:r w:rsidR="00B27B4B" w:rsidRPr="00E82E1F">
        <w:rPr>
          <w:sz w:val="24"/>
          <w:szCs w:val="24"/>
        </w:rPr>
        <w:t>Holger</w:t>
      </w:r>
      <w:proofErr w:type="spellEnd"/>
      <w:r w:rsidR="00B27B4B" w:rsidRPr="00E82E1F">
        <w:rPr>
          <w:sz w:val="24"/>
          <w:szCs w:val="24"/>
        </w:rPr>
        <w:t>. "The ‘</w:t>
      </w:r>
      <w:proofErr w:type="spellStart"/>
      <w:r w:rsidR="00B27B4B" w:rsidRPr="00E82E1F">
        <w:rPr>
          <w:sz w:val="24"/>
          <w:szCs w:val="24"/>
        </w:rPr>
        <w:t>Antidirector</w:t>
      </w:r>
      <w:proofErr w:type="spellEnd"/>
      <w:r w:rsidR="00B27B4B" w:rsidRPr="00E82E1F">
        <w:rPr>
          <w:sz w:val="24"/>
          <w:szCs w:val="24"/>
        </w:rPr>
        <w:t xml:space="preserve"> Rights Index’ Revisited." </w:t>
      </w:r>
      <w:r w:rsidR="00B27B4B" w:rsidRPr="00E82E1F">
        <w:rPr>
          <w:i/>
          <w:sz w:val="24"/>
          <w:szCs w:val="24"/>
        </w:rPr>
        <w:t>Review of Financial Studies</w:t>
      </w:r>
      <w:r w:rsidR="00B27B4B" w:rsidRPr="00E82E1F">
        <w:rPr>
          <w:sz w:val="24"/>
          <w:szCs w:val="24"/>
        </w:rPr>
        <w:t xml:space="preserve"> 23, no. 2 (2010): 467-86.</w:t>
      </w:r>
    </w:p>
    <w:p w:rsidR="00B27B4B" w:rsidRPr="00E82E1F" w:rsidRDefault="005805FB" w:rsidP="00E07BF9">
      <w:pPr>
        <w:spacing w:beforeLines="100"/>
        <w:mirrorIndents/>
        <w:rPr>
          <w:sz w:val="24"/>
          <w:szCs w:val="24"/>
        </w:rPr>
      </w:pPr>
      <w:r>
        <w:rPr>
          <w:rFonts w:hint="eastAsia"/>
          <w:sz w:val="24"/>
          <w:szCs w:val="24"/>
        </w:rPr>
        <w:t xml:space="preserve">[61] </w:t>
      </w:r>
      <w:r w:rsidR="00B27B4B" w:rsidRPr="00E82E1F">
        <w:rPr>
          <w:sz w:val="24"/>
          <w:szCs w:val="24"/>
        </w:rPr>
        <w:t xml:space="preserve">Stigler, George J. "The Theory of Economic Regulation." </w:t>
      </w:r>
      <w:r w:rsidR="00B27B4B" w:rsidRPr="00E82E1F">
        <w:rPr>
          <w:i/>
          <w:sz w:val="24"/>
          <w:szCs w:val="24"/>
        </w:rPr>
        <w:t>The Bell Journal of Economics and Management Science</w:t>
      </w:r>
      <w:r w:rsidR="00B27B4B" w:rsidRPr="00E82E1F">
        <w:rPr>
          <w:sz w:val="24"/>
          <w:szCs w:val="24"/>
        </w:rPr>
        <w:t xml:space="preserve"> 2, no. 1 (1971): 3-21.</w:t>
      </w:r>
    </w:p>
    <w:p w:rsidR="00B27B4B" w:rsidRPr="00E82E1F" w:rsidRDefault="005805FB" w:rsidP="00E07BF9">
      <w:pPr>
        <w:spacing w:beforeLines="100"/>
        <w:mirrorIndents/>
        <w:rPr>
          <w:sz w:val="24"/>
          <w:szCs w:val="24"/>
        </w:rPr>
      </w:pPr>
      <w:r>
        <w:rPr>
          <w:rFonts w:hint="eastAsia"/>
          <w:sz w:val="24"/>
          <w:szCs w:val="24"/>
        </w:rPr>
        <w:t xml:space="preserve">[62] </w:t>
      </w:r>
      <w:proofErr w:type="spellStart"/>
      <w:r w:rsidR="00B27B4B" w:rsidRPr="00E82E1F">
        <w:rPr>
          <w:sz w:val="24"/>
          <w:szCs w:val="24"/>
        </w:rPr>
        <w:t>Stulz</w:t>
      </w:r>
      <w:proofErr w:type="spellEnd"/>
      <w:r w:rsidR="00B27B4B" w:rsidRPr="00E82E1F">
        <w:rPr>
          <w:sz w:val="24"/>
          <w:szCs w:val="24"/>
        </w:rPr>
        <w:t xml:space="preserve">, René M. and </w:t>
      </w:r>
      <w:proofErr w:type="spellStart"/>
      <w:r w:rsidR="00B27B4B" w:rsidRPr="00E82E1F">
        <w:rPr>
          <w:sz w:val="24"/>
          <w:szCs w:val="24"/>
        </w:rPr>
        <w:t>Rohan</w:t>
      </w:r>
      <w:proofErr w:type="spellEnd"/>
      <w:r w:rsidR="00B27B4B" w:rsidRPr="00E82E1F">
        <w:rPr>
          <w:sz w:val="24"/>
          <w:szCs w:val="24"/>
        </w:rPr>
        <w:t xml:space="preserve"> Williamson. </w:t>
      </w:r>
      <w:proofErr w:type="gramStart"/>
      <w:r w:rsidR="00B27B4B" w:rsidRPr="00E82E1F">
        <w:rPr>
          <w:sz w:val="24"/>
          <w:szCs w:val="24"/>
        </w:rPr>
        <w:t>"Culture, Openness, and Finance."</w:t>
      </w:r>
      <w:proofErr w:type="gramEnd"/>
      <w:r w:rsidR="00B27B4B" w:rsidRPr="00E82E1F">
        <w:rPr>
          <w:sz w:val="24"/>
          <w:szCs w:val="24"/>
        </w:rPr>
        <w:t xml:space="preserve"> </w:t>
      </w:r>
      <w:r w:rsidR="00B27B4B" w:rsidRPr="00E82E1F">
        <w:rPr>
          <w:i/>
          <w:sz w:val="24"/>
          <w:szCs w:val="24"/>
        </w:rPr>
        <w:t>Journal of Financial Economics</w:t>
      </w:r>
      <w:r w:rsidR="00B27B4B" w:rsidRPr="00E82E1F">
        <w:rPr>
          <w:sz w:val="24"/>
          <w:szCs w:val="24"/>
        </w:rPr>
        <w:t xml:space="preserve"> 70, no. 3 (2003): 313-49.</w:t>
      </w:r>
    </w:p>
    <w:p w:rsidR="00B27B4B" w:rsidRPr="00E82E1F" w:rsidRDefault="005805FB" w:rsidP="00E07BF9">
      <w:pPr>
        <w:spacing w:beforeLines="100"/>
        <w:mirrorIndents/>
        <w:rPr>
          <w:sz w:val="24"/>
          <w:szCs w:val="24"/>
        </w:rPr>
      </w:pPr>
      <w:r>
        <w:rPr>
          <w:rFonts w:hint="eastAsia"/>
          <w:sz w:val="24"/>
          <w:szCs w:val="24"/>
        </w:rPr>
        <w:t xml:space="preserve">[63] </w:t>
      </w:r>
      <w:proofErr w:type="spellStart"/>
      <w:r w:rsidR="00B27B4B" w:rsidRPr="00E82E1F">
        <w:rPr>
          <w:sz w:val="24"/>
          <w:szCs w:val="24"/>
        </w:rPr>
        <w:t>Xu</w:t>
      </w:r>
      <w:proofErr w:type="spellEnd"/>
      <w:r w:rsidR="00B27B4B" w:rsidRPr="00E82E1F">
        <w:rPr>
          <w:sz w:val="24"/>
          <w:szCs w:val="24"/>
        </w:rPr>
        <w:t xml:space="preserve">, Guangdong. "The Role of Law in Economic Growth: A Literature Review." </w:t>
      </w:r>
      <w:r w:rsidR="00B27B4B" w:rsidRPr="00E82E1F">
        <w:rPr>
          <w:i/>
          <w:sz w:val="24"/>
          <w:szCs w:val="24"/>
        </w:rPr>
        <w:t>Journal of Economic Surveys</w:t>
      </w:r>
      <w:r w:rsidR="00B27B4B" w:rsidRPr="00E82E1F">
        <w:rPr>
          <w:sz w:val="24"/>
          <w:szCs w:val="24"/>
        </w:rPr>
        <w:t xml:space="preserve"> 25, no. 5 (2011): 833-71.</w:t>
      </w:r>
    </w:p>
    <w:p w:rsidR="00B27B4B" w:rsidRPr="00E82E1F" w:rsidRDefault="005805FB" w:rsidP="00E07BF9">
      <w:pPr>
        <w:spacing w:beforeLines="100"/>
        <w:mirrorIndents/>
        <w:rPr>
          <w:sz w:val="24"/>
          <w:szCs w:val="24"/>
        </w:rPr>
      </w:pPr>
      <w:r>
        <w:rPr>
          <w:rFonts w:hint="eastAsia"/>
          <w:sz w:val="24"/>
          <w:szCs w:val="24"/>
        </w:rPr>
        <w:t xml:space="preserve">[64] </w:t>
      </w:r>
      <w:r w:rsidR="00B27B4B" w:rsidRPr="00E82E1F">
        <w:rPr>
          <w:sz w:val="24"/>
          <w:szCs w:val="24"/>
        </w:rPr>
        <w:t xml:space="preserve">Yu, Fang. </w:t>
      </w:r>
      <w:proofErr w:type="gramStart"/>
      <w:r w:rsidR="00B27B4B" w:rsidRPr="00E82E1F">
        <w:rPr>
          <w:sz w:val="24"/>
          <w:szCs w:val="24"/>
        </w:rPr>
        <w:t>"Analyst Coverage and Earnings Management."</w:t>
      </w:r>
      <w:proofErr w:type="gramEnd"/>
      <w:r w:rsidR="00B27B4B" w:rsidRPr="00E82E1F">
        <w:rPr>
          <w:sz w:val="24"/>
          <w:szCs w:val="24"/>
        </w:rPr>
        <w:t xml:space="preserve"> </w:t>
      </w:r>
      <w:r w:rsidR="00B27B4B" w:rsidRPr="00E82E1F">
        <w:rPr>
          <w:i/>
          <w:sz w:val="24"/>
          <w:szCs w:val="24"/>
        </w:rPr>
        <w:t>Journal of Financial Economics</w:t>
      </w:r>
      <w:r w:rsidR="00B27B4B" w:rsidRPr="00E82E1F">
        <w:rPr>
          <w:sz w:val="24"/>
          <w:szCs w:val="24"/>
        </w:rPr>
        <w:t xml:space="preserve"> 88, no. 2 (2008): 245-71.</w:t>
      </w:r>
    </w:p>
    <w:sectPr w:rsidR="00B27B4B" w:rsidRPr="00E82E1F" w:rsidSect="000664F3">
      <w:footnotePr>
        <w:numFmt w:val="chicago"/>
        <w:numRestart w:val="eachSect"/>
      </w:footnotePr>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2ED" w:rsidRDefault="00C502ED" w:rsidP="00307DE2">
      <w:r>
        <w:separator/>
      </w:r>
    </w:p>
  </w:endnote>
  <w:endnote w:type="continuationSeparator" w:id="0">
    <w:p w:rsidR="00C502ED" w:rsidRDefault="00C502ED" w:rsidP="00307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00000001"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D6" w:rsidRDefault="00510ED6" w:rsidP="00F6725B">
    <w:pPr>
      <w:pStyle w:val="a3"/>
      <w:jc w:val="right"/>
    </w:pPr>
    <w:fldSimple w:instr=" PAGE   \* MERGEFORMAT ">
      <w:r w:rsidR="006256B6" w:rsidRPr="006256B6">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2ED" w:rsidRDefault="00C502ED" w:rsidP="00307DE2">
      <w:r>
        <w:separator/>
      </w:r>
    </w:p>
  </w:footnote>
  <w:footnote w:type="continuationSeparator" w:id="0">
    <w:p w:rsidR="00C502ED" w:rsidRDefault="00C502ED" w:rsidP="00307DE2">
      <w:r>
        <w:continuationSeparator/>
      </w:r>
    </w:p>
  </w:footnote>
  <w:footnote w:id="1">
    <w:p w:rsidR="001F7A0E" w:rsidRPr="006256B6" w:rsidRDefault="001F7A0E" w:rsidP="007C639A">
      <w:pPr>
        <w:jc w:val="left"/>
        <w:rPr>
          <w:rFonts w:hint="eastAsia"/>
          <w:szCs w:val="21"/>
        </w:rPr>
      </w:pPr>
      <w:r w:rsidRPr="006256B6">
        <w:rPr>
          <w:rStyle w:val="a6"/>
          <w:szCs w:val="21"/>
        </w:rPr>
        <w:footnoteRef/>
      </w:r>
      <w:r w:rsidRPr="006256B6">
        <w:rPr>
          <w:szCs w:val="21"/>
        </w:rPr>
        <w:t xml:space="preserve"> </w:t>
      </w:r>
      <w:r w:rsidRPr="006256B6">
        <w:rPr>
          <w:rFonts w:hint="eastAsia"/>
          <w:szCs w:val="21"/>
        </w:rPr>
        <w:t>Wenming</w:t>
      </w:r>
      <w:r w:rsidR="00E363E6" w:rsidRPr="006256B6">
        <w:rPr>
          <w:rFonts w:hint="eastAsia"/>
          <w:szCs w:val="21"/>
        </w:rPr>
        <w:t xml:space="preserve"> </w:t>
      </w:r>
      <w:proofErr w:type="spellStart"/>
      <w:r w:rsidR="00E363E6" w:rsidRPr="006256B6">
        <w:rPr>
          <w:rFonts w:hint="eastAsia"/>
          <w:szCs w:val="21"/>
        </w:rPr>
        <w:t>Xu</w:t>
      </w:r>
      <w:proofErr w:type="spellEnd"/>
      <w:r w:rsidRPr="006256B6">
        <w:rPr>
          <w:rFonts w:hint="eastAsia"/>
          <w:szCs w:val="21"/>
        </w:rPr>
        <w:t xml:space="preserve"> is </w:t>
      </w:r>
      <w:r w:rsidR="00E363E6" w:rsidRPr="006256B6">
        <w:rPr>
          <w:rFonts w:hint="eastAsia"/>
          <w:szCs w:val="21"/>
        </w:rPr>
        <w:t>a</w:t>
      </w:r>
      <w:r w:rsidRPr="006256B6">
        <w:rPr>
          <w:szCs w:val="21"/>
        </w:rPr>
        <w:t>ssistant</w:t>
      </w:r>
      <w:r w:rsidR="00E363E6" w:rsidRPr="006256B6">
        <w:rPr>
          <w:rFonts w:hint="eastAsia"/>
          <w:szCs w:val="21"/>
        </w:rPr>
        <w:t xml:space="preserve"> p</w:t>
      </w:r>
      <w:r w:rsidRPr="006256B6">
        <w:rPr>
          <w:rFonts w:hint="eastAsia"/>
          <w:szCs w:val="21"/>
        </w:rPr>
        <w:t>rofessor of</w:t>
      </w:r>
      <w:r w:rsidR="00E363E6" w:rsidRPr="006256B6">
        <w:rPr>
          <w:rFonts w:hint="eastAsia"/>
          <w:szCs w:val="21"/>
        </w:rPr>
        <w:t xml:space="preserve"> law and economics at</w:t>
      </w:r>
      <w:r w:rsidRPr="006256B6">
        <w:rPr>
          <w:rFonts w:hint="eastAsia"/>
          <w:szCs w:val="21"/>
        </w:rPr>
        <w:t xml:space="preserve"> the School of Law and Economics </w:t>
      </w:r>
      <w:r w:rsidR="007C639A" w:rsidRPr="006256B6">
        <w:rPr>
          <w:rFonts w:hint="eastAsia"/>
          <w:szCs w:val="21"/>
        </w:rPr>
        <w:t xml:space="preserve">(SLE) </w:t>
      </w:r>
      <w:r w:rsidRPr="006256B6">
        <w:rPr>
          <w:rFonts w:hint="eastAsia"/>
          <w:szCs w:val="21"/>
        </w:rPr>
        <w:t xml:space="preserve">at the </w:t>
      </w:r>
      <w:r w:rsidRPr="006256B6">
        <w:rPr>
          <w:szCs w:val="21"/>
        </w:rPr>
        <w:t>China University of Political Science and Law</w:t>
      </w:r>
      <w:r w:rsidR="007C639A" w:rsidRPr="006256B6">
        <w:rPr>
          <w:rFonts w:hint="eastAsia"/>
          <w:szCs w:val="21"/>
        </w:rPr>
        <w:t xml:space="preserve"> (CUPL)</w:t>
      </w:r>
      <w:r w:rsidRPr="006256B6">
        <w:rPr>
          <w:rFonts w:hint="eastAsia"/>
          <w:szCs w:val="21"/>
        </w:rPr>
        <w:t>. Email: wenming.xu@cupl.edu.cn</w:t>
      </w:r>
      <w:r w:rsidR="00E363E6" w:rsidRPr="006256B6">
        <w:rPr>
          <w:rFonts w:hint="eastAsia"/>
          <w:szCs w:val="21"/>
        </w:rPr>
        <w:t>.</w:t>
      </w:r>
      <w:r w:rsidR="00E363E6" w:rsidRPr="006256B6">
        <w:rPr>
          <w:szCs w:val="21"/>
        </w:rPr>
        <w:t xml:space="preserve"> </w:t>
      </w:r>
      <w:r w:rsidR="00E363E6" w:rsidRPr="006256B6">
        <w:rPr>
          <w:szCs w:val="21"/>
        </w:rPr>
        <w:t>Guangdong</w:t>
      </w:r>
      <w:r w:rsidR="00E363E6" w:rsidRPr="006256B6">
        <w:rPr>
          <w:rFonts w:hint="eastAsia"/>
          <w:szCs w:val="21"/>
        </w:rPr>
        <w:t xml:space="preserve"> </w:t>
      </w:r>
      <w:proofErr w:type="spellStart"/>
      <w:r w:rsidR="00E363E6" w:rsidRPr="006256B6">
        <w:rPr>
          <w:rFonts w:hint="eastAsia"/>
          <w:szCs w:val="21"/>
        </w:rPr>
        <w:t>Xu</w:t>
      </w:r>
      <w:proofErr w:type="spellEnd"/>
      <w:r w:rsidR="00E363E6" w:rsidRPr="006256B6">
        <w:rPr>
          <w:szCs w:val="21"/>
        </w:rPr>
        <w:t xml:space="preserve"> is associate professor of law and economics at the </w:t>
      </w:r>
      <w:r w:rsidR="007C639A" w:rsidRPr="006256B6">
        <w:rPr>
          <w:rFonts w:hint="eastAsia"/>
          <w:szCs w:val="21"/>
        </w:rPr>
        <w:t xml:space="preserve">(SLE) </w:t>
      </w:r>
      <w:r w:rsidR="00E363E6" w:rsidRPr="006256B6">
        <w:rPr>
          <w:szCs w:val="21"/>
        </w:rPr>
        <w:t xml:space="preserve">at the </w:t>
      </w:r>
      <w:r w:rsidR="007C639A" w:rsidRPr="006256B6">
        <w:rPr>
          <w:rFonts w:hint="eastAsia"/>
          <w:szCs w:val="21"/>
        </w:rPr>
        <w:t>CUPL</w:t>
      </w:r>
      <w:r w:rsidR="00E363E6" w:rsidRPr="006256B6">
        <w:rPr>
          <w:rFonts w:hint="eastAsia"/>
          <w:szCs w:val="21"/>
        </w:rPr>
        <w:t xml:space="preserve">. </w:t>
      </w:r>
      <w:r w:rsidR="00E363E6" w:rsidRPr="006256B6">
        <w:rPr>
          <w:szCs w:val="21"/>
        </w:rPr>
        <w:t>E-mail</w:t>
      </w:r>
      <w:r w:rsidR="00E363E6" w:rsidRPr="006256B6">
        <w:rPr>
          <w:rFonts w:hint="eastAsia"/>
          <w:szCs w:val="21"/>
        </w:rPr>
        <w:t xml:space="preserve">: </w:t>
      </w:r>
      <w:r w:rsidR="00E363E6" w:rsidRPr="006256B6">
        <w:rPr>
          <w:szCs w:val="21"/>
        </w:rPr>
        <w:t>guangdongx@cupl.edu.cn</w:t>
      </w:r>
      <w:r w:rsidR="00E363E6" w:rsidRPr="006256B6">
        <w:rPr>
          <w:rFonts w:hint="eastAsia"/>
          <w:szCs w:val="21"/>
        </w:rPr>
        <w:t>.</w:t>
      </w:r>
      <w:r w:rsidR="007C639A" w:rsidRPr="006256B6">
        <w:rPr>
          <w:rFonts w:hint="eastAsia"/>
          <w:szCs w:val="21"/>
        </w:rPr>
        <w:t xml:space="preserve"> </w:t>
      </w:r>
      <w:r w:rsidR="006256B6" w:rsidRPr="006256B6">
        <w:rPr>
          <w:rFonts w:hint="eastAsia"/>
          <w:szCs w:val="21"/>
        </w:rPr>
        <w:t xml:space="preserve">This paper benefits from discussions with </w:t>
      </w:r>
      <w:r w:rsidR="00244EA8" w:rsidRPr="006256B6">
        <w:rPr>
          <w:szCs w:val="21"/>
        </w:rPr>
        <w:t xml:space="preserve">Gilberto </w:t>
      </w:r>
      <w:proofErr w:type="spellStart"/>
      <w:r w:rsidR="00244EA8" w:rsidRPr="006256B6">
        <w:rPr>
          <w:szCs w:val="21"/>
        </w:rPr>
        <w:t>Antonelli</w:t>
      </w:r>
      <w:proofErr w:type="spellEnd"/>
      <w:r w:rsidR="00244EA8" w:rsidRPr="006256B6">
        <w:rPr>
          <w:szCs w:val="21"/>
        </w:rPr>
        <w:t xml:space="preserve">, John </w:t>
      </w:r>
      <w:proofErr w:type="spellStart"/>
      <w:r w:rsidR="00244EA8" w:rsidRPr="006256B6">
        <w:rPr>
          <w:szCs w:val="21"/>
        </w:rPr>
        <w:t>Armour</w:t>
      </w:r>
      <w:proofErr w:type="spellEnd"/>
      <w:r w:rsidR="00244EA8" w:rsidRPr="006256B6">
        <w:rPr>
          <w:szCs w:val="21"/>
        </w:rPr>
        <w:t xml:space="preserve">, Simon </w:t>
      </w:r>
      <w:proofErr w:type="spellStart"/>
      <w:r w:rsidR="00244EA8" w:rsidRPr="006256B6">
        <w:rPr>
          <w:szCs w:val="21"/>
        </w:rPr>
        <w:t>Deakin</w:t>
      </w:r>
      <w:proofErr w:type="spellEnd"/>
      <w:r w:rsidR="00244EA8" w:rsidRPr="006256B6">
        <w:rPr>
          <w:szCs w:val="21"/>
        </w:rPr>
        <w:t xml:space="preserve">, Roberto </w:t>
      </w:r>
      <w:proofErr w:type="spellStart"/>
      <w:r w:rsidR="00244EA8" w:rsidRPr="006256B6">
        <w:rPr>
          <w:szCs w:val="21"/>
        </w:rPr>
        <w:t>Golinelli</w:t>
      </w:r>
      <w:proofErr w:type="spellEnd"/>
      <w:r w:rsidR="00244EA8" w:rsidRPr="006256B6">
        <w:rPr>
          <w:szCs w:val="21"/>
        </w:rPr>
        <w:t xml:space="preserve">, </w:t>
      </w:r>
      <w:proofErr w:type="spellStart"/>
      <w:r w:rsidR="00244EA8" w:rsidRPr="006256B6">
        <w:rPr>
          <w:szCs w:val="21"/>
        </w:rPr>
        <w:t>Binwei</w:t>
      </w:r>
      <w:proofErr w:type="spellEnd"/>
      <w:r w:rsidR="00244EA8" w:rsidRPr="006256B6">
        <w:rPr>
          <w:szCs w:val="21"/>
        </w:rPr>
        <w:t xml:space="preserve"> </w:t>
      </w:r>
      <w:proofErr w:type="spellStart"/>
      <w:proofErr w:type="gramStart"/>
      <w:r w:rsidR="00244EA8" w:rsidRPr="006256B6">
        <w:rPr>
          <w:szCs w:val="21"/>
        </w:rPr>
        <w:t>Gui</w:t>
      </w:r>
      <w:proofErr w:type="spellEnd"/>
      <w:proofErr w:type="gramEnd"/>
      <w:r w:rsidR="00244EA8" w:rsidRPr="006256B6">
        <w:rPr>
          <w:szCs w:val="21"/>
        </w:rPr>
        <w:t xml:space="preserve">, Giovanni </w:t>
      </w:r>
      <w:proofErr w:type="spellStart"/>
      <w:r w:rsidR="00244EA8" w:rsidRPr="006256B6">
        <w:rPr>
          <w:szCs w:val="21"/>
        </w:rPr>
        <w:t>Guidetti</w:t>
      </w:r>
      <w:proofErr w:type="spellEnd"/>
      <w:r w:rsidR="00244EA8" w:rsidRPr="006256B6">
        <w:rPr>
          <w:szCs w:val="21"/>
        </w:rPr>
        <w:t xml:space="preserve">, </w:t>
      </w:r>
      <w:proofErr w:type="spellStart"/>
      <w:r w:rsidR="00244EA8" w:rsidRPr="006256B6">
        <w:rPr>
          <w:szCs w:val="21"/>
        </w:rPr>
        <w:t>Jiye</w:t>
      </w:r>
      <w:proofErr w:type="spellEnd"/>
      <w:r w:rsidR="00244EA8" w:rsidRPr="006256B6">
        <w:rPr>
          <w:szCs w:val="21"/>
        </w:rPr>
        <w:t xml:space="preserve"> </w:t>
      </w:r>
      <w:proofErr w:type="spellStart"/>
      <w:r w:rsidR="00244EA8" w:rsidRPr="006256B6">
        <w:rPr>
          <w:szCs w:val="21"/>
        </w:rPr>
        <w:t>Hu</w:t>
      </w:r>
      <w:proofErr w:type="spellEnd"/>
      <w:r w:rsidR="00244EA8" w:rsidRPr="006256B6">
        <w:rPr>
          <w:szCs w:val="21"/>
        </w:rPr>
        <w:t xml:space="preserve">, Jonathan </w:t>
      </w:r>
      <w:proofErr w:type="spellStart"/>
      <w:r w:rsidR="00244EA8" w:rsidRPr="006256B6">
        <w:rPr>
          <w:szCs w:val="21"/>
        </w:rPr>
        <w:t>Klick</w:t>
      </w:r>
      <w:proofErr w:type="spellEnd"/>
      <w:r w:rsidR="00244EA8" w:rsidRPr="006256B6">
        <w:rPr>
          <w:szCs w:val="21"/>
        </w:rPr>
        <w:t xml:space="preserve">, </w:t>
      </w:r>
      <w:proofErr w:type="spellStart"/>
      <w:r w:rsidR="00244EA8" w:rsidRPr="006256B6">
        <w:rPr>
          <w:szCs w:val="21"/>
        </w:rPr>
        <w:t>Ricca</w:t>
      </w:r>
      <w:r w:rsidR="006256B6" w:rsidRPr="006256B6">
        <w:rPr>
          <w:szCs w:val="21"/>
        </w:rPr>
        <w:t>rdo</w:t>
      </w:r>
      <w:proofErr w:type="spellEnd"/>
      <w:r w:rsidR="006256B6" w:rsidRPr="006256B6">
        <w:rPr>
          <w:szCs w:val="21"/>
        </w:rPr>
        <w:t xml:space="preserve"> </w:t>
      </w:r>
      <w:proofErr w:type="spellStart"/>
      <w:r w:rsidR="006256B6" w:rsidRPr="006256B6">
        <w:rPr>
          <w:szCs w:val="21"/>
        </w:rPr>
        <w:t>Leoncini</w:t>
      </w:r>
      <w:proofErr w:type="spellEnd"/>
      <w:r w:rsidR="006256B6" w:rsidRPr="006256B6">
        <w:rPr>
          <w:szCs w:val="21"/>
        </w:rPr>
        <w:t xml:space="preserve">, </w:t>
      </w:r>
      <w:proofErr w:type="spellStart"/>
      <w:r w:rsidR="006256B6" w:rsidRPr="006256B6">
        <w:rPr>
          <w:szCs w:val="21"/>
        </w:rPr>
        <w:t>Sandro</w:t>
      </w:r>
      <w:proofErr w:type="spellEnd"/>
      <w:r w:rsidR="006256B6" w:rsidRPr="006256B6">
        <w:rPr>
          <w:szCs w:val="21"/>
        </w:rPr>
        <w:t xml:space="preserve"> </w:t>
      </w:r>
      <w:proofErr w:type="spellStart"/>
      <w:r w:rsidR="006256B6" w:rsidRPr="006256B6">
        <w:rPr>
          <w:szCs w:val="21"/>
        </w:rPr>
        <w:t>Montresor</w:t>
      </w:r>
      <w:proofErr w:type="spellEnd"/>
      <w:r w:rsidR="006256B6" w:rsidRPr="006256B6">
        <w:rPr>
          <w:rFonts w:hint="eastAsia"/>
          <w:szCs w:val="21"/>
        </w:rPr>
        <w:t xml:space="preserve"> and </w:t>
      </w:r>
      <w:r w:rsidR="00244EA8" w:rsidRPr="006256B6">
        <w:rPr>
          <w:szCs w:val="21"/>
        </w:rPr>
        <w:t>Tao Xi.</w:t>
      </w:r>
      <w:r w:rsidR="00244EA8" w:rsidRPr="006256B6">
        <w:rPr>
          <w:rFonts w:hint="eastAsia"/>
          <w:szCs w:val="21"/>
        </w:rPr>
        <w:t xml:space="preserve"> </w:t>
      </w:r>
      <w:r w:rsidR="007C639A" w:rsidRPr="006256B6">
        <w:rPr>
          <w:szCs w:val="21"/>
        </w:rPr>
        <w:t>We</w:t>
      </w:r>
      <w:r w:rsidR="007C639A" w:rsidRPr="006256B6">
        <w:rPr>
          <w:rFonts w:hint="eastAsia"/>
          <w:szCs w:val="21"/>
        </w:rPr>
        <w:t xml:space="preserve"> </w:t>
      </w:r>
      <w:r w:rsidR="006256B6" w:rsidRPr="006256B6">
        <w:rPr>
          <w:rFonts w:hint="eastAsia"/>
          <w:szCs w:val="21"/>
        </w:rPr>
        <w:t xml:space="preserve">gratefully acknowledge </w:t>
      </w:r>
      <w:r w:rsidR="007C639A" w:rsidRPr="006256B6">
        <w:rPr>
          <w:rFonts w:hint="eastAsia"/>
          <w:szCs w:val="21"/>
        </w:rPr>
        <w:t xml:space="preserve">the </w:t>
      </w:r>
      <w:r w:rsidR="007C639A" w:rsidRPr="006256B6">
        <w:rPr>
          <w:szCs w:val="21"/>
        </w:rPr>
        <w:t>financial support from</w:t>
      </w:r>
      <w:r w:rsidR="007C639A" w:rsidRPr="006256B6">
        <w:rPr>
          <w:rFonts w:hint="eastAsia"/>
          <w:szCs w:val="21"/>
        </w:rPr>
        <w:t xml:space="preserve"> the </w:t>
      </w:r>
      <w:r w:rsidR="007C639A" w:rsidRPr="006256B6">
        <w:rPr>
          <w:szCs w:val="21"/>
        </w:rPr>
        <w:t>Program for Young Innovative Research Teams of the CUPL (project number 16CXTD 09).</w:t>
      </w:r>
      <w:r w:rsidR="007C639A" w:rsidRPr="006256B6">
        <w:rPr>
          <w:rFonts w:hint="eastAsia"/>
          <w:szCs w:val="21"/>
        </w:rPr>
        <w:t xml:space="preserve"> </w:t>
      </w:r>
    </w:p>
  </w:footnote>
  <w:footnote w:id="2">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Legal institutions facilitate stock market development because they curb agency costs. There are mainly three types of agency problems: The one between professional managers and shareholders in firms with dispersed ownership structures; the one between controlling shareholders and minority shareholders in firms with dominant shareholders; and the one between shareholders and other corporate constituencies, such as creditors in the vicinity of insolvency (</w:t>
      </w:r>
      <w:proofErr w:type="spellStart"/>
      <w:r w:rsidRPr="006256B6">
        <w:rPr>
          <w:rFonts w:ascii="Times New Roman" w:hAnsi="Times New Roman"/>
          <w:sz w:val="21"/>
          <w:szCs w:val="21"/>
        </w:rPr>
        <w:t>Kraakman</w:t>
      </w:r>
      <w:proofErr w:type="spellEnd"/>
      <w:r w:rsidRPr="006256B6">
        <w:rPr>
          <w:rFonts w:ascii="Times New Roman" w:hAnsi="Times New Roman"/>
          <w:sz w:val="21"/>
          <w:szCs w:val="21"/>
        </w:rPr>
        <w:t xml:space="preserve"> </w:t>
      </w:r>
      <w:r w:rsidRPr="006256B6">
        <w:rPr>
          <w:rFonts w:ascii="Times New Roman" w:hAnsi="Times New Roman"/>
          <w:i/>
          <w:sz w:val="21"/>
          <w:szCs w:val="21"/>
        </w:rPr>
        <w:t>et al.</w:t>
      </w:r>
      <w:r w:rsidRPr="006256B6">
        <w:rPr>
          <w:rFonts w:ascii="Times New Roman" w:hAnsi="Times New Roman"/>
          <w:sz w:val="21"/>
          <w:szCs w:val="21"/>
        </w:rPr>
        <w:t>, 2011). This paper focuses on the laws reducing agency costs attributable to the former two relationships.</w:t>
      </w:r>
    </w:p>
  </w:footnote>
  <w:footnote w:id="3">
    <w:p w:rsidR="00510ED6" w:rsidRPr="006256B6" w:rsidRDefault="00510ED6" w:rsidP="007C639A">
      <w:pPr>
        <w:mirrorIndents/>
        <w:jc w:val="left"/>
        <w:rPr>
          <w:szCs w:val="21"/>
        </w:rPr>
      </w:pPr>
      <w:r w:rsidRPr="006256B6">
        <w:rPr>
          <w:rStyle w:val="a6"/>
          <w:szCs w:val="21"/>
        </w:rPr>
        <w:footnoteRef/>
      </w:r>
      <w:r w:rsidRPr="006256B6">
        <w:rPr>
          <w:szCs w:val="21"/>
        </w:rPr>
        <w:t xml:space="preserve"> The </w:t>
      </w:r>
      <w:bookmarkStart w:id="20" w:name="OLE_LINK29"/>
      <w:bookmarkStart w:id="21" w:name="OLE_LINK39"/>
      <w:r w:rsidRPr="006256B6">
        <w:rPr>
          <w:szCs w:val="21"/>
        </w:rPr>
        <w:t>ANTIDRI</w:t>
      </w:r>
      <w:bookmarkEnd w:id="20"/>
      <w:bookmarkEnd w:id="21"/>
      <w:r w:rsidRPr="006256B6">
        <w:rPr>
          <w:szCs w:val="21"/>
        </w:rPr>
        <w:t xml:space="preserve"> is an average of six sub-indices: “Proxy by mail allowed”, “Shares not blocked before the meeting”, “Cumulative voting or proportional representation”, “Oppressed minorities mechanism”, “Preemptive rights”, and “Percentage of share capital to call an extraordinary shareholders’ meeting”, which measures the </w:t>
      </w:r>
      <w:r w:rsidRPr="006256B6">
        <w:rPr>
          <w:i/>
          <w:szCs w:val="21"/>
        </w:rPr>
        <w:t>de jure</w:t>
      </w:r>
      <w:r w:rsidRPr="006256B6">
        <w:rPr>
          <w:szCs w:val="21"/>
        </w:rPr>
        <w:t xml:space="preserve"> protection of shareholders against professional managers.</w:t>
      </w:r>
    </w:p>
  </w:footnote>
  <w:footnote w:id="4">
    <w:p w:rsidR="00510ED6" w:rsidRPr="006256B6" w:rsidRDefault="00510ED6" w:rsidP="007C639A">
      <w:pPr>
        <w:mirrorIndents/>
        <w:jc w:val="left"/>
        <w:rPr>
          <w:szCs w:val="21"/>
        </w:rPr>
      </w:pPr>
      <w:r w:rsidRPr="006256B6">
        <w:rPr>
          <w:rStyle w:val="a6"/>
          <w:szCs w:val="21"/>
        </w:rPr>
        <w:footnoteRef/>
      </w:r>
      <w:r w:rsidRPr="006256B6">
        <w:rPr>
          <w:szCs w:val="21"/>
        </w:rPr>
        <w:t xml:space="preserve"> The ANTISDI is constructed based on a multinational survey on the regulation of stylized self-dealing transactions, which measures the protection of minority shareholders against controlling shareholders.</w:t>
      </w:r>
    </w:p>
  </w:footnote>
  <w:footnote w:id="5">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In addition to home-country bias, </w:t>
      </w:r>
      <w:proofErr w:type="spellStart"/>
      <w:r w:rsidRPr="006256B6">
        <w:rPr>
          <w:rFonts w:ascii="Times New Roman" w:hAnsi="Times New Roman"/>
          <w:sz w:val="21"/>
          <w:szCs w:val="21"/>
        </w:rPr>
        <w:t>Spamann</w:t>
      </w:r>
      <w:proofErr w:type="spellEnd"/>
      <w:r w:rsidRPr="006256B6">
        <w:rPr>
          <w:rFonts w:ascii="Times New Roman" w:hAnsi="Times New Roman"/>
          <w:sz w:val="21"/>
          <w:szCs w:val="21"/>
        </w:rPr>
        <w:t xml:space="preserve"> (2010) finds that the ANTIDRI is constructed with coding errors; once those are corrected, the correlation between the index and ownership structure becomes insignificant.</w:t>
      </w:r>
    </w:p>
  </w:footnote>
  <w:footnote w:id="6">
    <w:p w:rsidR="00510ED6" w:rsidRPr="006256B6" w:rsidRDefault="00510ED6" w:rsidP="007C639A">
      <w:pPr>
        <w:mirrorIndents/>
        <w:jc w:val="left"/>
        <w:rPr>
          <w:szCs w:val="21"/>
        </w:rPr>
      </w:pPr>
      <w:r w:rsidRPr="006256B6">
        <w:rPr>
          <w:rStyle w:val="a6"/>
          <w:szCs w:val="21"/>
        </w:rPr>
        <w:footnoteRef/>
      </w:r>
      <w:r w:rsidRPr="006256B6">
        <w:rPr>
          <w:szCs w:val="21"/>
        </w:rPr>
        <w:t xml:space="preserve"> It should be noted that ownership structure evolves dynamically. Newly listed firms are shown to have concentrated ownership structures around the world (Foley and Greenwood, 2010). For listed U.K. firms, the dispersed ownership structure is mainly driven by mergers (Franks, Mayer and Rossi, 2009), whereas for listed U.S. firms, ownership becomes dispersed if their common stocks have high market valuation and sufficient liquidity (</w:t>
      </w:r>
      <w:proofErr w:type="spellStart"/>
      <w:r w:rsidRPr="006256B6">
        <w:rPr>
          <w:szCs w:val="21"/>
        </w:rPr>
        <w:t>Helwege</w:t>
      </w:r>
      <w:proofErr w:type="spellEnd"/>
      <w:r w:rsidRPr="006256B6">
        <w:rPr>
          <w:szCs w:val="21"/>
        </w:rPr>
        <w:t xml:space="preserve">, </w:t>
      </w:r>
      <w:proofErr w:type="spellStart"/>
      <w:r w:rsidRPr="006256B6">
        <w:rPr>
          <w:szCs w:val="21"/>
        </w:rPr>
        <w:t>Pirinsky</w:t>
      </w:r>
      <w:proofErr w:type="spellEnd"/>
      <w:r w:rsidRPr="006256B6">
        <w:rPr>
          <w:szCs w:val="21"/>
        </w:rPr>
        <w:t xml:space="preserve"> and </w:t>
      </w:r>
      <w:proofErr w:type="spellStart"/>
      <w:r w:rsidRPr="006256B6">
        <w:rPr>
          <w:szCs w:val="21"/>
        </w:rPr>
        <w:t>Stulz</w:t>
      </w:r>
      <w:proofErr w:type="spellEnd"/>
      <w:r w:rsidRPr="006256B6">
        <w:rPr>
          <w:szCs w:val="21"/>
        </w:rPr>
        <w:t>, 2007).</w:t>
      </w:r>
    </w:p>
  </w:footnote>
  <w:footnote w:id="7">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w:t>
      </w:r>
      <w:bookmarkStart w:id="40" w:name="OLE_LINK11"/>
      <w:bookmarkStart w:id="41" w:name="OLE_LINK19"/>
      <w:r w:rsidRPr="006256B6">
        <w:rPr>
          <w:rFonts w:ascii="Times New Roman" w:hAnsi="Times New Roman"/>
          <w:sz w:val="21"/>
          <w:szCs w:val="21"/>
        </w:rPr>
        <w:t>The BMA algorithm employs no instruments and therefore cannot be expected to address the concern that legal variables, such as ANTIDRI and ANTISDI, are endogenous to the capital market development. This may compromise our empirical findings.</w:t>
      </w:r>
      <w:bookmarkEnd w:id="40"/>
      <w:bookmarkEnd w:id="41"/>
    </w:p>
  </w:footnote>
  <w:footnote w:id="8">
    <w:p w:rsidR="00510ED6" w:rsidRPr="006256B6" w:rsidRDefault="00510ED6" w:rsidP="007C639A">
      <w:pPr>
        <w:mirrorIndents/>
        <w:jc w:val="left"/>
        <w:rPr>
          <w:szCs w:val="21"/>
        </w:rPr>
      </w:pPr>
      <w:r w:rsidRPr="006256B6">
        <w:rPr>
          <w:rStyle w:val="a6"/>
          <w:szCs w:val="21"/>
        </w:rPr>
        <w:footnoteRef/>
      </w:r>
      <w:r w:rsidRPr="006256B6">
        <w:rPr>
          <w:szCs w:val="21"/>
        </w:rPr>
        <w:t xml:space="preserve"> In this paper, we specify no free variables that are fixed in our empirical model.</w:t>
      </w:r>
    </w:p>
  </w:footnote>
  <w:footnote w:id="9">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The variable “tax evasion” index assesses the prevalence of tax evasion, which comes from the World Economic Forum (2003).</w:t>
      </w:r>
    </w:p>
  </w:footnote>
  <w:footnote w:id="10">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The variable CHECK is defined as the logarithm of the estimated calendar days of the judicial procedure to collect on a bounced check, which is used to measure the effectiveness of courts as mechanisms for resolving simple disputes and is given by </w:t>
      </w:r>
      <w:proofErr w:type="spellStart"/>
      <w:r w:rsidRPr="006256B6">
        <w:rPr>
          <w:rFonts w:ascii="Times New Roman" w:hAnsi="Times New Roman"/>
          <w:sz w:val="21"/>
          <w:szCs w:val="21"/>
        </w:rPr>
        <w:t>Djankov</w:t>
      </w:r>
      <w:proofErr w:type="spellEnd"/>
      <w:r w:rsidRPr="006256B6">
        <w:rPr>
          <w:rFonts w:ascii="Times New Roman" w:hAnsi="Times New Roman"/>
          <w:sz w:val="21"/>
          <w:szCs w:val="21"/>
        </w:rPr>
        <w:t xml:space="preserve">, La </w:t>
      </w:r>
      <w:proofErr w:type="spellStart"/>
      <w:r w:rsidRPr="006256B6">
        <w:rPr>
          <w:rFonts w:ascii="Times New Roman" w:hAnsi="Times New Roman"/>
          <w:sz w:val="21"/>
          <w:szCs w:val="21"/>
        </w:rPr>
        <w:t>Porta</w:t>
      </w:r>
      <w:proofErr w:type="spellEnd"/>
      <w:r w:rsidRPr="006256B6">
        <w:rPr>
          <w:rFonts w:ascii="Times New Roman" w:hAnsi="Times New Roman"/>
          <w:sz w:val="21"/>
          <w:szCs w:val="21"/>
        </w:rPr>
        <w:t xml:space="preserve">, </w:t>
      </w:r>
      <w:proofErr w:type="spellStart"/>
      <w:r w:rsidRPr="006256B6">
        <w:rPr>
          <w:rFonts w:ascii="Times New Roman" w:hAnsi="Times New Roman"/>
          <w:sz w:val="21"/>
          <w:szCs w:val="21"/>
        </w:rPr>
        <w:t>López</w:t>
      </w:r>
      <w:proofErr w:type="spellEnd"/>
      <w:r w:rsidRPr="006256B6">
        <w:rPr>
          <w:rFonts w:ascii="Times New Roman" w:hAnsi="Times New Roman"/>
          <w:sz w:val="21"/>
          <w:szCs w:val="21"/>
        </w:rPr>
        <w:t>-de-</w:t>
      </w:r>
      <w:proofErr w:type="spellStart"/>
      <w:r w:rsidRPr="006256B6">
        <w:rPr>
          <w:rFonts w:ascii="Times New Roman" w:hAnsi="Times New Roman"/>
          <w:sz w:val="21"/>
          <w:szCs w:val="21"/>
        </w:rPr>
        <w:t>Silanes</w:t>
      </w:r>
      <w:proofErr w:type="spellEnd"/>
      <w:r w:rsidRPr="006256B6">
        <w:rPr>
          <w:rFonts w:ascii="Times New Roman" w:hAnsi="Times New Roman"/>
          <w:sz w:val="21"/>
          <w:szCs w:val="21"/>
        </w:rPr>
        <w:t xml:space="preserve"> and </w:t>
      </w:r>
      <w:proofErr w:type="spellStart"/>
      <w:r w:rsidRPr="006256B6">
        <w:rPr>
          <w:rFonts w:ascii="Times New Roman" w:hAnsi="Times New Roman"/>
          <w:sz w:val="21"/>
          <w:szCs w:val="21"/>
        </w:rPr>
        <w:t>Shleifer</w:t>
      </w:r>
      <w:proofErr w:type="spellEnd"/>
      <w:r w:rsidRPr="006256B6">
        <w:rPr>
          <w:rFonts w:ascii="Times New Roman" w:hAnsi="Times New Roman"/>
          <w:sz w:val="21"/>
          <w:szCs w:val="21"/>
        </w:rPr>
        <w:t xml:space="preserve"> (2003).</w:t>
      </w:r>
    </w:p>
  </w:footnote>
  <w:footnote w:id="11">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We also perform BMA analysis with a sample of 44 countries and districts and a different set of 27 doubtful variables as the robustness check.</w:t>
      </w:r>
    </w:p>
  </w:footnote>
  <w:footnote w:id="12">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For earlier applications of the modified version of “extreme bounds analysis” in the growth regressions, see Levine and </w:t>
      </w:r>
      <w:proofErr w:type="spellStart"/>
      <w:r w:rsidRPr="006256B6">
        <w:rPr>
          <w:rFonts w:ascii="Times New Roman" w:hAnsi="Times New Roman"/>
          <w:sz w:val="21"/>
          <w:szCs w:val="21"/>
        </w:rPr>
        <w:t>Renelt</w:t>
      </w:r>
      <w:proofErr w:type="spellEnd"/>
      <w:r w:rsidRPr="006256B6">
        <w:rPr>
          <w:rFonts w:ascii="Times New Roman" w:hAnsi="Times New Roman"/>
          <w:sz w:val="21"/>
          <w:szCs w:val="21"/>
        </w:rPr>
        <w:t xml:space="preserve"> (1992) and </w:t>
      </w:r>
      <w:proofErr w:type="spellStart"/>
      <w:r w:rsidRPr="006256B6">
        <w:rPr>
          <w:rFonts w:ascii="Times New Roman" w:hAnsi="Times New Roman"/>
          <w:sz w:val="21"/>
          <w:szCs w:val="21"/>
        </w:rPr>
        <w:t>Sala</w:t>
      </w:r>
      <w:proofErr w:type="spellEnd"/>
      <w:r w:rsidRPr="006256B6">
        <w:rPr>
          <w:rFonts w:ascii="Times New Roman" w:hAnsi="Times New Roman"/>
          <w:sz w:val="21"/>
          <w:szCs w:val="21"/>
        </w:rPr>
        <w:t>-</w:t>
      </w:r>
      <w:proofErr w:type="spellStart"/>
      <w:r w:rsidRPr="006256B6">
        <w:rPr>
          <w:rFonts w:ascii="Times New Roman" w:hAnsi="Times New Roman"/>
          <w:sz w:val="21"/>
          <w:szCs w:val="21"/>
        </w:rPr>
        <w:t>i</w:t>
      </w:r>
      <w:proofErr w:type="spellEnd"/>
      <w:r w:rsidRPr="006256B6">
        <w:rPr>
          <w:rFonts w:ascii="Times New Roman" w:hAnsi="Times New Roman"/>
          <w:sz w:val="21"/>
          <w:szCs w:val="21"/>
        </w:rPr>
        <w:t xml:space="preserve">-Martin (1997). For applications of the BMA algorithm, see </w:t>
      </w:r>
      <w:proofErr w:type="spellStart"/>
      <w:r w:rsidRPr="006256B6">
        <w:rPr>
          <w:rFonts w:ascii="Times New Roman" w:hAnsi="Times New Roman"/>
          <w:sz w:val="21"/>
          <w:szCs w:val="21"/>
        </w:rPr>
        <w:t>Fernández</w:t>
      </w:r>
      <w:proofErr w:type="spellEnd"/>
      <w:r w:rsidRPr="006256B6">
        <w:rPr>
          <w:rFonts w:ascii="Times New Roman" w:hAnsi="Times New Roman"/>
          <w:sz w:val="21"/>
          <w:szCs w:val="21"/>
        </w:rPr>
        <w:t xml:space="preserve">, </w:t>
      </w:r>
      <w:proofErr w:type="spellStart"/>
      <w:r w:rsidRPr="006256B6">
        <w:rPr>
          <w:rFonts w:ascii="Times New Roman" w:hAnsi="Times New Roman"/>
          <w:sz w:val="21"/>
          <w:szCs w:val="21"/>
        </w:rPr>
        <w:t>Ley</w:t>
      </w:r>
      <w:proofErr w:type="spellEnd"/>
      <w:r w:rsidRPr="006256B6">
        <w:rPr>
          <w:rFonts w:ascii="Times New Roman" w:hAnsi="Times New Roman"/>
          <w:sz w:val="21"/>
          <w:szCs w:val="21"/>
        </w:rPr>
        <w:t xml:space="preserve"> and Steel (2001), Brock and </w:t>
      </w:r>
      <w:proofErr w:type="spellStart"/>
      <w:r w:rsidRPr="006256B6">
        <w:rPr>
          <w:rFonts w:ascii="Times New Roman" w:hAnsi="Times New Roman"/>
          <w:sz w:val="21"/>
          <w:szCs w:val="21"/>
        </w:rPr>
        <w:t>Durlauf</w:t>
      </w:r>
      <w:proofErr w:type="spellEnd"/>
      <w:r w:rsidRPr="006256B6">
        <w:rPr>
          <w:rFonts w:ascii="Times New Roman" w:hAnsi="Times New Roman"/>
          <w:sz w:val="21"/>
          <w:szCs w:val="21"/>
        </w:rPr>
        <w:t xml:space="preserve"> (2001), and </w:t>
      </w:r>
      <w:proofErr w:type="spellStart"/>
      <w:r w:rsidRPr="006256B6">
        <w:rPr>
          <w:rFonts w:ascii="Times New Roman" w:hAnsi="Times New Roman"/>
          <w:sz w:val="21"/>
          <w:szCs w:val="21"/>
        </w:rPr>
        <w:t>Sala</w:t>
      </w:r>
      <w:proofErr w:type="spellEnd"/>
      <w:r w:rsidRPr="006256B6">
        <w:rPr>
          <w:rFonts w:ascii="Times New Roman" w:hAnsi="Times New Roman"/>
          <w:sz w:val="21"/>
          <w:szCs w:val="21"/>
        </w:rPr>
        <w:t>-</w:t>
      </w:r>
      <w:proofErr w:type="spellStart"/>
      <w:r w:rsidRPr="006256B6">
        <w:rPr>
          <w:rFonts w:ascii="Times New Roman" w:hAnsi="Times New Roman"/>
          <w:sz w:val="21"/>
          <w:szCs w:val="21"/>
        </w:rPr>
        <w:t>i</w:t>
      </w:r>
      <w:proofErr w:type="spellEnd"/>
      <w:r w:rsidRPr="006256B6">
        <w:rPr>
          <w:rFonts w:ascii="Times New Roman" w:hAnsi="Times New Roman"/>
          <w:sz w:val="21"/>
          <w:szCs w:val="21"/>
        </w:rPr>
        <w:t xml:space="preserve">-Martin, </w:t>
      </w:r>
      <w:proofErr w:type="spellStart"/>
      <w:r w:rsidRPr="006256B6">
        <w:rPr>
          <w:rFonts w:ascii="Times New Roman" w:hAnsi="Times New Roman"/>
          <w:sz w:val="21"/>
          <w:szCs w:val="21"/>
        </w:rPr>
        <w:t>Doppelhofer</w:t>
      </w:r>
      <w:proofErr w:type="spellEnd"/>
      <w:r w:rsidRPr="006256B6">
        <w:rPr>
          <w:rFonts w:ascii="Times New Roman" w:hAnsi="Times New Roman"/>
          <w:sz w:val="21"/>
          <w:szCs w:val="21"/>
        </w:rPr>
        <w:t xml:space="preserve"> and Miller (2004).</w:t>
      </w:r>
    </w:p>
  </w:footnote>
  <w:footnote w:id="13">
    <w:p w:rsidR="00510ED6" w:rsidRPr="006256B6" w:rsidRDefault="00510ED6" w:rsidP="007C639A">
      <w:pPr>
        <w:mirrorIndents/>
        <w:jc w:val="left"/>
        <w:rPr>
          <w:szCs w:val="21"/>
        </w:rPr>
      </w:pPr>
      <w:r w:rsidRPr="006256B6">
        <w:rPr>
          <w:rStyle w:val="a6"/>
          <w:szCs w:val="21"/>
        </w:rPr>
        <w:footnoteRef/>
      </w:r>
      <w:r w:rsidRPr="006256B6">
        <w:rPr>
          <w:szCs w:val="21"/>
        </w:rPr>
        <w:t xml:space="preserve"> This observation is in accordance with the theoretical argument made by Black (2001) that good information disclosure is fundamental for a strong stock market.</w:t>
      </w:r>
    </w:p>
  </w:footnote>
  <w:footnote w:id="14">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See two recent survey articles, La </w:t>
      </w:r>
      <w:proofErr w:type="spellStart"/>
      <w:r w:rsidRPr="006256B6">
        <w:rPr>
          <w:rFonts w:ascii="Times New Roman" w:hAnsi="Times New Roman"/>
          <w:sz w:val="21"/>
          <w:szCs w:val="21"/>
        </w:rPr>
        <w:t>Porta</w:t>
      </w:r>
      <w:proofErr w:type="spellEnd"/>
      <w:r w:rsidRPr="006256B6">
        <w:rPr>
          <w:rFonts w:ascii="Times New Roman" w:hAnsi="Times New Roman"/>
          <w:sz w:val="21"/>
          <w:szCs w:val="21"/>
        </w:rPr>
        <w:t xml:space="preserve"> </w:t>
      </w:r>
      <w:r w:rsidRPr="006256B6">
        <w:rPr>
          <w:rFonts w:ascii="Times New Roman" w:hAnsi="Times New Roman"/>
          <w:i/>
          <w:sz w:val="21"/>
          <w:szCs w:val="21"/>
        </w:rPr>
        <w:t>et al.</w:t>
      </w:r>
      <w:r w:rsidRPr="006256B6">
        <w:rPr>
          <w:rFonts w:ascii="Times New Roman" w:hAnsi="Times New Roman"/>
          <w:sz w:val="21"/>
          <w:szCs w:val="21"/>
        </w:rPr>
        <w:t xml:space="preserve"> (2008) and </w:t>
      </w:r>
      <w:proofErr w:type="spellStart"/>
      <w:r w:rsidRPr="006256B6">
        <w:rPr>
          <w:rFonts w:ascii="Times New Roman" w:hAnsi="Times New Roman"/>
          <w:sz w:val="21"/>
          <w:szCs w:val="21"/>
        </w:rPr>
        <w:t>Xu</w:t>
      </w:r>
      <w:proofErr w:type="spellEnd"/>
      <w:r w:rsidRPr="006256B6">
        <w:rPr>
          <w:rFonts w:ascii="Times New Roman" w:hAnsi="Times New Roman"/>
          <w:sz w:val="21"/>
          <w:szCs w:val="21"/>
        </w:rPr>
        <w:t xml:space="preserve"> (2011), for discussions on this literature.</w:t>
      </w:r>
    </w:p>
  </w:footnote>
  <w:footnote w:id="15">
    <w:p w:rsidR="00510ED6" w:rsidRPr="006256B6" w:rsidRDefault="00510ED6" w:rsidP="007C639A">
      <w:pPr>
        <w:mirrorIndents/>
        <w:jc w:val="left"/>
        <w:rPr>
          <w:szCs w:val="21"/>
        </w:rPr>
      </w:pPr>
      <w:r w:rsidRPr="006256B6">
        <w:rPr>
          <w:rStyle w:val="a6"/>
          <w:szCs w:val="21"/>
        </w:rPr>
        <w:footnoteRef/>
      </w:r>
      <w:r w:rsidRPr="006256B6">
        <w:rPr>
          <w:szCs w:val="21"/>
        </w:rPr>
        <w:t xml:space="preserve"> The debates on legal origin theory show multiple caveats. First, as is observed by Berkowitz, </w:t>
      </w:r>
      <w:proofErr w:type="spellStart"/>
      <w:r w:rsidRPr="006256B6">
        <w:rPr>
          <w:szCs w:val="21"/>
        </w:rPr>
        <w:t>Pistor</w:t>
      </w:r>
      <w:proofErr w:type="spellEnd"/>
      <w:r w:rsidRPr="006256B6">
        <w:rPr>
          <w:szCs w:val="21"/>
        </w:rPr>
        <w:t xml:space="preserve"> and Richard (2003), the origin countries develop their legal origins endogenously rather than through exogenous transplantations. Second, the cross-country divergence in </w:t>
      </w:r>
      <w:r w:rsidRPr="006256B6">
        <w:rPr>
          <w:i/>
          <w:szCs w:val="21"/>
        </w:rPr>
        <w:t>de jure</w:t>
      </w:r>
      <w:r w:rsidRPr="006256B6">
        <w:rPr>
          <w:szCs w:val="21"/>
        </w:rPr>
        <w:t xml:space="preserve"> corporate governance institutions tends to narrow, and the convergence to “best practices” is observed by multiple panel analysis (</w:t>
      </w:r>
      <w:proofErr w:type="spellStart"/>
      <w:r w:rsidRPr="006256B6">
        <w:rPr>
          <w:szCs w:val="21"/>
        </w:rPr>
        <w:t>Armour</w:t>
      </w:r>
      <w:proofErr w:type="spellEnd"/>
      <w:r w:rsidRPr="006256B6">
        <w:rPr>
          <w:szCs w:val="21"/>
        </w:rPr>
        <w:t xml:space="preserve"> </w:t>
      </w:r>
      <w:r w:rsidRPr="006256B6">
        <w:rPr>
          <w:i/>
          <w:szCs w:val="21"/>
        </w:rPr>
        <w:t>et al.</w:t>
      </w:r>
      <w:r w:rsidRPr="006256B6">
        <w:rPr>
          <w:szCs w:val="21"/>
        </w:rPr>
        <w:t xml:space="preserve">, 2009; </w:t>
      </w:r>
      <w:proofErr w:type="spellStart"/>
      <w:r w:rsidRPr="006256B6">
        <w:rPr>
          <w:szCs w:val="21"/>
        </w:rPr>
        <w:t>Martynova</w:t>
      </w:r>
      <w:proofErr w:type="spellEnd"/>
      <w:r w:rsidRPr="006256B6">
        <w:rPr>
          <w:szCs w:val="21"/>
        </w:rPr>
        <w:t xml:space="preserve"> and </w:t>
      </w:r>
      <w:proofErr w:type="spellStart"/>
      <w:r w:rsidRPr="006256B6">
        <w:rPr>
          <w:szCs w:val="21"/>
        </w:rPr>
        <w:t>Renneboog</w:t>
      </w:r>
      <w:proofErr w:type="spellEnd"/>
      <w:r w:rsidRPr="006256B6">
        <w:rPr>
          <w:szCs w:val="21"/>
        </w:rPr>
        <w:t xml:space="preserve">, 2011). Third, </w:t>
      </w:r>
      <w:proofErr w:type="spellStart"/>
      <w:r w:rsidRPr="006256B6">
        <w:rPr>
          <w:szCs w:val="21"/>
        </w:rPr>
        <w:t>Klerman</w:t>
      </w:r>
      <w:proofErr w:type="spellEnd"/>
      <w:r w:rsidRPr="006256B6">
        <w:rPr>
          <w:szCs w:val="21"/>
        </w:rPr>
        <w:t xml:space="preserve">, Mahoney, </w:t>
      </w:r>
      <w:proofErr w:type="spellStart"/>
      <w:r w:rsidRPr="006256B6">
        <w:rPr>
          <w:szCs w:val="21"/>
        </w:rPr>
        <w:t>Spamann</w:t>
      </w:r>
      <w:proofErr w:type="spellEnd"/>
      <w:r w:rsidRPr="006256B6">
        <w:rPr>
          <w:szCs w:val="21"/>
        </w:rPr>
        <w:t>, and Weinstein (2011) argue that LLSV’s codification of legal origins is inaccurate, and they classify five countries, Israel, South Africa, Sri Lanka, Thailand, Zimbabwe, that were originally in the common law group, into the group that have mixed legal origins. This updated classification of legal origins is adopted in this article.</w:t>
      </w:r>
    </w:p>
  </w:footnote>
  <w:footnote w:id="16">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It should be noticed that DLLS (2008) update the ANTIDRI and present a revised ANTIDRI (RANTIDRI), which is adopted in the later analysis.</w:t>
      </w:r>
    </w:p>
  </w:footnote>
  <w:footnote w:id="17">
    <w:p w:rsidR="00510ED6" w:rsidRPr="006256B6" w:rsidRDefault="00510ED6" w:rsidP="007C639A">
      <w:pPr>
        <w:mirrorIndents/>
        <w:jc w:val="left"/>
        <w:rPr>
          <w:szCs w:val="21"/>
        </w:rPr>
      </w:pPr>
      <w:r w:rsidRPr="006256B6">
        <w:rPr>
          <w:rStyle w:val="a6"/>
          <w:szCs w:val="21"/>
        </w:rPr>
        <w:footnoteRef/>
      </w:r>
      <w:r w:rsidRPr="006256B6">
        <w:rPr>
          <w:szCs w:val="21"/>
        </w:rPr>
        <w:t xml:space="preserve"> </w:t>
      </w:r>
      <w:proofErr w:type="spellStart"/>
      <w:r w:rsidRPr="006256B6">
        <w:rPr>
          <w:szCs w:val="21"/>
        </w:rPr>
        <w:t>Acemoglu</w:t>
      </w:r>
      <w:proofErr w:type="spellEnd"/>
      <w:r w:rsidRPr="006256B6">
        <w:rPr>
          <w:szCs w:val="21"/>
        </w:rPr>
        <w:t>, Johnson, and Robinson (2001, 2002) provide an alternative endowment theory that focuses on the quality of the legal institutions that are transplanted to the colonized countries. In areas that are suitable for forced work in agriculture or mining because of high local population density or in which Europeans could not easily survive because of local disease, European colonizers set up “extractive states” to transfer as much of the colonies’ resources to the colonizer rather than protecting private property rights and limiting the power of the government. In contrast, in other regions such as New England, where the natives were not easy to enslave, where it was difficult to organize massive exploitative activities, and where the local (disease) environment was hospitable to colonizers, many Europeans settled down and attempted to replicate European institutions with strong emphasis on private property and checks against governmental power. However, this theory only applies to transplanted countries, and consequently, it is not employed in our study.</w:t>
      </w:r>
    </w:p>
  </w:footnote>
  <w:footnote w:id="18">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Legality is a weighted average of five components: judicial efficiency, rule of law, corruption, risk of expropriation, and risk of contract repudiation.</w:t>
      </w:r>
    </w:p>
  </w:footnote>
  <w:footnote w:id="19">
    <w:p w:rsidR="00510ED6" w:rsidRPr="006256B6" w:rsidRDefault="00510ED6" w:rsidP="007C639A">
      <w:pPr>
        <w:mirrorIndents/>
        <w:jc w:val="left"/>
        <w:rPr>
          <w:szCs w:val="21"/>
        </w:rPr>
      </w:pPr>
      <w:r w:rsidRPr="006256B6">
        <w:rPr>
          <w:rStyle w:val="a6"/>
          <w:szCs w:val="21"/>
        </w:rPr>
        <w:footnoteRef/>
      </w:r>
      <w:r w:rsidRPr="006256B6">
        <w:rPr>
          <w:szCs w:val="21"/>
        </w:rPr>
        <w:t xml:space="preserve"> </w:t>
      </w:r>
      <w:proofErr w:type="spellStart"/>
      <w:r w:rsidRPr="006256B6">
        <w:rPr>
          <w:szCs w:val="21"/>
        </w:rPr>
        <w:t>Pagano</w:t>
      </w:r>
      <w:proofErr w:type="spellEnd"/>
      <w:r w:rsidRPr="006256B6">
        <w:rPr>
          <w:szCs w:val="21"/>
        </w:rPr>
        <w:t xml:space="preserve"> and </w:t>
      </w:r>
      <w:proofErr w:type="spellStart"/>
      <w:r w:rsidRPr="006256B6">
        <w:rPr>
          <w:szCs w:val="21"/>
        </w:rPr>
        <w:t>Volpin</w:t>
      </w:r>
      <w:proofErr w:type="spellEnd"/>
      <w:r w:rsidRPr="006256B6">
        <w:rPr>
          <w:szCs w:val="21"/>
        </w:rPr>
        <w:t xml:space="preserve"> (2006) propose a structural model and suggest that pro-shareholder rules are more likely to pass when shareholders’ political power increases in the state, consequently lowering the costs of external financing. As a result, listed firms will increase their consumption of external financing, which increases the shareholder base. The feedback loop generates a positive relationship between shareholder protection and stock market development.</w:t>
      </w:r>
    </w:p>
  </w:footnote>
  <w:footnote w:id="20">
    <w:p w:rsidR="00510ED6" w:rsidRPr="006256B6" w:rsidRDefault="00510ED6" w:rsidP="007C639A">
      <w:pPr>
        <w:mirrorIndents/>
        <w:jc w:val="left"/>
        <w:rPr>
          <w:szCs w:val="21"/>
        </w:rPr>
      </w:pPr>
      <w:r w:rsidRPr="006256B6">
        <w:rPr>
          <w:rStyle w:val="a6"/>
          <w:szCs w:val="21"/>
        </w:rPr>
        <w:footnoteRef/>
      </w:r>
      <w:r w:rsidRPr="006256B6">
        <w:rPr>
          <w:szCs w:val="21"/>
        </w:rPr>
        <w:t xml:space="preserve"> As is predicted by the theory of regulatory capture (</w:t>
      </w:r>
      <w:bookmarkStart w:id="62" w:name="OLE_LINK22"/>
      <w:bookmarkStart w:id="63" w:name="OLE_LINK23"/>
      <w:r w:rsidRPr="006256B6">
        <w:rPr>
          <w:szCs w:val="21"/>
        </w:rPr>
        <w:t>Stigler, 1971</w:t>
      </w:r>
      <w:bookmarkEnd w:id="62"/>
      <w:bookmarkEnd w:id="63"/>
      <w:r w:rsidRPr="006256B6">
        <w:rPr>
          <w:szCs w:val="21"/>
        </w:rPr>
        <w:t>), incumbents could also collude with politicians and bureaucrats, who enforce entry-deterring regulations that protect the incumbents’ rents (</w:t>
      </w:r>
      <w:proofErr w:type="spellStart"/>
      <w:r w:rsidRPr="006256B6">
        <w:rPr>
          <w:szCs w:val="21"/>
        </w:rPr>
        <w:t>Djankov</w:t>
      </w:r>
      <w:proofErr w:type="spellEnd"/>
      <w:r w:rsidRPr="006256B6">
        <w:rPr>
          <w:szCs w:val="21"/>
        </w:rPr>
        <w:t xml:space="preserve">, La </w:t>
      </w:r>
      <w:proofErr w:type="spellStart"/>
      <w:r w:rsidRPr="006256B6">
        <w:rPr>
          <w:szCs w:val="21"/>
        </w:rPr>
        <w:t>Porta</w:t>
      </w:r>
      <w:proofErr w:type="spellEnd"/>
      <w:r w:rsidRPr="006256B6">
        <w:rPr>
          <w:szCs w:val="21"/>
        </w:rPr>
        <w:t xml:space="preserve">, </w:t>
      </w:r>
      <w:proofErr w:type="spellStart"/>
      <w:r w:rsidRPr="006256B6">
        <w:rPr>
          <w:szCs w:val="21"/>
        </w:rPr>
        <w:t>López</w:t>
      </w:r>
      <w:proofErr w:type="spellEnd"/>
      <w:r w:rsidRPr="006256B6">
        <w:rPr>
          <w:szCs w:val="21"/>
        </w:rPr>
        <w:t>-de-</w:t>
      </w:r>
      <w:proofErr w:type="spellStart"/>
      <w:r w:rsidRPr="006256B6">
        <w:rPr>
          <w:szCs w:val="21"/>
        </w:rPr>
        <w:t>Silanes</w:t>
      </w:r>
      <w:proofErr w:type="spellEnd"/>
      <w:r w:rsidRPr="006256B6">
        <w:rPr>
          <w:szCs w:val="21"/>
        </w:rPr>
        <w:t xml:space="preserve"> and </w:t>
      </w:r>
      <w:proofErr w:type="spellStart"/>
      <w:r w:rsidRPr="006256B6">
        <w:rPr>
          <w:szCs w:val="21"/>
        </w:rPr>
        <w:t>Shleifer</w:t>
      </w:r>
      <w:proofErr w:type="spellEnd"/>
      <w:r w:rsidRPr="006256B6">
        <w:rPr>
          <w:szCs w:val="21"/>
        </w:rPr>
        <w:t>, 2002). The new entrants bear significant administrative costs to start their businesses (REGISTERCOST), which reduces innovation and hence the need for external financing.</w:t>
      </w:r>
    </w:p>
  </w:footnote>
  <w:footnote w:id="21">
    <w:p w:rsidR="00510ED6" w:rsidRPr="006256B6" w:rsidRDefault="00510ED6" w:rsidP="007C639A">
      <w:pPr>
        <w:mirrorIndents/>
        <w:jc w:val="left"/>
        <w:rPr>
          <w:szCs w:val="21"/>
        </w:rPr>
      </w:pPr>
      <w:r w:rsidRPr="006256B6">
        <w:rPr>
          <w:rStyle w:val="a6"/>
          <w:szCs w:val="21"/>
        </w:rPr>
        <w:footnoteRef/>
      </w:r>
      <w:r w:rsidRPr="006256B6">
        <w:rPr>
          <w:szCs w:val="21"/>
        </w:rPr>
        <w:t xml:space="preserve"> A significant subsample excluded from our study is the former and current socialist countries, which could be counted as both benefits and costs. The costs of excluding these markets are obvious, given that they have been growing rapidly and now account for an important part of the world stock market. However, this treatment comes with huge benefits. The legal institutions and market mechanisms were not well established in these former and current socialist countries in the 1990s, and thus, they are difficult to categorize. In addition, the stock markets could have been regulated differently from those in capitalist countries, which </w:t>
      </w:r>
      <w:proofErr w:type="gramStart"/>
      <w:r w:rsidRPr="006256B6">
        <w:rPr>
          <w:szCs w:val="21"/>
        </w:rPr>
        <w:t>renders</w:t>
      </w:r>
      <w:proofErr w:type="gramEnd"/>
      <w:r w:rsidRPr="006256B6">
        <w:rPr>
          <w:szCs w:val="21"/>
        </w:rPr>
        <w:t xml:space="preserve"> the explanatory variables included in our study irrelevant. For example, the public regulator of stock markets in China, the China Securities Regulatory Commission, occasionally suspends admissions of new listed firms, which distorts the effects of other determinants on stock market development.</w:t>
      </w:r>
    </w:p>
  </w:footnote>
  <w:footnote w:id="22">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The sampled countries and districts are the same as those employed in LLSV (1998) except that Taiwan is excluded because its data are extremely fragile. Furthermore, in the section on the robustness check, we employ a variant sample with 44 economies and 27 doubtful variables.</w:t>
      </w:r>
    </w:p>
  </w:footnote>
  <w:footnote w:id="23">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Earlier studies have identified that high stock market liquidity stimulates productivity growth (Levine and </w:t>
      </w:r>
      <w:proofErr w:type="spellStart"/>
      <w:r w:rsidRPr="006256B6">
        <w:rPr>
          <w:rFonts w:ascii="Times New Roman" w:hAnsi="Times New Roman"/>
          <w:sz w:val="21"/>
          <w:szCs w:val="21"/>
        </w:rPr>
        <w:t>Zervos</w:t>
      </w:r>
      <w:proofErr w:type="spellEnd"/>
      <w:r w:rsidRPr="006256B6">
        <w:rPr>
          <w:rFonts w:ascii="Times New Roman" w:hAnsi="Times New Roman"/>
          <w:sz w:val="21"/>
          <w:szCs w:val="21"/>
        </w:rPr>
        <w:t xml:space="preserve">, 1998) and affects firm performance and operating profitability (Fang, </w:t>
      </w:r>
      <w:proofErr w:type="spellStart"/>
      <w:r w:rsidRPr="006256B6">
        <w:rPr>
          <w:rFonts w:ascii="Times New Roman" w:hAnsi="Times New Roman"/>
          <w:sz w:val="21"/>
          <w:szCs w:val="21"/>
        </w:rPr>
        <w:t>Noe</w:t>
      </w:r>
      <w:proofErr w:type="spellEnd"/>
      <w:r w:rsidRPr="006256B6">
        <w:rPr>
          <w:rFonts w:ascii="Times New Roman" w:hAnsi="Times New Roman"/>
          <w:sz w:val="21"/>
          <w:szCs w:val="21"/>
        </w:rPr>
        <w:t xml:space="preserve"> and Tice, 2009), and Cumming </w:t>
      </w:r>
      <w:r w:rsidRPr="006256B6">
        <w:rPr>
          <w:rFonts w:ascii="Times New Roman" w:hAnsi="Times New Roman"/>
          <w:i/>
          <w:sz w:val="21"/>
          <w:szCs w:val="21"/>
        </w:rPr>
        <w:t>et al.</w:t>
      </w:r>
      <w:r w:rsidRPr="006256B6">
        <w:rPr>
          <w:rFonts w:ascii="Times New Roman" w:hAnsi="Times New Roman"/>
          <w:sz w:val="21"/>
          <w:szCs w:val="21"/>
        </w:rPr>
        <w:t xml:space="preserve"> (2010) are devoted to a discussion solely on the effects of exchange rules on stock market liquidity.</w:t>
      </w:r>
    </w:p>
  </w:footnote>
  <w:footnote w:id="24">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We do not trouble readers with the technical details of the BMA algorithm employed here because the algorithms are obviously not the end of this article; we instead refer readers to MPP (2010) and De Luca and Magnus (2011) for additional information.</w:t>
      </w:r>
    </w:p>
  </w:footnote>
  <w:footnote w:id="25">
    <w:p w:rsidR="00510ED6" w:rsidRPr="006256B6" w:rsidRDefault="00510ED6" w:rsidP="007C639A">
      <w:pPr>
        <w:pStyle w:val="a5"/>
        <w:snapToGrid/>
        <w:mirrorIndents/>
        <w:rPr>
          <w:rFonts w:ascii="Times New Roman" w:hAnsi="Times New Roman"/>
          <w:sz w:val="21"/>
          <w:szCs w:val="21"/>
        </w:rPr>
      </w:pPr>
      <w:r w:rsidRPr="006256B6">
        <w:rPr>
          <w:rStyle w:val="a6"/>
          <w:rFonts w:ascii="Times New Roman" w:hAnsi="Times New Roman"/>
          <w:sz w:val="21"/>
          <w:szCs w:val="21"/>
        </w:rPr>
        <w:footnoteRef/>
      </w:r>
      <w:r w:rsidRPr="006256B6">
        <w:rPr>
          <w:rFonts w:ascii="Times New Roman" w:hAnsi="Times New Roman"/>
          <w:sz w:val="21"/>
          <w:szCs w:val="21"/>
        </w:rPr>
        <w:t xml:space="preserve"> The posterior inclusion probability is the probability that a given variable is included in the model.</w:t>
      </w:r>
    </w:p>
  </w:footnote>
  <w:footnote w:id="26">
    <w:p w:rsidR="00510ED6" w:rsidRPr="006256B6" w:rsidRDefault="00510ED6" w:rsidP="007C639A">
      <w:pPr>
        <w:mirrorIndents/>
        <w:jc w:val="left"/>
        <w:rPr>
          <w:szCs w:val="21"/>
        </w:rPr>
      </w:pPr>
      <w:r w:rsidRPr="006256B6">
        <w:rPr>
          <w:rStyle w:val="a6"/>
          <w:szCs w:val="21"/>
        </w:rPr>
        <w:footnoteRef/>
      </w:r>
      <w:r w:rsidRPr="006256B6">
        <w:rPr>
          <w:szCs w:val="21"/>
        </w:rPr>
        <w:t xml:space="preserve"> The excluded countries are Indonesia, Sri Lanka, Venezuela and Zimbabwe.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D2B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8461D"/>
    <w:multiLevelType w:val="hybridMultilevel"/>
    <w:tmpl w:val="4D9E19AC"/>
    <w:lvl w:ilvl="0" w:tplc="673492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3794" fillcolor="#9cbee0" strokecolor="#739cc3">
      <v:fill color="#9cbee0" color2="#bbd5f0" type="gradient">
        <o:fill v:ext="view" type="gradientUnscaled"/>
      </v:fill>
      <v:stroke color="#739cc3" weight="1.25pt"/>
      <o:colormenu v:ext="edit" fillcolor="none [3212]"/>
    </o:shapedefaults>
  </w:hdrShapeDefaults>
  <w:footnotePr>
    <w:numFmt w:val="chicago"/>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 w:name="EN.Layout" w:val="&lt;ENLayout&gt;&lt;Style&gt;Chicago 16th 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vxvdrffjezz03ez5ravfaf2varpttaw0vdp&quot;&gt;My EndNote Library&lt;record-ids&gt;&lt;item&gt;952&lt;/item&gt;&lt;/record-ids&gt;&lt;/item&gt;&lt;/Libraries&gt;"/>
  </w:docVars>
  <w:rsids>
    <w:rsidRoot w:val="00172A27"/>
    <w:rsid w:val="00001D44"/>
    <w:rsid w:val="000027A9"/>
    <w:rsid w:val="00003796"/>
    <w:rsid w:val="0000559B"/>
    <w:rsid w:val="0000580C"/>
    <w:rsid w:val="00013ADD"/>
    <w:rsid w:val="000209F8"/>
    <w:rsid w:val="00021A34"/>
    <w:rsid w:val="0002348A"/>
    <w:rsid w:val="00023CA7"/>
    <w:rsid w:val="00030DF8"/>
    <w:rsid w:val="00030F63"/>
    <w:rsid w:val="00032822"/>
    <w:rsid w:val="00037340"/>
    <w:rsid w:val="00040BA5"/>
    <w:rsid w:val="00041162"/>
    <w:rsid w:val="0004128E"/>
    <w:rsid w:val="00043DBA"/>
    <w:rsid w:val="00045418"/>
    <w:rsid w:val="00047A22"/>
    <w:rsid w:val="00050950"/>
    <w:rsid w:val="00051D5C"/>
    <w:rsid w:val="00054B19"/>
    <w:rsid w:val="00055AAE"/>
    <w:rsid w:val="00056741"/>
    <w:rsid w:val="00060AD3"/>
    <w:rsid w:val="000622DE"/>
    <w:rsid w:val="00063502"/>
    <w:rsid w:val="000642A2"/>
    <w:rsid w:val="000656C1"/>
    <w:rsid w:val="0006642B"/>
    <w:rsid w:val="000664F3"/>
    <w:rsid w:val="00066BEF"/>
    <w:rsid w:val="00066CB8"/>
    <w:rsid w:val="00076DEB"/>
    <w:rsid w:val="00080746"/>
    <w:rsid w:val="00085139"/>
    <w:rsid w:val="00086F30"/>
    <w:rsid w:val="00092A0B"/>
    <w:rsid w:val="00092E09"/>
    <w:rsid w:val="00096701"/>
    <w:rsid w:val="00096FAC"/>
    <w:rsid w:val="000A1FB8"/>
    <w:rsid w:val="000A2045"/>
    <w:rsid w:val="000A5068"/>
    <w:rsid w:val="000A706B"/>
    <w:rsid w:val="000B143A"/>
    <w:rsid w:val="000B2BB6"/>
    <w:rsid w:val="000B4157"/>
    <w:rsid w:val="000B45A1"/>
    <w:rsid w:val="000B52C1"/>
    <w:rsid w:val="000C007B"/>
    <w:rsid w:val="000C05A1"/>
    <w:rsid w:val="000C725E"/>
    <w:rsid w:val="000D02AE"/>
    <w:rsid w:val="000D33CF"/>
    <w:rsid w:val="000D370A"/>
    <w:rsid w:val="000D3E41"/>
    <w:rsid w:val="000D4F1C"/>
    <w:rsid w:val="000D5D54"/>
    <w:rsid w:val="000D5E39"/>
    <w:rsid w:val="000D62C3"/>
    <w:rsid w:val="000E3824"/>
    <w:rsid w:val="000E3DB5"/>
    <w:rsid w:val="000E3F9C"/>
    <w:rsid w:val="000E63FA"/>
    <w:rsid w:val="000E6FA2"/>
    <w:rsid w:val="000E70D6"/>
    <w:rsid w:val="000F0A15"/>
    <w:rsid w:val="000F14DC"/>
    <w:rsid w:val="000F2E1B"/>
    <w:rsid w:val="000F579E"/>
    <w:rsid w:val="000F7E51"/>
    <w:rsid w:val="00100A36"/>
    <w:rsid w:val="0010266B"/>
    <w:rsid w:val="001027C5"/>
    <w:rsid w:val="00103249"/>
    <w:rsid w:val="00103AC4"/>
    <w:rsid w:val="00105F97"/>
    <w:rsid w:val="0010637D"/>
    <w:rsid w:val="00106BE8"/>
    <w:rsid w:val="00110463"/>
    <w:rsid w:val="001146FE"/>
    <w:rsid w:val="001164B7"/>
    <w:rsid w:val="001202EE"/>
    <w:rsid w:val="00120942"/>
    <w:rsid w:val="00121603"/>
    <w:rsid w:val="00122D20"/>
    <w:rsid w:val="00125B5B"/>
    <w:rsid w:val="00126FB9"/>
    <w:rsid w:val="00130FCD"/>
    <w:rsid w:val="00133D03"/>
    <w:rsid w:val="00134DEE"/>
    <w:rsid w:val="0013560A"/>
    <w:rsid w:val="00136906"/>
    <w:rsid w:val="001375D1"/>
    <w:rsid w:val="001423BD"/>
    <w:rsid w:val="00144058"/>
    <w:rsid w:val="001440D2"/>
    <w:rsid w:val="0014415B"/>
    <w:rsid w:val="00145A01"/>
    <w:rsid w:val="00152AC8"/>
    <w:rsid w:val="00157529"/>
    <w:rsid w:val="00157A57"/>
    <w:rsid w:val="00160AFC"/>
    <w:rsid w:val="001622C5"/>
    <w:rsid w:val="001622DD"/>
    <w:rsid w:val="001628AF"/>
    <w:rsid w:val="00164AC4"/>
    <w:rsid w:val="00170BFE"/>
    <w:rsid w:val="00172568"/>
    <w:rsid w:val="00172A27"/>
    <w:rsid w:val="00173356"/>
    <w:rsid w:val="00176C52"/>
    <w:rsid w:val="00180FDF"/>
    <w:rsid w:val="00183EC6"/>
    <w:rsid w:val="0018699F"/>
    <w:rsid w:val="00190C91"/>
    <w:rsid w:val="00197D14"/>
    <w:rsid w:val="001A163C"/>
    <w:rsid w:val="001A2AC9"/>
    <w:rsid w:val="001A4098"/>
    <w:rsid w:val="001A4634"/>
    <w:rsid w:val="001A5500"/>
    <w:rsid w:val="001A5903"/>
    <w:rsid w:val="001A5C82"/>
    <w:rsid w:val="001A7569"/>
    <w:rsid w:val="001B000E"/>
    <w:rsid w:val="001B0DE6"/>
    <w:rsid w:val="001B1AE6"/>
    <w:rsid w:val="001B2563"/>
    <w:rsid w:val="001B2DF4"/>
    <w:rsid w:val="001B3B32"/>
    <w:rsid w:val="001B5F94"/>
    <w:rsid w:val="001C37AF"/>
    <w:rsid w:val="001C5B18"/>
    <w:rsid w:val="001C5D58"/>
    <w:rsid w:val="001C6DC0"/>
    <w:rsid w:val="001D391C"/>
    <w:rsid w:val="001D4E48"/>
    <w:rsid w:val="001E24B7"/>
    <w:rsid w:val="001E2C7D"/>
    <w:rsid w:val="001F6D5A"/>
    <w:rsid w:val="001F7A0E"/>
    <w:rsid w:val="00200108"/>
    <w:rsid w:val="00200DD5"/>
    <w:rsid w:val="002016DC"/>
    <w:rsid w:val="00210C5C"/>
    <w:rsid w:val="00212B9F"/>
    <w:rsid w:val="00212C83"/>
    <w:rsid w:val="00215274"/>
    <w:rsid w:val="0021595D"/>
    <w:rsid w:val="00215B97"/>
    <w:rsid w:val="00215C51"/>
    <w:rsid w:val="002165CC"/>
    <w:rsid w:val="002167A0"/>
    <w:rsid w:val="00217F77"/>
    <w:rsid w:val="00221997"/>
    <w:rsid w:val="002228BF"/>
    <w:rsid w:val="00223995"/>
    <w:rsid w:val="0022561C"/>
    <w:rsid w:val="002327AC"/>
    <w:rsid w:val="00232A08"/>
    <w:rsid w:val="00234284"/>
    <w:rsid w:val="0023428A"/>
    <w:rsid w:val="00235CFD"/>
    <w:rsid w:val="00235DD3"/>
    <w:rsid w:val="002378F0"/>
    <w:rsid w:val="00243DFE"/>
    <w:rsid w:val="002445CE"/>
    <w:rsid w:val="00244C56"/>
    <w:rsid w:val="00244EA8"/>
    <w:rsid w:val="0024530D"/>
    <w:rsid w:val="00250CF6"/>
    <w:rsid w:val="002516AE"/>
    <w:rsid w:val="00252259"/>
    <w:rsid w:val="002530A1"/>
    <w:rsid w:val="00254866"/>
    <w:rsid w:val="00261AF7"/>
    <w:rsid w:val="00262B0A"/>
    <w:rsid w:val="00262FED"/>
    <w:rsid w:val="00264CBD"/>
    <w:rsid w:val="0026572B"/>
    <w:rsid w:val="00266187"/>
    <w:rsid w:val="00270B4C"/>
    <w:rsid w:val="0027118A"/>
    <w:rsid w:val="002807B4"/>
    <w:rsid w:val="0028150B"/>
    <w:rsid w:val="00281C6F"/>
    <w:rsid w:val="00283B12"/>
    <w:rsid w:val="00286055"/>
    <w:rsid w:val="002868BB"/>
    <w:rsid w:val="00286E8A"/>
    <w:rsid w:val="002879A0"/>
    <w:rsid w:val="002926CD"/>
    <w:rsid w:val="00294055"/>
    <w:rsid w:val="0029781E"/>
    <w:rsid w:val="002A09B4"/>
    <w:rsid w:val="002A1530"/>
    <w:rsid w:val="002A358B"/>
    <w:rsid w:val="002A75B6"/>
    <w:rsid w:val="002B0177"/>
    <w:rsid w:val="002B468D"/>
    <w:rsid w:val="002B5168"/>
    <w:rsid w:val="002B6A68"/>
    <w:rsid w:val="002B7039"/>
    <w:rsid w:val="002C35A7"/>
    <w:rsid w:val="002C380D"/>
    <w:rsid w:val="002C45AD"/>
    <w:rsid w:val="002D1FC9"/>
    <w:rsid w:val="002D3723"/>
    <w:rsid w:val="002D7197"/>
    <w:rsid w:val="002E234F"/>
    <w:rsid w:val="002E3189"/>
    <w:rsid w:val="002E3C18"/>
    <w:rsid w:val="002F1D47"/>
    <w:rsid w:val="002F2222"/>
    <w:rsid w:val="002F3254"/>
    <w:rsid w:val="002F4919"/>
    <w:rsid w:val="002F4DE6"/>
    <w:rsid w:val="002F6A2D"/>
    <w:rsid w:val="00303ADF"/>
    <w:rsid w:val="00304B6B"/>
    <w:rsid w:val="00305EE8"/>
    <w:rsid w:val="00307DE2"/>
    <w:rsid w:val="0031083F"/>
    <w:rsid w:val="00310863"/>
    <w:rsid w:val="003109D0"/>
    <w:rsid w:val="00314945"/>
    <w:rsid w:val="003149BF"/>
    <w:rsid w:val="003162E3"/>
    <w:rsid w:val="00322CAF"/>
    <w:rsid w:val="00324135"/>
    <w:rsid w:val="003273E3"/>
    <w:rsid w:val="003360D7"/>
    <w:rsid w:val="00337370"/>
    <w:rsid w:val="00337969"/>
    <w:rsid w:val="00337F16"/>
    <w:rsid w:val="00342945"/>
    <w:rsid w:val="0034449E"/>
    <w:rsid w:val="00344B0A"/>
    <w:rsid w:val="00345BE6"/>
    <w:rsid w:val="00346ADD"/>
    <w:rsid w:val="00347D14"/>
    <w:rsid w:val="003531E7"/>
    <w:rsid w:val="00354820"/>
    <w:rsid w:val="00354947"/>
    <w:rsid w:val="003555C9"/>
    <w:rsid w:val="0036000C"/>
    <w:rsid w:val="0036354B"/>
    <w:rsid w:val="003650F8"/>
    <w:rsid w:val="00366F94"/>
    <w:rsid w:val="00371C15"/>
    <w:rsid w:val="00372588"/>
    <w:rsid w:val="00376F53"/>
    <w:rsid w:val="00381BBD"/>
    <w:rsid w:val="0038256A"/>
    <w:rsid w:val="00384162"/>
    <w:rsid w:val="003848F6"/>
    <w:rsid w:val="00386D0E"/>
    <w:rsid w:val="00390693"/>
    <w:rsid w:val="003910B2"/>
    <w:rsid w:val="003A0457"/>
    <w:rsid w:val="003A23A3"/>
    <w:rsid w:val="003A324E"/>
    <w:rsid w:val="003A34A6"/>
    <w:rsid w:val="003B2B0D"/>
    <w:rsid w:val="003B2E22"/>
    <w:rsid w:val="003B2F0B"/>
    <w:rsid w:val="003B37E1"/>
    <w:rsid w:val="003B5205"/>
    <w:rsid w:val="003B7324"/>
    <w:rsid w:val="003C0D7D"/>
    <w:rsid w:val="003C24DD"/>
    <w:rsid w:val="003C34DE"/>
    <w:rsid w:val="003C3766"/>
    <w:rsid w:val="003C593D"/>
    <w:rsid w:val="003C5F9C"/>
    <w:rsid w:val="003C7020"/>
    <w:rsid w:val="003C740B"/>
    <w:rsid w:val="003D2ACB"/>
    <w:rsid w:val="003D2D68"/>
    <w:rsid w:val="003D3ACD"/>
    <w:rsid w:val="003D65A1"/>
    <w:rsid w:val="003D688F"/>
    <w:rsid w:val="003E1886"/>
    <w:rsid w:val="003E58CD"/>
    <w:rsid w:val="003E7339"/>
    <w:rsid w:val="003F0451"/>
    <w:rsid w:val="003F264B"/>
    <w:rsid w:val="003F2BC8"/>
    <w:rsid w:val="003F3BF9"/>
    <w:rsid w:val="003F5099"/>
    <w:rsid w:val="003F520B"/>
    <w:rsid w:val="003F7610"/>
    <w:rsid w:val="003F7737"/>
    <w:rsid w:val="003F77FC"/>
    <w:rsid w:val="00400DA0"/>
    <w:rsid w:val="004048A2"/>
    <w:rsid w:val="004063FD"/>
    <w:rsid w:val="00410412"/>
    <w:rsid w:val="00411865"/>
    <w:rsid w:val="00411DC6"/>
    <w:rsid w:val="00412F58"/>
    <w:rsid w:val="004137DD"/>
    <w:rsid w:val="0041721B"/>
    <w:rsid w:val="00417ADA"/>
    <w:rsid w:val="00423EC2"/>
    <w:rsid w:val="00425B0F"/>
    <w:rsid w:val="004263FA"/>
    <w:rsid w:val="00434DCE"/>
    <w:rsid w:val="00435A32"/>
    <w:rsid w:val="004366D0"/>
    <w:rsid w:val="00437635"/>
    <w:rsid w:val="00440AD1"/>
    <w:rsid w:val="00442639"/>
    <w:rsid w:val="0044271C"/>
    <w:rsid w:val="00442E85"/>
    <w:rsid w:val="004440CE"/>
    <w:rsid w:val="00450301"/>
    <w:rsid w:val="00450548"/>
    <w:rsid w:val="00450F3C"/>
    <w:rsid w:val="004515C4"/>
    <w:rsid w:val="0045245F"/>
    <w:rsid w:val="004533E9"/>
    <w:rsid w:val="004544F0"/>
    <w:rsid w:val="0045453D"/>
    <w:rsid w:val="00457DDC"/>
    <w:rsid w:val="00462869"/>
    <w:rsid w:val="004638F2"/>
    <w:rsid w:val="00463E6D"/>
    <w:rsid w:val="00464AF1"/>
    <w:rsid w:val="004657FE"/>
    <w:rsid w:val="00467000"/>
    <w:rsid w:val="004729CA"/>
    <w:rsid w:val="00473835"/>
    <w:rsid w:val="004758C5"/>
    <w:rsid w:val="00476B64"/>
    <w:rsid w:val="0047765A"/>
    <w:rsid w:val="00477C31"/>
    <w:rsid w:val="00480225"/>
    <w:rsid w:val="00481E0D"/>
    <w:rsid w:val="00482396"/>
    <w:rsid w:val="004856ED"/>
    <w:rsid w:val="00485AF6"/>
    <w:rsid w:val="00487E2C"/>
    <w:rsid w:val="004916B9"/>
    <w:rsid w:val="004923A9"/>
    <w:rsid w:val="004926F1"/>
    <w:rsid w:val="00494625"/>
    <w:rsid w:val="0049786B"/>
    <w:rsid w:val="004A15CE"/>
    <w:rsid w:val="004A17ED"/>
    <w:rsid w:val="004A1D92"/>
    <w:rsid w:val="004A42C5"/>
    <w:rsid w:val="004A7172"/>
    <w:rsid w:val="004B0D56"/>
    <w:rsid w:val="004B1134"/>
    <w:rsid w:val="004B45F1"/>
    <w:rsid w:val="004B49C4"/>
    <w:rsid w:val="004B51D6"/>
    <w:rsid w:val="004C084A"/>
    <w:rsid w:val="004C2953"/>
    <w:rsid w:val="004C2E0F"/>
    <w:rsid w:val="004C3A9A"/>
    <w:rsid w:val="004C4138"/>
    <w:rsid w:val="004C64D1"/>
    <w:rsid w:val="004C6979"/>
    <w:rsid w:val="004D54D8"/>
    <w:rsid w:val="004D5B92"/>
    <w:rsid w:val="004D6245"/>
    <w:rsid w:val="004D6697"/>
    <w:rsid w:val="004D7377"/>
    <w:rsid w:val="004E28D2"/>
    <w:rsid w:val="004E5162"/>
    <w:rsid w:val="004F0D62"/>
    <w:rsid w:val="004F2ED6"/>
    <w:rsid w:val="004F79B5"/>
    <w:rsid w:val="0050117C"/>
    <w:rsid w:val="00501D17"/>
    <w:rsid w:val="00502521"/>
    <w:rsid w:val="0050396B"/>
    <w:rsid w:val="00503C48"/>
    <w:rsid w:val="00504349"/>
    <w:rsid w:val="00504A53"/>
    <w:rsid w:val="005056F3"/>
    <w:rsid w:val="00506ED0"/>
    <w:rsid w:val="00510ED6"/>
    <w:rsid w:val="00514CAB"/>
    <w:rsid w:val="00517444"/>
    <w:rsid w:val="00523F2C"/>
    <w:rsid w:val="0053457C"/>
    <w:rsid w:val="00536573"/>
    <w:rsid w:val="00536C89"/>
    <w:rsid w:val="00537A25"/>
    <w:rsid w:val="005422D3"/>
    <w:rsid w:val="00542732"/>
    <w:rsid w:val="00542B71"/>
    <w:rsid w:val="00543626"/>
    <w:rsid w:val="00552FD5"/>
    <w:rsid w:val="005546C9"/>
    <w:rsid w:val="00560ECA"/>
    <w:rsid w:val="0056294B"/>
    <w:rsid w:val="00562B8F"/>
    <w:rsid w:val="00565D2A"/>
    <w:rsid w:val="00567975"/>
    <w:rsid w:val="005703F9"/>
    <w:rsid w:val="0057146B"/>
    <w:rsid w:val="00572D08"/>
    <w:rsid w:val="0057349A"/>
    <w:rsid w:val="00574288"/>
    <w:rsid w:val="0057509A"/>
    <w:rsid w:val="005805FB"/>
    <w:rsid w:val="005812DA"/>
    <w:rsid w:val="00583B2C"/>
    <w:rsid w:val="0059015E"/>
    <w:rsid w:val="00590816"/>
    <w:rsid w:val="0059326E"/>
    <w:rsid w:val="00593846"/>
    <w:rsid w:val="0059655E"/>
    <w:rsid w:val="00596C04"/>
    <w:rsid w:val="005973E6"/>
    <w:rsid w:val="005A2618"/>
    <w:rsid w:val="005A2692"/>
    <w:rsid w:val="005A5C13"/>
    <w:rsid w:val="005A5EFE"/>
    <w:rsid w:val="005B1927"/>
    <w:rsid w:val="005B5051"/>
    <w:rsid w:val="005B5C72"/>
    <w:rsid w:val="005B72B6"/>
    <w:rsid w:val="005C0ECB"/>
    <w:rsid w:val="005C1F7A"/>
    <w:rsid w:val="005C35B2"/>
    <w:rsid w:val="005C435F"/>
    <w:rsid w:val="005C5A3F"/>
    <w:rsid w:val="005D1868"/>
    <w:rsid w:val="005D2BFE"/>
    <w:rsid w:val="005D5525"/>
    <w:rsid w:val="005D5B51"/>
    <w:rsid w:val="005D71F1"/>
    <w:rsid w:val="005D7A16"/>
    <w:rsid w:val="005E0100"/>
    <w:rsid w:val="005E2CE1"/>
    <w:rsid w:val="005E2CEE"/>
    <w:rsid w:val="005E64E7"/>
    <w:rsid w:val="005F0B11"/>
    <w:rsid w:val="005F2714"/>
    <w:rsid w:val="005F365E"/>
    <w:rsid w:val="005F4204"/>
    <w:rsid w:val="005F4D35"/>
    <w:rsid w:val="005F65A3"/>
    <w:rsid w:val="005F6FD1"/>
    <w:rsid w:val="005F7900"/>
    <w:rsid w:val="005F7BF4"/>
    <w:rsid w:val="00606716"/>
    <w:rsid w:val="00610E0F"/>
    <w:rsid w:val="00613053"/>
    <w:rsid w:val="00613E28"/>
    <w:rsid w:val="006144AB"/>
    <w:rsid w:val="006164B8"/>
    <w:rsid w:val="00616B92"/>
    <w:rsid w:val="00620232"/>
    <w:rsid w:val="006204A1"/>
    <w:rsid w:val="00620AA3"/>
    <w:rsid w:val="00621441"/>
    <w:rsid w:val="006225E3"/>
    <w:rsid w:val="006250A2"/>
    <w:rsid w:val="006256B6"/>
    <w:rsid w:val="00627685"/>
    <w:rsid w:val="00630BED"/>
    <w:rsid w:val="00631B19"/>
    <w:rsid w:val="00636C2E"/>
    <w:rsid w:val="0063724C"/>
    <w:rsid w:val="00640051"/>
    <w:rsid w:val="00640DE5"/>
    <w:rsid w:val="00642847"/>
    <w:rsid w:val="00642953"/>
    <w:rsid w:val="0064680B"/>
    <w:rsid w:val="0065179F"/>
    <w:rsid w:val="00656C78"/>
    <w:rsid w:val="00656DC5"/>
    <w:rsid w:val="00657F82"/>
    <w:rsid w:val="00657FF1"/>
    <w:rsid w:val="00661676"/>
    <w:rsid w:val="006639CD"/>
    <w:rsid w:val="006678B3"/>
    <w:rsid w:val="00667F32"/>
    <w:rsid w:val="006702C2"/>
    <w:rsid w:val="006709C8"/>
    <w:rsid w:val="0067228A"/>
    <w:rsid w:val="006757F4"/>
    <w:rsid w:val="006764D0"/>
    <w:rsid w:val="0067726D"/>
    <w:rsid w:val="00677588"/>
    <w:rsid w:val="0068061E"/>
    <w:rsid w:val="00681F2C"/>
    <w:rsid w:val="00682704"/>
    <w:rsid w:val="00682AD3"/>
    <w:rsid w:val="006836F9"/>
    <w:rsid w:val="00683CFE"/>
    <w:rsid w:val="00687E22"/>
    <w:rsid w:val="00694216"/>
    <w:rsid w:val="00694A91"/>
    <w:rsid w:val="0069555B"/>
    <w:rsid w:val="006969F4"/>
    <w:rsid w:val="006A0144"/>
    <w:rsid w:val="006A1023"/>
    <w:rsid w:val="006A558C"/>
    <w:rsid w:val="006A74D8"/>
    <w:rsid w:val="006B034B"/>
    <w:rsid w:val="006B09D5"/>
    <w:rsid w:val="006B3E97"/>
    <w:rsid w:val="006B4333"/>
    <w:rsid w:val="006B548D"/>
    <w:rsid w:val="006B5572"/>
    <w:rsid w:val="006B78ED"/>
    <w:rsid w:val="006C2582"/>
    <w:rsid w:val="006C2A49"/>
    <w:rsid w:val="006C67BD"/>
    <w:rsid w:val="006D13C1"/>
    <w:rsid w:val="006D19C5"/>
    <w:rsid w:val="006E0715"/>
    <w:rsid w:val="006E1EAB"/>
    <w:rsid w:val="006E1F3C"/>
    <w:rsid w:val="006E3675"/>
    <w:rsid w:val="006E6240"/>
    <w:rsid w:val="006E66EC"/>
    <w:rsid w:val="006F1058"/>
    <w:rsid w:val="006F1FE8"/>
    <w:rsid w:val="006F295B"/>
    <w:rsid w:val="006F4086"/>
    <w:rsid w:val="00700086"/>
    <w:rsid w:val="00700732"/>
    <w:rsid w:val="00701255"/>
    <w:rsid w:val="007027C9"/>
    <w:rsid w:val="00704D66"/>
    <w:rsid w:val="00705882"/>
    <w:rsid w:val="00707C7A"/>
    <w:rsid w:val="00721FA3"/>
    <w:rsid w:val="00722342"/>
    <w:rsid w:val="00724E37"/>
    <w:rsid w:val="00725040"/>
    <w:rsid w:val="00735FD8"/>
    <w:rsid w:val="00737007"/>
    <w:rsid w:val="007377D0"/>
    <w:rsid w:val="00741E29"/>
    <w:rsid w:val="00742C81"/>
    <w:rsid w:val="00743A13"/>
    <w:rsid w:val="00744719"/>
    <w:rsid w:val="00744C0C"/>
    <w:rsid w:val="00745CDB"/>
    <w:rsid w:val="00745CFA"/>
    <w:rsid w:val="007463A2"/>
    <w:rsid w:val="00747CC7"/>
    <w:rsid w:val="00750DC0"/>
    <w:rsid w:val="00752D0F"/>
    <w:rsid w:val="00761A0E"/>
    <w:rsid w:val="00762A36"/>
    <w:rsid w:val="00763FBD"/>
    <w:rsid w:val="00765500"/>
    <w:rsid w:val="00766F4D"/>
    <w:rsid w:val="0076719D"/>
    <w:rsid w:val="007730D9"/>
    <w:rsid w:val="00774726"/>
    <w:rsid w:val="007770BA"/>
    <w:rsid w:val="007837D6"/>
    <w:rsid w:val="007857E6"/>
    <w:rsid w:val="0079043B"/>
    <w:rsid w:val="0079193E"/>
    <w:rsid w:val="007921CA"/>
    <w:rsid w:val="00795F36"/>
    <w:rsid w:val="00797EED"/>
    <w:rsid w:val="007A47E0"/>
    <w:rsid w:val="007A6618"/>
    <w:rsid w:val="007A7259"/>
    <w:rsid w:val="007A7940"/>
    <w:rsid w:val="007B3712"/>
    <w:rsid w:val="007B7D10"/>
    <w:rsid w:val="007C188C"/>
    <w:rsid w:val="007C2C67"/>
    <w:rsid w:val="007C30B5"/>
    <w:rsid w:val="007C639A"/>
    <w:rsid w:val="007C64FD"/>
    <w:rsid w:val="007C66D3"/>
    <w:rsid w:val="007C76E1"/>
    <w:rsid w:val="007C7E13"/>
    <w:rsid w:val="007D4404"/>
    <w:rsid w:val="007D63AF"/>
    <w:rsid w:val="007E074F"/>
    <w:rsid w:val="007E14E9"/>
    <w:rsid w:val="007F043C"/>
    <w:rsid w:val="007F0DCA"/>
    <w:rsid w:val="007F18BB"/>
    <w:rsid w:val="007F29E5"/>
    <w:rsid w:val="007F2AD0"/>
    <w:rsid w:val="007F3C91"/>
    <w:rsid w:val="008005D0"/>
    <w:rsid w:val="0080158C"/>
    <w:rsid w:val="00804F9F"/>
    <w:rsid w:val="008067A4"/>
    <w:rsid w:val="008104B6"/>
    <w:rsid w:val="00810505"/>
    <w:rsid w:val="00810966"/>
    <w:rsid w:val="0081166E"/>
    <w:rsid w:val="0081338A"/>
    <w:rsid w:val="00817BD1"/>
    <w:rsid w:val="008204C2"/>
    <w:rsid w:val="008208D7"/>
    <w:rsid w:val="008230EF"/>
    <w:rsid w:val="0082319F"/>
    <w:rsid w:val="008241E1"/>
    <w:rsid w:val="008246DB"/>
    <w:rsid w:val="00825989"/>
    <w:rsid w:val="00825B07"/>
    <w:rsid w:val="00825C5F"/>
    <w:rsid w:val="0082673A"/>
    <w:rsid w:val="00826F1C"/>
    <w:rsid w:val="008274D5"/>
    <w:rsid w:val="008300A1"/>
    <w:rsid w:val="00834EB3"/>
    <w:rsid w:val="008351D0"/>
    <w:rsid w:val="008359E6"/>
    <w:rsid w:val="00835FA3"/>
    <w:rsid w:val="00836746"/>
    <w:rsid w:val="00840D73"/>
    <w:rsid w:val="00840EAD"/>
    <w:rsid w:val="00841465"/>
    <w:rsid w:val="0084703C"/>
    <w:rsid w:val="00853735"/>
    <w:rsid w:val="008542CC"/>
    <w:rsid w:val="00862D62"/>
    <w:rsid w:val="008632DC"/>
    <w:rsid w:val="00864645"/>
    <w:rsid w:val="00870505"/>
    <w:rsid w:val="0087170B"/>
    <w:rsid w:val="00871916"/>
    <w:rsid w:val="00872A0D"/>
    <w:rsid w:val="008808CB"/>
    <w:rsid w:val="00880CB0"/>
    <w:rsid w:val="00881521"/>
    <w:rsid w:val="00882042"/>
    <w:rsid w:val="008837E7"/>
    <w:rsid w:val="008849AB"/>
    <w:rsid w:val="008869A8"/>
    <w:rsid w:val="0088731D"/>
    <w:rsid w:val="008878BD"/>
    <w:rsid w:val="0089367A"/>
    <w:rsid w:val="008936E1"/>
    <w:rsid w:val="0089487C"/>
    <w:rsid w:val="00895B79"/>
    <w:rsid w:val="008A045E"/>
    <w:rsid w:val="008A1592"/>
    <w:rsid w:val="008A585E"/>
    <w:rsid w:val="008B5BB6"/>
    <w:rsid w:val="008B6CBF"/>
    <w:rsid w:val="008C110E"/>
    <w:rsid w:val="008C1906"/>
    <w:rsid w:val="008C5B55"/>
    <w:rsid w:val="008C67BC"/>
    <w:rsid w:val="008D09E1"/>
    <w:rsid w:val="008D28F2"/>
    <w:rsid w:val="008D4FF2"/>
    <w:rsid w:val="008E5BE9"/>
    <w:rsid w:val="008F5266"/>
    <w:rsid w:val="009002C2"/>
    <w:rsid w:val="009004E1"/>
    <w:rsid w:val="00902128"/>
    <w:rsid w:val="009027D8"/>
    <w:rsid w:val="00902E24"/>
    <w:rsid w:val="009039C5"/>
    <w:rsid w:val="00905E57"/>
    <w:rsid w:val="0090725E"/>
    <w:rsid w:val="009075FF"/>
    <w:rsid w:val="0091040A"/>
    <w:rsid w:val="00912C62"/>
    <w:rsid w:val="00913142"/>
    <w:rsid w:val="00913531"/>
    <w:rsid w:val="00913B0D"/>
    <w:rsid w:val="009141A7"/>
    <w:rsid w:val="009162BC"/>
    <w:rsid w:val="009179B1"/>
    <w:rsid w:val="00924627"/>
    <w:rsid w:val="00924833"/>
    <w:rsid w:val="0093134D"/>
    <w:rsid w:val="00932772"/>
    <w:rsid w:val="00933D23"/>
    <w:rsid w:val="009342E4"/>
    <w:rsid w:val="009352EE"/>
    <w:rsid w:val="00941741"/>
    <w:rsid w:val="00942BC4"/>
    <w:rsid w:val="00942CB2"/>
    <w:rsid w:val="00942E11"/>
    <w:rsid w:val="0094451C"/>
    <w:rsid w:val="00945B9B"/>
    <w:rsid w:val="0095044E"/>
    <w:rsid w:val="00950EB9"/>
    <w:rsid w:val="00956832"/>
    <w:rsid w:val="0095756F"/>
    <w:rsid w:val="00961425"/>
    <w:rsid w:val="00961DC2"/>
    <w:rsid w:val="00963847"/>
    <w:rsid w:val="009645F1"/>
    <w:rsid w:val="00965112"/>
    <w:rsid w:val="009659C2"/>
    <w:rsid w:val="00966924"/>
    <w:rsid w:val="00967D42"/>
    <w:rsid w:val="00970C97"/>
    <w:rsid w:val="009741EF"/>
    <w:rsid w:val="00974DE8"/>
    <w:rsid w:val="00981086"/>
    <w:rsid w:val="009835EA"/>
    <w:rsid w:val="00983FEF"/>
    <w:rsid w:val="0098548C"/>
    <w:rsid w:val="00987E69"/>
    <w:rsid w:val="009909CA"/>
    <w:rsid w:val="009923D9"/>
    <w:rsid w:val="00994A3E"/>
    <w:rsid w:val="0099537D"/>
    <w:rsid w:val="009960AB"/>
    <w:rsid w:val="009A0116"/>
    <w:rsid w:val="009A1693"/>
    <w:rsid w:val="009A3768"/>
    <w:rsid w:val="009A39CC"/>
    <w:rsid w:val="009A3DFB"/>
    <w:rsid w:val="009A61B8"/>
    <w:rsid w:val="009A647F"/>
    <w:rsid w:val="009A67BF"/>
    <w:rsid w:val="009A7562"/>
    <w:rsid w:val="009B1D74"/>
    <w:rsid w:val="009B1EF2"/>
    <w:rsid w:val="009B357D"/>
    <w:rsid w:val="009B5CE4"/>
    <w:rsid w:val="009B6696"/>
    <w:rsid w:val="009B7748"/>
    <w:rsid w:val="009C0765"/>
    <w:rsid w:val="009C0E73"/>
    <w:rsid w:val="009C2CB4"/>
    <w:rsid w:val="009C48AE"/>
    <w:rsid w:val="009C49C9"/>
    <w:rsid w:val="009C5AAF"/>
    <w:rsid w:val="009D0297"/>
    <w:rsid w:val="009D13D7"/>
    <w:rsid w:val="009D1E04"/>
    <w:rsid w:val="009D2833"/>
    <w:rsid w:val="009D3BBC"/>
    <w:rsid w:val="009D73A6"/>
    <w:rsid w:val="009D7AC7"/>
    <w:rsid w:val="009E0BFF"/>
    <w:rsid w:val="009E1438"/>
    <w:rsid w:val="009E2D6D"/>
    <w:rsid w:val="009E32C0"/>
    <w:rsid w:val="009E54A1"/>
    <w:rsid w:val="009E5769"/>
    <w:rsid w:val="009E751D"/>
    <w:rsid w:val="009F0202"/>
    <w:rsid w:val="009F2986"/>
    <w:rsid w:val="009F2D16"/>
    <w:rsid w:val="009F67EB"/>
    <w:rsid w:val="00A00B06"/>
    <w:rsid w:val="00A018D8"/>
    <w:rsid w:val="00A06FF3"/>
    <w:rsid w:val="00A11086"/>
    <w:rsid w:val="00A12479"/>
    <w:rsid w:val="00A1509D"/>
    <w:rsid w:val="00A167CA"/>
    <w:rsid w:val="00A16E87"/>
    <w:rsid w:val="00A21807"/>
    <w:rsid w:val="00A22CD9"/>
    <w:rsid w:val="00A24023"/>
    <w:rsid w:val="00A32FA6"/>
    <w:rsid w:val="00A34C2A"/>
    <w:rsid w:val="00A35CBB"/>
    <w:rsid w:val="00A40034"/>
    <w:rsid w:val="00A412C4"/>
    <w:rsid w:val="00A41E10"/>
    <w:rsid w:val="00A41F74"/>
    <w:rsid w:val="00A42F6A"/>
    <w:rsid w:val="00A43E9F"/>
    <w:rsid w:val="00A460E1"/>
    <w:rsid w:val="00A46348"/>
    <w:rsid w:val="00A46F36"/>
    <w:rsid w:val="00A50BEF"/>
    <w:rsid w:val="00A52584"/>
    <w:rsid w:val="00A56412"/>
    <w:rsid w:val="00A6086E"/>
    <w:rsid w:val="00A641D5"/>
    <w:rsid w:val="00A66E2C"/>
    <w:rsid w:val="00A675A1"/>
    <w:rsid w:val="00A705A6"/>
    <w:rsid w:val="00A70D36"/>
    <w:rsid w:val="00A71969"/>
    <w:rsid w:val="00A721A0"/>
    <w:rsid w:val="00A721E5"/>
    <w:rsid w:val="00A730BD"/>
    <w:rsid w:val="00A74524"/>
    <w:rsid w:val="00A74E61"/>
    <w:rsid w:val="00A75A55"/>
    <w:rsid w:val="00A771B3"/>
    <w:rsid w:val="00A7747D"/>
    <w:rsid w:val="00A83555"/>
    <w:rsid w:val="00A86148"/>
    <w:rsid w:val="00A865F4"/>
    <w:rsid w:val="00A87A99"/>
    <w:rsid w:val="00A91157"/>
    <w:rsid w:val="00A918CB"/>
    <w:rsid w:val="00A9191C"/>
    <w:rsid w:val="00A9411E"/>
    <w:rsid w:val="00A94F6C"/>
    <w:rsid w:val="00A96287"/>
    <w:rsid w:val="00AA4688"/>
    <w:rsid w:val="00AA69AA"/>
    <w:rsid w:val="00AB1057"/>
    <w:rsid w:val="00AB181A"/>
    <w:rsid w:val="00AB30E6"/>
    <w:rsid w:val="00AB3DF4"/>
    <w:rsid w:val="00AB473C"/>
    <w:rsid w:val="00AB7C37"/>
    <w:rsid w:val="00AC0079"/>
    <w:rsid w:val="00AC137B"/>
    <w:rsid w:val="00AC2116"/>
    <w:rsid w:val="00AC3C81"/>
    <w:rsid w:val="00AC4C4A"/>
    <w:rsid w:val="00AC6007"/>
    <w:rsid w:val="00AD12ED"/>
    <w:rsid w:val="00AD1C2F"/>
    <w:rsid w:val="00AD4368"/>
    <w:rsid w:val="00AD52D8"/>
    <w:rsid w:val="00AD61A8"/>
    <w:rsid w:val="00AD6715"/>
    <w:rsid w:val="00AD69BF"/>
    <w:rsid w:val="00AE150C"/>
    <w:rsid w:val="00AE5CE7"/>
    <w:rsid w:val="00AF083A"/>
    <w:rsid w:val="00AF0B80"/>
    <w:rsid w:val="00AF34C0"/>
    <w:rsid w:val="00AF49FF"/>
    <w:rsid w:val="00AF54E5"/>
    <w:rsid w:val="00AF7074"/>
    <w:rsid w:val="00AF731A"/>
    <w:rsid w:val="00B005B3"/>
    <w:rsid w:val="00B005F0"/>
    <w:rsid w:val="00B014FC"/>
    <w:rsid w:val="00B01BCA"/>
    <w:rsid w:val="00B030AC"/>
    <w:rsid w:val="00B042A9"/>
    <w:rsid w:val="00B075E6"/>
    <w:rsid w:val="00B077DD"/>
    <w:rsid w:val="00B13092"/>
    <w:rsid w:val="00B13719"/>
    <w:rsid w:val="00B13DFA"/>
    <w:rsid w:val="00B1456A"/>
    <w:rsid w:val="00B15AF6"/>
    <w:rsid w:val="00B1731B"/>
    <w:rsid w:val="00B22B4B"/>
    <w:rsid w:val="00B23D0C"/>
    <w:rsid w:val="00B24C89"/>
    <w:rsid w:val="00B2592E"/>
    <w:rsid w:val="00B2692A"/>
    <w:rsid w:val="00B26CFF"/>
    <w:rsid w:val="00B27B4B"/>
    <w:rsid w:val="00B27C44"/>
    <w:rsid w:val="00B314EE"/>
    <w:rsid w:val="00B318C8"/>
    <w:rsid w:val="00B3441A"/>
    <w:rsid w:val="00B34E02"/>
    <w:rsid w:val="00B34E62"/>
    <w:rsid w:val="00B36524"/>
    <w:rsid w:val="00B3696C"/>
    <w:rsid w:val="00B369A1"/>
    <w:rsid w:val="00B371A9"/>
    <w:rsid w:val="00B3735C"/>
    <w:rsid w:val="00B40215"/>
    <w:rsid w:val="00B411A7"/>
    <w:rsid w:val="00B459B3"/>
    <w:rsid w:val="00B51523"/>
    <w:rsid w:val="00B51B90"/>
    <w:rsid w:val="00B51EF2"/>
    <w:rsid w:val="00B52E2D"/>
    <w:rsid w:val="00B54D50"/>
    <w:rsid w:val="00B56221"/>
    <w:rsid w:val="00B63872"/>
    <w:rsid w:val="00B66FD0"/>
    <w:rsid w:val="00B67DA0"/>
    <w:rsid w:val="00B70C6B"/>
    <w:rsid w:val="00B7137B"/>
    <w:rsid w:val="00B726DC"/>
    <w:rsid w:val="00B72A1C"/>
    <w:rsid w:val="00B72D8B"/>
    <w:rsid w:val="00B7485D"/>
    <w:rsid w:val="00B75B8F"/>
    <w:rsid w:val="00B764D5"/>
    <w:rsid w:val="00B76C5F"/>
    <w:rsid w:val="00B7717D"/>
    <w:rsid w:val="00B80AC3"/>
    <w:rsid w:val="00B812EE"/>
    <w:rsid w:val="00B82D8B"/>
    <w:rsid w:val="00B83BF2"/>
    <w:rsid w:val="00B863ED"/>
    <w:rsid w:val="00B87597"/>
    <w:rsid w:val="00B8779C"/>
    <w:rsid w:val="00B91431"/>
    <w:rsid w:val="00B91F1C"/>
    <w:rsid w:val="00B920BA"/>
    <w:rsid w:val="00B92149"/>
    <w:rsid w:val="00B9398F"/>
    <w:rsid w:val="00B95D3E"/>
    <w:rsid w:val="00B9602B"/>
    <w:rsid w:val="00BA0E85"/>
    <w:rsid w:val="00BA34A9"/>
    <w:rsid w:val="00BA6991"/>
    <w:rsid w:val="00BA7C32"/>
    <w:rsid w:val="00BB26BE"/>
    <w:rsid w:val="00BB33D7"/>
    <w:rsid w:val="00BB4636"/>
    <w:rsid w:val="00BB527A"/>
    <w:rsid w:val="00BC0297"/>
    <w:rsid w:val="00BC2201"/>
    <w:rsid w:val="00BC2CE9"/>
    <w:rsid w:val="00BC4493"/>
    <w:rsid w:val="00BC4794"/>
    <w:rsid w:val="00BC5E10"/>
    <w:rsid w:val="00BC6E87"/>
    <w:rsid w:val="00BC799B"/>
    <w:rsid w:val="00BD0462"/>
    <w:rsid w:val="00BD0E77"/>
    <w:rsid w:val="00BD4E07"/>
    <w:rsid w:val="00BD5350"/>
    <w:rsid w:val="00BE12EF"/>
    <w:rsid w:val="00BE2582"/>
    <w:rsid w:val="00BE2B30"/>
    <w:rsid w:val="00BE31A6"/>
    <w:rsid w:val="00BE4C8E"/>
    <w:rsid w:val="00BF2A9A"/>
    <w:rsid w:val="00BF47A7"/>
    <w:rsid w:val="00BF4B30"/>
    <w:rsid w:val="00BF68EA"/>
    <w:rsid w:val="00C00A90"/>
    <w:rsid w:val="00C00BBE"/>
    <w:rsid w:val="00C01F6D"/>
    <w:rsid w:val="00C04FF1"/>
    <w:rsid w:val="00C061FD"/>
    <w:rsid w:val="00C121AB"/>
    <w:rsid w:val="00C1260E"/>
    <w:rsid w:val="00C1276F"/>
    <w:rsid w:val="00C1322D"/>
    <w:rsid w:val="00C141FB"/>
    <w:rsid w:val="00C1583F"/>
    <w:rsid w:val="00C246C7"/>
    <w:rsid w:val="00C30E6B"/>
    <w:rsid w:val="00C30F96"/>
    <w:rsid w:val="00C31184"/>
    <w:rsid w:val="00C33C1F"/>
    <w:rsid w:val="00C40557"/>
    <w:rsid w:val="00C421CF"/>
    <w:rsid w:val="00C429A2"/>
    <w:rsid w:val="00C42C04"/>
    <w:rsid w:val="00C44D37"/>
    <w:rsid w:val="00C4790A"/>
    <w:rsid w:val="00C502ED"/>
    <w:rsid w:val="00C50E43"/>
    <w:rsid w:val="00C51636"/>
    <w:rsid w:val="00C51AC8"/>
    <w:rsid w:val="00C52726"/>
    <w:rsid w:val="00C53139"/>
    <w:rsid w:val="00C54691"/>
    <w:rsid w:val="00C57AC0"/>
    <w:rsid w:val="00C60B21"/>
    <w:rsid w:val="00C619DC"/>
    <w:rsid w:val="00C65052"/>
    <w:rsid w:val="00C654D2"/>
    <w:rsid w:val="00C65E61"/>
    <w:rsid w:val="00C7173C"/>
    <w:rsid w:val="00C74524"/>
    <w:rsid w:val="00C75F1D"/>
    <w:rsid w:val="00C8081B"/>
    <w:rsid w:val="00C820D6"/>
    <w:rsid w:val="00C829F1"/>
    <w:rsid w:val="00C82B23"/>
    <w:rsid w:val="00C85D52"/>
    <w:rsid w:val="00C862A1"/>
    <w:rsid w:val="00C9023E"/>
    <w:rsid w:val="00C9189A"/>
    <w:rsid w:val="00C92F85"/>
    <w:rsid w:val="00C93E3E"/>
    <w:rsid w:val="00C93F13"/>
    <w:rsid w:val="00C9479C"/>
    <w:rsid w:val="00C94856"/>
    <w:rsid w:val="00C95B79"/>
    <w:rsid w:val="00C95F64"/>
    <w:rsid w:val="00C979C2"/>
    <w:rsid w:val="00CA169F"/>
    <w:rsid w:val="00CA5925"/>
    <w:rsid w:val="00CB007E"/>
    <w:rsid w:val="00CB03EB"/>
    <w:rsid w:val="00CB16E9"/>
    <w:rsid w:val="00CB1E48"/>
    <w:rsid w:val="00CB5D08"/>
    <w:rsid w:val="00CB74FA"/>
    <w:rsid w:val="00CC4583"/>
    <w:rsid w:val="00CD24D6"/>
    <w:rsid w:val="00CD45CC"/>
    <w:rsid w:val="00CD6DC1"/>
    <w:rsid w:val="00CD71B4"/>
    <w:rsid w:val="00CE40A5"/>
    <w:rsid w:val="00CE61F7"/>
    <w:rsid w:val="00CF033F"/>
    <w:rsid w:val="00CF07CD"/>
    <w:rsid w:val="00CF0A67"/>
    <w:rsid w:val="00CF1207"/>
    <w:rsid w:val="00CF1B74"/>
    <w:rsid w:val="00CF2A7F"/>
    <w:rsid w:val="00CF38AB"/>
    <w:rsid w:val="00CF4156"/>
    <w:rsid w:val="00CF47F3"/>
    <w:rsid w:val="00CF4C51"/>
    <w:rsid w:val="00CF5DDA"/>
    <w:rsid w:val="00CF72A1"/>
    <w:rsid w:val="00D005FE"/>
    <w:rsid w:val="00D00EB0"/>
    <w:rsid w:val="00D01716"/>
    <w:rsid w:val="00D01725"/>
    <w:rsid w:val="00D01D41"/>
    <w:rsid w:val="00D04DA7"/>
    <w:rsid w:val="00D05505"/>
    <w:rsid w:val="00D12A6B"/>
    <w:rsid w:val="00D13752"/>
    <w:rsid w:val="00D155E8"/>
    <w:rsid w:val="00D169F4"/>
    <w:rsid w:val="00D21C5B"/>
    <w:rsid w:val="00D229E6"/>
    <w:rsid w:val="00D2397F"/>
    <w:rsid w:val="00D23AE1"/>
    <w:rsid w:val="00D23FF0"/>
    <w:rsid w:val="00D276D2"/>
    <w:rsid w:val="00D3057F"/>
    <w:rsid w:val="00D306ED"/>
    <w:rsid w:val="00D36896"/>
    <w:rsid w:val="00D4320F"/>
    <w:rsid w:val="00D44BDC"/>
    <w:rsid w:val="00D45239"/>
    <w:rsid w:val="00D47E87"/>
    <w:rsid w:val="00D500C6"/>
    <w:rsid w:val="00D5072D"/>
    <w:rsid w:val="00D54315"/>
    <w:rsid w:val="00D5450C"/>
    <w:rsid w:val="00D54C84"/>
    <w:rsid w:val="00D54DC3"/>
    <w:rsid w:val="00D60BA5"/>
    <w:rsid w:val="00D62538"/>
    <w:rsid w:val="00D62AE1"/>
    <w:rsid w:val="00D63E36"/>
    <w:rsid w:val="00D6473B"/>
    <w:rsid w:val="00D67502"/>
    <w:rsid w:val="00D707EC"/>
    <w:rsid w:val="00D70A87"/>
    <w:rsid w:val="00D72062"/>
    <w:rsid w:val="00D7504D"/>
    <w:rsid w:val="00D752E2"/>
    <w:rsid w:val="00D7783F"/>
    <w:rsid w:val="00D8035B"/>
    <w:rsid w:val="00D80E70"/>
    <w:rsid w:val="00D86355"/>
    <w:rsid w:val="00D86931"/>
    <w:rsid w:val="00D877BA"/>
    <w:rsid w:val="00D906FC"/>
    <w:rsid w:val="00D91984"/>
    <w:rsid w:val="00D94D13"/>
    <w:rsid w:val="00D9521A"/>
    <w:rsid w:val="00DA150C"/>
    <w:rsid w:val="00DA229C"/>
    <w:rsid w:val="00DA4BB4"/>
    <w:rsid w:val="00DA52BE"/>
    <w:rsid w:val="00DA6255"/>
    <w:rsid w:val="00DA66AE"/>
    <w:rsid w:val="00DB4924"/>
    <w:rsid w:val="00DB73D5"/>
    <w:rsid w:val="00DC1BAF"/>
    <w:rsid w:val="00DC389B"/>
    <w:rsid w:val="00DC64E0"/>
    <w:rsid w:val="00DC6ADC"/>
    <w:rsid w:val="00DD0D1D"/>
    <w:rsid w:val="00DD304E"/>
    <w:rsid w:val="00DD538B"/>
    <w:rsid w:val="00DD7159"/>
    <w:rsid w:val="00DD7334"/>
    <w:rsid w:val="00DD75B6"/>
    <w:rsid w:val="00DE229E"/>
    <w:rsid w:val="00DE4682"/>
    <w:rsid w:val="00DF145C"/>
    <w:rsid w:val="00DF2F55"/>
    <w:rsid w:val="00DF3F0C"/>
    <w:rsid w:val="00DF786B"/>
    <w:rsid w:val="00E0038A"/>
    <w:rsid w:val="00E00D54"/>
    <w:rsid w:val="00E00ECF"/>
    <w:rsid w:val="00E00FDF"/>
    <w:rsid w:val="00E01DF1"/>
    <w:rsid w:val="00E0706B"/>
    <w:rsid w:val="00E07BF9"/>
    <w:rsid w:val="00E10720"/>
    <w:rsid w:val="00E11136"/>
    <w:rsid w:val="00E155AD"/>
    <w:rsid w:val="00E15914"/>
    <w:rsid w:val="00E17163"/>
    <w:rsid w:val="00E17C8F"/>
    <w:rsid w:val="00E20168"/>
    <w:rsid w:val="00E22270"/>
    <w:rsid w:val="00E22D58"/>
    <w:rsid w:val="00E2450C"/>
    <w:rsid w:val="00E246C0"/>
    <w:rsid w:val="00E25842"/>
    <w:rsid w:val="00E31B9B"/>
    <w:rsid w:val="00E3246D"/>
    <w:rsid w:val="00E34335"/>
    <w:rsid w:val="00E3472A"/>
    <w:rsid w:val="00E349E4"/>
    <w:rsid w:val="00E363E6"/>
    <w:rsid w:val="00E371A0"/>
    <w:rsid w:val="00E377E2"/>
    <w:rsid w:val="00E378BF"/>
    <w:rsid w:val="00E40189"/>
    <w:rsid w:val="00E420DD"/>
    <w:rsid w:val="00E42403"/>
    <w:rsid w:val="00E42551"/>
    <w:rsid w:val="00E43069"/>
    <w:rsid w:val="00E43775"/>
    <w:rsid w:val="00E43D67"/>
    <w:rsid w:val="00E43E99"/>
    <w:rsid w:val="00E44DB8"/>
    <w:rsid w:val="00E45B50"/>
    <w:rsid w:val="00E46CF8"/>
    <w:rsid w:val="00E5233E"/>
    <w:rsid w:val="00E55B12"/>
    <w:rsid w:val="00E55C7A"/>
    <w:rsid w:val="00E57E74"/>
    <w:rsid w:val="00E60152"/>
    <w:rsid w:val="00E622D7"/>
    <w:rsid w:val="00E706E1"/>
    <w:rsid w:val="00E7557A"/>
    <w:rsid w:val="00E81FB3"/>
    <w:rsid w:val="00E82E1F"/>
    <w:rsid w:val="00E83049"/>
    <w:rsid w:val="00E84CCA"/>
    <w:rsid w:val="00E85DF5"/>
    <w:rsid w:val="00E87AAE"/>
    <w:rsid w:val="00E87B9A"/>
    <w:rsid w:val="00E9149C"/>
    <w:rsid w:val="00E92485"/>
    <w:rsid w:val="00E92571"/>
    <w:rsid w:val="00E926C5"/>
    <w:rsid w:val="00E92E43"/>
    <w:rsid w:val="00E970A6"/>
    <w:rsid w:val="00E97C2F"/>
    <w:rsid w:val="00EA002E"/>
    <w:rsid w:val="00EA2C41"/>
    <w:rsid w:val="00EA3B5C"/>
    <w:rsid w:val="00EA650B"/>
    <w:rsid w:val="00EB089C"/>
    <w:rsid w:val="00EB4E13"/>
    <w:rsid w:val="00EB5682"/>
    <w:rsid w:val="00EC0ED0"/>
    <w:rsid w:val="00EC1AE4"/>
    <w:rsid w:val="00EC1C76"/>
    <w:rsid w:val="00EC427A"/>
    <w:rsid w:val="00EC45F6"/>
    <w:rsid w:val="00EC68D5"/>
    <w:rsid w:val="00ED0C4F"/>
    <w:rsid w:val="00ED597C"/>
    <w:rsid w:val="00ED5A96"/>
    <w:rsid w:val="00ED61AD"/>
    <w:rsid w:val="00EE0A03"/>
    <w:rsid w:val="00EE137E"/>
    <w:rsid w:val="00EE1C7D"/>
    <w:rsid w:val="00EE2EFA"/>
    <w:rsid w:val="00EE3B9B"/>
    <w:rsid w:val="00EE70C1"/>
    <w:rsid w:val="00EF1D8E"/>
    <w:rsid w:val="00EF3796"/>
    <w:rsid w:val="00EF6F92"/>
    <w:rsid w:val="00F0018D"/>
    <w:rsid w:val="00F00E47"/>
    <w:rsid w:val="00F022B2"/>
    <w:rsid w:val="00F0451A"/>
    <w:rsid w:val="00F054A9"/>
    <w:rsid w:val="00F05ACC"/>
    <w:rsid w:val="00F11952"/>
    <w:rsid w:val="00F119F9"/>
    <w:rsid w:val="00F139FD"/>
    <w:rsid w:val="00F146DB"/>
    <w:rsid w:val="00F156AC"/>
    <w:rsid w:val="00F170AD"/>
    <w:rsid w:val="00F2102A"/>
    <w:rsid w:val="00F215D2"/>
    <w:rsid w:val="00F232C5"/>
    <w:rsid w:val="00F233E6"/>
    <w:rsid w:val="00F23F72"/>
    <w:rsid w:val="00F25D35"/>
    <w:rsid w:val="00F273B3"/>
    <w:rsid w:val="00F30DDE"/>
    <w:rsid w:val="00F32AA0"/>
    <w:rsid w:val="00F332BD"/>
    <w:rsid w:val="00F33C3D"/>
    <w:rsid w:val="00F359DC"/>
    <w:rsid w:val="00F438DE"/>
    <w:rsid w:val="00F43BA0"/>
    <w:rsid w:val="00F52D6C"/>
    <w:rsid w:val="00F55404"/>
    <w:rsid w:val="00F57A68"/>
    <w:rsid w:val="00F6275F"/>
    <w:rsid w:val="00F6725B"/>
    <w:rsid w:val="00F674ED"/>
    <w:rsid w:val="00F67F1E"/>
    <w:rsid w:val="00F703D7"/>
    <w:rsid w:val="00F705FF"/>
    <w:rsid w:val="00F70E24"/>
    <w:rsid w:val="00F710DB"/>
    <w:rsid w:val="00F7420E"/>
    <w:rsid w:val="00F754C9"/>
    <w:rsid w:val="00F76DBC"/>
    <w:rsid w:val="00F77684"/>
    <w:rsid w:val="00F8320B"/>
    <w:rsid w:val="00F855C2"/>
    <w:rsid w:val="00F859AC"/>
    <w:rsid w:val="00F862F1"/>
    <w:rsid w:val="00F86439"/>
    <w:rsid w:val="00F86A04"/>
    <w:rsid w:val="00F86EDD"/>
    <w:rsid w:val="00F90664"/>
    <w:rsid w:val="00F92D2C"/>
    <w:rsid w:val="00F967D9"/>
    <w:rsid w:val="00F96B43"/>
    <w:rsid w:val="00F977AB"/>
    <w:rsid w:val="00F97DE6"/>
    <w:rsid w:val="00FA50D0"/>
    <w:rsid w:val="00FA76EF"/>
    <w:rsid w:val="00FB0ED6"/>
    <w:rsid w:val="00FB3512"/>
    <w:rsid w:val="00FB3A14"/>
    <w:rsid w:val="00FB71F6"/>
    <w:rsid w:val="00FC19B4"/>
    <w:rsid w:val="00FC1DD0"/>
    <w:rsid w:val="00FC2B55"/>
    <w:rsid w:val="00FC386F"/>
    <w:rsid w:val="00FC3EA0"/>
    <w:rsid w:val="00FC58F2"/>
    <w:rsid w:val="00FC79EC"/>
    <w:rsid w:val="00FD338C"/>
    <w:rsid w:val="00FD4EE7"/>
    <w:rsid w:val="00FE59F5"/>
    <w:rsid w:val="00FE6D4A"/>
    <w:rsid w:val="00FF291B"/>
    <w:rsid w:val="00FF2EB3"/>
    <w:rsid w:val="00FF3C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9cbee0" strokecolor="#739cc3">
      <v:fill color="#9cbee0" color2="#bbd5f0" type="gradient">
        <o:fill v:ext="view" type="gradientUnscaled"/>
      </v:fill>
      <v:stroke color="#739cc3" weight="1.25pt"/>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84"/>
    <w:pPr>
      <w:widowControl w:val="0"/>
      <w:jc w:val="both"/>
    </w:pPr>
    <w:rPr>
      <w:kern w:val="2"/>
      <w:sz w:val="21"/>
    </w:rPr>
  </w:style>
  <w:style w:type="paragraph" w:styleId="2">
    <w:name w:val="heading 2"/>
    <w:basedOn w:val="a"/>
    <w:next w:val="a"/>
    <w:link w:val="2Char"/>
    <w:uiPriority w:val="9"/>
    <w:qFormat/>
    <w:rsid w:val="00E45B50"/>
    <w:pPr>
      <w:keepNext/>
      <w:keepLines/>
      <w:spacing w:before="260" w:after="260" w:line="416" w:lineRule="auto"/>
      <w:outlineLvl w:val="1"/>
    </w:pPr>
    <w:rPr>
      <w:rFonts w:ascii="Calibri Light" w:hAnsi="Calibri Light"/>
      <w:b/>
      <w:bCs/>
      <w:sz w:val="32"/>
      <w:szCs w:val="32"/>
    </w:rPr>
  </w:style>
  <w:style w:type="paragraph" w:styleId="3">
    <w:name w:val="heading 3"/>
    <w:basedOn w:val="2"/>
    <w:next w:val="a"/>
    <w:link w:val="3Char"/>
    <w:qFormat/>
    <w:rsid w:val="00E45B50"/>
    <w:pPr>
      <w:widowControl/>
      <w:spacing w:line="413" w:lineRule="auto"/>
      <w:jc w:val="left"/>
      <w:outlineLvl w:val="2"/>
    </w:pPr>
    <w:rPr>
      <w:rFonts w:ascii="Times New Roman" w:eastAsia="黑体" w:hAnsi="Times New Roman"/>
      <w:bCs w:val="0"/>
      <w:sz w:val="28"/>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F2F55"/>
    <w:pPr>
      <w:tabs>
        <w:tab w:val="center" w:pos="4153"/>
        <w:tab w:val="right" w:pos="8306"/>
      </w:tabs>
      <w:snapToGrid w:val="0"/>
      <w:jc w:val="left"/>
    </w:pPr>
    <w:rPr>
      <w:sz w:val="18"/>
    </w:rPr>
  </w:style>
  <w:style w:type="paragraph" w:styleId="a4">
    <w:name w:val="header"/>
    <w:basedOn w:val="a"/>
    <w:rsid w:val="00DF2F5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link w:val="Char0"/>
    <w:unhideWhenUsed/>
    <w:rsid w:val="00307DE2"/>
    <w:pPr>
      <w:snapToGrid w:val="0"/>
      <w:jc w:val="left"/>
    </w:pPr>
    <w:rPr>
      <w:rFonts w:ascii="Calibri" w:hAnsi="Calibri"/>
      <w:sz w:val="18"/>
      <w:szCs w:val="18"/>
    </w:rPr>
  </w:style>
  <w:style w:type="character" w:customStyle="1" w:styleId="Char0">
    <w:name w:val="脚注文本 Char"/>
    <w:link w:val="a5"/>
    <w:rsid w:val="00307DE2"/>
    <w:rPr>
      <w:rFonts w:ascii="Calibri" w:hAnsi="Calibri"/>
      <w:kern w:val="2"/>
      <w:sz w:val="18"/>
      <w:szCs w:val="18"/>
    </w:rPr>
  </w:style>
  <w:style w:type="character" w:styleId="a6">
    <w:name w:val="footnote reference"/>
    <w:unhideWhenUsed/>
    <w:rsid w:val="00307DE2"/>
    <w:rPr>
      <w:vertAlign w:val="superscript"/>
    </w:rPr>
  </w:style>
  <w:style w:type="character" w:customStyle="1" w:styleId="3Char">
    <w:name w:val="标题 3 Char"/>
    <w:link w:val="3"/>
    <w:rsid w:val="00E45B50"/>
    <w:rPr>
      <w:rFonts w:eastAsia="黑体"/>
      <w:b/>
      <w:kern w:val="2"/>
      <w:sz w:val="28"/>
      <w:szCs w:val="21"/>
    </w:rPr>
  </w:style>
  <w:style w:type="character" w:customStyle="1" w:styleId="2Char">
    <w:name w:val="标题 2 Char"/>
    <w:link w:val="2"/>
    <w:uiPriority w:val="9"/>
    <w:semiHidden/>
    <w:rsid w:val="00E45B50"/>
    <w:rPr>
      <w:rFonts w:ascii="Calibri Light" w:eastAsia="宋体" w:hAnsi="Calibri Light" w:cs="Times New Roman"/>
      <w:b/>
      <w:bCs/>
      <w:kern w:val="2"/>
      <w:sz w:val="32"/>
      <w:szCs w:val="32"/>
    </w:rPr>
  </w:style>
  <w:style w:type="character" w:customStyle="1" w:styleId="apple-style-span">
    <w:name w:val="apple-style-span"/>
    <w:rsid w:val="00F6275F"/>
  </w:style>
  <w:style w:type="character" w:styleId="a7">
    <w:name w:val="annotation reference"/>
    <w:semiHidden/>
    <w:rsid w:val="00AC2116"/>
    <w:rPr>
      <w:sz w:val="21"/>
      <w:szCs w:val="21"/>
    </w:rPr>
  </w:style>
  <w:style w:type="paragraph" w:styleId="a8">
    <w:name w:val="annotation text"/>
    <w:basedOn w:val="a"/>
    <w:semiHidden/>
    <w:rsid w:val="00234284"/>
    <w:pPr>
      <w:jc w:val="left"/>
    </w:pPr>
    <w:rPr>
      <w:lang w:val="en-GB"/>
    </w:rPr>
  </w:style>
  <w:style w:type="paragraph" w:styleId="a9">
    <w:name w:val="annotation subject"/>
    <w:basedOn w:val="a8"/>
    <w:next w:val="a8"/>
    <w:semiHidden/>
    <w:rsid w:val="00AC2116"/>
    <w:rPr>
      <w:b/>
      <w:bCs/>
    </w:rPr>
  </w:style>
  <w:style w:type="paragraph" w:styleId="aa">
    <w:name w:val="Balloon Text"/>
    <w:basedOn w:val="a"/>
    <w:semiHidden/>
    <w:rsid w:val="00234284"/>
    <w:pPr>
      <w:jc w:val="left"/>
    </w:pPr>
    <w:rPr>
      <w:rFonts w:ascii="Tahoma" w:hAnsi="Tahoma" w:cs="Tahoma"/>
      <w:sz w:val="16"/>
      <w:szCs w:val="18"/>
    </w:rPr>
  </w:style>
  <w:style w:type="paragraph" w:customStyle="1" w:styleId="-11">
    <w:name w:val="彩色底纹 - 强调文字颜色 11"/>
    <w:hidden/>
    <w:uiPriority w:val="71"/>
    <w:rsid w:val="00096701"/>
    <w:rPr>
      <w:kern w:val="2"/>
      <w:sz w:val="21"/>
    </w:rPr>
  </w:style>
  <w:style w:type="character" w:customStyle="1" w:styleId="Char">
    <w:name w:val="页脚 Char"/>
    <w:link w:val="a3"/>
    <w:uiPriority w:val="99"/>
    <w:rsid w:val="00F6725B"/>
    <w:rPr>
      <w:kern w:val="2"/>
      <w:sz w:val="18"/>
    </w:rPr>
  </w:style>
  <w:style w:type="character" w:customStyle="1" w:styleId="Char1">
    <w:name w:val="脚注文本 Char1"/>
    <w:uiPriority w:val="99"/>
    <w:semiHidden/>
    <w:rsid w:val="00F8320B"/>
    <w:rPr>
      <w:kern w:val="2"/>
      <w:sz w:val="18"/>
      <w:szCs w:val="18"/>
    </w:rPr>
  </w:style>
  <w:style w:type="character" w:styleId="ab">
    <w:name w:val="Hyperlink"/>
    <w:uiPriority w:val="99"/>
    <w:unhideWhenUsed/>
    <w:rsid w:val="00F8320B"/>
    <w:rPr>
      <w:color w:val="0563C1"/>
      <w:u w:val="single"/>
    </w:rPr>
  </w:style>
  <w:style w:type="paragraph" w:styleId="ac">
    <w:name w:val="Revision"/>
    <w:hidden/>
    <w:uiPriority w:val="99"/>
    <w:semiHidden/>
    <w:rsid w:val="00215B97"/>
    <w:rPr>
      <w:kern w:val="2"/>
      <w:sz w:val="21"/>
    </w:rPr>
  </w:style>
</w:styles>
</file>

<file path=word/webSettings.xml><?xml version="1.0" encoding="utf-8"?>
<w:webSettings xmlns:r="http://schemas.openxmlformats.org/officeDocument/2006/relationships" xmlns:w="http://schemas.openxmlformats.org/wordprocessingml/2006/main">
  <w:divs>
    <w:div w:id="72511002">
      <w:bodyDiv w:val="1"/>
      <w:marLeft w:val="0"/>
      <w:marRight w:val="0"/>
      <w:marTop w:val="0"/>
      <w:marBottom w:val="0"/>
      <w:divBdr>
        <w:top w:val="none" w:sz="0" w:space="0" w:color="auto"/>
        <w:left w:val="none" w:sz="0" w:space="0" w:color="auto"/>
        <w:bottom w:val="none" w:sz="0" w:space="0" w:color="auto"/>
        <w:right w:val="none" w:sz="0" w:space="0" w:color="auto"/>
      </w:divBdr>
    </w:div>
    <w:div w:id="94180214">
      <w:bodyDiv w:val="1"/>
      <w:marLeft w:val="0"/>
      <w:marRight w:val="0"/>
      <w:marTop w:val="0"/>
      <w:marBottom w:val="0"/>
      <w:divBdr>
        <w:top w:val="none" w:sz="0" w:space="0" w:color="auto"/>
        <w:left w:val="none" w:sz="0" w:space="0" w:color="auto"/>
        <w:bottom w:val="none" w:sz="0" w:space="0" w:color="auto"/>
        <w:right w:val="none" w:sz="0" w:space="0" w:color="auto"/>
      </w:divBdr>
    </w:div>
    <w:div w:id="146410348">
      <w:bodyDiv w:val="1"/>
      <w:marLeft w:val="0"/>
      <w:marRight w:val="0"/>
      <w:marTop w:val="0"/>
      <w:marBottom w:val="0"/>
      <w:divBdr>
        <w:top w:val="none" w:sz="0" w:space="0" w:color="auto"/>
        <w:left w:val="none" w:sz="0" w:space="0" w:color="auto"/>
        <w:bottom w:val="none" w:sz="0" w:space="0" w:color="auto"/>
        <w:right w:val="none" w:sz="0" w:space="0" w:color="auto"/>
      </w:divBdr>
    </w:div>
    <w:div w:id="160657832">
      <w:bodyDiv w:val="1"/>
      <w:marLeft w:val="0"/>
      <w:marRight w:val="0"/>
      <w:marTop w:val="0"/>
      <w:marBottom w:val="0"/>
      <w:divBdr>
        <w:top w:val="none" w:sz="0" w:space="0" w:color="auto"/>
        <w:left w:val="none" w:sz="0" w:space="0" w:color="auto"/>
        <w:bottom w:val="none" w:sz="0" w:space="0" w:color="auto"/>
        <w:right w:val="none" w:sz="0" w:space="0" w:color="auto"/>
      </w:divBdr>
    </w:div>
    <w:div w:id="182129757">
      <w:bodyDiv w:val="1"/>
      <w:marLeft w:val="0"/>
      <w:marRight w:val="0"/>
      <w:marTop w:val="0"/>
      <w:marBottom w:val="0"/>
      <w:divBdr>
        <w:top w:val="none" w:sz="0" w:space="0" w:color="auto"/>
        <w:left w:val="none" w:sz="0" w:space="0" w:color="auto"/>
        <w:bottom w:val="none" w:sz="0" w:space="0" w:color="auto"/>
        <w:right w:val="none" w:sz="0" w:space="0" w:color="auto"/>
      </w:divBdr>
    </w:div>
    <w:div w:id="199444308">
      <w:bodyDiv w:val="1"/>
      <w:marLeft w:val="0"/>
      <w:marRight w:val="0"/>
      <w:marTop w:val="0"/>
      <w:marBottom w:val="0"/>
      <w:divBdr>
        <w:top w:val="none" w:sz="0" w:space="0" w:color="auto"/>
        <w:left w:val="none" w:sz="0" w:space="0" w:color="auto"/>
        <w:bottom w:val="none" w:sz="0" w:space="0" w:color="auto"/>
        <w:right w:val="none" w:sz="0" w:space="0" w:color="auto"/>
      </w:divBdr>
    </w:div>
    <w:div w:id="283660050">
      <w:bodyDiv w:val="1"/>
      <w:marLeft w:val="0"/>
      <w:marRight w:val="0"/>
      <w:marTop w:val="0"/>
      <w:marBottom w:val="0"/>
      <w:divBdr>
        <w:top w:val="none" w:sz="0" w:space="0" w:color="auto"/>
        <w:left w:val="none" w:sz="0" w:space="0" w:color="auto"/>
        <w:bottom w:val="none" w:sz="0" w:space="0" w:color="auto"/>
        <w:right w:val="none" w:sz="0" w:space="0" w:color="auto"/>
      </w:divBdr>
    </w:div>
    <w:div w:id="300810987">
      <w:bodyDiv w:val="1"/>
      <w:marLeft w:val="0"/>
      <w:marRight w:val="0"/>
      <w:marTop w:val="0"/>
      <w:marBottom w:val="0"/>
      <w:divBdr>
        <w:top w:val="none" w:sz="0" w:space="0" w:color="auto"/>
        <w:left w:val="none" w:sz="0" w:space="0" w:color="auto"/>
        <w:bottom w:val="none" w:sz="0" w:space="0" w:color="auto"/>
        <w:right w:val="none" w:sz="0" w:space="0" w:color="auto"/>
      </w:divBdr>
    </w:div>
    <w:div w:id="303043676">
      <w:bodyDiv w:val="1"/>
      <w:marLeft w:val="0"/>
      <w:marRight w:val="0"/>
      <w:marTop w:val="0"/>
      <w:marBottom w:val="0"/>
      <w:divBdr>
        <w:top w:val="none" w:sz="0" w:space="0" w:color="auto"/>
        <w:left w:val="none" w:sz="0" w:space="0" w:color="auto"/>
        <w:bottom w:val="none" w:sz="0" w:space="0" w:color="auto"/>
        <w:right w:val="none" w:sz="0" w:space="0" w:color="auto"/>
      </w:divBdr>
    </w:div>
    <w:div w:id="498468043">
      <w:bodyDiv w:val="1"/>
      <w:marLeft w:val="0"/>
      <w:marRight w:val="0"/>
      <w:marTop w:val="0"/>
      <w:marBottom w:val="0"/>
      <w:divBdr>
        <w:top w:val="none" w:sz="0" w:space="0" w:color="auto"/>
        <w:left w:val="none" w:sz="0" w:space="0" w:color="auto"/>
        <w:bottom w:val="none" w:sz="0" w:space="0" w:color="auto"/>
        <w:right w:val="none" w:sz="0" w:space="0" w:color="auto"/>
      </w:divBdr>
    </w:div>
    <w:div w:id="604312464">
      <w:bodyDiv w:val="1"/>
      <w:marLeft w:val="0"/>
      <w:marRight w:val="0"/>
      <w:marTop w:val="0"/>
      <w:marBottom w:val="0"/>
      <w:divBdr>
        <w:top w:val="none" w:sz="0" w:space="0" w:color="auto"/>
        <w:left w:val="none" w:sz="0" w:space="0" w:color="auto"/>
        <w:bottom w:val="none" w:sz="0" w:space="0" w:color="auto"/>
        <w:right w:val="none" w:sz="0" w:space="0" w:color="auto"/>
      </w:divBdr>
    </w:div>
    <w:div w:id="814874867">
      <w:bodyDiv w:val="1"/>
      <w:marLeft w:val="0"/>
      <w:marRight w:val="0"/>
      <w:marTop w:val="0"/>
      <w:marBottom w:val="0"/>
      <w:divBdr>
        <w:top w:val="none" w:sz="0" w:space="0" w:color="auto"/>
        <w:left w:val="none" w:sz="0" w:space="0" w:color="auto"/>
        <w:bottom w:val="none" w:sz="0" w:space="0" w:color="auto"/>
        <w:right w:val="none" w:sz="0" w:space="0" w:color="auto"/>
      </w:divBdr>
    </w:div>
    <w:div w:id="855459085">
      <w:bodyDiv w:val="1"/>
      <w:marLeft w:val="0"/>
      <w:marRight w:val="0"/>
      <w:marTop w:val="0"/>
      <w:marBottom w:val="0"/>
      <w:divBdr>
        <w:top w:val="none" w:sz="0" w:space="0" w:color="auto"/>
        <w:left w:val="none" w:sz="0" w:space="0" w:color="auto"/>
        <w:bottom w:val="none" w:sz="0" w:space="0" w:color="auto"/>
        <w:right w:val="none" w:sz="0" w:space="0" w:color="auto"/>
      </w:divBdr>
    </w:div>
    <w:div w:id="980310340">
      <w:bodyDiv w:val="1"/>
      <w:marLeft w:val="0"/>
      <w:marRight w:val="0"/>
      <w:marTop w:val="0"/>
      <w:marBottom w:val="0"/>
      <w:divBdr>
        <w:top w:val="none" w:sz="0" w:space="0" w:color="auto"/>
        <w:left w:val="none" w:sz="0" w:space="0" w:color="auto"/>
        <w:bottom w:val="none" w:sz="0" w:space="0" w:color="auto"/>
        <w:right w:val="none" w:sz="0" w:space="0" w:color="auto"/>
      </w:divBdr>
    </w:div>
    <w:div w:id="1132094321">
      <w:bodyDiv w:val="1"/>
      <w:marLeft w:val="0"/>
      <w:marRight w:val="0"/>
      <w:marTop w:val="0"/>
      <w:marBottom w:val="0"/>
      <w:divBdr>
        <w:top w:val="none" w:sz="0" w:space="0" w:color="auto"/>
        <w:left w:val="none" w:sz="0" w:space="0" w:color="auto"/>
        <w:bottom w:val="none" w:sz="0" w:space="0" w:color="auto"/>
        <w:right w:val="none" w:sz="0" w:space="0" w:color="auto"/>
      </w:divBdr>
    </w:div>
    <w:div w:id="1151822956">
      <w:bodyDiv w:val="1"/>
      <w:marLeft w:val="0"/>
      <w:marRight w:val="0"/>
      <w:marTop w:val="0"/>
      <w:marBottom w:val="0"/>
      <w:divBdr>
        <w:top w:val="none" w:sz="0" w:space="0" w:color="auto"/>
        <w:left w:val="none" w:sz="0" w:space="0" w:color="auto"/>
        <w:bottom w:val="none" w:sz="0" w:space="0" w:color="auto"/>
        <w:right w:val="none" w:sz="0" w:space="0" w:color="auto"/>
      </w:divBdr>
    </w:div>
    <w:div w:id="1275020076">
      <w:bodyDiv w:val="1"/>
      <w:marLeft w:val="0"/>
      <w:marRight w:val="0"/>
      <w:marTop w:val="0"/>
      <w:marBottom w:val="0"/>
      <w:divBdr>
        <w:top w:val="none" w:sz="0" w:space="0" w:color="auto"/>
        <w:left w:val="none" w:sz="0" w:space="0" w:color="auto"/>
        <w:bottom w:val="none" w:sz="0" w:space="0" w:color="auto"/>
        <w:right w:val="none" w:sz="0" w:space="0" w:color="auto"/>
      </w:divBdr>
    </w:div>
    <w:div w:id="1363744412">
      <w:bodyDiv w:val="1"/>
      <w:marLeft w:val="0"/>
      <w:marRight w:val="0"/>
      <w:marTop w:val="0"/>
      <w:marBottom w:val="0"/>
      <w:divBdr>
        <w:top w:val="none" w:sz="0" w:space="0" w:color="auto"/>
        <w:left w:val="none" w:sz="0" w:space="0" w:color="auto"/>
        <w:bottom w:val="none" w:sz="0" w:space="0" w:color="auto"/>
        <w:right w:val="none" w:sz="0" w:space="0" w:color="auto"/>
      </w:divBdr>
    </w:div>
    <w:div w:id="1509520914">
      <w:bodyDiv w:val="1"/>
      <w:marLeft w:val="0"/>
      <w:marRight w:val="0"/>
      <w:marTop w:val="0"/>
      <w:marBottom w:val="0"/>
      <w:divBdr>
        <w:top w:val="none" w:sz="0" w:space="0" w:color="auto"/>
        <w:left w:val="none" w:sz="0" w:space="0" w:color="auto"/>
        <w:bottom w:val="none" w:sz="0" w:space="0" w:color="auto"/>
        <w:right w:val="none" w:sz="0" w:space="0" w:color="auto"/>
      </w:divBdr>
    </w:div>
    <w:div w:id="1640916686">
      <w:bodyDiv w:val="1"/>
      <w:marLeft w:val="0"/>
      <w:marRight w:val="0"/>
      <w:marTop w:val="0"/>
      <w:marBottom w:val="0"/>
      <w:divBdr>
        <w:top w:val="none" w:sz="0" w:space="0" w:color="auto"/>
        <w:left w:val="none" w:sz="0" w:space="0" w:color="auto"/>
        <w:bottom w:val="none" w:sz="0" w:space="0" w:color="auto"/>
        <w:right w:val="none" w:sz="0" w:space="0" w:color="auto"/>
      </w:divBdr>
    </w:div>
    <w:div w:id="1661732161">
      <w:bodyDiv w:val="1"/>
      <w:marLeft w:val="0"/>
      <w:marRight w:val="0"/>
      <w:marTop w:val="0"/>
      <w:marBottom w:val="0"/>
      <w:divBdr>
        <w:top w:val="none" w:sz="0" w:space="0" w:color="auto"/>
        <w:left w:val="none" w:sz="0" w:space="0" w:color="auto"/>
        <w:bottom w:val="none" w:sz="0" w:space="0" w:color="auto"/>
        <w:right w:val="none" w:sz="0" w:space="0" w:color="auto"/>
      </w:divBdr>
    </w:div>
    <w:div w:id="1701709025">
      <w:bodyDiv w:val="1"/>
      <w:marLeft w:val="0"/>
      <w:marRight w:val="0"/>
      <w:marTop w:val="0"/>
      <w:marBottom w:val="0"/>
      <w:divBdr>
        <w:top w:val="none" w:sz="0" w:space="0" w:color="auto"/>
        <w:left w:val="none" w:sz="0" w:space="0" w:color="auto"/>
        <w:bottom w:val="none" w:sz="0" w:space="0" w:color="auto"/>
        <w:right w:val="none" w:sz="0" w:space="0" w:color="auto"/>
      </w:divBdr>
    </w:div>
    <w:div w:id="1814133609">
      <w:bodyDiv w:val="1"/>
      <w:marLeft w:val="0"/>
      <w:marRight w:val="0"/>
      <w:marTop w:val="0"/>
      <w:marBottom w:val="0"/>
      <w:divBdr>
        <w:top w:val="none" w:sz="0" w:space="0" w:color="auto"/>
        <w:left w:val="none" w:sz="0" w:space="0" w:color="auto"/>
        <w:bottom w:val="none" w:sz="0" w:space="0" w:color="auto"/>
        <w:right w:val="none" w:sz="0" w:space="0" w:color="auto"/>
      </w:divBdr>
    </w:div>
    <w:div w:id="1844010067">
      <w:bodyDiv w:val="1"/>
      <w:marLeft w:val="0"/>
      <w:marRight w:val="0"/>
      <w:marTop w:val="0"/>
      <w:marBottom w:val="0"/>
      <w:divBdr>
        <w:top w:val="none" w:sz="0" w:space="0" w:color="auto"/>
        <w:left w:val="none" w:sz="0" w:space="0" w:color="auto"/>
        <w:bottom w:val="none" w:sz="0" w:space="0" w:color="auto"/>
        <w:right w:val="none" w:sz="0" w:space="0" w:color="auto"/>
      </w:divBdr>
    </w:div>
    <w:div w:id="1909608418">
      <w:bodyDiv w:val="1"/>
      <w:marLeft w:val="0"/>
      <w:marRight w:val="0"/>
      <w:marTop w:val="0"/>
      <w:marBottom w:val="0"/>
      <w:divBdr>
        <w:top w:val="none" w:sz="0" w:space="0" w:color="auto"/>
        <w:left w:val="none" w:sz="0" w:space="0" w:color="auto"/>
        <w:bottom w:val="none" w:sz="0" w:space="0" w:color="auto"/>
        <w:right w:val="none" w:sz="0" w:space="0" w:color="auto"/>
      </w:divBdr>
    </w:div>
    <w:div w:id="2094011055">
      <w:bodyDiv w:val="1"/>
      <w:marLeft w:val="0"/>
      <w:marRight w:val="0"/>
      <w:marTop w:val="0"/>
      <w:marBottom w:val="0"/>
      <w:divBdr>
        <w:top w:val="none" w:sz="0" w:space="0" w:color="auto"/>
        <w:left w:val="none" w:sz="0" w:space="0" w:color="auto"/>
        <w:bottom w:val="none" w:sz="0" w:space="0" w:color="auto"/>
        <w:right w:val="none" w:sz="0" w:space="0" w:color="auto"/>
      </w:divBdr>
    </w:div>
    <w:div w:id="21279628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C14E3-3658-40E3-B389-3FA5E977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9755</Words>
  <Characters>55609</Characters>
  <Application>Microsoft Office Word</Application>
  <DocSecurity>0</DocSecurity>
  <PresentationFormat/>
  <Lines>463</Lines>
  <Paragraphs>130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Truth and robustness in cross-country law and finance regressions: A global sensitivity analysis of the relationship between anti-self-dealing rules and stock market outcomes</vt:lpstr>
    </vt:vector>
  </TitlesOfParts>
  <Company/>
  <LinksUpToDate>false</LinksUpToDate>
  <CharactersWithSpaces>65234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and robustness in cross-country law and finance regressions: A global sensitivity analysis of the relationship between anti-self-dealing rules and stock market outcomes</dc:title>
  <dc:creator>wenming</dc:creator>
  <cp:lastModifiedBy>wenming</cp:lastModifiedBy>
  <cp:revision>8</cp:revision>
  <cp:lastPrinted>2015-05-30T03:07:00Z</cp:lastPrinted>
  <dcterms:created xsi:type="dcterms:W3CDTF">2016-08-13T08:14:00Z</dcterms:created>
  <dcterms:modified xsi:type="dcterms:W3CDTF">2016-08-13T09:00:00Z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