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6C" w:rsidRDefault="004E6A6C" w:rsidP="00CE697E">
      <w:pPr>
        <w:spacing w:before="120" w:line="360" w:lineRule="auto"/>
        <w:ind w:right="7" w:firstLine="0"/>
        <w:jc w:val="center"/>
        <w:rPr>
          <w:rFonts w:ascii="Bookman Old Style" w:hAnsi="Bookman Old Style"/>
          <w:b/>
        </w:rPr>
      </w:pPr>
    </w:p>
    <w:p w:rsidR="00AC7D1F" w:rsidRPr="00AC7D1F" w:rsidRDefault="00AC7D1F" w:rsidP="00AC7D1F">
      <w:pPr>
        <w:spacing w:before="120" w:line="360" w:lineRule="auto"/>
        <w:ind w:right="7" w:firstLine="0"/>
        <w:jc w:val="left"/>
        <w:rPr>
          <w:rFonts w:ascii="Bookman Old Style" w:hAnsi="Bookman Old Style"/>
          <w:b/>
        </w:rPr>
      </w:pPr>
      <w:r w:rsidRPr="00AC7D1F">
        <w:rPr>
          <w:rFonts w:ascii="Bookman Old Style" w:hAnsi="Bookman Old Style"/>
          <w:b/>
        </w:rPr>
        <w:t>Abstract</w:t>
      </w:r>
    </w:p>
    <w:p w:rsidR="00AC7D1F" w:rsidRDefault="00AC7D1F" w:rsidP="00AC7D1F">
      <w:pPr>
        <w:spacing w:before="120" w:line="360" w:lineRule="auto"/>
        <w:ind w:right="7" w:firstLine="0"/>
        <w:jc w:val="left"/>
        <w:rPr>
          <w:rFonts w:ascii="Bookman Old Style" w:hAnsi="Bookman Old Style"/>
        </w:rPr>
      </w:pPr>
    </w:p>
    <w:p w:rsidR="004E6A6C" w:rsidRPr="00AC7D1F" w:rsidRDefault="004E6A6C" w:rsidP="00AC7D1F">
      <w:pPr>
        <w:spacing w:before="120" w:line="360" w:lineRule="auto"/>
        <w:ind w:right="7" w:firstLine="0"/>
        <w:jc w:val="left"/>
        <w:rPr>
          <w:rFonts w:ascii="Bookman Old Style" w:hAnsi="Bookman Old Style"/>
        </w:rPr>
      </w:pPr>
      <w:r w:rsidRPr="00AC7D1F">
        <w:rPr>
          <w:rFonts w:ascii="Bookman Old Style" w:hAnsi="Bookman Old Style"/>
        </w:rPr>
        <w:t>The role and the importance of social trust have been objects of a comparatively well-defined interest among investigators with sociology and social psychology background</w:t>
      </w:r>
      <w:r w:rsidR="00AC7D1F">
        <w:rPr>
          <w:rFonts w:ascii="Bookman Old Style" w:hAnsi="Bookman Old Style"/>
        </w:rPr>
        <w:t>s</w:t>
      </w:r>
      <w:r w:rsidRPr="00AC7D1F">
        <w:rPr>
          <w:rFonts w:ascii="Bookman Old Style" w:hAnsi="Bookman Old Style"/>
        </w:rPr>
        <w:t xml:space="preserve">. Unfortunately, this is not so true when it comes to economists. In Economics, even the link between culture and economic development still lacks the necessary attention. At the other hand, in order to explain this link, it will be of help and importance to take  social trust into consideration both directly and as an infrastructural element of </w:t>
      </w:r>
      <w:r w:rsidR="00AC7D1F">
        <w:rPr>
          <w:rFonts w:ascii="Bookman Old Style" w:hAnsi="Bookman Old Style"/>
        </w:rPr>
        <w:t xml:space="preserve">some </w:t>
      </w:r>
      <w:r w:rsidRPr="00AC7D1F">
        <w:rPr>
          <w:rFonts w:ascii="Bookman Old Style" w:hAnsi="Bookman Old Style"/>
        </w:rPr>
        <w:t xml:space="preserve">important cultural dimensions. This article </w:t>
      </w:r>
      <w:r w:rsidR="00AC7D1F">
        <w:rPr>
          <w:rFonts w:ascii="Bookman Old Style" w:hAnsi="Bookman Old Style"/>
        </w:rPr>
        <w:t xml:space="preserve">– being generally with a nature of an overview - </w:t>
      </w:r>
      <w:r w:rsidRPr="00AC7D1F">
        <w:rPr>
          <w:rFonts w:ascii="Bookman Old Style" w:hAnsi="Bookman Old Style"/>
        </w:rPr>
        <w:t xml:space="preserve">attempts to show social trust namely as such element, offering a framework for its interpretation </w:t>
      </w:r>
      <w:r w:rsidR="00AC7D1F" w:rsidRPr="00AC7D1F">
        <w:rPr>
          <w:rFonts w:ascii="Bookman Old Style" w:hAnsi="Bookman Old Style"/>
        </w:rPr>
        <w:t xml:space="preserve">and showing the correlational link between trust and several cultural constructs. </w:t>
      </w:r>
      <w:r w:rsidR="00AC7D1F">
        <w:rPr>
          <w:rFonts w:ascii="Bookman Old Style" w:hAnsi="Bookman Old Style"/>
        </w:rPr>
        <w:t xml:space="preserve">This will hopefully help future modelling when it comes to investigating correlational and causal links between economic parameters and </w:t>
      </w:r>
      <w:r w:rsidR="00CB0ADA">
        <w:rPr>
          <w:rFonts w:ascii="Bookman Old Style" w:hAnsi="Bookman Old Style"/>
        </w:rPr>
        <w:t>generaliz</w:t>
      </w:r>
      <w:r w:rsidR="00AC7D1F">
        <w:rPr>
          <w:rFonts w:ascii="Bookman Old Style" w:hAnsi="Bookman Old Style"/>
        </w:rPr>
        <w:t xml:space="preserve">ed social trust. </w:t>
      </w:r>
    </w:p>
    <w:p w:rsidR="004E6A6C" w:rsidRDefault="004E6A6C" w:rsidP="00CE697E">
      <w:pPr>
        <w:spacing w:before="120" w:line="360" w:lineRule="auto"/>
        <w:ind w:right="7" w:firstLine="0"/>
        <w:jc w:val="center"/>
        <w:rPr>
          <w:rFonts w:ascii="Bookman Old Style" w:hAnsi="Bookman Old Style"/>
          <w:b/>
        </w:rPr>
      </w:pPr>
    </w:p>
    <w:p w:rsidR="004E6A6C" w:rsidRDefault="004E6A6C" w:rsidP="00CE697E">
      <w:pPr>
        <w:spacing w:before="120" w:line="360" w:lineRule="auto"/>
        <w:ind w:right="7" w:firstLine="0"/>
        <w:jc w:val="center"/>
        <w:rPr>
          <w:rFonts w:ascii="Bookman Old Style" w:hAnsi="Bookman Old Style"/>
          <w:b/>
        </w:rPr>
      </w:pPr>
    </w:p>
    <w:p w:rsidR="004E6A6C" w:rsidRDefault="004E6A6C" w:rsidP="00CE697E">
      <w:pPr>
        <w:spacing w:before="120" w:line="360" w:lineRule="auto"/>
        <w:ind w:right="7" w:firstLine="0"/>
        <w:jc w:val="center"/>
        <w:rPr>
          <w:rFonts w:ascii="Bookman Old Style" w:hAnsi="Bookman Old Style"/>
          <w:b/>
        </w:rPr>
      </w:pPr>
    </w:p>
    <w:p w:rsidR="004E6A6C" w:rsidRDefault="004E6A6C" w:rsidP="00CE697E">
      <w:pPr>
        <w:spacing w:before="120" w:line="360" w:lineRule="auto"/>
        <w:ind w:right="7" w:firstLine="0"/>
        <w:jc w:val="center"/>
        <w:rPr>
          <w:rFonts w:ascii="Bookman Old Style" w:hAnsi="Bookman Old Style"/>
          <w:b/>
        </w:rPr>
      </w:pPr>
    </w:p>
    <w:p w:rsidR="00E47B34" w:rsidRPr="002A4B6A" w:rsidRDefault="008439D9" w:rsidP="00CE697E">
      <w:pPr>
        <w:spacing w:before="120" w:line="360" w:lineRule="auto"/>
        <w:ind w:right="7" w:firstLine="0"/>
        <w:jc w:val="center"/>
        <w:rPr>
          <w:rFonts w:ascii="Bookman Old Style" w:hAnsi="Bookman Old Style"/>
          <w:b/>
        </w:rPr>
      </w:pPr>
      <w:r w:rsidRPr="001A0B2D">
        <w:rPr>
          <w:rFonts w:ascii="Bookman Old Style" w:hAnsi="Bookman Old Style"/>
          <w:b/>
        </w:rPr>
        <w:t>Social Trust as an Infrastructural Element of C</w:t>
      </w:r>
      <w:r w:rsidR="00E47B34" w:rsidRPr="001A0B2D">
        <w:rPr>
          <w:rFonts w:ascii="Bookman Old Style" w:hAnsi="Bookman Old Style"/>
          <w:b/>
        </w:rPr>
        <w:t>ultures</w:t>
      </w:r>
      <w:r w:rsidR="002A4B6A">
        <w:rPr>
          <w:rFonts w:ascii="Bookman Old Style" w:hAnsi="Bookman Old Style"/>
          <w:b/>
          <w:lang w:val="bg-BG"/>
        </w:rPr>
        <w:t xml:space="preserve"> </w:t>
      </w:r>
    </w:p>
    <w:p w:rsidR="0040756F" w:rsidRPr="001A0B2D" w:rsidRDefault="0040756F" w:rsidP="00EB3DD8">
      <w:pPr>
        <w:spacing w:before="120" w:line="360" w:lineRule="auto"/>
        <w:ind w:right="-613" w:firstLine="0"/>
        <w:jc w:val="left"/>
        <w:rPr>
          <w:rFonts w:ascii="Bookman Old Style" w:hAnsi="Bookman Old Style"/>
          <w:b/>
        </w:rPr>
      </w:pPr>
    </w:p>
    <w:p w:rsidR="00E171E3" w:rsidRPr="001A0B2D" w:rsidRDefault="00D27D15" w:rsidP="00EB3DD8">
      <w:pPr>
        <w:spacing w:before="120" w:line="360" w:lineRule="auto"/>
        <w:ind w:firstLine="0"/>
        <w:jc w:val="left"/>
      </w:pPr>
      <w:r w:rsidRPr="001A0B2D">
        <w:rPr>
          <w:rFonts w:ascii="Bookman Old Style" w:hAnsi="Bookman Old Style"/>
        </w:rPr>
        <w:t>One finds a not quite explicit but palpable conviction in the humanities</w:t>
      </w:r>
      <w:r w:rsidR="00020F55" w:rsidRPr="001A0B2D">
        <w:rPr>
          <w:rFonts w:ascii="Bookman Old Style" w:hAnsi="Bookman Old Style"/>
        </w:rPr>
        <w:t xml:space="preserve"> community that trust </w:t>
      </w:r>
      <w:r w:rsidR="00A3536E">
        <w:rPr>
          <w:rFonts w:ascii="Bookman Old Style" w:hAnsi="Bookman Old Style"/>
        </w:rPr>
        <w:t>does matter</w:t>
      </w:r>
      <w:r w:rsidR="00020F55" w:rsidRPr="001A0B2D">
        <w:rPr>
          <w:rFonts w:ascii="Bookman Old Style" w:hAnsi="Bookman Old Style"/>
        </w:rPr>
        <w:t xml:space="preserve"> and it is </w:t>
      </w:r>
      <w:r w:rsidR="0040756F" w:rsidRPr="001A0B2D">
        <w:rPr>
          <w:rFonts w:ascii="Bookman Old Style" w:hAnsi="Bookman Old Style"/>
        </w:rPr>
        <w:t>„</w:t>
      </w:r>
      <w:r w:rsidR="00AA6F6F" w:rsidRPr="001A0B2D">
        <w:rPr>
          <w:rFonts w:ascii="Bookman Old Style" w:hAnsi="Bookman Old Style"/>
          <w:i/>
          <w:iCs/>
        </w:rPr>
        <w:t>one of the most important synthetic forces within society</w:t>
      </w:r>
      <w:r w:rsidR="00E834A5">
        <w:rPr>
          <w:rFonts w:ascii="Bookman Old Style" w:hAnsi="Bookman Old Style"/>
        </w:rPr>
        <w:t>“ [1]</w:t>
      </w:r>
      <w:r w:rsidR="0040756F" w:rsidRPr="001A0B2D">
        <w:rPr>
          <w:rFonts w:ascii="Bookman Old Style" w:hAnsi="Bookman Old Style"/>
        </w:rPr>
        <w:t xml:space="preserve">. </w:t>
      </w:r>
      <w:r w:rsidR="0001438E" w:rsidRPr="001A0B2D">
        <w:rPr>
          <w:rFonts w:ascii="Bookman Old Style" w:hAnsi="Bookman Old Style"/>
        </w:rPr>
        <w:t xml:space="preserve">Interest </w:t>
      </w:r>
      <w:r w:rsidR="002A64B4" w:rsidRPr="001A0B2D">
        <w:rPr>
          <w:rFonts w:ascii="Bookman Old Style" w:hAnsi="Bookman Old Style"/>
        </w:rPr>
        <w:t>i</w:t>
      </w:r>
      <w:r w:rsidR="0001438E" w:rsidRPr="001A0B2D">
        <w:rPr>
          <w:rFonts w:ascii="Bookman Old Style" w:hAnsi="Bookman Old Style"/>
        </w:rPr>
        <w:t>n</w:t>
      </w:r>
      <w:r w:rsidR="002A64B4" w:rsidRPr="001A0B2D">
        <w:rPr>
          <w:rFonts w:ascii="Bookman Old Style" w:hAnsi="Bookman Old Style"/>
        </w:rPr>
        <w:t xml:space="preserve"> </w:t>
      </w:r>
      <w:r w:rsidR="0001438E" w:rsidRPr="001A0B2D">
        <w:rPr>
          <w:rFonts w:ascii="Bookman Old Style" w:hAnsi="Bookman Old Style"/>
        </w:rPr>
        <w:t>the topic is characteri</w:t>
      </w:r>
      <w:r w:rsidR="001A0B2D" w:rsidRPr="001A0B2D">
        <w:rPr>
          <w:rFonts w:ascii="Bookman Old Style" w:hAnsi="Bookman Old Style"/>
        </w:rPr>
        <w:t>s</w:t>
      </w:r>
      <w:r w:rsidR="0001438E" w:rsidRPr="001A0B2D">
        <w:rPr>
          <w:rFonts w:ascii="Bookman Old Style" w:hAnsi="Bookman Old Style"/>
        </w:rPr>
        <w:t>ed by strong and</w:t>
      </w:r>
      <w:r w:rsidR="002A64B4" w:rsidRPr="001A0B2D">
        <w:rPr>
          <w:rFonts w:ascii="Bookman Old Style" w:hAnsi="Bookman Old Style"/>
        </w:rPr>
        <w:t xml:space="preserve"> increasing fragment</w:t>
      </w:r>
      <w:r w:rsidR="0001438E" w:rsidRPr="001A0B2D">
        <w:rPr>
          <w:rFonts w:ascii="Bookman Old Style" w:hAnsi="Bookman Old Style"/>
        </w:rPr>
        <w:t>ation</w:t>
      </w:r>
      <w:r w:rsidR="002A64B4" w:rsidRPr="001A0B2D">
        <w:rPr>
          <w:rFonts w:ascii="Bookman Old Style" w:hAnsi="Bookman Old Style"/>
        </w:rPr>
        <w:t xml:space="preserve"> across scientific areas and research paradigms including sociology, political science, psychology, </w:t>
      </w:r>
      <w:r w:rsidR="00E6712C" w:rsidRPr="001A0B2D">
        <w:rPr>
          <w:rFonts w:ascii="Bookman Old Style" w:hAnsi="Bookman Old Style"/>
        </w:rPr>
        <w:t xml:space="preserve">philosophy, </w:t>
      </w:r>
      <w:r w:rsidR="002A64B4" w:rsidRPr="001A0B2D">
        <w:rPr>
          <w:rFonts w:ascii="Bookman Old Style" w:hAnsi="Bookman Old Style"/>
        </w:rPr>
        <w:t xml:space="preserve">history, management and </w:t>
      </w:r>
      <w:r w:rsidR="0001438E" w:rsidRPr="001A0B2D">
        <w:rPr>
          <w:rFonts w:ascii="Bookman Old Style" w:hAnsi="Bookman Old Style"/>
        </w:rPr>
        <w:t>organisational b</w:t>
      </w:r>
      <w:r w:rsidR="00CE697E" w:rsidRPr="001A0B2D">
        <w:rPr>
          <w:rFonts w:ascii="Bookman Old Style" w:hAnsi="Bookman Old Style"/>
        </w:rPr>
        <w:t>e</w:t>
      </w:r>
      <w:r w:rsidR="0001438E" w:rsidRPr="001A0B2D">
        <w:rPr>
          <w:rFonts w:ascii="Bookman Old Style" w:hAnsi="Bookman Old Style"/>
        </w:rPr>
        <w:t>haviour</w:t>
      </w:r>
      <w:r w:rsidR="002A64B4" w:rsidRPr="001A0B2D">
        <w:rPr>
          <w:rFonts w:ascii="Bookman Old Style" w:hAnsi="Bookman Old Style"/>
        </w:rPr>
        <w:t>, anthropology</w:t>
      </w:r>
      <w:r w:rsidR="00E6712C" w:rsidRPr="001A0B2D">
        <w:rPr>
          <w:rFonts w:ascii="Bookman Old Style" w:hAnsi="Bookman Old Style"/>
        </w:rPr>
        <w:t>, etc.</w:t>
      </w:r>
      <w:r w:rsidR="003040C1" w:rsidRPr="001A0B2D">
        <w:rPr>
          <w:rFonts w:ascii="Bookman Old Style" w:hAnsi="Bookman Old Style"/>
        </w:rPr>
        <w:t xml:space="preserve"> </w:t>
      </w:r>
      <w:r w:rsidR="009D5261">
        <w:rPr>
          <w:rFonts w:ascii="Bookman Old Style" w:hAnsi="Bookman Old Style"/>
        </w:rPr>
        <w:t>Evidence</w:t>
      </w:r>
      <w:r w:rsidR="003040C1" w:rsidRPr="001A0B2D">
        <w:rPr>
          <w:rFonts w:ascii="Bookman Old Style" w:hAnsi="Bookman Old Style"/>
        </w:rPr>
        <w:t xml:space="preserve"> </w:t>
      </w:r>
      <w:r w:rsidR="009D5261">
        <w:rPr>
          <w:rFonts w:ascii="Bookman Old Style" w:hAnsi="Bookman Old Style"/>
        </w:rPr>
        <w:t xml:space="preserve">is produced in </w:t>
      </w:r>
      <w:r w:rsidR="003040C1" w:rsidRPr="001A0B2D">
        <w:rPr>
          <w:rFonts w:ascii="Bookman Old Style" w:hAnsi="Bookman Old Style"/>
        </w:rPr>
        <w:t>various fields that trust contributes to economic growth and efficiency in market economies</w:t>
      </w:r>
      <w:r w:rsidR="00E834A5">
        <w:rPr>
          <w:rFonts w:ascii="Bookman Old Style" w:hAnsi="Bookman Old Style"/>
        </w:rPr>
        <w:t xml:space="preserve"> [2]</w:t>
      </w:r>
      <w:r w:rsidR="00E171E3" w:rsidRPr="001A0B2D">
        <w:rPr>
          <w:rFonts w:ascii="Bookman Old Style" w:hAnsi="Bookman Old Style"/>
        </w:rPr>
        <w:t>,</w:t>
      </w:r>
      <w:r w:rsidR="009A6FB4" w:rsidRPr="001A0B2D">
        <w:rPr>
          <w:rFonts w:ascii="Bookman Old Style" w:hAnsi="Bookman Old Style"/>
        </w:rPr>
        <w:t xml:space="preserve"> </w:t>
      </w:r>
      <w:r w:rsidR="009D5261">
        <w:rPr>
          <w:rFonts w:ascii="Bookman Old Style" w:hAnsi="Bookman Old Style"/>
        </w:rPr>
        <w:t xml:space="preserve">to </w:t>
      </w:r>
      <w:r w:rsidR="003040C1" w:rsidRPr="001A0B2D">
        <w:rPr>
          <w:rFonts w:ascii="Bookman Old Style" w:hAnsi="Bookman Old Style"/>
        </w:rPr>
        <w:t xml:space="preserve">social integration, </w:t>
      </w:r>
      <w:r w:rsidR="009A6FB4" w:rsidRPr="001A0B2D">
        <w:rPr>
          <w:rFonts w:ascii="Bookman Old Style" w:hAnsi="Bookman Old Style"/>
        </w:rPr>
        <w:t xml:space="preserve">co-operation and harmony in society at large, </w:t>
      </w:r>
      <w:r w:rsidR="00A3536E">
        <w:rPr>
          <w:rFonts w:ascii="Bookman Old Style" w:hAnsi="Bookman Old Style"/>
        </w:rPr>
        <w:t xml:space="preserve">to </w:t>
      </w:r>
      <w:r w:rsidR="00E171E3" w:rsidRPr="001A0B2D">
        <w:rPr>
          <w:rFonts w:ascii="Bookman Old Style" w:hAnsi="Bookman Old Style"/>
        </w:rPr>
        <w:t>life satisfaction</w:t>
      </w:r>
      <w:r w:rsidR="009D5261" w:rsidRPr="001A0B2D">
        <w:rPr>
          <w:rFonts w:ascii="Bookman Old Style" w:hAnsi="Bookman Old Style"/>
        </w:rPr>
        <w:t>, stability</w:t>
      </w:r>
      <w:r w:rsidR="00E171E3" w:rsidRPr="001A0B2D">
        <w:rPr>
          <w:rFonts w:ascii="Bookman Old Style" w:hAnsi="Bookman Old Style"/>
        </w:rPr>
        <w:t xml:space="preserve"> and development of democracy</w:t>
      </w:r>
      <w:r w:rsidR="003040C1" w:rsidRPr="001A0B2D">
        <w:rPr>
          <w:rFonts w:ascii="Bookman Old Style" w:hAnsi="Bookman Old Style"/>
        </w:rPr>
        <w:t xml:space="preserve">, </w:t>
      </w:r>
      <w:r w:rsidR="00E171E3" w:rsidRPr="001A0B2D">
        <w:rPr>
          <w:rFonts w:ascii="Bookman Old Style" w:hAnsi="Bookman Old Style"/>
        </w:rPr>
        <w:t xml:space="preserve">and even </w:t>
      </w:r>
      <w:r w:rsidR="009D5261">
        <w:rPr>
          <w:rFonts w:ascii="Bookman Old Style" w:hAnsi="Bookman Old Style"/>
        </w:rPr>
        <w:t xml:space="preserve">to </w:t>
      </w:r>
      <w:r w:rsidR="00E171E3" w:rsidRPr="001A0B2D">
        <w:rPr>
          <w:rFonts w:ascii="Bookman Old Style" w:hAnsi="Bookman Old Style"/>
        </w:rPr>
        <w:t>life expectancy and health status. Trust also prove</w:t>
      </w:r>
      <w:r w:rsidR="00DC4630" w:rsidRPr="001A0B2D">
        <w:rPr>
          <w:rFonts w:ascii="Bookman Old Style" w:hAnsi="Bookman Old Style"/>
        </w:rPr>
        <w:t>s</w:t>
      </w:r>
      <w:r w:rsidR="00E171E3" w:rsidRPr="001A0B2D">
        <w:rPr>
          <w:rFonts w:ascii="Bookman Old Style" w:hAnsi="Bookman Old Style"/>
        </w:rPr>
        <w:t xml:space="preserve"> to be </w:t>
      </w:r>
      <w:r w:rsidR="00E171E3" w:rsidRPr="001A0B2D">
        <w:rPr>
          <w:rFonts w:ascii="Bookman Old Style" w:hAnsi="Bookman Old Style"/>
        </w:rPr>
        <w:lastRenderedPageBreak/>
        <w:t xml:space="preserve">at the </w:t>
      </w:r>
      <w:r w:rsidR="00DC4630" w:rsidRPr="001A0B2D">
        <w:rPr>
          <w:rFonts w:ascii="Bookman Old Style" w:hAnsi="Bookman Old Style"/>
        </w:rPr>
        <w:t>heart</w:t>
      </w:r>
      <w:r w:rsidR="00E171E3" w:rsidRPr="001A0B2D">
        <w:rPr>
          <w:rFonts w:ascii="Bookman Old Style" w:hAnsi="Bookman Old Style"/>
        </w:rPr>
        <w:t xml:space="preserve"> of entire clusters of concepts that are as important in social science theory as in practical daily life: happiness and satisfaction, optimism, health, economic prosperity, educational attainment, welfare, participation and cohesion, civil society, among others. Trust is also perceived as a core component of social capital and it is not uncommon to use it as a key indicator of it.</w:t>
      </w:r>
    </w:p>
    <w:p w:rsidR="00DC4630" w:rsidRPr="001A0B2D" w:rsidRDefault="00DC4630" w:rsidP="00EB3DD8">
      <w:pPr>
        <w:spacing w:before="120" w:line="360" w:lineRule="auto"/>
        <w:ind w:firstLine="0"/>
        <w:jc w:val="left"/>
        <w:rPr>
          <w:rFonts w:ascii="Bookman Old Style" w:hAnsi="Bookman Old Style"/>
        </w:rPr>
      </w:pPr>
      <w:r w:rsidRPr="001A0B2D">
        <w:rPr>
          <w:rFonts w:ascii="Bookman Old Style" w:hAnsi="Bookman Old Style"/>
        </w:rPr>
        <w:t xml:space="preserve">Provided that, overtly or not, </w:t>
      </w:r>
      <w:r w:rsidR="00462228" w:rsidRPr="001A0B2D">
        <w:rPr>
          <w:rFonts w:ascii="Bookman Old Style" w:hAnsi="Bookman Old Style"/>
        </w:rPr>
        <w:t xml:space="preserve">trust enjoys recognition for its importance, two significant groups of questions arise: first, what precisely does trust do on the individual and social plane?; and second, where does it come from? Here, at least as regards the second group of questions, </w:t>
      </w:r>
      <w:proofErr w:type="spellStart"/>
      <w:r w:rsidR="00462228" w:rsidRPr="001A0B2D">
        <w:rPr>
          <w:rFonts w:ascii="Bookman Old Style" w:hAnsi="Bookman Old Style"/>
        </w:rPr>
        <w:t>Delhey</w:t>
      </w:r>
      <w:proofErr w:type="spellEnd"/>
      <w:r w:rsidR="00462228" w:rsidRPr="001A0B2D">
        <w:rPr>
          <w:rFonts w:ascii="Bookman Old Style" w:hAnsi="Bookman Old Style"/>
        </w:rPr>
        <w:t xml:space="preserve"> and Newton’s </w:t>
      </w:r>
      <w:r w:rsidR="009D5261">
        <w:rPr>
          <w:rFonts w:ascii="Bookman Old Style" w:hAnsi="Bookman Old Style"/>
        </w:rPr>
        <w:t>conclusions</w:t>
      </w:r>
      <w:r w:rsidR="002F2836" w:rsidRPr="001A0B2D">
        <w:rPr>
          <w:rFonts w:ascii="Bookman Old Style" w:hAnsi="Bookman Old Style"/>
        </w:rPr>
        <w:t>, which</w:t>
      </w:r>
      <w:r w:rsidR="00462228" w:rsidRPr="001A0B2D">
        <w:rPr>
          <w:rFonts w:ascii="Bookman Old Style" w:hAnsi="Bookman Old Style"/>
        </w:rPr>
        <w:t xml:space="preserve"> draw six basic theoretical frameworks for studying the origin of social trust</w:t>
      </w:r>
      <w:r w:rsidR="002F2836" w:rsidRPr="001A0B2D">
        <w:rPr>
          <w:rFonts w:ascii="Bookman Old Style" w:hAnsi="Bookman Old Style"/>
        </w:rPr>
        <w:t>,</w:t>
      </w:r>
      <w:r w:rsidR="00462228" w:rsidRPr="001A0B2D">
        <w:rPr>
          <w:rFonts w:ascii="Bookman Old Style" w:hAnsi="Bookman Old Style"/>
        </w:rPr>
        <w:t xml:space="preserve"> deserve attention</w:t>
      </w:r>
      <w:r w:rsidR="00B637C6" w:rsidRPr="001A0B2D">
        <w:rPr>
          <w:rFonts w:ascii="Bookman Old Style" w:hAnsi="Bookman Old Style"/>
        </w:rPr>
        <w:t xml:space="preserve"> </w:t>
      </w:r>
      <w:r w:rsidR="00E834A5">
        <w:rPr>
          <w:rFonts w:ascii="Bookman Old Style" w:hAnsi="Bookman Old Style"/>
        </w:rPr>
        <w:t>[3]</w:t>
      </w:r>
      <w:r w:rsidR="00462228" w:rsidRPr="001D5FA3">
        <w:rPr>
          <w:rFonts w:ascii="Academy" w:hAnsi="Academy"/>
        </w:rPr>
        <w:t>.</w:t>
      </w:r>
      <w:r w:rsidR="00462228" w:rsidRPr="001A0B2D">
        <w:rPr>
          <w:rFonts w:ascii="Bookman Old Style" w:hAnsi="Bookman Old Style"/>
        </w:rPr>
        <w:t xml:space="preserve"> </w:t>
      </w:r>
    </w:p>
    <w:p w:rsidR="00234D0A" w:rsidRPr="001A0B2D" w:rsidRDefault="002F2836" w:rsidP="00EB3DD8">
      <w:pPr>
        <w:spacing w:before="120" w:line="360" w:lineRule="auto"/>
        <w:ind w:firstLine="0"/>
        <w:jc w:val="left"/>
        <w:rPr>
          <w:rFonts w:ascii="Bookman Old Style" w:hAnsi="Bookman Old Style"/>
        </w:rPr>
      </w:pPr>
      <w:r w:rsidRPr="001A0B2D">
        <w:rPr>
          <w:rFonts w:ascii="Bookman Old Style" w:hAnsi="Bookman Old Style"/>
        </w:rPr>
        <w:t xml:space="preserve">The six identifiable theoretical constructs </w:t>
      </w:r>
      <w:r w:rsidR="00AB7F59" w:rsidRPr="001A0B2D">
        <w:rPr>
          <w:rFonts w:ascii="Bookman Old Style" w:hAnsi="Bookman Old Style"/>
        </w:rPr>
        <w:t>about trust fall under two schools of thought or traditions</w:t>
      </w:r>
      <w:r w:rsidR="001A1580" w:rsidRPr="001A0B2D">
        <w:rPr>
          <w:rFonts w:ascii="Bookman Old Style" w:hAnsi="Bookman Old Style"/>
        </w:rPr>
        <w:t xml:space="preserve">. The first one </w:t>
      </w:r>
      <w:r w:rsidR="0095600E" w:rsidRPr="001A0B2D">
        <w:rPr>
          <w:rFonts w:ascii="Bookman Old Style" w:hAnsi="Bookman Old Style"/>
        </w:rPr>
        <w:t>link</w:t>
      </w:r>
      <w:r w:rsidR="001A1580" w:rsidRPr="001A0B2D">
        <w:rPr>
          <w:rFonts w:ascii="Bookman Old Style" w:hAnsi="Bookman Old Style"/>
        </w:rPr>
        <w:t>s</w:t>
      </w:r>
      <w:r w:rsidR="0095600E" w:rsidRPr="001A0B2D">
        <w:rPr>
          <w:rFonts w:ascii="Bookman Old Style" w:hAnsi="Bookman Old Style"/>
        </w:rPr>
        <w:t xml:space="preserve"> trust to individual properties</w:t>
      </w:r>
      <w:r w:rsidR="00AA2181" w:rsidRPr="001A0B2D">
        <w:rPr>
          <w:rFonts w:ascii="Bookman Old Style" w:hAnsi="Bookman Old Style"/>
        </w:rPr>
        <w:t xml:space="preserve"> (individual characteristics or parameters such as class, </w:t>
      </w:r>
      <w:r w:rsidR="001A1580" w:rsidRPr="001A0B2D">
        <w:rPr>
          <w:rFonts w:ascii="Bookman Old Style" w:hAnsi="Bookman Old Style"/>
        </w:rPr>
        <w:t>education</w:t>
      </w:r>
      <w:r w:rsidR="00AA2181" w:rsidRPr="001A0B2D">
        <w:rPr>
          <w:rFonts w:ascii="Bookman Old Style" w:hAnsi="Bookman Old Style"/>
        </w:rPr>
        <w:t xml:space="preserve">, income, age and gender). The </w:t>
      </w:r>
      <w:r w:rsidR="00CB6170" w:rsidRPr="001A0B2D">
        <w:rPr>
          <w:rFonts w:ascii="Bookman Old Style" w:hAnsi="Bookman Old Style"/>
        </w:rPr>
        <w:t>second</w:t>
      </w:r>
      <w:r w:rsidR="00AA2181" w:rsidRPr="001A0B2D">
        <w:rPr>
          <w:rFonts w:ascii="Bookman Old Style" w:hAnsi="Bookman Old Style"/>
        </w:rPr>
        <w:t xml:space="preserve"> one </w:t>
      </w:r>
      <w:r w:rsidR="00CB6170" w:rsidRPr="001A0B2D">
        <w:rPr>
          <w:rFonts w:ascii="Bookman Old Style" w:hAnsi="Bookman Old Style"/>
        </w:rPr>
        <w:t>argues that</w:t>
      </w:r>
      <w:r w:rsidR="00AA2181" w:rsidRPr="001A0B2D">
        <w:rPr>
          <w:rFonts w:ascii="Bookman Old Style" w:hAnsi="Bookman Old Style"/>
        </w:rPr>
        <w:t xml:space="preserve"> social </w:t>
      </w:r>
      <w:r w:rsidR="00CB6170" w:rsidRPr="001A0B2D">
        <w:rPr>
          <w:rFonts w:ascii="Bookman Old Style" w:hAnsi="Bookman Old Style"/>
        </w:rPr>
        <w:t>trust</w:t>
      </w:r>
      <w:r w:rsidR="00AA2181" w:rsidRPr="001A0B2D">
        <w:rPr>
          <w:rFonts w:ascii="Bookman Old Style" w:hAnsi="Bookman Old Style"/>
        </w:rPr>
        <w:t xml:space="preserve"> </w:t>
      </w:r>
      <w:r w:rsidR="00CB6170" w:rsidRPr="001A0B2D">
        <w:rPr>
          <w:rFonts w:ascii="Bookman Old Style" w:hAnsi="Bookman Old Style"/>
        </w:rPr>
        <w:t>is rather a property of social systems</w:t>
      </w:r>
      <w:r w:rsidR="00AA2181" w:rsidRPr="001A0B2D">
        <w:rPr>
          <w:rFonts w:ascii="Bookman Old Style" w:hAnsi="Bookman Old Style"/>
        </w:rPr>
        <w:t>.</w:t>
      </w:r>
    </w:p>
    <w:p w:rsidR="00CB6170" w:rsidRPr="001A0B2D" w:rsidRDefault="00CB6170" w:rsidP="00C71D80">
      <w:pPr>
        <w:spacing w:after="160" w:line="360" w:lineRule="auto"/>
        <w:ind w:firstLine="0"/>
        <w:jc w:val="left"/>
        <w:rPr>
          <w:rFonts w:ascii="Bookman Old Style" w:hAnsi="Bookman Old Style"/>
        </w:rPr>
      </w:pPr>
      <w:r w:rsidRPr="001A0B2D">
        <w:rPr>
          <w:rFonts w:ascii="Bookman Old Style" w:hAnsi="Bookman Old Style"/>
        </w:rPr>
        <w:t xml:space="preserve">The American social-psychological school of thought demonstrated convincingly enough as early as </w:t>
      </w:r>
      <w:r w:rsidR="00A3536E">
        <w:rPr>
          <w:rFonts w:ascii="Bookman Old Style" w:hAnsi="Bookman Old Style"/>
        </w:rPr>
        <w:t xml:space="preserve">the </w:t>
      </w:r>
      <w:r w:rsidRPr="001A0B2D">
        <w:rPr>
          <w:rFonts w:ascii="Bookman Old Style" w:hAnsi="Bookman Old Style"/>
        </w:rPr>
        <w:t>mid-20</w:t>
      </w:r>
      <w:r w:rsidRPr="001A0B2D">
        <w:rPr>
          <w:rFonts w:ascii="Bookman Old Style" w:hAnsi="Bookman Old Style"/>
          <w:vertAlign w:val="superscript"/>
        </w:rPr>
        <w:t>th</w:t>
      </w:r>
      <w:r w:rsidRPr="001A0B2D">
        <w:rPr>
          <w:rFonts w:ascii="Bookman Old Style" w:hAnsi="Bookman Old Style"/>
        </w:rPr>
        <w:t xml:space="preserve"> century through the work of Erikson, </w:t>
      </w:r>
      <w:proofErr w:type="spellStart"/>
      <w:r w:rsidRPr="001A0B2D">
        <w:rPr>
          <w:rFonts w:ascii="Bookman Old Style" w:hAnsi="Bookman Old Style"/>
        </w:rPr>
        <w:t>Allport</w:t>
      </w:r>
      <w:proofErr w:type="spellEnd"/>
      <w:r w:rsidRPr="001A0B2D">
        <w:rPr>
          <w:rFonts w:ascii="Bookman Old Style" w:hAnsi="Bookman Old Style"/>
        </w:rPr>
        <w:t>, Cattell, Rosenberg, among others</w:t>
      </w:r>
      <w:r w:rsidR="00A3536E">
        <w:rPr>
          <w:rFonts w:ascii="Bookman Old Style" w:hAnsi="Bookman Old Style"/>
        </w:rPr>
        <w:t>,</w:t>
      </w:r>
      <w:r w:rsidRPr="001A0B2D">
        <w:rPr>
          <w:rFonts w:ascii="Bookman Old Style" w:hAnsi="Bookman Old Style"/>
        </w:rPr>
        <w:t xml:space="preserve"> how social trust can be interpreted as a core personality trait of individuals.</w:t>
      </w:r>
      <w:r w:rsidR="00D03266" w:rsidRPr="001A0B2D">
        <w:rPr>
          <w:rFonts w:ascii="Bookman Old Style" w:hAnsi="Bookman Old Style"/>
        </w:rPr>
        <w:t xml:space="preserve"> </w:t>
      </w:r>
      <w:r w:rsidRPr="001A0B2D">
        <w:rPr>
          <w:rFonts w:ascii="Bookman Old Style" w:hAnsi="Bookman Old Style"/>
        </w:rPr>
        <w:t>I</w:t>
      </w:r>
      <w:r w:rsidR="00A3536E">
        <w:rPr>
          <w:rFonts w:ascii="Bookman Old Style" w:hAnsi="Bookman Old Style"/>
        </w:rPr>
        <w:t>t is learned in early childhood</w:t>
      </w:r>
      <w:r w:rsidRPr="001A0B2D">
        <w:rPr>
          <w:rFonts w:ascii="Bookman Old Style" w:hAnsi="Bookman Old Style"/>
        </w:rPr>
        <w:t xml:space="preserve"> and tends to persist in later life, changing only slowly</w:t>
      </w:r>
      <w:r w:rsidR="00D03266" w:rsidRPr="001A0B2D">
        <w:rPr>
          <w:rFonts w:ascii="Bookman Old Style" w:hAnsi="Bookman Old Style"/>
        </w:rPr>
        <w:t xml:space="preserve"> thereafter, but modifying itself deeper</w:t>
      </w:r>
      <w:r w:rsidRPr="001A0B2D">
        <w:rPr>
          <w:rFonts w:ascii="Bookman Old Style" w:hAnsi="Bookman Old Style"/>
        </w:rPr>
        <w:t xml:space="preserve"> </w:t>
      </w:r>
      <w:r w:rsidR="00D03266" w:rsidRPr="001A0B2D">
        <w:rPr>
          <w:rFonts w:ascii="Bookman Old Style" w:hAnsi="Bookman Old Style"/>
        </w:rPr>
        <w:t xml:space="preserve">under the impact of prominent </w:t>
      </w:r>
      <w:r w:rsidRPr="001A0B2D">
        <w:rPr>
          <w:rFonts w:ascii="Bookman Old Style" w:hAnsi="Bookman Old Style"/>
        </w:rPr>
        <w:t xml:space="preserve">traumatic </w:t>
      </w:r>
      <w:r w:rsidR="00D03266" w:rsidRPr="001A0B2D">
        <w:rPr>
          <w:rFonts w:ascii="Bookman Old Style" w:hAnsi="Bookman Old Style"/>
        </w:rPr>
        <w:t>events</w:t>
      </w:r>
      <w:r w:rsidR="00A3536E">
        <w:rPr>
          <w:rFonts w:ascii="Bookman Old Style" w:hAnsi="Bookman Old Style"/>
        </w:rPr>
        <w:t xml:space="preserve">. According to social </w:t>
      </w:r>
      <w:r w:rsidRPr="001A0B2D">
        <w:rPr>
          <w:rFonts w:ascii="Bookman Old Style" w:hAnsi="Bookman Old Style"/>
        </w:rPr>
        <w:t>psychologists, social</w:t>
      </w:r>
      <w:r w:rsidR="00D03266" w:rsidRPr="001A0B2D">
        <w:rPr>
          <w:rFonts w:ascii="Bookman Old Style" w:hAnsi="Bookman Old Style"/>
        </w:rPr>
        <w:t xml:space="preserve"> </w:t>
      </w:r>
      <w:r w:rsidRPr="001A0B2D">
        <w:rPr>
          <w:rFonts w:ascii="Bookman Old Style" w:hAnsi="Bookman Old Style"/>
        </w:rPr>
        <w:t>trust is part of a broader s</w:t>
      </w:r>
      <w:r w:rsidR="00D03266" w:rsidRPr="001A0B2D">
        <w:rPr>
          <w:rFonts w:ascii="Bookman Old Style" w:hAnsi="Bookman Old Style"/>
        </w:rPr>
        <w:t>et</w:t>
      </w:r>
      <w:r w:rsidRPr="001A0B2D">
        <w:rPr>
          <w:rFonts w:ascii="Bookman Old Style" w:hAnsi="Bookman Old Style"/>
        </w:rPr>
        <w:t xml:space="preserve"> of personality characteristics that include optimism,</w:t>
      </w:r>
      <w:r w:rsidR="00D03266" w:rsidRPr="001A0B2D">
        <w:rPr>
          <w:rFonts w:ascii="Bookman Old Style" w:hAnsi="Bookman Old Style"/>
        </w:rPr>
        <w:t xml:space="preserve"> </w:t>
      </w:r>
      <w:r w:rsidRPr="001A0B2D">
        <w:rPr>
          <w:rFonts w:ascii="Bookman Old Style" w:hAnsi="Bookman Old Style"/>
        </w:rPr>
        <w:t xml:space="preserve">a belief in co-operation, and confidence that individuals can resolve their differences </w:t>
      </w:r>
      <w:r w:rsidR="00D03266" w:rsidRPr="001A0B2D">
        <w:rPr>
          <w:rFonts w:ascii="Bookman Old Style" w:hAnsi="Bookman Old Style"/>
        </w:rPr>
        <w:t>in the name of living</w:t>
      </w:r>
      <w:r w:rsidRPr="001A0B2D">
        <w:rPr>
          <w:rFonts w:ascii="Bookman Old Style" w:hAnsi="Bookman Old Style"/>
        </w:rPr>
        <w:t xml:space="preserve"> a satisfactory social life together. Trust and optimism are part and parcel of the same</w:t>
      </w:r>
      <w:r w:rsidR="00D03266" w:rsidRPr="001A0B2D">
        <w:rPr>
          <w:rFonts w:ascii="Bookman Old Style" w:hAnsi="Bookman Old Style"/>
        </w:rPr>
        <w:t xml:space="preserve"> </w:t>
      </w:r>
      <w:r w:rsidRPr="001A0B2D">
        <w:rPr>
          <w:rFonts w:ascii="Bookman Old Style" w:hAnsi="Bookman Old Style"/>
        </w:rPr>
        <w:t>general disposition to the world. Conversely, distrust</w:t>
      </w:r>
      <w:r w:rsidR="00D03266" w:rsidRPr="001A0B2D">
        <w:rPr>
          <w:rFonts w:ascii="Bookman Old Style" w:hAnsi="Bookman Old Style"/>
        </w:rPr>
        <w:t xml:space="preserve"> breeds pessimism, </w:t>
      </w:r>
      <w:r w:rsidRPr="001A0B2D">
        <w:rPr>
          <w:rFonts w:ascii="Bookman Old Style" w:hAnsi="Bookman Old Style"/>
        </w:rPr>
        <w:t>misanthrop</w:t>
      </w:r>
      <w:r w:rsidR="00D03266" w:rsidRPr="001A0B2D">
        <w:rPr>
          <w:rFonts w:ascii="Bookman Old Style" w:hAnsi="Bookman Old Style"/>
        </w:rPr>
        <w:t xml:space="preserve">y and cynicism </w:t>
      </w:r>
      <w:r w:rsidRPr="001A0B2D">
        <w:rPr>
          <w:rFonts w:ascii="Bookman Old Style" w:hAnsi="Bookman Old Style"/>
        </w:rPr>
        <w:t>about the possibilities for social and political cooperation.</w:t>
      </w:r>
    </w:p>
    <w:p w:rsidR="00CB6170" w:rsidRPr="001A0B2D" w:rsidRDefault="00676088" w:rsidP="00EB3DD8">
      <w:pPr>
        <w:autoSpaceDE w:val="0"/>
        <w:autoSpaceDN w:val="0"/>
        <w:adjustRightInd w:val="0"/>
        <w:spacing w:before="120" w:line="360" w:lineRule="auto"/>
        <w:ind w:firstLine="0"/>
        <w:jc w:val="left"/>
        <w:rPr>
          <w:rFonts w:ascii="Bookman Old Style" w:hAnsi="Bookman Old Style"/>
        </w:rPr>
      </w:pPr>
      <w:r w:rsidRPr="001A0B2D">
        <w:rPr>
          <w:rFonts w:ascii="Bookman Old Style" w:hAnsi="Bookman Old Style"/>
        </w:rPr>
        <w:t>Some more recent social-psychological concepts</w:t>
      </w:r>
      <w:r w:rsidR="00A3536E">
        <w:rPr>
          <w:rFonts w:ascii="Bookman Old Style" w:hAnsi="Bookman Old Style"/>
        </w:rPr>
        <w:t xml:space="preserve"> </w:t>
      </w:r>
      <w:r w:rsidRPr="001A0B2D">
        <w:rPr>
          <w:rFonts w:ascii="Bookman Old Style" w:hAnsi="Bookman Old Style"/>
        </w:rPr>
        <w:t>have been constructed along these same general lines</w:t>
      </w:r>
      <w:r w:rsidR="00A3536E">
        <w:rPr>
          <w:rFonts w:ascii="Bookman Old Style" w:hAnsi="Bookman Old Style"/>
        </w:rPr>
        <w:t>,</w:t>
      </w:r>
      <w:r w:rsidRPr="001A0B2D">
        <w:rPr>
          <w:rFonts w:ascii="Bookman Old Style" w:hAnsi="Bookman Old Style"/>
        </w:rPr>
        <w:t xml:space="preserve"> </w:t>
      </w:r>
      <w:r w:rsidR="00A3536E" w:rsidRPr="001A0B2D">
        <w:rPr>
          <w:rFonts w:ascii="Bookman Old Style" w:hAnsi="Bookman Old Style"/>
        </w:rPr>
        <w:t xml:space="preserve">the lead contribution among </w:t>
      </w:r>
      <w:r w:rsidR="00A3536E">
        <w:rPr>
          <w:rFonts w:ascii="Bookman Old Style" w:hAnsi="Bookman Old Style"/>
        </w:rPr>
        <w:t>these</w:t>
      </w:r>
      <w:r w:rsidR="00A3536E" w:rsidRPr="001A0B2D">
        <w:rPr>
          <w:rFonts w:ascii="Bookman Old Style" w:hAnsi="Bookman Old Style"/>
        </w:rPr>
        <w:t xml:space="preserve"> being that of Eric </w:t>
      </w:r>
      <w:proofErr w:type="spellStart"/>
      <w:r w:rsidR="00A3536E" w:rsidRPr="001A0B2D">
        <w:rPr>
          <w:rFonts w:ascii="Bookman Old Style" w:hAnsi="Bookman Old Style"/>
        </w:rPr>
        <w:t>Uslaner</w:t>
      </w:r>
      <w:proofErr w:type="spellEnd"/>
      <w:r w:rsidR="00A3536E" w:rsidRPr="001A0B2D">
        <w:rPr>
          <w:rFonts w:ascii="Bookman Old Style" w:hAnsi="Bookman Old Style"/>
        </w:rPr>
        <w:t xml:space="preserve"> </w:t>
      </w:r>
      <w:r w:rsidR="00E834A5">
        <w:rPr>
          <w:rFonts w:ascii="Bookman Old Style" w:hAnsi="Bookman Old Style"/>
        </w:rPr>
        <w:t>[4,5]</w:t>
      </w:r>
      <w:r w:rsidRPr="001A0B2D">
        <w:rPr>
          <w:rFonts w:ascii="Bookman Old Style" w:hAnsi="Bookman Old Style"/>
        </w:rPr>
        <w:t xml:space="preserve">.  He proves that we learn trust very early in life from our parents. His two studies </w:t>
      </w:r>
      <w:r w:rsidR="00494A92">
        <w:rPr>
          <w:rFonts w:ascii="Bookman Old Style" w:hAnsi="Bookman Old Style"/>
        </w:rPr>
        <w:t>s</w:t>
      </w:r>
      <w:r w:rsidRPr="001A0B2D">
        <w:rPr>
          <w:rFonts w:ascii="Bookman Old Style" w:hAnsi="Bookman Old Style"/>
        </w:rPr>
        <w:t>how that individual levels of trust are among</w:t>
      </w:r>
      <w:r w:rsidR="001169FC" w:rsidRPr="001A0B2D">
        <w:rPr>
          <w:rFonts w:ascii="Bookman Old Style" w:hAnsi="Bookman Old Style"/>
        </w:rPr>
        <w:t xml:space="preserve"> </w:t>
      </w:r>
      <w:r w:rsidRPr="001A0B2D">
        <w:rPr>
          <w:rFonts w:ascii="Bookman Old Style" w:hAnsi="Bookman Old Style"/>
        </w:rPr>
        <w:t xml:space="preserve">the most stable </w:t>
      </w:r>
      <w:r w:rsidR="001169FC" w:rsidRPr="001A0B2D">
        <w:rPr>
          <w:rFonts w:ascii="Bookman Old Style" w:hAnsi="Bookman Old Style"/>
        </w:rPr>
        <w:t>characteristics</w:t>
      </w:r>
      <w:r w:rsidRPr="001A0B2D">
        <w:rPr>
          <w:rFonts w:ascii="Bookman Old Style" w:hAnsi="Bookman Old Style"/>
        </w:rPr>
        <w:t xml:space="preserve"> over time. He also concludes that social trust is not dependent</w:t>
      </w:r>
      <w:r w:rsidR="003A0E62" w:rsidRPr="001A0B2D">
        <w:rPr>
          <w:rFonts w:ascii="Bookman Old Style" w:hAnsi="Bookman Old Style"/>
        </w:rPr>
        <w:t xml:space="preserve"> </w:t>
      </w:r>
      <w:r w:rsidRPr="001A0B2D">
        <w:rPr>
          <w:rFonts w:ascii="Bookman Old Style" w:hAnsi="Bookman Old Style"/>
        </w:rPr>
        <w:t xml:space="preserve">upon the experience </w:t>
      </w:r>
      <w:r w:rsidR="00B02D03" w:rsidRPr="001A0B2D">
        <w:rPr>
          <w:rFonts w:ascii="Bookman Old Style" w:hAnsi="Bookman Old Style"/>
        </w:rPr>
        <w:t>of reciprocity</w:t>
      </w:r>
      <w:r w:rsidRPr="001A0B2D">
        <w:rPr>
          <w:rFonts w:ascii="Bookman Old Style" w:hAnsi="Bookman Old Style"/>
        </w:rPr>
        <w:t xml:space="preserve">. </w:t>
      </w:r>
      <w:r w:rsidR="00BC2F47">
        <w:rPr>
          <w:rFonts w:ascii="Bookman Old Style" w:hAnsi="Bookman Old Style"/>
        </w:rPr>
        <w:t>Trustor</w:t>
      </w:r>
      <w:r w:rsidRPr="001A0B2D">
        <w:rPr>
          <w:rFonts w:ascii="Bookman Old Style" w:hAnsi="Bookman Old Style"/>
        </w:rPr>
        <w:t xml:space="preserve">s are not simply paying back </w:t>
      </w:r>
      <w:r w:rsidR="001169FC" w:rsidRPr="001A0B2D">
        <w:rPr>
          <w:rFonts w:ascii="Bookman Old Style" w:hAnsi="Bookman Old Style"/>
        </w:rPr>
        <w:t xml:space="preserve">trust and </w:t>
      </w:r>
      <w:r w:rsidRPr="001A0B2D">
        <w:rPr>
          <w:rFonts w:ascii="Bookman Old Style" w:hAnsi="Bookman Old Style"/>
        </w:rPr>
        <w:lastRenderedPageBreak/>
        <w:t>good deeds by</w:t>
      </w:r>
      <w:r w:rsidR="003A0E62" w:rsidRPr="001A0B2D">
        <w:rPr>
          <w:rFonts w:ascii="Bookman Old Style" w:hAnsi="Bookman Old Style"/>
        </w:rPr>
        <w:t xml:space="preserve"> </w:t>
      </w:r>
      <w:r w:rsidR="001169FC" w:rsidRPr="001A0B2D">
        <w:rPr>
          <w:rFonts w:ascii="Bookman Old Style" w:hAnsi="Bookman Old Style"/>
        </w:rPr>
        <w:t>others. T</w:t>
      </w:r>
      <w:r w:rsidRPr="001A0B2D">
        <w:rPr>
          <w:rFonts w:ascii="Bookman Old Style" w:hAnsi="Bookman Old Style"/>
        </w:rPr>
        <w:t xml:space="preserve">hose who were </w:t>
      </w:r>
      <w:r w:rsidR="001169FC" w:rsidRPr="001A0B2D">
        <w:rPr>
          <w:rFonts w:ascii="Bookman Old Style" w:hAnsi="Bookman Old Style"/>
        </w:rPr>
        <w:t>trusted and supported</w:t>
      </w:r>
      <w:r w:rsidRPr="001A0B2D">
        <w:rPr>
          <w:rFonts w:ascii="Bookman Old Style" w:hAnsi="Bookman Old Style"/>
        </w:rPr>
        <w:t xml:space="preserve"> by others when they were young </w:t>
      </w:r>
      <w:r w:rsidR="001169FC" w:rsidRPr="001A0B2D">
        <w:rPr>
          <w:rFonts w:ascii="Bookman Old Style" w:hAnsi="Bookman Old Style"/>
        </w:rPr>
        <w:t xml:space="preserve">grow to be </w:t>
      </w:r>
      <w:r w:rsidRPr="001A0B2D">
        <w:rPr>
          <w:rFonts w:ascii="Bookman Old Style" w:hAnsi="Bookman Old Style"/>
        </w:rPr>
        <w:t>more trusting</w:t>
      </w:r>
      <w:r w:rsidR="003A0E62" w:rsidRPr="001A0B2D">
        <w:rPr>
          <w:rFonts w:ascii="Bookman Old Style" w:hAnsi="Bookman Old Style"/>
        </w:rPr>
        <w:t xml:space="preserve"> </w:t>
      </w:r>
      <w:r w:rsidRPr="001A0B2D">
        <w:rPr>
          <w:rFonts w:ascii="Bookman Old Style" w:hAnsi="Bookman Old Style"/>
        </w:rPr>
        <w:t xml:space="preserve">than those who were </w:t>
      </w:r>
      <w:r w:rsidR="001169FC" w:rsidRPr="001A0B2D">
        <w:rPr>
          <w:rFonts w:ascii="Bookman Old Style" w:hAnsi="Bookman Old Style"/>
        </w:rPr>
        <w:t>less trusted and have not been treated as nicely in their early childhood.</w:t>
      </w:r>
      <w:r w:rsidRPr="001A0B2D">
        <w:rPr>
          <w:rFonts w:ascii="Bookman Old Style" w:hAnsi="Bookman Old Style"/>
        </w:rPr>
        <w:t xml:space="preserve"> </w:t>
      </w:r>
      <w:r w:rsidR="001169FC" w:rsidRPr="001A0B2D">
        <w:rPr>
          <w:rFonts w:ascii="Bookman Old Style" w:hAnsi="Bookman Old Style"/>
        </w:rPr>
        <w:t>In addition</w:t>
      </w:r>
      <w:r w:rsidR="00EC353A" w:rsidRPr="001A0B2D">
        <w:rPr>
          <w:rFonts w:ascii="Bookman Old Style" w:hAnsi="Bookman Old Style"/>
        </w:rPr>
        <w:t xml:space="preserve">, </w:t>
      </w:r>
      <w:proofErr w:type="spellStart"/>
      <w:r w:rsidR="00EC353A" w:rsidRPr="001A0B2D">
        <w:rPr>
          <w:rFonts w:ascii="Bookman Old Style" w:hAnsi="Bookman Old Style"/>
        </w:rPr>
        <w:t>Uslaner</w:t>
      </w:r>
      <w:proofErr w:type="spellEnd"/>
      <w:r w:rsidRPr="001A0B2D">
        <w:rPr>
          <w:rFonts w:ascii="Bookman Old Style" w:hAnsi="Bookman Old Style"/>
        </w:rPr>
        <w:t xml:space="preserve"> argues that </w:t>
      </w:r>
      <w:r w:rsidR="001169FC" w:rsidRPr="001A0B2D">
        <w:rPr>
          <w:rFonts w:ascii="Bookman Old Style" w:hAnsi="Bookman Old Style"/>
        </w:rPr>
        <w:t xml:space="preserve">the sources of social trust </w:t>
      </w:r>
      <w:r w:rsidR="003A0E62" w:rsidRPr="001A0B2D">
        <w:rPr>
          <w:rFonts w:ascii="Bookman Old Style" w:hAnsi="Bookman Old Style"/>
        </w:rPr>
        <w:t>lie in</w:t>
      </w:r>
      <w:r w:rsidRPr="001A0B2D">
        <w:rPr>
          <w:rFonts w:ascii="Bookman Old Style" w:hAnsi="Bookman Old Style"/>
        </w:rPr>
        <w:t xml:space="preserve"> optimism and </w:t>
      </w:r>
      <w:r w:rsidR="003A0E62" w:rsidRPr="001A0B2D">
        <w:rPr>
          <w:rFonts w:ascii="Bookman Old Style" w:hAnsi="Bookman Old Style"/>
        </w:rPr>
        <w:t xml:space="preserve">the </w:t>
      </w:r>
      <w:r w:rsidR="001D4C43" w:rsidRPr="001A0B2D">
        <w:rPr>
          <w:rFonts w:ascii="Bookman Old Style" w:hAnsi="Bookman Old Style"/>
        </w:rPr>
        <w:t xml:space="preserve">internal locus of control i.e. the tendency to actively steer the course of one’s own life. </w:t>
      </w:r>
      <w:r w:rsidRPr="001A0B2D">
        <w:rPr>
          <w:rFonts w:ascii="Bookman Old Style" w:hAnsi="Bookman Old Style"/>
        </w:rPr>
        <w:t>Optimism</w:t>
      </w:r>
      <w:r w:rsidR="003A0E62" w:rsidRPr="001A0B2D">
        <w:rPr>
          <w:rFonts w:ascii="Bookman Old Style" w:hAnsi="Bookman Old Style"/>
        </w:rPr>
        <w:t xml:space="preserve"> </w:t>
      </w:r>
      <w:r w:rsidRPr="001A0B2D">
        <w:rPr>
          <w:rFonts w:ascii="Bookman Old Style" w:hAnsi="Bookman Old Style"/>
        </w:rPr>
        <w:t xml:space="preserve">leads to </w:t>
      </w:r>
      <w:r w:rsidR="001D4C43" w:rsidRPr="001A0B2D">
        <w:rPr>
          <w:rFonts w:ascii="Bookman Old Style" w:hAnsi="Bookman Old Style"/>
        </w:rPr>
        <w:t xml:space="preserve">higher levels of </w:t>
      </w:r>
      <w:r w:rsidR="00494A92">
        <w:rPr>
          <w:rFonts w:ascii="Bookman Old Style" w:hAnsi="Bookman Old Style"/>
        </w:rPr>
        <w:t>generalis</w:t>
      </w:r>
      <w:r w:rsidRPr="001A0B2D">
        <w:rPr>
          <w:rFonts w:ascii="Bookman Old Style" w:hAnsi="Bookman Old Style"/>
        </w:rPr>
        <w:t xml:space="preserve">ed trust </w:t>
      </w:r>
      <w:r w:rsidR="001D4C43" w:rsidRPr="001A0B2D">
        <w:rPr>
          <w:rFonts w:ascii="Bookman Old Style" w:hAnsi="Bookman Old Style"/>
        </w:rPr>
        <w:t>and the latter is more strongly associated with the subjective measure</w:t>
      </w:r>
      <w:r w:rsidRPr="001A0B2D">
        <w:rPr>
          <w:rFonts w:ascii="Bookman Old Style" w:hAnsi="Bookman Old Style"/>
        </w:rPr>
        <w:t xml:space="preserve"> of well-being </w:t>
      </w:r>
      <w:r w:rsidR="001D4C43" w:rsidRPr="001A0B2D">
        <w:rPr>
          <w:rFonts w:ascii="Bookman Old Style" w:hAnsi="Bookman Old Style"/>
        </w:rPr>
        <w:t>and individual attitudes to life</w:t>
      </w:r>
      <w:r w:rsidRPr="001A0B2D">
        <w:rPr>
          <w:rFonts w:ascii="Bookman Old Style" w:hAnsi="Bookman Old Style"/>
        </w:rPr>
        <w:t xml:space="preserve"> </w:t>
      </w:r>
      <w:r w:rsidR="003A0E62" w:rsidRPr="001A0B2D">
        <w:rPr>
          <w:rFonts w:ascii="Bookman Old Style" w:hAnsi="Bookman Old Style"/>
        </w:rPr>
        <w:t>than with</w:t>
      </w:r>
      <w:r w:rsidR="001D4C43" w:rsidRPr="001A0B2D">
        <w:rPr>
          <w:rFonts w:ascii="Bookman Old Style" w:hAnsi="Bookman Old Style"/>
        </w:rPr>
        <w:t xml:space="preserve"> </w:t>
      </w:r>
      <w:r w:rsidRPr="001A0B2D">
        <w:rPr>
          <w:rFonts w:ascii="Bookman Old Style" w:hAnsi="Bookman Old Style"/>
        </w:rPr>
        <w:t>objective</w:t>
      </w:r>
      <w:r w:rsidR="00494A92">
        <w:rPr>
          <w:rFonts w:ascii="Bookman Old Style" w:hAnsi="Bookman Old Style"/>
        </w:rPr>
        <w:t>,</w:t>
      </w:r>
      <w:r w:rsidRPr="001A0B2D">
        <w:rPr>
          <w:rFonts w:ascii="Bookman Old Style" w:hAnsi="Bookman Old Style"/>
        </w:rPr>
        <w:t xml:space="preserve"> </w:t>
      </w:r>
      <w:r w:rsidR="001D4C43" w:rsidRPr="001A0B2D">
        <w:rPr>
          <w:rFonts w:ascii="Bookman Old Style" w:hAnsi="Bookman Old Style"/>
        </w:rPr>
        <w:t xml:space="preserve">external </w:t>
      </w:r>
      <w:r w:rsidRPr="001A0B2D">
        <w:rPr>
          <w:rFonts w:ascii="Bookman Old Style" w:hAnsi="Bookman Old Style"/>
        </w:rPr>
        <w:t>economic circumstances.</w:t>
      </w:r>
    </w:p>
    <w:p w:rsidR="001D740C" w:rsidRPr="00124201" w:rsidRDefault="0045008A" w:rsidP="00EB3DD8">
      <w:pPr>
        <w:autoSpaceDE w:val="0"/>
        <w:autoSpaceDN w:val="0"/>
        <w:adjustRightInd w:val="0"/>
        <w:spacing w:before="120" w:line="360" w:lineRule="auto"/>
        <w:ind w:firstLine="0"/>
        <w:jc w:val="left"/>
        <w:rPr>
          <w:rFonts w:ascii="Academy" w:hAnsi="Academy"/>
        </w:rPr>
      </w:pPr>
      <w:r w:rsidRPr="001A0B2D">
        <w:rPr>
          <w:rFonts w:ascii="Bookman Old Style" w:hAnsi="Bookman Old Style"/>
        </w:rPr>
        <w:t>Besides</w:t>
      </w:r>
      <w:r w:rsidR="007E0696" w:rsidRPr="001A0B2D">
        <w:rPr>
          <w:rFonts w:ascii="Bookman Old Style" w:hAnsi="Bookman Old Style"/>
        </w:rPr>
        <w:t xml:space="preserve"> </w:t>
      </w:r>
      <w:r w:rsidRPr="001A0B2D">
        <w:rPr>
          <w:rFonts w:ascii="Bookman Old Style" w:hAnsi="Bookman Old Style"/>
        </w:rPr>
        <w:t xml:space="preserve">as within </w:t>
      </w:r>
      <w:r w:rsidR="007E0696" w:rsidRPr="001A0B2D">
        <w:rPr>
          <w:rFonts w:ascii="Bookman Old Style" w:hAnsi="Bookman Old Style"/>
        </w:rPr>
        <w:t>the Erikson-</w:t>
      </w:r>
      <w:proofErr w:type="spellStart"/>
      <w:r w:rsidR="007E0696" w:rsidRPr="001A0B2D">
        <w:rPr>
          <w:rFonts w:ascii="Bookman Old Style" w:hAnsi="Bookman Old Style"/>
        </w:rPr>
        <w:t>Allport</w:t>
      </w:r>
      <w:proofErr w:type="spellEnd"/>
      <w:r w:rsidR="007E0696" w:rsidRPr="001A0B2D">
        <w:rPr>
          <w:rFonts w:ascii="Bookman Old Style" w:hAnsi="Bookman Old Style"/>
        </w:rPr>
        <w:t>-Cattell-</w:t>
      </w:r>
      <w:proofErr w:type="spellStart"/>
      <w:r w:rsidR="007E0696" w:rsidRPr="001A0B2D">
        <w:rPr>
          <w:rFonts w:ascii="Bookman Old Style" w:hAnsi="Bookman Old Style"/>
        </w:rPr>
        <w:t>Uslaner</w:t>
      </w:r>
      <w:proofErr w:type="spellEnd"/>
      <w:r w:rsidR="007E0696" w:rsidRPr="001A0B2D">
        <w:rPr>
          <w:rFonts w:ascii="Bookman Old Style" w:hAnsi="Bookman Old Style"/>
        </w:rPr>
        <w:t xml:space="preserve"> </w:t>
      </w:r>
      <w:r w:rsidRPr="001A0B2D">
        <w:rPr>
          <w:rFonts w:ascii="Bookman Old Style" w:hAnsi="Bookman Old Style"/>
        </w:rPr>
        <w:t xml:space="preserve">social-psychological </w:t>
      </w:r>
      <w:r w:rsidR="007E0696" w:rsidRPr="001A0B2D">
        <w:rPr>
          <w:rFonts w:ascii="Bookman Old Style" w:hAnsi="Bookman Old Style"/>
        </w:rPr>
        <w:t>approach delineated above</w:t>
      </w:r>
      <w:r w:rsidRPr="001A0B2D">
        <w:rPr>
          <w:rFonts w:ascii="Bookman Old Style" w:hAnsi="Bookman Old Style"/>
        </w:rPr>
        <w:t>,</w:t>
      </w:r>
      <w:r w:rsidR="007E0696" w:rsidRPr="001A0B2D">
        <w:rPr>
          <w:rFonts w:ascii="Bookman Old Style" w:hAnsi="Bookman Old Style"/>
        </w:rPr>
        <w:t xml:space="preserve"> </w:t>
      </w:r>
      <w:r w:rsidRPr="001A0B2D">
        <w:rPr>
          <w:rFonts w:ascii="Bookman Old Style" w:hAnsi="Bookman Old Style"/>
        </w:rPr>
        <w:t>trust can be looked upon from an individualistic perspective in another way. Bearing in mind that</w:t>
      </w:r>
      <w:r w:rsidR="007E0696" w:rsidRPr="001A0B2D">
        <w:rPr>
          <w:rFonts w:ascii="Bookman Old Style" w:hAnsi="Bookman Old Style"/>
        </w:rPr>
        <w:t xml:space="preserve"> trust</w:t>
      </w:r>
      <w:r w:rsidRPr="001A0B2D">
        <w:rPr>
          <w:rFonts w:ascii="Bookman Old Style" w:hAnsi="Bookman Old Style"/>
        </w:rPr>
        <w:t>ing</w:t>
      </w:r>
      <w:r w:rsidR="007E0696" w:rsidRPr="001A0B2D">
        <w:rPr>
          <w:rFonts w:ascii="Bookman Old Style" w:hAnsi="Bookman Old Style"/>
        </w:rPr>
        <w:t xml:space="preserve"> </w:t>
      </w:r>
      <w:r w:rsidRPr="001A0B2D">
        <w:rPr>
          <w:rFonts w:ascii="Bookman Old Style" w:hAnsi="Bookman Old Style"/>
        </w:rPr>
        <w:t>always involves</w:t>
      </w:r>
      <w:r w:rsidR="007E0696" w:rsidRPr="001A0B2D">
        <w:rPr>
          <w:rFonts w:ascii="Bookman Old Style" w:hAnsi="Bookman Old Style"/>
        </w:rPr>
        <w:t xml:space="preserve"> risks, it is</w:t>
      </w:r>
      <w:r w:rsidRPr="001A0B2D">
        <w:rPr>
          <w:rFonts w:ascii="Bookman Old Style" w:hAnsi="Bookman Old Style"/>
        </w:rPr>
        <w:t xml:space="preserve"> only logical to expect that material well-being </w:t>
      </w:r>
      <w:r w:rsidR="001D740C" w:rsidRPr="001A0B2D">
        <w:rPr>
          <w:rFonts w:ascii="Bookman Old Style" w:hAnsi="Bookman Old Style"/>
        </w:rPr>
        <w:t>should determine</w:t>
      </w:r>
      <w:r w:rsidRPr="001A0B2D">
        <w:rPr>
          <w:rFonts w:ascii="Bookman Old Style" w:hAnsi="Bookman Old Style"/>
        </w:rPr>
        <w:t xml:space="preserve"> the inclination to take risks and that the poor will be less inclined towards it than the rich since the poor cannot afford to lose even a little of what they have if their trust is betrayed</w:t>
      </w:r>
      <w:r w:rsidR="00E834A5">
        <w:rPr>
          <w:rFonts w:ascii="Bookman Old Style" w:hAnsi="Bookman Old Style"/>
        </w:rPr>
        <w:t xml:space="preserve"> [6]</w:t>
      </w:r>
      <w:r w:rsidR="00BC2F47" w:rsidRPr="00124201">
        <w:rPr>
          <w:rFonts w:ascii="Academy" w:hAnsi="Academy"/>
        </w:rPr>
        <w:t>.</w:t>
      </w:r>
      <w:r w:rsidR="00FB6BBA" w:rsidRPr="001A0B2D">
        <w:rPr>
          <w:rFonts w:ascii="Bookman Old Style" w:hAnsi="Bookman Old Style"/>
        </w:rPr>
        <w:t xml:space="preserve"> Conversely, the rich stand to lose less in case of betrayed trust, and they may gain much more from a generally trusting </w:t>
      </w:r>
      <w:r w:rsidR="00BC2F47" w:rsidRPr="001A0B2D">
        <w:rPr>
          <w:rFonts w:ascii="Bookman Old Style" w:hAnsi="Bookman Old Style"/>
        </w:rPr>
        <w:t>behaviour</w:t>
      </w:r>
      <w:r w:rsidR="00FB6BBA" w:rsidRPr="001A0B2D">
        <w:rPr>
          <w:rFonts w:ascii="Bookman Old Style" w:hAnsi="Bookman Old Style"/>
        </w:rPr>
        <w:t xml:space="preserve">. </w:t>
      </w:r>
      <w:r w:rsidR="007E0696" w:rsidRPr="001A0B2D">
        <w:rPr>
          <w:rFonts w:ascii="Bookman Old Style" w:hAnsi="Bookman Old Style"/>
        </w:rPr>
        <w:t xml:space="preserve"> Th</w:t>
      </w:r>
      <w:r w:rsidR="00FB6BBA" w:rsidRPr="001A0B2D">
        <w:rPr>
          <w:rFonts w:ascii="Bookman Old Style" w:hAnsi="Bookman Old Style"/>
        </w:rPr>
        <w:t>is</w:t>
      </w:r>
      <w:r w:rsidR="007E0696" w:rsidRPr="001A0B2D">
        <w:rPr>
          <w:rFonts w:ascii="Bookman Old Style" w:hAnsi="Bookman Old Style"/>
        </w:rPr>
        <w:t xml:space="preserve"> general theory is supported</w:t>
      </w:r>
      <w:r w:rsidR="00FB6BBA" w:rsidRPr="001A0B2D">
        <w:rPr>
          <w:rFonts w:ascii="Bookman Old Style" w:hAnsi="Bookman Old Style"/>
        </w:rPr>
        <w:t xml:space="preserve"> by several significant analyses</w:t>
      </w:r>
      <w:r w:rsidR="007E0696" w:rsidRPr="001A0B2D">
        <w:rPr>
          <w:rFonts w:ascii="Bookman Old Style" w:hAnsi="Bookman Old Style"/>
        </w:rPr>
        <w:t xml:space="preserve"> </w:t>
      </w:r>
      <w:r w:rsidR="00FB6BBA" w:rsidRPr="001A0B2D">
        <w:rPr>
          <w:rFonts w:ascii="Bookman Old Style" w:hAnsi="Bookman Old Style"/>
        </w:rPr>
        <w:t>based on the</w:t>
      </w:r>
      <w:r w:rsidR="007E0696" w:rsidRPr="001A0B2D">
        <w:rPr>
          <w:rFonts w:ascii="Bookman Old Style" w:hAnsi="Bookman Old Style"/>
        </w:rPr>
        <w:t xml:space="preserve"> World Values Survey</w:t>
      </w:r>
      <w:r w:rsidR="00FB6BBA" w:rsidRPr="001A0B2D">
        <w:rPr>
          <w:rFonts w:ascii="Bookman Old Style" w:hAnsi="Bookman Old Style"/>
        </w:rPr>
        <w:t>. S</w:t>
      </w:r>
      <w:r w:rsidR="007E0696" w:rsidRPr="001A0B2D">
        <w:rPr>
          <w:rFonts w:ascii="Bookman Old Style" w:hAnsi="Bookman Old Style"/>
        </w:rPr>
        <w:t>ocial trust tends to be expressed by the ‘winners’</w:t>
      </w:r>
      <w:r w:rsidR="00FB6BBA" w:rsidRPr="001A0B2D">
        <w:rPr>
          <w:rFonts w:ascii="Bookman Old Style" w:hAnsi="Bookman Old Style"/>
        </w:rPr>
        <w:t xml:space="preserve"> in society i.e. </w:t>
      </w:r>
      <w:r w:rsidR="001D740C" w:rsidRPr="001A0B2D">
        <w:rPr>
          <w:rFonts w:ascii="Bookman Old Style" w:hAnsi="Bookman Old Style"/>
        </w:rPr>
        <w:t>it is</w:t>
      </w:r>
      <w:r w:rsidR="00FB6BBA" w:rsidRPr="001A0B2D">
        <w:rPr>
          <w:rFonts w:ascii="Bookman Old Style" w:hAnsi="Bookman Old Style"/>
        </w:rPr>
        <w:t xml:space="preserve"> positively correlated with income</w:t>
      </w:r>
      <w:r w:rsidR="007E0696" w:rsidRPr="001A0B2D">
        <w:rPr>
          <w:rFonts w:ascii="Bookman Old Style" w:hAnsi="Bookman Old Style"/>
        </w:rPr>
        <w:t xml:space="preserve">, status, job and life satisfaction, </w:t>
      </w:r>
      <w:r w:rsidR="00FB6BBA" w:rsidRPr="001A0B2D">
        <w:rPr>
          <w:rFonts w:ascii="Bookman Old Style" w:hAnsi="Bookman Old Style"/>
        </w:rPr>
        <w:t xml:space="preserve">education </w:t>
      </w:r>
      <w:r w:rsidR="007E0696" w:rsidRPr="001A0B2D">
        <w:rPr>
          <w:rFonts w:ascii="Bookman Old Style" w:hAnsi="Bookman Old Style"/>
        </w:rPr>
        <w:t>and</w:t>
      </w:r>
      <w:r w:rsidR="00FB6BBA" w:rsidRPr="001A0B2D">
        <w:rPr>
          <w:rFonts w:ascii="Bookman Old Style" w:hAnsi="Bookman Old Style"/>
        </w:rPr>
        <w:t xml:space="preserve"> </w:t>
      </w:r>
      <w:r w:rsidR="007E0696" w:rsidRPr="001A0B2D">
        <w:rPr>
          <w:rFonts w:ascii="Bookman Old Style" w:hAnsi="Bookman Old Style"/>
        </w:rPr>
        <w:t xml:space="preserve">subjective </w:t>
      </w:r>
      <w:r w:rsidR="00FB6BBA" w:rsidRPr="001A0B2D">
        <w:rPr>
          <w:rFonts w:ascii="Bookman Old Style" w:hAnsi="Bookman Old Style"/>
        </w:rPr>
        <w:t xml:space="preserve">sense of happiness. </w:t>
      </w:r>
      <w:r w:rsidR="007E0696" w:rsidRPr="001A0B2D">
        <w:rPr>
          <w:rFonts w:ascii="Bookman Old Style" w:hAnsi="Bookman Old Style"/>
        </w:rPr>
        <w:t xml:space="preserve"> </w:t>
      </w:r>
      <w:r w:rsidR="001D740C" w:rsidRPr="001A0B2D">
        <w:rPr>
          <w:rFonts w:ascii="Bookman Old Style" w:hAnsi="Bookman Old Style"/>
        </w:rPr>
        <w:t xml:space="preserve">The strong link between trust, on the one hand, and the subjective experience of happiness and well-being, on the other, has been studied also by Putnam and </w:t>
      </w:r>
      <w:proofErr w:type="spellStart"/>
      <w:r w:rsidR="001D740C" w:rsidRPr="001A0B2D">
        <w:rPr>
          <w:rFonts w:ascii="Bookman Old Style" w:hAnsi="Bookman Old Style"/>
        </w:rPr>
        <w:t>Inglehart</w:t>
      </w:r>
      <w:proofErr w:type="spellEnd"/>
      <w:r w:rsidR="0040756F" w:rsidRPr="001A0B2D">
        <w:rPr>
          <w:rFonts w:ascii="Bookman Old Style" w:hAnsi="Bookman Old Style"/>
        </w:rPr>
        <w:t xml:space="preserve"> </w:t>
      </w:r>
      <w:r w:rsidR="005E0ADD">
        <w:rPr>
          <w:rFonts w:ascii="Bookman Old Style" w:hAnsi="Bookman Old Style"/>
        </w:rPr>
        <w:t>[7,8]</w:t>
      </w:r>
      <w:r w:rsidR="008B4477">
        <w:rPr>
          <w:rFonts w:ascii="Bookman Old Style" w:hAnsi="Bookman Old Style"/>
        </w:rPr>
        <w:t>. Another author –</w:t>
      </w:r>
      <w:r w:rsidR="001D740C" w:rsidRPr="001A0B2D">
        <w:rPr>
          <w:rFonts w:ascii="Bookman Old Style" w:hAnsi="Bookman Old Style"/>
        </w:rPr>
        <w:t xml:space="preserve"> Patterson</w:t>
      </w:r>
      <w:r w:rsidR="008B4477">
        <w:rPr>
          <w:rFonts w:ascii="Bookman Old Style" w:hAnsi="Bookman Old Style"/>
        </w:rPr>
        <w:t xml:space="preserve"> -</w:t>
      </w:r>
      <w:r w:rsidR="001D740C" w:rsidRPr="001A0B2D">
        <w:rPr>
          <w:rFonts w:ascii="Bookman Old Style" w:hAnsi="Bookman Old Style"/>
        </w:rPr>
        <w:t xml:space="preserve"> concludes that anxiety and insecurity are among the most powerful determinants of distrust </w:t>
      </w:r>
      <w:r w:rsidR="005E0ADD">
        <w:rPr>
          <w:rFonts w:ascii="Bookman Old Style" w:hAnsi="Bookman Old Style"/>
        </w:rPr>
        <w:t>[9]</w:t>
      </w:r>
      <w:r w:rsidR="001D740C" w:rsidRPr="00124201">
        <w:rPr>
          <w:rFonts w:ascii="Academy" w:hAnsi="Academy"/>
        </w:rPr>
        <w:t>.</w:t>
      </w:r>
    </w:p>
    <w:p w:rsidR="001D740C" w:rsidRPr="001A0B2D" w:rsidRDefault="001D740C" w:rsidP="00EB3DD8">
      <w:pPr>
        <w:autoSpaceDE w:val="0"/>
        <w:autoSpaceDN w:val="0"/>
        <w:adjustRightInd w:val="0"/>
        <w:spacing w:before="120" w:line="360" w:lineRule="auto"/>
        <w:ind w:firstLine="0"/>
        <w:jc w:val="left"/>
        <w:rPr>
          <w:rFonts w:ascii="Bookman Old Style" w:hAnsi="Bookman Old Style"/>
        </w:rPr>
      </w:pPr>
      <w:r w:rsidRPr="001A0B2D">
        <w:rPr>
          <w:rFonts w:ascii="Bookman Old Style" w:hAnsi="Bookman Old Style"/>
        </w:rPr>
        <w:t xml:space="preserve">There are surveys covering the interesting relationships between trust as an individual trait and some personal variables such as gender, age and education. It transpires, for example, that the younger </w:t>
      </w:r>
      <w:r w:rsidR="008C085A" w:rsidRPr="001A0B2D">
        <w:rPr>
          <w:rFonts w:ascii="Bookman Old Style" w:hAnsi="Bookman Old Style"/>
        </w:rPr>
        <w:t>and the oldest cohorts are among the most trusting, trust being lowest with the middle-range age groups. Some studies argue women are less inclined to trust than men but this depends on a host of additional variabl</w:t>
      </w:r>
      <w:r w:rsidR="005E0ADD">
        <w:rPr>
          <w:rFonts w:ascii="Bookman Old Style" w:hAnsi="Bookman Old Style"/>
        </w:rPr>
        <w:t>es and is not a general truth. [</w:t>
      </w:r>
      <w:r w:rsidR="008C085A" w:rsidRPr="001A0B2D">
        <w:rPr>
          <w:rFonts w:ascii="Bookman Old Style" w:hAnsi="Bookman Old Style"/>
        </w:rPr>
        <w:t xml:space="preserve">For these and some other conclusions, </w:t>
      </w:r>
      <w:r w:rsidR="00124201">
        <w:rPr>
          <w:rFonts w:ascii="Bookman Old Style" w:hAnsi="Bookman Old Style"/>
        </w:rPr>
        <w:t>some</w:t>
      </w:r>
      <w:r w:rsidR="008C085A" w:rsidRPr="001A0B2D">
        <w:rPr>
          <w:rFonts w:ascii="Bookman Old Style" w:hAnsi="Bookman Old Style"/>
        </w:rPr>
        <w:t xml:space="preserve"> of which are used here too, see for example </w:t>
      </w:r>
      <w:r w:rsidR="005E0ADD">
        <w:rPr>
          <w:rFonts w:ascii="Bookman Old Style" w:hAnsi="Bookman Old Style"/>
        </w:rPr>
        <w:t>10]</w:t>
      </w:r>
      <w:r w:rsidR="008C085A" w:rsidRPr="001A0B2D">
        <w:rPr>
          <w:rFonts w:ascii="Bookman Old Style" w:hAnsi="Bookman Old Style"/>
        </w:rPr>
        <w:t>.</w:t>
      </w:r>
    </w:p>
    <w:p w:rsidR="0040756F" w:rsidRPr="001A0B2D" w:rsidRDefault="008C085A" w:rsidP="00EB3DD8">
      <w:pPr>
        <w:spacing w:before="120" w:line="360" w:lineRule="auto"/>
        <w:ind w:firstLine="0"/>
        <w:jc w:val="left"/>
        <w:rPr>
          <w:rFonts w:ascii="Bookman Old Style" w:hAnsi="Bookman Old Style"/>
        </w:rPr>
      </w:pPr>
      <w:r w:rsidRPr="001A0B2D">
        <w:rPr>
          <w:rFonts w:ascii="Bookman Old Style" w:hAnsi="Bookman Old Style"/>
        </w:rPr>
        <w:t xml:space="preserve">Trust studies also manifest different, parallel traditions </w:t>
      </w:r>
      <w:r w:rsidR="00251F0A" w:rsidRPr="001A0B2D">
        <w:rPr>
          <w:rFonts w:ascii="Bookman Old Style" w:hAnsi="Bookman Old Style"/>
        </w:rPr>
        <w:t>with respect to trust</w:t>
      </w:r>
      <w:r w:rsidR="00494A92">
        <w:rPr>
          <w:rFonts w:ascii="Bookman Old Style" w:hAnsi="Bookman Old Style"/>
        </w:rPr>
        <w:t>,</w:t>
      </w:r>
      <w:r w:rsidR="00251F0A" w:rsidRPr="001A0B2D">
        <w:rPr>
          <w:rFonts w:ascii="Bookman Old Style" w:hAnsi="Bookman Old Style"/>
        </w:rPr>
        <w:t xml:space="preserve"> regarding it </w:t>
      </w:r>
      <w:r w:rsidRPr="001A0B2D">
        <w:rPr>
          <w:rFonts w:ascii="Bookman Old Style" w:hAnsi="Bookman Old Style"/>
        </w:rPr>
        <w:t xml:space="preserve">as a property of society rather than of individuals. </w:t>
      </w:r>
      <w:r w:rsidR="00251F0A" w:rsidRPr="001A0B2D">
        <w:rPr>
          <w:rFonts w:ascii="Bookman Old Style" w:hAnsi="Bookman Old Style"/>
        </w:rPr>
        <w:t xml:space="preserve">The core idea here </w:t>
      </w:r>
      <w:r w:rsidR="00251F0A" w:rsidRPr="001A0B2D">
        <w:rPr>
          <w:rFonts w:ascii="Bookman Old Style" w:hAnsi="Bookman Old Style"/>
        </w:rPr>
        <w:lastRenderedPageBreak/>
        <w:t xml:space="preserve">is that </w:t>
      </w:r>
      <w:r w:rsidRPr="001A0B2D">
        <w:rPr>
          <w:rFonts w:ascii="Bookman Old Style" w:hAnsi="Bookman Old Style"/>
        </w:rPr>
        <w:t>individuals participate in, contribute to, or benefit from a trusting culture, or from social and political institutions that encourage the development of trusting attitudes and behaviour.</w:t>
      </w:r>
    </w:p>
    <w:p w:rsidR="00251F0A" w:rsidRPr="001A0B2D" w:rsidRDefault="00494A92" w:rsidP="008A36B1">
      <w:pPr>
        <w:spacing w:before="120" w:line="360" w:lineRule="auto"/>
        <w:ind w:firstLine="0"/>
        <w:jc w:val="left"/>
        <w:rPr>
          <w:rFonts w:ascii="Bookman Old Style" w:hAnsi="Bookman Old Style"/>
        </w:rPr>
      </w:pPr>
      <w:r>
        <w:rPr>
          <w:rFonts w:ascii="Bookman Old Style" w:hAnsi="Bookman Old Style"/>
        </w:rPr>
        <w:t>In line with</w:t>
      </w:r>
      <w:r w:rsidR="00251F0A" w:rsidRPr="001A0B2D">
        <w:rPr>
          <w:rFonts w:ascii="Bookman Old Style" w:hAnsi="Bookman Old Style"/>
        </w:rPr>
        <w:t xml:space="preserve"> this approach, respondents and populations are asked a standard question on trust (as in the European Social Surveys (ESS)): "Generally speaking, would you say that most people can be trusted or that you can't be too c</w:t>
      </w:r>
      <w:r w:rsidR="00832542" w:rsidRPr="001A0B2D">
        <w:rPr>
          <w:rFonts w:ascii="Bookman Old Style" w:hAnsi="Bookman Old Style"/>
        </w:rPr>
        <w:t>areful in dealing with people?". It is assumed that this</w:t>
      </w:r>
      <w:r w:rsidR="00251F0A" w:rsidRPr="001A0B2D">
        <w:rPr>
          <w:rFonts w:ascii="Bookman Old Style" w:hAnsi="Bookman Old Style"/>
        </w:rPr>
        <w:t xml:space="preserve"> tell</w:t>
      </w:r>
      <w:r w:rsidR="00832542" w:rsidRPr="001A0B2D">
        <w:rPr>
          <w:rFonts w:ascii="Bookman Old Style" w:hAnsi="Bookman Old Style"/>
        </w:rPr>
        <w:t>s</w:t>
      </w:r>
      <w:r w:rsidR="00251F0A" w:rsidRPr="001A0B2D">
        <w:rPr>
          <w:rFonts w:ascii="Bookman Old Style" w:hAnsi="Bookman Old Style"/>
        </w:rPr>
        <w:t xml:space="preserve"> us less about individuals</w:t>
      </w:r>
      <w:r w:rsidR="00832542" w:rsidRPr="001A0B2D">
        <w:rPr>
          <w:rFonts w:ascii="Bookman Old Style" w:hAnsi="Bookman Old Style"/>
        </w:rPr>
        <w:t>’</w:t>
      </w:r>
      <w:r w:rsidR="00251F0A" w:rsidRPr="001A0B2D">
        <w:rPr>
          <w:rFonts w:ascii="Bookman Old Style" w:hAnsi="Bookman Old Style"/>
        </w:rPr>
        <w:t xml:space="preserve"> inclinations </w:t>
      </w:r>
      <w:r w:rsidR="00832542" w:rsidRPr="001A0B2D">
        <w:rPr>
          <w:rFonts w:ascii="Bookman Old Style" w:hAnsi="Bookman Old Style"/>
        </w:rPr>
        <w:t xml:space="preserve">to trust </w:t>
      </w:r>
      <w:r w:rsidR="00251F0A" w:rsidRPr="001A0B2D">
        <w:rPr>
          <w:rFonts w:ascii="Bookman Old Style" w:hAnsi="Bookman Old Style"/>
        </w:rPr>
        <w:t xml:space="preserve">than about how they estimate the trustworthiness of the society around them. </w:t>
      </w:r>
      <w:r w:rsidR="005E0ADD">
        <w:rPr>
          <w:rFonts w:ascii="Bookman Old Style" w:hAnsi="Bookman Old Style"/>
        </w:rPr>
        <w:t>[10]</w:t>
      </w:r>
      <w:r w:rsidR="00EB3DD8" w:rsidRPr="001A0B2D">
        <w:rPr>
          <w:rFonts w:ascii="Bookman Old Style" w:hAnsi="Bookman Old Style"/>
        </w:rPr>
        <w:t>. Here t</w:t>
      </w:r>
      <w:r w:rsidR="00251F0A" w:rsidRPr="001A0B2D">
        <w:rPr>
          <w:rFonts w:ascii="Bookman Old Style" w:hAnsi="Bookman Old Style"/>
        </w:rPr>
        <w:t>rust</w:t>
      </w:r>
      <w:r w:rsidR="00EB3DD8" w:rsidRPr="001A0B2D">
        <w:rPr>
          <w:rFonts w:ascii="Bookman Old Style" w:hAnsi="Bookman Old Style"/>
        </w:rPr>
        <w:t xml:space="preserve"> </w:t>
      </w:r>
      <w:r w:rsidR="00251F0A" w:rsidRPr="001A0B2D">
        <w:rPr>
          <w:rFonts w:ascii="Bookman Old Style" w:hAnsi="Bookman Old Style"/>
        </w:rPr>
        <w:t xml:space="preserve">is </w:t>
      </w:r>
      <w:r w:rsidR="00EB3DD8" w:rsidRPr="001A0B2D">
        <w:rPr>
          <w:rFonts w:ascii="Bookman Old Style" w:hAnsi="Bookman Old Style"/>
        </w:rPr>
        <w:t xml:space="preserve">perceived mainly as </w:t>
      </w:r>
      <w:r w:rsidR="00251F0A" w:rsidRPr="001A0B2D">
        <w:rPr>
          <w:rFonts w:ascii="Bookman Old Style" w:hAnsi="Bookman Old Style"/>
        </w:rPr>
        <w:t xml:space="preserve">the product of experience, and </w:t>
      </w:r>
      <w:r w:rsidR="00EB3DD8" w:rsidRPr="001A0B2D">
        <w:rPr>
          <w:rFonts w:ascii="Bookman Old Style" w:hAnsi="Bookman Old Style"/>
        </w:rPr>
        <w:t xml:space="preserve">it is assumed that </w:t>
      </w:r>
      <w:r w:rsidR="00251F0A" w:rsidRPr="001A0B2D">
        <w:rPr>
          <w:rFonts w:ascii="Bookman Old Style" w:hAnsi="Bookman Old Style"/>
        </w:rPr>
        <w:t>we constantly modify and update our trustful and distrustful feelings in response to changing circumstances. As a result, levels of trust reported in social</w:t>
      </w:r>
      <w:r w:rsidR="00EB3DD8" w:rsidRPr="001A0B2D">
        <w:rPr>
          <w:rFonts w:ascii="Bookman Old Style" w:hAnsi="Bookman Old Style"/>
        </w:rPr>
        <w:t xml:space="preserve"> questionnaires and </w:t>
      </w:r>
      <w:r w:rsidR="00251F0A" w:rsidRPr="001A0B2D">
        <w:rPr>
          <w:rFonts w:ascii="Bookman Old Style" w:hAnsi="Bookman Old Style"/>
        </w:rPr>
        <w:t xml:space="preserve">surveys tell us more about </w:t>
      </w:r>
      <w:r w:rsidR="00EB3DD8" w:rsidRPr="001A0B2D">
        <w:rPr>
          <w:rFonts w:ascii="Bookman Old Style" w:hAnsi="Bookman Old Style"/>
        </w:rPr>
        <w:t xml:space="preserve">how trustworthy </w:t>
      </w:r>
      <w:r w:rsidR="00251F0A" w:rsidRPr="001A0B2D">
        <w:rPr>
          <w:rFonts w:ascii="Bookman Old Style" w:hAnsi="Bookman Old Style"/>
        </w:rPr>
        <w:t xml:space="preserve">societies and </w:t>
      </w:r>
      <w:r w:rsidR="00EB3DD8" w:rsidRPr="001A0B2D">
        <w:rPr>
          <w:rFonts w:ascii="Bookman Old Style" w:hAnsi="Bookman Old Style"/>
        </w:rPr>
        <w:t>institutions</w:t>
      </w:r>
      <w:r w:rsidR="00251F0A" w:rsidRPr="001A0B2D">
        <w:rPr>
          <w:rFonts w:ascii="Bookman Old Style" w:hAnsi="Bookman Old Style"/>
        </w:rPr>
        <w:t xml:space="preserve"> </w:t>
      </w:r>
      <w:r w:rsidR="00EB3DD8" w:rsidRPr="001A0B2D">
        <w:rPr>
          <w:rFonts w:ascii="Bookman Old Style" w:hAnsi="Bookman Old Style"/>
        </w:rPr>
        <w:t xml:space="preserve">are </w:t>
      </w:r>
      <w:r w:rsidR="00251F0A" w:rsidRPr="001A0B2D">
        <w:rPr>
          <w:rFonts w:ascii="Bookman Old Style" w:hAnsi="Bookman Old Style"/>
        </w:rPr>
        <w:t xml:space="preserve">than about </w:t>
      </w:r>
      <w:r w:rsidR="00EB3DD8" w:rsidRPr="001A0B2D">
        <w:rPr>
          <w:rFonts w:ascii="Bookman Old Style" w:hAnsi="Bookman Old Style"/>
        </w:rPr>
        <w:t>the individual traits of those</w:t>
      </w:r>
      <w:r w:rsidR="00251F0A" w:rsidRPr="001A0B2D">
        <w:rPr>
          <w:rFonts w:ascii="Bookman Old Style" w:hAnsi="Bookman Old Style"/>
        </w:rPr>
        <w:t xml:space="preserve"> living in them.</w:t>
      </w:r>
    </w:p>
    <w:p w:rsidR="0040756F" w:rsidRPr="001A0B2D" w:rsidRDefault="00814356" w:rsidP="008A36B1">
      <w:pPr>
        <w:autoSpaceDE w:val="0"/>
        <w:autoSpaceDN w:val="0"/>
        <w:adjustRightInd w:val="0"/>
        <w:spacing w:before="120" w:line="360" w:lineRule="auto"/>
        <w:ind w:firstLine="0"/>
        <w:jc w:val="left"/>
        <w:rPr>
          <w:rFonts w:ascii="Bookman Old Style" w:hAnsi="Bookman Old Style"/>
        </w:rPr>
      </w:pPr>
      <w:r w:rsidRPr="001A0B2D">
        <w:rPr>
          <w:rFonts w:ascii="Bookman Old Style" w:hAnsi="Bookman Old Style"/>
        </w:rPr>
        <w:t>If we assume that social trust is determined by the social circumstances which people find themselves in,</w:t>
      </w:r>
      <w:r w:rsidR="00B02D03" w:rsidRPr="001A0B2D">
        <w:rPr>
          <w:rFonts w:ascii="Bookman Old Style" w:hAnsi="Bookman Old Style"/>
        </w:rPr>
        <w:t xml:space="preserve"> </w:t>
      </w:r>
      <w:r w:rsidRPr="001A0B2D">
        <w:rPr>
          <w:rFonts w:ascii="Bookman Old Style" w:hAnsi="Bookman Old Style"/>
        </w:rPr>
        <w:t>it should be statistically associated with certain societal variables. However, there is little agreement about which these variables are and how much weight each one has. One of the theoretical traditions in this respect dates back to the works of John Stuart Mill, Tocqueville, etc.</w:t>
      </w:r>
      <w:r w:rsidR="009C29E2" w:rsidRPr="001A0B2D">
        <w:rPr>
          <w:rFonts w:ascii="Bookman Old Style" w:hAnsi="Bookman Old Style"/>
        </w:rPr>
        <w:t xml:space="preserve"> and it</w:t>
      </w:r>
      <w:r w:rsidRPr="001A0B2D">
        <w:rPr>
          <w:rFonts w:ascii="Bookman Old Style" w:hAnsi="Bookman Old Style"/>
        </w:rPr>
        <w:t xml:space="preserve"> is traceable also in </w:t>
      </w:r>
      <w:r w:rsidR="009C29E2" w:rsidRPr="001A0B2D">
        <w:rPr>
          <w:rFonts w:ascii="Bookman Old Style" w:hAnsi="Bookman Old Style"/>
        </w:rPr>
        <w:t>contemporary</w:t>
      </w:r>
      <w:r w:rsidRPr="001A0B2D">
        <w:rPr>
          <w:rFonts w:ascii="Bookman Old Style" w:hAnsi="Bookman Old Style"/>
        </w:rPr>
        <w:t xml:space="preserve"> </w:t>
      </w:r>
      <w:r w:rsidR="009C29E2" w:rsidRPr="001A0B2D">
        <w:rPr>
          <w:rFonts w:ascii="Bookman Old Style" w:hAnsi="Bookman Old Style"/>
        </w:rPr>
        <w:t>conceptions of</w:t>
      </w:r>
      <w:r w:rsidRPr="001A0B2D">
        <w:rPr>
          <w:rFonts w:ascii="Bookman Old Style" w:hAnsi="Bookman Old Style"/>
        </w:rPr>
        <w:t xml:space="preserve"> social capital </w:t>
      </w:r>
      <w:r w:rsidR="005E0ADD">
        <w:rPr>
          <w:rFonts w:ascii="Bookman Old Style" w:hAnsi="Bookman Old Style"/>
        </w:rPr>
        <w:t xml:space="preserve">[11]. </w:t>
      </w:r>
      <w:r w:rsidR="009C29E2" w:rsidRPr="001A0B2D">
        <w:rPr>
          <w:rFonts w:ascii="Bookman Old Style" w:hAnsi="Bookman Old Style"/>
        </w:rPr>
        <w:t xml:space="preserve">Here I refer to the Voluntary </w:t>
      </w:r>
      <w:r w:rsidR="008A36B1" w:rsidRPr="001A0B2D">
        <w:rPr>
          <w:rFonts w:ascii="Bookman Old Style" w:hAnsi="Bookman Old Style"/>
        </w:rPr>
        <w:t>Organisations T</w:t>
      </w:r>
      <w:r w:rsidR="009C29E2" w:rsidRPr="001A0B2D">
        <w:rPr>
          <w:rFonts w:ascii="Bookman Old Style" w:hAnsi="Bookman Old Style"/>
        </w:rPr>
        <w:t>heory and t</w:t>
      </w:r>
      <w:r w:rsidR="00B02D03" w:rsidRPr="001A0B2D">
        <w:rPr>
          <w:rFonts w:ascii="Bookman Old Style" w:hAnsi="Bookman Old Style"/>
        </w:rPr>
        <w:t>he importance of these organisa</w:t>
      </w:r>
      <w:r w:rsidR="009C29E2" w:rsidRPr="001A0B2D">
        <w:rPr>
          <w:rFonts w:ascii="Bookman Old Style" w:hAnsi="Bookman Old Style"/>
        </w:rPr>
        <w:t>tions for building social trust. The core belief here is that w</w:t>
      </w:r>
      <w:r w:rsidRPr="001A0B2D">
        <w:rPr>
          <w:rFonts w:ascii="Bookman Old Style" w:hAnsi="Bookman Old Style"/>
        </w:rPr>
        <w:t>e learn to participate by participating, and by participating in regular and close contact</w:t>
      </w:r>
      <w:r w:rsidR="00C60639" w:rsidRPr="001A0B2D">
        <w:rPr>
          <w:rFonts w:ascii="Bookman Old Style" w:hAnsi="Bookman Old Style"/>
        </w:rPr>
        <w:t xml:space="preserve"> </w:t>
      </w:r>
      <w:r w:rsidRPr="001A0B2D">
        <w:rPr>
          <w:rFonts w:ascii="Bookman Old Style" w:hAnsi="Bookman Old Style"/>
        </w:rPr>
        <w:t xml:space="preserve">with others on a voluntary basis we learn </w:t>
      </w:r>
      <w:r w:rsidR="009C29E2" w:rsidRPr="001A0B2D">
        <w:rPr>
          <w:rFonts w:ascii="Bookman Old Style" w:hAnsi="Bookman Old Style"/>
        </w:rPr>
        <w:t xml:space="preserve">the concepts of </w:t>
      </w:r>
      <w:r w:rsidRPr="001A0B2D">
        <w:rPr>
          <w:rFonts w:ascii="Bookman Old Style" w:hAnsi="Bookman Old Style"/>
        </w:rPr>
        <w:t xml:space="preserve">trust, reciprocity, co-operation, empathy for others, </w:t>
      </w:r>
      <w:r w:rsidR="009C29E2" w:rsidRPr="001A0B2D">
        <w:rPr>
          <w:rFonts w:ascii="Bookman Old Style" w:hAnsi="Bookman Old Style"/>
        </w:rPr>
        <w:t>as well as</w:t>
      </w:r>
      <w:r w:rsidRPr="001A0B2D">
        <w:rPr>
          <w:rFonts w:ascii="Bookman Old Style" w:hAnsi="Bookman Old Style"/>
        </w:rPr>
        <w:t xml:space="preserve"> </w:t>
      </w:r>
      <w:r w:rsidR="00C60639" w:rsidRPr="001A0B2D">
        <w:rPr>
          <w:rFonts w:ascii="Bookman Old Style" w:hAnsi="Bookman Old Style"/>
        </w:rPr>
        <w:t xml:space="preserve">develop </w:t>
      </w:r>
      <w:r w:rsidRPr="001A0B2D">
        <w:rPr>
          <w:rFonts w:ascii="Bookman Old Style" w:hAnsi="Bookman Old Style"/>
        </w:rPr>
        <w:t>an understanding of common</w:t>
      </w:r>
      <w:r w:rsidR="009C29E2" w:rsidRPr="001A0B2D">
        <w:rPr>
          <w:rFonts w:ascii="Bookman Old Style" w:hAnsi="Bookman Old Style"/>
        </w:rPr>
        <w:t xml:space="preserve"> </w:t>
      </w:r>
      <w:r w:rsidRPr="001A0B2D">
        <w:rPr>
          <w:rFonts w:ascii="Bookman Old Style" w:hAnsi="Bookman Old Style"/>
        </w:rPr>
        <w:t xml:space="preserve">interest and common good. The </w:t>
      </w:r>
      <w:r w:rsidR="00A44DC1">
        <w:rPr>
          <w:rFonts w:ascii="Bookman Old Style" w:hAnsi="Bookman Old Style"/>
        </w:rPr>
        <w:t>above-</w:t>
      </w:r>
      <w:r w:rsidR="009C29E2" w:rsidRPr="001A0B2D">
        <w:rPr>
          <w:rFonts w:ascii="Bookman Old Style" w:hAnsi="Bookman Old Style"/>
        </w:rPr>
        <w:t xml:space="preserve">mentioned participation has one particular most important form and it is </w:t>
      </w:r>
      <w:r w:rsidRPr="001A0B2D">
        <w:rPr>
          <w:rFonts w:ascii="Bookman Old Style" w:hAnsi="Bookman Old Style"/>
        </w:rPr>
        <w:t>direct, face-to-face, and sustained involvement in voluntary organisations in the</w:t>
      </w:r>
      <w:r w:rsidR="009C29E2" w:rsidRPr="001A0B2D">
        <w:rPr>
          <w:rFonts w:ascii="Bookman Old Style" w:hAnsi="Bookman Old Style"/>
        </w:rPr>
        <w:t xml:space="preserve"> </w:t>
      </w:r>
      <w:r w:rsidRPr="001A0B2D">
        <w:rPr>
          <w:rFonts w:ascii="Bookman Old Style" w:hAnsi="Bookman Old Style"/>
        </w:rPr>
        <w:t xml:space="preserve">local community. </w:t>
      </w:r>
    </w:p>
    <w:p w:rsidR="00814356" w:rsidRPr="001A0B2D" w:rsidRDefault="00C60639" w:rsidP="008A36B1">
      <w:pPr>
        <w:spacing w:before="120" w:line="360" w:lineRule="auto"/>
        <w:ind w:firstLine="0"/>
        <w:jc w:val="left"/>
        <w:rPr>
          <w:rFonts w:ascii="Bookman Old Style" w:hAnsi="Bookman Old Style"/>
        </w:rPr>
      </w:pPr>
      <w:r w:rsidRPr="001A0B2D">
        <w:rPr>
          <w:rFonts w:ascii="Bookman Old Style" w:hAnsi="Bookman Old Style"/>
        </w:rPr>
        <w:t>Naturally, the statistical correlation between membership in voluntary organisations, on the one hand, and the level of social trust, on the other,</w:t>
      </w:r>
      <w:r w:rsidR="009C29E2" w:rsidRPr="001A0B2D">
        <w:rPr>
          <w:rFonts w:ascii="Bookman Old Style" w:hAnsi="Bookman Old Style"/>
        </w:rPr>
        <w:t xml:space="preserve"> can </w:t>
      </w:r>
      <w:r w:rsidR="00814356" w:rsidRPr="001A0B2D">
        <w:rPr>
          <w:rFonts w:ascii="Bookman Old Style" w:hAnsi="Bookman Old Style"/>
        </w:rPr>
        <w:t xml:space="preserve">be tested by using </w:t>
      </w:r>
      <w:r w:rsidR="00B02D03" w:rsidRPr="001A0B2D">
        <w:rPr>
          <w:rFonts w:ascii="Bookman Old Style" w:hAnsi="Bookman Old Style"/>
        </w:rPr>
        <w:t>empirical</w:t>
      </w:r>
      <w:r w:rsidR="008A36B1" w:rsidRPr="001A0B2D">
        <w:rPr>
          <w:rFonts w:ascii="Bookman Old Style" w:hAnsi="Bookman Old Style"/>
        </w:rPr>
        <w:t xml:space="preserve"> data</w:t>
      </w:r>
      <w:r w:rsidR="00814356" w:rsidRPr="001A0B2D">
        <w:rPr>
          <w:rFonts w:ascii="Bookman Old Style" w:hAnsi="Bookman Old Style"/>
        </w:rPr>
        <w:t>.</w:t>
      </w:r>
      <w:r w:rsidR="008A36B1" w:rsidRPr="001A0B2D">
        <w:rPr>
          <w:rFonts w:ascii="Bookman Old Style" w:hAnsi="Bookman Old Style"/>
        </w:rPr>
        <w:t xml:space="preserve"> There are some surveys confirming the existence of this correlation, to </w:t>
      </w:r>
      <w:r w:rsidR="008B4477">
        <w:rPr>
          <w:rFonts w:ascii="Bookman Old Style" w:hAnsi="Bookman Old Style"/>
        </w:rPr>
        <w:t>an extent</w:t>
      </w:r>
      <w:r w:rsidR="008A36B1" w:rsidRPr="001A0B2D">
        <w:rPr>
          <w:rFonts w:ascii="Bookman Old Style" w:hAnsi="Bookman Old Style"/>
        </w:rPr>
        <w:t xml:space="preserve"> </w:t>
      </w:r>
      <w:r w:rsidR="005E0ADD">
        <w:rPr>
          <w:rFonts w:ascii="Bookman Old Style" w:hAnsi="Bookman Old Style"/>
        </w:rPr>
        <w:t>[12,13]</w:t>
      </w:r>
      <w:r w:rsidR="008A36B1" w:rsidRPr="001A0B2D">
        <w:rPr>
          <w:rFonts w:ascii="Bookman Old Style" w:hAnsi="Bookman Old Style"/>
        </w:rPr>
        <w:t xml:space="preserve">. Both their empirical, and methodological </w:t>
      </w:r>
      <w:r w:rsidR="008A36B1" w:rsidRPr="001A0B2D">
        <w:rPr>
          <w:rFonts w:ascii="Bookman Old Style" w:hAnsi="Bookman Old Style"/>
        </w:rPr>
        <w:lastRenderedPageBreak/>
        <w:t>and theoretical grounds, however, have been critici</w:t>
      </w:r>
      <w:r w:rsidR="00C34398">
        <w:rPr>
          <w:rFonts w:ascii="Bookman Old Style" w:hAnsi="Bookman Old Style"/>
        </w:rPr>
        <w:t>s</w:t>
      </w:r>
      <w:r w:rsidR="008A36B1" w:rsidRPr="001A0B2D">
        <w:rPr>
          <w:rFonts w:ascii="Bookman Old Style" w:hAnsi="Bookman Old Style"/>
        </w:rPr>
        <w:t xml:space="preserve">ed </w:t>
      </w:r>
      <w:r w:rsidR="003F6757">
        <w:rPr>
          <w:rFonts w:ascii="Bookman Old Style" w:hAnsi="Bookman Old Style"/>
        </w:rPr>
        <w:t>copiously and quite extensively</w:t>
      </w:r>
      <w:r w:rsidR="008A36B1" w:rsidRPr="001A0B2D">
        <w:rPr>
          <w:rFonts w:ascii="Bookman Old Style" w:hAnsi="Bookman Old Style"/>
        </w:rPr>
        <w:t xml:space="preserve"> </w:t>
      </w:r>
      <w:r w:rsidR="005E0ADD">
        <w:rPr>
          <w:rFonts w:ascii="Bookman Old Style" w:hAnsi="Bookman Old Style"/>
        </w:rPr>
        <w:t>[14,15]</w:t>
      </w:r>
      <w:r w:rsidR="008A36B1" w:rsidRPr="001A0B2D">
        <w:rPr>
          <w:rFonts w:ascii="Bookman Old Style" w:hAnsi="Bookman Old Style"/>
        </w:rPr>
        <w:t>.</w:t>
      </w:r>
    </w:p>
    <w:p w:rsidR="006E22A3" w:rsidRPr="001A0B2D" w:rsidRDefault="008A36B1" w:rsidP="00FA4611">
      <w:pPr>
        <w:autoSpaceDE w:val="0"/>
        <w:autoSpaceDN w:val="0"/>
        <w:adjustRightInd w:val="0"/>
        <w:spacing w:before="120" w:line="360" w:lineRule="auto"/>
        <w:ind w:firstLine="0"/>
        <w:jc w:val="left"/>
        <w:rPr>
          <w:rFonts w:ascii="Bookman Old Style" w:hAnsi="Bookman Old Style"/>
        </w:rPr>
      </w:pPr>
      <w:r w:rsidRPr="001A0B2D">
        <w:rPr>
          <w:rFonts w:ascii="Bookman Old Style" w:hAnsi="Bookman Old Style"/>
        </w:rPr>
        <w:t>As a whole, the predominant view is that no matter how important membership in voluntary</w:t>
      </w:r>
      <w:r w:rsidR="00FA4611" w:rsidRPr="001A0B2D">
        <w:rPr>
          <w:rFonts w:ascii="Bookman Old Style" w:hAnsi="Bookman Old Style"/>
        </w:rPr>
        <w:t xml:space="preserve"> </w:t>
      </w:r>
      <w:r w:rsidRPr="001A0B2D">
        <w:rPr>
          <w:rFonts w:ascii="Bookman Old Style" w:hAnsi="Bookman Old Style"/>
        </w:rPr>
        <w:t>civil associations for joint action may be, what matters from the point of view of social trust</w:t>
      </w:r>
      <w:r w:rsidR="00FA4611" w:rsidRPr="001A0B2D">
        <w:rPr>
          <w:rFonts w:ascii="Bookman Old Style" w:hAnsi="Bookman Old Style"/>
        </w:rPr>
        <w:t xml:space="preserve"> </w:t>
      </w:r>
      <w:r w:rsidRPr="001A0B2D">
        <w:rPr>
          <w:rFonts w:ascii="Bookman Old Style" w:hAnsi="Bookman Old Style"/>
        </w:rPr>
        <w:t>is direct participation in the social networks of everyday life</w:t>
      </w:r>
      <w:r w:rsidR="005E0ADD">
        <w:rPr>
          <w:rFonts w:ascii="Bookman Old Style" w:hAnsi="Bookman Old Style"/>
        </w:rPr>
        <w:t xml:space="preserve"> [16]</w:t>
      </w:r>
      <w:r w:rsidRPr="001A0B2D">
        <w:rPr>
          <w:rFonts w:ascii="Bookman Old Style" w:hAnsi="Bookman Old Style"/>
        </w:rPr>
        <w:t xml:space="preserve">. </w:t>
      </w:r>
      <w:r w:rsidR="006E22A3" w:rsidRPr="001A0B2D">
        <w:rPr>
          <w:rFonts w:ascii="Bookman Old Style" w:hAnsi="Bookman Old Style"/>
        </w:rPr>
        <w:t xml:space="preserve"> </w:t>
      </w:r>
      <w:r w:rsidRPr="001A0B2D">
        <w:rPr>
          <w:rFonts w:ascii="Bookman Old Style" w:hAnsi="Bookman Old Style"/>
        </w:rPr>
        <w:t xml:space="preserve">For most people this means the informal </w:t>
      </w:r>
      <w:r w:rsidR="006E22A3" w:rsidRPr="001A0B2D">
        <w:rPr>
          <w:rFonts w:ascii="Bookman Old Style" w:hAnsi="Bookman Old Style"/>
        </w:rPr>
        <w:t xml:space="preserve">interaction at the </w:t>
      </w:r>
      <w:r w:rsidRPr="001A0B2D">
        <w:rPr>
          <w:rFonts w:ascii="Bookman Old Style" w:hAnsi="Bookman Old Style"/>
        </w:rPr>
        <w:t>family</w:t>
      </w:r>
      <w:r w:rsidR="006E22A3" w:rsidRPr="001A0B2D">
        <w:rPr>
          <w:rFonts w:ascii="Bookman Old Style" w:hAnsi="Bookman Old Style"/>
        </w:rPr>
        <w:t xml:space="preserve"> </w:t>
      </w:r>
      <w:r w:rsidRPr="001A0B2D">
        <w:rPr>
          <w:rFonts w:ascii="Bookman Old Style" w:hAnsi="Bookman Old Style"/>
        </w:rPr>
        <w:t xml:space="preserve">and </w:t>
      </w:r>
      <w:r w:rsidR="006E22A3" w:rsidRPr="001A0B2D">
        <w:rPr>
          <w:rFonts w:ascii="Bookman Old Style" w:hAnsi="Bookman Old Style"/>
        </w:rPr>
        <w:t>neighbo</w:t>
      </w:r>
      <w:r w:rsidR="00B02D03" w:rsidRPr="001A0B2D">
        <w:rPr>
          <w:rFonts w:ascii="Bookman Old Style" w:hAnsi="Bookman Old Style"/>
        </w:rPr>
        <w:t>u</w:t>
      </w:r>
      <w:r w:rsidR="006E22A3" w:rsidRPr="001A0B2D">
        <w:rPr>
          <w:rFonts w:ascii="Bookman Old Style" w:hAnsi="Bookman Old Style"/>
        </w:rPr>
        <w:t>rhood level</w:t>
      </w:r>
      <w:r w:rsidRPr="001A0B2D">
        <w:rPr>
          <w:rFonts w:ascii="Bookman Old Style" w:hAnsi="Bookman Old Style"/>
        </w:rPr>
        <w:t xml:space="preserve">, </w:t>
      </w:r>
      <w:r w:rsidR="006E22A3" w:rsidRPr="001A0B2D">
        <w:rPr>
          <w:rFonts w:ascii="Bookman Old Style" w:hAnsi="Bookman Old Style"/>
        </w:rPr>
        <w:t xml:space="preserve">and </w:t>
      </w:r>
      <w:r w:rsidRPr="001A0B2D">
        <w:rPr>
          <w:rFonts w:ascii="Bookman Old Style" w:hAnsi="Bookman Old Style"/>
        </w:rPr>
        <w:t>at the place of</w:t>
      </w:r>
      <w:r w:rsidR="006E22A3" w:rsidRPr="001A0B2D">
        <w:rPr>
          <w:rFonts w:ascii="Bookman Old Style" w:hAnsi="Bookman Old Style"/>
        </w:rPr>
        <w:t xml:space="preserve"> </w:t>
      </w:r>
      <w:r w:rsidRPr="001A0B2D">
        <w:rPr>
          <w:rFonts w:ascii="Bookman Old Style" w:hAnsi="Bookman Old Style"/>
        </w:rPr>
        <w:t xml:space="preserve">work. It also means </w:t>
      </w:r>
      <w:r w:rsidR="006E22A3" w:rsidRPr="001A0B2D">
        <w:rPr>
          <w:rFonts w:ascii="Bookman Old Style" w:hAnsi="Bookman Old Style"/>
        </w:rPr>
        <w:t xml:space="preserve">most of all </w:t>
      </w:r>
      <w:r w:rsidRPr="001A0B2D">
        <w:rPr>
          <w:rFonts w:ascii="Bookman Old Style" w:hAnsi="Bookman Old Style"/>
        </w:rPr>
        <w:t>sporadic</w:t>
      </w:r>
      <w:r w:rsidR="006E22A3" w:rsidRPr="001A0B2D">
        <w:rPr>
          <w:rFonts w:ascii="Bookman Old Style" w:hAnsi="Bookman Old Style"/>
        </w:rPr>
        <w:t xml:space="preserve">, ad hoc </w:t>
      </w:r>
      <w:r w:rsidRPr="001A0B2D">
        <w:rPr>
          <w:rFonts w:ascii="Bookman Old Style" w:hAnsi="Bookman Old Style"/>
        </w:rPr>
        <w:t>participation in the loose networks of people</w:t>
      </w:r>
      <w:r w:rsidR="006E22A3" w:rsidRPr="001A0B2D">
        <w:rPr>
          <w:rFonts w:ascii="Bookman Old Style" w:hAnsi="Bookman Old Style"/>
        </w:rPr>
        <w:t xml:space="preserve"> </w:t>
      </w:r>
      <w:r w:rsidRPr="001A0B2D">
        <w:rPr>
          <w:rFonts w:ascii="Bookman Old Style" w:hAnsi="Bookman Old Style"/>
        </w:rPr>
        <w:t xml:space="preserve">who gather in local bars and pubs, at work, in </w:t>
      </w:r>
      <w:r w:rsidR="006E22A3" w:rsidRPr="001A0B2D">
        <w:rPr>
          <w:rFonts w:ascii="Bookman Old Style" w:hAnsi="Bookman Old Style"/>
        </w:rPr>
        <w:t>various interest and hobby</w:t>
      </w:r>
      <w:r w:rsidRPr="001A0B2D">
        <w:rPr>
          <w:rFonts w:ascii="Bookman Old Style" w:hAnsi="Bookman Old Style"/>
        </w:rPr>
        <w:t xml:space="preserve"> groups, </w:t>
      </w:r>
      <w:r w:rsidR="006E22A3" w:rsidRPr="001A0B2D">
        <w:rPr>
          <w:rFonts w:ascii="Bookman Old Style" w:hAnsi="Bookman Old Style"/>
        </w:rPr>
        <w:t>and other some such groups</w:t>
      </w:r>
      <w:r w:rsidRPr="001A0B2D">
        <w:rPr>
          <w:rFonts w:ascii="Bookman Old Style" w:hAnsi="Bookman Old Style"/>
        </w:rPr>
        <w:t xml:space="preserve"> that</w:t>
      </w:r>
      <w:r w:rsidR="006E22A3" w:rsidRPr="001A0B2D">
        <w:rPr>
          <w:rFonts w:ascii="Bookman Old Style" w:hAnsi="Bookman Old Style"/>
        </w:rPr>
        <w:t xml:space="preserve"> </w:t>
      </w:r>
      <w:r w:rsidRPr="001A0B2D">
        <w:rPr>
          <w:rFonts w:ascii="Bookman Old Style" w:hAnsi="Bookman Old Style"/>
        </w:rPr>
        <w:t>tend to cluster around schools, community cent</w:t>
      </w:r>
      <w:r w:rsidR="006E22A3" w:rsidRPr="001A0B2D">
        <w:rPr>
          <w:rFonts w:ascii="Bookman Old Style" w:hAnsi="Bookman Old Style"/>
        </w:rPr>
        <w:t xml:space="preserve">res, and residential areas. There is empirical evidence that </w:t>
      </w:r>
      <w:r w:rsidRPr="001A0B2D">
        <w:rPr>
          <w:rFonts w:ascii="Bookman Old Style" w:hAnsi="Bookman Old Style"/>
        </w:rPr>
        <w:t>such forms of civic engagement and social participation are increasing in</w:t>
      </w:r>
      <w:r w:rsidR="00FA4611" w:rsidRPr="001A0B2D">
        <w:rPr>
          <w:rFonts w:ascii="Bookman Old Style" w:hAnsi="Bookman Old Style"/>
        </w:rPr>
        <w:t xml:space="preserve"> </w:t>
      </w:r>
      <w:r w:rsidRPr="001A0B2D">
        <w:rPr>
          <w:rFonts w:ascii="Bookman Old Style" w:hAnsi="Bookman Old Style"/>
        </w:rPr>
        <w:t>modern societ</w:t>
      </w:r>
      <w:r w:rsidR="006E22A3" w:rsidRPr="001A0B2D">
        <w:rPr>
          <w:rFonts w:ascii="Bookman Old Style" w:hAnsi="Bookman Old Style"/>
        </w:rPr>
        <w:t>ies</w:t>
      </w:r>
      <w:r w:rsidRPr="001A0B2D">
        <w:rPr>
          <w:rFonts w:ascii="Bookman Old Style" w:hAnsi="Bookman Old Style"/>
        </w:rPr>
        <w:t xml:space="preserve"> </w:t>
      </w:r>
      <w:r w:rsidR="005E0ADD">
        <w:rPr>
          <w:rFonts w:ascii="Bookman Old Style" w:hAnsi="Bookman Old Style"/>
        </w:rPr>
        <w:t xml:space="preserve">[17] </w:t>
      </w:r>
      <w:r w:rsidR="006E22A3" w:rsidRPr="001A0B2D">
        <w:rPr>
          <w:rFonts w:ascii="Bookman Old Style" w:hAnsi="Bookman Old Style"/>
        </w:rPr>
        <w:t>and it is them that have a stronger a correlation with levels of social trust.</w:t>
      </w:r>
      <w:r w:rsidR="00FA4611" w:rsidRPr="001A0B2D">
        <w:rPr>
          <w:rFonts w:ascii="Bookman Old Style" w:hAnsi="Bookman Old Style"/>
        </w:rPr>
        <w:t xml:space="preserve"> Some researchers argue that the forms of social participation under consideration are </w:t>
      </w:r>
      <w:r w:rsidR="006E22A3" w:rsidRPr="001A0B2D">
        <w:rPr>
          <w:rFonts w:ascii="Bookman Old Style" w:hAnsi="Bookman Old Style"/>
        </w:rPr>
        <w:t xml:space="preserve">particularly </w:t>
      </w:r>
      <w:r w:rsidR="00FA4611" w:rsidRPr="001A0B2D">
        <w:rPr>
          <w:rFonts w:ascii="Bookman Old Style" w:hAnsi="Bookman Old Style"/>
        </w:rPr>
        <w:t>typical of</w:t>
      </w:r>
      <w:r w:rsidR="006E22A3" w:rsidRPr="001A0B2D">
        <w:rPr>
          <w:rFonts w:ascii="Bookman Old Style" w:hAnsi="Bookman Old Style"/>
        </w:rPr>
        <w:t xml:space="preserve"> the </w:t>
      </w:r>
      <w:r w:rsidR="00B02D03" w:rsidRPr="001A0B2D">
        <w:rPr>
          <w:rFonts w:ascii="Bookman Old Style" w:hAnsi="Bookman Old Style"/>
        </w:rPr>
        <w:t>socialist</w:t>
      </w:r>
      <w:r w:rsidR="00FA4611" w:rsidRPr="001A0B2D">
        <w:rPr>
          <w:rFonts w:ascii="Bookman Old Style" w:hAnsi="Bookman Old Style"/>
        </w:rPr>
        <w:t xml:space="preserve"> societies of Central and Easter Europe, where they are in </w:t>
      </w:r>
      <w:r w:rsidR="00AC3057" w:rsidRPr="001A0B2D">
        <w:rPr>
          <w:rFonts w:ascii="Bookman Old Style" w:hAnsi="Bookman Old Style"/>
        </w:rPr>
        <w:t>contrast</w:t>
      </w:r>
      <w:r w:rsidR="00FA4611" w:rsidRPr="001A0B2D">
        <w:rPr>
          <w:rFonts w:ascii="Bookman Old Style" w:hAnsi="Bookman Old Style"/>
        </w:rPr>
        <w:t xml:space="preserve"> to the general feeling of distrust and social </w:t>
      </w:r>
      <w:r w:rsidR="00B02D03" w:rsidRPr="001A0B2D">
        <w:rPr>
          <w:rFonts w:ascii="Bookman Old Style" w:hAnsi="Bookman Old Style"/>
        </w:rPr>
        <w:t>scepticism</w:t>
      </w:r>
      <w:r w:rsidR="00FA4611" w:rsidRPr="001A0B2D">
        <w:rPr>
          <w:rFonts w:ascii="Bookman Old Style" w:hAnsi="Bookman Old Style"/>
        </w:rPr>
        <w:t xml:space="preserve"> at the macro</w:t>
      </w:r>
      <w:r w:rsidR="00B02D03" w:rsidRPr="001A0B2D">
        <w:rPr>
          <w:rFonts w:ascii="Bookman Old Style" w:hAnsi="Bookman Old Style"/>
        </w:rPr>
        <w:t>-</w:t>
      </w:r>
      <w:r w:rsidR="00AC3057" w:rsidRPr="001A0B2D">
        <w:rPr>
          <w:rFonts w:ascii="Bookman Old Style" w:hAnsi="Bookman Old Style"/>
        </w:rPr>
        <w:t xml:space="preserve">social </w:t>
      </w:r>
      <w:r w:rsidR="00FA4611" w:rsidRPr="001A0B2D">
        <w:rPr>
          <w:rFonts w:ascii="Bookman Old Style" w:hAnsi="Bookman Old Style"/>
        </w:rPr>
        <w:t>level, helping people solve their daily problems by what many of us know too well as ‘</w:t>
      </w:r>
      <w:r w:rsidR="00A44DC1">
        <w:rPr>
          <w:rFonts w:ascii="Bookman Old Style" w:hAnsi="Bookman Old Style"/>
        </w:rPr>
        <w:t>sting-</w:t>
      </w:r>
      <w:r w:rsidR="00FA4611" w:rsidRPr="001A0B2D">
        <w:rPr>
          <w:rFonts w:ascii="Bookman Old Style" w:hAnsi="Bookman Old Style"/>
        </w:rPr>
        <w:t xml:space="preserve">pulling and favouritism’ </w:t>
      </w:r>
      <w:r w:rsidR="005E0ADD">
        <w:rPr>
          <w:rFonts w:ascii="Bookman Old Style" w:hAnsi="Bookman Old Style"/>
        </w:rPr>
        <w:t>[18]</w:t>
      </w:r>
      <w:r w:rsidR="00FA4611" w:rsidRPr="005626FC">
        <w:rPr>
          <w:rFonts w:ascii="Academy" w:hAnsi="Academy"/>
        </w:rPr>
        <w:t>.</w:t>
      </w:r>
      <w:r w:rsidR="00FA4611" w:rsidRPr="001A0B2D">
        <w:rPr>
          <w:rFonts w:ascii="Bookman Old Style" w:hAnsi="Bookman Old Style"/>
        </w:rPr>
        <w:t xml:space="preserve">  </w:t>
      </w:r>
    </w:p>
    <w:p w:rsidR="00AC73BE" w:rsidRPr="001A0B2D" w:rsidRDefault="00AC3057" w:rsidP="00AC73BE">
      <w:pPr>
        <w:autoSpaceDE w:val="0"/>
        <w:autoSpaceDN w:val="0"/>
        <w:adjustRightInd w:val="0"/>
        <w:spacing w:before="120" w:line="360" w:lineRule="auto"/>
        <w:ind w:firstLine="0"/>
        <w:jc w:val="left"/>
        <w:rPr>
          <w:rFonts w:ascii="Bookman Old Style" w:hAnsi="Bookman Old Style"/>
        </w:rPr>
      </w:pPr>
      <w:r w:rsidRPr="001A0B2D">
        <w:rPr>
          <w:rFonts w:ascii="Bookman Old Style" w:hAnsi="Bookman Old Style"/>
        </w:rPr>
        <w:t>A different form of micro-societal (communal) conceptions of trust concentrates on the characteristics of local communities, rather than the informal networks of relationships within them. Some</w:t>
      </w:r>
      <w:r w:rsidR="00AC73BE" w:rsidRPr="001A0B2D">
        <w:rPr>
          <w:rFonts w:ascii="Bookman Old Style" w:hAnsi="Bookman Old Style"/>
        </w:rPr>
        <w:t xml:space="preserve"> </w:t>
      </w:r>
      <w:r w:rsidRPr="001A0B2D">
        <w:rPr>
          <w:rFonts w:ascii="Bookman Old Style" w:hAnsi="Bookman Old Style"/>
        </w:rPr>
        <w:t xml:space="preserve">research finds what </w:t>
      </w:r>
      <w:r w:rsidR="00AC73BE" w:rsidRPr="001A0B2D">
        <w:rPr>
          <w:rFonts w:ascii="Bookman Old Style" w:hAnsi="Bookman Old Style"/>
        </w:rPr>
        <w:t xml:space="preserve">seems quite </w:t>
      </w:r>
      <w:r w:rsidR="00A44DC1">
        <w:rPr>
          <w:rFonts w:ascii="Bookman Old Style" w:hAnsi="Bookman Old Style"/>
        </w:rPr>
        <w:t>noticeable</w:t>
      </w:r>
      <w:r w:rsidR="00A44DC1" w:rsidRPr="00A44DC1">
        <w:rPr>
          <w:rFonts w:ascii="Bookman Old Style" w:hAnsi="Bookman Old Style"/>
        </w:rPr>
        <w:t xml:space="preserve"> </w:t>
      </w:r>
      <w:r w:rsidR="00A44DC1" w:rsidRPr="001A0B2D">
        <w:rPr>
          <w:rFonts w:ascii="Bookman Old Style" w:hAnsi="Bookman Old Style"/>
        </w:rPr>
        <w:t>empirically</w:t>
      </w:r>
      <w:r w:rsidR="00AC73BE" w:rsidRPr="001A0B2D">
        <w:rPr>
          <w:rFonts w:ascii="Bookman Old Style" w:hAnsi="Bookman Old Style"/>
        </w:rPr>
        <w:t xml:space="preserve">:  </w:t>
      </w:r>
      <w:r w:rsidRPr="001A0B2D">
        <w:rPr>
          <w:rFonts w:ascii="Bookman Old Style" w:hAnsi="Bookman Old Style"/>
        </w:rPr>
        <w:t xml:space="preserve">the smaller the </w:t>
      </w:r>
      <w:r w:rsidR="00AC73BE" w:rsidRPr="001A0B2D">
        <w:rPr>
          <w:rFonts w:ascii="Bookman Old Style" w:hAnsi="Bookman Old Style"/>
        </w:rPr>
        <w:t>community</w:t>
      </w:r>
      <w:r w:rsidRPr="001A0B2D">
        <w:rPr>
          <w:rFonts w:ascii="Bookman Old Style" w:hAnsi="Bookman Old Style"/>
        </w:rPr>
        <w:t>, the higher trust is likely to be</w:t>
      </w:r>
      <w:r w:rsidR="00AC73BE" w:rsidRPr="001A0B2D">
        <w:rPr>
          <w:rFonts w:ascii="Bookman Old Style" w:hAnsi="Bookman Old Style"/>
        </w:rPr>
        <w:t xml:space="preserve">. Analysing different types of local communities in the USA, </w:t>
      </w:r>
      <w:r w:rsidRPr="001A0B2D">
        <w:rPr>
          <w:rFonts w:ascii="Bookman Old Style" w:hAnsi="Bookman Old Style"/>
        </w:rPr>
        <w:t>Putnam concludes that “… residents of small towns and rural</w:t>
      </w:r>
      <w:r w:rsidR="00AC73BE" w:rsidRPr="001A0B2D">
        <w:rPr>
          <w:rFonts w:ascii="Bookman Old Style" w:hAnsi="Bookman Old Style"/>
        </w:rPr>
        <w:t xml:space="preserve"> </w:t>
      </w:r>
      <w:r w:rsidRPr="001A0B2D">
        <w:rPr>
          <w:rFonts w:ascii="Bookman Old Style" w:hAnsi="Bookman Old Style"/>
        </w:rPr>
        <w:t>areas are more altruistic, honest, and trusting than other Americans. In fact, even among</w:t>
      </w:r>
      <w:r w:rsidR="00AC73BE" w:rsidRPr="001A0B2D">
        <w:rPr>
          <w:rFonts w:ascii="Bookman Old Style" w:hAnsi="Bookman Old Style"/>
        </w:rPr>
        <w:t xml:space="preserve"> </w:t>
      </w:r>
      <w:r w:rsidRPr="001A0B2D">
        <w:rPr>
          <w:rFonts w:ascii="Bookman Old Style" w:hAnsi="Bookman Old Style"/>
        </w:rPr>
        <w:t xml:space="preserve">suburbs, smaller is better from the social capital point of view.’ </w:t>
      </w:r>
      <w:r w:rsidR="00882293">
        <w:rPr>
          <w:rFonts w:ascii="Bookman Old Style" w:hAnsi="Bookman Old Style"/>
        </w:rPr>
        <w:t>[19]</w:t>
      </w:r>
      <w:r w:rsidR="00B02D03" w:rsidRPr="005626FC">
        <w:rPr>
          <w:rFonts w:ascii="Academy" w:hAnsi="Academy"/>
        </w:rPr>
        <w:t>.</w:t>
      </w:r>
    </w:p>
    <w:p w:rsidR="00AC3057" w:rsidRPr="001A0B2D" w:rsidRDefault="00A44DC1" w:rsidP="00136F91">
      <w:pPr>
        <w:autoSpaceDE w:val="0"/>
        <w:autoSpaceDN w:val="0"/>
        <w:adjustRightInd w:val="0"/>
        <w:spacing w:before="120" w:line="360" w:lineRule="auto"/>
        <w:ind w:firstLine="0"/>
        <w:jc w:val="left"/>
        <w:rPr>
          <w:rFonts w:ascii="Bookman Old Style" w:hAnsi="Bookman Old Style"/>
        </w:rPr>
      </w:pPr>
      <w:r>
        <w:rPr>
          <w:rFonts w:ascii="Bookman Old Style" w:hAnsi="Bookman Old Style"/>
        </w:rPr>
        <w:t>The above-</w:t>
      </w:r>
      <w:r w:rsidR="00AB7ABF" w:rsidRPr="001A0B2D">
        <w:rPr>
          <w:rFonts w:ascii="Bookman Old Style" w:hAnsi="Bookman Old Style"/>
        </w:rPr>
        <w:t>mentioned c</w:t>
      </w:r>
      <w:r w:rsidR="00AC73BE" w:rsidRPr="001A0B2D">
        <w:rPr>
          <w:rFonts w:ascii="Bookman Old Style" w:hAnsi="Bookman Old Style"/>
        </w:rPr>
        <w:t>ommunity theory</w:t>
      </w:r>
      <w:r w:rsidR="00AB7ABF" w:rsidRPr="001A0B2D">
        <w:rPr>
          <w:rFonts w:ascii="Bookman Old Style" w:hAnsi="Bookman Old Style"/>
        </w:rPr>
        <w:t xml:space="preserve"> of trust </w:t>
      </w:r>
      <w:r w:rsidR="00B02A4E">
        <w:rPr>
          <w:rFonts w:ascii="Bookman Old Style" w:hAnsi="Bookman Old Style"/>
        </w:rPr>
        <w:t>differs</w:t>
      </w:r>
      <w:r w:rsidR="00AC73BE" w:rsidRPr="001A0B2D">
        <w:rPr>
          <w:rFonts w:ascii="Bookman Old Style" w:hAnsi="Bookman Old Style"/>
        </w:rPr>
        <w:t xml:space="preserve"> from explanations of trust that focus on the characteristics</w:t>
      </w:r>
      <w:r w:rsidR="00AB7ABF" w:rsidRPr="001A0B2D">
        <w:rPr>
          <w:rFonts w:ascii="Bookman Old Style" w:hAnsi="Bookman Old Style"/>
        </w:rPr>
        <w:t xml:space="preserve"> </w:t>
      </w:r>
      <w:r w:rsidR="00AC73BE" w:rsidRPr="001A0B2D">
        <w:rPr>
          <w:rFonts w:ascii="Bookman Old Style" w:hAnsi="Bookman Old Style"/>
        </w:rPr>
        <w:t xml:space="preserve">of whole </w:t>
      </w:r>
      <w:r w:rsidR="00AB7ABF" w:rsidRPr="001A0B2D">
        <w:rPr>
          <w:rFonts w:ascii="Bookman Old Style" w:hAnsi="Bookman Old Style"/>
        </w:rPr>
        <w:t xml:space="preserve">nations or ethno-regional domains. In fact the </w:t>
      </w:r>
      <w:r w:rsidR="004A46B0" w:rsidRPr="001A0B2D">
        <w:rPr>
          <w:rFonts w:ascii="Bookman Old Style" w:hAnsi="Bookman Old Style"/>
        </w:rPr>
        <w:t>communal</w:t>
      </w:r>
      <w:r w:rsidR="00AB7ABF" w:rsidRPr="001A0B2D">
        <w:rPr>
          <w:rFonts w:ascii="Bookman Old Style" w:hAnsi="Bookman Old Style"/>
        </w:rPr>
        <w:t xml:space="preserve"> component only goes to complement the other one, which is the leading one. </w:t>
      </w:r>
      <w:r w:rsidR="004A46B0" w:rsidRPr="001A0B2D">
        <w:rPr>
          <w:rFonts w:ascii="Bookman Old Style" w:hAnsi="Bookman Old Style"/>
        </w:rPr>
        <w:t>Within it</w:t>
      </w:r>
      <w:r w:rsidR="00136F91" w:rsidRPr="001A0B2D">
        <w:rPr>
          <w:rFonts w:ascii="Bookman Old Style" w:hAnsi="Bookman Old Style"/>
        </w:rPr>
        <w:t>,</w:t>
      </w:r>
      <w:r w:rsidR="004A46B0" w:rsidRPr="001A0B2D">
        <w:rPr>
          <w:rFonts w:ascii="Bookman Old Style" w:hAnsi="Bookman Old Style"/>
        </w:rPr>
        <w:t xml:space="preserve"> it is found, for </w:t>
      </w:r>
      <w:r w:rsidR="00AC73BE" w:rsidRPr="001A0B2D">
        <w:rPr>
          <w:rFonts w:ascii="Bookman Old Style" w:hAnsi="Bookman Old Style"/>
        </w:rPr>
        <w:t xml:space="preserve">example, </w:t>
      </w:r>
      <w:r w:rsidR="004A46B0" w:rsidRPr="001A0B2D">
        <w:rPr>
          <w:rFonts w:ascii="Bookman Old Style" w:hAnsi="Bookman Old Style"/>
        </w:rPr>
        <w:t xml:space="preserve">that </w:t>
      </w:r>
      <w:r w:rsidR="00AC73BE" w:rsidRPr="001A0B2D">
        <w:rPr>
          <w:rFonts w:ascii="Bookman Old Style" w:hAnsi="Bookman Old Style"/>
        </w:rPr>
        <w:t>wealthier nations, and those with greater income equality, have higher levels</w:t>
      </w:r>
      <w:r w:rsidR="004A46B0" w:rsidRPr="001A0B2D">
        <w:rPr>
          <w:rFonts w:ascii="Bookman Old Style" w:hAnsi="Bookman Old Style"/>
        </w:rPr>
        <w:t xml:space="preserve"> </w:t>
      </w:r>
      <w:r w:rsidR="00AC73BE" w:rsidRPr="001A0B2D">
        <w:rPr>
          <w:rFonts w:ascii="Bookman Old Style" w:hAnsi="Bookman Old Style"/>
        </w:rPr>
        <w:t>of trust than poorer ones</w:t>
      </w:r>
      <w:r w:rsidR="004A46B0" w:rsidRPr="001A0B2D">
        <w:rPr>
          <w:rFonts w:ascii="Bookman Old Style" w:hAnsi="Bookman Old Style"/>
        </w:rPr>
        <w:t xml:space="preserve"> with lower income equality</w:t>
      </w:r>
      <w:r w:rsidR="00AC73BE" w:rsidRPr="001A0B2D">
        <w:rPr>
          <w:rFonts w:ascii="Bookman Old Style" w:hAnsi="Bookman Old Style"/>
        </w:rPr>
        <w:t xml:space="preserve"> </w:t>
      </w:r>
      <w:r w:rsidR="00882293">
        <w:rPr>
          <w:rFonts w:ascii="Bookman Old Style" w:hAnsi="Bookman Old Style"/>
        </w:rPr>
        <w:t>[20]</w:t>
      </w:r>
      <w:r w:rsidR="004A46B0" w:rsidRPr="005626FC">
        <w:rPr>
          <w:rFonts w:ascii="Academy" w:hAnsi="Academy"/>
        </w:rPr>
        <w:t>.</w:t>
      </w:r>
      <w:r w:rsidR="004A46B0" w:rsidRPr="001A0B2D">
        <w:rPr>
          <w:rFonts w:ascii="Bookman Old Style" w:hAnsi="Bookman Old Style"/>
        </w:rPr>
        <w:t xml:space="preserve"> Other </w:t>
      </w:r>
      <w:r w:rsidR="00136F91" w:rsidRPr="001A0B2D">
        <w:rPr>
          <w:rFonts w:ascii="Bookman Old Style" w:hAnsi="Bookman Old Style"/>
        </w:rPr>
        <w:t>surveys find a l</w:t>
      </w:r>
      <w:r w:rsidR="004A46B0" w:rsidRPr="001A0B2D">
        <w:rPr>
          <w:rFonts w:ascii="Bookman Old Style" w:hAnsi="Bookman Old Style"/>
        </w:rPr>
        <w:t>ink between trust and</w:t>
      </w:r>
      <w:r w:rsidR="00AC73BE" w:rsidRPr="001A0B2D">
        <w:rPr>
          <w:rFonts w:ascii="Bookman Old Style" w:hAnsi="Bookman Old Style"/>
        </w:rPr>
        <w:t xml:space="preserve"> </w:t>
      </w:r>
      <w:r w:rsidR="00136F91" w:rsidRPr="001A0B2D">
        <w:rPr>
          <w:rFonts w:ascii="Bookman Old Style" w:hAnsi="Bookman Old Style"/>
        </w:rPr>
        <w:t>social polarization (not only based on income but also on ethnicity and class)</w:t>
      </w:r>
      <w:r w:rsidR="00882293">
        <w:rPr>
          <w:rFonts w:ascii="Bookman Old Style" w:hAnsi="Bookman Old Style"/>
        </w:rPr>
        <w:t xml:space="preserve"> [21]</w:t>
      </w:r>
      <w:r w:rsidR="00136F91" w:rsidRPr="001A0B2D">
        <w:rPr>
          <w:rFonts w:ascii="Bookman Old Style" w:hAnsi="Bookman Old Style"/>
        </w:rPr>
        <w:t xml:space="preserve">, </w:t>
      </w:r>
      <w:r w:rsidR="00136F91" w:rsidRPr="001A0B2D">
        <w:rPr>
          <w:rFonts w:ascii="Bookman Old Style" w:hAnsi="Bookman Old Style"/>
        </w:rPr>
        <w:lastRenderedPageBreak/>
        <w:t>the scope of the social protection networks and the independence of the court, etc.</w:t>
      </w:r>
      <w:r w:rsidR="00882293">
        <w:rPr>
          <w:rFonts w:ascii="Bookman Old Style" w:hAnsi="Bookman Old Style"/>
        </w:rPr>
        <w:t xml:space="preserve"> [22]</w:t>
      </w:r>
      <w:r w:rsidR="00136F91" w:rsidRPr="001A0B2D">
        <w:rPr>
          <w:rFonts w:ascii="Bookman Old Style" w:hAnsi="Bookman Old Style"/>
        </w:rPr>
        <w:t>.</w:t>
      </w:r>
    </w:p>
    <w:p w:rsidR="0040756F" w:rsidRPr="001A0B2D" w:rsidRDefault="00136F91" w:rsidP="002A12EE">
      <w:pPr>
        <w:autoSpaceDE w:val="0"/>
        <w:autoSpaceDN w:val="0"/>
        <w:adjustRightInd w:val="0"/>
        <w:spacing w:before="120" w:line="360" w:lineRule="auto"/>
        <w:ind w:firstLine="0"/>
        <w:jc w:val="left"/>
        <w:rPr>
          <w:rFonts w:ascii="Bookman Old Style" w:hAnsi="Bookman Old Style"/>
        </w:rPr>
      </w:pPr>
      <w:r w:rsidRPr="001A0B2D">
        <w:rPr>
          <w:rFonts w:ascii="Bookman Old Style" w:hAnsi="Bookman Old Style"/>
        </w:rPr>
        <w:t xml:space="preserve">All these different theoretical paradigms </w:t>
      </w:r>
      <w:r w:rsidR="00B02D03" w:rsidRPr="001A0B2D">
        <w:rPr>
          <w:rFonts w:ascii="Bookman Old Style" w:hAnsi="Bookman Old Style"/>
        </w:rPr>
        <w:t xml:space="preserve">about </w:t>
      </w:r>
      <w:r w:rsidR="006303BF" w:rsidRPr="001A0B2D">
        <w:rPr>
          <w:rFonts w:ascii="Bookman Old Style" w:hAnsi="Bookman Old Style"/>
        </w:rPr>
        <w:t xml:space="preserve">trust </w:t>
      </w:r>
      <w:r w:rsidRPr="001A0B2D">
        <w:rPr>
          <w:rFonts w:ascii="Bookman Old Style" w:hAnsi="Bookman Old Style"/>
        </w:rPr>
        <w:t xml:space="preserve">are not mutually </w:t>
      </w:r>
      <w:r w:rsidR="002A12EE" w:rsidRPr="001A0B2D">
        <w:rPr>
          <w:rFonts w:ascii="Bookman Old Style" w:hAnsi="Bookman Old Style"/>
        </w:rPr>
        <w:t>e</w:t>
      </w:r>
      <w:r w:rsidRPr="001A0B2D">
        <w:rPr>
          <w:rFonts w:ascii="Bookman Old Style" w:hAnsi="Bookman Old Style"/>
        </w:rPr>
        <w:t>xclusive</w:t>
      </w:r>
      <w:r w:rsidR="002A12EE" w:rsidRPr="001A0B2D">
        <w:rPr>
          <w:rFonts w:ascii="Bookman Old Style" w:hAnsi="Bookman Old Style"/>
        </w:rPr>
        <w:t xml:space="preserve">. Some of them have certain overlaps. Some </w:t>
      </w:r>
      <w:r w:rsidRPr="001A0B2D">
        <w:rPr>
          <w:rFonts w:ascii="Bookman Old Style" w:hAnsi="Bookman Old Style"/>
        </w:rPr>
        <w:t xml:space="preserve">explain variations between individuals, </w:t>
      </w:r>
      <w:r w:rsidR="002A12EE" w:rsidRPr="001A0B2D">
        <w:rPr>
          <w:rFonts w:ascii="Bookman Old Style" w:hAnsi="Bookman Old Style"/>
        </w:rPr>
        <w:t xml:space="preserve">others - </w:t>
      </w:r>
      <w:r w:rsidRPr="001A0B2D">
        <w:rPr>
          <w:rFonts w:ascii="Bookman Old Style" w:hAnsi="Bookman Old Style"/>
        </w:rPr>
        <w:t xml:space="preserve">variations between </w:t>
      </w:r>
      <w:r w:rsidR="002A12EE" w:rsidRPr="001A0B2D">
        <w:rPr>
          <w:rFonts w:ascii="Bookman Old Style" w:hAnsi="Bookman Old Style"/>
        </w:rPr>
        <w:t>nations or ethnic groups</w:t>
      </w:r>
      <w:r w:rsidRPr="001A0B2D">
        <w:rPr>
          <w:rFonts w:ascii="Bookman Old Style" w:hAnsi="Bookman Old Style"/>
        </w:rPr>
        <w:t>; some</w:t>
      </w:r>
      <w:r w:rsidR="002A12EE" w:rsidRPr="001A0B2D">
        <w:rPr>
          <w:rFonts w:ascii="Bookman Old Style" w:hAnsi="Bookman Old Style"/>
        </w:rPr>
        <w:t xml:space="preserve"> </w:t>
      </w:r>
      <w:r w:rsidRPr="001A0B2D">
        <w:rPr>
          <w:rFonts w:ascii="Bookman Old Style" w:hAnsi="Bookman Old Style"/>
        </w:rPr>
        <w:t xml:space="preserve">may be better suited to </w:t>
      </w:r>
      <w:r w:rsidR="002A12EE" w:rsidRPr="001A0B2D">
        <w:rPr>
          <w:rFonts w:ascii="Bookman Old Style" w:hAnsi="Bookman Old Style"/>
        </w:rPr>
        <w:t>analysing</w:t>
      </w:r>
      <w:r w:rsidRPr="001A0B2D">
        <w:rPr>
          <w:rFonts w:ascii="Bookman Old Style" w:hAnsi="Bookman Old Style"/>
        </w:rPr>
        <w:t xml:space="preserve"> variation at a given point in time, some to explaining</w:t>
      </w:r>
      <w:r w:rsidR="002A12EE" w:rsidRPr="001A0B2D">
        <w:rPr>
          <w:rFonts w:ascii="Bookman Old Style" w:hAnsi="Bookman Old Style"/>
        </w:rPr>
        <w:t xml:space="preserve"> changes over time. All of them, however, as mentioned above, have contributed to </w:t>
      </w:r>
      <w:r w:rsidR="008B1A3F">
        <w:rPr>
          <w:rFonts w:ascii="Bookman Old Style" w:hAnsi="Bookman Old Style"/>
        </w:rPr>
        <w:t>an</w:t>
      </w:r>
      <w:r w:rsidR="002A12EE" w:rsidRPr="001A0B2D">
        <w:rPr>
          <w:rFonts w:ascii="Bookman Old Style" w:hAnsi="Bookman Old Style"/>
        </w:rPr>
        <w:t xml:space="preserve"> enhanced understanding about the origins and role of social trust.</w:t>
      </w:r>
      <w:r w:rsidR="0040756F" w:rsidRPr="001A0B2D">
        <w:rPr>
          <w:rFonts w:ascii="Bookman Old Style" w:hAnsi="Bookman Old Style"/>
        </w:rPr>
        <w:t xml:space="preserve"> </w:t>
      </w:r>
    </w:p>
    <w:p w:rsidR="00C71D80" w:rsidRDefault="00C71D80" w:rsidP="00C71D80">
      <w:pPr>
        <w:spacing w:after="160" w:line="259" w:lineRule="auto"/>
        <w:ind w:firstLine="0"/>
        <w:jc w:val="left"/>
        <w:rPr>
          <w:rFonts w:ascii="Bookman Old Style" w:hAnsi="Bookman Old Style"/>
        </w:rPr>
      </w:pPr>
    </w:p>
    <w:p w:rsidR="0040756F" w:rsidRPr="005626FC" w:rsidRDefault="006303BF" w:rsidP="00C71D80">
      <w:pPr>
        <w:spacing w:after="160" w:line="259" w:lineRule="auto"/>
        <w:ind w:firstLine="0"/>
        <w:jc w:val="left"/>
        <w:rPr>
          <w:rFonts w:ascii="Academy" w:hAnsi="Academy"/>
          <w:b/>
        </w:rPr>
      </w:pPr>
      <w:r w:rsidRPr="00C71D80">
        <w:rPr>
          <w:rFonts w:ascii="Bookman Old Style" w:hAnsi="Bookman Old Style"/>
          <w:i/>
          <w:u w:val="single"/>
        </w:rPr>
        <w:t xml:space="preserve">Theories of trust and related </w:t>
      </w:r>
      <w:r w:rsidR="008B1A3F" w:rsidRPr="00C71D80">
        <w:rPr>
          <w:rFonts w:ascii="Bookman Old Style" w:hAnsi="Bookman Old Style"/>
          <w:i/>
          <w:u w:val="single"/>
        </w:rPr>
        <w:t>indicators</w:t>
      </w:r>
      <w:r w:rsidRPr="001A0B2D">
        <w:rPr>
          <w:rFonts w:ascii="Bookman Old Style" w:hAnsi="Bookman Old Style"/>
        </w:rPr>
        <w:t xml:space="preserve"> </w:t>
      </w:r>
      <w:r w:rsidR="00882293">
        <w:rPr>
          <w:rFonts w:ascii="Bookman Old Style" w:hAnsi="Bookman Old Style"/>
        </w:rPr>
        <w:t xml:space="preserve">[23] </w:t>
      </w:r>
    </w:p>
    <w:p w:rsidR="0040756F" w:rsidRPr="001A0B2D" w:rsidRDefault="0040756F" w:rsidP="0040756F">
      <w:pPr>
        <w:rPr>
          <w:lang w:eastAsia="en-GB"/>
        </w:rPr>
      </w:pPr>
    </w:p>
    <w:tbl>
      <w:tblPr>
        <w:tblStyle w:val="TableGrid"/>
        <w:tblW w:w="9889" w:type="dxa"/>
        <w:tblLook w:val="04A0" w:firstRow="1" w:lastRow="0" w:firstColumn="1" w:lastColumn="0" w:noHBand="0" w:noVBand="1"/>
      </w:tblPr>
      <w:tblGrid>
        <w:gridCol w:w="3369"/>
        <w:gridCol w:w="6520"/>
      </w:tblGrid>
      <w:tr w:rsidR="0040756F" w:rsidRPr="001A0B2D" w:rsidTr="008A36B1">
        <w:trPr>
          <w:trHeight w:val="410"/>
        </w:trPr>
        <w:tc>
          <w:tcPr>
            <w:tcW w:w="3369" w:type="dxa"/>
          </w:tcPr>
          <w:p w:rsidR="0040756F" w:rsidRPr="001A0B2D" w:rsidRDefault="006303BF" w:rsidP="008A36B1">
            <w:pPr>
              <w:spacing w:line="259" w:lineRule="auto"/>
              <w:ind w:firstLine="0"/>
              <w:jc w:val="left"/>
              <w:rPr>
                <w:rFonts w:asciiTheme="minorHAnsi" w:hAnsiTheme="minorHAnsi"/>
                <w:i/>
                <w:sz w:val="20"/>
                <w:szCs w:val="20"/>
              </w:rPr>
            </w:pPr>
            <w:r w:rsidRPr="001A0B2D">
              <w:rPr>
                <w:rFonts w:asciiTheme="minorHAnsi" w:eastAsiaTheme="minorHAnsi" w:hAnsiTheme="minorHAnsi" w:cs="Arial"/>
                <w:bCs/>
                <w:i/>
                <w:sz w:val="20"/>
                <w:szCs w:val="20"/>
              </w:rPr>
              <w:t>Theories</w:t>
            </w:r>
          </w:p>
        </w:tc>
        <w:tc>
          <w:tcPr>
            <w:tcW w:w="6520" w:type="dxa"/>
          </w:tcPr>
          <w:p w:rsidR="0040756F" w:rsidRPr="001A0B2D" w:rsidRDefault="006303BF" w:rsidP="008B1A3F">
            <w:pPr>
              <w:spacing w:line="259" w:lineRule="auto"/>
              <w:ind w:firstLine="0"/>
              <w:jc w:val="left"/>
              <w:rPr>
                <w:i/>
                <w:sz w:val="20"/>
                <w:szCs w:val="20"/>
              </w:rPr>
            </w:pPr>
            <w:r w:rsidRPr="001A0B2D">
              <w:rPr>
                <w:rFonts w:ascii="Calibri" w:eastAsia="Calibri" w:hAnsi="Calibri" w:cs="Calibri"/>
                <w:i/>
                <w:sz w:val="20"/>
                <w:szCs w:val="20"/>
              </w:rPr>
              <w:t>Indicators</w:t>
            </w:r>
          </w:p>
        </w:tc>
      </w:tr>
      <w:tr w:rsidR="0040756F" w:rsidRPr="001A0B2D" w:rsidTr="008A36B1">
        <w:trPr>
          <w:trHeight w:val="2910"/>
        </w:trPr>
        <w:tc>
          <w:tcPr>
            <w:tcW w:w="3369" w:type="dxa"/>
          </w:tcPr>
          <w:p w:rsidR="002D26B0" w:rsidRPr="001A0B2D" w:rsidRDefault="002D26B0" w:rsidP="002D26B0">
            <w:pPr>
              <w:autoSpaceDE w:val="0"/>
              <w:autoSpaceDN w:val="0"/>
              <w:adjustRightInd w:val="0"/>
              <w:spacing w:line="240" w:lineRule="auto"/>
              <w:ind w:firstLine="0"/>
              <w:jc w:val="left"/>
              <w:rPr>
                <w:rFonts w:asciiTheme="minorHAnsi" w:eastAsiaTheme="minorHAnsi" w:hAnsiTheme="minorHAnsi" w:cs="Arial"/>
                <w:i/>
                <w:iCs/>
                <w:sz w:val="16"/>
                <w:szCs w:val="16"/>
              </w:rPr>
            </w:pPr>
            <w:r w:rsidRPr="001A0B2D">
              <w:rPr>
                <w:rFonts w:asciiTheme="minorHAnsi" w:eastAsiaTheme="minorHAnsi" w:hAnsiTheme="minorHAnsi" w:cs="Arial"/>
                <w:i/>
                <w:iCs/>
                <w:sz w:val="16"/>
                <w:szCs w:val="16"/>
              </w:rPr>
              <w:t>Individual</w:t>
            </w:r>
          </w:p>
          <w:p w:rsidR="002D26B0" w:rsidRPr="001A0B2D" w:rsidRDefault="002D26B0" w:rsidP="002D26B0">
            <w:pPr>
              <w:spacing w:line="259" w:lineRule="auto"/>
              <w:ind w:firstLine="0"/>
              <w:jc w:val="left"/>
              <w:rPr>
                <w:rFonts w:asciiTheme="minorHAnsi" w:eastAsiaTheme="minorHAnsi" w:hAnsiTheme="minorHAnsi" w:cs="Arial"/>
                <w:sz w:val="16"/>
                <w:szCs w:val="16"/>
              </w:rPr>
            </w:pPr>
            <w:r w:rsidRPr="001A0B2D">
              <w:rPr>
                <w:rFonts w:asciiTheme="minorHAnsi" w:eastAsiaTheme="minorHAnsi" w:hAnsiTheme="minorHAnsi" w:cs="Arial"/>
                <w:sz w:val="16"/>
                <w:szCs w:val="16"/>
              </w:rPr>
              <w:t>Personality theory</w:t>
            </w:r>
          </w:p>
          <w:p w:rsidR="002D26B0" w:rsidRPr="001A0B2D" w:rsidRDefault="002D26B0" w:rsidP="008A36B1">
            <w:pPr>
              <w:spacing w:line="259" w:lineRule="auto"/>
              <w:ind w:firstLine="0"/>
              <w:jc w:val="left"/>
              <w:rPr>
                <w:rFonts w:asciiTheme="minorHAnsi" w:eastAsiaTheme="minorHAnsi" w:hAnsiTheme="minorHAnsi" w:cs="Arial"/>
                <w:sz w:val="16"/>
                <w:szCs w:val="16"/>
              </w:rPr>
            </w:pPr>
            <w:r w:rsidRPr="008B1A3F">
              <w:rPr>
                <w:rFonts w:asciiTheme="minorHAnsi" w:eastAsiaTheme="minorHAnsi" w:hAnsiTheme="minorHAnsi" w:cs="Arial"/>
                <w:sz w:val="16"/>
                <w:szCs w:val="16"/>
              </w:rPr>
              <w:t>Success and</w:t>
            </w:r>
            <w:r w:rsidRPr="001A0B2D">
              <w:rPr>
                <w:rFonts w:asciiTheme="minorHAnsi" w:eastAsiaTheme="minorHAnsi" w:hAnsiTheme="minorHAnsi" w:cs="Arial"/>
                <w:sz w:val="16"/>
                <w:szCs w:val="16"/>
              </w:rPr>
              <w:t xml:space="preserve"> well-being theory</w:t>
            </w:r>
          </w:p>
          <w:p w:rsidR="002D26B0" w:rsidRPr="001A0B2D" w:rsidRDefault="002D26B0" w:rsidP="008A36B1">
            <w:pPr>
              <w:spacing w:line="259" w:lineRule="auto"/>
              <w:ind w:firstLine="0"/>
              <w:jc w:val="left"/>
              <w:rPr>
                <w:rFonts w:asciiTheme="minorHAnsi" w:eastAsiaTheme="minorHAnsi" w:hAnsiTheme="minorHAnsi" w:cs="Arial"/>
                <w:sz w:val="16"/>
                <w:szCs w:val="16"/>
              </w:rPr>
            </w:pPr>
          </w:p>
          <w:p w:rsidR="0040756F" w:rsidRPr="001A0B2D" w:rsidRDefault="0040756F" w:rsidP="008A36B1">
            <w:pPr>
              <w:spacing w:line="259" w:lineRule="auto"/>
              <w:ind w:firstLine="0"/>
              <w:jc w:val="left"/>
              <w:rPr>
                <w:rFonts w:asciiTheme="minorHAnsi" w:hAnsiTheme="minorHAnsi"/>
                <w:sz w:val="16"/>
                <w:szCs w:val="16"/>
              </w:rPr>
            </w:pPr>
            <w:r w:rsidRPr="001A0B2D">
              <w:rPr>
                <w:rFonts w:asciiTheme="minorHAnsi" w:eastAsia="Calibri" w:hAnsiTheme="minorHAnsi" w:cs="Calibri"/>
                <w:i/>
                <w:sz w:val="16"/>
                <w:szCs w:val="16"/>
              </w:rPr>
              <w:t>Social</w:t>
            </w:r>
          </w:p>
          <w:p w:rsidR="0040756F" w:rsidRPr="001A0B2D" w:rsidRDefault="0040756F" w:rsidP="008A36B1">
            <w:pPr>
              <w:spacing w:line="259" w:lineRule="auto"/>
              <w:ind w:firstLine="0"/>
              <w:jc w:val="left"/>
              <w:rPr>
                <w:rFonts w:asciiTheme="minorHAnsi" w:hAnsiTheme="minorHAnsi"/>
                <w:sz w:val="16"/>
                <w:szCs w:val="16"/>
              </w:rPr>
            </w:pPr>
            <w:r w:rsidRPr="001A0B2D">
              <w:rPr>
                <w:rFonts w:asciiTheme="minorHAnsi" w:eastAsia="Calibri" w:hAnsiTheme="minorHAnsi" w:cs="Calibri"/>
                <w:sz w:val="16"/>
                <w:szCs w:val="16"/>
              </w:rPr>
              <w:t>Voluntary organisation theory</w:t>
            </w:r>
          </w:p>
          <w:p w:rsidR="0040756F" w:rsidRPr="001A0B2D" w:rsidRDefault="0040756F" w:rsidP="008A36B1">
            <w:pPr>
              <w:spacing w:line="259" w:lineRule="auto"/>
              <w:ind w:firstLine="0"/>
              <w:jc w:val="left"/>
              <w:rPr>
                <w:rFonts w:asciiTheme="minorHAnsi" w:hAnsiTheme="minorHAnsi"/>
                <w:sz w:val="16"/>
                <w:szCs w:val="16"/>
              </w:rPr>
            </w:pPr>
            <w:r w:rsidRPr="001A0B2D">
              <w:rPr>
                <w:rFonts w:asciiTheme="minorHAnsi" w:eastAsia="Calibri" w:hAnsiTheme="minorHAnsi" w:cs="Calibri"/>
                <w:sz w:val="16"/>
                <w:szCs w:val="16"/>
              </w:rPr>
              <w:t>Social network theory</w:t>
            </w:r>
          </w:p>
          <w:p w:rsidR="0040756F" w:rsidRPr="001A0B2D" w:rsidRDefault="0040756F" w:rsidP="008A36B1">
            <w:pPr>
              <w:spacing w:line="259" w:lineRule="auto"/>
              <w:ind w:firstLine="0"/>
              <w:jc w:val="left"/>
              <w:rPr>
                <w:rFonts w:asciiTheme="minorHAnsi" w:hAnsiTheme="minorHAnsi"/>
                <w:sz w:val="16"/>
                <w:szCs w:val="16"/>
              </w:rPr>
            </w:pPr>
            <w:r w:rsidRPr="001A0B2D">
              <w:rPr>
                <w:rFonts w:asciiTheme="minorHAnsi" w:eastAsia="Calibri" w:hAnsiTheme="minorHAnsi" w:cs="Calibri"/>
                <w:sz w:val="16"/>
                <w:szCs w:val="16"/>
              </w:rPr>
              <w:t>Community theory</w:t>
            </w:r>
          </w:p>
          <w:p w:rsidR="0040756F" w:rsidRPr="001A0B2D" w:rsidRDefault="0040756F" w:rsidP="008A36B1">
            <w:pPr>
              <w:spacing w:line="259" w:lineRule="auto"/>
              <w:ind w:firstLine="0"/>
              <w:jc w:val="left"/>
            </w:pPr>
            <w:r w:rsidRPr="001A0B2D">
              <w:rPr>
                <w:rFonts w:asciiTheme="minorHAnsi" w:eastAsia="Calibri" w:hAnsiTheme="minorHAnsi" w:cs="Calibri"/>
                <w:sz w:val="16"/>
                <w:szCs w:val="16"/>
              </w:rPr>
              <w:t>Societal theory</w:t>
            </w:r>
          </w:p>
        </w:tc>
        <w:tc>
          <w:tcPr>
            <w:tcW w:w="6520" w:type="dxa"/>
          </w:tcPr>
          <w:p w:rsidR="0040756F" w:rsidRPr="001A0B2D" w:rsidRDefault="0040756F" w:rsidP="008A36B1">
            <w:pPr>
              <w:spacing w:line="246" w:lineRule="auto"/>
              <w:ind w:firstLine="0"/>
              <w:jc w:val="left"/>
              <w:rPr>
                <w:rFonts w:ascii="Calibri" w:eastAsia="Calibri" w:hAnsi="Calibri" w:cs="Calibri"/>
                <w:sz w:val="16"/>
              </w:rPr>
            </w:pPr>
          </w:p>
          <w:p w:rsidR="0040756F" w:rsidRPr="001A0B2D" w:rsidRDefault="002D26B0" w:rsidP="008A36B1">
            <w:pPr>
              <w:spacing w:line="246" w:lineRule="auto"/>
              <w:ind w:firstLine="0"/>
              <w:jc w:val="left"/>
              <w:rPr>
                <w:rFonts w:asciiTheme="minorHAnsi" w:eastAsia="Calibri" w:hAnsiTheme="minorHAnsi" w:cs="Calibri"/>
                <w:sz w:val="16"/>
                <w:szCs w:val="16"/>
              </w:rPr>
            </w:pPr>
            <w:r w:rsidRPr="001A0B2D">
              <w:rPr>
                <w:rFonts w:asciiTheme="minorHAnsi" w:eastAsiaTheme="minorHAnsi" w:hAnsiTheme="minorHAnsi" w:cs="Arial"/>
                <w:sz w:val="16"/>
                <w:szCs w:val="16"/>
              </w:rPr>
              <w:t>Income, social status</w:t>
            </w:r>
            <w:r w:rsidRPr="001A0B2D">
              <w:rPr>
                <w:rFonts w:asciiTheme="minorHAnsi" w:eastAsia="Calibri" w:hAnsiTheme="minorHAnsi" w:cs="Calibri"/>
                <w:sz w:val="16"/>
                <w:szCs w:val="16"/>
              </w:rPr>
              <w:t xml:space="preserve"> </w:t>
            </w:r>
          </w:p>
          <w:p w:rsidR="002D26B0" w:rsidRPr="001A0B2D" w:rsidRDefault="008B1A3F" w:rsidP="002D26B0">
            <w:pPr>
              <w:autoSpaceDE w:val="0"/>
              <w:autoSpaceDN w:val="0"/>
              <w:adjustRightInd w:val="0"/>
              <w:spacing w:line="240" w:lineRule="auto"/>
              <w:ind w:firstLine="0"/>
              <w:jc w:val="left"/>
              <w:rPr>
                <w:rFonts w:asciiTheme="minorHAnsi" w:eastAsiaTheme="minorHAnsi" w:hAnsiTheme="minorHAnsi" w:cs="Arial"/>
                <w:sz w:val="16"/>
                <w:szCs w:val="16"/>
              </w:rPr>
            </w:pPr>
            <w:r>
              <w:rPr>
                <w:rFonts w:asciiTheme="minorHAnsi" w:eastAsiaTheme="minorHAnsi" w:hAnsiTheme="minorHAnsi" w:cs="Arial"/>
                <w:sz w:val="16"/>
                <w:szCs w:val="16"/>
              </w:rPr>
              <w:t>L</w:t>
            </w:r>
            <w:r w:rsidR="002D26B0" w:rsidRPr="001A0B2D">
              <w:rPr>
                <w:rFonts w:asciiTheme="minorHAnsi" w:eastAsiaTheme="minorHAnsi" w:hAnsiTheme="minorHAnsi" w:cs="Arial"/>
                <w:sz w:val="16"/>
                <w:szCs w:val="16"/>
              </w:rPr>
              <w:t>ife satisfaction, job satisfaction, happiness, anxiety</w:t>
            </w:r>
          </w:p>
          <w:p w:rsidR="0040756F" w:rsidRPr="001A0B2D" w:rsidRDefault="0040756F" w:rsidP="008A36B1">
            <w:pPr>
              <w:spacing w:line="259" w:lineRule="auto"/>
              <w:ind w:firstLine="0"/>
              <w:jc w:val="left"/>
              <w:rPr>
                <w:rFonts w:asciiTheme="minorHAnsi" w:eastAsia="Calibri" w:hAnsiTheme="minorHAnsi" w:cs="Calibri"/>
                <w:sz w:val="16"/>
                <w:szCs w:val="16"/>
              </w:rPr>
            </w:pPr>
          </w:p>
          <w:p w:rsidR="002D26B0" w:rsidRPr="001A0B2D" w:rsidRDefault="002D26B0" w:rsidP="008A36B1">
            <w:pPr>
              <w:spacing w:line="259" w:lineRule="auto"/>
              <w:ind w:firstLine="0"/>
              <w:jc w:val="left"/>
              <w:rPr>
                <w:rFonts w:asciiTheme="minorHAnsi" w:eastAsia="Calibri" w:hAnsiTheme="minorHAnsi" w:cs="Calibri"/>
                <w:sz w:val="16"/>
                <w:szCs w:val="16"/>
              </w:rPr>
            </w:pPr>
          </w:p>
          <w:p w:rsidR="002D26B0" w:rsidRPr="001A0B2D" w:rsidRDefault="002D26B0" w:rsidP="008A36B1">
            <w:pPr>
              <w:spacing w:line="259" w:lineRule="auto"/>
              <w:ind w:firstLine="0"/>
              <w:jc w:val="left"/>
              <w:rPr>
                <w:rFonts w:asciiTheme="minorHAnsi" w:eastAsia="Calibri" w:hAnsiTheme="minorHAnsi" w:cs="Calibri"/>
                <w:sz w:val="16"/>
                <w:szCs w:val="16"/>
              </w:rPr>
            </w:pPr>
            <w:r w:rsidRPr="001A0B2D">
              <w:rPr>
                <w:rFonts w:asciiTheme="minorHAnsi" w:eastAsiaTheme="minorHAnsi" w:hAnsiTheme="minorHAnsi" w:cs="Arial"/>
                <w:sz w:val="16"/>
                <w:szCs w:val="16"/>
              </w:rPr>
              <w:t>Membership of voluntary associations</w:t>
            </w:r>
            <w:r w:rsidRPr="001A0B2D">
              <w:rPr>
                <w:rFonts w:asciiTheme="minorHAnsi" w:eastAsia="Calibri" w:hAnsiTheme="minorHAnsi" w:cs="Calibri"/>
                <w:sz w:val="16"/>
                <w:szCs w:val="16"/>
              </w:rPr>
              <w:t xml:space="preserve"> </w:t>
            </w:r>
          </w:p>
          <w:p w:rsidR="0040756F" w:rsidRPr="001A0B2D" w:rsidRDefault="002D26B0" w:rsidP="008A36B1">
            <w:pPr>
              <w:spacing w:line="259" w:lineRule="auto"/>
              <w:ind w:firstLine="0"/>
              <w:jc w:val="left"/>
              <w:rPr>
                <w:rFonts w:asciiTheme="minorHAnsi" w:hAnsiTheme="minorHAnsi"/>
                <w:sz w:val="16"/>
                <w:szCs w:val="16"/>
              </w:rPr>
            </w:pPr>
            <w:r w:rsidRPr="001A0B2D">
              <w:rPr>
                <w:rFonts w:asciiTheme="minorHAnsi" w:eastAsiaTheme="minorHAnsi" w:hAnsiTheme="minorHAnsi" w:cs="Arial"/>
                <w:sz w:val="16"/>
                <w:szCs w:val="16"/>
              </w:rPr>
              <w:t>Network of relationships</w:t>
            </w:r>
            <w:r w:rsidR="0040756F" w:rsidRPr="001A0B2D">
              <w:rPr>
                <w:rFonts w:asciiTheme="minorHAnsi" w:eastAsia="Calibri" w:hAnsiTheme="minorHAnsi" w:cs="Calibri"/>
                <w:sz w:val="16"/>
                <w:szCs w:val="16"/>
              </w:rPr>
              <w:t xml:space="preserve"> (</w:t>
            </w:r>
            <w:r w:rsidR="008B1A3F">
              <w:rPr>
                <w:rFonts w:asciiTheme="minorHAnsi" w:eastAsia="Calibri" w:hAnsiTheme="minorHAnsi" w:cs="Calibri"/>
                <w:sz w:val="16"/>
                <w:szCs w:val="16"/>
              </w:rPr>
              <w:t>networking</w:t>
            </w:r>
            <w:r w:rsidR="0040756F" w:rsidRPr="001A0B2D">
              <w:rPr>
                <w:rFonts w:asciiTheme="minorHAnsi" w:eastAsia="Calibri" w:hAnsiTheme="minorHAnsi" w:cs="Calibri"/>
                <w:sz w:val="16"/>
                <w:szCs w:val="16"/>
              </w:rPr>
              <w:t>)</w:t>
            </w:r>
          </w:p>
          <w:p w:rsidR="002D26B0" w:rsidRPr="001A0B2D" w:rsidRDefault="002D26B0" w:rsidP="002D26B0">
            <w:pPr>
              <w:autoSpaceDE w:val="0"/>
              <w:autoSpaceDN w:val="0"/>
              <w:adjustRightInd w:val="0"/>
              <w:spacing w:line="240" w:lineRule="auto"/>
              <w:ind w:firstLine="0"/>
              <w:jc w:val="left"/>
              <w:rPr>
                <w:rFonts w:asciiTheme="minorHAnsi" w:eastAsiaTheme="minorHAnsi" w:hAnsiTheme="minorHAnsi" w:cs="Arial"/>
                <w:sz w:val="16"/>
                <w:szCs w:val="16"/>
              </w:rPr>
            </w:pPr>
            <w:r w:rsidRPr="001A0B2D">
              <w:rPr>
                <w:rFonts w:asciiTheme="minorHAnsi" w:eastAsiaTheme="minorHAnsi" w:hAnsiTheme="minorHAnsi" w:cs="Arial"/>
                <w:sz w:val="16"/>
                <w:szCs w:val="16"/>
              </w:rPr>
              <w:t>City size, satisfaction with the community, community safety</w:t>
            </w:r>
          </w:p>
          <w:p w:rsidR="001F5702" w:rsidRPr="001A0B2D" w:rsidRDefault="001F5702" w:rsidP="001F5702">
            <w:pPr>
              <w:autoSpaceDE w:val="0"/>
              <w:autoSpaceDN w:val="0"/>
              <w:adjustRightInd w:val="0"/>
              <w:spacing w:line="240" w:lineRule="auto"/>
              <w:ind w:firstLine="0"/>
              <w:jc w:val="left"/>
              <w:rPr>
                <w:rFonts w:asciiTheme="minorHAnsi" w:hAnsiTheme="minorHAnsi"/>
                <w:sz w:val="16"/>
                <w:szCs w:val="16"/>
              </w:rPr>
            </w:pPr>
            <w:r w:rsidRPr="001A0B2D">
              <w:rPr>
                <w:rFonts w:asciiTheme="minorHAnsi" w:eastAsiaTheme="minorHAnsi" w:hAnsiTheme="minorHAnsi" w:cs="Arial"/>
                <w:sz w:val="16"/>
                <w:szCs w:val="16"/>
              </w:rPr>
              <w:t>Social conflicts, satisfaction with democratic institutions, political freedom, public safety</w:t>
            </w:r>
          </w:p>
          <w:p w:rsidR="0040756F" w:rsidRPr="001A0B2D" w:rsidRDefault="0040756F" w:rsidP="008A36B1">
            <w:pPr>
              <w:spacing w:line="246" w:lineRule="auto"/>
              <w:ind w:firstLine="0"/>
              <w:jc w:val="left"/>
            </w:pPr>
          </w:p>
        </w:tc>
      </w:tr>
    </w:tbl>
    <w:p w:rsidR="00234D0A" w:rsidRPr="001A0B2D" w:rsidRDefault="00234D0A" w:rsidP="00234D0A">
      <w:pPr>
        <w:spacing w:before="120" w:line="360" w:lineRule="auto"/>
        <w:ind w:firstLine="725"/>
        <w:jc w:val="left"/>
        <w:rPr>
          <w:rFonts w:ascii="Bookman Old Style" w:hAnsi="Bookman Old Style"/>
        </w:rPr>
      </w:pPr>
    </w:p>
    <w:p w:rsidR="0040756F" w:rsidRPr="001A0B2D" w:rsidRDefault="008C038D" w:rsidP="00234D0A">
      <w:pPr>
        <w:spacing w:before="120" w:line="360" w:lineRule="auto"/>
        <w:ind w:firstLine="0"/>
        <w:jc w:val="left"/>
        <w:rPr>
          <w:rFonts w:ascii="Bookman Old Style" w:hAnsi="Bookman Old Style"/>
        </w:rPr>
      </w:pPr>
      <w:r w:rsidRPr="001A0B2D">
        <w:rPr>
          <w:rFonts w:ascii="Bookman Old Style" w:hAnsi="Bookman Old Style"/>
        </w:rPr>
        <w:t>In the social context</w:t>
      </w:r>
      <w:r w:rsidR="008B1A3F">
        <w:rPr>
          <w:rFonts w:ascii="Bookman Old Style" w:hAnsi="Bookman Old Style"/>
        </w:rPr>
        <w:t>,</w:t>
      </w:r>
      <w:r w:rsidRPr="001A0B2D">
        <w:rPr>
          <w:rFonts w:ascii="Bookman Old Style" w:hAnsi="Bookman Old Style"/>
        </w:rPr>
        <w:t xml:space="preserve"> trust, which is an emotion and as such is „felt”, is most often associated </w:t>
      </w:r>
      <w:r w:rsidR="00882293">
        <w:rPr>
          <w:rFonts w:ascii="Bookman Old Style" w:hAnsi="Bookman Old Style"/>
        </w:rPr>
        <w:t xml:space="preserve">[24,25] </w:t>
      </w:r>
      <w:r w:rsidRPr="001A0B2D">
        <w:rPr>
          <w:rFonts w:ascii="Bookman Old Style" w:hAnsi="Bookman Old Style"/>
        </w:rPr>
        <w:t>with situations where a party in a given social transaction</w:t>
      </w:r>
      <w:r w:rsidR="00D63C60" w:rsidRPr="001A0B2D">
        <w:rPr>
          <w:rFonts w:ascii="Bookman Old Style" w:hAnsi="Bookman Old Style"/>
        </w:rPr>
        <w:t xml:space="preserve"> is ready to relay on the other party’s actions in a future moment of time or over a future period. The trustor voluntarily relinquishes their control over the other party’</w:t>
      </w:r>
      <w:r w:rsidR="00806142" w:rsidRPr="001A0B2D">
        <w:rPr>
          <w:rFonts w:ascii="Bookman Old Style" w:hAnsi="Bookman Old Style"/>
        </w:rPr>
        <w:t xml:space="preserve">s actions and, as a </w:t>
      </w:r>
      <w:r w:rsidR="006364B6" w:rsidRPr="001A0B2D">
        <w:rPr>
          <w:rFonts w:ascii="Bookman Old Style" w:hAnsi="Bookman Old Style"/>
        </w:rPr>
        <w:t>consequence</w:t>
      </w:r>
      <w:r w:rsidR="00D63C60" w:rsidRPr="001A0B2D">
        <w:rPr>
          <w:rFonts w:ascii="Bookman Old Style" w:hAnsi="Bookman Old Style"/>
        </w:rPr>
        <w:t xml:space="preserve">, </w:t>
      </w:r>
      <w:r w:rsidR="006364B6" w:rsidRPr="001A0B2D">
        <w:rPr>
          <w:rFonts w:ascii="Bookman Old Style" w:hAnsi="Bookman Old Style"/>
        </w:rPr>
        <w:t>they are uncertain about the outcome of</w:t>
      </w:r>
      <w:r w:rsidR="00D63C60" w:rsidRPr="001A0B2D">
        <w:rPr>
          <w:rFonts w:ascii="Bookman Old Style" w:hAnsi="Bookman Old Style"/>
        </w:rPr>
        <w:t xml:space="preserve"> these actions, which entails risk of failure or </w:t>
      </w:r>
      <w:r w:rsidR="007C1309" w:rsidRPr="001A0B2D">
        <w:rPr>
          <w:rFonts w:ascii="Bookman Old Style" w:hAnsi="Bookman Old Style"/>
        </w:rPr>
        <w:t>some harm</w:t>
      </w:r>
      <w:r w:rsidR="00D63C60" w:rsidRPr="001A0B2D">
        <w:rPr>
          <w:rFonts w:ascii="Bookman Old Style" w:hAnsi="Bookman Old Style"/>
        </w:rPr>
        <w:t xml:space="preserve"> to the trustee if the other party fails to </w:t>
      </w:r>
      <w:r w:rsidR="007C1309" w:rsidRPr="001A0B2D">
        <w:rPr>
          <w:rFonts w:ascii="Bookman Old Style" w:hAnsi="Bookman Old Style"/>
        </w:rPr>
        <w:t>act as desired</w:t>
      </w:r>
      <w:r w:rsidR="00D63C60" w:rsidRPr="001A0B2D">
        <w:rPr>
          <w:rFonts w:ascii="Bookman Old Style" w:hAnsi="Bookman Old Style"/>
        </w:rPr>
        <w:t xml:space="preserve">. </w:t>
      </w:r>
      <w:r w:rsidR="00111948" w:rsidRPr="001A0B2D">
        <w:rPr>
          <w:rFonts w:ascii="Bookman Old Style" w:hAnsi="Bookman Old Style"/>
        </w:rPr>
        <w:t>T</w:t>
      </w:r>
      <w:r w:rsidR="00806142" w:rsidRPr="001A0B2D">
        <w:rPr>
          <w:rFonts w:ascii="Bookman Old Style" w:hAnsi="Bookman Old Style"/>
        </w:rPr>
        <w:t>o trust</w:t>
      </w:r>
      <w:r w:rsidR="00111948" w:rsidRPr="001A0B2D">
        <w:rPr>
          <w:rFonts w:ascii="Bookman Old Style" w:hAnsi="Bookman Old Style"/>
        </w:rPr>
        <w:t xml:space="preserve"> means </w:t>
      </w:r>
      <w:r w:rsidR="00F52CA3">
        <w:rPr>
          <w:rFonts w:ascii="Bookman Old Style" w:hAnsi="Bookman Old Style"/>
        </w:rPr>
        <w:t>no less than</w:t>
      </w:r>
      <w:r w:rsidR="00806142" w:rsidRPr="001A0B2D">
        <w:rPr>
          <w:rFonts w:ascii="Bookman Old Style" w:hAnsi="Bookman Old Style"/>
        </w:rPr>
        <w:t xml:space="preserve"> </w:t>
      </w:r>
      <w:r w:rsidR="00111948" w:rsidRPr="001A0B2D">
        <w:rPr>
          <w:rFonts w:ascii="Bookman Old Style" w:hAnsi="Bookman Old Style"/>
        </w:rPr>
        <w:t>taking such risk</w:t>
      </w:r>
      <w:r w:rsidR="00806142" w:rsidRPr="001A0B2D">
        <w:rPr>
          <w:rFonts w:ascii="Bookman Old Style" w:hAnsi="Bookman Old Style"/>
        </w:rPr>
        <w:t xml:space="preserve"> or making a </w:t>
      </w:r>
      <w:r w:rsidR="00A43CF1" w:rsidRPr="001A0B2D">
        <w:rPr>
          <w:rFonts w:ascii="Bookman Old Style" w:hAnsi="Bookman Old Style"/>
        </w:rPr>
        <w:t>judgment</w:t>
      </w:r>
      <w:r w:rsidR="00806142" w:rsidRPr="001A0B2D">
        <w:rPr>
          <w:rFonts w:ascii="Bookman Old Style" w:hAnsi="Bookman Old Style"/>
        </w:rPr>
        <w:t xml:space="preserve"> that the probability of a negative outcome is sufficiently small i.e.</w:t>
      </w:r>
      <w:r w:rsidR="00A43CF1" w:rsidRPr="001A0B2D">
        <w:rPr>
          <w:rFonts w:ascii="Bookman Old Style" w:hAnsi="Bookman Old Style"/>
        </w:rPr>
        <w:t xml:space="preserve"> a </w:t>
      </w:r>
      <w:r w:rsidR="0036415A" w:rsidRPr="001A0B2D">
        <w:rPr>
          <w:rFonts w:ascii="Bookman Old Style" w:hAnsi="Bookman Old Style"/>
        </w:rPr>
        <w:t xml:space="preserve">kind of </w:t>
      </w:r>
      <w:r w:rsidR="00A43CF1" w:rsidRPr="001A0B2D">
        <w:rPr>
          <w:rFonts w:ascii="Bookman Old Style" w:hAnsi="Bookman Old Style"/>
        </w:rPr>
        <w:t xml:space="preserve">voluntary </w:t>
      </w:r>
      <w:r w:rsidR="0036415A" w:rsidRPr="001A0B2D">
        <w:rPr>
          <w:rFonts w:ascii="Bookman Old Style" w:hAnsi="Bookman Old Style"/>
        </w:rPr>
        <w:t xml:space="preserve">vulnerability </w:t>
      </w:r>
      <w:r w:rsidR="00A43CF1" w:rsidRPr="001A0B2D">
        <w:rPr>
          <w:rFonts w:ascii="Bookman Old Style" w:hAnsi="Bookman Old Style"/>
        </w:rPr>
        <w:t>is in place</w:t>
      </w:r>
      <w:r w:rsidR="0036415A" w:rsidRPr="001A0B2D">
        <w:rPr>
          <w:rFonts w:ascii="Bookman Old Style" w:hAnsi="Bookman Old Style"/>
        </w:rPr>
        <w:t>,</w:t>
      </w:r>
      <w:r w:rsidR="00A43CF1" w:rsidRPr="001A0B2D">
        <w:rPr>
          <w:rFonts w:ascii="Bookman Old Style" w:hAnsi="Bookman Old Style"/>
        </w:rPr>
        <w:t xml:space="preserve"> relaying on positive expectations about the other party’s behaviour.</w:t>
      </w:r>
    </w:p>
    <w:p w:rsidR="008A0141" w:rsidRDefault="0036415A" w:rsidP="008A0141">
      <w:pPr>
        <w:spacing w:before="120" w:line="360" w:lineRule="auto"/>
        <w:ind w:firstLine="0"/>
        <w:jc w:val="left"/>
        <w:rPr>
          <w:rFonts w:ascii="Bookman Old Style" w:hAnsi="Bookman Old Style"/>
        </w:rPr>
      </w:pPr>
      <w:r w:rsidRPr="001A0B2D">
        <w:rPr>
          <w:rFonts w:ascii="Bookman Old Style" w:hAnsi="Bookman Old Style"/>
        </w:rPr>
        <w:t>Trust is a key element in human (and no</w:t>
      </w:r>
      <w:r w:rsidR="00B25428" w:rsidRPr="001A0B2D">
        <w:rPr>
          <w:rFonts w:ascii="Bookman Old Style" w:hAnsi="Bookman Old Style"/>
        </w:rPr>
        <w:t>t</w:t>
      </w:r>
      <w:r w:rsidRPr="001A0B2D">
        <w:rPr>
          <w:rFonts w:ascii="Bookman Old Style" w:hAnsi="Bookman Old Style"/>
        </w:rPr>
        <w:t xml:space="preserve"> only) </w:t>
      </w:r>
      <w:r w:rsidR="00B25428" w:rsidRPr="001A0B2D">
        <w:rPr>
          <w:rFonts w:ascii="Bookman Old Style" w:hAnsi="Bookman Old Style"/>
        </w:rPr>
        <w:t>relationships</w:t>
      </w:r>
      <w:r w:rsidRPr="001A0B2D">
        <w:rPr>
          <w:rFonts w:ascii="Bookman Old Style" w:hAnsi="Bookman Old Style"/>
        </w:rPr>
        <w:t xml:space="preserve">. Cognitive neuroscience is providing increasingly </w:t>
      </w:r>
      <w:r w:rsidR="00B25428" w:rsidRPr="001A0B2D">
        <w:rPr>
          <w:rFonts w:ascii="Bookman Old Style" w:hAnsi="Bookman Old Style"/>
        </w:rPr>
        <w:t>distinct</w:t>
      </w:r>
      <w:r w:rsidRPr="001A0B2D">
        <w:rPr>
          <w:rFonts w:ascii="Bookman Old Style" w:hAnsi="Bookman Old Style"/>
        </w:rPr>
        <w:t xml:space="preserve"> indications that </w:t>
      </w:r>
      <w:r w:rsidR="00B25428" w:rsidRPr="001A0B2D">
        <w:rPr>
          <w:rFonts w:ascii="Bookman Old Style" w:hAnsi="Bookman Old Style"/>
        </w:rPr>
        <w:t xml:space="preserve">the </w:t>
      </w:r>
      <w:r w:rsidRPr="001A0B2D">
        <w:rPr>
          <w:rFonts w:ascii="Bookman Old Style" w:hAnsi="Bookman Old Style"/>
        </w:rPr>
        <w:t xml:space="preserve">disposition or propensity to trust and the </w:t>
      </w:r>
      <w:r w:rsidR="00B25428" w:rsidRPr="001A0B2D">
        <w:rPr>
          <w:rFonts w:ascii="Bookman Old Style" w:hAnsi="Bookman Old Style"/>
        </w:rPr>
        <w:t>judgment</w:t>
      </w:r>
      <w:r w:rsidRPr="001A0B2D">
        <w:rPr>
          <w:rFonts w:ascii="Bookman Old Style" w:hAnsi="Bookman Old Style"/>
        </w:rPr>
        <w:t xml:space="preserve"> on the trustworthiness of the </w:t>
      </w:r>
      <w:r w:rsidR="00B25428" w:rsidRPr="001A0B2D">
        <w:rPr>
          <w:rFonts w:ascii="Bookman Old Style" w:hAnsi="Bookman Old Style"/>
        </w:rPr>
        <w:t>o</w:t>
      </w:r>
      <w:r w:rsidRPr="001A0B2D">
        <w:rPr>
          <w:rFonts w:ascii="Bookman Old Style" w:hAnsi="Bookman Old Style"/>
        </w:rPr>
        <w:t xml:space="preserve">ther party </w:t>
      </w:r>
      <w:r w:rsidRPr="001A0B2D">
        <w:rPr>
          <w:rFonts w:ascii="Bookman Old Style" w:hAnsi="Bookman Old Style"/>
        </w:rPr>
        <w:lastRenderedPageBreak/>
        <w:t>can be traced t</w:t>
      </w:r>
      <w:r w:rsidR="007C1309" w:rsidRPr="001A0B2D">
        <w:rPr>
          <w:rFonts w:ascii="Bookman Old Style" w:hAnsi="Bookman Old Style"/>
        </w:rPr>
        <w:t>o the neurobiological structure</w:t>
      </w:r>
      <w:r w:rsidRPr="001A0B2D">
        <w:rPr>
          <w:rFonts w:ascii="Bookman Old Style" w:hAnsi="Bookman Old Style"/>
        </w:rPr>
        <w:t xml:space="preserve"> and </w:t>
      </w:r>
      <w:r w:rsidR="007C1309" w:rsidRPr="001A0B2D">
        <w:rPr>
          <w:rFonts w:ascii="Bookman Old Style" w:hAnsi="Bookman Old Style"/>
        </w:rPr>
        <w:t>activity of a human brain</w:t>
      </w:r>
      <w:r w:rsidRPr="001A0B2D">
        <w:rPr>
          <w:rFonts w:ascii="Bookman Old Style" w:hAnsi="Bookman Old Style"/>
        </w:rPr>
        <w:t xml:space="preserve">. There are studies which demonstrate that trust can be hormonally </w:t>
      </w:r>
      <w:r w:rsidR="007C1309" w:rsidRPr="001A0B2D">
        <w:rPr>
          <w:rFonts w:ascii="Bookman Old Style" w:hAnsi="Bookman Old Style"/>
        </w:rPr>
        <w:t>altered</w:t>
      </w:r>
      <w:r w:rsidRPr="001A0B2D">
        <w:rPr>
          <w:rFonts w:ascii="Bookman Old Style" w:hAnsi="Bookman Old Style"/>
        </w:rPr>
        <w:t xml:space="preserve"> (by </w:t>
      </w:r>
      <w:r w:rsidR="007C1309" w:rsidRPr="001A0B2D">
        <w:rPr>
          <w:rFonts w:ascii="Bookman Old Style" w:hAnsi="Bookman Old Style"/>
        </w:rPr>
        <w:t>applying</w:t>
      </w:r>
      <w:r w:rsidRPr="001A0B2D">
        <w:rPr>
          <w:rFonts w:ascii="Bookman Old Style" w:hAnsi="Bookman Old Style"/>
        </w:rPr>
        <w:t xml:space="preserve"> oxytocin) </w:t>
      </w:r>
      <w:r w:rsidR="00D82796">
        <w:rPr>
          <w:rFonts w:ascii="Bookman Old Style" w:hAnsi="Bookman Old Style"/>
        </w:rPr>
        <w:t>[26]</w:t>
      </w:r>
      <w:r w:rsidR="0040756F" w:rsidRPr="001A0B2D">
        <w:rPr>
          <w:rFonts w:ascii="Bookman Old Style" w:hAnsi="Bookman Old Style"/>
        </w:rPr>
        <w:t xml:space="preserve">. </w:t>
      </w:r>
      <w:r w:rsidR="00C25437" w:rsidRPr="001A0B2D">
        <w:rPr>
          <w:rFonts w:ascii="Bookman Old Style" w:hAnsi="Bookman Old Style"/>
        </w:rPr>
        <w:t xml:space="preserve"> Trust can be studied also at the supra-personal level in relations among social groups (nations, family, friends, communities, organi</w:t>
      </w:r>
      <w:r w:rsidR="00846C15">
        <w:rPr>
          <w:rFonts w:ascii="Bookman Old Style" w:hAnsi="Bookman Old Style"/>
        </w:rPr>
        <w:t>s</w:t>
      </w:r>
      <w:r w:rsidR="00C25437" w:rsidRPr="001A0B2D">
        <w:rPr>
          <w:rFonts w:ascii="Bookman Old Style" w:hAnsi="Bookman Old Style"/>
        </w:rPr>
        <w:t xml:space="preserve">ations, etc.) and it is not uncommon to </w:t>
      </w:r>
      <w:r w:rsidR="004F501D" w:rsidRPr="001A0B2D">
        <w:rPr>
          <w:rFonts w:ascii="Bookman Old Style" w:hAnsi="Bookman Old Style"/>
        </w:rPr>
        <w:t xml:space="preserve">bring trust into the picture to </w:t>
      </w:r>
      <w:r w:rsidR="00C25437" w:rsidRPr="001A0B2D">
        <w:rPr>
          <w:rFonts w:ascii="Bookman Old Style" w:hAnsi="Bookman Old Style"/>
        </w:rPr>
        <w:t>describe and explain in</w:t>
      </w:r>
      <w:r w:rsidR="004F501D" w:rsidRPr="001A0B2D">
        <w:rPr>
          <w:rFonts w:ascii="Bookman Old Style" w:hAnsi="Bookman Old Style"/>
        </w:rPr>
        <w:t>tra- and inter-group dynamics</w:t>
      </w:r>
      <w:r w:rsidR="00C25437" w:rsidRPr="001A0B2D">
        <w:rPr>
          <w:rFonts w:ascii="Bookman Old Style" w:hAnsi="Bookman Old Style"/>
        </w:rPr>
        <w:t xml:space="preserve">.  </w:t>
      </w:r>
      <w:r w:rsidR="005679A7" w:rsidRPr="001A0B2D">
        <w:rPr>
          <w:rFonts w:ascii="Bookman Old Style" w:hAnsi="Bookman Old Style"/>
        </w:rPr>
        <w:t xml:space="preserve">In social science trust and its derivatives are </w:t>
      </w:r>
      <w:r w:rsidR="007C1309" w:rsidRPr="001A0B2D">
        <w:rPr>
          <w:rFonts w:ascii="Bookman Old Style" w:hAnsi="Bookman Old Style"/>
        </w:rPr>
        <w:t>a subject</w:t>
      </w:r>
      <w:r w:rsidR="00D72BA1" w:rsidRPr="001A0B2D">
        <w:rPr>
          <w:rFonts w:ascii="Bookman Old Style" w:hAnsi="Bookman Old Style"/>
        </w:rPr>
        <w:t xml:space="preserve"> </w:t>
      </w:r>
      <w:r w:rsidR="005679A7" w:rsidRPr="001A0B2D">
        <w:rPr>
          <w:rFonts w:ascii="Bookman Old Style" w:hAnsi="Bookman Old Style"/>
        </w:rPr>
        <w:t xml:space="preserve">of </w:t>
      </w:r>
      <w:r w:rsidR="007C1309" w:rsidRPr="001A0B2D">
        <w:rPr>
          <w:rFonts w:ascii="Bookman Old Style" w:hAnsi="Bookman Old Style"/>
        </w:rPr>
        <w:t>on-going</w:t>
      </w:r>
      <w:r w:rsidR="005679A7" w:rsidRPr="001A0B2D">
        <w:rPr>
          <w:rFonts w:ascii="Bookman Old Style" w:hAnsi="Bookman Old Style"/>
        </w:rPr>
        <w:t xml:space="preserve"> research. In sociology and psychology the level of trust one </w:t>
      </w:r>
      <w:r w:rsidR="004251DC" w:rsidRPr="001A0B2D">
        <w:rPr>
          <w:rFonts w:ascii="Bookman Old Style" w:hAnsi="Bookman Old Style"/>
        </w:rPr>
        <w:t>party</w:t>
      </w:r>
      <w:r w:rsidR="005679A7" w:rsidRPr="001A0B2D">
        <w:rPr>
          <w:rFonts w:ascii="Bookman Old Style" w:hAnsi="Bookman Old Style"/>
        </w:rPr>
        <w:t xml:space="preserve"> </w:t>
      </w:r>
      <w:r w:rsidR="004251DC" w:rsidRPr="001A0B2D">
        <w:rPr>
          <w:rFonts w:ascii="Bookman Old Style" w:hAnsi="Bookman Old Style"/>
        </w:rPr>
        <w:t xml:space="preserve">has </w:t>
      </w:r>
      <w:r w:rsidR="005679A7" w:rsidRPr="001A0B2D">
        <w:rPr>
          <w:rFonts w:ascii="Bookman Old Style" w:hAnsi="Bookman Old Style"/>
        </w:rPr>
        <w:t xml:space="preserve">for </w:t>
      </w:r>
      <w:r w:rsidR="00F02C93" w:rsidRPr="001A0B2D">
        <w:rPr>
          <w:rFonts w:ascii="Bookman Old Style" w:hAnsi="Bookman Old Style"/>
        </w:rPr>
        <w:t>another</w:t>
      </w:r>
      <w:r w:rsidR="005679A7" w:rsidRPr="001A0B2D">
        <w:rPr>
          <w:rFonts w:ascii="Bookman Old Style" w:hAnsi="Bookman Old Style"/>
        </w:rPr>
        <w:t xml:space="preserve"> is a measure of </w:t>
      </w:r>
      <w:r w:rsidR="00846C15">
        <w:rPr>
          <w:rFonts w:ascii="Bookman Old Style" w:hAnsi="Bookman Old Style"/>
        </w:rPr>
        <w:t>the latter’s</w:t>
      </w:r>
      <w:r w:rsidR="005679A7" w:rsidRPr="001A0B2D">
        <w:rPr>
          <w:rFonts w:ascii="Bookman Old Style" w:hAnsi="Bookman Old Style"/>
        </w:rPr>
        <w:t xml:space="preserve"> faith in the former’s honesty, integrity,</w:t>
      </w:r>
      <w:r w:rsidR="00D72BA1" w:rsidRPr="001A0B2D">
        <w:rPr>
          <w:rFonts w:ascii="Bookman Old Style" w:hAnsi="Bookman Old Style"/>
        </w:rPr>
        <w:t xml:space="preserve"> fairness and </w:t>
      </w:r>
      <w:r w:rsidR="004251DC" w:rsidRPr="001A0B2D">
        <w:rPr>
          <w:rFonts w:ascii="Bookman Old Style" w:hAnsi="Bookman Old Style"/>
        </w:rPr>
        <w:t>benevolence</w:t>
      </w:r>
      <w:r w:rsidR="00D72BA1" w:rsidRPr="001A0B2D">
        <w:rPr>
          <w:rFonts w:ascii="Bookman Old Style" w:hAnsi="Bookman Old Style"/>
        </w:rPr>
        <w:t>.</w:t>
      </w:r>
      <w:r w:rsidR="004A2CDC" w:rsidRPr="001A0B2D">
        <w:rPr>
          <w:rFonts w:ascii="Bookman Old Style" w:hAnsi="Bookman Old Style"/>
        </w:rPr>
        <w:t xml:space="preserve"> A related term is </w:t>
      </w:r>
      <w:r w:rsidR="00F52CA3">
        <w:rPr>
          <w:rFonts w:ascii="Bookman Old Style" w:hAnsi="Bookman Old Style"/>
        </w:rPr>
        <w:t>‘</w:t>
      </w:r>
      <w:r w:rsidR="004A2CDC" w:rsidRPr="001A0B2D">
        <w:rPr>
          <w:rFonts w:ascii="Bookman Old Style" w:hAnsi="Bookman Old Style"/>
        </w:rPr>
        <w:t>confidence</w:t>
      </w:r>
      <w:r w:rsidR="00F52CA3">
        <w:rPr>
          <w:rFonts w:ascii="Bookman Old Style" w:hAnsi="Bookman Old Style"/>
        </w:rPr>
        <w:t>’</w:t>
      </w:r>
      <w:r w:rsidR="004A2CDC" w:rsidRPr="001A0B2D">
        <w:rPr>
          <w:rFonts w:ascii="Bookman Old Style" w:hAnsi="Bookman Old Style"/>
        </w:rPr>
        <w:t xml:space="preserve"> but with confidence we </w:t>
      </w:r>
      <w:r w:rsidR="00F02C93" w:rsidRPr="001A0B2D">
        <w:rPr>
          <w:rFonts w:ascii="Bookman Old Style" w:hAnsi="Bookman Old Style"/>
        </w:rPr>
        <w:t xml:space="preserve">rather </w:t>
      </w:r>
      <w:r w:rsidR="004A2CDC" w:rsidRPr="001A0B2D">
        <w:rPr>
          <w:rFonts w:ascii="Bookman Old Style" w:hAnsi="Bookman Old Style"/>
        </w:rPr>
        <w:t xml:space="preserve">mean believing in the competence or capabilities and capacity of the other person i.e. it is not so much about emotion but </w:t>
      </w:r>
      <w:r w:rsidR="00C868AE" w:rsidRPr="001A0B2D">
        <w:rPr>
          <w:rFonts w:ascii="Bookman Old Style" w:hAnsi="Bookman Old Style"/>
        </w:rPr>
        <w:t xml:space="preserve">about </w:t>
      </w:r>
      <w:r w:rsidR="004A2CDC" w:rsidRPr="001A0B2D">
        <w:rPr>
          <w:rFonts w:ascii="Bookman Old Style" w:hAnsi="Bookman Old Style"/>
        </w:rPr>
        <w:t xml:space="preserve">rational judgment.  Some researchers argue that betrayed trust is easier to forgive if the affected person ascribes it to the other party’s lack of sufficient competence as opposed to lack of </w:t>
      </w:r>
      <w:r w:rsidR="004669B7" w:rsidRPr="001A0B2D">
        <w:rPr>
          <w:rFonts w:ascii="Bookman Old Style" w:hAnsi="Bookman Old Style"/>
        </w:rPr>
        <w:t>benevolence</w:t>
      </w:r>
      <w:r w:rsidR="00F02C93" w:rsidRPr="001A0B2D">
        <w:rPr>
          <w:rFonts w:ascii="Bookman Old Style" w:hAnsi="Bookman Old Style"/>
        </w:rPr>
        <w:t xml:space="preserve"> or honesty. Economics, on the other hand, conceptualises trust as reliability </w:t>
      </w:r>
      <w:r w:rsidR="004669B7" w:rsidRPr="001A0B2D">
        <w:rPr>
          <w:rFonts w:ascii="Bookman Old Style" w:hAnsi="Bookman Old Style"/>
        </w:rPr>
        <w:t>in</w:t>
      </w:r>
      <w:r w:rsidR="00F02C93" w:rsidRPr="001A0B2D">
        <w:rPr>
          <w:rFonts w:ascii="Bookman Old Style" w:hAnsi="Bookman Old Style"/>
        </w:rPr>
        <w:t xml:space="preserve"> transactions. By all means</w:t>
      </w:r>
      <w:r w:rsidR="00F52CA3">
        <w:rPr>
          <w:rFonts w:ascii="Bookman Old Style" w:hAnsi="Bookman Old Style"/>
        </w:rPr>
        <w:t>,</w:t>
      </w:r>
      <w:r w:rsidR="00F02C93" w:rsidRPr="001A0B2D">
        <w:rPr>
          <w:rFonts w:ascii="Bookman Old Style" w:hAnsi="Bookman Old Style"/>
        </w:rPr>
        <w:t xml:space="preserve"> trust is a heuristic decision-making mechanism</w:t>
      </w:r>
      <w:r w:rsidR="00C868AE" w:rsidRPr="001A0B2D">
        <w:rPr>
          <w:rFonts w:ascii="Bookman Old Style" w:hAnsi="Bookman Old Style"/>
        </w:rPr>
        <w:t xml:space="preserve"> enabling a person to cope with complex situations where reliance on purely rational justifications is unrealistic.</w:t>
      </w:r>
    </w:p>
    <w:p w:rsidR="00C868AE" w:rsidRPr="008A0141" w:rsidRDefault="00C868AE" w:rsidP="008A0141">
      <w:pPr>
        <w:spacing w:before="120" w:line="360" w:lineRule="auto"/>
        <w:ind w:firstLine="0"/>
        <w:jc w:val="left"/>
        <w:rPr>
          <w:rFonts w:ascii="Bookman Old Style" w:hAnsi="Bookman Old Style"/>
        </w:rPr>
      </w:pPr>
      <w:r w:rsidRPr="001A0B2D">
        <w:rPr>
          <w:rFonts w:ascii="Bookman Old Style" w:hAnsi="Bookman Old Style"/>
        </w:rPr>
        <w:t xml:space="preserve">In the field of sociology trust is seen primarily through the prism of its place and role in social systems </w:t>
      </w:r>
      <w:r w:rsidR="00D82796">
        <w:rPr>
          <w:rFonts w:ascii="Bookman Old Style" w:hAnsi="Bookman Old Style"/>
        </w:rPr>
        <w:t>[27,28,29]</w:t>
      </w:r>
      <w:r w:rsidRPr="001A0B2D">
        <w:rPr>
          <w:rFonts w:ascii="Bookman Old Style" w:hAnsi="Bookman Old Style"/>
        </w:rPr>
        <w:t>, the interest the topic attracts</w:t>
      </w:r>
      <w:r w:rsidR="0083561D" w:rsidRPr="001A0B2D">
        <w:rPr>
          <w:rFonts w:ascii="Bookman Old Style" w:hAnsi="Bookman Old Style"/>
        </w:rPr>
        <w:t xml:space="preserve"> from</w:t>
      </w:r>
      <w:r w:rsidRPr="001A0B2D">
        <w:rPr>
          <w:rFonts w:ascii="Bookman Old Style" w:hAnsi="Bookman Old Style"/>
        </w:rPr>
        <w:t xml:space="preserve"> sociologi</w:t>
      </w:r>
      <w:r w:rsidR="0083561D" w:rsidRPr="001A0B2D">
        <w:rPr>
          <w:rFonts w:ascii="Bookman Old Style" w:hAnsi="Bookman Old Style"/>
        </w:rPr>
        <w:t>sts</w:t>
      </w:r>
      <w:r w:rsidRPr="001A0B2D">
        <w:rPr>
          <w:rFonts w:ascii="Bookman Old Style" w:hAnsi="Bookman Old Style"/>
        </w:rPr>
        <w:t xml:space="preserve"> </w:t>
      </w:r>
      <w:r w:rsidR="008A0141">
        <w:rPr>
          <w:rFonts w:ascii="Bookman Old Style" w:hAnsi="Bookman Old Style"/>
        </w:rPr>
        <w:t>growing</w:t>
      </w:r>
      <w:r w:rsidRPr="001A0B2D">
        <w:rPr>
          <w:rFonts w:ascii="Bookman Old Style" w:hAnsi="Bookman Old Style"/>
        </w:rPr>
        <w:t xml:space="preserve"> with the dynamic social changes in recent decades, referred to as post-modernity.</w:t>
      </w:r>
      <w:r w:rsidR="002B51B8" w:rsidRPr="001A0B2D">
        <w:rPr>
          <w:rFonts w:ascii="Bookman Old Style" w:hAnsi="Bookman Old Style"/>
        </w:rPr>
        <w:t xml:space="preserve"> Trust is a social construct, an element of social reality and it does not exist outside our </w:t>
      </w:r>
      <w:r w:rsidR="00B67AC6" w:rsidRPr="001A0B2D">
        <w:rPr>
          <w:rFonts w:ascii="Bookman Old Style" w:hAnsi="Bookman Old Style"/>
        </w:rPr>
        <w:t>notion</w:t>
      </w:r>
      <w:r w:rsidR="002B51B8" w:rsidRPr="001A0B2D">
        <w:rPr>
          <w:rFonts w:ascii="Bookman Old Style" w:hAnsi="Bookman Old Style"/>
        </w:rPr>
        <w:t xml:space="preserve"> of </w:t>
      </w:r>
      <w:r w:rsidR="004669B7" w:rsidRPr="001A0B2D">
        <w:rPr>
          <w:rFonts w:ascii="Bookman Old Style" w:hAnsi="Bookman Old Style"/>
        </w:rPr>
        <w:t>the</w:t>
      </w:r>
      <w:r w:rsidR="002B51B8" w:rsidRPr="001A0B2D">
        <w:rPr>
          <w:rFonts w:ascii="Bookman Old Style" w:hAnsi="Bookman Old Style"/>
        </w:rPr>
        <w:t xml:space="preserve"> </w:t>
      </w:r>
      <w:r w:rsidR="002B51B8" w:rsidRPr="001A0B2D">
        <w:rPr>
          <w:rFonts w:ascii="Bookman Old Style" w:hAnsi="Bookman Old Style"/>
          <w:i/>
        </w:rPr>
        <w:t>other</w:t>
      </w:r>
      <w:r w:rsidR="002B51B8" w:rsidRPr="001A0B2D">
        <w:rPr>
          <w:rFonts w:ascii="Bookman Old Style" w:hAnsi="Bookman Old Style"/>
        </w:rPr>
        <w:t>.</w:t>
      </w:r>
      <w:r w:rsidR="00B67AC6" w:rsidRPr="001A0B2D">
        <w:rPr>
          <w:rFonts w:ascii="Bookman Old Style" w:hAnsi="Bookman Old Style"/>
        </w:rPr>
        <w:t xml:space="preserve"> Th</w:t>
      </w:r>
      <w:r w:rsidR="00930AAE" w:rsidRPr="001A0B2D">
        <w:rPr>
          <w:rFonts w:ascii="Bookman Old Style" w:hAnsi="Bookman Old Style"/>
        </w:rPr>
        <w:t>e</w:t>
      </w:r>
      <w:r w:rsidR="00B67AC6" w:rsidRPr="001A0B2D">
        <w:rPr>
          <w:rFonts w:ascii="Bookman Old Style" w:hAnsi="Bookman Old Style"/>
        </w:rPr>
        <w:t xml:space="preserve"> notion </w:t>
      </w:r>
      <w:r w:rsidR="00930AAE" w:rsidRPr="001A0B2D">
        <w:rPr>
          <w:rFonts w:ascii="Bookman Old Style" w:hAnsi="Bookman Old Style"/>
        </w:rPr>
        <w:t xml:space="preserve">in question </w:t>
      </w:r>
      <w:r w:rsidR="00B67AC6" w:rsidRPr="001A0B2D">
        <w:rPr>
          <w:rFonts w:ascii="Bookman Old Style" w:hAnsi="Bookman Old Style"/>
        </w:rPr>
        <w:t xml:space="preserve">can be realistic or not i.e. adequate to the objective reality reflected, but it is this notion that is the carrier of the ingredients of trust. It is not uncommon for trust in sociology to be discussed in parallel with other constructs such as confidence, control, risk, </w:t>
      </w:r>
      <w:r w:rsidR="004669B7" w:rsidRPr="001A0B2D">
        <w:rPr>
          <w:rFonts w:ascii="Bookman Old Style" w:hAnsi="Bookman Old Style"/>
        </w:rPr>
        <w:t>meaning</w:t>
      </w:r>
      <w:r w:rsidR="00B67AC6" w:rsidRPr="001A0B2D">
        <w:rPr>
          <w:rFonts w:ascii="Bookman Old Style" w:hAnsi="Bookman Old Style"/>
        </w:rPr>
        <w:t xml:space="preserve"> and power. And because trust is a social construct, </w:t>
      </w:r>
      <w:r w:rsidR="004669B7" w:rsidRPr="001A0B2D">
        <w:rPr>
          <w:rFonts w:ascii="Bookman Old Style" w:hAnsi="Bookman Old Style"/>
        </w:rPr>
        <w:t xml:space="preserve">in principle it is valid to discuss whether trust can be trusted i.e. whether social trust operates as expected </w:t>
      </w:r>
      <w:r w:rsidR="00D82796">
        <w:rPr>
          <w:rFonts w:ascii="Bookman Old Style" w:hAnsi="Bookman Old Style"/>
        </w:rPr>
        <w:t>[30]</w:t>
      </w:r>
      <w:r w:rsidR="00B67AC6" w:rsidRPr="003D572C">
        <w:rPr>
          <w:rFonts w:ascii="Academy" w:hAnsi="Academy"/>
        </w:rPr>
        <w:t>.</w:t>
      </w:r>
      <w:r w:rsidR="00B67AC6" w:rsidRPr="001A0B2D">
        <w:rPr>
          <w:rFonts w:ascii="Bookman Old Style" w:hAnsi="Bookman Old Style"/>
        </w:rPr>
        <w:t xml:space="preserve"> </w:t>
      </w:r>
      <w:r w:rsidR="002B51B8" w:rsidRPr="001A0B2D">
        <w:rPr>
          <w:rFonts w:ascii="Bookman Old Style" w:hAnsi="Bookman Old Style"/>
          <w:i/>
        </w:rPr>
        <w:t xml:space="preserve"> </w:t>
      </w:r>
    </w:p>
    <w:p w:rsidR="00930AAE" w:rsidRPr="001A0B2D" w:rsidRDefault="00930AAE" w:rsidP="00234D0A">
      <w:pPr>
        <w:spacing w:before="120" w:line="360" w:lineRule="auto"/>
        <w:ind w:firstLine="0"/>
        <w:jc w:val="left"/>
        <w:rPr>
          <w:rFonts w:ascii="Bookman Old Style" w:hAnsi="Bookman Old Style"/>
        </w:rPr>
      </w:pPr>
      <w:r w:rsidRPr="001A0B2D">
        <w:rPr>
          <w:rFonts w:ascii="Bookman Old Style" w:hAnsi="Bookman Old Style"/>
        </w:rPr>
        <w:t xml:space="preserve">In psychology trust is the belief that the trustee will behave as we expect them. </w:t>
      </w:r>
      <w:proofErr w:type="spellStart"/>
      <w:r w:rsidRPr="001A0B2D">
        <w:rPr>
          <w:rFonts w:ascii="Bookman Old Style" w:hAnsi="Bookman Old Style"/>
        </w:rPr>
        <w:t>Philogenetically</w:t>
      </w:r>
      <w:proofErr w:type="spellEnd"/>
      <w:r w:rsidRPr="001A0B2D">
        <w:rPr>
          <w:rFonts w:ascii="Bookman Old Style" w:hAnsi="Bookman Old Style"/>
        </w:rPr>
        <w:t xml:space="preserve">, trust starts </w:t>
      </w:r>
      <w:r w:rsidR="004669B7" w:rsidRPr="001A0B2D">
        <w:rPr>
          <w:rFonts w:ascii="Bookman Old Style" w:hAnsi="Bookman Old Style"/>
        </w:rPr>
        <w:t>at</w:t>
      </w:r>
      <w:r w:rsidRPr="001A0B2D">
        <w:rPr>
          <w:rFonts w:ascii="Bookman Old Style" w:hAnsi="Bookman Old Style"/>
        </w:rPr>
        <w:t xml:space="preserve"> the immediate family and </w:t>
      </w:r>
      <w:r w:rsidR="004669B7" w:rsidRPr="001A0B2D">
        <w:rPr>
          <w:rFonts w:ascii="Bookman Old Style" w:hAnsi="Bookman Old Style"/>
        </w:rPr>
        <w:t>grows to others</w:t>
      </w:r>
      <w:r w:rsidRPr="001A0B2D">
        <w:rPr>
          <w:rFonts w:ascii="Bookman Old Style" w:hAnsi="Bookman Old Style"/>
        </w:rPr>
        <w:t xml:space="preserve">. </w:t>
      </w:r>
      <w:r w:rsidR="00C605B2" w:rsidRPr="001A0B2D">
        <w:rPr>
          <w:rFonts w:ascii="Bookman Old Style" w:hAnsi="Bookman Old Style"/>
        </w:rPr>
        <w:t xml:space="preserve">For </w:t>
      </w:r>
      <w:r w:rsidR="008A0141">
        <w:rPr>
          <w:rFonts w:ascii="Bookman Old Style" w:hAnsi="Bookman Old Style"/>
        </w:rPr>
        <w:t xml:space="preserve">Erik Erikson, the author of the </w:t>
      </w:r>
      <w:r w:rsidR="00B3014D" w:rsidRPr="001A0B2D">
        <w:rPr>
          <w:rFonts w:ascii="Bookman Old Style" w:hAnsi="Bookman Old Style"/>
        </w:rPr>
        <w:t>psychosocial-</w:t>
      </w:r>
      <w:r w:rsidR="00C605B2" w:rsidRPr="001A0B2D">
        <w:rPr>
          <w:rFonts w:ascii="Bookman Old Style" w:hAnsi="Bookman Old Style"/>
        </w:rPr>
        <w:t>crisis</w:t>
      </w:r>
      <w:r w:rsidR="008A0141">
        <w:rPr>
          <w:rFonts w:ascii="Bookman Old Style" w:hAnsi="Bookman Old Style"/>
        </w:rPr>
        <w:t>-stages</w:t>
      </w:r>
      <w:r w:rsidR="00C605B2" w:rsidRPr="001A0B2D">
        <w:rPr>
          <w:rFonts w:ascii="Bookman Old Style" w:hAnsi="Bookman Old Style"/>
        </w:rPr>
        <w:t xml:space="preserve"> concept, developing basic trust is the first step in psychosocial development, which could have a</w:t>
      </w:r>
      <w:r w:rsidR="00C605B2" w:rsidRPr="001A0B2D">
        <w:t xml:space="preserve"> </w:t>
      </w:r>
      <w:r w:rsidR="00C605B2" w:rsidRPr="001A0B2D">
        <w:rPr>
          <w:rFonts w:ascii="Bookman Old Style" w:hAnsi="Bookman Old Style"/>
        </w:rPr>
        <w:t xml:space="preserve">positive or negative outcome for personality development during the first two </w:t>
      </w:r>
      <w:r w:rsidR="00C605B2" w:rsidRPr="001A0B2D">
        <w:rPr>
          <w:rFonts w:ascii="Bookman Old Style" w:hAnsi="Bookman Old Style"/>
        </w:rPr>
        <w:lastRenderedPageBreak/>
        <w:t xml:space="preserve">years of one’s life.  </w:t>
      </w:r>
      <w:r w:rsidR="00B3014D" w:rsidRPr="001A0B2D">
        <w:rPr>
          <w:rFonts w:ascii="Bookman Old Style" w:hAnsi="Bookman Old Style"/>
        </w:rPr>
        <w:t xml:space="preserve">The successful completion of this stage results in a sense of security, a propensity to trust and be optimistic, whilst the unsuccessful completion lays the foundations for a deeper and more lasting sense of mistrust and insecurity, the morbid version of the unsuccessful completion of this stage leading to attachment-related mental disorders </w:t>
      </w:r>
      <w:r w:rsidR="00D82796">
        <w:rPr>
          <w:rFonts w:ascii="Bookman Old Style" w:hAnsi="Bookman Old Style"/>
        </w:rPr>
        <w:t>[31]</w:t>
      </w:r>
      <w:r w:rsidR="00B3014D" w:rsidRPr="003D572C">
        <w:rPr>
          <w:rFonts w:ascii="Academy" w:hAnsi="Academy"/>
        </w:rPr>
        <w:t>.</w:t>
      </w:r>
    </w:p>
    <w:p w:rsidR="004669B7" w:rsidRPr="001A0B2D" w:rsidRDefault="004669B7" w:rsidP="00234D0A">
      <w:pPr>
        <w:spacing w:before="120" w:line="360" w:lineRule="auto"/>
        <w:ind w:firstLine="0"/>
        <w:jc w:val="left"/>
        <w:rPr>
          <w:rFonts w:ascii="Bookman Old Style" w:hAnsi="Bookman Old Style"/>
        </w:rPr>
      </w:pPr>
      <w:r w:rsidRPr="001A0B2D">
        <w:rPr>
          <w:rFonts w:ascii="Bookman Old Style" w:hAnsi="Bookman Old Style"/>
        </w:rPr>
        <w:t xml:space="preserve">Trust is integral to the idea of </w:t>
      </w:r>
      <w:hyperlink r:id="rId6" w:tooltip="Social influence" w:history="1">
        <w:r w:rsidRPr="001A0B2D">
          <w:rPr>
            <w:rFonts w:ascii="Bookman Old Style" w:hAnsi="Bookman Old Style"/>
          </w:rPr>
          <w:t>social influence</w:t>
        </w:r>
      </w:hyperlink>
      <w:r w:rsidR="001F1B3D" w:rsidRPr="001A0B2D">
        <w:rPr>
          <w:rFonts w:ascii="Bookman Old Style" w:hAnsi="Bookman Old Style"/>
        </w:rPr>
        <w:t xml:space="preserve">, because, apparently, </w:t>
      </w:r>
      <w:r w:rsidRPr="001A0B2D">
        <w:rPr>
          <w:rFonts w:ascii="Bookman Old Style" w:hAnsi="Bookman Old Style"/>
        </w:rPr>
        <w:t xml:space="preserve">it is easier to influence or persuade someone who is trusting. </w:t>
      </w:r>
      <w:r w:rsidR="001F1B3D" w:rsidRPr="001A0B2D">
        <w:rPr>
          <w:rFonts w:ascii="Bookman Old Style" w:hAnsi="Bookman Old Style"/>
        </w:rPr>
        <w:t xml:space="preserve">The bottom line is that trust is </w:t>
      </w:r>
      <w:r w:rsidR="008A0141">
        <w:rPr>
          <w:rFonts w:ascii="Bookman Old Style" w:hAnsi="Bookman Old Style"/>
        </w:rPr>
        <w:t xml:space="preserve">about </w:t>
      </w:r>
      <w:r w:rsidR="001F1B3D" w:rsidRPr="001A0B2D">
        <w:rPr>
          <w:rFonts w:ascii="Bookman Old Style" w:hAnsi="Bookman Old Style"/>
        </w:rPr>
        <w:t xml:space="preserve">choosing to be vulnerable in relation to someone who you believe trustworthy (i.e. when their behaviours </w:t>
      </w:r>
      <w:r w:rsidR="000C00CB" w:rsidRPr="001A0B2D">
        <w:rPr>
          <w:rFonts w:ascii="Bookman Old Style" w:hAnsi="Bookman Old Style"/>
        </w:rPr>
        <w:t>have the capacity to invite po</w:t>
      </w:r>
      <w:r w:rsidR="001F1B3D" w:rsidRPr="001A0B2D">
        <w:rPr>
          <w:rFonts w:ascii="Bookman Old Style" w:hAnsi="Bookman Old Style"/>
        </w:rPr>
        <w:t>sitive expectations).</w:t>
      </w:r>
      <w:r w:rsidR="00A82DC8" w:rsidRPr="001A0B2D">
        <w:rPr>
          <w:rFonts w:ascii="Bookman Old Style" w:hAnsi="Bookman Old Style"/>
        </w:rPr>
        <w:t xml:space="preserve"> From the point of view of psychology</w:t>
      </w:r>
      <w:r w:rsidR="008A0141">
        <w:rPr>
          <w:rFonts w:ascii="Bookman Old Style" w:hAnsi="Bookman Old Style"/>
        </w:rPr>
        <w:t>,</w:t>
      </w:r>
      <w:r w:rsidR="00A82DC8" w:rsidRPr="001A0B2D">
        <w:rPr>
          <w:rFonts w:ascii="Bookman Old Style" w:hAnsi="Bookman Old Style"/>
        </w:rPr>
        <w:t xml:space="preserve"> trust seems dependent on several of its ingredients or </w:t>
      </w:r>
      <w:r w:rsidR="008A0141">
        <w:rPr>
          <w:rFonts w:ascii="Bookman Old Style" w:hAnsi="Bookman Old Style"/>
        </w:rPr>
        <w:t>determinants</w:t>
      </w:r>
      <w:r w:rsidR="00A82DC8" w:rsidRPr="001A0B2D">
        <w:rPr>
          <w:rFonts w:ascii="Bookman Old Style" w:hAnsi="Bookman Old Style"/>
        </w:rPr>
        <w:t>: the perceptions about the other’s honesty, their competence and the similarity of values between trustor and trustee.</w:t>
      </w:r>
      <w:r w:rsidR="000C00CB" w:rsidRPr="001A0B2D">
        <w:rPr>
          <w:rFonts w:ascii="Bookman Old Style" w:hAnsi="Bookman Old Style"/>
        </w:rPr>
        <w:t xml:space="preserve"> What also matters here is</w:t>
      </w:r>
      <w:r w:rsidR="00A82DC8" w:rsidRPr="001A0B2D">
        <w:rPr>
          <w:rFonts w:ascii="Bookman Old Style" w:hAnsi="Bookman Old Style"/>
        </w:rPr>
        <w:t xml:space="preserve"> the capacity of a person to be able (inclined) to </w:t>
      </w:r>
      <w:r w:rsidR="000C00CB" w:rsidRPr="001A0B2D">
        <w:rPr>
          <w:rFonts w:ascii="Bookman Old Style" w:hAnsi="Bookman Old Style"/>
        </w:rPr>
        <w:t>trust</w:t>
      </w:r>
      <w:r w:rsidR="00A82DC8" w:rsidRPr="001A0B2D">
        <w:rPr>
          <w:rFonts w:ascii="Bookman Old Style" w:hAnsi="Bookman Old Style"/>
        </w:rPr>
        <w:t xml:space="preserve"> others, which is a composite phenomenon. </w:t>
      </w:r>
      <w:r w:rsidR="000C00CB" w:rsidRPr="001A0B2D">
        <w:rPr>
          <w:rFonts w:ascii="Bookman Old Style" w:hAnsi="Bookman Old Style"/>
        </w:rPr>
        <w:t>Many times it</w:t>
      </w:r>
      <w:r w:rsidR="008C1E3C" w:rsidRPr="001A0B2D">
        <w:rPr>
          <w:rFonts w:ascii="Bookman Old Style" w:hAnsi="Bookman Old Style"/>
        </w:rPr>
        <w:t xml:space="preserve"> has been found </w:t>
      </w:r>
      <w:r w:rsidR="00A82DC8" w:rsidRPr="001A0B2D">
        <w:rPr>
          <w:rFonts w:ascii="Bookman Old Style" w:hAnsi="Bookman Old Style"/>
        </w:rPr>
        <w:t>that o</w:t>
      </w:r>
      <w:r w:rsidRPr="001A0B2D">
        <w:rPr>
          <w:rFonts w:ascii="Bookman Old Style" w:hAnsi="Bookman Old Style"/>
        </w:rPr>
        <w:t xml:space="preserve">nce trust is lost, by violation of one of these determinants, it is very hard to regain. </w:t>
      </w:r>
      <w:r w:rsidR="00A82DC8" w:rsidRPr="001A0B2D">
        <w:rPr>
          <w:rFonts w:ascii="Bookman Old Style" w:hAnsi="Bookman Old Style"/>
        </w:rPr>
        <w:t xml:space="preserve">i.e. there is </w:t>
      </w:r>
      <w:r w:rsidR="008C1E3C" w:rsidRPr="001A0B2D">
        <w:rPr>
          <w:rFonts w:ascii="Bookman Old Style" w:hAnsi="Bookman Old Style"/>
        </w:rPr>
        <w:t xml:space="preserve">a marked </w:t>
      </w:r>
      <w:r w:rsidR="00A82DC8" w:rsidRPr="001A0B2D">
        <w:rPr>
          <w:rFonts w:ascii="Bookman Old Style" w:hAnsi="Bookman Old Style"/>
        </w:rPr>
        <w:t xml:space="preserve">asymmetry </w:t>
      </w:r>
      <w:r w:rsidR="00A75563" w:rsidRPr="001A0B2D">
        <w:rPr>
          <w:rFonts w:ascii="Bookman Old Style" w:hAnsi="Bookman Old Style"/>
        </w:rPr>
        <w:t>in</w:t>
      </w:r>
      <w:r w:rsidR="00A82DC8" w:rsidRPr="001A0B2D">
        <w:rPr>
          <w:rFonts w:ascii="Bookman Old Style" w:hAnsi="Bookman Old Style"/>
        </w:rPr>
        <w:t xml:space="preserve"> building </w:t>
      </w:r>
      <w:r w:rsidR="00A75563" w:rsidRPr="001A0B2D">
        <w:rPr>
          <w:rFonts w:ascii="Bookman Old Style" w:hAnsi="Bookman Old Style"/>
        </w:rPr>
        <w:t>versus</w:t>
      </w:r>
      <w:r w:rsidR="00A82DC8" w:rsidRPr="001A0B2D">
        <w:rPr>
          <w:rFonts w:ascii="Bookman Old Style" w:hAnsi="Bookman Old Style"/>
        </w:rPr>
        <w:t xml:space="preserve"> losing trust</w:t>
      </w:r>
      <w:r w:rsidRPr="001A0B2D">
        <w:rPr>
          <w:rFonts w:ascii="Bookman Old Style" w:hAnsi="Bookman Old Style"/>
        </w:rPr>
        <w:t>.</w:t>
      </w:r>
    </w:p>
    <w:p w:rsidR="00D85C5C" w:rsidRPr="001A0B2D" w:rsidRDefault="00A75563" w:rsidP="00234D0A">
      <w:pPr>
        <w:spacing w:before="120" w:line="360" w:lineRule="auto"/>
        <w:ind w:firstLine="0"/>
        <w:jc w:val="left"/>
        <w:rPr>
          <w:rFonts w:ascii="Bookman Old Style" w:hAnsi="Bookman Old Style"/>
        </w:rPr>
      </w:pPr>
      <w:r w:rsidRPr="001A0B2D">
        <w:rPr>
          <w:rFonts w:ascii="Bookman Old Style" w:hAnsi="Bookman Old Style"/>
        </w:rPr>
        <w:t xml:space="preserve">It can be summarised that psychology (especially social psychology) is relatively highly interested in trust, especially its social implications. Here one needs to mention </w:t>
      </w:r>
      <w:proofErr w:type="spellStart"/>
      <w:r w:rsidRPr="001A0B2D">
        <w:rPr>
          <w:rFonts w:ascii="Bookman Old Style" w:hAnsi="Bookman Old Style"/>
        </w:rPr>
        <w:t>Brabara</w:t>
      </w:r>
      <w:proofErr w:type="spellEnd"/>
      <w:r w:rsidRPr="001A0B2D">
        <w:rPr>
          <w:rFonts w:ascii="Bookman Old Style" w:hAnsi="Bookman Old Style"/>
        </w:rPr>
        <w:t xml:space="preserve"> </w:t>
      </w:r>
      <w:proofErr w:type="spellStart"/>
      <w:r w:rsidRPr="001A0B2D">
        <w:rPr>
          <w:rFonts w:ascii="Bookman Old Style" w:hAnsi="Bookman Old Style"/>
        </w:rPr>
        <w:t>Misztal’s</w:t>
      </w:r>
      <w:proofErr w:type="spellEnd"/>
      <w:r w:rsidRPr="001A0B2D">
        <w:rPr>
          <w:rFonts w:ascii="Bookman Old Style" w:hAnsi="Bookman Old Style"/>
        </w:rPr>
        <w:t xml:space="preserve"> book, in which she attempts to capture all existing meaningful aspects of the concept, concluding that trust has three most important roles in human life.  It makes social interactions predictable, it creates a sense of </w:t>
      </w:r>
      <w:hyperlink r:id="rId7" w:tooltip="Community" w:history="1">
        <w:r w:rsidRPr="001A0B2D">
          <w:rPr>
            <w:rFonts w:ascii="Bookman Old Style" w:hAnsi="Bookman Old Style"/>
          </w:rPr>
          <w:t>community</w:t>
        </w:r>
      </w:hyperlink>
      <w:r w:rsidRPr="001A0B2D">
        <w:rPr>
          <w:rFonts w:ascii="Bookman Old Style" w:hAnsi="Bookman Old Style"/>
        </w:rPr>
        <w:t>, and it makes it easier for people to work together</w:t>
      </w:r>
      <w:r w:rsidR="00AC59E8" w:rsidRPr="001A0B2D">
        <w:rPr>
          <w:rFonts w:ascii="Bookman Old Style" w:hAnsi="Bookman Old Style"/>
        </w:rPr>
        <w:t xml:space="preserve"> </w:t>
      </w:r>
      <w:r w:rsidR="00C12A40">
        <w:rPr>
          <w:rFonts w:ascii="Bookman Old Style" w:hAnsi="Bookman Old Style"/>
        </w:rPr>
        <w:t>[32]</w:t>
      </w:r>
      <w:r w:rsidRPr="001A0B2D">
        <w:rPr>
          <w:rFonts w:ascii="Bookman Old Style" w:hAnsi="Bookman Old Style"/>
        </w:rPr>
        <w:t>.</w:t>
      </w:r>
      <w:r w:rsidR="00AC59E8" w:rsidRPr="001A0B2D">
        <w:rPr>
          <w:rFonts w:ascii="Bookman Old Style" w:hAnsi="Bookman Old Style"/>
        </w:rPr>
        <w:t xml:space="preserve"> In addition to its social roles</w:t>
      </w:r>
      <w:r w:rsidR="008A0141">
        <w:rPr>
          <w:rFonts w:ascii="Bookman Old Style" w:hAnsi="Bookman Old Style"/>
        </w:rPr>
        <w:t>,</w:t>
      </w:r>
      <w:r w:rsidR="00AC59E8" w:rsidRPr="001A0B2D">
        <w:rPr>
          <w:rFonts w:ascii="Bookman Old Style" w:hAnsi="Bookman Old Style"/>
        </w:rPr>
        <w:t xml:space="preserve"> trust may have positive </w:t>
      </w:r>
      <w:r w:rsidR="00507E08" w:rsidRPr="001A0B2D">
        <w:rPr>
          <w:rFonts w:ascii="Bookman Old Style" w:hAnsi="Bookman Old Style"/>
        </w:rPr>
        <w:t>effects</w:t>
      </w:r>
      <w:r w:rsidR="00AC59E8" w:rsidRPr="001A0B2D">
        <w:rPr>
          <w:rFonts w:ascii="Bookman Old Style" w:hAnsi="Bookman Old Style"/>
        </w:rPr>
        <w:t xml:space="preserve"> on the behaviours, perceptions, and </w:t>
      </w:r>
      <w:hyperlink r:id="rId8" w:tooltip="Performance" w:history="1">
        <w:r w:rsidR="00AC59E8" w:rsidRPr="001A0B2D">
          <w:rPr>
            <w:rFonts w:ascii="Bookman Old Style" w:hAnsi="Bookman Old Style"/>
          </w:rPr>
          <w:t>performances</w:t>
        </w:r>
      </w:hyperlink>
      <w:r w:rsidR="00AC59E8" w:rsidRPr="001A0B2D">
        <w:rPr>
          <w:rFonts w:ascii="Bookman Old Style" w:hAnsi="Bookman Old Style"/>
        </w:rPr>
        <w:t xml:space="preserve"> of a person. For example</w:t>
      </w:r>
      <w:r w:rsidR="00507E08" w:rsidRPr="001A0B2D">
        <w:rPr>
          <w:rFonts w:ascii="Bookman Old Style" w:hAnsi="Bookman Old Style"/>
        </w:rPr>
        <w:t>,</w:t>
      </w:r>
      <w:r w:rsidR="00AC59E8" w:rsidRPr="001A0B2D">
        <w:rPr>
          <w:rFonts w:ascii="Bookman Old Style" w:hAnsi="Bookman Old Style"/>
        </w:rPr>
        <w:t xml:space="preserve"> it </w:t>
      </w:r>
      <w:r w:rsidR="00507E08" w:rsidRPr="001A0B2D">
        <w:rPr>
          <w:rFonts w:ascii="Bookman Old Style" w:hAnsi="Bookman Old Style"/>
        </w:rPr>
        <w:t xml:space="preserve">has a reciprocal relationship with </w:t>
      </w:r>
      <w:hyperlink r:id="rId9" w:tooltip="Organizational justice" w:history="1">
        <w:r w:rsidR="00507E08" w:rsidRPr="001A0B2D">
          <w:rPr>
            <w:rFonts w:ascii="Bookman Old Style" w:hAnsi="Bookman Old Style"/>
          </w:rPr>
          <w:t>organisational justice</w:t>
        </w:r>
      </w:hyperlink>
      <w:r w:rsidR="00507E08" w:rsidRPr="001A0B2D">
        <w:rPr>
          <w:rFonts w:ascii="Bookman Old Style" w:hAnsi="Bookman Old Style"/>
        </w:rPr>
        <w:t xml:space="preserve"> perceptions and the two reinforce each other </w:t>
      </w:r>
      <w:r w:rsidR="00C12A40">
        <w:rPr>
          <w:rFonts w:ascii="Bookman Old Style" w:hAnsi="Bookman Old Style"/>
        </w:rPr>
        <w:t>[33]</w:t>
      </w:r>
      <w:r w:rsidR="00507E08" w:rsidRPr="001A0B2D">
        <w:t xml:space="preserve">. </w:t>
      </w:r>
      <w:r w:rsidR="00507E08" w:rsidRPr="001A0B2D">
        <w:rPr>
          <w:rFonts w:ascii="Bookman Old Style" w:hAnsi="Bookman Old Style"/>
        </w:rPr>
        <w:t xml:space="preserve">Again from the point of view of organisations, trust proves influenced by the structuring of the work environment and in turn is a factor for increased cooperation and enhanced performance </w:t>
      </w:r>
      <w:r w:rsidR="00C12A40">
        <w:rPr>
          <w:rFonts w:ascii="Bookman Old Style" w:hAnsi="Bookman Old Style"/>
        </w:rPr>
        <w:t xml:space="preserve">[33]. </w:t>
      </w:r>
      <w:r w:rsidR="007E2278" w:rsidRPr="001A0B2D">
        <w:rPr>
          <w:rFonts w:ascii="Bookman Old Style" w:hAnsi="Bookman Old Style"/>
        </w:rPr>
        <w:t xml:space="preserve">Conversely, where trust is absent, projects can fail, especially if this lack of trust has not been identified and addressed </w:t>
      </w:r>
      <w:r w:rsidR="00C12A40">
        <w:rPr>
          <w:rFonts w:ascii="Bookman Old Style" w:hAnsi="Bookman Old Style"/>
        </w:rPr>
        <w:t>[34]</w:t>
      </w:r>
      <w:r w:rsidR="007E2278" w:rsidRPr="003D572C">
        <w:rPr>
          <w:rFonts w:ascii="Academy" w:hAnsi="Academy"/>
        </w:rPr>
        <w:t>.</w:t>
      </w:r>
    </w:p>
    <w:p w:rsidR="0040756F" w:rsidRPr="001A0B2D" w:rsidRDefault="00261B8A" w:rsidP="00234D0A">
      <w:pPr>
        <w:spacing w:before="120" w:line="360" w:lineRule="auto"/>
        <w:ind w:firstLine="0"/>
        <w:jc w:val="left"/>
        <w:rPr>
          <w:rFonts w:ascii="Bookman Old Style" w:hAnsi="Bookman Old Style"/>
        </w:rPr>
      </w:pPr>
      <w:r w:rsidRPr="001A0B2D">
        <w:rPr>
          <w:rFonts w:ascii="Bookman Old Style" w:hAnsi="Bookman Old Style"/>
        </w:rPr>
        <w:t>Social-</w:t>
      </w:r>
      <w:r w:rsidR="004E459C" w:rsidRPr="001A0B2D">
        <w:rPr>
          <w:rFonts w:ascii="Bookman Old Style" w:hAnsi="Bookman Old Style"/>
        </w:rPr>
        <w:t xml:space="preserve">identity </w:t>
      </w:r>
      <w:r w:rsidRPr="001A0B2D">
        <w:rPr>
          <w:rFonts w:ascii="Bookman Old Style" w:hAnsi="Bookman Old Style"/>
        </w:rPr>
        <w:t>theories</w:t>
      </w:r>
      <w:r w:rsidR="004E459C" w:rsidRPr="001A0B2D">
        <w:rPr>
          <w:rFonts w:ascii="Bookman Old Style" w:hAnsi="Bookman Old Style"/>
        </w:rPr>
        <w:t xml:space="preserve"> too manifest a traditional interest in trust, social identity on its own </w:t>
      </w:r>
      <w:r w:rsidR="00120892" w:rsidRPr="001A0B2D">
        <w:rPr>
          <w:rFonts w:ascii="Bookman Old Style" w:hAnsi="Bookman Old Style"/>
        </w:rPr>
        <w:t>right</w:t>
      </w:r>
      <w:r w:rsidR="004E459C" w:rsidRPr="001A0B2D">
        <w:rPr>
          <w:rFonts w:ascii="Bookman Old Style" w:hAnsi="Bookman Old Style"/>
        </w:rPr>
        <w:t xml:space="preserve"> having significant cultural aspects. The attitudes and behaviours showing the difference in the perception of the other</w:t>
      </w:r>
      <w:r w:rsidR="00AB685F">
        <w:rPr>
          <w:rFonts w:ascii="Bookman Old Style" w:hAnsi="Bookman Old Style"/>
        </w:rPr>
        <w:t>,</w:t>
      </w:r>
      <w:r w:rsidR="004E459C" w:rsidRPr="001A0B2D">
        <w:rPr>
          <w:rFonts w:ascii="Bookman Old Style" w:hAnsi="Bookman Old Style"/>
        </w:rPr>
        <w:t xml:space="preserve"> depending on their </w:t>
      </w:r>
      <w:r w:rsidR="004E459C" w:rsidRPr="001A0B2D">
        <w:rPr>
          <w:rFonts w:ascii="Bookman Old Style" w:hAnsi="Bookman Old Style"/>
        </w:rPr>
        <w:lastRenderedPageBreak/>
        <w:t xml:space="preserve">belonging or not to some kind of </w:t>
      </w:r>
      <w:r w:rsidRPr="001A0B2D">
        <w:rPr>
          <w:rFonts w:ascii="Bookman Old Style" w:hAnsi="Bookman Old Style"/>
        </w:rPr>
        <w:t>‘</w:t>
      </w:r>
      <w:r w:rsidR="004E459C" w:rsidRPr="001A0B2D">
        <w:rPr>
          <w:rFonts w:ascii="Bookman Old Style" w:hAnsi="Bookman Old Style"/>
        </w:rPr>
        <w:t>own</w:t>
      </w:r>
      <w:r w:rsidRPr="001A0B2D">
        <w:rPr>
          <w:rFonts w:ascii="Bookman Old Style" w:hAnsi="Bookman Old Style"/>
        </w:rPr>
        <w:t>’</w:t>
      </w:r>
      <w:r w:rsidR="004E459C" w:rsidRPr="001A0B2D">
        <w:rPr>
          <w:rFonts w:ascii="Bookman Old Style" w:hAnsi="Bookman Old Style"/>
        </w:rPr>
        <w:t xml:space="preserve"> group, </w:t>
      </w:r>
      <w:r w:rsidR="00AB685F">
        <w:rPr>
          <w:rFonts w:ascii="Bookman Old Style" w:hAnsi="Bookman Old Style"/>
        </w:rPr>
        <w:t>is</w:t>
      </w:r>
      <w:r w:rsidR="004E459C" w:rsidRPr="001A0B2D">
        <w:rPr>
          <w:rFonts w:ascii="Bookman Old Style" w:hAnsi="Bookman Old Style"/>
        </w:rPr>
        <w:t xml:space="preserve"> based </w:t>
      </w:r>
      <w:r w:rsidRPr="001A0B2D">
        <w:rPr>
          <w:rFonts w:ascii="Bookman Old Style" w:hAnsi="Bookman Old Style"/>
        </w:rPr>
        <w:t xml:space="preserve">primarily </w:t>
      </w:r>
      <w:r w:rsidR="004E459C" w:rsidRPr="001A0B2D">
        <w:rPr>
          <w:rFonts w:ascii="Bookman Old Style" w:hAnsi="Bookman Old Style"/>
        </w:rPr>
        <w:t>on trust.</w:t>
      </w:r>
      <w:r w:rsidR="00D85C5C" w:rsidRPr="001A0B2D">
        <w:rPr>
          <w:rFonts w:ascii="Bookman Old Style" w:hAnsi="Bookman Old Style"/>
        </w:rPr>
        <w:t xml:space="preserve"> </w:t>
      </w:r>
      <w:r w:rsidRPr="001A0B2D">
        <w:rPr>
          <w:rFonts w:ascii="Bookman Old Style" w:hAnsi="Bookman Old Style"/>
        </w:rPr>
        <w:t>A whole series of experiments arrive at</w:t>
      </w:r>
      <w:r w:rsidR="004E459C" w:rsidRPr="001A0B2D">
        <w:rPr>
          <w:rFonts w:ascii="Bookman Old Style" w:hAnsi="Bookman Old Style"/>
        </w:rPr>
        <w:t xml:space="preserve"> </w:t>
      </w:r>
      <w:r w:rsidRPr="001A0B2D">
        <w:rPr>
          <w:rFonts w:ascii="Bookman Old Style" w:hAnsi="Bookman Old Style"/>
        </w:rPr>
        <w:t xml:space="preserve">interesting </w:t>
      </w:r>
      <w:r w:rsidR="004E459C" w:rsidRPr="001A0B2D">
        <w:rPr>
          <w:rFonts w:ascii="Bookman Old Style" w:hAnsi="Bookman Old Style"/>
        </w:rPr>
        <w:t>conclusions</w:t>
      </w:r>
      <w:r w:rsidR="00AB685F">
        <w:rPr>
          <w:rFonts w:ascii="Bookman Old Style" w:hAnsi="Bookman Old Style"/>
        </w:rPr>
        <w:t>,</w:t>
      </w:r>
      <w:r w:rsidR="004E459C" w:rsidRPr="001A0B2D">
        <w:rPr>
          <w:rFonts w:ascii="Bookman Old Style" w:hAnsi="Bookman Old Style"/>
        </w:rPr>
        <w:t xml:space="preserve"> </w:t>
      </w:r>
      <w:r w:rsidR="00D85C5C" w:rsidRPr="001A0B2D">
        <w:rPr>
          <w:rFonts w:ascii="Bookman Old Style" w:hAnsi="Bookman Old Style"/>
        </w:rPr>
        <w:t xml:space="preserve">showing that the definition of </w:t>
      </w:r>
      <w:r w:rsidRPr="001A0B2D">
        <w:rPr>
          <w:rFonts w:ascii="Bookman Old Style" w:hAnsi="Bookman Old Style"/>
        </w:rPr>
        <w:t>‘same club’</w:t>
      </w:r>
      <w:r w:rsidR="00D85C5C" w:rsidRPr="001A0B2D">
        <w:rPr>
          <w:rFonts w:ascii="Bookman Old Style" w:hAnsi="Bookman Old Style"/>
        </w:rPr>
        <w:t xml:space="preserve"> membership can be </w:t>
      </w:r>
      <w:r w:rsidRPr="001A0B2D">
        <w:rPr>
          <w:rFonts w:ascii="Bookman Old Style" w:hAnsi="Bookman Old Style"/>
        </w:rPr>
        <w:t>defined</w:t>
      </w:r>
      <w:r w:rsidR="00D85C5C" w:rsidRPr="001A0B2D">
        <w:rPr>
          <w:rFonts w:ascii="Bookman Old Style" w:hAnsi="Bookman Old Style"/>
        </w:rPr>
        <w:t xml:space="preserve"> by factors such as </w:t>
      </w:r>
      <w:r w:rsidRPr="001A0B2D">
        <w:rPr>
          <w:rFonts w:ascii="Bookman Old Style" w:hAnsi="Bookman Old Style"/>
        </w:rPr>
        <w:t>being a fan of</w:t>
      </w:r>
      <w:r w:rsidR="00D85C5C" w:rsidRPr="001A0B2D">
        <w:rPr>
          <w:rFonts w:ascii="Bookman Old Style" w:hAnsi="Bookman Old Style"/>
        </w:rPr>
        <w:t xml:space="preserve"> the same football team, the university they went to, a mutual acquaintance and such like </w:t>
      </w:r>
      <w:proofErr w:type="spellStart"/>
      <w:r w:rsidR="00D85C5C" w:rsidRPr="001A0B2D">
        <w:rPr>
          <w:rFonts w:ascii="Bookman Old Style" w:hAnsi="Bookman Old Style"/>
        </w:rPr>
        <w:t>stereotypisations</w:t>
      </w:r>
      <w:proofErr w:type="spellEnd"/>
      <w:r w:rsidR="00D85C5C" w:rsidRPr="001A0B2D">
        <w:rPr>
          <w:rFonts w:ascii="Bookman Old Style" w:hAnsi="Bookman Old Style"/>
        </w:rPr>
        <w:t>; however, once in place this perception of the other as a member of the same group invites higher levels of trust. This holds true even when the attitude towards one’s own group is not particularly positive</w:t>
      </w:r>
      <w:r w:rsidR="00C12A40">
        <w:rPr>
          <w:rFonts w:ascii="Bookman Old Style" w:hAnsi="Bookman Old Style"/>
        </w:rPr>
        <w:t xml:space="preserve"> [35, 36, 37]. </w:t>
      </w:r>
    </w:p>
    <w:p w:rsidR="00032111" w:rsidRPr="001A0B2D" w:rsidRDefault="00352808" w:rsidP="00234D0A">
      <w:pPr>
        <w:pStyle w:val="NormalWeb"/>
        <w:spacing w:before="120" w:beforeAutospacing="0" w:after="0" w:afterAutospacing="0" w:line="360" w:lineRule="auto"/>
        <w:rPr>
          <w:rFonts w:ascii="Bookman Old Style" w:hAnsi="Bookman Old Style"/>
          <w:lang w:val="en-GB"/>
        </w:rPr>
      </w:pPr>
      <w:r w:rsidRPr="001A0B2D">
        <w:rPr>
          <w:rFonts w:ascii="Bookman Old Style" w:hAnsi="Bookman Old Style"/>
          <w:lang w:val="en-GB"/>
        </w:rPr>
        <w:t>In this case the way economics treats trust is of particular interest. In this field of science t</w:t>
      </w:r>
      <w:r w:rsidR="002C4AC8" w:rsidRPr="001A0B2D">
        <w:rPr>
          <w:rFonts w:ascii="Bookman Old Style" w:hAnsi="Bookman Old Style"/>
          <w:lang w:val="en-GB"/>
        </w:rPr>
        <w:t xml:space="preserve">rust is </w:t>
      </w:r>
      <w:r w:rsidRPr="001A0B2D">
        <w:rPr>
          <w:rFonts w:ascii="Bookman Old Style" w:hAnsi="Bookman Old Style"/>
          <w:lang w:val="en-GB"/>
        </w:rPr>
        <w:t>interpreted</w:t>
      </w:r>
      <w:r w:rsidR="002C4AC8" w:rsidRPr="001A0B2D">
        <w:rPr>
          <w:rFonts w:ascii="Bookman Old Style" w:hAnsi="Bookman Old Style"/>
          <w:lang w:val="en-GB"/>
        </w:rPr>
        <w:t xml:space="preserve"> as an explanation for </w:t>
      </w:r>
      <w:r w:rsidRPr="001A0B2D">
        <w:rPr>
          <w:rFonts w:ascii="Bookman Old Style" w:hAnsi="Bookman Old Style"/>
          <w:lang w:val="en-GB"/>
        </w:rPr>
        <w:t>the</w:t>
      </w:r>
      <w:r w:rsidR="002C4AC8" w:rsidRPr="001A0B2D">
        <w:rPr>
          <w:rFonts w:ascii="Bookman Old Style" w:hAnsi="Bookman Old Style"/>
          <w:lang w:val="en-GB"/>
        </w:rPr>
        <w:t xml:space="preserve"> difference between actual human behaviour and the one that can be explained by the individual desire to maximize one's utility. In </w:t>
      </w:r>
      <w:r w:rsidRPr="001A0B2D">
        <w:rPr>
          <w:rFonts w:ascii="Bookman Old Style" w:hAnsi="Bookman Old Style"/>
          <w:lang w:val="en-GB"/>
        </w:rPr>
        <w:t>other words</w:t>
      </w:r>
      <w:r w:rsidR="00AB685F">
        <w:rPr>
          <w:rFonts w:ascii="Bookman Old Style" w:hAnsi="Bookman Old Style"/>
          <w:lang w:val="en-GB"/>
        </w:rPr>
        <w:t>,</w:t>
      </w:r>
      <w:r w:rsidRPr="001A0B2D">
        <w:rPr>
          <w:rFonts w:ascii="Bookman Old Style" w:hAnsi="Bookman Old Style"/>
          <w:lang w:val="en-GB"/>
        </w:rPr>
        <w:t xml:space="preserve"> in economics trust is seen as</w:t>
      </w:r>
      <w:r w:rsidR="002C4AC8" w:rsidRPr="001A0B2D">
        <w:rPr>
          <w:rFonts w:ascii="Bookman Old Style" w:hAnsi="Bookman Old Style"/>
          <w:lang w:val="en-GB"/>
        </w:rPr>
        <w:t xml:space="preserve"> provid</w:t>
      </w:r>
      <w:r w:rsidRPr="001A0B2D">
        <w:rPr>
          <w:rFonts w:ascii="Bookman Old Style" w:hAnsi="Bookman Old Style"/>
          <w:lang w:val="en-GB"/>
        </w:rPr>
        <w:t>ing</w:t>
      </w:r>
      <w:r w:rsidR="002C4AC8" w:rsidRPr="001A0B2D">
        <w:rPr>
          <w:rFonts w:ascii="Bookman Old Style" w:hAnsi="Bookman Old Style"/>
          <w:lang w:val="en-GB"/>
        </w:rPr>
        <w:t xml:space="preserve"> an explanation of </w:t>
      </w:r>
      <w:r w:rsidRPr="001A0B2D">
        <w:rPr>
          <w:rFonts w:ascii="Bookman Old Style" w:hAnsi="Bookman Old Style"/>
          <w:lang w:val="en-GB"/>
        </w:rPr>
        <w:t>the</w:t>
      </w:r>
      <w:r w:rsidR="002C4AC8" w:rsidRPr="001A0B2D">
        <w:rPr>
          <w:rFonts w:ascii="Bookman Old Style" w:hAnsi="Bookman Old Style"/>
          <w:lang w:val="en-GB"/>
        </w:rPr>
        <w:t xml:space="preserve"> difference between </w:t>
      </w:r>
      <w:hyperlink r:id="rId10" w:tooltip="Nash equilibrium" w:history="1">
        <w:r w:rsidR="002C4AC8" w:rsidRPr="001A0B2D">
          <w:rPr>
            <w:rFonts w:ascii="Bookman Old Style" w:hAnsi="Bookman Old Style"/>
            <w:lang w:val="en-GB"/>
          </w:rPr>
          <w:t>Nash equilibrium</w:t>
        </w:r>
      </w:hyperlink>
      <w:r w:rsidRPr="001A0B2D">
        <w:rPr>
          <w:rFonts w:ascii="Bookman Old Style" w:hAnsi="Bookman Old Style"/>
          <w:lang w:val="en-GB"/>
        </w:rPr>
        <w:t xml:space="preserve"> and the </w:t>
      </w:r>
      <w:r w:rsidR="00AB685F">
        <w:rPr>
          <w:rFonts w:ascii="Bookman Old Style" w:hAnsi="Bookman Old Style"/>
          <w:lang w:val="en-GB"/>
        </w:rPr>
        <w:t xml:space="preserve">actual, </w:t>
      </w:r>
      <w:r w:rsidRPr="001A0B2D">
        <w:rPr>
          <w:rFonts w:ascii="Bookman Old Style" w:hAnsi="Bookman Old Style"/>
          <w:lang w:val="en-GB"/>
        </w:rPr>
        <w:t>observed equilibria</w:t>
      </w:r>
      <w:r w:rsidR="002C4AC8" w:rsidRPr="001A0B2D">
        <w:rPr>
          <w:rFonts w:ascii="Bookman Old Style" w:hAnsi="Bookman Old Style"/>
          <w:lang w:val="en-GB"/>
        </w:rPr>
        <w:t xml:space="preserve">. </w:t>
      </w:r>
      <w:r w:rsidRPr="001A0B2D">
        <w:rPr>
          <w:rFonts w:ascii="Bookman Old Style" w:hAnsi="Bookman Old Style"/>
          <w:lang w:val="en-GB"/>
        </w:rPr>
        <w:t xml:space="preserve">Bearing in mind the latest research in cognitive neuroscience and behavioural economics, this is an approach ignoring the presence of a host of other irrational factors determining economic </w:t>
      </w:r>
      <w:r w:rsidR="00AB685F" w:rsidRPr="001A0B2D">
        <w:rPr>
          <w:rFonts w:ascii="Bookman Old Style" w:hAnsi="Bookman Old Style"/>
          <w:lang w:val="en-GB"/>
        </w:rPr>
        <w:t>behaviour</w:t>
      </w:r>
      <w:r w:rsidR="00032111" w:rsidRPr="001A0B2D">
        <w:rPr>
          <w:rFonts w:ascii="Bookman Old Style" w:hAnsi="Bookman Old Style"/>
          <w:lang w:val="en-GB"/>
        </w:rPr>
        <w:t xml:space="preserve"> but at least it acknowledges the importance of trust. In economics trust is also seen as a</w:t>
      </w:r>
      <w:r w:rsidR="002C4AC8" w:rsidRPr="001A0B2D">
        <w:rPr>
          <w:rFonts w:ascii="Bookman Old Style" w:hAnsi="Bookman Old Style"/>
          <w:lang w:val="en-GB"/>
        </w:rPr>
        <w:t xml:space="preserve"> lubricant</w:t>
      </w:r>
      <w:r w:rsidR="00032111" w:rsidRPr="001A0B2D">
        <w:rPr>
          <w:rFonts w:ascii="Bookman Old Style" w:hAnsi="Bookman Old Style"/>
          <w:lang w:val="en-GB"/>
        </w:rPr>
        <w:t xml:space="preserve"> of a number of social transitions</w:t>
      </w:r>
      <w:r w:rsidR="002C4AC8" w:rsidRPr="001A0B2D">
        <w:rPr>
          <w:rFonts w:ascii="Bookman Old Style" w:hAnsi="Bookman Old Style"/>
          <w:lang w:val="en-GB"/>
        </w:rPr>
        <w:t xml:space="preserve">, reducing the cost of </w:t>
      </w:r>
      <w:r w:rsidR="00032111" w:rsidRPr="001A0B2D">
        <w:rPr>
          <w:rFonts w:ascii="Bookman Old Style" w:hAnsi="Bookman Old Style"/>
          <w:lang w:val="en-GB"/>
        </w:rPr>
        <w:t xml:space="preserve">these </w:t>
      </w:r>
      <w:r w:rsidR="002C4AC8" w:rsidRPr="001A0B2D">
        <w:rPr>
          <w:rFonts w:ascii="Bookman Old Style" w:hAnsi="Bookman Old Style"/>
          <w:lang w:val="en-GB"/>
        </w:rPr>
        <w:t xml:space="preserve">transactions, enabling new forms of </w:t>
      </w:r>
      <w:r w:rsidR="00032111" w:rsidRPr="001A0B2D">
        <w:rPr>
          <w:rFonts w:ascii="Bookman Old Style" w:hAnsi="Bookman Old Style"/>
          <w:lang w:val="en-GB"/>
        </w:rPr>
        <w:t>theirs</w:t>
      </w:r>
      <w:r w:rsidR="002C4AC8" w:rsidRPr="001A0B2D">
        <w:rPr>
          <w:rFonts w:ascii="Bookman Old Style" w:hAnsi="Bookman Old Style"/>
          <w:lang w:val="en-GB"/>
        </w:rPr>
        <w:t xml:space="preserve"> and generally furthering business activities</w:t>
      </w:r>
      <w:r w:rsidR="00032111" w:rsidRPr="001A0B2D">
        <w:rPr>
          <w:rFonts w:ascii="Bookman Old Style" w:hAnsi="Bookman Old Style"/>
          <w:lang w:val="en-GB"/>
        </w:rPr>
        <w:t xml:space="preserve"> </w:t>
      </w:r>
      <w:r w:rsidR="0013179B">
        <w:rPr>
          <w:rFonts w:ascii="Bookman Old Style" w:hAnsi="Bookman Old Style"/>
          <w:lang w:val="en-GB"/>
        </w:rPr>
        <w:t>[38, 39]</w:t>
      </w:r>
      <w:r w:rsidR="00032111" w:rsidRPr="001A0B2D">
        <w:rPr>
          <w:rFonts w:ascii="Bookman Old Style" w:hAnsi="Bookman Old Style"/>
          <w:lang w:val="en-GB"/>
        </w:rPr>
        <w:t xml:space="preserve">, including employment and prosperity </w:t>
      </w:r>
      <w:r w:rsidR="0013179B">
        <w:rPr>
          <w:rFonts w:ascii="Bookman Old Style" w:hAnsi="Bookman Old Style"/>
          <w:lang w:val="en-GB"/>
        </w:rPr>
        <w:t>[40]</w:t>
      </w:r>
      <w:r w:rsidR="00032111" w:rsidRPr="00F20A23">
        <w:rPr>
          <w:rFonts w:ascii="Academy" w:hAnsi="Academy"/>
          <w:lang w:val="en-GB"/>
        </w:rPr>
        <w:t>.</w:t>
      </w:r>
      <w:r w:rsidR="00032111" w:rsidRPr="001A0B2D">
        <w:rPr>
          <w:rFonts w:ascii="Bookman Old Style" w:hAnsi="Bookman Old Style"/>
          <w:lang w:val="en-GB"/>
        </w:rPr>
        <w:t xml:space="preserve"> From this point of view</w:t>
      </w:r>
      <w:r w:rsidR="002C4AC8" w:rsidRPr="001A0B2D">
        <w:rPr>
          <w:rFonts w:ascii="Bookman Old Style" w:hAnsi="Bookman Old Style"/>
          <w:lang w:val="en-GB"/>
        </w:rPr>
        <w:t xml:space="preserve"> trust </w:t>
      </w:r>
      <w:r w:rsidR="00032111" w:rsidRPr="001A0B2D">
        <w:rPr>
          <w:rFonts w:ascii="Bookman Old Style" w:hAnsi="Bookman Old Style"/>
          <w:lang w:val="en-GB"/>
        </w:rPr>
        <w:t xml:space="preserve">is also regarded </w:t>
      </w:r>
      <w:r w:rsidR="002C4AC8" w:rsidRPr="001A0B2D">
        <w:rPr>
          <w:rFonts w:ascii="Bookman Old Style" w:hAnsi="Bookman Old Style"/>
          <w:lang w:val="en-GB"/>
        </w:rPr>
        <w:t xml:space="preserve">as a form of </w:t>
      </w:r>
      <w:hyperlink r:id="rId11" w:tooltip="Social capital" w:history="1">
        <w:r w:rsidR="002C4AC8" w:rsidRPr="001A0B2D">
          <w:rPr>
            <w:rFonts w:ascii="Bookman Old Style" w:hAnsi="Bookman Old Style"/>
            <w:lang w:val="en-GB"/>
          </w:rPr>
          <w:t>social capital</w:t>
        </w:r>
      </w:hyperlink>
      <w:r w:rsidR="00D56AD5" w:rsidRPr="001A0B2D">
        <w:rPr>
          <w:rFonts w:ascii="Bookman Old Style" w:hAnsi="Bookman Old Style"/>
          <w:lang w:val="en-GB"/>
        </w:rPr>
        <w:t>. Traditionally, it</w:t>
      </w:r>
      <w:r w:rsidR="002C4AC8" w:rsidRPr="001A0B2D">
        <w:rPr>
          <w:rFonts w:ascii="Bookman Old Style" w:hAnsi="Bookman Old Style"/>
          <w:lang w:val="en-GB"/>
        </w:rPr>
        <w:t xml:space="preserve"> has been claimed that higher level</w:t>
      </w:r>
      <w:r w:rsidR="00D56AD5" w:rsidRPr="001A0B2D">
        <w:rPr>
          <w:rFonts w:ascii="Bookman Old Style" w:hAnsi="Bookman Old Style"/>
          <w:lang w:val="en-GB"/>
        </w:rPr>
        <w:t>s</w:t>
      </w:r>
      <w:r w:rsidR="002C4AC8" w:rsidRPr="001A0B2D">
        <w:rPr>
          <w:rFonts w:ascii="Bookman Old Style" w:hAnsi="Bookman Old Style"/>
          <w:lang w:val="en-GB"/>
        </w:rPr>
        <w:t xml:space="preserve"> of social trust </w:t>
      </w:r>
      <w:r w:rsidR="00D56AD5" w:rsidRPr="001A0B2D">
        <w:rPr>
          <w:rFonts w:ascii="Bookman Old Style" w:hAnsi="Bookman Old Style"/>
          <w:lang w:val="en-GB"/>
        </w:rPr>
        <w:t>are</w:t>
      </w:r>
      <w:r w:rsidR="002C4AC8" w:rsidRPr="001A0B2D">
        <w:rPr>
          <w:rFonts w:ascii="Bookman Old Style" w:hAnsi="Bookman Old Style"/>
          <w:lang w:val="en-GB"/>
        </w:rPr>
        <w:t xml:space="preserve"> positively correlated with economic development</w:t>
      </w:r>
      <w:r w:rsidR="00D56AD5" w:rsidRPr="001A0B2D">
        <w:rPr>
          <w:rFonts w:ascii="Bookman Old Style" w:hAnsi="Bookman Old Style"/>
          <w:lang w:val="en-GB"/>
        </w:rPr>
        <w:t xml:space="preserve">, while </w:t>
      </w:r>
      <w:r w:rsidR="002C4AC8" w:rsidRPr="001A0B2D">
        <w:rPr>
          <w:rFonts w:ascii="Bookman Old Style" w:hAnsi="Bookman Old Style"/>
          <w:lang w:val="en-GB"/>
        </w:rPr>
        <w:t>low</w:t>
      </w:r>
      <w:r w:rsidR="00D56AD5" w:rsidRPr="001A0B2D">
        <w:rPr>
          <w:rFonts w:ascii="Bookman Old Style" w:hAnsi="Bookman Old Style"/>
          <w:lang w:val="en-GB"/>
        </w:rPr>
        <w:t>er</w:t>
      </w:r>
      <w:r w:rsidR="002C4AC8" w:rsidRPr="001A0B2D">
        <w:rPr>
          <w:rFonts w:ascii="Bookman Old Style" w:hAnsi="Bookman Old Style"/>
          <w:lang w:val="en-GB"/>
        </w:rPr>
        <w:t xml:space="preserve"> level</w:t>
      </w:r>
      <w:r w:rsidR="00D56AD5" w:rsidRPr="001A0B2D">
        <w:rPr>
          <w:rFonts w:ascii="Bookman Old Style" w:hAnsi="Bookman Old Style"/>
          <w:lang w:val="en-GB"/>
        </w:rPr>
        <w:t xml:space="preserve">s of trust slow down </w:t>
      </w:r>
      <w:r w:rsidR="002C4AC8" w:rsidRPr="001A0B2D">
        <w:rPr>
          <w:rFonts w:ascii="Bookman Old Style" w:hAnsi="Bookman Old Style"/>
          <w:lang w:val="en-GB"/>
        </w:rPr>
        <w:t xml:space="preserve">economic growth. </w:t>
      </w:r>
    </w:p>
    <w:p w:rsidR="0040756F" w:rsidRPr="001A0B2D" w:rsidRDefault="0040756F" w:rsidP="00234D0A">
      <w:pPr>
        <w:spacing w:before="120" w:line="360" w:lineRule="auto"/>
        <w:ind w:right="-613" w:firstLine="0"/>
        <w:jc w:val="left"/>
        <w:rPr>
          <w:rFonts w:ascii="Bookman Old Style" w:hAnsi="Bookman Old Style"/>
          <w:b/>
        </w:rPr>
      </w:pPr>
    </w:p>
    <w:p w:rsidR="0040756F" w:rsidRPr="001A0B2D" w:rsidRDefault="0040756F" w:rsidP="00E47B34">
      <w:pPr>
        <w:spacing w:line="360" w:lineRule="auto"/>
        <w:ind w:right="-613" w:firstLine="0"/>
        <w:jc w:val="left"/>
        <w:rPr>
          <w:rFonts w:ascii="Bookman Old Style" w:hAnsi="Bookman Old Style"/>
          <w:b/>
        </w:rPr>
      </w:pPr>
      <w:r w:rsidRPr="001A0B2D">
        <w:rPr>
          <w:rFonts w:ascii="Bookman Old Style" w:hAnsi="Bookman Old Style"/>
          <w:b/>
        </w:rPr>
        <w:t>***</w:t>
      </w:r>
    </w:p>
    <w:p w:rsidR="00E47B34" w:rsidRPr="001A0B2D" w:rsidRDefault="00E47B34" w:rsidP="00E47B34">
      <w:pPr>
        <w:pStyle w:val="ListParagraph"/>
        <w:spacing w:line="360" w:lineRule="auto"/>
        <w:ind w:left="644" w:right="-613" w:firstLine="0"/>
        <w:jc w:val="left"/>
        <w:rPr>
          <w:rFonts w:ascii="Bookman Old Style" w:hAnsi="Bookman Old Style"/>
        </w:rPr>
      </w:pPr>
    </w:p>
    <w:p w:rsidR="00E47B34" w:rsidRPr="001A0B2D" w:rsidRDefault="00E47B34" w:rsidP="00234D0A">
      <w:pPr>
        <w:pStyle w:val="FootnoteText"/>
        <w:spacing w:before="120" w:line="360" w:lineRule="auto"/>
        <w:ind w:firstLine="0"/>
        <w:jc w:val="left"/>
        <w:rPr>
          <w:rFonts w:ascii="Bookman Old Style" w:hAnsi="Bookman Old Style"/>
          <w:spacing w:val="-2"/>
          <w:sz w:val="24"/>
          <w:szCs w:val="24"/>
        </w:rPr>
      </w:pPr>
      <w:r w:rsidRPr="001A0B2D">
        <w:rPr>
          <w:rFonts w:ascii="Bookman Old Style" w:hAnsi="Bookman Old Style"/>
          <w:sz w:val="24"/>
          <w:szCs w:val="24"/>
        </w:rPr>
        <w:t>In publications dealing with organisational cultures, or rather – to put it more precisely - with those characteristics of the national values orientation, which influence most deeply the organisational cultures in the</w:t>
      </w:r>
      <w:r w:rsidR="00AB685F">
        <w:rPr>
          <w:rFonts w:ascii="Bookman Old Style" w:hAnsi="Bookman Old Style"/>
          <w:sz w:val="24"/>
          <w:szCs w:val="24"/>
        </w:rPr>
        <w:t xml:space="preserve"> respective </w:t>
      </w:r>
      <w:r w:rsidRPr="001A0B2D">
        <w:rPr>
          <w:rFonts w:ascii="Bookman Old Style" w:hAnsi="Bookman Old Style"/>
          <w:sz w:val="24"/>
          <w:szCs w:val="24"/>
        </w:rPr>
        <w:t xml:space="preserve">ethno-regional </w:t>
      </w:r>
      <w:r w:rsidR="00D56AD5" w:rsidRPr="001A0B2D">
        <w:rPr>
          <w:rFonts w:ascii="Bookman Old Style" w:hAnsi="Bookman Old Style"/>
          <w:sz w:val="24"/>
          <w:szCs w:val="24"/>
        </w:rPr>
        <w:t>domain and the “philosophy” of o</w:t>
      </w:r>
      <w:r w:rsidRPr="001A0B2D">
        <w:rPr>
          <w:rFonts w:ascii="Bookman Old Style" w:hAnsi="Bookman Old Style"/>
          <w:sz w:val="24"/>
          <w:szCs w:val="24"/>
        </w:rPr>
        <w:t xml:space="preserve">rganisational behaviour, there are concepts which over the years have earned the status of classics. </w:t>
      </w:r>
      <w:r w:rsidR="00473A0B" w:rsidRPr="001A0B2D">
        <w:rPr>
          <w:rFonts w:ascii="Bookman Old Style" w:hAnsi="Bookman Old Style"/>
          <w:sz w:val="24"/>
          <w:szCs w:val="24"/>
        </w:rPr>
        <w:t xml:space="preserve">Among them are the models of Hofstede and </w:t>
      </w:r>
      <w:proofErr w:type="spellStart"/>
      <w:r w:rsidR="00473A0B" w:rsidRPr="001A0B2D">
        <w:rPr>
          <w:rFonts w:ascii="Bookman Old Style" w:hAnsi="Bookman Old Style"/>
          <w:sz w:val="24"/>
          <w:szCs w:val="24"/>
        </w:rPr>
        <w:t>Trompenaars</w:t>
      </w:r>
      <w:proofErr w:type="spellEnd"/>
      <w:r w:rsidR="00473A0B" w:rsidRPr="001A0B2D">
        <w:rPr>
          <w:rFonts w:ascii="Bookman Old Style" w:hAnsi="Bookman Old Style"/>
          <w:sz w:val="24"/>
          <w:szCs w:val="24"/>
        </w:rPr>
        <w:t xml:space="preserve"> </w:t>
      </w:r>
      <w:r w:rsidR="00AA52F4">
        <w:rPr>
          <w:rFonts w:ascii="Bookman Old Style" w:hAnsi="Bookman Old Style"/>
          <w:sz w:val="24"/>
          <w:szCs w:val="24"/>
        </w:rPr>
        <w:t>&amp;</w:t>
      </w:r>
      <w:r w:rsidR="00473A0B" w:rsidRPr="001A0B2D">
        <w:rPr>
          <w:rFonts w:ascii="Bookman Old Style" w:hAnsi="Bookman Old Style"/>
          <w:sz w:val="24"/>
          <w:szCs w:val="24"/>
        </w:rPr>
        <w:t xml:space="preserve"> </w:t>
      </w:r>
      <w:r w:rsidR="00BC2F47">
        <w:rPr>
          <w:rFonts w:ascii="Bookman Old Style" w:hAnsi="Bookman Old Style"/>
          <w:sz w:val="24"/>
          <w:szCs w:val="24"/>
        </w:rPr>
        <w:t>Hampden</w:t>
      </w:r>
      <w:r w:rsidR="00473A0B" w:rsidRPr="001A0B2D">
        <w:rPr>
          <w:rFonts w:ascii="Bookman Old Style" w:hAnsi="Bookman Old Style"/>
          <w:sz w:val="24"/>
          <w:szCs w:val="24"/>
        </w:rPr>
        <w:t xml:space="preserve">-Turner. These authors do not deal directly with trust, but in this case we may be able to use their </w:t>
      </w:r>
      <w:r w:rsidR="00473A0B" w:rsidRPr="001A0B2D">
        <w:rPr>
          <w:rFonts w:ascii="Bookman Old Style" w:hAnsi="Bookman Old Style"/>
          <w:sz w:val="24"/>
          <w:szCs w:val="24"/>
        </w:rPr>
        <w:lastRenderedPageBreak/>
        <w:t>systemati</w:t>
      </w:r>
      <w:r w:rsidR="00D56AD5" w:rsidRPr="001A0B2D">
        <w:rPr>
          <w:rFonts w:ascii="Bookman Old Style" w:hAnsi="Bookman Old Style"/>
          <w:sz w:val="24"/>
          <w:szCs w:val="24"/>
        </w:rPr>
        <w:t>s</w:t>
      </w:r>
      <w:r w:rsidR="00473A0B" w:rsidRPr="001A0B2D">
        <w:rPr>
          <w:rFonts w:ascii="Bookman Old Style" w:hAnsi="Bookman Old Style"/>
          <w:sz w:val="24"/>
          <w:szCs w:val="24"/>
        </w:rPr>
        <w:t xml:space="preserve">ations in order to find the place of trust as a fundamental variable, intertwined with the cultural dimensions in their models. </w:t>
      </w:r>
      <w:r w:rsidR="0013179B">
        <w:rPr>
          <w:rFonts w:ascii="Bookman Old Style" w:hAnsi="Bookman Old Style"/>
          <w:sz w:val="24"/>
          <w:szCs w:val="24"/>
        </w:rPr>
        <w:t xml:space="preserve">[41, 42, 43, 44, 45]. </w:t>
      </w:r>
    </w:p>
    <w:p w:rsidR="00B37E97" w:rsidRPr="001A0B2D" w:rsidRDefault="00B37E97" w:rsidP="00234D0A">
      <w:pPr>
        <w:pStyle w:val="FootnoteText"/>
        <w:spacing w:before="120" w:line="360" w:lineRule="auto"/>
        <w:ind w:firstLine="0"/>
        <w:jc w:val="left"/>
        <w:rPr>
          <w:rFonts w:ascii="Bookman Old Style" w:hAnsi="Bookman Old Style"/>
          <w:sz w:val="24"/>
          <w:szCs w:val="24"/>
        </w:rPr>
      </w:pPr>
      <w:r w:rsidRPr="001A0B2D">
        <w:rPr>
          <w:rFonts w:ascii="Bookman Old Style" w:hAnsi="Bookman Old Style"/>
          <w:spacing w:val="-2"/>
          <w:sz w:val="24"/>
          <w:szCs w:val="24"/>
        </w:rPr>
        <w:t xml:space="preserve">Based on the large number of survey studies Hofstede has undertaken, he developed five problem areas (dimensions) that are there for society to consider and that each group resolves in a way that seems most </w:t>
      </w:r>
      <w:r w:rsidR="00BC2F47" w:rsidRPr="001A0B2D">
        <w:rPr>
          <w:rFonts w:ascii="Bookman Old Style" w:hAnsi="Bookman Old Style"/>
          <w:spacing w:val="-2"/>
          <w:sz w:val="24"/>
          <w:szCs w:val="24"/>
        </w:rPr>
        <w:t>appropriate</w:t>
      </w:r>
      <w:r w:rsidRPr="001A0B2D">
        <w:rPr>
          <w:rFonts w:ascii="Bookman Old Style" w:hAnsi="Bookman Old Style"/>
          <w:spacing w:val="-2"/>
          <w:sz w:val="24"/>
          <w:szCs w:val="24"/>
        </w:rPr>
        <w:t xml:space="preserve"> for the community in question for a relatively long period. Knowledge and views on these problem areas are passed down for generations and this is how cultural identity of the respective group is moulded. The five problem areas that Hofstede uses</w:t>
      </w:r>
      <w:r w:rsidR="00D535AB" w:rsidRPr="001A0B2D">
        <w:rPr>
          <w:rFonts w:ascii="Bookman Old Style" w:hAnsi="Bookman Old Style"/>
          <w:spacing w:val="-2"/>
          <w:sz w:val="24"/>
          <w:szCs w:val="24"/>
        </w:rPr>
        <w:t xml:space="preserve"> to delineate culture </w:t>
      </w:r>
      <w:r w:rsidR="00613B4F">
        <w:rPr>
          <w:rFonts w:ascii="Bookman Old Style" w:hAnsi="Bookman Old Style"/>
          <w:spacing w:val="-2"/>
          <w:sz w:val="24"/>
          <w:szCs w:val="24"/>
        </w:rPr>
        <w:t>are</w:t>
      </w:r>
      <w:r w:rsidR="00D535AB" w:rsidRPr="001A0B2D">
        <w:rPr>
          <w:rFonts w:ascii="Bookman Old Style" w:hAnsi="Bookman Old Style"/>
          <w:spacing w:val="-2"/>
          <w:sz w:val="24"/>
          <w:szCs w:val="24"/>
        </w:rPr>
        <w:t xml:space="preserve">: identity, hierarchy, </w:t>
      </w:r>
      <w:r w:rsidR="00E06B37" w:rsidRPr="001A0B2D">
        <w:rPr>
          <w:rFonts w:ascii="Bookman Old Style" w:hAnsi="Bookman Old Style"/>
          <w:spacing w:val="-2"/>
          <w:sz w:val="24"/>
          <w:szCs w:val="24"/>
        </w:rPr>
        <w:t>(</w:t>
      </w:r>
      <w:r w:rsidR="00D535AB" w:rsidRPr="001A0B2D">
        <w:rPr>
          <w:rFonts w:ascii="Bookman Old Style" w:hAnsi="Bookman Old Style"/>
          <w:spacing w:val="-2"/>
          <w:sz w:val="24"/>
          <w:szCs w:val="24"/>
        </w:rPr>
        <w:t>psychological</w:t>
      </w:r>
      <w:r w:rsidR="00E06B37" w:rsidRPr="001A0B2D">
        <w:rPr>
          <w:rFonts w:ascii="Bookman Old Style" w:hAnsi="Bookman Old Style"/>
          <w:spacing w:val="-2"/>
          <w:sz w:val="24"/>
          <w:szCs w:val="24"/>
        </w:rPr>
        <w:t xml:space="preserve">) </w:t>
      </w:r>
      <w:r w:rsidR="00D535AB" w:rsidRPr="001A0B2D">
        <w:rPr>
          <w:rFonts w:ascii="Bookman Old Style" w:hAnsi="Bookman Old Style"/>
          <w:spacing w:val="-2"/>
          <w:sz w:val="24"/>
          <w:szCs w:val="24"/>
        </w:rPr>
        <w:t>gender, truth, virtue.</w:t>
      </w:r>
      <w:r w:rsidR="00E06B37" w:rsidRPr="001A0B2D">
        <w:rPr>
          <w:rFonts w:ascii="Bookman Old Style" w:hAnsi="Bookman Old Style"/>
          <w:spacing w:val="-2"/>
          <w:sz w:val="24"/>
          <w:szCs w:val="24"/>
        </w:rPr>
        <w:t xml:space="preserve"> Irrespective of whether we take Hofstede’s model or some of the other influential ones on the topic (for example, that of </w:t>
      </w:r>
      <w:proofErr w:type="spellStart"/>
      <w:r w:rsidR="00E06B37" w:rsidRPr="001A0B2D">
        <w:rPr>
          <w:rFonts w:ascii="Bookman Old Style" w:hAnsi="Bookman Old Style"/>
          <w:spacing w:val="-2"/>
          <w:sz w:val="24"/>
          <w:szCs w:val="24"/>
        </w:rPr>
        <w:t>Trompenaars</w:t>
      </w:r>
      <w:proofErr w:type="spellEnd"/>
      <w:r w:rsidR="00E06B37" w:rsidRPr="001A0B2D">
        <w:rPr>
          <w:rFonts w:ascii="Bookman Old Style" w:hAnsi="Bookman Old Style"/>
          <w:spacing w:val="-2"/>
          <w:sz w:val="24"/>
          <w:szCs w:val="24"/>
        </w:rPr>
        <w:t xml:space="preserve"> and Charles Hampden-Turner)</w:t>
      </w:r>
      <w:r w:rsidR="00AA52F4">
        <w:rPr>
          <w:rFonts w:ascii="Bookman Old Style" w:hAnsi="Bookman Old Style"/>
          <w:spacing w:val="-2"/>
          <w:sz w:val="24"/>
          <w:szCs w:val="24"/>
        </w:rPr>
        <w:t>,</w:t>
      </w:r>
      <w:r w:rsidR="00E06B37" w:rsidRPr="001A0B2D">
        <w:rPr>
          <w:rFonts w:ascii="Bookman Old Style" w:hAnsi="Bookman Old Style"/>
          <w:spacing w:val="-2"/>
          <w:sz w:val="24"/>
          <w:szCs w:val="24"/>
        </w:rPr>
        <w:t xml:space="preserve"> we </w:t>
      </w:r>
      <w:r w:rsidR="00290AEF" w:rsidRPr="001A0B2D">
        <w:rPr>
          <w:rFonts w:ascii="Bookman Old Style" w:hAnsi="Bookman Old Style"/>
          <w:spacing w:val="-2"/>
          <w:sz w:val="24"/>
          <w:szCs w:val="24"/>
        </w:rPr>
        <w:t xml:space="preserve">could look for the intrinsic link that exists between social trust, on the one hand, and many of the dimensions of the respective cultural model, on the other hand. Here we shall consider some of the </w:t>
      </w:r>
      <w:r w:rsidR="00955D84" w:rsidRPr="001A0B2D">
        <w:rPr>
          <w:rFonts w:ascii="Bookman Old Style" w:hAnsi="Bookman Old Style"/>
          <w:spacing w:val="-2"/>
          <w:sz w:val="24"/>
          <w:szCs w:val="24"/>
        </w:rPr>
        <w:t>actualisations</w:t>
      </w:r>
      <w:r w:rsidR="00290AEF" w:rsidRPr="001A0B2D">
        <w:rPr>
          <w:rFonts w:ascii="Bookman Old Style" w:hAnsi="Bookman Old Style"/>
          <w:spacing w:val="-2"/>
          <w:sz w:val="24"/>
          <w:szCs w:val="24"/>
        </w:rPr>
        <w:t xml:space="preserve"> of this link which go to illustrate the fundamental ‘infrastructural’ role of trust.</w:t>
      </w:r>
    </w:p>
    <w:p w:rsidR="00985F40" w:rsidRPr="001A0B2D" w:rsidRDefault="00D500AC" w:rsidP="00234D0A">
      <w:pPr>
        <w:spacing w:before="120" w:line="360" w:lineRule="auto"/>
        <w:ind w:firstLine="0"/>
        <w:jc w:val="left"/>
        <w:rPr>
          <w:rFonts w:ascii="Bookman Old Style" w:hAnsi="Bookman Old Style"/>
        </w:rPr>
      </w:pPr>
      <w:r w:rsidRPr="001A0B2D">
        <w:rPr>
          <w:rFonts w:ascii="Bookman Old Style" w:hAnsi="Bookman Old Style"/>
        </w:rPr>
        <w:t xml:space="preserve">The so-called </w:t>
      </w:r>
      <w:r w:rsidR="00CB1676" w:rsidRPr="001A0B2D">
        <w:rPr>
          <w:rFonts w:ascii="Bookman Old Style" w:hAnsi="Bookman Old Style"/>
        </w:rPr>
        <w:t>‘</w:t>
      </w:r>
      <w:r w:rsidRPr="001A0B2D">
        <w:rPr>
          <w:rFonts w:ascii="Bookman Old Style" w:hAnsi="Bookman Old Style"/>
        </w:rPr>
        <w:t>identity</w:t>
      </w:r>
      <w:r w:rsidR="00CB1676" w:rsidRPr="001A0B2D">
        <w:rPr>
          <w:rFonts w:ascii="Bookman Old Style" w:hAnsi="Bookman Old Style"/>
        </w:rPr>
        <w:t>’</w:t>
      </w:r>
      <w:r w:rsidRPr="001A0B2D">
        <w:rPr>
          <w:rFonts w:ascii="Bookman Old Style" w:hAnsi="Bookman Old Style"/>
        </w:rPr>
        <w:t xml:space="preserve"> (as per Hofstede’s model) tells where the respective culture is placed on the </w:t>
      </w:r>
      <w:r w:rsidRPr="001A0B2D">
        <w:rPr>
          <w:rFonts w:ascii="Bookman Old Style" w:hAnsi="Bookman Old Style"/>
          <w:i/>
        </w:rPr>
        <w:t>individualism-collectivism</w:t>
      </w:r>
      <w:r w:rsidRPr="001A0B2D">
        <w:rPr>
          <w:rFonts w:ascii="Bookman Old Style" w:hAnsi="Bookman Old Style"/>
        </w:rPr>
        <w:t xml:space="preserve"> axis. This problem area looks into the relationship between the individual and the group</w:t>
      </w:r>
      <w:r w:rsidR="00FF6E2D">
        <w:rPr>
          <w:rFonts w:ascii="Bookman Old Style" w:hAnsi="Bookman Old Style"/>
        </w:rPr>
        <w:t>,</w:t>
      </w:r>
      <w:r w:rsidRPr="001A0B2D">
        <w:rPr>
          <w:rFonts w:ascii="Bookman Old Style" w:hAnsi="Bookman Old Style"/>
        </w:rPr>
        <w:t xml:space="preserve"> and could be seen as a continuum stretching between individual identity and group identity. The various manifestations of the continuum in question are </w:t>
      </w:r>
      <w:r w:rsidR="00CB1676" w:rsidRPr="001A0B2D">
        <w:rPr>
          <w:rFonts w:ascii="Bookman Old Style" w:hAnsi="Bookman Old Style"/>
        </w:rPr>
        <w:t>called differently</w:t>
      </w:r>
      <w:r w:rsidRPr="001A0B2D">
        <w:rPr>
          <w:rFonts w:ascii="Bookman Old Style" w:hAnsi="Bookman Old Style"/>
        </w:rPr>
        <w:t xml:space="preserve"> in various publications: individualistic </w:t>
      </w:r>
      <w:r w:rsidR="00CB1676" w:rsidRPr="001A0B2D">
        <w:rPr>
          <w:rFonts w:ascii="Bookman Old Style" w:hAnsi="Bookman Old Style"/>
        </w:rPr>
        <w:t>vs.</w:t>
      </w:r>
      <w:r w:rsidRPr="001A0B2D">
        <w:rPr>
          <w:rFonts w:ascii="Bookman Old Style" w:hAnsi="Bookman Old Style"/>
        </w:rPr>
        <w:t xml:space="preserve"> collectivistic, weak context </w:t>
      </w:r>
      <w:r w:rsidR="00CB1676" w:rsidRPr="001A0B2D">
        <w:rPr>
          <w:rFonts w:ascii="Bookman Old Style" w:hAnsi="Bookman Old Style"/>
        </w:rPr>
        <w:t>vs.</w:t>
      </w:r>
      <w:r w:rsidRPr="001A0B2D">
        <w:rPr>
          <w:rFonts w:ascii="Bookman Old Style" w:hAnsi="Bookman Old Style"/>
        </w:rPr>
        <w:t xml:space="preserve"> strong context, specific </w:t>
      </w:r>
      <w:r w:rsidR="00CB1676" w:rsidRPr="001A0B2D">
        <w:rPr>
          <w:rFonts w:ascii="Bookman Old Style" w:hAnsi="Bookman Old Style"/>
        </w:rPr>
        <w:t>vs.</w:t>
      </w:r>
      <w:r w:rsidRPr="001A0B2D">
        <w:rPr>
          <w:rFonts w:ascii="Bookman Old Style" w:hAnsi="Bookman Old Style"/>
        </w:rPr>
        <w:t xml:space="preserve"> diffuse, internal </w:t>
      </w:r>
      <w:r w:rsidR="00CB1676" w:rsidRPr="001A0B2D">
        <w:rPr>
          <w:rFonts w:ascii="Bookman Old Style" w:hAnsi="Bookman Old Style"/>
        </w:rPr>
        <w:t>vs.</w:t>
      </w:r>
      <w:r w:rsidRPr="001A0B2D">
        <w:rPr>
          <w:rFonts w:ascii="Bookman Old Style" w:hAnsi="Bookman Old Style"/>
        </w:rPr>
        <w:t xml:space="preserve"> external control, </w:t>
      </w:r>
      <w:proofErr w:type="spellStart"/>
      <w:r w:rsidRPr="001A0B2D">
        <w:rPr>
          <w:rFonts w:ascii="Bookman Old Style" w:hAnsi="Bookman Old Style"/>
        </w:rPr>
        <w:t>monochro</w:t>
      </w:r>
      <w:r w:rsidR="00CB1676" w:rsidRPr="001A0B2D">
        <w:rPr>
          <w:rFonts w:ascii="Bookman Old Style" w:hAnsi="Bookman Old Style"/>
        </w:rPr>
        <w:t>n</w:t>
      </w:r>
      <w:r w:rsidRPr="001A0B2D">
        <w:rPr>
          <w:rFonts w:ascii="Bookman Old Style" w:hAnsi="Bookman Old Style"/>
        </w:rPr>
        <w:t>ic</w:t>
      </w:r>
      <w:proofErr w:type="spellEnd"/>
      <w:r w:rsidRPr="001A0B2D">
        <w:rPr>
          <w:rFonts w:ascii="Bookman Old Style" w:hAnsi="Bookman Old Style"/>
        </w:rPr>
        <w:t xml:space="preserve"> </w:t>
      </w:r>
      <w:r w:rsidR="00CB1676" w:rsidRPr="001A0B2D">
        <w:rPr>
          <w:rFonts w:ascii="Bookman Old Style" w:hAnsi="Bookman Old Style"/>
        </w:rPr>
        <w:t>vs.</w:t>
      </w:r>
      <w:r w:rsidRPr="001A0B2D">
        <w:rPr>
          <w:rFonts w:ascii="Bookman Old Style" w:hAnsi="Bookman Old Style"/>
        </w:rPr>
        <w:t xml:space="preserve"> </w:t>
      </w:r>
      <w:proofErr w:type="spellStart"/>
      <w:r w:rsidR="00CB1676" w:rsidRPr="001A0B2D">
        <w:rPr>
          <w:rFonts w:ascii="Bookman Old Style" w:hAnsi="Bookman Old Style"/>
        </w:rPr>
        <w:t>polychronic</w:t>
      </w:r>
      <w:proofErr w:type="spellEnd"/>
      <w:r w:rsidRPr="001A0B2D">
        <w:rPr>
          <w:rFonts w:ascii="Bookman Old Style" w:hAnsi="Bookman Old Style"/>
        </w:rPr>
        <w:t xml:space="preserve"> culture</w:t>
      </w:r>
      <w:r w:rsidR="00CB1676" w:rsidRPr="001A0B2D">
        <w:rPr>
          <w:rFonts w:ascii="Bookman Old Style" w:hAnsi="Bookman Old Style"/>
        </w:rPr>
        <w:t>s</w:t>
      </w:r>
      <w:r w:rsidRPr="001A0B2D">
        <w:rPr>
          <w:rFonts w:ascii="Bookman Old Style" w:hAnsi="Bookman Old Style"/>
        </w:rPr>
        <w:t xml:space="preserve">. This diversity has emerged because many </w:t>
      </w:r>
      <w:proofErr w:type="spellStart"/>
      <w:r w:rsidRPr="001A0B2D">
        <w:rPr>
          <w:rFonts w:ascii="Bookman Old Style" w:hAnsi="Bookman Old Style"/>
        </w:rPr>
        <w:t>c</w:t>
      </w:r>
      <w:r w:rsidR="00CB1676" w:rsidRPr="001A0B2D">
        <w:rPr>
          <w:rFonts w:ascii="Bookman Old Style" w:hAnsi="Bookman Old Style"/>
        </w:rPr>
        <w:t>ult</w:t>
      </w:r>
      <w:r w:rsidRPr="001A0B2D">
        <w:rPr>
          <w:rFonts w:ascii="Bookman Old Style" w:hAnsi="Bookman Old Style"/>
        </w:rPr>
        <w:t>uralists</w:t>
      </w:r>
      <w:proofErr w:type="spellEnd"/>
      <w:r w:rsidRPr="001A0B2D">
        <w:rPr>
          <w:rFonts w:ascii="Bookman Old Style" w:hAnsi="Bookman Old Style"/>
        </w:rPr>
        <w:t xml:space="preserve"> believe the identity continuum important. </w:t>
      </w:r>
      <w:r w:rsidR="00CB1676" w:rsidRPr="001A0B2D">
        <w:rPr>
          <w:rFonts w:ascii="Bookman Old Style" w:hAnsi="Bookman Old Style"/>
        </w:rPr>
        <w:t xml:space="preserve"> It goes to show how many aspects there are to this basic social problem area. The role of trust as a determinant</w:t>
      </w:r>
      <w:r w:rsidR="007B7856" w:rsidRPr="001A0B2D">
        <w:rPr>
          <w:rFonts w:ascii="Bookman Old Style" w:hAnsi="Bookman Old Style"/>
        </w:rPr>
        <w:t xml:space="preserve"> here is relatively obvious: due to its very nature</w:t>
      </w:r>
      <w:r w:rsidR="00FF6E2D">
        <w:rPr>
          <w:rFonts w:ascii="Bookman Old Style" w:hAnsi="Bookman Old Style"/>
        </w:rPr>
        <w:t>,</w:t>
      </w:r>
      <w:r w:rsidR="007B7856" w:rsidRPr="001A0B2D">
        <w:rPr>
          <w:rFonts w:ascii="Bookman Old Style" w:hAnsi="Bookman Old Style"/>
        </w:rPr>
        <w:t xml:space="preserve"> collectivism both </w:t>
      </w:r>
      <w:r w:rsidR="00985F40" w:rsidRPr="001A0B2D">
        <w:rPr>
          <w:rFonts w:ascii="Bookman Old Style" w:hAnsi="Bookman Old Style"/>
        </w:rPr>
        <w:t>involves</w:t>
      </w:r>
      <w:r w:rsidR="007B7856" w:rsidRPr="001A0B2D">
        <w:rPr>
          <w:rFonts w:ascii="Bookman Old Style" w:hAnsi="Bookman Old Style"/>
        </w:rPr>
        <w:t xml:space="preserve"> and calls for</w:t>
      </w:r>
      <w:r w:rsidR="00985F40" w:rsidRPr="001A0B2D">
        <w:rPr>
          <w:rFonts w:ascii="Bookman Old Style" w:hAnsi="Bookman Old Style"/>
        </w:rPr>
        <w:t>th</w:t>
      </w:r>
      <w:r w:rsidR="007B7856" w:rsidRPr="001A0B2D">
        <w:rPr>
          <w:rFonts w:ascii="Bookman Old Style" w:hAnsi="Bookman Old Style"/>
        </w:rPr>
        <w:t xml:space="preserve"> higher levels of trust.</w:t>
      </w:r>
    </w:p>
    <w:p w:rsidR="00985F40" w:rsidRPr="001A0B2D" w:rsidRDefault="00985F40" w:rsidP="00234D0A">
      <w:pPr>
        <w:spacing w:before="120" w:line="360" w:lineRule="auto"/>
        <w:ind w:firstLine="0"/>
        <w:jc w:val="left"/>
        <w:rPr>
          <w:rFonts w:ascii="Bookman Old Style" w:hAnsi="Bookman Old Style"/>
        </w:rPr>
      </w:pPr>
      <w:r w:rsidRPr="001A0B2D">
        <w:rPr>
          <w:rFonts w:ascii="Bookman Old Style" w:hAnsi="Bookman Old Style"/>
        </w:rPr>
        <w:t>As evidence to the above-said</w:t>
      </w:r>
      <w:r w:rsidR="00FF6E2D">
        <w:rPr>
          <w:rFonts w:ascii="Bookman Old Style" w:hAnsi="Bookman Old Style"/>
        </w:rPr>
        <w:t>,</w:t>
      </w:r>
      <w:r w:rsidRPr="001A0B2D">
        <w:rPr>
          <w:rFonts w:ascii="Bookman Old Style" w:hAnsi="Bookman Old Style"/>
        </w:rPr>
        <w:t xml:space="preserve"> we could use the ESS Round 7 primary data (Dataset: ESS7-2014, ed.2.1) covering 38496 respondents from across </w:t>
      </w:r>
      <w:r w:rsidR="00F76CCB" w:rsidRPr="001A0B2D">
        <w:rPr>
          <w:rFonts w:ascii="Bookman Old Style" w:hAnsi="Bookman Old Style"/>
        </w:rPr>
        <w:t>European</w:t>
      </w:r>
      <w:r w:rsidRPr="001A0B2D">
        <w:rPr>
          <w:rFonts w:ascii="Bookman Old Style" w:hAnsi="Bookman Old Style"/>
        </w:rPr>
        <w:t xml:space="preserve"> </w:t>
      </w:r>
      <w:r w:rsidR="00F76CCB" w:rsidRPr="001A0B2D">
        <w:rPr>
          <w:rFonts w:ascii="Bookman Old Style" w:hAnsi="Bookman Old Style"/>
        </w:rPr>
        <w:t xml:space="preserve">countries in order to </w:t>
      </w:r>
      <w:r w:rsidR="00FF6E2D">
        <w:rPr>
          <w:rFonts w:ascii="Bookman Old Style" w:hAnsi="Bookman Old Style"/>
        </w:rPr>
        <w:t>obtain</w:t>
      </w:r>
      <w:r w:rsidR="00F76CCB" w:rsidRPr="001A0B2D">
        <w:rPr>
          <w:rFonts w:ascii="Bookman Old Style" w:hAnsi="Bookman Old Style"/>
        </w:rPr>
        <w:t xml:space="preserve"> the correlation coefficients for generalised trust and several of its more specific manifestations, on the one hand, and the individualistic-collectivistic attitudes, on the other hand. There is a particularly </w:t>
      </w:r>
      <w:r w:rsidR="00F76CCB" w:rsidRPr="001A0B2D">
        <w:rPr>
          <w:rFonts w:ascii="Bookman Old Style" w:hAnsi="Bookman Old Style"/>
        </w:rPr>
        <w:lastRenderedPageBreak/>
        <w:t xml:space="preserve">strong </w:t>
      </w:r>
      <w:r w:rsidR="006A0460" w:rsidRPr="001A0B2D">
        <w:rPr>
          <w:rFonts w:ascii="Bookman Old Style" w:hAnsi="Bookman Old Style"/>
        </w:rPr>
        <w:t>association</w:t>
      </w:r>
      <w:r w:rsidR="00F76CCB" w:rsidRPr="001A0B2D">
        <w:rPr>
          <w:rFonts w:ascii="Bookman Old Style" w:hAnsi="Bookman Old Style"/>
        </w:rPr>
        <w:t xml:space="preserve"> of collectivism vs. individualism as a cultural dimension with generalised social trust.</w:t>
      </w:r>
    </w:p>
    <w:p w:rsidR="00E47B34" w:rsidRPr="001A0B2D" w:rsidRDefault="00E47B34" w:rsidP="00234D0A">
      <w:pPr>
        <w:spacing w:before="120" w:line="360" w:lineRule="auto"/>
        <w:jc w:val="left"/>
      </w:pP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6"/>
        <w:gridCol w:w="1737"/>
        <w:gridCol w:w="1123"/>
      </w:tblGrid>
      <w:tr w:rsidR="00226FCF" w:rsidRPr="001A0B2D" w:rsidTr="00234D0A">
        <w:trPr>
          <w:trHeight w:val="916"/>
        </w:trPr>
        <w:tc>
          <w:tcPr>
            <w:tcW w:w="0" w:type="auto"/>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gridSpan w:val="2"/>
          </w:tcPr>
          <w:p w:rsidR="006A0460" w:rsidRPr="001A0B2D" w:rsidRDefault="003D4160" w:rsidP="008A36B1">
            <w:pPr>
              <w:spacing w:line="259" w:lineRule="auto"/>
              <w:ind w:left="1" w:right="76" w:firstLine="0"/>
              <w:jc w:val="left"/>
              <w:rPr>
                <w:rFonts w:ascii="Arial Narrow" w:hAnsi="Arial Narrow" w:cs="Arial"/>
                <w:b/>
              </w:rPr>
            </w:pPr>
            <w:r w:rsidRPr="001A0B2D">
              <w:rPr>
                <w:rFonts w:ascii="Arial Narrow" w:hAnsi="Arial Narrow" w:cs="Arial"/>
                <w:b/>
              </w:rPr>
              <w:t>M</w:t>
            </w:r>
            <w:r w:rsidR="006A0460" w:rsidRPr="001A0B2D">
              <w:rPr>
                <w:rFonts w:ascii="Arial Narrow" w:hAnsi="Arial Narrow" w:cs="Arial"/>
                <w:b/>
              </w:rPr>
              <w:t xml:space="preserve">ost people can be trusted or </w:t>
            </w:r>
          </w:p>
          <w:p w:rsidR="003D4160" w:rsidRPr="001A0B2D" w:rsidRDefault="006A0460" w:rsidP="008A36B1">
            <w:pPr>
              <w:spacing w:line="259" w:lineRule="auto"/>
              <w:ind w:left="1" w:right="76" w:firstLine="0"/>
              <w:jc w:val="left"/>
              <w:rPr>
                <w:rFonts w:ascii="Arial Narrow" w:hAnsi="Arial Narrow" w:cs="Arial"/>
                <w:b/>
              </w:rPr>
            </w:pPr>
            <w:r w:rsidRPr="001A0B2D">
              <w:rPr>
                <w:rFonts w:ascii="Arial Narrow" w:hAnsi="Arial Narrow" w:cs="Arial"/>
                <w:b/>
              </w:rPr>
              <w:t xml:space="preserve">you can't be too careful </w:t>
            </w:r>
          </w:p>
          <w:p w:rsidR="006A0460" w:rsidRPr="001A0B2D" w:rsidRDefault="006A0460" w:rsidP="008A36B1">
            <w:pPr>
              <w:spacing w:line="259" w:lineRule="auto"/>
              <w:ind w:left="1" w:right="76" w:firstLine="0"/>
              <w:jc w:val="left"/>
              <w:rPr>
                <w:rFonts w:ascii="Arial Narrow" w:eastAsia="Courier New" w:hAnsi="Arial Narrow" w:cs="Courier New"/>
                <w:b/>
                <w:color w:val="000000"/>
              </w:rPr>
            </w:pPr>
            <w:r w:rsidRPr="001A0B2D">
              <w:rPr>
                <w:rFonts w:ascii="Arial Narrow" w:hAnsi="Arial Narrow" w:cs="Arial"/>
                <w:b/>
              </w:rPr>
              <w:t>in dealing with people</w:t>
            </w:r>
          </w:p>
        </w:tc>
      </w:tr>
      <w:tr w:rsidR="00226FCF" w:rsidRPr="001A0B2D" w:rsidTr="008A36B1">
        <w:trPr>
          <w:trHeight w:val="234"/>
        </w:trPr>
        <w:tc>
          <w:tcPr>
            <w:tcW w:w="0" w:type="auto"/>
            <w:vMerge w:val="restart"/>
          </w:tcPr>
          <w:p w:rsidR="00F64B7E" w:rsidRPr="001A0B2D" w:rsidRDefault="00F64B7E" w:rsidP="008A36B1">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 xml:space="preserve">Trust in the Parliament </w:t>
            </w:r>
          </w:p>
          <w:p w:rsidR="00E47B34" w:rsidRPr="001A0B2D" w:rsidRDefault="00F64B7E" w:rsidP="00F64B7E">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of the respective country</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Correlation</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b/>
                <w:color w:val="000000"/>
              </w:rPr>
            </w:pPr>
            <w:r w:rsidRPr="001A0B2D">
              <w:rPr>
                <w:rFonts w:ascii="Arial Narrow" w:eastAsia="Courier New" w:hAnsi="Arial Narrow" w:cs="Courier New"/>
                <w:b/>
                <w:color w:val="000000"/>
              </w:rPr>
              <w:t>0.363</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Significance</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0.0000</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Count</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38496</w:t>
            </w:r>
          </w:p>
        </w:tc>
      </w:tr>
      <w:tr w:rsidR="00226FCF" w:rsidRPr="001A0B2D" w:rsidTr="008A36B1">
        <w:trPr>
          <w:trHeight w:val="234"/>
        </w:trPr>
        <w:tc>
          <w:tcPr>
            <w:tcW w:w="0" w:type="auto"/>
            <w:vMerge w:val="restart"/>
          </w:tcPr>
          <w:p w:rsidR="00E47B34" w:rsidRPr="001A0B2D" w:rsidRDefault="00EA6EBC" w:rsidP="008A36B1">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Trust in the legal system</w:t>
            </w:r>
          </w:p>
          <w:p w:rsidR="00EA6EBC" w:rsidRPr="001A0B2D" w:rsidRDefault="00EA6EBC" w:rsidP="008A36B1">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of the respective country</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Correlation</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b/>
                <w:color w:val="000000"/>
              </w:rPr>
            </w:pPr>
            <w:r w:rsidRPr="001A0B2D">
              <w:rPr>
                <w:rFonts w:ascii="Arial Narrow" w:eastAsia="Courier New" w:hAnsi="Arial Narrow" w:cs="Courier New"/>
                <w:b/>
                <w:color w:val="000000"/>
              </w:rPr>
              <w:t>0.361</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Significance</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0.0000</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Count</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38496</w:t>
            </w:r>
          </w:p>
        </w:tc>
      </w:tr>
      <w:tr w:rsidR="00226FCF" w:rsidRPr="001A0B2D" w:rsidTr="008A36B1">
        <w:trPr>
          <w:trHeight w:val="234"/>
        </w:trPr>
        <w:tc>
          <w:tcPr>
            <w:tcW w:w="0" w:type="auto"/>
            <w:vMerge w:val="restart"/>
          </w:tcPr>
          <w:p w:rsidR="00226FCF" w:rsidRPr="001A0B2D" w:rsidRDefault="00226FCF" w:rsidP="00226FCF">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Trust in the police</w:t>
            </w:r>
          </w:p>
          <w:p w:rsidR="00E47B34" w:rsidRPr="001A0B2D" w:rsidRDefault="00226FCF" w:rsidP="00226FCF">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of the respective country</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Correlation</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b/>
                <w:color w:val="000000"/>
              </w:rPr>
            </w:pPr>
            <w:r w:rsidRPr="001A0B2D">
              <w:rPr>
                <w:rFonts w:ascii="Arial Narrow" w:eastAsia="Courier New" w:hAnsi="Arial Narrow" w:cs="Courier New"/>
                <w:b/>
                <w:color w:val="000000"/>
              </w:rPr>
              <w:t>0.289</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Significance</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0.0000</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Count</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38496</w:t>
            </w:r>
          </w:p>
        </w:tc>
      </w:tr>
      <w:tr w:rsidR="00226FCF" w:rsidRPr="001A0B2D" w:rsidTr="008A36B1">
        <w:trPr>
          <w:trHeight w:val="234"/>
        </w:trPr>
        <w:tc>
          <w:tcPr>
            <w:tcW w:w="0" w:type="auto"/>
            <w:vMerge w:val="restart"/>
          </w:tcPr>
          <w:p w:rsidR="00226FCF" w:rsidRPr="001A0B2D" w:rsidRDefault="00226FCF" w:rsidP="00226FCF">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Trust in the politicians</w:t>
            </w:r>
          </w:p>
          <w:p w:rsidR="00E47B34" w:rsidRPr="001A0B2D" w:rsidRDefault="00226FCF" w:rsidP="00226FCF">
            <w:pPr>
              <w:spacing w:line="259" w:lineRule="auto"/>
              <w:ind w:firstLine="0"/>
              <w:jc w:val="left"/>
              <w:rPr>
                <w:rFonts w:ascii="Arial Narrow" w:eastAsia="Courier New" w:hAnsi="Arial Narrow" w:cs="Courier New"/>
                <w:color w:val="000000"/>
              </w:rPr>
            </w:pPr>
            <w:r w:rsidRPr="001A0B2D">
              <w:rPr>
                <w:rFonts w:ascii="Arial Narrow" w:eastAsia="Courier New" w:hAnsi="Arial Narrow" w:cs="Courier New"/>
                <w:color w:val="000000"/>
              </w:rPr>
              <w:t>of the respective country</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Correlation</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b/>
                <w:color w:val="000000"/>
              </w:rPr>
            </w:pPr>
            <w:r w:rsidRPr="001A0B2D">
              <w:rPr>
                <w:rFonts w:ascii="Arial Narrow" w:eastAsia="Courier New" w:hAnsi="Arial Narrow" w:cs="Courier New"/>
                <w:b/>
                <w:color w:val="000000"/>
              </w:rPr>
              <w:t>0.366</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Significance</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0.0000</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Count</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38496</w:t>
            </w:r>
          </w:p>
        </w:tc>
      </w:tr>
      <w:tr w:rsidR="00226FCF" w:rsidRPr="001A0B2D" w:rsidTr="008A36B1">
        <w:trPr>
          <w:trHeight w:val="234"/>
        </w:trPr>
        <w:tc>
          <w:tcPr>
            <w:tcW w:w="0" w:type="auto"/>
            <w:vMerge w:val="restart"/>
          </w:tcPr>
          <w:p w:rsidR="00226FCF" w:rsidRPr="001A0B2D" w:rsidRDefault="00226FCF" w:rsidP="00226FCF">
            <w:pPr>
              <w:spacing w:line="259" w:lineRule="auto"/>
              <w:ind w:firstLine="0"/>
              <w:jc w:val="left"/>
              <w:rPr>
                <w:rFonts w:ascii="Arial Narrow" w:eastAsia="Courier New" w:hAnsi="Arial Narrow" w:cs="Courier New"/>
                <w:b/>
                <w:color w:val="000000"/>
              </w:rPr>
            </w:pPr>
            <w:r w:rsidRPr="001A0B2D">
              <w:rPr>
                <w:rFonts w:ascii="Arial Narrow" w:eastAsia="Courier New" w:hAnsi="Arial Narrow" w:cs="Courier New"/>
                <w:b/>
                <w:color w:val="000000"/>
              </w:rPr>
              <w:t xml:space="preserve">Most of the time people attend </w:t>
            </w:r>
          </w:p>
          <w:p w:rsidR="00226FCF" w:rsidRPr="001A0B2D" w:rsidRDefault="00226FCF" w:rsidP="00226FCF">
            <w:pPr>
              <w:spacing w:line="259" w:lineRule="auto"/>
              <w:ind w:firstLine="0"/>
              <w:jc w:val="left"/>
              <w:rPr>
                <w:rFonts w:ascii="Arial Narrow" w:eastAsia="Courier New" w:hAnsi="Arial Narrow" w:cs="Courier New"/>
                <w:b/>
                <w:color w:val="000000"/>
              </w:rPr>
            </w:pPr>
            <w:r w:rsidRPr="001A0B2D">
              <w:rPr>
                <w:rFonts w:ascii="Arial Narrow" w:eastAsia="Courier New" w:hAnsi="Arial Narrow" w:cs="Courier New"/>
                <w:b/>
                <w:color w:val="000000"/>
              </w:rPr>
              <w:t>to themselves (as opposed to helping others)</w:t>
            </w:r>
          </w:p>
          <w:p w:rsidR="00E47B34" w:rsidRPr="001A0B2D" w:rsidRDefault="00E47B34" w:rsidP="008A36B1">
            <w:pPr>
              <w:spacing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Correlation</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b/>
                <w:color w:val="000000"/>
              </w:rPr>
            </w:pPr>
            <w:r w:rsidRPr="001A0B2D">
              <w:rPr>
                <w:rFonts w:ascii="Arial Narrow" w:eastAsia="Courier New" w:hAnsi="Arial Narrow" w:cs="Courier New"/>
                <w:b/>
                <w:color w:val="000000"/>
              </w:rPr>
              <w:t>0.478</w:t>
            </w:r>
          </w:p>
        </w:tc>
      </w:tr>
      <w:tr w:rsidR="00226FCF" w:rsidRPr="001A0B2D" w:rsidTr="008A36B1">
        <w:trPr>
          <w:trHeight w:val="234"/>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Significance</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0.0000</w:t>
            </w:r>
          </w:p>
        </w:tc>
      </w:tr>
      <w:tr w:rsidR="00226FCF" w:rsidRPr="001A0B2D" w:rsidTr="008A36B1">
        <w:trPr>
          <w:trHeight w:val="233"/>
        </w:trPr>
        <w:tc>
          <w:tcPr>
            <w:tcW w:w="0" w:type="auto"/>
            <w:vMerge/>
          </w:tcPr>
          <w:p w:rsidR="00E47B34" w:rsidRPr="001A0B2D" w:rsidRDefault="00E47B34" w:rsidP="008A36B1">
            <w:pPr>
              <w:spacing w:after="160" w:line="259" w:lineRule="auto"/>
              <w:ind w:firstLine="0"/>
              <w:jc w:val="left"/>
              <w:rPr>
                <w:rFonts w:ascii="Arial Narrow" w:eastAsia="Courier New" w:hAnsi="Arial Narrow" w:cs="Courier New"/>
                <w:color w:val="000000"/>
              </w:rPr>
            </w:pP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Count</w:t>
            </w:r>
          </w:p>
        </w:tc>
        <w:tc>
          <w:tcPr>
            <w:tcW w:w="0" w:type="auto"/>
          </w:tcPr>
          <w:p w:rsidR="00E47B34" w:rsidRPr="001A0B2D" w:rsidRDefault="00E47B34" w:rsidP="008A36B1">
            <w:pPr>
              <w:spacing w:line="259" w:lineRule="auto"/>
              <w:ind w:left="1" w:firstLine="0"/>
              <w:jc w:val="left"/>
              <w:rPr>
                <w:rFonts w:ascii="Arial Narrow" w:eastAsia="Courier New" w:hAnsi="Arial Narrow" w:cs="Courier New"/>
                <w:color w:val="000000"/>
              </w:rPr>
            </w:pPr>
            <w:r w:rsidRPr="001A0B2D">
              <w:rPr>
                <w:rFonts w:ascii="Arial Narrow" w:eastAsia="Courier New" w:hAnsi="Arial Narrow" w:cs="Courier New"/>
                <w:color w:val="000000"/>
              </w:rPr>
              <w:t>38496</w:t>
            </w:r>
          </w:p>
        </w:tc>
      </w:tr>
    </w:tbl>
    <w:p w:rsidR="00C71D80" w:rsidRDefault="00C71D80" w:rsidP="00234D0A">
      <w:pPr>
        <w:spacing w:before="120" w:line="360" w:lineRule="auto"/>
        <w:ind w:firstLine="0"/>
        <w:jc w:val="left"/>
        <w:rPr>
          <w:rFonts w:ascii="Bookman Old Style" w:hAnsi="Bookman Old Style"/>
        </w:rPr>
      </w:pPr>
    </w:p>
    <w:p w:rsidR="00226FCF" w:rsidRPr="001A0B2D" w:rsidRDefault="00226FCF" w:rsidP="00234D0A">
      <w:pPr>
        <w:spacing w:before="120" w:line="360" w:lineRule="auto"/>
        <w:ind w:firstLine="0"/>
        <w:jc w:val="left"/>
        <w:rPr>
          <w:rFonts w:ascii="Bookman Old Style" w:hAnsi="Bookman Old Style"/>
        </w:rPr>
      </w:pPr>
      <w:r w:rsidRPr="001A0B2D">
        <w:rPr>
          <w:rFonts w:ascii="Bookman Old Style" w:hAnsi="Bookman Old Style"/>
        </w:rPr>
        <w:t>The “power distance” dimension (again as per Hofstede’s model)</w:t>
      </w:r>
      <w:r w:rsidR="003E4D2D" w:rsidRPr="001A0B2D">
        <w:rPr>
          <w:rFonts w:ascii="Bookman Old Style" w:hAnsi="Bookman Old Style"/>
        </w:rPr>
        <w:t xml:space="preserve"> also presupposes an inherent link </w:t>
      </w:r>
      <w:r w:rsidR="00FF6E2D">
        <w:rPr>
          <w:rFonts w:ascii="Bookman Old Style" w:hAnsi="Bookman Old Style"/>
        </w:rPr>
        <w:t>with</w:t>
      </w:r>
      <w:r w:rsidR="003E4D2D" w:rsidRPr="001A0B2D">
        <w:rPr>
          <w:rFonts w:ascii="Bookman Old Style" w:hAnsi="Bookman Old Style"/>
        </w:rPr>
        <w:t xml:space="preserve"> trust. In </w:t>
      </w:r>
      <w:r w:rsidR="003E4D2D" w:rsidRPr="001A0B2D">
        <w:rPr>
          <w:rFonts w:ascii="Bookman Old Style" w:hAnsi="Bookman Old Style"/>
          <w:bCs/>
        </w:rPr>
        <w:t>high power distance cultures</w:t>
      </w:r>
      <w:r w:rsidR="003E4D2D" w:rsidRPr="001A0B2D">
        <w:rPr>
          <w:rFonts w:ascii="Bookman Old Style" w:hAnsi="Bookman Old Style"/>
        </w:rPr>
        <w:t>, managers and staff regard</w:t>
      </w:r>
      <w:r w:rsidR="00226A99" w:rsidRPr="001A0B2D">
        <w:rPr>
          <w:rFonts w:ascii="Bookman Old Style" w:hAnsi="Bookman Old Style"/>
        </w:rPr>
        <w:t xml:space="preserve"> each other </w:t>
      </w:r>
      <w:r w:rsidR="003E4D2D" w:rsidRPr="001A0B2D">
        <w:rPr>
          <w:rFonts w:ascii="Bookman Old Style" w:hAnsi="Bookman Old Style"/>
        </w:rPr>
        <w:t xml:space="preserve">as existentially </w:t>
      </w:r>
      <w:r w:rsidR="003E4D2D" w:rsidRPr="001A0B2D">
        <w:rPr>
          <w:rFonts w:ascii="Bookman Old Style" w:hAnsi="Bookman Old Style"/>
          <w:iCs/>
        </w:rPr>
        <w:t xml:space="preserve">unequal – they </w:t>
      </w:r>
      <w:r w:rsidR="003E4D2D" w:rsidRPr="001A0B2D">
        <w:rPr>
          <w:rFonts w:ascii="Bookman Old Style" w:hAnsi="Bookman Old Style"/>
        </w:rPr>
        <w:t>believe that hierarchy is based on a kind of natural inequality. Organisations and societies tend to centrali</w:t>
      </w:r>
      <w:r w:rsidR="0055681D" w:rsidRPr="001A0B2D">
        <w:rPr>
          <w:rFonts w:ascii="Bookman Old Style" w:hAnsi="Bookman Old Style"/>
        </w:rPr>
        <w:t>s</w:t>
      </w:r>
      <w:r w:rsidR="003E4D2D" w:rsidRPr="001A0B2D">
        <w:rPr>
          <w:rFonts w:ascii="Bookman Old Style" w:hAnsi="Bookman Old Style"/>
        </w:rPr>
        <w:t>e power as much as possible in the hands of fewer people.</w:t>
      </w:r>
      <w:r w:rsidR="003B491E" w:rsidRPr="001A0B2D">
        <w:rPr>
          <w:rFonts w:ascii="Bookman Old Style" w:hAnsi="Bookman Old Style"/>
        </w:rPr>
        <w:t xml:space="preserve"> </w:t>
      </w:r>
      <w:r w:rsidR="0055681D" w:rsidRPr="001A0B2D">
        <w:rPr>
          <w:rFonts w:ascii="Bookman Old Style" w:hAnsi="Bookman Old Style"/>
        </w:rPr>
        <w:t xml:space="preserve">Subordinates are expected to accept orders </w:t>
      </w:r>
      <w:r w:rsidR="00FF6E2D">
        <w:rPr>
          <w:rFonts w:ascii="Bookman Old Style" w:hAnsi="Bookman Old Style"/>
        </w:rPr>
        <w:t xml:space="preserve">about </w:t>
      </w:r>
      <w:r w:rsidR="0055681D" w:rsidRPr="001A0B2D">
        <w:rPr>
          <w:rFonts w:ascii="Bookman Old Style" w:hAnsi="Bookman Old Style"/>
        </w:rPr>
        <w:t xml:space="preserve">what to do. There are many jobs with controlling roles, structured in steep hierarchies of </w:t>
      </w:r>
      <w:r w:rsidR="00FF6E2D">
        <w:rPr>
          <w:rFonts w:ascii="Bookman Old Style" w:hAnsi="Bookman Old Style"/>
        </w:rPr>
        <w:t>employees</w:t>
      </w:r>
      <w:r w:rsidR="0055681D" w:rsidRPr="001A0B2D">
        <w:rPr>
          <w:rFonts w:ascii="Bookman Old Style" w:hAnsi="Bookman Old Style"/>
        </w:rPr>
        <w:t xml:space="preserve"> who report to each other. Top to bottom of the hierarchy comparison reveals huge differences in pay levels. The superiors enjoy </w:t>
      </w:r>
      <w:r w:rsidR="003B491E" w:rsidRPr="001A0B2D">
        <w:rPr>
          <w:rFonts w:ascii="Bookman Old Style" w:hAnsi="Bookman Old Style"/>
        </w:rPr>
        <w:t>privileges</w:t>
      </w:r>
      <w:r w:rsidR="0055681D" w:rsidRPr="001A0B2D">
        <w:rPr>
          <w:rFonts w:ascii="Bookman Old Style" w:hAnsi="Bookman Old Style"/>
        </w:rPr>
        <w:t xml:space="preserve"> (‘private laws</w:t>
      </w:r>
      <w:r w:rsidR="003B491E" w:rsidRPr="001A0B2D">
        <w:rPr>
          <w:rFonts w:ascii="Bookman Old Style" w:hAnsi="Bookman Old Style"/>
        </w:rPr>
        <w:t>’</w:t>
      </w:r>
      <w:r w:rsidR="0055681D" w:rsidRPr="001A0B2D">
        <w:rPr>
          <w:rFonts w:ascii="Bookman Old Style" w:hAnsi="Bookman Old Style"/>
        </w:rPr>
        <w:t>), the ideal boss</w:t>
      </w:r>
      <w:r w:rsidR="003B491E" w:rsidRPr="001A0B2D">
        <w:rPr>
          <w:rFonts w:ascii="Bookman Old Style" w:hAnsi="Bookman Old Style"/>
        </w:rPr>
        <w:t>,</w:t>
      </w:r>
      <w:r w:rsidR="0055681D" w:rsidRPr="001A0B2D">
        <w:rPr>
          <w:rFonts w:ascii="Bookman Old Style" w:hAnsi="Bookman Old Style"/>
        </w:rPr>
        <w:t xml:space="preserve"> </w:t>
      </w:r>
      <w:r w:rsidR="003B491E" w:rsidRPr="001A0B2D">
        <w:rPr>
          <w:rFonts w:ascii="Bookman Old Style" w:hAnsi="Bookman Old Style"/>
        </w:rPr>
        <w:t>a</w:t>
      </w:r>
      <w:r w:rsidR="0055681D" w:rsidRPr="001A0B2D">
        <w:rPr>
          <w:rFonts w:ascii="Bookman Old Style" w:hAnsi="Bookman Old Style"/>
        </w:rPr>
        <w:t>s seen by subordinates</w:t>
      </w:r>
      <w:r w:rsidR="003B491E" w:rsidRPr="001A0B2D">
        <w:rPr>
          <w:rFonts w:ascii="Bookman Old Style" w:hAnsi="Bookman Old Style"/>
        </w:rPr>
        <w:t>,</w:t>
      </w:r>
      <w:r w:rsidR="0055681D" w:rsidRPr="001A0B2D">
        <w:rPr>
          <w:rFonts w:ascii="Bookman Old Style" w:hAnsi="Bookman Old Style"/>
        </w:rPr>
        <w:t xml:space="preserve"> being </w:t>
      </w:r>
      <w:r w:rsidR="003B491E" w:rsidRPr="001A0B2D">
        <w:rPr>
          <w:rFonts w:ascii="Bookman Old Style" w:hAnsi="Bookman Old Style"/>
        </w:rPr>
        <w:t>the</w:t>
      </w:r>
      <w:r w:rsidR="0055681D" w:rsidRPr="001A0B2D">
        <w:rPr>
          <w:rFonts w:ascii="Bookman Old Style" w:hAnsi="Bookman Old Style"/>
        </w:rPr>
        <w:t xml:space="preserve"> </w:t>
      </w:r>
      <w:r w:rsidR="003B491E" w:rsidRPr="001A0B2D">
        <w:rPr>
          <w:rFonts w:ascii="Bookman Old Style" w:hAnsi="Bookman Old Style"/>
        </w:rPr>
        <w:t>benevolent</w:t>
      </w:r>
      <w:r w:rsidR="0055681D" w:rsidRPr="001A0B2D">
        <w:rPr>
          <w:rFonts w:ascii="Bookman Old Style" w:hAnsi="Bookman Old Style"/>
        </w:rPr>
        <w:t xml:space="preserve"> autocrat or </w:t>
      </w:r>
      <w:r w:rsidR="003B491E" w:rsidRPr="001A0B2D">
        <w:rPr>
          <w:rFonts w:ascii="Bookman Old Style" w:hAnsi="Bookman Old Style"/>
        </w:rPr>
        <w:t>the</w:t>
      </w:r>
      <w:r w:rsidR="0055681D" w:rsidRPr="001A0B2D">
        <w:rPr>
          <w:rFonts w:ascii="Bookman Old Style" w:hAnsi="Bookman Old Style"/>
        </w:rPr>
        <w:t xml:space="preserve"> “good father”. </w:t>
      </w:r>
      <w:r w:rsidR="00A21098" w:rsidRPr="001A0B2D">
        <w:rPr>
          <w:rFonts w:ascii="Bookman Old Style" w:hAnsi="Bookman Old Style"/>
        </w:rPr>
        <w:t xml:space="preserve">The visible signs of </w:t>
      </w:r>
      <w:r w:rsidR="003B491E" w:rsidRPr="001A0B2D">
        <w:rPr>
          <w:rFonts w:ascii="Bookman Old Style" w:hAnsi="Bookman Old Style"/>
        </w:rPr>
        <w:t>status in</w:t>
      </w:r>
      <w:r w:rsidR="00A21098" w:rsidRPr="001A0B2D">
        <w:rPr>
          <w:rFonts w:ascii="Bookman Old Style" w:hAnsi="Bookman Old Style"/>
        </w:rPr>
        <w:t xml:space="preserve"> high power distance cultures contribute to the authority </w:t>
      </w:r>
      <w:r w:rsidR="003B491E" w:rsidRPr="001A0B2D">
        <w:rPr>
          <w:rFonts w:ascii="Bookman Old Style" w:hAnsi="Bookman Old Style"/>
        </w:rPr>
        <w:t xml:space="preserve">of </w:t>
      </w:r>
      <w:r w:rsidR="00A21098" w:rsidRPr="001A0B2D">
        <w:rPr>
          <w:rFonts w:ascii="Bookman Old Style" w:hAnsi="Bookman Old Style"/>
        </w:rPr>
        <w:t xml:space="preserve">the superiors – the subordinate is highly likely to </w:t>
      </w:r>
      <w:r w:rsidR="005C251C">
        <w:rPr>
          <w:rFonts w:ascii="Bookman Old Style" w:hAnsi="Bookman Old Style"/>
        </w:rPr>
        <w:t>be</w:t>
      </w:r>
      <w:r w:rsidR="00A21098" w:rsidRPr="001A0B2D">
        <w:rPr>
          <w:rFonts w:ascii="Bookman Old Style" w:hAnsi="Bookman Old Style"/>
        </w:rPr>
        <w:t xml:space="preserve"> proud to tell their neighbour that their boss is driving a big</w:t>
      </w:r>
      <w:r w:rsidR="003B491E" w:rsidRPr="001A0B2D">
        <w:rPr>
          <w:rFonts w:ascii="Bookman Old Style" w:hAnsi="Bookman Old Style"/>
        </w:rPr>
        <w:t>ger car</w:t>
      </w:r>
      <w:r w:rsidR="00A21098" w:rsidRPr="001A0B2D">
        <w:rPr>
          <w:rFonts w:ascii="Bookman Old Style" w:hAnsi="Bookman Old Style"/>
        </w:rPr>
        <w:t xml:space="preserve"> than that of the neighbour’s boss. Senior managers are respected more than young ones. Being a victim of abuse of </w:t>
      </w:r>
      <w:r w:rsidR="003B491E" w:rsidRPr="001A0B2D">
        <w:rPr>
          <w:rFonts w:ascii="Bookman Old Style" w:hAnsi="Bookman Old Style"/>
        </w:rPr>
        <w:t>power on</w:t>
      </w:r>
      <w:r w:rsidR="00A21098" w:rsidRPr="001A0B2D">
        <w:rPr>
          <w:rFonts w:ascii="Bookman Old Style" w:hAnsi="Bookman Old Style"/>
        </w:rPr>
        <w:t xml:space="preserve"> the part of your boss is </w:t>
      </w:r>
      <w:r w:rsidR="003B491E" w:rsidRPr="001A0B2D">
        <w:rPr>
          <w:rFonts w:ascii="Bookman Old Style" w:hAnsi="Bookman Old Style"/>
        </w:rPr>
        <w:t xml:space="preserve">more often </w:t>
      </w:r>
      <w:r w:rsidR="00A21098" w:rsidRPr="001A0B2D">
        <w:rPr>
          <w:rFonts w:ascii="Bookman Old Style" w:hAnsi="Bookman Old Style"/>
        </w:rPr>
        <w:t xml:space="preserve">interpreted as just a piece of bad lack and there is no </w:t>
      </w:r>
      <w:r w:rsidR="003B491E" w:rsidRPr="001A0B2D">
        <w:rPr>
          <w:rFonts w:ascii="Bookman Old Style" w:hAnsi="Bookman Old Style"/>
        </w:rPr>
        <w:t xml:space="preserve">clear inclination </w:t>
      </w:r>
      <w:r w:rsidR="00A21098" w:rsidRPr="001A0B2D">
        <w:rPr>
          <w:rFonts w:ascii="Bookman Old Style" w:hAnsi="Bookman Old Style"/>
        </w:rPr>
        <w:t xml:space="preserve">to seek </w:t>
      </w:r>
      <w:r w:rsidR="005C251C">
        <w:rPr>
          <w:rFonts w:ascii="Bookman Old Style" w:hAnsi="Bookman Old Style"/>
        </w:rPr>
        <w:t xml:space="preserve">redemption or </w:t>
      </w:r>
      <w:r w:rsidR="00A21098" w:rsidRPr="001A0B2D">
        <w:rPr>
          <w:rFonts w:ascii="Bookman Old Style" w:hAnsi="Bookman Old Style"/>
        </w:rPr>
        <w:t>compensation in such situations.</w:t>
      </w:r>
    </w:p>
    <w:p w:rsidR="00226A99" w:rsidRPr="001A0B2D" w:rsidRDefault="00226A99" w:rsidP="00234D0A">
      <w:pPr>
        <w:spacing w:before="120" w:line="360" w:lineRule="auto"/>
        <w:ind w:firstLine="0"/>
        <w:jc w:val="left"/>
        <w:rPr>
          <w:rFonts w:ascii="Bookman Old Style" w:hAnsi="Bookman Old Style"/>
        </w:rPr>
      </w:pPr>
      <w:r w:rsidRPr="001A0B2D">
        <w:rPr>
          <w:rFonts w:ascii="Bookman Old Style" w:hAnsi="Bookman Old Style"/>
        </w:rPr>
        <w:lastRenderedPageBreak/>
        <w:t xml:space="preserve">In </w:t>
      </w:r>
      <w:r w:rsidRPr="001A0B2D">
        <w:rPr>
          <w:rFonts w:ascii="Bookman Old Style" w:hAnsi="Bookman Old Style"/>
          <w:bCs/>
        </w:rPr>
        <w:t>low power distance cultures</w:t>
      </w:r>
      <w:r w:rsidR="005C251C">
        <w:rPr>
          <w:rFonts w:ascii="Bookman Old Style" w:hAnsi="Bookman Old Style"/>
          <w:b/>
          <w:bCs/>
        </w:rPr>
        <w:t>,</w:t>
      </w:r>
      <w:r w:rsidRPr="001A0B2D">
        <w:rPr>
          <w:rFonts w:ascii="Bookman Old Style" w:hAnsi="Bookman Old Style"/>
        </w:rPr>
        <w:t xml:space="preserve"> managers and staff regard each other </w:t>
      </w:r>
      <w:r w:rsidR="00BE650C" w:rsidRPr="001A0B2D">
        <w:rPr>
          <w:rFonts w:ascii="Bookman Old Style" w:hAnsi="Bookman Old Style"/>
        </w:rPr>
        <w:t xml:space="preserve">rather </w:t>
      </w:r>
      <w:r w:rsidRPr="001A0B2D">
        <w:rPr>
          <w:rFonts w:ascii="Bookman Old Style" w:hAnsi="Bookman Old Style"/>
        </w:rPr>
        <w:t xml:space="preserve">as existentially </w:t>
      </w:r>
      <w:r w:rsidRPr="001A0B2D">
        <w:rPr>
          <w:rFonts w:ascii="Bookman Old Style" w:hAnsi="Bookman Old Style"/>
          <w:iCs/>
        </w:rPr>
        <w:t>equal</w:t>
      </w:r>
      <w:r w:rsidRPr="001A0B2D">
        <w:rPr>
          <w:rFonts w:ascii="Bookman Old Style" w:hAnsi="Bookman Old Style"/>
        </w:rPr>
        <w:t>, while the hierarchical system is mere</w:t>
      </w:r>
      <w:r w:rsidR="00BE650C" w:rsidRPr="001A0B2D">
        <w:rPr>
          <w:rFonts w:ascii="Bookman Old Style" w:hAnsi="Bookman Old Style"/>
        </w:rPr>
        <w:t>ly an</w:t>
      </w:r>
      <w:r w:rsidRPr="001A0B2D">
        <w:rPr>
          <w:rFonts w:ascii="Bookman Old Style" w:hAnsi="Bookman Old Style"/>
        </w:rPr>
        <w:t xml:space="preserve"> operational inequality of </w:t>
      </w:r>
      <w:r w:rsidR="00BE650C" w:rsidRPr="001A0B2D">
        <w:rPr>
          <w:rFonts w:ascii="Bookman Old Style" w:hAnsi="Bookman Old Style"/>
        </w:rPr>
        <w:t xml:space="preserve">the </w:t>
      </w:r>
      <w:r w:rsidRPr="001A0B2D">
        <w:rPr>
          <w:rFonts w:ascii="Bookman Old Style" w:hAnsi="Bookman Old Style"/>
        </w:rPr>
        <w:t>roles in a certain context and is there for the sake of more convenience and efficiency. Roles can be changed or swapped so that today’s subordinate can be tomorrow’s manager.</w:t>
      </w:r>
      <w:r w:rsidR="00BE650C" w:rsidRPr="001A0B2D">
        <w:rPr>
          <w:rFonts w:ascii="Bookman Old Style" w:hAnsi="Bookman Old Style"/>
        </w:rPr>
        <w:t xml:space="preserve"> Organisations and many public structures are quite decentralised, with flat organisational structure and a limited number of controlling staff. Differentiation in pay</w:t>
      </w:r>
      <w:r w:rsidR="008E4E1C">
        <w:rPr>
          <w:rFonts w:ascii="Bookman Old Style" w:hAnsi="Bookman Old Style"/>
        </w:rPr>
        <w:t xml:space="preserve"> (income inequality)</w:t>
      </w:r>
      <w:r w:rsidR="00BE650C" w:rsidRPr="001A0B2D">
        <w:rPr>
          <w:rFonts w:ascii="Bookman Old Style" w:hAnsi="Bookman Old Style"/>
        </w:rPr>
        <w:t xml:space="preserve"> i.e. the difference between </w:t>
      </w:r>
      <w:r w:rsidR="005C251C">
        <w:rPr>
          <w:rFonts w:ascii="Bookman Old Style" w:hAnsi="Bookman Old Style"/>
        </w:rPr>
        <w:t xml:space="preserve">the </w:t>
      </w:r>
      <w:r w:rsidR="00BE650C" w:rsidRPr="001A0B2D">
        <w:rPr>
          <w:rFonts w:ascii="Bookman Old Style" w:hAnsi="Bookman Old Style"/>
        </w:rPr>
        <w:t>maximum and minimum levels of pay or income is relatively small. Privileges of those at the top are</w:t>
      </w:r>
      <w:r w:rsidR="00B60933" w:rsidRPr="001A0B2D">
        <w:rPr>
          <w:rFonts w:ascii="Bookman Old Style" w:hAnsi="Bookman Old Style"/>
        </w:rPr>
        <w:t xml:space="preserve"> undesirable</w:t>
      </w:r>
      <w:r w:rsidR="00BE650C" w:rsidRPr="001A0B2D">
        <w:rPr>
          <w:rFonts w:ascii="Bookman Old Style" w:hAnsi="Bookman Old Style"/>
        </w:rPr>
        <w:t>. As a rule</w:t>
      </w:r>
      <w:r w:rsidR="005C251C">
        <w:rPr>
          <w:rFonts w:ascii="Bookman Old Style" w:hAnsi="Bookman Old Style"/>
        </w:rPr>
        <w:t>,</w:t>
      </w:r>
      <w:r w:rsidR="00BE650C" w:rsidRPr="001A0B2D">
        <w:rPr>
          <w:rFonts w:ascii="Bookman Old Style" w:hAnsi="Bookman Old Style"/>
        </w:rPr>
        <w:t xml:space="preserve"> superiors should be accessible </w:t>
      </w:r>
      <w:r w:rsidR="005C251C">
        <w:rPr>
          <w:rFonts w:ascii="Bookman Old Style" w:hAnsi="Bookman Old Style"/>
        </w:rPr>
        <w:t>to</w:t>
      </w:r>
      <w:r w:rsidR="00BE650C" w:rsidRPr="001A0B2D">
        <w:rPr>
          <w:rFonts w:ascii="Bookman Old Style" w:hAnsi="Bookman Old Style"/>
        </w:rPr>
        <w:t xml:space="preserve"> their subordinates and the ideal manager is seen as the resourceful (and respected for </w:t>
      </w:r>
      <w:r w:rsidR="005C251C">
        <w:rPr>
          <w:rFonts w:ascii="Bookman Old Style" w:hAnsi="Bookman Old Style"/>
        </w:rPr>
        <w:t>their</w:t>
      </w:r>
      <w:r w:rsidR="00BE650C" w:rsidRPr="001A0B2D">
        <w:rPr>
          <w:rFonts w:ascii="Bookman Old Style" w:hAnsi="Bookman Old Style"/>
        </w:rPr>
        <w:t xml:space="preserve"> resourcefulness) democrat.</w:t>
      </w:r>
      <w:r w:rsidR="00B60933" w:rsidRPr="001A0B2D">
        <w:rPr>
          <w:rFonts w:ascii="Bookman Old Style" w:hAnsi="Bookman Old Style"/>
        </w:rPr>
        <w:t xml:space="preserve"> Status symbols in communities of lower power distance are frowned upon. More and better developed </w:t>
      </w:r>
      <w:r w:rsidR="005C251C">
        <w:rPr>
          <w:rFonts w:ascii="Bookman Old Style" w:hAnsi="Bookman Old Style"/>
        </w:rPr>
        <w:t>appeals</w:t>
      </w:r>
      <w:r w:rsidR="00B60933" w:rsidRPr="001A0B2D">
        <w:rPr>
          <w:rFonts w:ascii="Bookman Old Style" w:hAnsi="Bookman Old Style"/>
        </w:rPr>
        <w:t xml:space="preserve"> procedures for citizens and subordinates to use are expected to be in place as regards complaints about alleged abuse of office (malfeasance in office).</w:t>
      </w:r>
    </w:p>
    <w:p w:rsidR="0000080F" w:rsidRPr="001A0B2D" w:rsidRDefault="0000080F" w:rsidP="00234D0A">
      <w:pPr>
        <w:spacing w:before="120" w:line="360" w:lineRule="auto"/>
        <w:ind w:firstLine="0"/>
        <w:jc w:val="left"/>
        <w:rPr>
          <w:rFonts w:ascii="Bookman Old Style" w:hAnsi="Bookman Old Style"/>
        </w:rPr>
      </w:pPr>
      <w:r w:rsidRPr="001A0B2D">
        <w:rPr>
          <w:rFonts w:ascii="Bookman Old Style" w:hAnsi="Bookman Old Style"/>
        </w:rPr>
        <w:t>A key issue under this cultural dimension is the form of hierarchical structure and the procedures bringing it to life i.e. the extent of inequality among people. In high distance power societies no one</w:t>
      </w:r>
      <w:r w:rsidR="005C251C">
        <w:rPr>
          <w:rFonts w:ascii="Bookman Old Style" w:hAnsi="Bookman Old Style"/>
        </w:rPr>
        <w:t xml:space="preserve"> believes that all are (or even</w:t>
      </w:r>
      <w:r w:rsidRPr="001A0B2D">
        <w:rPr>
          <w:rFonts w:ascii="Bookman Old Style" w:hAnsi="Bookman Old Style"/>
        </w:rPr>
        <w:t xml:space="preserve"> that they should be) equal or that they should enjoy the same prerogatives. Parents will not be children, leaders will not be followers, kings will not be subjects.</w:t>
      </w:r>
    </w:p>
    <w:p w:rsidR="0000080F" w:rsidRPr="001A0B2D" w:rsidRDefault="0000080F" w:rsidP="00234D0A">
      <w:pPr>
        <w:spacing w:before="120" w:line="360" w:lineRule="auto"/>
        <w:ind w:firstLine="0"/>
        <w:jc w:val="left"/>
        <w:rPr>
          <w:rFonts w:ascii="Bookman Old Style" w:hAnsi="Bookman Old Style"/>
        </w:rPr>
      </w:pPr>
      <w:r w:rsidRPr="001A0B2D">
        <w:rPr>
          <w:rFonts w:ascii="Bookman Old Style" w:hAnsi="Bookman Old Style"/>
        </w:rPr>
        <w:t xml:space="preserve">In Europe several survey studies (including Hofstede’s) have revealed that power distance in </w:t>
      </w:r>
      <w:r w:rsidR="003973FD" w:rsidRPr="001A0B2D">
        <w:rPr>
          <w:rFonts w:ascii="Bookman Old Style" w:hAnsi="Bookman Old Style"/>
        </w:rPr>
        <w:t>N</w:t>
      </w:r>
      <w:r w:rsidRPr="001A0B2D">
        <w:rPr>
          <w:rFonts w:ascii="Bookman Old Style" w:hAnsi="Bookman Old Style"/>
        </w:rPr>
        <w:t>orth</w:t>
      </w:r>
      <w:r w:rsidR="003973FD" w:rsidRPr="001A0B2D">
        <w:rPr>
          <w:rFonts w:ascii="Bookman Old Style" w:hAnsi="Bookman Old Style"/>
        </w:rPr>
        <w:t>ern</w:t>
      </w:r>
      <w:r w:rsidRPr="001A0B2D">
        <w:rPr>
          <w:rFonts w:ascii="Bookman Old Style" w:hAnsi="Bookman Old Style"/>
        </w:rPr>
        <w:t xml:space="preserve"> and </w:t>
      </w:r>
      <w:r w:rsidR="003973FD" w:rsidRPr="001A0B2D">
        <w:rPr>
          <w:rFonts w:ascii="Bookman Old Style" w:hAnsi="Bookman Old Style"/>
        </w:rPr>
        <w:t>W</w:t>
      </w:r>
      <w:r w:rsidRPr="001A0B2D">
        <w:rPr>
          <w:rFonts w:ascii="Bookman Old Style" w:hAnsi="Bookman Old Style"/>
        </w:rPr>
        <w:t>estern</w:t>
      </w:r>
      <w:r w:rsidR="003973FD" w:rsidRPr="001A0B2D">
        <w:rPr>
          <w:rFonts w:ascii="Bookman Old Style" w:hAnsi="Bookman Old Style"/>
        </w:rPr>
        <w:t xml:space="preserve"> European</w:t>
      </w:r>
      <w:r w:rsidRPr="001A0B2D">
        <w:rPr>
          <w:rFonts w:ascii="Bookman Old Style" w:hAnsi="Bookman Old Style"/>
        </w:rPr>
        <w:t xml:space="preserve"> cultures is lower than in Eastern and South European countries. The two regions are divided, roughly speaking and not by coincidence, by the former border of the Roman Empire. Such divide exists also between Anglo-Saxon and Latin cultures.</w:t>
      </w:r>
    </w:p>
    <w:p w:rsidR="00E47B34" w:rsidRDefault="003973FD" w:rsidP="00234D0A">
      <w:pPr>
        <w:spacing w:before="120" w:line="360" w:lineRule="auto"/>
        <w:ind w:firstLine="0"/>
        <w:jc w:val="left"/>
        <w:rPr>
          <w:rFonts w:ascii="Bookman Old Style" w:hAnsi="Bookman Old Style"/>
        </w:rPr>
      </w:pPr>
      <w:r w:rsidRPr="001A0B2D">
        <w:rPr>
          <w:rFonts w:ascii="Bookman Old Style" w:hAnsi="Bookman Old Style"/>
        </w:rPr>
        <w:t xml:space="preserve">In the table </w:t>
      </w:r>
      <w:r w:rsidR="00AE42B4" w:rsidRPr="001A0B2D">
        <w:rPr>
          <w:rFonts w:ascii="Bookman Old Style" w:hAnsi="Bookman Old Style"/>
        </w:rPr>
        <w:t>below</w:t>
      </w:r>
      <w:r w:rsidRPr="001A0B2D">
        <w:rPr>
          <w:rFonts w:ascii="Bookman Old Style" w:hAnsi="Bookman Old Style"/>
        </w:rPr>
        <w:t>, based on Hofstede’s model, some of the most important behavioural tendencies</w:t>
      </w:r>
      <w:r w:rsidR="00AE42B4" w:rsidRPr="001A0B2D">
        <w:rPr>
          <w:rFonts w:ascii="Bookman Old Style" w:hAnsi="Bookman Old Style"/>
        </w:rPr>
        <w:t xml:space="preserve"> are systematised, as</w:t>
      </w:r>
      <w:r w:rsidRPr="001A0B2D">
        <w:rPr>
          <w:rFonts w:ascii="Bookman Old Style" w:hAnsi="Bookman Old Style"/>
        </w:rPr>
        <w:t xml:space="preserve"> deriv</w:t>
      </w:r>
      <w:r w:rsidR="00AE42B4" w:rsidRPr="001A0B2D">
        <w:rPr>
          <w:rFonts w:ascii="Bookman Old Style" w:hAnsi="Bookman Old Style"/>
        </w:rPr>
        <w:t>ing</w:t>
      </w:r>
      <w:r w:rsidRPr="001A0B2D">
        <w:rPr>
          <w:rFonts w:ascii="Bookman Old Style" w:hAnsi="Bookman Old Style"/>
        </w:rPr>
        <w:t xml:space="preserve"> </w:t>
      </w:r>
      <w:r w:rsidR="00AE42B4" w:rsidRPr="001A0B2D">
        <w:rPr>
          <w:rFonts w:ascii="Bookman Old Style" w:hAnsi="Bookman Old Style"/>
        </w:rPr>
        <w:t>from</w:t>
      </w:r>
      <w:r w:rsidRPr="001A0B2D">
        <w:rPr>
          <w:rFonts w:ascii="Bookman Old Style" w:hAnsi="Bookman Old Style"/>
        </w:rPr>
        <w:t xml:space="preserve"> the difference in power distance </w:t>
      </w:r>
      <w:r w:rsidR="00AE42B4" w:rsidRPr="001A0B2D">
        <w:rPr>
          <w:rFonts w:ascii="Bookman Old Style" w:hAnsi="Bookman Old Style"/>
        </w:rPr>
        <w:t>and illustrating it well enough.</w:t>
      </w:r>
    </w:p>
    <w:p w:rsidR="00BC2F47" w:rsidRDefault="00BC2F47" w:rsidP="00234D0A">
      <w:pPr>
        <w:spacing w:before="120" w:line="360" w:lineRule="auto"/>
        <w:ind w:firstLine="0"/>
        <w:jc w:val="left"/>
      </w:pPr>
    </w:p>
    <w:p w:rsidR="00C71D80" w:rsidRDefault="00C71D80" w:rsidP="00234D0A">
      <w:pPr>
        <w:spacing w:before="120" w:line="360" w:lineRule="auto"/>
        <w:ind w:firstLine="0"/>
        <w:jc w:val="left"/>
      </w:pPr>
    </w:p>
    <w:p w:rsidR="00C71D80" w:rsidRDefault="00C71D80" w:rsidP="00234D0A">
      <w:pPr>
        <w:spacing w:before="120" w:line="360" w:lineRule="auto"/>
        <w:ind w:firstLine="0"/>
        <w:jc w:val="left"/>
      </w:pPr>
    </w:p>
    <w:p w:rsidR="00C71D80" w:rsidRDefault="00C71D80" w:rsidP="00234D0A">
      <w:pPr>
        <w:spacing w:before="120" w:line="360" w:lineRule="auto"/>
        <w:ind w:firstLine="0"/>
        <w:jc w:val="left"/>
      </w:pPr>
    </w:p>
    <w:p w:rsidR="00C71D80" w:rsidRPr="001A0B2D" w:rsidRDefault="00C71D80" w:rsidP="00234D0A">
      <w:pPr>
        <w:spacing w:before="120" w:line="360" w:lineRule="auto"/>
        <w:ind w:firstLine="0"/>
        <w:jc w:val="left"/>
      </w:pPr>
    </w:p>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64"/>
        <w:gridCol w:w="4418"/>
      </w:tblGrid>
      <w:tr w:rsidR="00E47B34" w:rsidRPr="001A0B2D" w:rsidTr="008A36B1">
        <w:trPr>
          <w:trHeight w:val="223"/>
        </w:trPr>
        <w:tc>
          <w:tcPr>
            <w:tcW w:w="4464" w:type="dxa"/>
            <w:tcBorders>
              <w:top w:val="single" w:sz="8" w:space="0" w:color="000000"/>
              <w:bottom w:val="single" w:sz="8" w:space="0" w:color="000000"/>
              <w:right w:val="single" w:sz="8" w:space="0" w:color="000000"/>
            </w:tcBorders>
          </w:tcPr>
          <w:p w:rsidR="00E47B34" w:rsidRPr="001A0B2D" w:rsidRDefault="00874E23" w:rsidP="008A36B1">
            <w:pPr>
              <w:pStyle w:val="Default"/>
              <w:rPr>
                <w:b/>
                <w:sz w:val="18"/>
                <w:szCs w:val="18"/>
              </w:rPr>
            </w:pPr>
            <w:r w:rsidRPr="001A0B2D">
              <w:rPr>
                <w:b/>
                <w:i/>
                <w:iCs/>
                <w:sz w:val="18"/>
                <w:szCs w:val="18"/>
              </w:rPr>
              <w:t>Characteristics typically observed in low power distance cultures</w:t>
            </w:r>
          </w:p>
        </w:tc>
        <w:tc>
          <w:tcPr>
            <w:tcW w:w="4418" w:type="dxa"/>
            <w:tcBorders>
              <w:top w:val="single" w:sz="8" w:space="0" w:color="000000"/>
              <w:left w:val="single" w:sz="8" w:space="0" w:color="000000"/>
              <w:bottom w:val="single" w:sz="8" w:space="0" w:color="000000"/>
            </w:tcBorders>
          </w:tcPr>
          <w:p w:rsidR="00E47B34" w:rsidRPr="001A0B2D" w:rsidRDefault="00B90290" w:rsidP="00B90290">
            <w:pPr>
              <w:pStyle w:val="Default"/>
              <w:rPr>
                <w:b/>
                <w:sz w:val="18"/>
                <w:szCs w:val="18"/>
              </w:rPr>
            </w:pPr>
            <w:r w:rsidRPr="001A0B2D">
              <w:rPr>
                <w:b/>
                <w:i/>
                <w:iCs/>
                <w:sz w:val="18"/>
                <w:szCs w:val="18"/>
              </w:rPr>
              <w:t>Characteristics typically observed in high power distance cultures</w:t>
            </w:r>
          </w:p>
        </w:tc>
      </w:tr>
      <w:tr w:rsidR="00E47B34" w:rsidRPr="001A0B2D" w:rsidTr="008A36B1">
        <w:trPr>
          <w:trHeight w:val="221"/>
        </w:trPr>
        <w:tc>
          <w:tcPr>
            <w:tcW w:w="4464" w:type="dxa"/>
            <w:tcBorders>
              <w:top w:val="single" w:sz="8" w:space="0" w:color="000000"/>
              <w:bottom w:val="single" w:sz="8" w:space="0" w:color="000000"/>
              <w:right w:val="single" w:sz="8" w:space="0" w:color="000000"/>
            </w:tcBorders>
          </w:tcPr>
          <w:p w:rsidR="00E47B34" w:rsidRPr="001A0B2D" w:rsidRDefault="00B90290" w:rsidP="009E34A1">
            <w:pPr>
              <w:pStyle w:val="Default"/>
              <w:rPr>
                <w:sz w:val="18"/>
                <w:szCs w:val="18"/>
              </w:rPr>
            </w:pPr>
            <w:r w:rsidRPr="001A0B2D">
              <w:rPr>
                <w:sz w:val="18"/>
                <w:szCs w:val="18"/>
              </w:rPr>
              <w:t>Use of power needs to be constantly legitimi</w:t>
            </w:r>
            <w:r w:rsidR="009E34A1">
              <w:rPr>
                <w:sz w:val="18"/>
                <w:szCs w:val="18"/>
              </w:rPr>
              <w:t>s</w:t>
            </w:r>
            <w:r w:rsidRPr="001A0B2D">
              <w:rPr>
                <w:sz w:val="18"/>
                <w:szCs w:val="18"/>
              </w:rPr>
              <w:t>ed and is subject to moral criteria</w:t>
            </w:r>
            <w:r w:rsidR="005862CF" w:rsidRPr="001A0B2D">
              <w:rPr>
                <w:sz w:val="18"/>
                <w:szCs w:val="18"/>
              </w:rPr>
              <w:t>.</w:t>
            </w:r>
          </w:p>
        </w:tc>
        <w:tc>
          <w:tcPr>
            <w:tcW w:w="4418" w:type="dxa"/>
            <w:tcBorders>
              <w:top w:val="single" w:sz="8" w:space="0" w:color="000000"/>
              <w:left w:val="single" w:sz="8" w:space="0" w:color="000000"/>
              <w:bottom w:val="single" w:sz="8" w:space="0" w:color="000000"/>
            </w:tcBorders>
          </w:tcPr>
          <w:p w:rsidR="00E47B34" w:rsidRPr="001A0B2D" w:rsidRDefault="00B90290" w:rsidP="005862CF">
            <w:pPr>
              <w:pStyle w:val="Default"/>
              <w:rPr>
                <w:sz w:val="18"/>
                <w:szCs w:val="18"/>
              </w:rPr>
            </w:pPr>
            <w:r w:rsidRPr="001A0B2D">
              <w:rPr>
                <w:sz w:val="18"/>
                <w:szCs w:val="18"/>
              </w:rPr>
              <w:t>Interpretations of ethics are flexible depending on who possesses and uses power</w:t>
            </w:r>
            <w:r w:rsidR="005862CF" w:rsidRPr="001A0B2D">
              <w:rPr>
                <w:sz w:val="18"/>
                <w:szCs w:val="18"/>
              </w:rPr>
              <w:t>.</w:t>
            </w:r>
          </w:p>
        </w:tc>
      </w:tr>
      <w:tr w:rsidR="00E47B34" w:rsidRPr="001A0B2D" w:rsidTr="008A36B1">
        <w:trPr>
          <w:trHeight w:val="222"/>
        </w:trPr>
        <w:tc>
          <w:tcPr>
            <w:tcW w:w="4464" w:type="dxa"/>
            <w:tcBorders>
              <w:top w:val="single" w:sz="8" w:space="0" w:color="000000"/>
              <w:bottom w:val="single" w:sz="8" w:space="0" w:color="000000"/>
              <w:right w:val="single" w:sz="8" w:space="0" w:color="000000"/>
            </w:tcBorders>
          </w:tcPr>
          <w:p w:rsidR="00E47B34" w:rsidRPr="001A0B2D" w:rsidRDefault="005862CF" w:rsidP="005862CF">
            <w:pPr>
              <w:pStyle w:val="Default"/>
              <w:rPr>
                <w:sz w:val="18"/>
                <w:szCs w:val="18"/>
              </w:rPr>
            </w:pPr>
            <w:r w:rsidRPr="001A0B2D">
              <w:rPr>
                <w:sz w:val="18"/>
                <w:szCs w:val="18"/>
              </w:rPr>
              <w:t>Capabilities, wealth, power and status are not necessarily interrelated.</w:t>
            </w:r>
          </w:p>
        </w:tc>
        <w:tc>
          <w:tcPr>
            <w:tcW w:w="4418" w:type="dxa"/>
            <w:tcBorders>
              <w:top w:val="single" w:sz="8" w:space="0" w:color="000000"/>
              <w:left w:val="single" w:sz="8" w:space="0" w:color="000000"/>
              <w:bottom w:val="single" w:sz="8" w:space="0" w:color="000000"/>
            </w:tcBorders>
          </w:tcPr>
          <w:p w:rsidR="00E47B34" w:rsidRPr="001A0B2D" w:rsidRDefault="005862CF" w:rsidP="008A36B1">
            <w:pPr>
              <w:pStyle w:val="Default"/>
              <w:rPr>
                <w:sz w:val="18"/>
                <w:szCs w:val="18"/>
              </w:rPr>
            </w:pPr>
            <w:r w:rsidRPr="001A0B2D">
              <w:rPr>
                <w:sz w:val="18"/>
                <w:szCs w:val="18"/>
              </w:rPr>
              <w:t>Capabilities, wealth, power and status usually come together.</w:t>
            </w:r>
          </w:p>
        </w:tc>
      </w:tr>
      <w:tr w:rsidR="00E47B34" w:rsidRPr="001A0B2D" w:rsidTr="008A36B1">
        <w:trPr>
          <w:trHeight w:val="118"/>
        </w:trPr>
        <w:tc>
          <w:tcPr>
            <w:tcW w:w="4464" w:type="dxa"/>
            <w:tcBorders>
              <w:top w:val="single" w:sz="8" w:space="0" w:color="000000"/>
              <w:bottom w:val="single" w:sz="8" w:space="0" w:color="000000"/>
              <w:right w:val="single" w:sz="8" w:space="0" w:color="000000"/>
            </w:tcBorders>
          </w:tcPr>
          <w:p w:rsidR="00E47B34" w:rsidRPr="001A0B2D" w:rsidRDefault="005862CF" w:rsidP="005862CF">
            <w:pPr>
              <w:pStyle w:val="Default"/>
              <w:rPr>
                <w:sz w:val="18"/>
                <w:szCs w:val="18"/>
              </w:rPr>
            </w:pPr>
            <w:r w:rsidRPr="001A0B2D">
              <w:rPr>
                <w:sz w:val="18"/>
                <w:szCs w:val="18"/>
              </w:rPr>
              <w:t>A large middle class is in place</w:t>
            </w:r>
            <w:r w:rsidR="009E34A1">
              <w:rPr>
                <w:sz w:val="18"/>
                <w:szCs w:val="18"/>
              </w:rPr>
              <w:t>.</w:t>
            </w:r>
          </w:p>
        </w:tc>
        <w:tc>
          <w:tcPr>
            <w:tcW w:w="4418" w:type="dxa"/>
            <w:tcBorders>
              <w:top w:val="single" w:sz="8" w:space="0" w:color="000000"/>
              <w:left w:val="single" w:sz="8" w:space="0" w:color="000000"/>
              <w:bottom w:val="single" w:sz="8" w:space="0" w:color="000000"/>
            </w:tcBorders>
          </w:tcPr>
          <w:p w:rsidR="00E47B34" w:rsidRPr="001A0B2D" w:rsidRDefault="009E34A1" w:rsidP="005862CF">
            <w:pPr>
              <w:pStyle w:val="Default"/>
              <w:rPr>
                <w:sz w:val="18"/>
                <w:szCs w:val="18"/>
              </w:rPr>
            </w:pPr>
            <w:r>
              <w:rPr>
                <w:sz w:val="18"/>
                <w:szCs w:val="18"/>
              </w:rPr>
              <w:t>The m</w:t>
            </w:r>
            <w:r w:rsidR="005862CF" w:rsidRPr="001A0B2D">
              <w:rPr>
                <w:sz w:val="18"/>
                <w:szCs w:val="18"/>
              </w:rPr>
              <w:t>iddles class is not prominent in the social structure</w:t>
            </w:r>
            <w:r>
              <w:rPr>
                <w:sz w:val="18"/>
                <w:szCs w:val="18"/>
              </w:rPr>
              <w:t>.</w:t>
            </w:r>
          </w:p>
        </w:tc>
      </w:tr>
      <w:tr w:rsidR="00E47B34" w:rsidRPr="001A0B2D" w:rsidTr="008A36B1">
        <w:trPr>
          <w:trHeight w:val="118"/>
        </w:trPr>
        <w:tc>
          <w:tcPr>
            <w:tcW w:w="4464" w:type="dxa"/>
            <w:tcBorders>
              <w:top w:val="single" w:sz="8" w:space="0" w:color="000000"/>
              <w:bottom w:val="single" w:sz="8" w:space="0" w:color="000000"/>
              <w:right w:val="single" w:sz="8" w:space="0" w:color="000000"/>
            </w:tcBorders>
          </w:tcPr>
          <w:p w:rsidR="00E47B34" w:rsidRPr="001A0B2D" w:rsidRDefault="005862CF" w:rsidP="009E34A1">
            <w:pPr>
              <w:pStyle w:val="Default"/>
              <w:rPr>
                <w:sz w:val="18"/>
                <w:szCs w:val="18"/>
              </w:rPr>
            </w:pPr>
            <w:r w:rsidRPr="001A0B2D">
              <w:rPr>
                <w:sz w:val="18"/>
                <w:szCs w:val="18"/>
              </w:rPr>
              <w:t xml:space="preserve">The assumption is that all should have equal rights irrespective of </w:t>
            </w:r>
            <w:r w:rsidR="009E34A1">
              <w:rPr>
                <w:sz w:val="18"/>
                <w:szCs w:val="18"/>
              </w:rPr>
              <w:t>whether they have</w:t>
            </w:r>
            <w:r w:rsidRPr="001A0B2D">
              <w:rPr>
                <w:sz w:val="18"/>
                <w:szCs w:val="18"/>
              </w:rPr>
              <w:t xml:space="preserve"> power or not.</w:t>
            </w:r>
          </w:p>
        </w:tc>
        <w:tc>
          <w:tcPr>
            <w:tcW w:w="4418" w:type="dxa"/>
            <w:tcBorders>
              <w:top w:val="single" w:sz="8" w:space="0" w:color="000000"/>
              <w:left w:val="single" w:sz="8" w:space="0" w:color="000000"/>
              <w:bottom w:val="single" w:sz="8" w:space="0" w:color="000000"/>
            </w:tcBorders>
          </w:tcPr>
          <w:p w:rsidR="00E47B34" w:rsidRPr="001A0B2D" w:rsidRDefault="005862CF" w:rsidP="005862CF">
            <w:pPr>
              <w:pStyle w:val="Default"/>
              <w:rPr>
                <w:sz w:val="18"/>
                <w:szCs w:val="18"/>
              </w:rPr>
            </w:pPr>
            <w:r w:rsidRPr="001A0B2D">
              <w:rPr>
                <w:sz w:val="18"/>
                <w:szCs w:val="18"/>
              </w:rPr>
              <w:t>People in power enjoy many privileges and this is generally considered normal.</w:t>
            </w:r>
            <w:r w:rsidR="00E47B34" w:rsidRPr="001A0B2D">
              <w:rPr>
                <w:sz w:val="18"/>
                <w:szCs w:val="18"/>
              </w:rPr>
              <w:t xml:space="preserve"> </w:t>
            </w:r>
          </w:p>
        </w:tc>
      </w:tr>
      <w:tr w:rsidR="00E47B34" w:rsidRPr="001A0B2D" w:rsidTr="008A36B1">
        <w:trPr>
          <w:trHeight w:val="222"/>
        </w:trPr>
        <w:tc>
          <w:tcPr>
            <w:tcW w:w="4464" w:type="dxa"/>
            <w:tcBorders>
              <w:top w:val="single" w:sz="8" w:space="0" w:color="000000"/>
              <w:bottom w:val="single" w:sz="8" w:space="0" w:color="000000"/>
              <w:right w:val="single" w:sz="8" w:space="0" w:color="000000"/>
            </w:tcBorders>
          </w:tcPr>
          <w:p w:rsidR="00E47B34" w:rsidRPr="001A0B2D" w:rsidRDefault="005862CF" w:rsidP="005862CF">
            <w:pPr>
              <w:pStyle w:val="Default"/>
              <w:rPr>
                <w:sz w:val="18"/>
                <w:szCs w:val="18"/>
              </w:rPr>
            </w:pPr>
            <w:r w:rsidRPr="001A0B2D">
              <w:rPr>
                <w:sz w:val="18"/>
                <w:szCs w:val="18"/>
              </w:rPr>
              <w:t>The holders of power try to look less empowered i.e. they try to mitigate the sense of power distance.</w:t>
            </w:r>
          </w:p>
        </w:tc>
        <w:tc>
          <w:tcPr>
            <w:tcW w:w="4418" w:type="dxa"/>
            <w:tcBorders>
              <w:top w:val="single" w:sz="8" w:space="0" w:color="000000"/>
              <w:left w:val="single" w:sz="8" w:space="0" w:color="000000"/>
              <w:bottom w:val="single" w:sz="8" w:space="0" w:color="000000"/>
            </w:tcBorders>
          </w:tcPr>
          <w:p w:rsidR="00E47B34" w:rsidRPr="001A0B2D" w:rsidRDefault="005862CF" w:rsidP="005862CF">
            <w:pPr>
              <w:pStyle w:val="Default"/>
              <w:rPr>
                <w:sz w:val="18"/>
                <w:szCs w:val="18"/>
              </w:rPr>
            </w:pPr>
            <w:r w:rsidRPr="001A0B2D">
              <w:rPr>
                <w:sz w:val="18"/>
                <w:szCs w:val="18"/>
              </w:rPr>
              <w:t>The holders of power try to look as impressive as possible i.e. they try to give prominence to power distance.</w:t>
            </w:r>
          </w:p>
        </w:tc>
      </w:tr>
      <w:tr w:rsidR="00E47B34" w:rsidRPr="001A0B2D" w:rsidTr="008A36B1">
        <w:trPr>
          <w:trHeight w:val="221"/>
        </w:trPr>
        <w:tc>
          <w:tcPr>
            <w:tcW w:w="4464" w:type="dxa"/>
            <w:tcBorders>
              <w:top w:val="single" w:sz="8" w:space="0" w:color="000000"/>
              <w:bottom w:val="single" w:sz="8" w:space="0" w:color="000000"/>
              <w:right w:val="single" w:sz="8" w:space="0" w:color="000000"/>
            </w:tcBorders>
          </w:tcPr>
          <w:p w:rsidR="00E47B34" w:rsidRPr="001A0B2D" w:rsidRDefault="005862CF" w:rsidP="0047450F">
            <w:pPr>
              <w:pStyle w:val="Default"/>
              <w:rPr>
                <w:sz w:val="18"/>
                <w:szCs w:val="18"/>
              </w:rPr>
            </w:pPr>
            <w:r w:rsidRPr="001A0B2D">
              <w:rPr>
                <w:sz w:val="18"/>
                <w:szCs w:val="18"/>
              </w:rPr>
              <w:t xml:space="preserve">Power is based on formal position, expertise and the </w:t>
            </w:r>
            <w:r w:rsidR="0047450F" w:rsidRPr="001A0B2D">
              <w:rPr>
                <w:sz w:val="18"/>
                <w:szCs w:val="18"/>
              </w:rPr>
              <w:t>right</w:t>
            </w:r>
            <w:r w:rsidRPr="001A0B2D">
              <w:rPr>
                <w:sz w:val="18"/>
                <w:szCs w:val="18"/>
              </w:rPr>
              <w:t xml:space="preserve"> to determine pay levels.</w:t>
            </w:r>
          </w:p>
        </w:tc>
        <w:tc>
          <w:tcPr>
            <w:tcW w:w="4418" w:type="dxa"/>
            <w:tcBorders>
              <w:top w:val="single" w:sz="8" w:space="0" w:color="000000"/>
              <w:left w:val="single" w:sz="8" w:space="0" w:color="000000"/>
              <w:bottom w:val="single" w:sz="8" w:space="0" w:color="000000"/>
            </w:tcBorders>
          </w:tcPr>
          <w:p w:rsidR="00E47B34" w:rsidRPr="001A0B2D" w:rsidRDefault="0047450F" w:rsidP="0047450F">
            <w:pPr>
              <w:spacing w:line="240" w:lineRule="auto"/>
              <w:ind w:firstLine="0"/>
              <w:jc w:val="left"/>
              <w:rPr>
                <w:sz w:val="18"/>
                <w:szCs w:val="18"/>
              </w:rPr>
            </w:pPr>
            <w:r w:rsidRPr="001A0B2D">
              <w:rPr>
                <w:sz w:val="18"/>
                <w:szCs w:val="18"/>
              </w:rPr>
              <w:t>Power rests on family and friend circles, charisma and ability to use force.</w:t>
            </w:r>
            <w:r w:rsidR="00E47B34" w:rsidRPr="001A0B2D">
              <w:rPr>
                <w:sz w:val="18"/>
                <w:szCs w:val="18"/>
              </w:rPr>
              <w:t xml:space="preserve"> </w:t>
            </w:r>
          </w:p>
        </w:tc>
      </w:tr>
      <w:tr w:rsidR="00E47B34" w:rsidRPr="001A0B2D" w:rsidTr="008A36B1">
        <w:trPr>
          <w:trHeight w:val="222"/>
        </w:trPr>
        <w:tc>
          <w:tcPr>
            <w:tcW w:w="4464" w:type="dxa"/>
            <w:tcBorders>
              <w:top w:val="single" w:sz="8" w:space="0" w:color="000000"/>
              <w:bottom w:val="single" w:sz="8" w:space="0" w:color="000000"/>
              <w:right w:val="single" w:sz="8" w:space="0" w:color="000000"/>
            </w:tcBorders>
          </w:tcPr>
          <w:p w:rsidR="00E47B34" w:rsidRPr="001A0B2D" w:rsidRDefault="0047450F" w:rsidP="008A36B1">
            <w:pPr>
              <w:pStyle w:val="Default"/>
              <w:rPr>
                <w:sz w:val="18"/>
                <w:szCs w:val="18"/>
              </w:rPr>
            </w:pPr>
            <w:r w:rsidRPr="001A0B2D">
              <w:rPr>
                <w:sz w:val="18"/>
                <w:szCs w:val="18"/>
              </w:rPr>
              <w:t>Pluralistic governments</w:t>
            </w:r>
            <w:r w:rsidR="00E47B34" w:rsidRPr="001A0B2D">
              <w:rPr>
                <w:sz w:val="18"/>
                <w:szCs w:val="18"/>
              </w:rPr>
              <w:t xml:space="preserve">   </w:t>
            </w:r>
          </w:p>
        </w:tc>
        <w:tc>
          <w:tcPr>
            <w:tcW w:w="4418" w:type="dxa"/>
            <w:tcBorders>
              <w:top w:val="single" w:sz="8" w:space="0" w:color="000000"/>
              <w:left w:val="single" w:sz="8" w:space="0" w:color="000000"/>
              <w:bottom w:val="single" w:sz="8" w:space="0" w:color="000000"/>
            </w:tcBorders>
          </w:tcPr>
          <w:p w:rsidR="0047450F" w:rsidRPr="001A0B2D" w:rsidRDefault="0047450F" w:rsidP="008A36B1">
            <w:pPr>
              <w:pStyle w:val="Default"/>
              <w:rPr>
                <w:sz w:val="18"/>
                <w:szCs w:val="18"/>
              </w:rPr>
            </w:pPr>
            <w:r w:rsidRPr="001A0B2D">
              <w:rPr>
                <w:sz w:val="18"/>
                <w:szCs w:val="18"/>
              </w:rPr>
              <w:t>Autocratic and/ or oligarchic governments</w:t>
            </w:r>
          </w:p>
          <w:p w:rsidR="00E47B34" w:rsidRPr="001A0B2D" w:rsidRDefault="00E47B34" w:rsidP="008A36B1">
            <w:pPr>
              <w:pStyle w:val="Default"/>
              <w:rPr>
                <w:sz w:val="18"/>
                <w:szCs w:val="18"/>
              </w:rPr>
            </w:pPr>
          </w:p>
        </w:tc>
      </w:tr>
      <w:tr w:rsidR="00E47B34" w:rsidRPr="001A0B2D" w:rsidTr="008A36B1">
        <w:trPr>
          <w:trHeight w:val="325"/>
        </w:trPr>
        <w:tc>
          <w:tcPr>
            <w:tcW w:w="4464" w:type="dxa"/>
            <w:tcBorders>
              <w:top w:val="single" w:sz="8" w:space="0" w:color="000000"/>
              <w:bottom w:val="single" w:sz="8" w:space="0" w:color="000000"/>
              <w:right w:val="single" w:sz="8" w:space="0" w:color="000000"/>
            </w:tcBorders>
          </w:tcPr>
          <w:p w:rsidR="0047450F" w:rsidRPr="001A0B2D" w:rsidRDefault="0047450F" w:rsidP="008A36B1">
            <w:pPr>
              <w:pStyle w:val="Default"/>
              <w:rPr>
                <w:sz w:val="18"/>
                <w:szCs w:val="18"/>
              </w:rPr>
            </w:pPr>
            <w:r w:rsidRPr="001A0B2D">
              <w:rPr>
                <w:sz w:val="18"/>
                <w:szCs w:val="18"/>
              </w:rPr>
              <w:t>Political spectrum with strong centre and weaker wings</w:t>
            </w:r>
          </w:p>
          <w:p w:rsidR="00E47B34" w:rsidRPr="001A0B2D" w:rsidRDefault="00E47B34" w:rsidP="008A36B1">
            <w:pPr>
              <w:pStyle w:val="Default"/>
              <w:rPr>
                <w:sz w:val="18"/>
                <w:szCs w:val="18"/>
              </w:rPr>
            </w:pPr>
          </w:p>
        </w:tc>
        <w:tc>
          <w:tcPr>
            <w:tcW w:w="4418" w:type="dxa"/>
            <w:tcBorders>
              <w:top w:val="single" w:sz="8" w:space="0" w:color="000000"/>
              <w:left w:val="single" w:sz="8" w:space="0" w:color="000000"/>
              <w:bottom w:val="single" w:sz="8" w:space="0" w:color="000000"/>
            </w:tcBorders>
          </w:tcPr>
          <w:p w:rsidR="0047450F" w:rsidRPr="001A0B2D" w:rsidRDefault="0047450F" w:rsidP="0047450F">
            <w:pPr>
              <w:pStyle w:val="Default"/>
              <w:rPr>
                <w:sz w:val="18"/>
                <w:szCs w:val="18"/>
              </w:rPr>
            </w:pPr>
            <w:r w:rsidRPr="001A0B2D">
              <w:rPr>
                <w:sz w:val="18"/>
                <w:szCs w:val="18"/>
              </w:rPr>
              <w:t>Political spectrum with weak centre and strong wings</w:t>
            </w:r>
          </w:p>
          <w:p w:rsidR="00E47B34" w:rsidRPr="001A0B2D" w:rsidRDefault="00E47B34" w:rsidP="008A36B1">
            <w:pPr>
              <w:pStyle w:val="Default"/>
              <w:rPr>
                <w:sz w:val="18"/>
                <w:szCs w:val="18"/>
              </w:rPr>
            </w:pPr>
            <w:r w:rsidRPr="001A0B2D">
              <w:rPr>
                <w:sz w:val="18"/>
                <w:szCs w:val="18"/>
              </w:rPr>
              <w:t xml:space="preserve"> </w:t>
            </w:r>
          </w:p>
        </w:tc>
      </w:tr>
      <w:tr w:rsidR="00E47B34" w:rsidRPr="001A0B2D" w:rsidTr="008A36B1">
        <w:trPr>
          <w:trHeight w:val="221"/>
        </w:trPr>
        <w:tc>
          <w:tcPr>
            <w:tcW w:w="4464" w:type="dxa"/>
            <w:tcBorders>
              <w:top w:val="single" w:sz="8" w:space="0" w:color="000000"/>
              <w:bottom w:val="single" w:sz="8" w:space="0" w:color="000000"/>
              <w:right w:val="single" w:sz="8" w:space="0" w:color="000000"/>
            </w:tcBorders>
          </w:tcPr>
          <w:p w:rsidR="00E47B34" w:rsidRPr="001A0B2D" w:rsidRDefault="0047450F" w:rsidP="009E34A1">
            <w:pPr>
              <w:pStyle w:val="Default"/>
              <w:rPr>
                <w:sz w:val="18"/>
                <w:szCs w:val="18"/>
              </w:rPr>
            </w:pPr>
            <w:r w:rsidRPr="001A0B2D">
              <w:rPr>
                <w:sz w:val="18"/>
                <w:szCs w:val="18"/>
              </w:rPr>
              <w:t>Small income di</w:t>
            </w:r>
            <w:r w:rsidR="009E34A1">
              <w:rPr>
                <w:sz w:val="18"/>
                <w:szCs w:val="18"/>
              </w:rPr>
              <w:t>sparities</w:t>
            </w:r>
            <w:r w:rsidRPr="001A0B2D">
              <w:rPr>
                <w:sz w:val="18"/>
                <w:szCs w:val="18"/>
              </w:rPr>
              <w:t xml:space="preserve"> mitigated further by systems of taxation</w:t>
            </w:r>
          </w:p>
        </w:tc>
        <w:tc>
          <w:tcPr>
            <w:tcW w:w="4418" w:type="dxa"/>
            <w:tcBorders>
              <w:top w:val="single" w:sz="8" w:space="0" w:color="000000"/>
              <w:left w:val="single" w:sz="8" w:space="0" w:color="000000"/>
              <w:bottom w:val="single" w:sz="8" w:space="0" w:color="000000"/>
            </w:tcBorders>
          </w:tcPr>
          <w:p w:rsidR="00E47B34" w:rsidRPr="001A0B2D" w:rsidRDefault="009E34A1" w:rsidP="009E34A1">
            <w:pPr>
              <w:pStyle w:val="Default"/>
              <w:rPr>
                <w:sz w:val="18"/>
                <w:szCs w:val="18"/>
              </w:rPr>
            </w:pPr>
            <w:r>
              <w:rPr>
                <w:sz w:val="18"/>
                <w:szCs w:val="18"/>
              </w:rPr>
              <w:t>Huge</w:t>
            </w:r>
            <w:r w:rsidR="0047450F" w:rsidRPr="001A0B2D">
              <w:rPr>
                <w:sz w:val="18"/>
                <w:szCs w:val="18"/>
              </w:rPr>
              <w:t xml:space="preserve"> income di</w:t>
            </w:r>
            <w:r>
              <w:rPr>
                <w:sz w:val="18"/>
                <w:szCs w:val="18"/>
              </w:rPr>
              <w:t>sparities</w:t>
            </w:r>
            <w:r w:rsidR="0047450F" w:rsidRPr="001A0B2D">
              <w:rPr>
                <w:sz w:val="18"/>
                <w:szCs w:val="18"/>
              </w:rPr>
              <w:t xml:space="preserve"> often reinforced by systems of taxation</w:t>
            </w:r>
            <w:r w:rsidR="00E47B34" w:rsidRPr="001A0B2D">
              <w:rPr>
                <w:sz w:val="18"/>
                <w:szCs w:val="18"/>
              </w:rPr>
              <w:t xml:space="preserve"> </w:t>
            </w:r>
          </w:p>
        </w:tc>
      </w:tr>
    </w:tbl>
    <w:p w:rsidR="00C71D80" w:rsidRDefault="00FE708A" w:rsidP="00C71D80">
      <w:pPr>
        <w:spacing w:before="120" w:line="360" w:lineRule="auto"/>
        <w:ind w:firstLine="0"/>
        <w:jc w:val="left"/>
        <w:rPr>
          <w:rFonts w:ascii="Bookman Old Style" w:hAnsi="Bookman Old Style"/>
        </w:rPr>
      </w:pPr>
      <w:r w:rsidRPr="001A0B2D">
        <w:rPr>
          <w:rFonts w:ascii="Bookman Old Style" w:hAnsi="Bookman Old Style"/>
        </w:rPr>
        <w:t>Even though</w:t>
      </w:r>
      <w:r w:rsidR="00417F9A">
        <w:rPr>
          <w:rFonts w:ascii="Bookman Old Style" w:hAnsi="Bookman Old Style"/>
          <w:lang w:val="bg-BG"/>
        </w:rPr>
        <w:t xml:space="preserve"> </w:t>
      </w:r>
      <w:r w:rsidR="00417F9A" w:rsidRPr="00417F9A">
        <w:rPr>
          <w:rFonts w:ascii="Bookman Old Style" w:hAnsi="Bookman Old Style"/>
        </w:rPr>
        <w:t xml:space="preserve">considered </w:t>
      </w:r>
      <w:r w:rsidRPr="001A0B2D">
        <w:rPr>
          <w:rFonts w:ascii="Bookman Old Style" w:hAnsi="Bookman Old Style"/>
        </w:rPr>
        <w:t>at the micro level, surveys show a strong correlation between trust and power distance</w:t>
      </w:r>
      <w:r w:rsidRPr="001A0B2D">
        <w:t xml:space="preserve"> </w:t>
      </w:r>
      <w:r w:rsidR="00D769A7">
        <w:t xml:space="preserve">[46]. </w:t>
      </w:r>
      <w:r w:rsidRPr="001A0B2D">
        <w:rPr>
          <w:rFonts w:ascii="Bookman Old Style" w:hAnsi="Bookman Old Style"/>
        </w:rPr>
        <w:t xml:space="preserve">In addition, we can go on to illustrate this correlation using the last element in the above table – income </w:t>
      </w:r>
      <w:r w:rsidR="008E4E1C">
        <w:rPr>
          <w:rFonts w:ascii="Bookman Old Style" w:hAnsi="Bookman Old Style"/>
        </w:rPr>
        <w:t>inequality</w:t>
      </w:r>
      <w:r w:rsidRPr="001A0B2D">
        <w:rPr>
          <w:rFonts w:ascii="Bookman Old Style" w:hAnsi="Bookman Old Style"/>
        </w:rPr>
        <w:t xml:space="preserve">. The expectation is for economies and societies with lower levels of social trust to have higher values for income </w:t>
      </w:r>
      <w:r w:rsidR="008E4E1C">
        <w:rPr>
          <w:rFonts w:ascii="Bookman Old Style" w:hAnsi="Bookman Old Style"/>
        </w:rPr>
        <w:t>inequality</w:t>
      </w:r>
      <w:r w:rsidRPr="001A0B2D">
        <w:rPr>
          <w:rFonts w:ascii="Bookman Old Style" w:hAnsi="Bookman Old Style"/>
        </w:rPr>
        <w:t xml:space="preserve">, as measured by the classic Gini coefficient. The data analysis indicates the existence of this very correlation. </w:t>
      </w:r>
    </w:p>
    <w:p w:rsidR="00E47B34" w:rsidRPr="001A0B2D" w:rsidRDefault="00C71D80" w:rsidP="00C71D80">
      <w:pPr>
        <w:spacing w:before="120" w:line="360" w:lineRule="auto"/>
        <w:ind w:firstLine="0"/>
        <w:jc w:val="left"/>
        <w:rPr>
          <w:i/>
          <w:iCs/>
        </w:rPr>
      </w:pPr>
      <w:r w:rsidRPr="001A0B2D">
        <w:rPr>
          <w:noProof/>
          <w:lang w:eastAsia="en-GB"/>
        </w:rPr>
        <w:drawing>
          <wp:anchor distT="0" distB="0" distL="114300" distR="114300" simplePos="0" relativeHeight="251673088" behindDoc="0" locked="0" layoutInCell="1" allowOverlap="1" wp14:anchorId="31BE3153" wp14:editId="68771A49">
            <wp:simplePos x="0" y="0"/>
            <wp:positionH relativeFrom="margin">
              <wp:posOffset>-1270</wp:posOffset>
            </wp:positionH>
            <wp:positionV relativeFrom="paragraph">
              <wp:posOffset>913765</wp:posOffset>
            </wp:positionV>
            <wp:extent cx="6144895" cy="438086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1A0B2D">
        <w:rPr>
          <w:noProof/>
          <w:lang w:eastAsia="en-GB"/>
        </w:rPr>
        <w:drawing>
          <wp:anchor distT="0" distB="0" distL="114300" distR="114300" simplePos="0" relativeHeight="251657728" behindDoc="0" locked="0" layoutInCell="1" allowOverlap="1">
            <wp:simplePos x="0" y="0"/>
            <wp:positionH relativeFrom="margin">
              <wp:posOffset>-3810</wp:posOffset>
            </wp:positionH>
            <wp:positionV relativeFrom="paragraph">
              <wp:posOffset>1010920</wp:posOffset>
            </wp:positionV>
            <wp:extent cx="6145200" cy="4381200"/>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E708A" w:rsidRPr="001A0B2D">
        <w:rPr>
          <w:rFonts w:ascii="Bookman Old Style" w:hAnsi="Bookman Old Style"/>
        </w:rPr>
        <w:t xml:space="preserve">Gini </w:t>
      </w:r>
      <w:r w:rsidR="003844D1" w:rsidRPr="001A0B2D">
        <w:rPr>
          <w:rFonts w:ascii="Bookman Old Style" w:hAnsi="Bookman Old Style"/>
        </w:rPr>
        <w:t xml:space="preserve">coefficient data </w:t>
      </w:r>
      <w:r w:rsidR="00FE708A" w:rsidRPr="001A0B2D">
        <w:rPr>
          <w:rFonts w:ascii="Bookman Old Style" w:hAnsi="Bookman Old Style"/>
        </w:rPr>
        <w:t xml:space="preserve">issued by the Organisation for Economic Cooperation and Development </w:t>
      </w:r>
      <w:r w:rsidR="003844D1" w:rsidRPr="001A0B2D">
        <w:rPr>
          <w:rFonts w:ascii="Bookman Old Style" w:hAnsi="Bookman Old Style"/>
        </w:rPr>
        <w:t xml:space="preserve">(OECD) </w:t>
      </w:r>
      <w:r w:rsidR="00FE708A" w:rsidRPr="001A0B2D">
        <w:rPr>
          <w:rFonts w:ascii="Bookman Old Style" w:hAnsi="Bookman Old Style"/>
        </w:rPr>
        <w:t xml:space="preserve">and </w:t>
      </w:r>
      <w:r w:rsidR="003505B2">
        <w:rPr>
          <w:rFonts w:ascii="Bookman Old Style" w:hAnsi="Bookman Old Style"/>
        </w:rPr>
        <w:t xml:space="preserve">data </w:t>
      </w:r>
      <w:r w:rsidR="003844D1" w:rsidRPr="001A0B2D">
        <w:rPr>
          <w:rFonts w:ascii="Bookman Old Style" w:hAnsi="Bookman Old Style"/>
        </w:rPr>
        <w:t xml:space="preserve">from </w:t>
      </w:r>
      <w:r w:rsidR="00FE708A" w:rsidRPr="001A0B2D">
        <w:rPr>
          <w:rFonts w:ascii="Bookman Old Style" w:hAnsi="Bookman Old Style"/>
        </w:rPr>
        <w:t xml:space="preserve">surveys by the author for 2016 </w:t>
      </w:r>
      <w:r w:rsidR="00D769A7">
        <w:rPr>
          <w:rFonts w:ascii="Bookman Old Style" w:hAnsi="Bookman Old Style"/>
        </w:rPr>
        <w:t xml:space="preserve">[47] </w:t>
      </w:r>
      <w:r w:rsidR="00FE708A" w:rsidRPr="001A0B2D">
        <w:rPr>
          <w:rFonts w:ascii="Bookman Old Style" w:hAnsi="Bookman Old Style"/>
        </w:rPr>
        <w:t>are provided in the table below.</w:t>
      </w:r>
    </w:p>
    <w:p w:rsidR="00D769A7" w:rsidRDefault="00D769A7" w:rsidP="00234D0A">
      <w:pPr>
        <w:spacing w:before="120" w:line="360" w:lineRule="auto"/>
        <w:ind w:firstLine="0"/>
        <w:jc w:val="left"/>
        <w:rPr>
          <w:rFonts w:ascii="Bookman Old Style" w:hAnsi="Bookman Old Style"/>
          <w:iCs/>
        </w:rPr>
      </w:pPr>
    </w:p>
    <w:p w:rsidR="00E47B34" w:rsidRPr="00D769A7" w:rsidRDefault="003844D1" w:rsidP="00234D0A">
      <w:pPr>
        <w:spacing w:before="120" w:line="360" w:lineRule="auto"/>
        <w:ind w:firstLine="0"/>
        <w:jc w:val="left"/>
        <w:rPr>
          <w:rFonts w:ascii="Bookman Old Style" w:hAnsi="Bookman Old Style"/>
          <w:iCs/>
        </w:rPr>
      </w:pPr>
      <w:r w:rsidRPr="001A0B2D">
        <w:rPr>
          <w:rFonts w:ascii="Bookman Old Style" w:hAnsi="Bookman Old Style"/>
          <w:iCs/>
        </w:rPr>
        <w:t>If, in addition, we take into account the Eurostat data for 2015 on the levels of trust in European countries</w:t>
      </w:r>
      <w:r w:rsidR="00E47B34" w:rsidRPr="001A0B2D">
        <w:rPr>
          <w:rFonts w:ascii="Bookman Old Style" w:hAnsi="Bookman Old Style"/>
          <w:iCs/>
        </w:rPr>
        <w:t xml:space="preserve"> </w:t>
      </w:r>
      <w:r w:rsidR="00D769A7">
        <w:rPr>
          <w:rFonts w:ascii="Bookman Old Style" w:hAnsi="Bookman Old Style"/>
          <w:iCs/>
        </w:rPr>
        <w:t xml:space="preserve">[48] </w:t>
      </w:r>
      <w:r w:rsidRPr="001A0B2D">
        <w:rPr>
          <w:rFonts w:ascii="Bookman Old Style" w:hAnsi="Bookman Old Style"/>
          <w:iCs/>
        </w:rPr>
        <w:t xml:space="preserve">we find that the correlation coefficient between the measure for income </w:t>
      </w:r>
      <w:r w:rsidR="00E27AAC">
        <w:rPr>
          <w:rFonts w:ascii="Bookman Old Style" w:hAnsi="Bookman Old Style"/>
          <w:iCs/>
        </w:rPr>
        <w:t>inequality (disparities)</w:t>
      </w:r>
      <w:r w:rsidRPr="001A0B2D">
        <w:rPr>
          <w:rFonts w:ascii="Bookman Old Style" w:hAnsi="Bookman Old Style"/>
          <w:iCs/>
        </w:rPr>
        <w:t xml:space="preserve"> and the levels of social trust is </w:t>
      </w:r>
      <w:r w:rsidR="00E47B34" w:rsidRPr="001A0B2D">
        <w:rPr>
          <w:rFonts w:ascii="Bookman Old Style" w:hAnsi="Bookman Old Style"/>
          <w:iCs/>
        </w:rPr>
        <w:t xml:space="preserve"> </w:t>
      </w:r>
      <w:r w:rsidR="00E47B34" w:rsidRPr="001A0B2D">
        <w:rPr>
          <w:rFonts w:ascii="Bookman Old Style" w:hAnsi="Bookman Old Style"/>
          <w:b/>
          <w:iCs/>
        </w:rPr>
        <w:t xml:space="preserve">0,495. </w:t>
      </w:r>
    </w:p>
    <w:p w:rsidR="00981217" w:rsidRPr="001A0B2D" w:rsidRDefault="00E47B34" w:rsidP="00C71D80">
      <w:pPr>
        <w:spacing w:before="120" w:line="360" w:lineRule="auto"/>
        <w:jc w:val="left"/>
        <w:rPr>
          <w:rFonts w:ascii="Bookman Old Style" w:hAnsi="Bookman Old Style"/>
        </w:rPr>
      </w:pPr>
      <w:r w:rsidRPr="001A0B2D">
        <w:rPr>
          <w:rFonts w:ascii="Bookman Old Style" w:hAnsi="Bookman Old Style"/>
        </w:rPr>
        <w:t xml:space="preserve"> </w:t>
      </w:r>
      <w:r w:rsidR="003844D1" w:rsidRPr="00C71D80">
        <w:rPr>
          <w:rFonts w:ascii="Bookman Old Style" w:hAnsi="Bookman Old Style"/>
        </w:rPr>
        <w:t>Truth</w:t>
      </w:r>
      <w:r w:rsidRPr="00C71D80">
        <w:rPr>
          <w:rFonts w:ascii="Bookman Old Style" w:hAnsi="Bookman Old Style"/>
        </w:rPr>
        <w:t xml:space="preserve"> (</w:t>
      </w:r>
      <w:r w:rsidR="003844D1" w:rsidRPr="00C71D80">
        <w:rPr>
          <w:rFonts w:ascii="Bookman Old Style" w:hAnsi="Bookman Old Style"/>
        </w:rPr>
        <w:t>ambiguity tolerance</w:t>
      </w:r>
      <w:r w:rsidRPr="00C71D80">
        <w:rPr>
          <w:rFonts w:ascii="Bookman Old Style" w:hAnsi="Bookman Old Style"/>
        </w:rPr>
        <w:t>)</w:t>
      </w:r>
      <w:r w:rsidR="00C71D80">
        <w:rPr>
          <w:rFonts w:ascii="Bookman Old Style" w:hAnsi="Bookman Old Style"/>
        </w:rPr>
        <w:t xml:space="preserve"> as a </w:t>
      </w:r>
      <w:bookmarkStart w:id="0" w:name="_GoBack"/>
      <w:bookmarkEnd w:id="0"/>
      <w:r w:rsidR="00981217" w:rsidRPr="001A0B2D">
        <w:rPr>
          <w:rFonts w:ascii="Bookman Old Style" w:hAnsi="Bookman Old Style"/>
        </w:rPr>
        <w:t xml:space="preserve">cultural dimension is called </w:t>
      </w:r>
      <w:r w:rsidR="00A1601F" w:rsidRPr="001A0B2D">
        <w:rPr>
          <w:rFonts w:ascii="Bookman Old Style" w:hAnsi="Bookman Old Style"/>
        </w:rPr>
        <w:t>‘</w:t>
      </w:r>
      <w:r w:rsidR="00981217" w:rsidRPr="001A0B2D">
        <w:rPr>
          <w:rFonts w:ascii="Bookman Old Style" w:hAnsi="Bookman Old Style"/>
        </w:rPr>
        <w:t>uncertainty avoidance</w:t>
      </w:r>
      <w:r w:rsidR="00A1601F" w:rsidRPr="001A0B2D">
        <w:rPr>
          <w:rFonts w:ascii="Bookman Old Style" w:hAnsi="Bookman Old Style"/>
        </w:rPr>
        <w:t>’</w:t>
      </w:r>
      <w:r w:rsidR="00981217" w:rsidRPr="001A0B2D">
        <w:rPr>
          <w:rFonts w:ascii="Bookman Old Style" w:hAnsi="Bookman Old Style"/>
        </w:rPr>
        <w:t xml:space="preserve"> as opposed to </w:t>
      </w:r>
      <w:r w:rsidR="00A1601F" w:rsidRPr="001A0B2D">
        <w:rPr>
          <w:rFonts w:ascii="Bookman Old Style" w:hAnsi="Bookman Old Style"/>
        </w:rPr>
        <w:t>‘</w:t>
      </w:r>
      <w:r w:rsidR="00981217" w:rsidRPr="001A0B2D">
        <w:rPr>
          <w:rFonts w:ascii="Bookman Old Style" w:hAnsi="Bookman Old Style"/>
        </w:rPr>
        <w:t>uncertainty and ambiguity tolerance</w:t>
      </w:r>
      <w:r w:rsidR="00A1601F" w:rsidRPr="001A0B2D">
        <w:rPr>
          <w:rFonts w:ascii="Bookman Old Style" w:hAnsi="Bookman Old Style"/>
        </w:rPr>
        <w:t>’</w:t>
      </w:r>
      <w:r w:rsidR="00981217" w:rsidRPr="001A0B2D">
        <w:rPr>
          <w:rFonts w:ascii="Bookman Old Style" w:hAnsi="Bookman Old Style"/>
        </w:rPr>
        <w:t xml:space="preserve">. Striving for certainty is a universal basic human need but the level of its normalcy differs across cultures. The main question with this cultural dimension is how </w:t>
      </w:r>
      <w:r w:rsidR="0001088A" w:rsidRPr="001A0B2D">
        <w:rPr>
          <w:rFonts w:ascii="Bookman Old Style" w:hAnsi="Bookman Old Style"/>
        </w:rPr>
        <w:t xml:space="preserve">to cope with the unpredictable and the indefinite. It bears a relation </w:t>
      </w:r>
      <w:r w:rsidR="00A277C6" w:rsidRPr="001A0B2D">
        <w:rPr>
          <w:rFonts w:ascii="Bookman Old Style" w:hAnsi="Bookman Old Style"/>
        </w:rPr>
        <w:t>to</w:t>
      </w:r>
      <w:r w:rsidR="0001088A" w:rsidRPr="001A0B2D">
        <w:rPr>
          <w:rFonts w:ascii="Bookman Old Style" w:hAnsi="Bookman Old Style"/>
        </w:rPr>
        <w:t xml:space="preserve"> anxiety as a basic human feeling or, </w:t>
      </w:r>
      <w:r w:rsidR="00A277C6" w:rsidRPr="001A0B2D">
        <w:rPr>
          <w:rFonts w:ascii="Bookman Old Style" w:hAnsi="Bookman Old Style"/>
        </w:rPr>
        <w:t>in other words</w:t>
      </w:r>
      <w:r w:rsidR="0001088A" w:rsidRPr="001A0B2D">
        <w:rPr>
          <w:rFonts w:ascii="Bookman Old Style" w:hAnsi="Bookman Old Style"/>
        </w:rPr>
        <w:t>, the fear of the unknown. Representatives of low ambiguity</w:t>
      </w:r>
      <w:r w:rsidR="00DC604A" w:rsidRPr="001A0B2D">
        <w:rPr>
          <w:rFonts w:ascii="Bookman Old Style" w:hAnsi="Bookman Old Style"/>
        </w:rPr>
        <w:t>-</w:t>
      </w:r>
      <w:r w:rsidR="0001088A" w:rsidRPr="001A0B2D">
        <w:rPr>
          <w:rFonts w:ascii="Bookman Old Style" w:hAnsi="Bookman Old Style"/>
        </w:rPr>
        <w:t>tolerance cultures believe in order and self-discipline where strict r</w:t>
      </w:r>
      <w:r w:rsidR="00DC604A" w:rsidRPr="001A0B2D">
        <w:rPr>
          <w:rFonts w:ascii="Bookman Old Style" w:hAnsi="Bookman Old Style"/>
        </w:rPr>
        <w:t>ules and one single truth exist</w:t>
      </w:r>
      <w:r w:rsidR="0001088A" w:rsidRPr="001A0B2D">
        <w:rPr>
          <w:rFonts w:ascii="Bookman Old Style" w:hAnsi="Bookman Old Style"/>
        </w:rPr>
        <w:t xml:space="preserve">. Many people in this type of cultures believe difference is dangerous. Representatives of cultures </w:t>
      </w:r>
      <w:r w:rsidR="00A277C6" w:rsidRPr="001A0B2D">
        <w:rPr>
          <w:rFonts w:ascii="Bookman Old Style" w:hAnsi="Bookman Old Style"/>
        </w:rPr>
        <w:t>at</w:t>
      </w:r>
      <w:r w:rsidR="0001088A" w:rsidRPr="001A0B2D">
        <w:rPr>
          <w:rFonts w:ascii="Bookman Old Style" w:hAnsi="Bookman Old Style"/>
        </w:rPr>
        <w:t xml:space="preserve"> the other end of the s</w:t>
      </w:r>
      <w:r w:rsidR="00DC604A" w:rsidRPr="001A0B2D">
        <w:rPr>
          <w:rFonts w:ascii="Bookman Old Style" w:hAnsi="Bookman Old Style"/>
        </w:rPr>
        <w:t>pectrum</w:t>
      </w:r>
      <w:r w:rsidR="0001088A" w:rsidRPr="001A0B2D">
        <w:rPr>
          <w:rFonts w:ascii="Bookman Old Style" w:hAnsi="Bookman Old Style"/>
        </w:rPr>
        <w:t xml:space="preserve"> see the former type of culture as not very </w:t>
      </w:r>
      <w:r w:rsidR="00DC604A" w:rsidRPr="001A0B2D">
        <w:rPr>
          <w:rFonts w:ascii="Bookman Old Style" w:hAnsi="Bookman Old Style"/>
        </w:rPr>
        <w:t>foreigner</w:t>
      </w:r>
      <w:r w:rsidR="0001088A" w:rsidRPr="001A0B2D">
        <w:rPr>
          <w:rFonts w:ascii="Bookman Old Style" w:hAnsi="Bookman Old Style"/>
        </w:rPr>
        <w:t>-friendly</w:t>
      </w:r>
      <w:r w:rsidR="00DC604A" w:rsidRPr="001A0B2D">
        <w:rPr>
          <w:rFonts w:ascii="Bookman Old Style" w:hAnsi="Bookman Old Style"/>
        </w:rPr>
        <w:t>, since</w:t>
      </w:r>
      <w:r w:rsidR="0001088A" w:rsidRPr="001A0B2D">
        <w:rPr>
          <w:rFonts w:ascii="Bookman Old Style" w:hAnsi="Bookman Old Style"/>
        </w:rPr>
        <w:t xml:space="preserve"> </w:t>
      </w:r>
      <w:r w:rsidR="00DC604A" w:rsidRPr="001A0B2D">
        <w:rPr>
          <w:rFonts w:ascii="Bookman Old Style" w:hAnsi="Bookman Old Style"/>
        </w:rPr>
        <w:t>foreigners bring in</w:t>
      </w:r>
      <w:r w:rsidR="0001088A" w:rsidRPr="001A0B2D">
        <w:rPr>
          <w:rFonts w:ascii="Bookman Old Style" w:hAnsi="Bookman Old Style"/>
        </w:rPr>
        <w:t xml:space="preserve"> </w:t>
      </w:r>
      <w:proofErr w:type="spellStart"/>
      <w:r w:rsidR="0001088A" w:rsidRPr="001A0B2D">
        <w:rPr>
          <w:rFonts w:ascii="Bookman Old Style" w:hAnsi="Bookman Old Style"/>
        </w:rPr>
        <w:t>unclarity</w:t>
      </w:r>
      <w:proofErr w:type="spellEnd"/>
      <w:r w:rsidR="0001088A" w:rsidRPr="001A0B2D">
        <w:rPr>
          <w:rFonts w:ascii="Bookman Old Style" w:hAnsi="Bookman Old Style"/>
        </w:rPr>
        <w:t>, as well as rigid and dogmatic</w:t>
      </w:r>
      <w:r w:rsidR="00844352" w:rsidRPr="001A0B2D">
        <w:rPr>
          <w:rFonts w:ascii="Bookman Old Style" w:hAnsi="Bookman Old Style"/>
        </w:rPr>
        <w:t>;</w:t>
      </w:r>
      <w:r w:rsidR="0001088A" w:rsidRPr="001A0B2D">
        <w:rPr>
          <w:rFonts w:ascii="Bookman Old Style" w:hAnsi="Bookman Old Style"/>
        </w:rPr>
        <w:t xml:space="preserve"> they are more tolerant of differences.  </w:t>
      </w:r>
    </w:p>
    <w:p w:rsidR="00733A2F" w:rsidRPr="001A0B2D" w:rsidRDefault="00DC604A" w:rsidP="00234D0A">
      <w:pPr>
        <w:spacing w:before="120" w:line="360" w:lineRule="auto"/>
        <w:ind w:firstLine="0"/>
        <w:jc w:val="left"/>
        <w:rPr>
          <w:rFonts w:ascii="Bookman Old Style" w:hAnsi="Bookman Old Style"/>
        </w:rPr>
      </w:pPr>
      <w:r w:rsidRPr="001A0B2D">
        <w:rPr>
          <w:rFonts w:ascii="Bookman Old Style" w:hAnsi="Bookman Old Style"/>
        </w:rPr>
        <w:t>Hofstede believes that Russia and the Balkan countries have strong uncertainty avoidance cu</w:t>
      </w:r>
      <w:r w:rsidR="00844352" w:rsidRPr="001A0B2D">
        <w:rPr>
          <w:rFonts w:ascii="Bookman Old Style" w:hAnsi="Bookman Old Style"/>
        </w:rPr>
        <w:t>ltures, just like Japan, Korea</w:t>
      </w:r>
      <w:r w:rsidRPr="001A0B2D">
        <w:rPr>
          <w:rFonts w:ascii="Bookman Old Style" w:hAnsi="Bookman Old Style"/>
        </w:rPr>
        <w:t xml:space="preserve">, Mexico, Belgium and France. German-speaking countries feel very uncomfortable with uncertainty.  English-speaking countries and China tend to be more uncertainty tolerant. Singapore, Jamaica and Denmark are strongly uncertainty tolerant. </w:t>
      </w:r>
    </w:p>
    <w:p w:rsidR="00733A2F" w:rsidRPr="001A0B2D" w:rsidRDefault="00733A2F" w:rsidP="00234D0A">
      <w:pPr>
        <w:spacing w:before="120" w:line="360" w:lineRule="auto"/>
        <w:ind w:firstLine="0"/>
        <w:jc w:val="left"/>
        <w:rPr>
          <w:rFonts w:ascii="Bookman Old Style" w:hAnsi="Bookman Old Style"/>
        </w:rPr>
      </w:pPr>
      <w:r w:rsidRPr="001A0B2D">
        <w:rPr>
          <w:rFonts w:ascii="Bookman Old Style" w:hAnsi="Bookman Old Style"/>
        </w:rPr>
        <w:t xml:space="preserve">Laws and rules are among the basic </w:t>
      </w:r>
      <w:r w:rsidR="00844352" w:rsidRPr="001A0B2D">
        <w:rPr>
          <w:rFonts w:ascii="Bookman Old Style" w:hAnsi="Bookman Old Style"/>
        </w:rPr>
        <w:t xml:space="preserve">mechanisms </w:t>
      </w:r>
      <w:r w:rsidRPr="001A0B2D">
        <w:rPr>
          <w:rFonts w:ascii="Bookman Old Style" w:hAnsi="Bookman Old Style"/>
        </w:rPr>
        <w:t xml:space="preserve">society </w:t>
      </w:r>
      <w:r w:rsidR="00002A28" w:rsidRPr="001A0B2D">
        <w:rPr>
          <w:rFonts w:ascii="Bookman Old Style" w:hAnsi="Bookman Old Style"/>
        </w:rPr>
        <w:t>uses when s</w:t>
      </w:r>
      <w:r w:rsidR="00844352" w:rsidRPr="001A0B2D">
        <w:rPr>
          <w:rFonts w:ascii="Bookman Old Style" w:hAnsi="Bookman Old Style"/>
        </w:rPr>
        <w:t>eek</w:t>
      </w:r>
      <w:r w:rsidR="00002A28" w:rsidRPr="001A0B2D">
        <w:rPr>
          <w:rFonts w:ascii="Bookman Old Style" w:hAnsi="Bookman Old Style"/>
        </w:rPr>
        <w:t>ing</w:t>
      </w:r>
      <w:r w:rsidRPr="001A0B2D">
        <w:rPr>
          <w:rFonts w:ascii="Bookman Old Style" w:hAnsi="Bookman Old Style"/>
        </w:rPr>
        <w:t xml:space="preserve"> to avoid uncertainty. In societies avoiding uncertainty there are generally numerous formal laws and informal rules controlling rights and obligations.  In </w:t>
      </w:r>
      <w:r w:rsidR="001A1AE7" w:rsidRPr="001A0B2D">
        <w:rPr>
          <w:rFonts w:ascii="Bookman Old Style" w:hAnsi="Bookman Old Style"/>
        </w:rPr>
        <w:t>organisations</w:t>
      </w:r>
      <w:r w:rsidRPr="001A0B2D">
        <w:rPr>
          <w:rFonts w:ascii="Bookman Old Style" w:hAnsi="Bookman Old Style"/>
        </w:rPr>
        <w:t xml:space="preserve"> there are also many internal rules and regulations to control the process of work, even though in this case power distance plays a role too. Wherever the latter is strong, </w:t>
      </w:r>
      <w:r w:rsidR="00716C8E" w:rsidRPr="001A0B2D">
        <w:rPr>
          <w:rFonts w:ascii="Bookman Old Style" w:hAnsi="Bookman Old Style"/>
        </w:rPr>
        <w:t xml:space="preserve">superiors </w:t>
      </w:r>
      <w:r w:rsidRPr="001A0B2D">
        <w:rPr>
          <w:rFonts w:ascii="Bookman Old Style" w:hAnsi="Bookman Old Style"/>
        </w:rPr>
        <w:t>exercising absolute power can</w:t>
      </w:r>
      <w:r w:rsidR="00844352" w:rsidRPr="001A0B2D">
        <w:rPr>
          <w:rFonts w:ascii="Bookman Old Style" w:hAnsi="Bookman Old Style"/>
        </w:rPr>
        <w:t>,</w:t>
      </w:r>
      <w:r w:rsidRPr="001A0B2D">
        <w:rPr>
          <w:rFonts w:ascii="Bookman Old Style" w:hAnsi="Bookman Old Style"/>
        </w:rPr>
        <w:t xml:space="preserve"> for some time and to some extent</w:t>
      </w:r>
      <w:r w:rsidR="00844352" w:rsidRPr="001A0B2D">
        <w:rPr>
          <w:rFonts w:ascii="Bookman Old Style" w:hAnsi="Bookman Old Style"/>
        </w:rPr>
        <w:t>,</w:t>
      </w:r>
      <w:r w:rsidRPr="001A0B2D">
        <w:rPr>
          <w:rFonts w:ascii="Bookman Old Style" w:hAnsi="Bookman Old Style"/>
        </w:rPr>
        <w:t xml:space="preserve"> replace legislation.  In essence</w:t>
      </w:r>
      <w:r w:rsidR="00002A28" w:rsidRPr="001A0B2D">
        <w:rPr>
          <w:rFonts w:ascii="Bookman Old Style" w:hAnsi="Bookman Old Style"/>
        </w:rPr>
        <w:t>,</w:t>
      </w:r>
      <w:r w:rsidRPr="001A0B2D">
        <w:rPr>
          <w:rFonts w:ascii="Bookman Old Style" w:hAnsi="Bookman Old Style"/>
        </w:rPr>
        <w:t xml:space="preserve"> the need for laws and rules is not so much based on formal logic; rather, it is based on </w:t>
      </w:r>
      <w:r w:rsidR="00716C8E" w:rsidRPr="001A0B2D">
        <w:rPr>
          <w:rFonts w:ascii="Bookman Old Style" w:hAnsi="Bookman Old Style"/>
        </w:rPr>
        <w:t xml:space="preserve">a </w:t>
      </w:r>
      <w:r w:rsidRPr="001A0B2D">
        <w:rPr>
          <w:rFonts w:ascii="Bookman Old Style" w:hAnsi="Bookman Old Style"/>
        </w:rPr>
        <w:t xml:space="preserve">psychological </w:t>
      </w:r>
      <w:r w:rsidR="00716C8E" w:rsidRPr="001A0B2D">
        <w:rPr>
          <w:rFonts w:ascii="Bookman Old Style" w:hAnsi="Bookman Old Style"/>
        </w:rPr>
        <w:t>one</w:t>
      </w:r>
      <w:r w:rsidRPr="001A0B2D">
        <w:rPr>
          <w:rFonts w:ascii="Bookman Old Style" w:hAnsi="Bookman Old Style"/>
        </w:rPr>
        <w:t xml:space="preserve">. People in a given community </w:t>
      </w:r>
      <w:r w:rsidR="001A1AE7" w:rsidRPr="001A0B2D">
        <w:rPr>
          <w:rFonts w:ascii="Bookman Old Style" w:hAnsi="Bookman Old Style"/>
        </w:rPr>
        <w:t>have been</w:t>
      </w:r>
      <w:r w:rsidRPr="001A0B2D">
        <w:rPr>
          <w:rFonts w:ascii="Bookman Old Style" w:hAnsi="Bookman Old Style"/>
        </w:rPr>
        <w:t xml:space="preserve"> programmed since early childhood to feel comfortable in a structured environment where nothing should be left to chance.</w:t>
      </w:r>
      <w:r w:rsidR="001A1AE7" w:rsidRPr="001A0B2D">
        <w:rPr>
          <w:rFonts w:ascii="Bookman Old Style" w:hAnsi="Bookman Old Style"/>
        </w:rPr>
        <w:t xml:space="preserve"> The emotional need for laws and rules in countries with strong uncertainty avoidance often leads to establishing rules or </w:t>
      </w:r>
      <w:r w:rsidR="00BF522C" w:rsidRPr="001A0B2D">
        <w:rPr>
          <w:rFonts w:ascii="Bookman Old Style" w:hAnsi="Bookman Old Style"/>
        </w:rPr>
        <w:t xml:space="preserve">adopting </w:t>
      </w:r>
      <w:r w:rsidR="001A1AE7" w:rsidRPr="001A0B2D">
        <w:rPr>
          <w:rFonts w:ascii="Bookman Old Style" w:hAnsi="Bookman Old Style"/>
        </w:rPr>
        <w:t xml:space="preserve">rule-oriented </w:t>
      </w:r>
      <w:r w:rsidR="001A1AE7" w:rsidRPr="001A0B2D">
        <w:rPr>
          <w:rFonts w:ascii="Bookman Old Style" w:hAnsi="Bookman Old Style"/>
        </w:rPr>
        <w:lastRenderedPageBreak/>
        <w:t xml:space="preserve">behaviour, which is pointless, inconsistent or </w:t>
      </w:r>
      <w:r w:rsidR="00716C8E" w:rsidRPr="001A0B2D">
        <w:rPr>
          <w:rFonts w:ascii="Bookman Old Style" w:hAnsi="Bookman Old Style"/>
        </w:rPr>
        <w:t>non-</w:t>
      </w:r>
      <w:r w:rsidR="001A1AE7" w:rsidRPr="001A0B2D">
        <w:rPr>
          <w:rFonts w:ascii="Bookman Old Style" w:hAnsi="Bookman Old Style"/>
        </w:rPr>
        <w:t xml:space="preserve">functional. </w:t>
      </w:r>
      <w:r w:rsidR="00716C8E" w:rsidRPr="001A0B2D">
        <w:rPr>
          <w:rFonts w:ascii="Bookman Old Style" w:hAnsi="Bookman Old Style"/>
        </w:rPr>
        <w:t>In such cultures, n</w:t>
      </w:r>
      <w:r w:rsidR="001A1AE7" w:rsidRPr="001A0B2D">
        <w:rPr>
          <w:rFonts w:ascii="Bookman Old Style" w:hAnsi="Bookman Old Style"/>
        </w:rPr>
        <w:t xml:space="preserve">ot only </w:t>
      </w:r>
      <w:r w:rsidR="00002A28" w:rsidRPr="001A0B2D">
        <w:rPr>
          <w:rFonts w:ascii="Bookman Old Style" w:hAnsi="Bookman Old Style"/>
        </w:rPr>
        <w:t>does</w:t>
      </w:r>
      <w:r w:rsidR="001A1AE7" w:rsidRPr="001A0B2D">
        <w:rPr>
          <w:rFonts w:ascii="Bookman Old Style" w:hAnsi="Bookman Old Style"/>
        </w:rPr>
        <w:t xml:space="preserve"> the employee like </w:t>
      </w:r>
      <w:r w:rsidR="00716C8E" w:rsidRPr="001A0B2D">
        <w:rPr>
          <w:rFonts w:ascii="Bookman Old Style" w:hAnsi="Bookman Old Style"/>
        </w:rPr>
        <w:t>to be told</w:t>
      </w:r>
      <w:r w:rsidR="00BF522C" w:rsidRPr="001A0B2D">
        <w:rPr>
          <w:rFonts w:ascii="Bookman Old Style" w:hAnsi="Bookman Old Style"/>
        </w:rPr>
        <w:t xml:space="preserve"> what work needs done but they </w:t>
      </w:r>
      <w:r w:rsidR="00002A28" w:rsidRPr="001A0B2D">
        <w:rPr>
          <w:rFonts w:ascii="Bookman Old Style" w:hAnsi="Bookman Old Style"/>
        </w:rPr>
        <w:t>are</w:t>
      </w:r>
      <w:r w:rsidR="00BF522C" w:rsidRPr="001A0B2D">
        <w:rPr>
          <w:rFonts w:ascii="Bookman Old Style" w:hAnsi="Bookman Old Style"/>
        </w:rPr>
        <w:t xml:space="preserve"> also happy to get clear, detailed instructions on how to do it.  All this does not mean that rules and requirements will not be violated and considered ‘formal’</w:t>
      </w:r>
      <w:r w:rsidR="00716C8E" w:rsidRPr="001A0B2D">
        <w:rPr>
          <w:rFonts w:ascii="Bookman Old Style" w:hAnsi="Bookman Old Style"/>
        </w:rPr>
        <w:t>, though</w:t>
      </w:r>
      <w:r w:rsidR="00BF522C" w:rsidRPr="001A0B2D">
        <w:rPr>
          <w:rFonts w:ascii="Bookman Old Style" w:hAnsi="Bookman Old Style"/>
        </w:rPr>
        <w:t>.</w:t>
      </w:r>
    </w:p>
    <w:p w:rsidR="00716C8E" w:rsidRPr="001A0B2D" w:rsidRDefault="00716C8E" w:rsidP="00234D0A">
      <w:pPr>
        <w:spacing w:before="120" w:line="360" w:lineRule="auto"/>
        <w:ind w:firstLine="0"/>
        <w:jc w:val="left"/>
        <w:rPr>
          <w:rFonts w:ascii="Bookman Old Style" w:hAnsi="Bookman Old Style"/>
        </w:rPr>
      </w:pPr>
      <w:r w:rsidRPr="001A0B2D">
        <w:rPr>
          <w:rFonts w:ascii="Bookman Old Style" w:hAnsi="Bookman Old Style"/>
        </w:rPr>
        <w:t xml:space="preserve">In </w:t>
      </w:r>
      <w:r w:rsidR="00813851" w:rsidRPr="001A0B2D">
        <w:rPr>
          <w:rFonts w:ascii="Bookman Old Style" w:hAnsi="Bookman Old Style"/>
        </w:rPr>
        <w:t xml:space="preserve">countries with </w:t>
      </w:r>
      <w:r w:rsidRPr="001A0B2D">
        <w:rPr>
          <w:rFonts w:ascii="Bookman Old Style" w:hAnsi="Bookman Old Style"/>
        </w:rPr>
        <w:t>weaker uncertainty</w:t>
      </w:r>
      <w:r w:rsidR="00813851" w:rsidRPr="001A0B2D">
        <w:rPr>
          <w:rFonts w:ascii="Bookman Old Style" w:hAnsi="Bookman Old Style"/>
        </w:rPr>
        <w:t xml:space="preserve"> </w:t>
      </w:r>
      <w:r w:rsidRPr="001A0B2D">
        <w:rPr>
          <w:rFonts w:ascii="Bookman Old Style" w:hAnsi="Bookman Old Style"/>
        </w:rPr>
        <w:t>avoidance</w:t>
      </w:r>
      <w:r w:rsidR="00813851" w:rsidRPr="001A0B2D">
        <w:rPr>
          <w:rFonts w:ascii="Bookman Old Style" w:hAnsi="Bookman Old Style"/>
        </w:rPr>
        <w:t xml:space="preserve"> cultures</w:t>
      </w:r>
      <w:r w:rsidRPr="001A0B2D">
        <w:rPr>
          <w:rFonts w:ascii="Bookman Old Style" w:hAnsi="Bookman Old Style"/>
        </w:rPr>
        <w:t xml:space="preserve"> there is an emotional overthrow of </w:t>
      </w:r>
      <w:r w:rsidR="00790191" w:rsidRPr="001A0B2D">
        <w:rPr>
          <w:rFonts w:ascii="Bookman Old Style" w:hAnsi="Bookman Old Style"/>
        </w:rPr>
        <w:t>a too-many-rules-or-</w:t>
      </w:r>
      <w:r w:rsidR="0043217A" w:rsidRPr="001A0B2D">
        <w:rPr>
          <w:rFonts w:ascii="Bookman Old Style" w:hAnsi="Bookman Old Style"/>
        </w:rPr>
        <w:t>to</w:t>
      </w:r>
      <w:r w:rsidR="00790191" w:rsidRPr="001A0B2D">
        <w:rPr>
          <w:rFonts w:ascii="Bookman Old Style" w:hAnsi="Bookman Old Style"/>
        </w:rPr>
        <w:t>o-</w:t>
      </w:r>
      <w:r w:rsidR="0043217A" w:rsidRPr="001A0B2D">
        <w:rPr>
          <w:rFonts w:ascii="Bookman Old Style" w:hAnsi="Bookman Old Style"/>
        </w:rPr>
        <w:t>formal</w:t>
      </w:r>
      <w:r w:rsidR="00790191" w:rsidRPr="001A0B2D">
        <w:rPr>
          <w:rFonts w:ascii="Bookman Old Style" w:hAnsi="Bookman Old Style"/>
        </w:rPr>
        <w:t xml:space="preserve">-norms situation. Rules are coined as a last resort. People in such societies take pride in the fact that many problems can be solved </w:t>
      </w:r>
      <w:r w:rsidR="00813851" w:rsidRPr="001A0B2D">
        <w:rPr>
          <w:rFonts w:ascii="Bookman Old Style" w:hAnsi="Bookman Old Style"/>
        </w:rPr>
        <w:t xml:space="preserve">through </w:t>
      </w:r>
      <w:r w:rsidR="00790191" w:rsidRPr="001A0B2D">
        <w:rPr>
          <w:rFonts w:ascii="Bookman Old Style" w:hAnsi="Bookman Old Style"/>
        </w:rPr>
        <w:t xml:space="preserve">common sense and cooperation. </w:t>
      </w:r>
      <w:r w:rsidR="00620C4A" w:rsidRPr="001A0B2D">
        <w:rPr>
          <w:rFonts w:ascii="Bookman Old Style" w:hAnsi="Bookman Old Style"/>
        </w:rPr>
        <w:t xml:space="preserve">The Germans with their strong uncertainty avoidance culture are impressed by the </w:t>
      </w:r>
      <w:r w:rsidR="00813851" w:rsidRPr="001A0B2D">
        <w:rPr>
          <w:rFonts w:ascii="Bookman Old Style" w:hAnsi="Bookman Old Style"/>
        </w:rPr>
        <w:t>social</w:t>
      </w:r>
      <w:r w:rsidR="00620C4A" w:rsidRPr="001A0B2D">
        <w:rPr>
          <w:rFonts w:ascii="Bookman Old Style" w:hAnsi="Bookman Old Style"/>
        </w:rPr>
        <w:t xml:space="preserve"> discipline of the British, who queue at bus stops and in shops. There is no law providing for mandatory queuing</w:t>
      </w:r>
      <w:r w:rsidR="00813851" w:rsidRPr="001A0B2D">
        <w:rPr>
          <w:rFonts w:ascii="Bookman Old Style" w:hAnsi="Bookman Old Style"/>
        </w:rPr>
        <w:t>;</w:t>
      </w:r>
      <w:r w:rsidR="00620C4A" w:rsidRPr="001A0B2D">
        <w:rPr>
          <w:rFonts w:ascii="Bookman Old Style" w:hAnsi="Bookman Old Style"/>
        </w:rPr>
        <w:t xml:space="preserve"> queuing is based on a </w:t>
      </w:r>
      <w:r w:rsidR="007118DC" w:rsidRPr="001A0B2D">
        <w:rPr>
          <w:rFonts w:ascii="Bookman Old Style" w:hAnsi="Bookman Old Style"/>
        </w:rPr>
        <w:t>social</w:t>
      </w:r>
      <w:r w:rsidR="00620C4A" w:rsidRPr="001A0B2D">
        <w:rPr>
          <w:rFonts w:ascii="Bookman Old Style" w:hAnsi="Bookman Old Style"/>
        </w:rPr>
        <w:t xml:space="preserve"> habit constantly reinforced by social control. Paradoxically enough, rules in </w:t>
      </w:r>
      <w:r w:rsidR="007118DC" w:rsidRPr="001A0B2D">
        <w:rPr>
          <w:rFonts w:ascii="Bookman Old Style" w:hAnsi="Bookman Old Style"/>
        </w:rPr>
        <w:t>weak</w:t>
      </w:r>
      <w:r w:rsidR="00620C4A" w:rsidRPr="001A0B2D">
        <w:rPr>
          <w:rFonts w:ascii="Bookman Old Style" w:hAnsi="Bookman Old Style"/>
        </w:rPr>
        <w:t xml:space="preserve"> uncertainty avoidance </w:t>
      </w:r>
      <w:r w:rsidR="007118DC" w:rsidRPr="001A0B2D">
        <w:rPr>
          <w:rFonts w:ascii="Bookman Old Style" w:hAnsi="Bookman Old Style"/>
        </w:rPr>
        <w:t xml:space="preserve">countries </w:t>
      </w:r>
      <w:r w:rsidR="00620C4A" w:rsidRPr="001A0B2D">
        <w:rPr>
          <w:rFonts w:ascii="Bookman Old Style" w:hAnsi="Bookman Old Style"/>
        </w:rPr>
        <w:t>are not as sacred</w:t>
      </w:r>
      <w:r w:rsidR="00A15D21" w:rsidRPr="001A0B2D">
        <w:rPr>
          <w:rFonts w:ascii="Bookman Old Style" w:hAnsi="Bookman Old Style"/>
        </w:rPr>
        <w:t>,</w:t>
      </w:r>
      <w:r w:rsidR="00620C4A" w:rsidRPr="001A0B2D">
        <w:rPr>
          <w:rFonts w:ascii="Bookman Old Style" w:hAnsi="Bookman Old Style"/>
        </w:rPr>
        <w:t xml:space="preserve"> but are </w:t>
      </w:r>
      <w:r w:rsidR="007118DC" w:rsidRPr="001A0B2D">
        <w:rPr>
          <w:rFonts w:ascii="Bookman Old Style" w:hAnsi="Bookman Old Style"/>
        </w:rPr>
        <w:t xml:space="preserve">largely and better </w:t>
      </w:r>
      <w:r w:rsidR="00620C4A" w:rsidRPr="001A0B2D">
        <w:rPr>
          <w:rFonts w:ascii="Bookman Old Style" w:hAnsi="Bookman Old Style"/>
        </w:rPr>
        <w:t>respected. British queuing, given as an example, is also facilitated by the unemotional calm nature of their culture. As mentioned earlier, weaker uncertainty avoidance also means lower levels of anxiety.</w:t>
      </w:r>
    </w:p>
    <w:p w:rsidR="00234D0A" w:rsidRPr="001A0B2D" w:rsidRDefault="005B4112" w:rsidP="00234D0A">
      <w:pPr>
        <w:spacing w:before="120" w:line="360" w:lineRule="auto"/>
        <w:ind w:firstLine="0"/>
        <w:jc w:val="left"/>
        <w:rPr>
          <w:rFonts w:ascii="Bookman Old Style" w:hAnsi="Bookman Old Style"/>
        </w:rPr>
      </w:pPr>
      <w:r w:rsidRPr="001A0B2D">
        <w:rPr>
          <w:rFonts w:ascii="Bookman Old Style" w:hAnsi="Bookman Old Style"/>
        </w:rPr>
        <w:t xml:space="preserve">The emotional need for rules in strong uncertainty avoidance societies can turn into a measure of punctuality. This holds most true in relatively low power distance situations so that the behaviour of subordinates does not depend on whether their boss is watching. The Swiss watch industry is a case in point. Today Japanese industries benefit from this aspect of Japanese culture.  Punctuality in weak uncertainty avoidance countries is not </w:t>
      </w:r>
      <w:r w:rsidR="0026006A" w:rsidRPr="001A0B2D">
        <w:rPr>
          <w:rFonts w:ascii="Bookman Old Style" w:hAnsi="Bookman Old Style"/>
        </w:rPr>
        <w:t>innate;</w:t>
      </w:r>
      <w:r w:rsidRPr="001A0B2D">
        <w:rPr>
          <w:rFonts w:ascii="Bookman Old Style" w:hAnsi="Bookman Old Style"/>
        </w:rPr>
        <w:t xml:space="preserve"> it is learned, if </w:t>
      </w:r>
      <w:r w:rsidR="00A15D21" w:rsidRPr="001A0B2D">
        <w:rPr>
          <w:rFonts w:ascii="Bookman Old Style" w:hAnsi="Bookman Old Style"/>
        </w:rPr>
        <w:t>required</w:t>
      </w:r>
      <w:r w:rsidRPr="001A0B2D">
        <w:rPr>
          <w:rFonts w:ascii="Bookman Old Style" w:hAnsi="Bookman Old Style"/>
        </w:rPr>
        <w:t>.</w:t>
      </w:r>
    </w:p>
    <w:p w:rsidR="00E47B34" w:rsidRPr="001A0B2D" w:rsidRDefault="0026006A" w:rsidP="00234D0A">
      <w:pPr>
        <w:spacing w:before="120" w:line="360" w:lineRule="auto"/>
        <w:ind w:firstLine="0"/>
        <w:jc w:val="left"/>
        <w:rPr>
          <w:rFonts w:ascii="Bookman Old Style" w:hAnsi="Bookman Old Style"/>
        </w:rPr>
      </w:pPr>
      <w:r w:rsidRPr="001A0B2D">
        <w:rPr>
          <w:rFonts w:ascii="Bookman Old Style" w:hAnsi="Bookman Old Style"/>
        </w:rPr>
        <w:t>Weak uncertainty avoidance countries more often foster innovations since they have higher tolerance for ideas outside the box. On the other hand, they are the losers when it comes to universal roll-out since such a scale of application requires significant sense of detail and punctuality. Details and punctuality are to be found in strong uncertainty avoidance countries.</w:t>
      </w:r>
    </w:p>
    <w:p w:rsidR="00E47B34" w:rsidRPr="001A0B2D" w:rsidRDefault="0026006A" w:rsidP="00234D0A">
      <w:pPr>
        <w:spacing w:before="120" w:line="360" w:lineRule="auto"/>
        <w:ind w:firstLine="0"/>
        <w:jc w:val="left"/>
        <w:rPr>
          <w:rFonts w:ascii="Bookman Old Style" w:hAnsi="Bookman Old Style"/>
        </w:rPr>
      </w:pPr>
      <w:r w:rsidRPr="001A0B2D">
        <w:rPr>
          <w:rFonts w:ascii="Bookman Old Style" w:hAnsi="Bookman Old Style"/>
        </w:rPr>
        <w:t>As a whole, the aspiration for more and detailed norms in the form of laws, procedures, regulations, rules, etc., which are an expression of low ambiguity tolerance, is an obvious indicat</w:t>
      </w:r>
      <w:r w:rsidR="001670BD" w:rsidRPr="001A0B2D">
        <w:rPr>
          <w:rFonts w:ascii="Bookman Old Style" w:hAnsi="Bookman Old Style"/>
        </w:rPr>
        <w:t>ion</w:t>
      </w:r>
      <w:r w:rsidRPr="001A0B2D">
        <w:rPr>
          <w:rFonts w:ascii="Bookman Old Style" w:hAnsi="Bookman Old Style"/>
        </w:rPr>
        <w:t xml:space="preserve"> of an urge for security (intolerance for the lack of it) and </w:t>
      </w:r>
      <w:r w:rsidR="001A0B2D" w:rsidRPr="001A0B2D">
        <w:rPr>
          <w:rFonts w:ascii="Bookman Old Style" w:hAnsi="Bookman Old Style"/>
        </w:rPr>
        <w:t xml:space="preserve">of </w:t>
      </w:r>
      <w:r w:rsidRPr="001A0B2D">
        <w:rPr>
          <w:rFonts w:ascii="Bookman Old Style" w:hAnsi="Bookman Old Style"/>
        </w:rPr>
        <w:t>lower levels of public trust.</w:t>
      </w:r>
      <w:r w:rsidR="001670BD" w:rsidRPr="001A0B2D">
        <w:rPr>
          <w:rFonts w:ascii="Bookman Old Style" w:hAnsi="Bookman Old Style"/>
        </w:rPr>
        <w:t xml:space="preserve"> With higher levels of the latter, </w:t>
      </w:r>
      <w:r w:rsidR="001A0B2D" w:rsidRPr="001A0B2D">
        <w:rPr>
          <w:rFonts w:ascii="Bookman Old Style" w:hAnsi="Bookman Old Style"/>
        </w:rPr>
        <w:t>people</w:t>
      </w:r>
      <w:r w:rsidR="001670BD" w:rsidRPr="001A0B2D">
        <w:rPr>
          <w:rFonts w:ascii="Bookman Old Style" w:hAnsi="Bookman Old Style"/>
        </w:rPr>
        <w:t xml:space="preserve"> </w:t>
      </w:r>
      <w:r w:rsidR="001A0B2D" w:rsidRPr="001A0B2D">
        <w:rPr>
          <w:rFonts w:ascii="Bookman Old Style" w:hAnsi="Bookman Old Style"/>
        </w:rPr>
        <w:lastRenderedPageBreak/>
        <w:t xml:space="preserve">would </w:t>
      </w:r>
      <w:r w:rsidR="001670BD" w:rsidRPr="001A0B2D">
        <w:rPr>
          <w:rFonts w:ascii="Bookman Old Style" w:hAnsi="Bookman Old Style"/>
        </w:rPr>
        <w:t xml:space="preserve">tend to rely on the rational reasoning, benevolence and self-discipline of the others and not so much on imposed norms meant to regulate behaviours. </w:t>
      </w:r>
    </w:p>
    <w:p w:rsidR="001670BD" w:rsidRPr="001A0B2D" w:rsidRDefault="001670BD" w:rsidP="00234D0A">
      <w:pPr>
        <w:spacing w:before="120" w:line="360" w:lineRule="auto"/>
        <w:ind w:firstLine="0"/>
        <w:jc w:val="left"/>
        <w:rPr>
          <w:rFonts w:ascii="Bookman Old Style" w:hAnsi="Bookman Old Style"/>
        </w:rPr>
      </w:pPr>
      <w:r w:rsidRPr="001A0B2D">
        <w:rPr>
          <w:rFonts w:ascii="Bookman Old Style" w:hAnsi="Bookman Old Style"/>
        </w:rPr>
        <w:t xml:space="preserve">Hofstede’s 2017 data for the Uncertainty Avoidance Index (UAI) and the already used data on public trust for the 24 European countries produce a correlation coefficient between the two parameters of </w:t>
      </w:r>
      <w:r w:rsidRPr="001A0B2D">
        <w:rPr>
          <w:rFonts w:ascii="Bookman Old Style" w:hAnsi="Bookman Old Style"/>
          <w:b/>
        </w:rPr>
        <w:t>0,657.</w:t>
      </w:r>
    </w:p>
    <w:p w:rsidR="00E47B34" w:rsidRPr="001A0B2D" w:rsidRDefault="00E47B34" w:rsidP="00234D0A">
      <w:pPr>
        <w:tabs>
          <w:tab w:val="left" w:pos="2287"/>
        </w:tabs>
        <w:spacing w:before="120" w:line="360" w:lineRule="auto"/>
        <w:jc w:val="left"/>
        <w:rPr>
          <w:rFonts w:ascii="Bookman Old Style" w:hAnsi="Bookman Old Style"/>
          <w:b/>
        </w:rPr>
      </w:pPr>
    </w:p>
    <w:p w:rsidR="00E47B34" w:rsidRPr="001A0B2D" w:rsidRDefault="00E47B34" w:rsidP="00234D0A">
      <w:pPr>
        <w:tabs>
          <w:tab w:val="left" w:pos="2287"/>
        </w:tabs>
        <w:spacing w:before="120" w:line="360" w:lineRule="auto"/>
        <w:jc w:val="left"/>
        <w:rPr>
          <w:rFonts w:ascii="Bookman Old Style" w:hAnsi="Bookman Old Style"/>
          <w:b/>
        </w:rPr>
      </w:pPr>
      <w:r w:rsidRPr="001A0B2D">
        <w:rPr>
          <w:rFonts w:ascii="Bookman Old Style" w:hAnsi="Bookman Old Style"/>
          <w:b/>
        </w:rPr>
        <w:t>***</w:t>
      </w:r>
    </w:p>
    <w:p w:rsidR="00E47B34" w:rsidRPr="001A0B2D" w:rsidRDefault="003A38F7" w:rsidP="00234D0A">
      <w:pPr>
        <w:tabs>
          <w:tab w:val="left" w:pos="2287"/>
        </w:tabs>
        <w:spacing w:before="120" w:line="360" w:lineRule="auto"/>
        <w:ind w:firstLine="0"/>
        <w:jc w:val="left"/>
        <w:rPr>
          <w:rFonts w:ascii="Bookman Old Style" w:hAnsi="Bookman Old Style"/>
        </w:rPr>
      </w:pPr>
      <w:r w:rsidRPr="001A0B2D">
        <w:rPr>
          <w:rFonts w:ascii="Bookman Old Style" w:hAnsi="Bookman Old Style"/>
        </w:rPr>
        <w:t>It seems to me the above-said is sufficient to illustrate and justify analytical</w:t>
      </w:r>
      <w:r w:rsidR="00405B09" w:rsidRPr="001A0B2D">
        <w:rPr>
          <w:rFonts w:ascii="Bookman Old Style" w:hAnsi="Bookman Old Style"/>
        </w:rPr>
        <w:t>ly</w:t>
      </w:r>
      <w:r w:rsidRPr="001A0B2D">
        <w:rPr>
          <w:rFonts w:ascii="Bookman Old Style" w:hAnsi="Bookman Old Style"/>
        </w:rPr>
        <w:t xml:space="preserve"> </w:t>
      </w:r>
      <w:r w:rsidR="00405B09" w:rsidRPr="001A0B2D">
        <w:rPr>
          <w:rFonts w:ascii="Bookman Old Style" w:hAnsi="Bookman Old Style"/>
        </w:rPr>
        <w:t>what</w:t>
      </w:r>
      <w:r w:rsidRPr="001A0B2D">
        <w:rPr>
          <w:rFonts w:ascii="Bookman Old Style" w:hAnsi="Bookman Old Style"/>
        </w:rPr>
        <w:t xml:space="preserve"> looks quite obvious anyway: social trust is closely associated with a number of key dimensions </w:t>
      </w:r>
      <w:r w:rsidR="00405B09" w:rsidRPr="001A0B2D">
        <w:rPr>
          <w:rFonts w:ascii="Bookman Old Style" w:hAnsi="Bookman Old Style"/>
        </w:rPr>
        <w:t>determining</w:t>
      </w:r>
      <w:r w:rsidRPr="001A0B2D">
        <w:rPr>
          <w:rFonts w:ascii="Bookman Old Style" w:hAnsi="Bookman Old Style"/>
        </w:rPr>
        <w:t xml:space="preserve"> cultures. Other correlations can be sought and found too; in this case, however, this is hardly necessary. What matters is to recogni</w:t>
      </w:r>
      <w:r w:rsidR="00405B09" w:rsidRPr="001A0B2D">
        <w:rPr>
          <w:rFonts w:ascii="Bookman Old Style" w:hAnsi="Bookman Old Style"/>
        </w:rPr>
        <w:t>s</w:t>
      </w:r>
      <w:r w:rsidRPr="001A0B2D">
        <w:rPr>
          <w:rFonts w:ascii="Bookman Old Style" w:hAnsi="Bookman Old Style"/>
        </w:rPr>
        <w:t xml:space="preserve">e that trust can impact a </w:t>
      </w:r>
      <w:r w:rsidR="00405B09" w:rsidRPr="001A0B2D">
        <w:rPr>
          <w:rFonts w:ascii="Bookman Old Style" w:hAnsi="Bookman Old Style"/>
        </w:rPr>
        <w:t xml:space="preserve">large </w:t>
      </w:r>
      <w:r w:rsidRPr="001A0B2D">
        <w:rPr>
          <w:rFonts w:ascii="Bookman Old Style" w:hAnsi="Bookman Old Style"/>
        </w:rPr>
        <w:t xml:space="preserve">number of social and economic variables, both directly and indirectly, through cultural dimensions. This is definitely an area offering promising room for future </w:t>
      </w:r>
      <w:r w:rsidR="00405B09" w:rsidRPr="001A0B2D">
        <w:rPr>
          <w:rFonts w:ascii="Bookman Old Style" w:hAnsi="Bookman Old Style"/>
        </w:rPr>
        <w:t>less general</w:t>
      </w:r>
      <w:r w:rsidRPr="001A0B2D">
        <w:rPr>
          <w:rFonts w:ascii="Bookman Old Style" w:hAnsi="Bookman Old Style"/>
        </w:rPr>
        <w:t xml:space="preserve"> research and modelling.  </w:t>
      </w:r>
    </w:p>
    <w:p w:rsidR="00E47B34" w:rsidRPr="001A0B2D" w:rsidRDefault="00E47B34" w:rsidP="00234D0A">
      <w:pPr>
        <w:spacing w:before="120" w:line="360" w:lineRule="auto"/>
        <w:jc w:val="left"/>
        <w:rPr>
          <w:rFonts w:ascii="Bookman Old Style" w:hAnsi="Bookman Old Style"/>
        </w:rPr>
      </w:pPr>
      <w:r w:rsidRPr="001A0B2D">
        <w:rPr>
          <w:rFonts w:ascii="Bookman Old Style" w:hAnsi="Bookman Old Style"/>
        </w:rPr>
        <w:t xml:space="preserve"> </w:t>
      </w:r>
    </w:p>
    <w:p w:rsidR="00E47B34" w:rsidRPr="001A0B2D" w:rsidRDefault="00E47B34" w:rsidP="00234D0A">
      <w:pPr>
        <w:pStyle w:val="ListParagraph"/>
        <w:spacing w:before="120" w:line="360" w:lineRule="auto"/>
        <w:ind w:left="644" w:right="-613" w:firstLine="0"/>
        <w:jc w:val="left"/>
        <w:rPr>
          <w:rFonts w:ascii="Bookman Old Style" w:hAnsi="Bookman Old Style"/>
        </w:rPr>
      </w:pPr>
    </w:p>
    <w:p w:rsidR="00067525" w:rsidRPr="00351956" w:rsidRDefault="00351956">
      <w:pPr>
        <w:rPr>
          <w:b/>
          <w:u w:val="single"/>
        </w:rPr>
      </w:pPr>
      <w:r w:rsidRPr="00351956">
        <w:rPr>
          <w:b/>
          <w:u w:val="single"/>
        </w:rPr>
        <w:t>References</w:t>
      </w:r>
    </w:p>
    <w:p w:rsidR="00E834A5" w:rsidRDefault="00E834A5"/>
    <w:p w:rsidR="00E834A5" w:rsidRPr="00351956" w:rsidRDefault="00E834A5">
      <w:r w:rsidRPr="00351956">
        <w:t>[1] Simmel, Georg (1950), The Sociology of Georg Simmel, translated and edited by Kurt Wolff, Glencoe, Ill.: Free Press, р.326</w:t>
      </w:r>
    </w:p>
    <w:p w:rsidR="00E834A5" w:rsidRPr="00351956" w:rsidRDefault="00E834A5">
      <w:pPr>
        <w:rPr>
          <w:rStyle w:val="Hyperlink"/>
        </w:rPr>
      </w:pPr>
      <w:r w:rsidRPr="00351956">
        <w:t xml:space="preserve">[2] </w:t>
      </w:r>
      <w:proofErr w:type="spellStart"/>
      <w:r w:rsidRPr="00351956">
        <w:t>Bjørnskov</w:t>
      </w:r>
      <w:proofErr w:type="spellEnd"/>
      <w:r w:rsidRPr="00351956">
        <w:t xml:space="preserve">, C.,: How Does Social Trust Affect Economic Growth?, University of Aarhus, </w:t>
      </w:r>
      <w:hyperlink r:id="rId14" w:history="1">
        <w:r w:rsidRPr="00351956">
          <w:rPr>
            <w:rStyle w:val="Hyperlink"/>
          </w:rPr>
          <w:t>http://pure.au.dk/portal/files/783/06-2_CB.pdf</w:t>
        </w:r>
      </w:hyperlink>
    </w:p>
    <w:p w:rsidR="00E834A5" w:rsidRPr="00351956" w:rsidRDefault="00E834A5">
      <w:r w:rsidRPr="00351956">
        <w:rPr>
          <w:rStyle w:val="Hyperlink"/>
          <w:color w:val="auto"/>
          <w:u w:val="none"/>
        </w:rPr>
        <w:t>[3]</w:t>
      </w:r>
      <w:r w:rsidRPr="00351956">
        <w:rPr>
          <w:rStyle w:val="Hyperlink"/>
          <w:u w:val="none"/>
        </w:rPr>
        <w:t xml:space="preserve"> </w:t>
      </w:r>
      <w:proofErr w:type="spellStart"/>
      <w:r w:rsidRPr="00351956">
        <w:t>Delhey</w:t>
      </w:r>
      <w:proofErr w:type="spellEnd"/>
      <w:r w:rsidRPr="00351956">
        <w:t>, J. and Kenneth Newton, Who Trusts?, European Societies, 5(2) 2003: 93–137</w:t>
      </w:r>
    </w:p>
    <w:p w:rsidR="00E834A5" w:rsidRPr="00351956" w:rsidRDefault="00E834A5">
      <w:r w:rsidRPr="00351956">
        <w:t xml:space="preserve">[4] </w:t>
      </w:r>
      <w:proofErr w:type="spellStart"/>
      <w:r w:rsidRPr="00351956">
        <w:t>Uslaner</w:t>
      </w:r>
      <w:proofErr w:type="spellEnd"/>
      <w:r w:rsidRPr="00351956">
        <w:t>, Eric M. (1999) ‘Democracy and Social Capital’, in Mark Warren (ed.) Democracy and Trust, Cambridge: Cambridge University Press, pp. 121–50</w:t>
      </w:r>
    </w:p>
    <w:p w:rsidR="00E834A5" w:rsidRPr="00351956" w:rsidRDefault="00E834A5">
      <w:r w:rsidRPr="00351956">
        <w:t xml:space="preserve">[5] </w:t>
      </w:r>
      <w:proofErr w:type="spellStart"/>
      <w:r w:rsidRPr="00351956">
        <w:t>Uslaner</w:t>
      </w:r>
      <w:proofErr w:type="spellEnd"/>
      <w:r w:rsidRPr="00351956">
        <w:t>, Eric M. (2000) ‘Producing and Consuming Trust’, Political Science Quarterly 115(4): 569–90</w:t>
      </w:r>
    </w:p>
    <w:p w:rsidR="00E834A5" w:rsidRPr="00351956" w:rsidRDefault="00E834A5">
      <w:r w:rsidRPr="00351956">
        <w:t xml:space="preserve">[6] </w:t>
      </w:r>
      <w:proofErr w:type="spellStart"/>
      <w:r w:rsidRPr="00351956">
        <w:t>Banfield</w:t>
      </w:r>
      <w:proofErr w:type="spellEnd"/>
      <w:r w:rsidRPr="00351956">
        <w:t>, Edward C. (1958) The Moral Basis of a Backward Society, Glencoe, Ill.: Free Press</w:t>
      </w:r>
    </w:p>
    <w:p w:rsidR="005E0ADD" w:rsidRPr="00351956" w:rsidRDefault="005E0ADD">
      <w:r w:rsidRPr="00351956">
        <w:t>[7] Putnam, Robert (2000) Bowling Alone: The Collapse and Revival of American Community, New York: Simon and Schuster, p. 138, 332-335</w:t>
      </w:r>
    </w:p>
    <w:p w:rsidR="005E0ADD" w:rsidRPr="00351956" w:rsidRDefault="005E0ADD">
      <w:r w:rsidRPr="00351956">
        <w:t xml:space="preserve">[8] </w:t>
      </w:r>
      <w:proofErr w:type="spellStart"/>
      <w:r w:rsidRPr="00351956">
        <w:t>Inglehart</w:t>
      </w:r>
      <w:proofErr w:type="spellEnd"/>
      <w:r w:rsidRPr="00351956">
        <w:t>, Ronald (1999) ‘Trust, Well-Being and Democracy’, in Mark E. Warren (ed.) (1999) Democracy and Trust, Cambridge: Cambridge University Press, pp. 88–120</w:t>
      </w:r>
    </w:p>
    <w:p w:rsidR="005E0ADD" w:rsidRPr="00351956" w:rsidRDefault="005E0ADD">
      <w:r w:rsidRPr="00351956">
        <w:lastRenderedPageBreak/>
        <w:t>[9] Patterson, Orlando (1999) ‘Liberty against the Democratic State: on the Historical and Contemporary Sources of American Distrust’, in Mark E. Warren (ed.) Democracy and Trust, Cambridge: Cambridge University Press</w:t>
      </w:r>
    </w:p>
    <w:p w:rsidR="005E0ADD" w:rsidRPr="00351956" w:rsidRDefault="005E0ADD">
      <w:r w:rsidRPr="00351956">
        <w:t>[10] Newton, K. (2001) ‘Trust, Social Capital, Civil Society, and Democracy’, International Political Science Review 22(2): 201–14</w:t>
      </w:r>
    </w:p>
    <w:p w:rsidR="005E0ADD" w:rsidRPr="00351956" w:rsidRDefault="005E0ADD">
      <w:r w:rsidRPr="00351956">
        <w:t>[11] Putnam, Robert (2000) Bowling Alone: The Collapse and Revival of American Community, New York: Simon and Schuster</w:t>
      </w:r>
    </w:p>
    <w:p w:rsidR="005E0ADD" w:rsidRPr="00351956" w:rsidRDefault="005E0ADD">
      <w:r w:rsidRPr="00351956">
        <w:t xml:space="preserve">[12] </w:t>
      </w:r>
      <w:proofErr w:type="spellStart"/>
      <w:r w:rsidRPr="00351956">
        <w:t>Brehm</w:t>
      </w:r>
      <w:proofErr w:type="spellEnd"/>
      <w:r w:rsidRPr="00351956">
        <w:t xml:space="preserve">, John and </w:t>
      </w:r>
      <w:proofErr w:type="spellStart"/>
      <w:r w:rsidRPr="00351956">
        <w:t>Rahn</w:t>
      </w:r>
      <w:proofErr w:type="spellEnd"/>
      <w:r w:rsidRPr="00351956">
        <w:t>, Wendy (1997) ‘Individual-Level Evidence for the Causes and Consequences of Social Capital’, American Journal of Political Science 41(3): 999–1023</w:t>
      </w:r>
    </w:p>
    <w:p w:rsidR="005E0ADD" w:rsidRPr="00351956" w:rsidRDefault="005E0ADD">
      <w:r w:rsidRPr="00351956">
        <w:t xml:space="preserve">[13] </w:t>
      </w:r>
      <w:proofErr w:type="spellStart"/>
      <w:r w:rsidRPr="00351956">
        <w:t>Stolle</w:t>
      </w:r>
      <w:proofErr w:type="spellEnd"/>
      <w:r w:rsidRPr="00351956">
        <w:t xml:space="preserve">, </w:t>
      </w:r>
      <w:proofErr w:type="spellStart"/>
      <w:r w:rsidRPr="00351956">
        <w:t>Dietlind</w:t>
      </w:r>
      <w:proofErr w:type="spellEnd"/>
      <w:r w:rsidRPr="00351956">
        <w:t xml:space="preserve"> and </w:t>
      </w:r>
      <w:proofErr w:type="spellStart"/>
      <w:r w:rsidRPr="00351956">
        <w:t>Rochon</w:t>
      </w:r>
      <w:proofErr w:type="spellEnd"/>
      <w:r w:rsidRPr="00351956">
        <w:t xml:space="preserve">, Thomas R. (1999) ‘The Myth of American Exceptionalism’, in Jan van </w:t>
      </w:r>
      <w:proofErr w:type="spellStart"/>
      <w:r w:rsidRPr="00351956">
        <w:t>Deth</w:t>
      </w:r>
      <w:proofErr w:type="spellEnd"/>
      <w:r w:rsidRPr="00351956">
        <w:t xml:space="preserve">, Marco </w:t>
      </w:r>
      <w:proofErr w:type="spellStart"/>
      <w:r w:rsidRPr="00351956">
        <w:t>Maraffi</w:t>
      </w:r>
      <w:proofErr w:type="spellEnd"/>
      <w:r w:rsidRPr="00351956">
        <w:t xml:space="preserve">, Ken Newton and Paul </w:t>
      </w:r>
      <w:proofErr w:type="spellStart"/>
      <w:r w:rsidRPr="00351956">
        <w:t>Whiteley</w:t>
      </w:r>
      <w:proofErr w:type="spellEnd"/>
      <w:r w:rsidRPr="00351956">
        <w:t xml:space="preserve"> (eds.) Social Capital and European Democracy, London: Routledge, 192–209</w:t>
      </w:r>
    </w:p>
    <w:p w:rsidR="005E0ADD" w:rsidRPr="00351956" w:rsidRDefault="005E0ADD">
      <w:r w:rsidRPr="00351956">
        <w:t xml:space="preserve">[14] </w:t>
      </w:r>
      <w:proofErr w:type="spellStart"/>
      <w:r w:rsidRPr="00351956">
        <w:t>Torcal</w:t>
      </w:r>
      <w:proofErr w:type="spellEnd"/>
      <w:r w:rsidRPr="00351956">
        <w:t xml:space="preserve">, Mariano and Montero, Jose R. (1999) ‘Facets of Social Capital in New Democracies’, in Jan van </w:t>
      </w:r>
      <w:proofErr w:type="spellStart"/>
      <w:r w:rsidRPr="00351956">
        <w:t>Deth</w:t>
      </w:r>
      <w:proofErr w:type="spellEnd"/>
      <w:r w:rsidRPr="00351956">
        <w:t xml:space="preserve">, Marco </w:t>
      </w:r>
      <w:proofErr w:type="spellStart"/>
      <w:r w:rsidRPr="00351956">
        <w:t>Maraffi</w:t>
      </w:r>
      <w:proofErr w:type="spellEnd"/>
      <w:r w:rsidRPr="00351956">
        <w:t xml:space="preserve">, Ken Newton and Paul </w:t>
      </w:r>
      <w:proofErr w:type="spellStart"/>
      <w:r w:rsidRPr="00351956">
        <w:t>Whiteley</w:t>
      </w:r>
      <w:proofErr w:type="spellEnd"/>
      <w:r w:rsidRPr="00351956">
        <w:t xml:space="preserve"> (</w:t>
      </w:r>
      <w:proofErr w:type="spellStart"/>
      <w:r w:rsidRPr="00351956">
        <w:t>eds</w:t>
      </w:r>
      <w:proofErr w:type="spellEnd"/>
      <w:r w:rsidRPr="00351956">
        <w:t>) Social Capital and European Democracy, London: Routledge, pp. 167–91</w:t>
      </w:r>
    </w:p>
    <w:p w:rsidR="005E0ADD" w:rsidRPr="00351956" w:rsidRDefault="005E0ADD">
      <w:r w:rsidRPr="00351956">
        <w:t xml:space="preserve">[15] </w:t>
      </w:r>
      <w:proofErr w:type="spellStart"/>
      <w:r w:rsidRPr="00351956">
        <w:t>Uslaner</w:t>
      </w:r>
      <w:proofErr w:type="spellEnd"/>
      <w:r w:rsidRPr="00351956">
        <w:t>, Eric M. (2000) ‘Producing and Consuming Trust’, Political Science Quarterly 115(4): 569–90</w:t>
      </w:r>
    </w:p>
    <w:p w:rsidR="005E0ADD" w:rsidRPr="00351956" w:rsidRDefault="005E0ADD">
      <w:r w:rsidRPr="00351956">
        <w:t>[16] Yamagishi, Toshio and Yamagishi, Midori (1993) ‘Trust and Commitment in the United States and Japan’, Motivation and Emotion 18(2): 129–66</w:t>
      </w:r>
    </w:p>
    <w:p w:rsidR="005E0ADD" w:rsidRPr="00351956" w:rsidRDefault="005E0ADD">
      <w:r w:rsidRPr="00351956">
        <w:t xml:space="preserve">[17] </w:t>
      </w:r>
      <w:proofErr w:type="spellStart"/>
      <w:r w:rsidRPr="00351956">
        <w:t>Verba</w:t>
      </w:r>
      <w:proofErr w:type="spellEnd"/>
      <w:r w:rsidRPr="00351956">
        <w:t xml:space="preserve">, Sidney, </w:t>
      </w:r>
      <w:proofErr w:type="spellStart"/>
      <w:r w:rsidRPr="00351956">
        <w:t>Schlozman</w:t>
      </w:r>
      <w:proofErr w:type="spellEnd"/>
      <w:r w:rsidRPr="00351956">
        <w:t>, Kay L. and Brady, Henry E. (1995) Voice and Equality: Civic Volunteerism in American Politics, Cambridge, Mass.: Harvard University Press</w:t>
      </w:r>
    </w:p>
    <w:p w:rsidR="005E0ADD" w:rsidRPr="00351956" w:rsidRDefault="005E0ADD">
      <w:r w:rsidRPr="00351956">
        <w:t xml:space="preserve">[18] </w:t>
      </w:r>
      <w:proofErr w:type="spellStart"/>
      <w:r w:rsidRPr="00351956">
        <w:t>Kolankiewicz</w:t>
      </w:r>
      <w:proofErr w:type="spellEnd"/>
      <w:r w:rsidRPr="00351956">
        <w:t>, George (1994) ‘Elites in Search of a Political Formula’, Daedalus (Summer): 143–57</w:t>
      </w:r>
    </w:p>
    <w:p w:rsidR="00882293" w:rsidRPr="00351956" w:rsidRDefault="00882293">
      <w:r w:rsidRPr="00351956">
        <w:t>[19] Putnam, Robert (2000) Bowling Alone: The Collapse and Revival of American Community, New York: Simon and Schuster</w:t>
      </w:r>
    </w:p>
    <w:p w:rsidR="00882293" w:rsidRPr="00351956" w:rsidRDefault="00882293">
      <w:r w:rsidRPr="00351956">
        <w:t xml:space="preserve">[20] </w:t>
      </w:r>
      <w:proofErr w:type="spellStart"/>
      <w:r w:rsidRPr="00351956">
        <w:t>Inglehart</w:t>
      </w:r>
      <w:proofErr w:type="spellEnd"/>
      <w:r w:rsidRPr="00351956">
        <w:t>, Ronald (1999) ‘Trust, Well-Being and Democracy’, in Mark E. Warren (ed.) (1999) Democracy and Trust, Cambridge: Cambridge University Press, pp. 88–120</w:t>
      </w:r>
    </w:p>
    <w:p w:rsidR="00882293" w:rsidRPr="00351956" w:rsidRDefault="00882293">
      <w:r w:rsidRPr="00351956">
        <w:t>[21] Knack, Stephen and Keefer, Philip (1997) ‘Does social capital have an economic payoff? A cross-country investigation’, Quarterly Journal of Economics 112: 1251–88</w:t>
      </w:r>
    </w:p>
    <w:p w:rsidR="00882293" w:rsidRPr="00351956" w:rsidRDefault="00882293">
      <w:r w:rsidRPr="00351956">
        <w:t xml:space="preserve">[22] Rothstein, Bo and </w:t>
      </w:r>
      <w:proofErr w:type="spellStart"/>
      <w:r w:rsidRPr="00351956">
        <w:t>Stolle</w:t>
      </w:r>
      <w:proofErr w:type="spellEnd"/>
      <w:r w:rsidRPr="00351956">
        <w:t xml:space="preserve">, </w:t>
      </w:r>
      <w:proofErr w:type="spellStart"/>
      <w:r w:rsidRPr="00351956">
        <w:t>Dietlind</w:t>
      </w:r>
      <w:proofErr w:type="spellEnd"/>
      <w:r w:rsidRPr="00351956">
        <w:t xml:space="preserve"> (2001) ‘Social Capital and Street Level Bureaucracy: an Institutional Theory of Generalized Trust’, paper prepared for the ESF Conference on Social Capital: Interdisciplinary Perspectives, 15–20 Sept., Exeter</w:t>
      </w:r>
    </w:p>
    <w:p w:rsidR="00882293" w:rsidRPr="00351956" w:rsidRDefault="00882293">
      <w:r w:rsidRPr="00351956">
        <w:t xml:space="preserve">[23] </w:t>
      </w:r>
      <w:proofErr w:type="spellStart"/>
      <w:r w:rsidRPr="00351956">
        <w:t>Delhey</w:t>
      </w:r>
      <w:proofErr w:type="spellEnd"/>
      <w:r w:rsidRPr="00351956">
        <w:t>, J. And Kenneth Newton, Who Trusts?, European Societies, 5(2) 2003: 93–137</w:t>
      </w:r>
    </w:p>
    <w:p w:rsidR="00882293" w:rsidRPr="00351956" w:rsidRDefault="00882293">
      <w:r w:rsidRPr="00351956">
        <w:t xml:space="preserve">[24] Mayer, R.C., Davis J.H., </w:t>
      </w:r>
      <w:proofErr w:type="spellStart"/>
      <w:r w:rsidRPr="00351956">
        <w:t>Schoorman</w:t>
      </w:r>
      <w:proofErr w:type="spellEnd"/>
      <w:r w:rsidRPr="00351956">
        <w:t xml:space="preserve"> F.D. (1995). An integrative model of organizational trust. Academy of Management Review. 20 (3), 709-734</w:t>
      </w:r>
    </w:p>
    <w:p w:rsidR="00882293" w:rsidRPr="00351956" w:rsidRDefault="00882293">
      <w:r w:rsidRPr="00351956">
        <w:lastRenderedPageBreak/>
        <w:t xml:space="preserve">[25] Bamberger, Walter (2010). </w:t>
      </w:r>
      <w:hyperlink r:id="rId15">
        <w:r w:rsidRPr="00351956">
          <w:t>“Interpersonal Trust – At</w:t>
        </w:r>
      </w:hyperlink>
      <w:hyperlink r:id="rId16">
        <w:r w:rsidRPr="00351956">
          <w:t>tempt of a Definition”</w:t>
        </w:r>
      </w:hyperlink>
      <w:r w:rsidRPr="00351956">
        <w:t xml:space="preserve">. Scientific report, </w:t>
      </w:r>
      <w:proofErr w:type="spellStart"/>
      <w:r w:rsidRPr="00351956">
        <w:t>Technische</w:t>
      </w:r>
      <w:proofErr w:type="spellEnd"/>
      <w:r w:rsidRPr="00351956">
        <w:t xml:space="preserve"> </w:t>
      </w:r>
      <w:proofErr w:type="spellStart"/>
      <w:r w:rsidRPr="00351956">
        <w:t>Universität</w:t>
      </w:r>
      <w:proofErr w:type="spellEnd"/>
      <w:r w:rsidRPr="00351956">
        <w:t xml:space="preserve"> </w:t>
      </w:r>
      <w:proofErr w:type="spellStart"/>
      <w:r w:rsidRPr="00351956">
        <w:t>München</w:t>
      </w:r>
      <w:proofErr w:type="spellEnd"/>
      <w:r w:rsidRPr="00351956">
        <w:t xml:space="preserve">. </w:t>
      </w:r>
      <w:r w:rsidR="00D82796" w:rsidRPr="00351956">
        <w:t>Retrieved 2011-08-16</w:t>
      </w:r>
    </w:p>
    <w:p w:rsidR="00D82796" w:rsidRPr="00351956" w:rsidRDefault="00D82796">
      <w:r w:rsidRPr="00351956">
        <w:t xml:space="preserve">[26] </w:t>
      </w:r>
      <w:proofErr w:type="spellStart"/>
      <w:r w:rsidRPr="00351956">
        <w:t>Kosfeld</w:t>
      </w:r>
      <w:proofErr w:type="spellEnd"/>
      <w:r w:rsidRPr="00351956">
        <w:t xml:space="preserve">, M., </w:t>
      </w:r>
      <w:proofErr w:type="spellStart"/>
      <w:r w:rsidRPr="00351956">
        <w:t>Heinrichs</w:t>
      </w:r>
      <w:proofErr w:type="spellEnd"/>
      <w:r w:rsidRPr="00351956">
        <w:t xml:space="preserve"> M., Zak, P. J., </w:t>
      </w:r>
      <w:proofErr w:type="spellStart"/>
      <w:r w:rsidRPr="00351956">
        <w:t>Fischbacher</w:t>
      </w:r>
      <w:proofErr w:type="spellEnd"/>
      <w:r w:rsidRPr="00351956">
        <w:t>, U., and Fehr, E. (2005) Oxytocin Increases Trust in Humans” Nature 435, 2005, 673-676</w:t>
      </w:r>
    </w:p>
    <w:p w:rsidR="00D82796" w:rsidRPr="00351956" w:rsidRDefault="00D82796">
      <w:r w:rsidRPr="00351956">
        <w:t xml:space="preserve">[27] </w:t>
      </w:r>
      <w:proofErr w:type="spellStart"/>
      <w:r w:rsidRPr="00351956">
        <w:t>Luhmann</w:t>
      </w:r>
      <w:proofErr w:type="spellEnd"/>
      <w:r w:rsidRPr="00351956">
        <w:t xml:space="preserve">, N. (1979) Trust and Power. John Wiley &amp; Sons; </w:t>
      </w:r>
    </w:p>
    <w:p w:rsidR="00D82796" w:rsidRPr="00351956" w:rsidRDefault="00D82796">
      <w:r w:rsidRPr="00351956">
        <w:t xml:space="preserve">[28] Barber, B. (1983) The Logic and Limits of Trust. </w:t>
      </w:r>
      <w:proofErr w:type="spellStart"/>
      <w:r w:rsidRPr="00351956">
        <w:t>Rutgerts</w:t>
      </w:r>
      <w:proofErr w:type="spellEnd"/>
      <w:r w:rsidRPr="00351956">
        <w:t xml:space="preserve"> University Press</w:t>
      </w:r>
    </w:p>
    <w:p w:rsidR="00D82796" w:rsidRPr="00351956" w:rsidRDefault="00D82796">
      <w:r w:rsidRPr="00351956">
        <w:t>[29] Giddens, A. (1984). The Constitution of Society: Outline of the Theory of Structuration; Polity Press, Cambridge 1984</w:t>
      </w:r>
    </w:p>
    <w:p w:rsidR="00D82796" w:rsidRPr="00351956" w:rsidRDefault="00D82796">
      <w:r w:rsidRPr="00351956">
        <w:t xml:space="preserve">[30] Gambetta, D. (2000) Can We Trust </w:t>
      </w:r>
      <w:proofErr w:type="spellStart"/>
      <w:r w:rsidRPr="00351956">
        <w:t>Trust</w:t>
      </w:r>
      <w:proofErr w:type="spellEnd"/>
      <w:r w:rsidRPr="00351956">
        <w:t>? In: Gambetta, D. (ed.) Trust: Making and Breaking Cooperative Relations, electronic edition, Department of Sociology, University of Oxford, chapter 13, pp. 213-237</w:t>
      </w:r>
    </w:p>
    <w:p w:rsidR="00D82796" w:rsidRPr="00351956" w:rsidRDefault="00D82796">
      <w:r w:rsidRPr="00351956">
        <w:t xml:space="preserve">[31] </w:t>
      </w:r>
      <w:proofErr w:type="spellStart"/>
      <w:r w:rsidRPr="00351956">
        <w:t>Fonagy</w:t>
      </w:r>
      <w:proofErr w:type="spellEnd"/>
      <w:r w:rsidRPr="00351956">
        <w:t xml:space="preserve">, Peter. </w:t>
      </w:r>
      <w:r w:rsidR="00C12A40" w:rsidRPr="00351956">
        <w:t xml:space="preserve">(2010) </w:t>
      </w:r>
      <w:r w:rsidRPr="00351956">
        <w:t xml:space="preserve">Attachment Theory and Psychoanalysis. </w:t>
      </w:r>
      <w:r w:rsidR="00C12A40" w:rsidRPr="00351956">
        <w:t>Other Press Professional,</w:t>
      </w:r>
      <w:r w:rsidRPr="00351956">
        <w:t xml:space="preserve"> Print. </w:t>
      </w:r>
      <w:hyperlink r:id="rId17">
        <w:r w:rsidRPr="00351956">
          <w:t>ISBN 1590514602</w:t>
        </w:r>
      </w:hyperlink>
    </w:p>
    <w:p w:rsidR="00C12A40" w:rsidRPr="00351956" w:rsidRDefault="00C12A40">
      <w:r w:rsidRPr="00351956">
        <w:t xml:space="preserve">[32] </w:t>
      </w:r>
      <w:proofErr w:type="spellStart"/>
      <w:r w:rsidRPr="00351956">
        <w:t>Misztal</w:t>
      </w:r>
      <w:proofErr w:type="spellEnd"/>
      <w:r w:rsidRPr="00351956">
        <w:t>, B., Trust in Modern Societies: The Search for the Bases of Social Order, Polity Press, ISBN 0-74561634-8</w:t>
      </w:r>
    </w:p>
    <w:p w:rsidR="00C12A40" w:rsidRPr="00351956" w:rsidRDefault="00C12A40">
      <w:r w:rsidRPr="00351956">
        <w:t xml:space="preserve">[33] </w:t>
      </w:r>
      <w:proofErr w:type="spellStart"/>
      <w:r w:rsidRPr="00351956">
        <w:t>DeConick</w:t>
      </w:r>
      <w:proofErr w:type="spellEnd"/>
      <w:r w:rsidRPr="00351956">
        <w:t>, J. B. (2010). The Effect of Organizational Justice, Perceived Organizational Support, and Perceived Supervisor Support on Marketing Employees’ Level of Trust. Journal of Business Research, 63, 1349-1355</w:t>
      </w:r>
    </w:p>
    <w:p w:rsidR="00C12A40" w:rsidRPr="00351956" w:rsidRDefault="00C12A40">
      <w:r w:rsidRPr="00351956">
        <w:t xml:space="preserve">[34] Kurt T. Dirks, Donald L, The Role of Trust in Organizational Settings, </w:t>
      </w:r>
      <w:proofErr w:type="spellStart"/>
      <w:r w:rsidRPr="00351956">
        <w:t>Ferrin</w:t>
      </w:r>
      <w:proofErr w:type="spellEnd"/>
      <w:r w:rsidRPr="00351956">
        <w:t xml:space="preserve"> 2001</w:t>
      </w:r>
    </w:p>
    <w:p w:rsidR="00C12A40" w:rsidRPr="00351956" w:rsidRDefault="00C12A40">
      <w:r w:rsidRPr="00351956">
        <w:t xml:space="preserve">[35] </w:t>
      </w:r>
      <w:proofErr w:type="spellStart"/>
      <w:r w:rsidRPr="00351956">
        <w:t>Foddy</w:t>
      </w:r>
      <w:proofErr w:type="spellEnd"/>
      <w:r w:rsidRPr="00351956">
        <w:t xml:space="preserve">, M., &amp; Dawes, R. (2008). Group-Based Trust in Social Dilemmas. In A. Biel, D. Eek, T. </w:t>
      </w:r>
      <w:proofErr w:type="spellStart"/>
      <w:r w:rsidRPr="00351956">
        <w:t>Garling</w:t>
      </w:r>
      <w:proofErr w:type="spellEnd"/>
      <w:r w:rsidRPr="00351956">
        <w:t xml:space="preserve">, &amp; M. </w:t>
      </w:r>
      <w:proofErr w:type="spellStart"/>
      <w:r w:rsidRPr="00351956">
        <w:t>Gustafsson</w:t>
      </w:r>
      <w:proofErr w:type="spellEnd"/>
      <w:r w:rsidRPr="00351956">
        <w:t xml:space="preserve"> (Eds.), New Issues and Paradigms in Research on Social Dilemmas (pp. 57-85). New York, USA: Springer Science and Business Media; </w:t>
      </w:r>
    </w:p>
    <w:p w:rsidR="00C12A40" w:rsidRPr="00351956" w:rsidRDefault="00C12A40">
      <w:r w:rsidRPr="00351956">
        <w:t xml:space="preserve">[36] </w:t>
      </w:r>
      <w:proofErr w:type="spellStart"/>
      <w:r w:rsidRPr="00351956">
        <w:t>Guth</w:t>
      </w:r>
      <w:proofErr w:type="spellEnd"/>
      <w:r w:rsidRPr="00351956">
        <w:t xml:space="preserve">, W., </w:t>
      </w:r>
      <w:proofErr w:type="spellStart"/>
      <w:r w:rsidRPr="00351956">
        <w:t>Levati</w:t>
      </w:r>
      <w:proofErr w:type="spellEnd"/>
      <w:r w:rsidRPr="00351956">
        <w:t xml:space="preserve">, M.V., </w:t>
      </w:r>
      <w:proofErr w:type="spellStart"/>
      <w:r w:rsidRPr="00351956">
        <w:t>Ploner</w:t>
      </w:r>
      <w:proofErr w:type="spellEnd"/>
      <w:r w:rsidRPr="00351956">
        <w:t>, M. (2006). Social Identity and Trust – An Experimental Investigation. The Journal of Socio-Economics, 37, 1293-1308</w:t>
      </w:r>
    </w:p>
    <w:p w:rsidR="00C12A40" w:rsidRPr="00351956" w:rsidRDefault="00C12A40">
      <w:r w:rsidRPr="00351956">
        <w:t xml:space="preserve">[37] Brewer, M.B. (1999). The Psychology of Prejudice: </w:t>
      </w:r>
      <w:proofErr w:type="spellStart"/>
      <w:r w:rsidRPr="00351956">
        <w:t>Ingroup</w:t>
      </w:r>
      <w:proofErr w:type="spellEnd"/>
      <w:r w:rsidRPr="00351956">
        <w:t xml:space="preserve"> Love or Outgroup Hate? Journal</w:t>
      </w:r>
      <w:r w:rsidR="0013179B" w:rsidRPr="00351956">
        <w:t xml:space="preserve"> of Social Issues, 55, 429-444)</w:t>
      </w:r>
    </w:p>
    <w:p w:rsidR="0013179B" w:rsidRPr="00351956" w:rsidRDefault="0013179B">
      <w:r w:rsidRPr="00351956">
        <w:t>[38] Morgan, R.; Hunt, S. (July 1994). “The Commitment-Trust Theory of Relationship Marketing”. The Journal of Marketing 58 (3): 20–38</w:t>
      </w:r>
    </w:p>
    <w:p w:rsidR="0013179B" w:rsidRPr="00351956" w:rsidRDefault="0013179B">
      <w:r w:rsidRPr="00351956">
        <w:t xml:space="preserve">[39] Zheng, J. </w:t>
      </w:r>
      <w:proofErr w:type="spellStart"/>
      <w:r w:rsidRPr="00351956">
        <w:t>Roehrich</w:t>
      </w:r>
      <w:proofErr w:type="spellEnd"/>
      <w:r w:rsidRPr="00351956">
        <w:t>, J.K. and Lewis, M.A. (2008). The Dynamics of Contractual and Relational Governance: Evidence from Long-Term Public-Private Procurement Arrangements. Journal of Purchasing and Supply Management. 14(1): 43-54</w:t>
      </w:r>
    </w:p>
    <w:p w:rsidR="0013179B" w:rsidRPr="00351956" w:rsidRDefault="0013179B">
      <w:r w:rsidRPr="00351956">
        <w:t>[40] Fukuyama, F. (1996) Trust: The Social Virtues and the Creation of Prosperity, Touchstone Books</w:t>
      </w:r>
    </w:p>
    <w:p w:rsidR="0013179B" w:rsidRPr="00351956" w:rsidRDefault="0013179B">
      <w:r w:rsidRPr="00351956">
        <w:t>[41] Hofstede, G., Culture's Consequences: International Differences in Work Related Values, Beverly Hills, Sage Publications, 1980</w:t>
      </w:r>
    </w:p>
    <w:p w:rsidR="0013179B" w:rsidRPr="00351956" w:rsidRDefault="0013179B">
      <w:r w:rsidRPr="00351956">
        <w:lastRenderedPageBreak/>
        <w:t xml:space="preserve">[42] Hofstede, G., The Interaction Between National and Organisational Value Systems, Journal of Management Studies, No.22, p. 347-357. </w:t>
      </w:r>
    </w:p>
    <w:p w:rsidR="0013179B" w:rsidRPr="00351956" w:rsidRDefault="0013179B">
      <w:pPr>
        <w:rPr>
          <w:spacing w:val="-2"/>
        </w:rPr>
      </w:pPr>
      <w:r w:rsidRPr="00351956">
        <w:t xml:space="preserve">[43] More recent publications in Bulgarian are: </w:t>
      </w:r>
      <w:proofErr w:type="spellStart"/>
      <w:r w:rsidRPr="00351956">
        <w:t>Хофстеде</w:t>
      </w:r>
      <w:proofErr w:type="spellEnd"/>
      <w:r w:rsidRPr="00351956">
        <w:t xml:space="preserve">, Х., </w:t>
      </w:r>
      <w:proofErr w:type="spellStart"/>
      <w:r w:rsidRPr="00351956">
        <w:rPr>
          <w:spacing w:val="-2"/>
        </w:rPr>
        <w:t>Култури</w:t>
      </w:r>
      <w:proofErr w:type="spellEnd"/>
      <w:r w:rsidRPr="00351956">
        <w:rPr>
          <w:spacing w:val="-2"/>
        </w:rPr>
        <w:t xml:space="preserve"> и </w:t>
      </w:r>
      <w:proofErr w:type="spellStart"/>
      <w:r w:rsidRPr="00351956">
        <w:rPr>
          <w:spacing w:val="-2"/>
        </w:rPr>
        <w:t>организации</w:t>
      </w:r>
      <w:proofErr w:type="spellEnd"/>
      <w:r w:rsidRPr="00351956">
        <w:rPr>
          <w:spacing w:val="-2"/>
        </w:rPr>
        <w:t xml:space="preserve">, </w:t>
      </w:r>
      <w:proofErr w:type="spellStart"/>
      <w:r w:rsidRPr="00351956">
        <w:rPr>
          <w:spacing w:val="-2"/>
        </w:rPr>
        <w:t>Класика</w:t>
      </w:r>
      <w:proofErr w:type="spellEnd"/>
      <w:r w:rsidRPr="00351956">
        <w:rPr>
          <w:spacing w:val="-2"/>
        </w:rPr>
        <w:t xml:space="preserve"> и </w:t>
      </w:r>
      <w:proofErr w:type="spellStart"/>
      <w:r w:rsidRPr="00351956">
        <w:rPr>
          <w:spacing w:val="-2"/>
        </w:rPr>
        <w:t>стил</w:t>
      </w:r>
      <w:proofErr w:type="spellEnd"/>
      <w:r w:rsidRPr="00351956">
        <w:rPr>
          <w:spacing w:val="-2"/>
        </w:rPr>
        <w:t xml:space="preserve">, </w:t>
      </w:r>
      <w:proofErr w:type="spellStart"/>
      <w:r w:rsidRPr="00351956">
        <w:rPr>
          <w:spacing w:val="-2"/>
        </w:rPr>
        <w:t>София</w:t>
      </w:r>
      <w:proofErr w:type="spellEnd"/>
      <w:r w:rsidRPr="00351956">
        <w:rPr>
          <w:spacing w:val="-2"/>
        </w:rPr>
        <w:t xml:space="preserve">, 2000; </w:t>
      </w:r>
    </w:p>
    <w:p w:rsidR="0013179B" w:rsidRPr="00351956" w:rsidRDefault="0013179B">
      <w:pPr>
        <w:rPr>
          <w:spacing w:val="-2"/>
        </w:rPr>
      </w:pPr>
      <w:r w:rsidRPr="00351956">
        <w:rPr>
          <w:spacing w:val="-2"/>
        </w:rPr>
        <w:t xml:space="preserve">[44] </w:t>
      </w:r>
      <w:proofErr w:type="spellStart"/>
      <w:r w:rsidRPr="00351956">
        <w:rPr>
          <w:spacing w:val="-2"/>
        </w:rPr>
        <w:t>Хофстеде</w:t>
      </w:r>
      <w:proofErr w:type="spellEnd"/>
      <w:r w:rsidRPr="00351956">
        <w:rPr>
          <w:spacing w:val="-2"/>
        </w:rPr>
        <w:t xml:space="preserve">, Х. и </w:t>
      </w:r>
      <w:proofErr w:type="spellStart"/>
      <w:r w:rsidRPr="00351956">
        <w:rPr>
          <w:spacing w:val="-2"/>
        </w:rPr>
        <w:t>др</w:t>
      </w:r>
      <w:proofErr w:type="spellEnd"/>
      <w:r w:rsidRPr="00351956">
        <w:rPr>
          <w:spacing w:val="-2"/>
        </w:rPr>
        <w:t xml:space="preserve">., </w:t>
      </w:r>
      <w:proofErr w:type="spellStart"/>
      <w:r w:rsidRPr="00351956">
        <w:rPr>
          <w:spacing w:val="-2"/>
        </w:rPr>
        <w:t>Изследване</w:t>
      </w:r>
      <w:proofErr w:type="spellEnd"/>
      <w:r w:rsidRPr="00351956">
        <w:rPr>
          <w:spacing w:val="-2"/>
        </w:rPr>
        <w:t xml:space="preserve"> </w:t>
      </w:r>
      <w:proofErr w:type="spellStart"/>
      <w:r w:rsidRPr="00351956">
        <w:rPr>
          <w:spacing w:val="-2"/>
        </w:rPr>
        <w:t>на</w:t>
      </w:r>
      <w:proofErr w:type="spellEnd"/>
      <w:r w:rsidRPr="00351956">
        <w:rPr>
          <w:spacing w:val="-2"/>
        </w:rPr>
        <w:t xml:space="preserve"> </w:t>
      </w:r>
      <w:proofErr w:type="spellStart"/>
      <w:r w:rsidRPr="00351956">
        <w:rPr>
          <w:spacing w:val="-2"/>
        </w:rPr>
        <w:t>културите</w:t>
      </w:r>
      <w:proofErr w:type="spellEnd"/>
      <w:r w:rsidRPr="00351956">
        <w:rPr>
          <w:spacing w:val="-2"/>
        </w:rPr>
        <w:t xml:space="preserve">, </w:t>
      </w:r>
      <w:proofErr w:type="spellStart"/>
      <w:r w:rsidRPr="00351956">
        <w:rPr>
          <w:spacing w:val="-2"/>
        </w:rPr>
        <w:t>Класика</w:t>
      </w:r>
      <w:proofErr w:type="spellEnd"/>
      <w:r w:rsidRPr="00351956">
        <w:rPr>
          <w:spacing w:val="-2"/>
        </w:rPr>
        <w:t xml:space="preserve"> и </w:t>
      </w:r>
      <w:proofErr w:type="spellStart"/>
      <w:r w:rsidRPr="00351956">
        <w:rPr>
          <w:spacing w:val="-2"/>
        </w:rPr>
        <w:t>стил</w:t>
      </w:r>
      <w:proofErr w:type="spellEnd"/>
      <w:r w:rsidRPr="00351956">
        <w:rPr>
          <w:spacing w:val="-2"/>
        </w:rPr>
        <w:t xml:space="preserve">, </w:t>
      </w:r>
      <w:proofErr w:type="spellStart"/>
      <w:r w:rsidRPr="00351956">
        <w:rPr>
          <w:spacing w:val="-2"/>
        </w:rPr>
        <w:t>София</w:t>
      </w:r>
      <w:proofErr w:type="spellEnd"/>
      <w:r w:rsidRPr="00351956">
        <w:rPr>
          <w:spacing w:val="-2"/>
        </w:rPr>
        <w:t xml:space="preserve">, 2003; </w:t>
      </w:r>
      <w:hyperlink r:id="rId18" w:history="1">
        <w:r w:rsidRPr="00351956">
          <w:rPr>
            <w:rStyle w:val="Hyperlink"/>
            <w:spacing w:val="-2"/>
          </w:rPr>
          <w:t>https://www.geert-hofstede.com</w:t>
        </w:r>
      </w:hyperlink>
      <w:r w:rsidRPr="00351956">
        <w:rPr>
          <w:spacing w:val="-2"/>
        </w:rPr>
        <w:t xml:space="preserve">, </w:t>
      </w:r>
      <w:proofErr w:type="spellStart"/>
      <w:r w:rsidRPr="00351956">
        <w:rPr>
          <w:spacing w:val="-2"/>
        </w:rPr>
        <w:t>версия</w:t>
      </w:r>
      <w:proofErr w:type="spellEnd"/>
      <w:r w:rsidRPr="00351956">
        <w:rPr>
          <w:spacing w:val="-2"/>
        </w:rPr>
        <w:t xml:space="preserve"> </w:t>
      </w:r>
      <w:proofErr w:type="spellStart"/>
      <w:r w:rsidRPr="00351956">
        <w:rPr>
          <w:spacing w:val="-2"/>
        </w:rPr>
        <w:t>от</w:t>
      </w:r>
      <w:proofErr w:type="spellEnd"/>
      <w:r w:rsidRPr="00351956">
        <w:rPr>
          <w:spacing w:val="-2"/>
        </w:rPr>
        <w:t xml:space="preserve"> 22.05.2017; </w:t>
      </w:r>
    </w:p>
    <w:p w:rsidR="0013179B" w:rsidRPr="00351956" w:rsidRDefault="0013179B">
      <w:pPr>
        <w:rPr>
          <w:spacing w:val="-2"/>
        </w:rPr>
      </w:pPr>
      <w:r w:rsidRPr="00351956">
        <w:rPr>
          <w:spacing w:val="-2"/>
        </w:rPr>
        <w:t xml:space="preserve">[45] </w:t>
      </w:r>
      <w:proofErr w:type="spellStart"/>
      <w:r w:rsidRPr="00351956">
        <w:rPr>
          <w:spacing w:val="-2"/>
        </w:rPr>
        <w:t>Тромпенаарс</w:t>
      </w:r>
      <w:proofErr w:type="spellEnd"/>
      <w:r w:rsidRPr="00351956">
        <w:rPr>
          <w:spacing w:val="-2"/>
        </w:rPr>
        <w:t>, Ф.</w:t>
      </w:r>
      <w:r w:rsidR="00351956">
        <w:rPr>
          <w:spacing w:val="-2"/>
        </w:rPr>
        <w:t xml:space="preserve"> </w:t>
      </w:r>
      <w:r w:rsidR="00351956">
        <w:rPr>
          <w:spacing w:val="-2"/>
          <w:lang w:val="bg-BG"/>
        </w:rPr>
        <w:t>и</w:t>
      </w:r>
      <w:r w:rsidRPr="00351956">
        <w:rPr>
          <w:spacing w:val="-2"/>
        </w:rPr>
        <w:t xml:space="preserve"> Хампдън-Търнър, Ч., </w:t>
      </w:r>
      <w:proofErr w:type="spellStart"/>
      <w:r w:rsidRPr="00351956">
        <w:rPr>
          <w:spacing w:val="-2"/>
        </w:rPr>
        <w:t>Да</w:t>
      </w:r>
      <w:proofErr w:type="spellEnd"/>
      <w:r w:rsidRPr="00351956">
        <w:rPr>
          <w:spacing w:val="-2"/>
        </w:rPr>
        <w:t xml:space="preserve"> </w:t>
      </w:r>
      <w:proofErr w:type="spellStart"/>
      <w:r w:rsidRPr="00351956">
        <w:rPr>
          <w:spacing w:val="-2"/>
        </w:rPr>
        <w:t>се</w:t>
      </w:r>
      <w:proofErr w:type="spellEnd"/>
      <w:r w:rsidRPr="00351956">
        <w:rPr>
          <w:spacing w:val="-2"/>
        </w:rPr>
        <w:t xml:space="preserve"> </w:t>
      </w:r>
      <w:proofErr w:type="spellStart"/>
      <w:r w:rsidRPr="00351956">
        <w:rPr>
          <w:spacing w:val="-2"/>
        </w:rPr>
        <w:t>носиш</w:t>
      </w:r>
      <w:proofErr w:type="spellEnd"/>
      <w:r w:rsidRPr="00351956">
        <w:rPr>
          <w:spacing w:val="-2"/>
        </w:rPr>
        <w:t xml:space="preserve"> </w:t>
      </w:r>
      <w:proofErr w:type="spellStart"/>
      <w:r w:rsidRPr="00351956">
        <w:rPr>
          <w:spacing w:val="-2"/>
        </w:rPr>
        <w:t>по</w:t>
      </w:r>
      <w:proofErr w:type="spellEnd"/>
      <w:r w:rsidRPr="00351956">
        <w:rPr>
          <w:spacing w:val="-2"/>
        </w:rPr>
        <w:t xml:space="preserve"> </w:t>
      </w:r>
      <w:proofErr w:type="spellStart"/>
      <w:r w:rsidRPr="00351956">
        <w:rPr>
          <w:spacing w:val="-2"/>
        </w:rPr>
        <w:t>вълните</w:t>
      </w:r>
      <w:proofErr w:type="spellEnd"/>
      <w:r w:rsidRPr="00351956">
        <w:rPr>
          <w:spacing w:val="-2"/>
        </w:rPr>
        <w:t xml:space="preserve"> </w:t>
      </w:r>
      <w:proofErr w:type="spellStart"/>
      <w:r w:rsidRPr="00351956">
        <w:rPr>
          <w:spacing w:val="-2"/>
        </w:rPr>
        <w:t>на</w:t>
      </w:r>
      <w:proofErr w:type="spellEnd"/>
      <w:r w:rsidRPr="00351956">
        <w:rPr>
          <w:spacing w:val="-2"/>
        </w:rPr>
        <w:t xml:space="preserve"> </w:t>
      </w:r>
      <w:proofErr w:type="spellStart"/>
      <w:r w:rsidRPr="00351956">
        <w:rPr>
          <w:spacing w:val="-2"/>
        </w:rPr>
        <w:t>културата</w:t>
      </w:r>
      <w:proofErr w:type="spellEnd"/>
      <w:r w:rsidRPr="00351956">
        <w:rPr>
          <w:spacing w:val="-2"/>
        </w:rPr>
        <w:t xml:space="preserve">, </w:t>
      </w:r>
      <w:proofErr w:type="spellStart"/>
      <w:r w:rsidRPr="00351956">
        <w:rPr>
          <w:spacing w:val="-2"/>
        </w:rPr>
        <w:t>Класика</w:t>
      </w:r>
      <w:proofErr w:type="spellEnd"/>
      <w:r w:rsidRPr="00351956">
        <w:rPr>
          <w:spacing w:val="-2"/>
        </w:rPr>
        <w:t xml:space="preserve"> и </w:t>
      </w:r>
      <w:proofErr w:type="spellStart"/>
      <w:r w:rsidRPr="00351956">
        <w:rPr>
          <w:spacing w:val="-2"/>
        </w:rPr>
        <w:t>стил</w:t>
      </w:r>
      <w:proofErr w:type="spellEnd"/>
      <w:r w:rsidRPr="00351956">
        <w:rPr>
          <w:spacing w:val="-2"/>
        </w:rPr>
        <w:t xml:space="preserve">, </w:t>
      </w:r>
      <w:proofErr w:type="spellStart"/>
      <w:r w:rsidRPr="00351956">
        <w:rPr>
          <w:spacing w:val="-2"/>
        </w:rPr>
        <w:t>София</w:t>
      </w:r>
      <w:proofErr w:type="spellEnd"/>
      <w:r w:rsidRPr="00351956">
        <w:rPr>
          <w:spacing w:val="-2"/>
        </w:rPr>
        <w:t>, 2004, с.</w:t>
      </w:r>
      <w:r w:rsidR="00D769A7" w:rsidRPr="00351956">
        <w:rPr>
          <w:spacing w:val="-2"/>
        </w:rPr>
        <w:t xml:space="preserve"> 13</w:t>
      </w:r>
    </w:p>
    <w:p w:rsidR="00D769A7" w:rsidRPr="00351956" w:rsidRDefault="00D769A7">
      <w:r w:rsidRPr="00351956">
        <w:rPr>
          <w:spacing w:val="-2"/>
        </w:rPr>
        <w:t xml:space="preserve">[46] </w:t>
      </w:r>
      <w:proofErr w:type="spellStart"/>
      <w:r w:rsidRPr="00351956">
        <w:t>Islamoglu</w:t>
      </w:r>
      <w:proofErr w:type="spellEnd"/>
      <w:r w:rsidRPr="00351956">
        <w:t xml:space="preserve">, G. and </w:t>
      </w:r>
      <w:proofErr w:type="spellStart"/>
      <w:r w:rsidRPr="00351956">
        <w:t>Deniz</w:t>
      </w:r>
      <w:proofErr w:type="spellEnd"/>
      <w:r w:rsidRPr="00351956">
        <w:t xml:space="preserve"> </w:t>
      </w:r>
      <w:proofErr w:type="spellStart"/>
      <w:r w:rsidRPr="00351956">
        <w:t>Börü</w:t>
      </w:r>
      <w:proofErr w:type="spellEnd"/>
      <w:r w:rsidRPr="00351956">
        <w:t xml:space="preserve">, Power Distance and Trust, </w:t>
      </w:r>
      <w:proofErr w:type="spellStart"/>
      <w:r w:rsidRPr="00351956">
        <w:t>Convivence</w:t>
      </w:r>
      <w:proofErr w:type="spellEnd"/>
      <w:r w:rsidRPr="00351956">
        <w:t xml:space="preserve"> in Organizations and Society, </w:t>
      </w:r>
      <w:proofErr w:type="spellStart"/>
      <w:r w:rsidRPr="00351956">
        <w:t>Quaderni</w:t>
      </w:r>
      <w:proofErr w:type="spellEnd"/>
      <w:r w:rsidRPr="00351956">
        <w:t xml:space="preserve"> Di </w:t>
      </w:r>
      <w:proofErr w:type="spellStart"/>
      <w:r w:rsidRPr="00351956">
        <w:t>Psicologia</w:t>
      </w:r>
      <w:proofErr w:type="spellEnd"/>
      <w:r w:rsidRPr="00351956">
        <w:t xml:space="preserve"> del </w:t>
      </w:r>
      <w:proofErr w:type="spellStart"/>
      <w:r w:rsidRPr="00351956">
        <w:t>Lavoro</w:t>
      </w:r>
      <w:proofErr w:type="spellEnd"/>
      <w:r w:rsidRPr="00351956">
        <w:t xml:space="preserve">, ed. Francesco </w:t>
      </w:r>
      <w:proofErr w:type="spellStart"/>
      <w:r w:rsidRPr="00351956">
        <w:t>Avollone</w:t>
      </w:r>
      <w:proofErr w:type="spellEnd"/>
      <w:r w:rsidRPr="00351956">
        <w:t xml:space="preserve"> and Handan </w:t>
      </w:r>
      <w:proofErr w:type="spellStart"/>
      <w:r w:rsidRPr="00351956">
        <w:t>Kepir</w:t>
      </w:r>
      <w:proofErr w:type="spellEnd"/>
      <w:r w:rsidRPr="00351956">
        <w:t xml:space="preserve"> </w:t>
      </w:r>
      <w:proofErr w:type="spellStart"/>
      <w:r w:rsidRPr="00351956">
        <w:t>Sinangil</w:t>
      </w:r>
      <w:proofErr w:type="spellEnd"/>
      <w:r w:rsidRPr="00351956">
        <w:t xml:space="preserve"> and Antonio </w:t>
      </w:r>
      <w:proofErr w:type="spellStart"/>
      <w:r w:rsidRPr="00351956">
        <w:t>Caetane</w:t>
      </w:r>
      <w:proofErr w:type="spellEnd"/>
      <w:r w:rsidRPr="00351956">
        <w:t xml:space="preserve">, Vol.12, 105-112, </w:t>
      </w:r>
      <w:proofErr w:type="spellStart"/>
      <w:r w:rsidRPr="00351956">
        <w:t>Guerini</w:t>
      </w:r>
      <w:proofErr w:type="spellEnd"/>
      <w:r w:rsidRPr="00351956">
        <w:t xml:space="preserve"> Studio, Milano, 2005</w:t>
      </w:r>
    </w:p>
    <w:p w:rsidR="00D769A7" w:rsidRPr="00351956" w:rsidRDefault="00D769A7">
      <w:r w:rsidRPr="00351956">
        <w:t xml:space="preserve">[47] </w:t>
      </w:r>
      <w:hyperlink r:id="rId19" w:history="1">
        <w:r w:rsidRPr="00351956">
          <w:rPr>
            <w:rStyle w:val="Hyperlink"/>
          </w:rPr>
          <w:t>https://data.oecd.org/inequality/income-inequality.htm</w:t>
        </w:r>
      </w:hyperlink>
    </w:p>
    <w:p w:rsidR="00D769A7" w:rsidRPr="00351956" w:rsidRDefault="00D769A7" w:rsidP="00D769A7">
      <w:pPr>
        <w:rPr>
          <w:iCs/>
          <w:lang w:val="bg-BG"/>
        </w:rPr>
      </w:pPr>
      <w:r w:rsidRPr="00351956">
        <w:t xml:space="preserve">[48] </w:t>
      </w:r>
      <w:r w:rsidRPr="00351956">
        <w:rPr>
          <w:iCs/>
        </w:rPr>
        <w:t>Eurostat - Data Explorer - Distribution of population by tenure status, type of household and income group. Eurostat. 12 March 2015. Retrieved 14 April 201</w:t>
      </w:r>
      <w:r w:rsidR="00351956">
        <w:rPr>
          <w:iCs/>
        </w:rPr>
        <w:t>8</w:t>
      </w:r>
    </w:p>
    <w:p w:rsidR="00C12A40" w:rsidRPr="001A0B2D" w:rsidRDefault="00C12A40" w:rsidP="00D769A7">
      <w:r>
        <w:rPr>
          <w:rFonts w:ascii="Academy" w:hAnsi="Academy"/>
        </w:rPr>
        <w:t xml:space="preserve"> </w:t>
      </w:r>
    </w:p>
    <w:sectPr w:rsidR="00C12A40" w:rsidRPr="001A0B2D" w:rsidSect="008A36B1">
      <w:pgSz w:w="11906" w:h="16838"/>
      <w:pgMar w:top="1134" w:right="851" w:bottom="1134"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cademy">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C6780"/>
    <w:multiLevelType w:val="hybridMultilevel"/>
    <w:tmpl w:val="0C4AF49A"/>
    <w:lvl w:ilvl="0" w:tplc="5E6816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2"/>
  </w:compat>
  <w:rsids>
    <w:rsidRoot w:val="00E47B34"/>
    <w:rsid w:val="0000080F"/>
    <w:rsid w:val="00002A28"/>
    <w:rsid w:val="00005291"/>
    <w:rsid w:val="0001088A"/>
    <w:rsid w:val="0001438E"/>
    <w:rsid w:val="00020F55"/>
    <w:rsid w:val="0002713F"/>
    <w:rsid w:val="00032111"/>
    <w:rsid w:val="00067525"/>
    <w:rsid w:val="00080DF7"/>
    <w:rsid w:val="00083223"/>
    <w:rsid w:val="00092540"/>
    <w:rsid w:val="000B282B"/>
    <w:rsid w:val="000C00CB"/>
    <w:rsid w:val="00100769"/>
    <w:rsid w:val="00104A45"/>
    <w:rsid w:val="00105749"/>
    <w:rsid w:val="001079B7"/>
    <w:rsid w:val="00111948"/>
    <w:rsid w:val="00115E3E"/>
    <w:rsid w:val="001169FC"/>
    <w:rsid w:val="00120892"/>
    <w:rsid w:val="00121745"/>
    <w:rsid w:val="00124201"/>
    <w:rsid w:val="00130BF6"/>
    <w:rsid w:val="0013179B"/>
    <w:rsid w:val="00131ECA"/>
    <w:rsid w:val="00136F91"/>
    <w:rsid w:val="001470D5"/>
    <w:rsid w:val="00163CF9"/>
    <w:rsid w:val="001670BD"/>
    <w:rsid w:val="00174A44"/>
    <w:rsid w:val="001841EE"/>
    <w:rsid w:val="001A0B2D"/>
    <w:rsid w:val="001A1580"/>
    <w:rsid w:val="001A1AE7"/>
    <w:rsid w:val="001A1EDC"/>
    <w:rsid w:val="001B3BBA"/>
    <w:rsid w:val="001C01E5"/>
    <w:rsid w:val="001D4711"/>
    <w:rsid w:val="001D4C43"/>
    <w:rsid w:val="001D5FA3"/>
    <w:rsid w:val="001D740C"/>
    <w:rsid w:val="001E5945"/>
    <w:rsid w:val="001E6B3A"/>
    <w:rsid w:val="001F1B3D"/>
    <w:rsid w:val="001F25F8"/>
    <w:rsid w:val="001F5702"/>
    <w:rsid w:val="00201C0F"/>
    <w:rsid w:val="00226A99"/>
    <w:rsid w:val="00226FCF"/>
    <w:rsid w:val="00234D0A"/>
    <w:rsid w:val="00250BB3"/>
    <w:rsid w:val="00251F0A"/>
    <w:rsid w:val="0026006A"/>
    <w:rsid w:val="00261B8A"/>
    <w:rsid w:val="00276B4D"/>
    <w:rsid w:val="00290AEF"/>
    <w:rsid w:val="00293D22"/>
    <w:rsid w:val="002A12EE"/>
    <w:rsid w:val="002A2E1F"/>
    <w:rsid w:val="002A4B6A"/>
    <w:rsid w:val="002A64B4"/>
    <w:rsid w:val="002B51B8"/>
    <w:rsid w:val="002B7FBB"/>
    <w:rsid w:val="002C4AC8"/>
    <w:rsid w:val="002D26B0"/>
    <w:rsid w:val="002F2836"/>
    <w:rsid w:val="003040C1"/>
    <w:rsid w:val="0031690E"/>
    <w:rsid w:val="00317BE3"/>
    <w:rsid w:val="00321CC3"/>
    <w:rsid w:val="00330D58"/>
    <w:rsid w:val="003505B2"/>
    <w:rsid w:val="0035183B"/>
    <w:rsid w:val="00351956"/>
    <w:rsid w:val="00352808"/>
    <w:rsid w:val="0036415A"/>
    <w:rsid w:val="00367382"/>
    <w:rsid w:val="00373E16"/>
    <w:rsid w:val="00376ADA"/>
    <w:rsid w:val="003844D1"/>
    <w:rsid w:val="003852B3"/>
    <w:rsid w:val="00387699"/>
    <w:rsid w:val="003973FD"/>
    <w:rsid w:val="003A0E62"/>
    <w:rsid w:val="003A38F7"/>
    <w:rsid w:val="003A7801"/>
    <w:rsid w:val="003B491E"/>
    <w:rsid w:val="003D1270"/>
    <w:rsid w:val="003D4160"/>
    <w:rsid w:val="003D47C1"/>
    <w:rsid w:val="003D572C"/>
    <w:rsid w:val="003E4D2D"/>
    <w:rsid w:val="003E6093"/>
    <w:rsid w:val="003F0502"/>
    <w:rsid w:val="003F2B29"/>
    <w:rsid w:val="003F53DE"/>
    <w:rsid w:val="003F6757"/>
    <w:rsid w:val="00405B09"/>
    <w:rsid w:val="0040756F"/>
    <w:rsid w:val="00417F9A"/>
    <w:rsid w:val="004251DC"/>
    <w:rsid w:val="0043217A"/>
    <w:rsid w:val="0045008A"/>
    <w:rsid w:val="00462228"/>
    <w:rsid w:val="00466752"/>
    <w:rsid w:val="004669B7"/>
    <w:rsid w:val="00473A0B"/>
    <w:rsid w:val="0047450F"/>
    <w:rsid w:val="00490422"/>
    <w:rsid w:val="00494A92"/>
    <w:rsid w:val="004A2119"/>
    <w:rsid w:val="004A2CDC"/>
    <w:rsid w:val="004A46B0"/>
    <w:rsid w:val="004C1762"/>
    <w:rsid w:val="004C37E0"/>
    <w:rsid w:val="004E459C"/>
    <w:rsid w:val="004E510C"/>
    <w:rsid w:val="004E6A6C"/>
    <w:rsid w:val="004F0895"/>
    <w:rsid w:val="004F501D"/>
    <w:rsid w:val="00507AB6"/>
    <w:rsid w:val="00507E08"/>
    <w:rsid w:val="00527FFB"/>
    <w:rsid w:val="005532BA"/>
    <w:rsid w:val="00554009"/>
    <w:rsid w:val="0055681D"/>
    <w:rsid w:val="005626FC"/>
    <w:rsid w:val="005679A7"/>
    <w:rsid w:val="00586179"/>
    <w:rsid w:val="005862CF"/>
    <w:rsid w:val="005A15E1"/>
    <w:rsid w:val="005A6203"/>
    <w:rsid w:val="005B4112"/>
    <w:rsid w:val="005B44BE"/>
    <w:rsid w:val="005C1F4F"/>
    <w:rsid w:val="005C251C"/>
    <w:rsid w:val="005D292F"/>
    <w:rsid w:val="005E0ADD"/>
    <w:rsid w:val="00613B4F"/>
    <w:rsid w:val="00620C4A"/>
    <w:rsid w:val="00621ADE"/>
    <w:rsid w:val="006303BF"/>
    <w:rsid w:val="0063605D"/>
    <w:rsid w:val="006364B6"/>
    <w:rsid w:val="006367A1"/>
    <w:rsid w:val="00670541"/>
    <w:rsid w:val="00676088"/>
    <w:rsid w:val="0069432F"/>
    <w:rsid w:val="006A0460"/>
    <w:rsid w:val="006B4889"/>
    <w:rsid w:val="006C5A04"/>
    <w:rsid w:val="006C6869"/>
    <w:rsid w:val="006D3DE9"/>
    <w:rsid w:val="006E22A3"/>
    <w:rsid w:val="007118DC"/>
    <w:rsid w:val="00716C8E"/>
    <w:rsid w:val="00733A2F"/>
    <w:rsid w:val="00746BD2"/>
    <w:rsid w:val="007738A6"/>
    <w:rsid w:val="00777B74"/>
    <w:rsid w:val="00790191"/>
    <w:rsid w:val="007B7856"/>
    <w:rsid w:val="007C1309"/>
    <w:rsid w:val="007C564D"/>
    <w:rsid w:val="007C6ED2"/>
    <w:rsid w:val="007E0696"/>
    <w:rsid w:val="007E2278"/>
    <w:rsid w:val="00800D95"/>
    <w:rsid w:val="00802088"/>
    <w:rsid w:val="00806142"/>
    <w:rsid w:val="00813851"/>
    <w:rsid w:val="00814356"/>
    <w:rsid w:val="00832542"/>
    <w:rsid w:val="0083561D"/>
    <w:rsid w:val="008439D9"/>
    <w:rsid w:val="00844352"/>
    <w:rsid w:val="00846C15"/>
    <w:rsid w:val="0085094A"/>
    <w:rsid w:val="0086488D"/>
    <w:rsid w:val="008720CF"/>
    <w:rsid w:val="00874E23"/>
    <w:rsid w:val="00882293"/>
    <w:rsid w:val="008831B4"/>
    <w:rsid w:val="00894650"/>
    <w:rsid w:val="008A0141"/>
    <w:rsid w:val="008A36B1"/>
    <w:rsid w:val="008B1A3F"/>
    <w:rsid w:val="008B4477"/>
    <w:rsid w:val="008B5C62"/>
    <w:rsid w:val="008B6189"/>
    <w:rsid w:val="008C038D"/>
    <w:rsid w:val="008C085A"/>
    <w:rsid w:val="008C1E3C"/>
    <w:rsid w:val="008E4E1C"/>
    <w:rsid w:val="008E5852"/>
    <w:rsid w:val="008F4070"/>
    <w:rsid w:val="00923752"/>
    <w:rsid w:val="00930AAE"/>
    <w:rsid w:val="00947540"/>
    <w:rsid w:val="00955D84"/>
    <w:rsid w:val="0095600E"/>
    <w:rsid w:val="00981217"/>
    <w:rsid w:val="009821CB"/>
    <w:rsid w:val="00985F40"/>
    <w:rsid w:val="009A5B78"/>
    <w:rsid w:val="009A6FB4"/>
    <w:rsid w:val="009C2795"/>
    <w:rsid w:val="009C29E2"/>
    <w:rsid w:val="009C40F0"/>
    <w:rsid w:val="009D2B39"/>
    <w:rsid w:val="009D5261"/>
    <w:rsid w:val="009E34A1"/>
    <w:rsid w:val="00A13DC1"/>
    <w:rsid w:val="00A15D21"/>
    <w:rsid w:val="00A1601F"/>
    <w:rsid w:val="00A21098"/>
    <w:rsid w:val="00A277C6"/>
    <w:rsid w:val="00A341E7"/>
    <w:rsid w:val="00A3536E"/>
    <w:rsid w:val="00A40A5A"/>
    <w:rsid w:val="00A43CF1"/>
    <w:rsid w:val="00A44DC1"/>
    <w:rsid w:val="00A603D3"/>
    <w:rsid w:val="00A6528E"/>
    <w:rsid w:val="00A7171A"/>
    <w:rsid w:val="00A75563"/>
    <w:rsid w:val="00A76C9D"/>
    <w:rsid w:val="00A82DC8"/>
    <w:rsid w:val="00A8394F"/>
    <w:rsid w:val="00AA1630"/>
    <w:rsid w:val="00AA2181"/>
    <w:rsid w:val="00AA52F4"/>
    <w:rsid w:val="00AA6F6F"/>
    <w:rsid w:val="00AB3698"/>
    <w:rsid w:val="00AB4E31"/>
    <w:rsid w:val="00AB685F"/>
    <w:rsid w:val="00AB7ABF"/>
    <w:rsid w:val="00AB7F59"/>
    <w:rsid w:val="00AC3057"/>
    <w:rsid w:val="00AC59E8"/>
    <w:rsid w:val="00AC73BE"/>
    <w:rsid w:val="00AC7D1F"/>
    <w:rsid w:val="00AD7D39"/>
    <w:rsid w:val="00AE42B4"/>
    <w:rsid w:val="00B02A4E"/>
    <w:rsid w:val="00B02D03"/>
    <w:rsid w:val="00B22629"/>
    <w:rsid w:val="00B25428"/>
    <w:rsid w:val="00B25EE8"/>
    <w:rsid w:val="00B3014D"/>
    <w:rsid w:val="00B37E97"/>
    <w:rsid w:val="00B45296"/>
    <w:rsid w:val="00B60933"/>
    <w:rsid w:val="00B637C6"/>
    <w:rsid w:val="00B67AC6"/>
    <w:rsid w:val="00B81FE6"/>
    <w:rsid w:val="00B90290"/>
    <w:rsid w:val="00BC2F47"/>
    <w:rsid w:val="00BC37DB"/>
    <w:rsid w:val="00BE148A"/>
    <w:rsid w:val="00BE1B9F"/>
    <w:rsid w:val="00BE4908"/>
    <w:rsid w:val="00BE650C"/>
    <w:rsid w:val="00BF2099"/>
    <w:rsid w:val="00BF522C"/>
    <w:rsid w:val="00C12A40"/>
    <w:rsid w:val="00C15197"/>
    <w:rsid w:val="00C25437"/>
    <w:rsid w:val="00C26F7B"/>
    <w:rsid w:val="00C320C1"/>
    <w:rsid w:val="00C34398"/>
    <w:rsid w:val="00C433E4"/>
    <w:rsid w:val="00C47284"/>
    <w:rsid w:val="00C605B2"/>
    <w:rsid w:val="00C60639"/>
    <w:rsid w:val="00C60702"/>
    <w:rsid w:val="00C70400"/>
    <w:rsid w:val="00C71D80"/>
    <w:rsid w:val="00C857A9"/>
    <w:rsid w:val="00C868AE"/>
    <w:rsid w:val="00C90CED"/>
    <w:rsid w:val="00CB0ADA"/>
    <w:rsid w:val="00CB1676"/>
    <w:rsid w:val="00CB4CE4"/>
    <w:rsid w:val="00CB6170"/>
    <w:rsid w:val="00CB7FE0"/>
    <w:rsid w:val="00CC4ADA"/>
    <w:rsid w:val="00CD0086"/>
    <w:rsid w:val="00CE697E"/>
    <w:rsid w:val="00CF1BD8"/>
    <w:rsid w:val="00CF5343"/>
    <w:rsid w:val="00D03266"/>
    <w:rsid w:val="00D0629C"/>
    <w:rsid w:val="00D10D28"/>
    <w:rsid w:val="00D132CF"/>
    <w:rsid w:val="00D27D15"/>
    <w:rsid w:val="00D360F3"/>
    <w:rsid w:val="00D500AC"/>
    <w:rsid w:val="00D535AB"/>
    <w:rsid w:val="00D56AD5"/>
    <w:rsid w:val="00D61410"/>
    <w:rsid w:val="00D63C60"/>
    <w:rsid w:val="00D72BA1"/>
    <w:rsid w:val="00D74694"/>
    <w:rsid w:val="00D769A7"/>
    <w:rsid w:val="00D82796"/>
    <w:rsid w:val="00D8487C"/>
    <w:rsid w:val="00D85C5C"/>
    <w:rsid w:val="00D87635"/>
    <w:rsid w:val="00DC4630"/>
    <w:rsid w:val="00DC604A"/>
    <w:rsid w:val="00DD3588"/>
    <w:rsid w:val="00DE5667"/>
    <w:rsid w:val="00DF7560"/>
    <w:rsid w:val="00E06B37"/>
    <w:rsid w:val="00E15AA4"/>
    <w:rsid w:val="00E171E3"/>
    <w:rsid w:val="00E27AAC"/>
    <w:rsid w:val="00E35CEF"/>
    <w:rsid w:val="00E47257"/>
    <w:rsid w:val="00E47B34"/>
    <w:rsid w:val="00E62EB1"/>
    <w:rsid w:val="00E6712C"/>
    <w:rsid w:val="00E834A5"/>
    <w:rsid w:val="00EA2110"/>
    <w:rsid w:val="00EA6EBC"/>
    <w:rsid w:val="00EB3DD8"/>
    <w:rsid w:val="00EC353A"/>
    <w:rsid w:val="00EC4ECC"/>
    <w:rsid w:val="00ED077F"/>
    <w:rsid w:val="00EE155D"/>
    <w:rsid w:val="00EF3A78"/>
    <w:rsid w:val="00F02C93"/>
    <w:rsid w:val="00F03FBB"/>
    <w:rsid w:val="00F20A23"/>
    <w:rsid w:val="00F232C1"/>
    <w:rsid w:val="00F52CA3"/>
    <w:rsid w:val="00F64B7E"/>
    <w:rsid w:val="00F70BE7"/>
    <w:rsid w:val="00F76CCB"/>
    <w:rsid w:val="00FA4611"/>
    <w:rsid w:val="00FB6BBA"/>
    <w:rsid w:val="00FC2C49"/>
    <w:rsid w:val="00FC62D3"/>
    <w:rsid w:val="00FE197F"/>
    <w:rsid w:val="00FE708A"/>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845-462D-4D17-B5A7-B81208FC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34"/>
    <w:pPr>
      <w:spacing w:after="0" w:line="400" w:lineRule="exact"/>
      <w:ind w:firstLine="284"/>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34A5"/>
    <w:pPr>
      <w:keepNext/>
      <w:keepLines/>
      <w:spacing w:before="240" w:line="259" w:lineRule="auto"/>
      <w:ind w:firstLine="0"/>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next w:val="Normal"/>
    <w:link w:val="Heading2Char"/>
    <w:uiPriority w:val="9"/>
    <w:unhideWhenUsed/>
    <w:qFormat/>
    <w:rsid w:val="0040756F"/>
    <w:pPr>
      <w:keepNext/>
      <w:keepLines/>
      <w:spacing w:after="0"/>
      <w:ind w:left="730" w:hanging="10"/>
      <w:outlineLvl w:val="1"/>
    </w:pPr>
    <w:rPr>
      <w:rFonts w:ascii="Calibri" w:eastAsia="Calibri" w:hAnsi="Calibri" w:cs="Calibri"/>
      <w:b/>
      <w:color w:val="221F1F"/>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47B34"/>
    <w:pPr>
      <w:spacing w:line="300" w:lineRule="exact"/>
    </w:pPr>
    <w:rPr>
      <w:sz w:val="20"/>
      <w:szCs w:val="20"/>
    </w:rPr>
  </w:style>
  <w:style w:type="character" w:customStyle="1" w:styleId="FootnoteTextChar">
    <w:name w:val="Footnote Text Char"/>
    <w:basedOn w:val="DefaultParagraphFont"/>
    <w:link w:val="FootnoteText"/>
    <w:rsid w:val="00E47B3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7B34"/>
    <w:rPr>
      <w:color w:val="0563C1" w:themeColor="hyperlink"/>
      <w:u w:val="single"/>
    </w:rPr>
  </w:style>
  <w:style w:type="paragraph" w:styleId="ListParagraph">
    <w:name w:val="List Paragraph"/>
    <w:basedOn w:val="Normal"/>
    <w:uiPriority w:val="34"/>
    <w:qFormat/>
    <w:rsid w:val="00E47B34"/>
    <w:pPr>
      <w:ind w:left="720"/>
      <w:contextualSpacing/>
    </w:pPr>
  </w:style>
  <w:style w:type="table" w:customStyle="1" w:styleId="TableGrid1">
    <w:name w:val="Table Grid1"/>
    <w:basedOn w:val="TableNormal"/>
    <w:next w:val="TableGrid"/>
    <w:uiPriority w:val="39"/>
    <w:rsid w:val="00E47B34"/>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B3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E4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756F"/>
    <w:rPr>
      <w:rFonts w:ascii="Calibri" w:eastAsia="Calibri" w:hAnsi="Calibri" w:cs="Calibri"/>
      <w:b/>
      <w:color w:val="221F1F"/>
      <w:sz w:val="16"/>
      <w:lang w:eastAsia="en-GB"/>
    </w:rPr>
  </w:style>
  <w:style w:type="character" w:styleId="Emphasis">
    <w:name w:val="Emphasis"/>
    <w:basedOn w:val="DefaultParagraphFont"/>
    <w:uiPriority w:val="20"/>
    <w:qFormat/>
    <w:rsid w:val="00AA6F6F"/>
    <w:rPr>
      <w:i/>
      <w:iCs/>
    </w:rPr>
  </w:style>
  <w:style w:type="paragraph" w:styleId="NormalWeb">
    <w:name w:val="Normal (Web)"/>
    <w:basedOn w:val="Normal"/>
    <w:uiPriority w:val="99"/>
    <w:unhideWhenUsed/>
    <w:rsid w:val="002C4AC8"/>
    <w:pPr>
      <w:spacing w:before="100" w:beforeAutospacing="1" w:after="100" w:afterAutospacing="1" w:line="240" w:lineRule="auto"/>
      <w:ind w:firstLine="0"/>
      <w:jc w:val="left"/>
    </w:pPr>
    <w:rPr>
      <w:lang w:val="en-US"/>
    </w:rPr>
  </w:style>
  <w:style w:type="character" w:styleId="Strong">
    <w:name w:val="Strong"/>
    <w:basedOn w:val="DefaultParagraphFont"/>
    <w:uiPriority w:val="22"/>
    <w:qFormat/>
    <w:rsid w:val="003E4D2D"/>
    <w:rPr>
      <w:b/>
      <w:bCs/>
    </w:rPr>
  </w:style>
  <w:style w:type="character" w:customStyle="1" w:styleId="ilfuvd">
    <w:name w:val="ilfuvd"/>
    <w:basedOn w:val="DefaultParagraphFont"/>
    <w:rsid w:val="00B60933"/>
  </w:style>
  <w:style w:type="character" w:customStyle="1" w:styleId="highlight">
    <w:name w:val="highlight"/>
    <w:basedOn w:val="DefaultParagraphFont"/>
    <w:rsid w:val="0047450F"/>
  </w:style>
  <w:style w:type="paragraph" w:styleId="BalloonText">
    <w:name w:val="Balloon Text"/>
    <w:basedOn w:val="Normal"/>
    <w:link w:val="BalloonTextChar"/>
    <w:uiPriority w:val="99"/>
    <w:semiHidden/>
    <w:unhideWhenUsed/>
    <w:rsid w:val="003F53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DE"/>
    <w:rPr>
      <w:rFonts w:ascii="Tahoma" w:eastAsia="Times New Roman" w:hAnsi="Tahoma" w:cs="Tahoma"/>
      <w:sz w:val="16"/>
      <w:szCs w:val="16"/>
    </w:rPr>
  </w:style>
  <w:style w:type="character" w:customStyle="1" w:styleId="Heading1Char">
    <w:name w:val="Heading 1 Char"/>
    <w:basedOn w:val="DefaultParagraphFont"/>
    <w:link w:val="Heading1"/>
    <w:uiPriority w:val="9"/>
    <w:rsid w:val="00E834A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76659">
      <w:bodyDiv w:val="1"/>
      <w:marLeft w:val="0"/>
      <w:marRight w:val="0"/>
      <w:marTop w:val="0"/>
      <w:marBottom w:val="0"/>
      <w:divBdr>
        <w:top w:val="none" w:sz="0" w:space="0" w:color="auto"/>
        <w:left w:val="none" w:sz="0" w:space="0" w:color="auto"/>
        <w:bottom w:val="none" w:sz="0" w:space="0" w:color="auto"/>
        <w:right w:val="none" w:sz="0" w:space="0" w:color="auto"/>
      </w:divBdr>
    </w:div>
    <w:div w:id="964584403">
      <w:bodyDiv w:val="1"/>
      <w:marLeft w:val="0"/>
      <w:marRight w:val="0"/>
      <w:marTop w:val="0"/>
      <w:marBottom w:val="0"/>
      <w:divBdr>
        <w:top w:val="none" w:sz="0" w:space="0" w:color="auto"/>
        <w:left w:val="none" w:sz="0" w:space="0" w:color="auto"/>
        <w:bottom w:val="none" w:sz="0" w:space="0" w:color="auto"/>
        <w:right w:val="none" w:sz="0" w:space="0" w:color="auto"/>
      </w:divBdr>
      <w:divsChild>
        <w:div w:id="86535571">
          <w:marLeft w:val="0"/>
          <w:marRight w:val="0"/>
          <w:marTop w:val="0"/>
          <w:marBottom w:val="0"/>
          <w:divBdr>
            <w:top w:val="none" w:sz="0" w:space="0" w:color="auto"/>
            <w:left w:val="none" w:sz="0" w:space="0" w:color="auto"/>
            <w:bottom w:val="none" w:sz="0" w:space="0" w:color="auto"/>
            <w:right w:val="none" w:sz="0" w:space="0" w:color="auto"/>
          </w:divBdr>
          <w:divsChild>
            <w:div w:id="45298666">
              <w:marLeft w:val="0"/>
              <w:marRight w:val="0"/>
              <w:marTop w:val="0"/>
              <w:marBottom w:val="0"/>
              <w:divBdr>
                <w:top w:val="none" w:sz="0" w:space="0" w:color="auto"/>
                <w:left w:val="none" w:sz="0" w:space="0" w:color="auto"/>
                <w:bottom w:val="none" w:sz="0" w:space="0" w:color="auto"/>
                <w:right w:val="none" w:sz="0" w:space="0" w:color="auto"/>
              </w:divBdr>
            </w:div>
            <w:div w:id="1023433978">
              <w:marLeft w:val="0"/>
              <w:marRight w:val="0"/>
              <w:marTop w:val="0"/>
              <w:marBottom w:val="0"/>
              <w:divBdr>
                <w:top w:val="none" w:sz="0" w:space="0" w:color="auto"/>
                <w:left w:val="none" w:sz="0" w:space="0" w:color="auto"/>
                <w:bottom w:val="none" w:sz="0" w:space="0" w:color="auto"/>
                <w:right w:val="none" w:sz="0" w:space="0" w:color="auto"/>
              </w:divBdr>
            </w:div>
            <w:div w:id="1981878729">
              <w:marLeft w:val="0"/>
              <w:marRight w:val="0"/>
              <w:marTop w:val="0"/>
              <w:marBottom w:val="0"/>
              <w:divBdr>
                <w:top w:val="none" w:sz="0" w:space="0" w:color="auto"/>
                <w:left w:val="none" w:sz="0" w:space="0" w:color="auto"/>
                <w:bottom w:val="none" w:sz="0" w:space="0" w:color="auto"/>
                <w:right w:val="none" w:sz="0" w:space="0" w:color="auto"/>
              </w:divBdr>
            </w:div>
            <w:div w:id="1434672172">
              <w:marLeft w:val="0"/>
              <w:marRight w:val="0"/>
              <w:marTop w:val="0"/>
              <w:marBottom w:val="0"/>
              <w:divBdr>
                <w:top w:val="none" w:sz="0" w:space="0" w:color="auto"/>
                <w:left w:val="none" w:sz="0" w:space="0" w:color="auto"/>
                <w:bottom w:val="none" w:sz="0" w:space="0" w:color="auto"/>
                <w:right w:val="none" w:sz="0" w:space="0" w:color="auto"/>
              </w:divBdr>
            </w:div>
            <w:div w:id="937983055">
              <w:marLeft w:val="0"/>
              <w:marRight w:val="0"/>
              <w:marTop w:val="0"/>
              <w:marBottom w:val="0"/>
              <w:divBdr>
                <w:top w:val="none" w:sz="0" w:space="0" w:color="auto"/>
                <w:left w:val="none" w:sz="0" w:space="0" w:color="auto"/>
                <w:bottom w:val="none" w:sz="0" w:space="0" w:color="auto"/>
                <w:right w:val="none" w:sz="0" w:space="0" w:color="auto"/>
              </w:divBdr>
            </w:div>
            <w:div w:id="555556407">
              <w:marLeft w:val="0"/>
              <w:marRight w:val="0"/>
              <w:marTop w:val="0"/>
              <w:marBottom w:val="0"/>
              <w:divBdr>
                <w:top w:val="none" w:sz="0" w:space="0" w:color="auto"/>
                <w:left w:val="none" w:sz="0" w:space="0" w:color="auto"/>
                <w:bottom w:val="none" w:sz="0" w:space="0" w:color="auto"/>
                <w:right w:val="none" w:sz="0" w:space="0" w:color="auto"/>
              </w:divBdr>
            </w:div>
            <w:div w:id="1137717907">
              <w:marLeft w:val="0"/>
              <w:marRight w:val="0"/>
              <w:marTop w:val="0"/>
              <w:marBottom w:val="0"/>
              <w:divBdr>
                <w:top w:val="none" w:sz="0" w:space="0" w:color="auto"/>
                <w:left w:val="none" w:sz="0" w:space="0" w:color="auto"/>
                <w:bottom w:val="none" w:sz="0" w:space="0" w:color="auto"/>
                <w:right w:val="none" w:sz="0" w:space="0" w:color="auto"/>
              </w:divBdr>
            </w:div>
            <w:div w:id="1396272647">
              <w:marLeft w:val="0"/>
              <w:marRight w:val="0"/>
              <w:marTop w:val="0"/>
              <w:marBottom w:val="0"/>
              <w:divBdr>
                <w:top w:val="none" w:sz="0" w:space="0" w:color="auto"/>
                <w:left w:val="none" w:sz="0" w:space="0" w:color="auto"/>
                <w:bottom w:val="none" w:sz="0" w:space="0" w:color="auto"/>
                <w:right w:val="none" w:sz="0" w:space="0" w:color="auto"/>
              </w:divBdr>
            </w:div>
            <w:div w:id="1037776530">
              <w:marLeft w:val="0"/>
              <w:marRight w:val="0"/>
              <w:marTop w:val="0"/>
              <w:marBottom w:val="0"/>
              <w:divBdr>
                <w:top w:val="none" w:sz="0" w:space="0" w:color="auto"/>
                <w:left w:val="none" w:sz="0" w:space="0" w:color="auto"/>
                <w:bottom w:val="none" w:sz="0" w:space="0" w:color="auto"/>
                <w:right w:val="none" w:sz="0" w:space="0" w:color="auto"/>
              </w:divBdr>
            </w:div>
            <w:div w:id="283388944">
              <w:marLeft w:val="0"/>
              <w:marRight w:val="0"/>
              <w:marTop w:val="0"/>
              <w:marBottom w:val="0"/>
              <w:divBdr>
                <w:top w:val="none" w:sz="0" w:space="0" w:color="auto"/>
                <w:left w:val="none" w:sz="0" w:space="0" w:color="auto"/>
                <w:bottom w:val="none" w:sz="0" w:space="0" w:color="auto"/>
                <w:right w:val="none" w:sz="0" w:space="0" w:color="auto"/>
              </w:divBdr>
            </w:div>
            <w:div w:id="1746561497">
              <w:marLeft w:val="0"/>
              <w:marRight w:val="0"/>
              <w:marTop w:val="0"/>
              <w:marBottom w:val="0"/>
              <w:divBdr>
                <w:top w:val="none" w:sz="0" w:space="0" w:color="auto"/>
                <w:left w:val="none" w:sz="0" w:space="0" w:color="auto"/>
                <w:bottom w:val="none" w:sz="0" w:space="0" w:color="auto"/>
                <w:right w:val="none" w:sz="0" w:space="0" w:color="auto"/>
              </w:divBdr>
            </w:div>
            <w:div w:id="1575504986">
              <w:marLeft w:val="0"/>
              <w:marRight w:val="0"/>
              <w:marTop w:val="0"/>
              <w:marBottom w:val="0"/>
              <w:divBdr>
                <w:top w:val="none" w:sz="0" w:space="0" w:color="auto"/>
                <w:left w:val="none" w:sz="0" w:space="0" w:color="auto"/>
                <w:bottom w:val="none" w:sz="0" w:space="0" w:color="auto"/>
                <w:right w:val="none" w:sz="0" w:space="0" w:color="auto"/>
              </w:divBdr>
            </w:div>
            <w:div w:id="798187898">
              <w:marLeft w:val="0"/>
              <w:marRight w:val="0"/>
              <w:marTop w:val="0"/>
              <w:marBottom w:val="0"/>
              <w:divBdr>
                <w:top w:val="none" w:sz="0" w:space="0" w:color="auto"/>
                <w:left w:val="none" w:sz="0" w:space="0" w:color="auto"/>
                <w:bottom w:val="none" w:sz="0" w:space="0" w:color="auto"/>
                <w:right w:val="none" w:sz="0" w:space="0" w:color="auto"/>
              </w:divBdr>
            </w:div>
            <w:div w:id="781337992">
              <w:marLeft w:val="0"/>
              <w:marRight w:val="0"/>
              <w:marTop w:val="0"/>
              <w:marBottom w:val="0"/>
              <w:divBdr>
                <w:top w:val="none" w:sz="0" w:space="0" w:color="auto"/>
                <w:left w:val="none" w:sz="0" w:space="0" w:color="auto"/>
                <w:bottom w:val="none" w:sz="0" w:space="0" w:color="auto"/>
                <w:right w:val="none" w:sz="0" w:space="0" w:color="auto"/>
              </w:divBdr>
            </w:div>
            <w:div w:id="142240351">
              <w:marLeft w:val="0"/>
              <w:marRight w:val="0"/>
              <w:marTop w:val="0"/>
              <w:marBottom w:val="0"/>
              <w:divBdr>
                <w:top w:val="none" w:sz="0" w:space="0" w:color="auto"/>
                <w:left w:val="none" w:sz="0" w:space="0" w:color="auto"/>
                <w:bottom w:val="none" w:sz="0" w:space="0" w:color="auto"/>
                <w:right w:val="none" w:sz="0" w:space="0" w:color="auto"/>
              </w:divBdr>
            </w:div>
            <w:div w:id="1976913431">
              <w:marLeft w:val="0"/>
              <w:marRight w:val="0"/>
              <w:marTop w:val="0"/>
              <w:marBottom w:val="0"/>
              <w:divBdr>
                <w:top w:val="none" w:sz="0" w:space="0" w:color="auto"/>
                <w:left w:val="none" w:sz="0" w:space="0" w:color="auto"/>
                <w:bottom w:val="none" w:sz="0" w:space="0" w:color="auto"/>
                <w:right w:val="none" w:sz="0" w:space="0" w:color="auto"/>
              </w:divBdr>
            </w:div>
            <w:div w:id="1687445795">
              <w:marLeft w:val="0"/>
              <w:marRight w:val="0"/>
              <w:marTop w:val="0"/>
              <w:marBottom w:val="0"/>
              <w:divBdr>
                <w:top w:val="none" w:sz="0" w:space="0" w:color="auto"/>
                <w:left w:val="none" w:sz="0" w:space="0" w:color="auto"/>
                <w:bottom w:val="none" w:sz="0" w:space="0" w:color="auto"/>
                <w:right w:val="none" w:sz="0" w:space="0" w:color="auto"/>
              </w:divBdr>
            </w:div>
            <w:div w:id="375784082">
              <w:marLeft w:val="0"/>
              <w:marRight w:val="0"/>
              <w:marTop w:val="0"/>
              <w:marBottom w:val="0"/>
              <w:divBdr>
                <w:top w:val="none" w:sz="0" w:space="0" w:color="auto"/>
                <w:left w:val="none" w:sz="0" w:space="0" w:color="auto"/>
                <w:bottom w:val="none" w:sz="0" w:space="0" w:color="auto"/>
                <w:right w:val="none" w:sz="0" w:space="0" w:color="auto"/>
              </w:divBdr>
            </w:div>
            <w:div w:id="518661766">
              <w:marLeft w:val="0"/>
              <w:marRight w:val="0"/>
              <w:marTop w:val="0"/>
              <w:marBottom w:val="0"/>
              <w:divBdr>
                <w:top w:val="none" w:sz="0" w:space="0" w:color="auto"/>
                <w:left w:val="none" w:sz="0" w:space="0" w:color="auto"/>
                <w:bottom w:val="none" w:sz="0" w:space="0" w:color="auto"/>
                <w:right w:val="none" w:sz="0" w:space="0" w:color="auto"/>
              </w:divBdr>
            </w:div>
            <w:div w:id="1962875732">
              <w:marLeft w:val="0"/>
              <w:marRight w:val="0"/>
              <w:marTop w:val="0"/>
              <w:marBottom w:val="0"/>
              <w:divBdr>
                <w:top w:val="none" w:sz="0" w:space="0" w:color="auto"/>
                <w:left w:val="none" w:sz="0" w:space="0" w:color="auto"/>
                <w:bottom w:val="none" w:sz="0" w:space="0" w:color="auto"/>
                <w:right w:val="none" w:sz="0" w:space="0" w:color="auto"/>
              </w:divBdr>
            </w:div>
            <w:div w:id="1751463441">
              <w:marLeft w:val="0"/>
              <w:marRight w:val="0"/>
              <w:marTop w:val="0"/>
              <w:marBottom w:val="0"/>
              <w:divBdr>
                <w:top w:val="none" w:sz="0" w:space="0" w:color="auto"/>
                <w:left w:val="none" w:sz="0" w:space="0" w:color="auto"/>
                <w:bottom w:val="none" w:sz="0" w:space="0" w:color="auto"/>
                <w:right w:val="none" w:sz="0" w:space="0" w:color="auto"/>
              </w:divBdr>
            </w:div>
            <w:div w:id="934678102">
              <w:marLeft w:val="0"/>
              <w:marRight w:val="0"/>
              <w:marTop w:val="0"/>
              <w:marBottom w:val="0"/>
              <w:divBdr>
                <w:top w:val="none" w:sz="0" w:space="0" w:color="auto"/>
                <w:left w:val="none" w:sz="0" w:space="0" w:color="auto"/>
                <w:bottom w:val="none" w:sz="0" w:space="0" w:color="auto"/>
                <w:right w:val="none" w:sz="0" w:space="0" w:color="auto"/>
              </w:divBdr>
            </w:div>
            <w:div w:id="211498544">
              <w:marLeft w:val="0"/>
              <w:marRight w:val="0"/>
              <w:marTop w:val="0"/>
              <w:marBottom w:val="0"/>
              <w:divBdr>
                <w:top w:val="none" w:sz="0" w:space="0" w:color="auto"/>
                <w:left w:val="none" w:sz="0" w:space="0" w:color="auto"/>
                <w:bottom w:val="none" w:sz="0" w:space="0" w:color="auto"/>
                <w:right w:val="none" w:sz="0" w:space="0" w:color="auto"/>
              </w:divBdr>
            </w:div>
            <w:div w:id="2046787247">
              <w:marLeft w:val="0"/>
              <w:marRight w:val="0"/>
              <w:marTop w:val="0"/>
              <w:marBottom w:val="0"/>
              <w:divBdr>
                <w:top w:val="none" w:sz="0" w:space="0" w:color="auto"/>
                <w:left w:val="none" w:sz="0" w:space="0" w:color="auto"/>
                <w:bottom w:val="none" w:sz="0" w:space="0" w:color="auto"/>
                <w:right w:val="none" w:sz="0" w:space="0" w:color="auto"/>
              </w:divBdr>
            </w:div>
            <w:div w:id="1020811993">
              <w:marLeft w:val="0"/>
              <w:marRight w:val="0"/>
              <w:marTop w:val="0"/>
              <w:marBottom w:val="0"/>
              <w:divBdr>
                <w:top w:val="none" w:sz="0" w:space="0" w:color="auto"/>
                <w:left w:val="none" w:sz="0" w:space="0" w:color="auto"/>
                <w:bottom w:val="none" w:sz="0" w:space="0" w:color="auto"/>
                <w:right w:val="none" w:sz="0" w:space="0" w:color="auto"/>
              </w:divBdr>
            </w:div>
            <w:div w:id="1653438947">
              <w:marLeft w:val="0"/>
              <w:marRight w:val="0"/>
              <w:marTop w:val="0"/>
              <w:marBottom w:val="0"/>
              <w:divBdr>
                <w:top w:val="none" w:sz="0" w:space="0" w:color="auto"/>
                <w:left w:val="none" w:sz="0" w:space="0" w:color="auto"/>
                <w:bottom w:val="none" w:sz="0" w:space="0" w:color="auto"/>
                <w:right w:val="none" w:sz="0" w:space="0" w:color="auto"/>
              </w:divBdr>
            </w:div>
            <w:div w:id="867720587">
              <w:marLeft w:val="0"/>
              <w:marRight w:val="0"/>
              <w:marTop w:val="0"/>
              <w:marBottom w:val="0"/>
              <w:divBdr>
                <w:top w:val="none" w:sz="0" w:space="0" w:color="auto"/>
                <w:left w:val="none" w:sz="0" w:space="0" w:color="auto"/>
                <w:bottom w:val="none" w:sz="0" w:space="0" w:color="auto"/>
                <w:right w:val="none" w:sz="0" w:space="0" w:color="auto"/>
              </w:divBdr>
            </w:div>
            <w:div w:id="889801456">
              <w:marLeft w:val="0"/>
              <w:marRight w:val="0"/>
              <w:marTop w:val="0"/>
              <w:marBottom w:val="0"/>
              <w:divBdr>
                <w:top w:val="none" w:sz="0" w:space="0" w:color="auto"/>
                <w:left w:val="none" w:sz="0" w:space="0" w:color="auto"/>
                <w:bottom w:val="none" w:sz="0" w:space="0" w:color="auto"/>
                <w:right w:val="none" w:sz="0" w:space="0" w:color="auto"/>
              </w:divBdr>
            </w:div>
            <w:div w:id="82650256">
              <w:marLeft w:val="0"/>
              <w:marRight w:val="0"/>
              <w:marTop w:val="0"/>
              <w:marBottom w:val="0"/>
              <w:divBdr>
                <w:top w:val="none" w:sz="0" w:space="0" w:color="auto"/>
                <w:left w:val="none" w:sz="0" w:space="0" w:color="auto"/>
                <w:bottom w:val="none" w:sz="0" w:space="0" w:color="auto"/>
                <w:right w:val="none" w:sz="0" w:space="0" w:color="auto"/>
              </w:divBdr>
            </w:div>
            <w:div w:id="1292588166">
              <w:marLeft w:val="0"/>
              <w:marRight w:val="0"/>
              <w:marTop w:val="0"/>
              <w:marBottom w:val="0"/>
              <w:divBdr>
                <w:top w:val="none" w:sz="0" w:space="0" w:color="auto"/>
                <w:left w:val="none" w:sz="0" w:space="0" w:color="auto"/>
                <w:bottom w:val="none" w:sz="0" w:space="0" w:color="auto"/>
                <w:right w:val="none" w:sz="0" w:space="0" w:color="auto"/>
              </w:divBdr>
            </w:div>
            <w:div w:id="887373212">
              <w:marLeft w:val="0"/>
              <w:marRight w:val="0"/>
              <w:marTop w:val="0"/>
              <w:marBottom w:val="0"/>
              <w:divBdr>
                <w:top w:val="none" w:sz="0" w:space="0" w:color="auto"/>
                <w:left w:val="none" w:sz="0" w:space="0" w:color="auto"/>
                <w:bottom w:val="none" w:sz="0" w:space="0" w:color="auto"/>
                <w:right w:val="none" w:sz="0" w:space="0" w:color="auto"/>
              </w:divBdr>
            </w:div>
            <w:div w:id="924655566">
              <w:marLeft w:val="0"/>
              <w:marRight w:val="0"/>
              <w:marTop w:val="0"/>
              <w:marBottom w:val="0"/>
              <w:divBdr>
                <w:top w:val="none" w:sz="0" w:space="0" w:color="auto"/>
                <w:left w:val="none" w:sz="0" w:space="0" w:color="auto"/>
                <w:bottom w:val="none" w:sz="0" w:space="0" w:color="auto"/>
                <w:right w:val="none" w:sz="0" w:space="0" w:color="auto"/>
              </w:divBdr>
            </w:div>
            <w:div w:id="723873909">
              <w:marLeft w:val="0"/>
              <w:marRight w:val="0"/>
              <w:marTop w:val="0"/>
              <w:marBottom w:val="0"/>
              <w:divBdr>
                <w:top w:val="none" w:sz="0" w:space="0" w:color="auto"/>
                <w:left w:val="none" w:sz="0" w:space="0" w:color="auto"/>
                <w:bottom w:val="none" w:sz="0" w:space="0" w:color="auto"/>
                <w:right w:val="none" w:sz="0" w:space="0" w:color="auto"/>
              </w:divBdr>
            </w:div>
            <w:div w:id="1418212379">
              <w:marLeft w:val="0"/>
              <w:marRight w:val="0"/>
              <w:marTop w:val="0"/>
              <w:marBottom w:val="0"/>
              <w:divBdr>
                <w:top w:val="none" w:sz="0" w:space="0" w:color="auto"/>
                <w:left w:val="none" w:sz="0" w:space="0" w:color="auto"/>
                <w:bottom w:val="none" w:sz="0" w:space="0" w:color="auto"/>
                <w:right w:val="none" w:sz="0" w:space="0" w:color="auto"/>
              </w:divBdr>
            </w:div>
            <w:div w:id="1953777655">
              <w:marLeft w:val="0"/>
              <w:marRight w:val="0"/>
              <w:marTop w:val="0"/>
              <w:marBottom w:val="0"/>
              <w:divBdr>
                <w:top w:val="none" w:sz="0" w:space="0" w:color="auto"/>
                <w:left w:val="none" w:sz="0" w:space="0" w:color="auto"/>
                <w:bottom w:val="none" w:sz="0" w:space="0" w:color="auto"/>
                <w:right w:val="none" w:sz="0" w:space="0" w:color="auto"/>
              </w:divBdr>
            </w:div>
            <w:div w:id="1969387083">
              <w:marLeft w:val="0"/>
              <w:marRight w:val="0"/>
              <w:marTop w:val="0"/>
              <w:marBottom w:val="0"/>
              <w:divBdr>
                <w:top w:val="none" w:sz="0" w:space="0" w:color="auto"/>
                <w:left w:val="none" w:sz="0" w:space="0" w:color="auto"/>
                <w:bottom w:val="none" w:sz="0" w:space="0" w:color="auto"/>
                <w:right w:val="none" w:sz="0" w:space="0" w:color="auto"/>
              </w:divBdr>
            </w:div>
            <w:div w:id="1064328756">
              <w:marLeft w:val="0"/>
              <w:marRight w:val="0"/>
              <w:marTop w:val="0"/>
              <w:marBottom w:val="0"/>
              <w:divBdr>
                <w:top w:val="none" w:sz="0" w:space="0" w:color="auto"/>
                <w:left w:val="none" w:sz="0" w:space="0" w:color="auto"/>
                <w:bottom w:val="none" w:sz="0" w:space="0" w:color="auto"/>
                <w:right w:val="none" w:sz="0" w:space="0" w:color="auto"/>
              </w:divBdr>
            </w:div>
            <w:div w:id="347365059">
              <w:marLeft w:val="0"/>
              <w:marRight w:val="0"/>
              <w:marTop w:val="0"/>
              <w:marBottom w:val="0"/>
              <w:divBdr>
                <w:top w:val="none" w:sz="0" w:space="0" w:color="auto"/>
                <w:left w:val="none" w:sz="0" w:space="0" w:color="auto"/>
                <w:bottom w:val="none" w:sz="0" w:space="0" w:color="auto"/>
                <w:right w:val="none" w:sz="0" w:space="0" w:color="auto"/>
              </w:divBdr>
            </w:div>
            <w:div w:id="248854936">
              <w:marLeft w:val="0"/>
              <w:marRight w:val="0"/>
              <w:marTop w:val="0"/>
              <w:marBottom w:val="0"/>
              <w:divBdr>
                <w:top w:val="none" w:sz="0" w:space="0" w:color="auto"/>
                <w:left w:val="none" w:sz="0" w:space="0" w:color="auto"/>
                <w:bottom w:val="none" w:sz="0" w:space="0" w:color="auto"/>
                <w:right w:val="none" w:sz="0" w:space="0" w:color="auto"/>
              </w:divBdr>
            </w:div>
            <w:div w:id="142548540">
              <w:marLeft w:val="0"/>
              <w:marRight w:val="0"/>
              <w:marTop w:val="0"/>
              <w:marBottom w:val="0"/>
              <w:divBdr>
                <w:top w:val="none" w:sz="0" w:space="0" w:color="auto"/>
                <w:left w:val="none" w:sz="0" w:space="0" w:color="auto"/>
                <w:bottom w:val="none" w:sz="0" w:space="0" w:color="auto"/>
                <w:right w:val="none" w:sz="0" w:space="0" w:color="auto"/>
              </w:divBdr>
            </w:div>
            <w:div w:id="1867599660">
              <w:marLeft w:val="0"/>
              <w:marRight w:val="0"/>
              <w:marTop w:val="0"/>
              <w:marBottom w:val="0"/>
              <w:divBdr>
                <w:top w:val="none" w:sz="0" w:space="0" w:color="auto"/>
                <w:left w:val="none" w:sz="0" w:space="0" w:color="auto"/>
                <w:bottom w:val="none" w:sz="0" w:space="0" w:color="auto"/>
                <w:right w:val="none" w:sz="0" w:space="0" w:color="auto"/>
              </w:divBdr>
            </w:div>
            <w:div w:id="1885218153">
              <w:marLeft w:val="0"/>
              <w:marRight w:val="0"/>
              <w:marTop w:val="0"/>
              <w:marBottom w:val="0"/>
              <w:divBdr>
                <w:top w:val="none" w:sz="0" w:space="0" w:color="auto"/>
                <w:left w:val="none" w:sz="0" w:space="0" w:color="auto"/>
                <w:bottom w:val="none" w:sz="0" w:space="0" w:color="auto"/>
                <w:right w:val="none" w:sz="0" w:space="0" w:color="auto"/>
              </w:divBdr>
            </w:div>
            <w:div w:id="1073772762">
              <w:marLeft w:val="0"/>
              <w:marRight w:val="0"/>
              <w:marTop w:val="0"/>
              <w:marBottom w:val="0"/>
              <w:divBdr>
                <w:top w:val="none" w:sz="0" w:space="0" w:color="auto"/>
                <w:left w:val="none" w:sz="0" w:space="0" w:color="auto"/>
                <w:bottom w:val="none" w:sz="0" w:space="0" w:color="auto"/>
                <w:right w:val="none" w:sz="0" w:space="0" w:color="auto"/>
              </w:divBdr>
            </w:div>
            <w:div w:id="1845195828">
              <w:marLeft w:val="0"/>
              <w:marRight w:val="0"/>
              <w:marTop w:val="0"/>
              <w:marBottom w:val="0"/>
              <w:divBdr>
                <w:top w:val="none" w:sz="0" w:space="0" w:color="auto"/>
                <w:left w:val="none" w:sz="0" w:space="0" w:color="auto"/>
                <w:bottom w:val="none" w:sz="0" w:space="0" w:color="auto"/>
                <w:right w:val="none" w:sz="0" w:space="0" w:color="auto"/>
              </w:divBdr>
            </w:div>
            <w:div w:id="476148663">
              <w:marLeft w:val="0"/>
              <w:marRight w:val="0"/>
              <w:marTop w:val="0"/>
              <w:marBottom w:val="0"/>
              <w:divBdr>
                <w:top w:val="none" w:sz="0" w:space="0" w:color="auto"/>
                <w:left w:val="none" w:sz="0" w:space="0" w:color="auto"/>
                <w:bottom w:val="none" w:sz="0" w:space="0" w:color="auto"/>
                <w:right w:val="none" w:sz="0" w:space="0" w:color="auto"/>
              </w:divBdr>
            </w:div>
            <w:div w:id="1363507587">
              <w:marLeft w:val="0"/>
              <w:marRight w:val="0"/>
              <w:marTop w:val="0"/>
              <w:marBottom w:val="0"/>
              <w:divBdr>
                <w:top w:val="none" w:sz="0" w:space="0" w:color="auto"/>
                <w:left w:val="none" w:sz="0" w:space="0" w:color="auto"/>
                <w:bottom w:val="none" w:sz="0" w:space="0" w:color="auto"/>
                <w:right w:val="none" w:sz="0" w:space="0" w:color="auto"/>
              </w:divBdr>
            </w:div>
            <w:div w:id="1075787376">
              <w:marLeft w:val="0"/>
              <w:marRight w:val="0"/>
              <w:marTop w:val="0"/>
              <w:marBottom w:val="0"/>
              <w:divBdr>
                <w:top w:val="none" w:sz="0" w:space="0" w:color="auto"/>
                <w:left w:val="none" w:sz="0" w:space="0" w:color="auto"/>
                <w:bottom w:val="none" w:sz="0" w:space="0" w:color="auto"/>
                <w:right w:val="none" w:sz="0" w:space="0" w:color="auto"/>
              </w:divBdr>
            </w:div>
            <w:div w:id="1879704810">
              <w:marLeft w:val="0"/>
              <w:marRight w:val="0"/>
              <w:marTop w:val="0"/>
              <w:marBottom w:val="0"/>
              <w:divBdr>
                <w:top w:val="none" w:sz="0" w:space="0" w:color="auto"/>
                <w:left w:val="none" w:sz="0" w:space="0" w:color="auto"/>
                <w:bottom w:val="none" w:sz="0" w:space="0" w:color="auto"/>
                <w:right w:val="none" w:sz="0" w:space="0" w:color="auto"/>
              </w:divBdr>
            </w:div>
            <w:div w:id="282267376">
              <w:marLeft w:val="0"/>
              <w:marRight w:val="0"/>
              <w:marTop w:val="0"/>
              <w:marBottom w:val="0"/>
              <w:divBdr>
                <w:top w:val="none" w:sz="0" w:space="0" w:color="auto"/>
                <w:left w:val="none" w:sz="0" w:space="0" w:color="auto"/>
                <w:bottom w:val="none" w:sz="0" w:space="0" w:color="auto"/>
                <w:right w:val="none" w:sz="0" w:space="0" w:color="auto"/>
              </w:divBdr>
            </w:div>
            <w:div w:id="359168062">
              <w:marLeft w:val="0"/>
              <w:marRight w:val="0"/>
              <w:marTop w:val="0"/>
              <w:marBottom w:val="0"/>
              <w:divBdr>
                <w:top w:val="none" w:sz="0" w:space="0" w:color="auto"/>
                <w:left w:val="none" w:sz="0" w:space="0" w:color="auto"/>
                <w:bottom w:val="none" w:sz="0" w:space="0" w:color="auto"/>
                <w:right w:val="none" w:sz="0" w:space="0" w:color="auto"/>
              </w:divBdr>
            </w:div>
            <w:div w:id="221984722">
              <w:marLeft w:val="0"/>
              <w:marRight w:val="0"/>
              <w:marTop w:val="0"/>
              <w:marBottom w:val="0"/>
              <w:divBdr>
                <w:top w:val="none" w:sz="0" w:space="0" w:color="auto"/>
                <w:left w:val="none" w:sz="0" w:space="0" w:color="auto"/>
                <w:bottom w:val="none" w:sz="0" w:space="0" w:color="auto"/>
                <w:right w:val="none" w:sz="0" w:space="0" w:color="auto"/>
              </w:divBdr>
            </w:div>
            <w:div w:id="2078433712">
              <w:marLeft w:val="0"/>
              <w:marRight w:val="0"/>
              <w:marTop w:val="0"/>
              <w:marBottom w:val="0"/>
              <w:divBdr>
                <w:top w:val="none" w:sz="0" w:space="0" w:color="auto"/>
                <w:left w:val="none" w:sz="0" w:space="0" w:color="auto"/>
                <w:bottom w:val="none" w:sz="0" w:space="0" w:color="auto"/>
                <w:right w:val="none" w:sz="0" w:space="0" w:color="auto"/>
              </w:divBdr>
            </w:div>
            <w:div w:id="1407259550">
              <w:marLeft w:val="0"/>
              <w:marRight w:val="0"/>
              <w:marTop w:val="0"/>
              <w:marBottom w:val="0"/>
              <w:divBdr>
                <w:top w:val="none" w:sz="0" w:space="0" w:color="auto"/>
                <w:left w:val="none" w:sz="0" w:space="0" w:color="auto"/>
                <w:bottom w:val="none" w:sz="0" w:space="0" w:color="auto"/>
                <w:right w:val="none" w:sz="0" w:space="0" w:color="auto"/>
              </w:divBdr>
            </w:div>
            <w:div w:id="695816454">
              <w:marLeft w:val="0"/>
              <w:marRight w:val="0"/>
              <w:marTop w:val="0"/>
              <w:marBottom w:val="0"/>
              <w:divBdr>
                <w:top w:val="none" w:sz="0" w:space="0" w:color="auto"/>
                <w:left w:val="none" w:sz="0" w:space="0" w:color="auto"/>
                <w:bottom w:val="none" w:sz="0" w:space="0" w:color="auto"/>
                <w:right w:val="none" w:sz="0" w:space="0" w:color="auto"/>
              </w:divBdr>
            </w:div>
            <w:div w:id="1862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1909">
      <w:bodyDiv w:val="1"/>
      <w:marLeft w:val="0"/>
      <w:marRight w:val="0"/>
      <w:marTop w:val="0"/>
      <w:marBottom w:val="0"/>
      <w:divBdr>
        <w:top w:val="none" w:sz="0" w:space="0" w:color="auto"/>
        <w:left w:val="none" w:sz="0" w:space="0" w:color="auto"/>
        <w:bottom w:val="none" w:sz="0" w:space="0" w:color="auto"/>
        <w:right w:val="none" w:sz="0" w:space="0" w:color="auto"/>
      </w:divBdr>
    </w:div>
    <w:div w:id="1814175591">
      <w:bodyDiv w:val="1"/>
      <w:marLeft w:val="0"/>
      <w:marRight w:val="0"/>
      <w:marTop w:val="0"/>
      <w:marBottom w:val="0"/>
      <w:divBdr>
        <w:top w:val="none" w:sz="0" w:space="0" w:color="auto"/>
        <w:left w:val="none" w:sz="0" w:space="0" w:color="auto"/>
        <w:bottom w:val="none" w:sz="0" w:space="0" w:color="auto"/>
        <w:right w:val="none" w:sz="0" w:space="0" w:color="auto"/>
      </w:divBdr>
      <w:divsChild>
        <w:div w:id="589509827">
          <w:marLeft w:val="0"/>
          <w:marRight w:val="0"/>
          <w:marTop w:val="0"/>
          <w:marBottom w:val="0"/>
          <w:divBdr>
            <w:top w:val="none" w:sz="0" w:space="0" w:color="auto"/>
            <w:left w:val="none" w:sz="0" w:space="0" w:color="auto"/>
            <w:bottom w:val="none" w:sz="0" w:space="0" w:color="auto"/>
            <w:right w:val="none" w:sz="0" w:space="0" w:color="auto"/>
          </w:divBdr>
        </w:div>
        <w:div w:id="1025135355">
          <w:marLeft w:val="0"/>
          <w:marRight w:val="0"/>
          <w:marTop w:val="0"/>
          <w:marBottom w:val="0"/>
          <w:divBdr>
            <w:top w:val="none" w:sz="0" w:space="0" w:color="auto"/>
            <w:left w:val="none" w:sz="0" w:space="0" w:color="auto"/>
            <w:bottom w:val="none" w:sz="0" w:space="0" w:color="auto"/>
            <w:right w:val="none" w:sz="0" w:space="0" w:color="auto"/>
          </w:divBdr>
        </w:div>
        <w:div w:id="451677832">
          <w:marLeft w:val="0"/>
          <w:marRight w:val="0"/>
          <w:marTop w:val="0"/>
          <w:marBottom w:val="0"/>
          <w:divBdr>
            <w:top w:val="none" w:sz="0" w:space="0" w:color="auto"/>
            <w:left w:val="none" w:sz="0" w:space="0" w:color="auto"/>
            <w:bottom w:val="none" w:sz="0" w:space="0" w:color="auto"/>
            <w:right w:val="none" w:sz="0" w:space="0" w:color="auto"/>
          </w:divBdr>
        </w:div>
        <w:div w:id="206185295">
          <w:marLeft w:val="0"/>
          <w:marRight w:val="0"/>
          <w:marTop w:val="0"/>
          <w:marBottom w:val="0"/>
          <w:divBdr>
            <w:top w:val="none" w:sz="0" w:space="0" w:color="auto"/>
            <w:left w:val="none" w:sz="0" w:space="0" w:color="auto"/>
            <w:bottom w:val="none" w:sz="0" w:space="0" w:color="auto"/>
            <w:right w:val="none" w:sz="0" w:space="0" w:color="auto"/>
          </w:divBdr>
        </w:div>
        <w:div w:id="601769011">
          <w:marLeft w:val="0"/>
          <w:marRight w:val="0"/>
          <w:marTop w:val="0"/>
          <w:marBottom w:val="0"/>
          <w:divBdr>
            <w:top w:val="none" w:sz="0" w:space="0" w:color="auto"/>
            <w:left w:val="none" w:sz="0" w:space="0" w:color="auto"/>
            <w:bottom w:val="none" w:sz="0" w:space="0" w:color="auto"/>
            <w:right w:val="none" w:sz="0" w:space="0" w:color="auto"/>
          </w:divBdr>
        </w:div>
        <w:div w:id="1736276866">
          <w:marLeft w:val="0"/>
          <w:marRight w:val="0"/>
          <w:marTop w:val="0"/>
          <w:marBottom w:val="0"/>
          <w:divBdr>
            <w:top w:val="none" w:sz="0" w:space="0" w:color="auto"/>
            <w:left w:val="none" w:sz="0" w:space="0" w:color="auto"/>
            <w:bottom w:val="none" w:sz="0" w:space="0" w:color="auto"/>
            <w:right w:val="none" w:sz="0" w:space="0" w:color="auto"/>
          </w:divBdr>
        </w:div>
        <w:div w:id="1375737088">
          <w:marLeft w:val="0"/>
          <w:marRight w:val="0"/>
          <w:marTop w:val="0"/>
          <w:marBottom w:val="0"/>
          <w:divBdr>
            <w:top w:val="none" w:sz="0" w:space="0" w:color="auto"/>
            <w:left w:val="none" w:sz="0" w:space="0" w:color="auto"/>
            <w:bottom w:val="none" w:sz="0" w:space="0" w:color="auto"/>
            <w:right w:val="none" w:sz="0" w:space="0" w:color="auto"/>
          </w:divBdr>
        </w:div>
        <w:div w:id="1016733999">
          <w:marLeft w:val="0"/>
          <w:marRight w:val="0"/>
          <w:marTop w:val="0"/>
          <w:marBottom w:val="0"/>
          <w:divBdr>
            <w:top w:val="none" w:sz="0" w:space="0" w:color="auto"/>
            <w:left w:val="none" w:sz="0" w:space="0" w:color="auto"/>
            <w:bottom w:val="none" w:sz="0" w:space="0" w:color="auto"/>
            <w:right w:val="none" w:sz="0" w:space="0" w:color="auto"/>
          </w:divBdr>
        </w:div>
        <w:div w:id="688679373">
          <w:marLeft w:val="0"/>
          <w:marRight w:val="0"/>
          <w:marTop w:val="0"/>
          <w:marBottom w:val="0"/>
          <w:divBdr>
            <w:top w:val="none" w:sz="0" w:space="0" w:color="auto"/>
            <w:left w:val="none" w:sz="0" w:space="0" w:color="auto"/>
            <w:bottom w:val="none" w:sz="0" w:space="0" w:color="auto"/>
            <w:right w:val="none" w:sz="0" w:space="0" w:color="auto"/>
          </w:divBdr>
        </w:div>
        <w:div w:id="2058432958">
          <w:marLeft w:val="0"/>
          <w:marRight w:val="0"/>
          <w:marTop w:val="0"/>
          <w:marBottom w:val="0"/>
          <w:divBdr>
            <w:top w:val="none" w:sz="0" w:space="0" w:color="auto"/>
            <w:left w:val="none" w:sz="0" w:space="0" w:color="auto"/>
            <w:bottom w:val="none" w:sz="0" w:space="0" w:color="auto"/>
            <w:right w:val="none" w:sz="0" w:space="0" w:color="auto"/>
          </w:divBdr>
        </w:div>
        <w:div w:id="1630819143">
          <w:marLeft w:val="0"/>
          <w:marRight w:val="0"/>
          <w:marTop w:val="0"/>
          <w:marBottom w:val="0"/>
          <w:divBdr>
            <w:top w:val="none" w:sz="0" w:space="0" w:color="auto"/>
            <w:left w:val="none" w:sz="0" w:space="0" w:color="auto"/>
            <w:bottom w:val="none" w:sz="0" w:space="0" w:color="auto"/>
            <w:right w:val="none" w:sz="0" w:space="0" w:color="auto"/>
          </w:divBdr>
        </w:div>
        <w:div w:id="1856841992">
          <w:marLeft w:val="0"/>
          <w:marRight w:val="0"/>
          <w:marTop w:val="0"/>
          <w:marBottom w:val="0"/>
          <w:divBdr>
            <w:top w:val="none" w:sz="0" w:space="0" w:color="auto"/>
            <w:left w:val="none" w:sz="0" w:space="0" w:color="auto"/>
            <w:bottom w:val="none" w:sz="0" w:space="0" w:color="auto"/>
            <w:right w:val="none" w:sz="0" w:space="0" w:color="auto"/>
          </w:divBdr>
        </w:div>
        <w:div w:id="65984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formance" TargetMode="External"/><Relationship Id="rId13" Type="http://schemas.openxmlformats.org/officeDocument/2006/relationships/chart" Target="charts/chart2.xml"/><Relationship Id="rId18" Type="http://schemas.openxmlformats.org/officeDocument/2006/relationships/hyperlink" Target="https://www.geert-hofsted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n.wikipedia.org/wiki/Community" TargetMode="External"/><Relationship Id="rId12" Type="http://schemas.openxmlformats.org/officeDocument/2006/relationships/chart" Target="charts/chart1.xml"/><Relationship Id="rId17" Type="http://schemas.openxmlformats.org/officeDocument/2006/relationships/hyperlink" Target="https://en.wikipedia.org/wiki/Special:BookSources/1590514602" TargetMode="External"/><Relationship Id="rId2" Type="http://schemas.openxmlformats.org/officeDocument/2006/relationships/numbering" Target="numbering.xml"/><Relationship Id="rId16" Type="http://schemas.openxmlformats.org/officeDocument/2006/relationships/hyperlink" Target="http://www.ldv.ei.tum.de/en/research/fidens/interpersonal-tru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Social_influence" TargetMode="External"/><Relationship Id="rId11" Type="http://schemas.openxmlformats.org/officeDocument/2006/relationships/hyperlink" Target="https://en.wikipedia.org/wiki/Social_capital" TargetMode="External"/><Relationship Id="rId5" Type="http://schemas.openxmlformats.org/officeDocument/2006/relationships/webSettings" Target="webSettings.xml"/><Relationship Id="rId15" Type="http://schemas.openxmlformats.org/officeDocument/2006/relationships/hyperlink" Target="http://www.ldv.ei.tum.de/en/research/fidens/interpersonal-trust/" TargetMode="External"/><Relationship Id="rId10" Type="http://schemas.openxmlformats.org/officeDocument/2006/relationships/hyperlink" Target="https://en.wikipedia.org/wiki/Nash_equilibrium" TargetMode="External"/><Relationship Id="rId19" Type="http://schemas.openxmlformats.org/officeDocument/2006/relationships/hyperlink" Target="https://data.oecd.org/inequality/income-inequality.htm" TargetMode="External"/><Relationship Id="rId4" Type="http://schemas.openxmlformats.org/officeDocument/2006/relationships/settings" Target="settings.xml"/><Relationship Id="rId9" Type="http://schemas.openxmlformats.org/officeDocument/2006/relationships/hyperlink" Target="https://en.wikipedia.org/wiki/Organizational_justice" TargetMode="External"/><Relationship Id="rId14" Type="http://schemas.openxmlformats.org/officeDocument/2006/relationships/hyperlink" Target="http://pure.au.dk/portal/files/783/06-2_CB.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NEW%20RESEARCH\DATA%20RESEARCH\GINI%20OEC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NEW%20RESEARCH\DATA%20RESEARCH\GINI%20OEC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Gini</a:t>
            </a:r>
            <a:r>
              <a:rPr lang="en-US" baseline="0"/>
              <a:t> Coefficient</a:t>
            </a:r>
            <a:r>
              <a:rPr lang="en-GB"/>
              <a:t>, 2016</a:t>
            </a:r>
            <a:r>
              <a:rPr lang="bg-BG"/>
              <a:t> </a:t>
            </a:r>
          </a:p>
        </c:rich>
      </c:tx>
      <c:overlay val="0"/>
      <c:spPr>
        <a:noFill/>
        <a:ln>
          <a:noFill/>
        </a:ln>
        <a:effectLst/>
      </c:spPr>
    </c:title>
    <c:autoTitleDeleted val="0"/>
    <c:plotArea>
      <c:layout>
        <c:manualLayout>
          <c:layoutTarget val="inner"/>
          <c:xMode val="edge"/>
          <c:yMode val="edge"/>
          <c:x val="0.16178567737935312"/>
          <c:y val="9.0129004203507765E-2"/>
          <c:w val="0.81404368992472609"/>
          <c:h val="0.82522606836777668"/>
        </c:manualLayout>
      </c:layout>
      <c:barChart>
        <c:barDir val="bar"/>
        <c:grouping val="clustered"/>
        <c:varyColors val="0"/>
        <c:ser>
          <c:idx val="0"/>
          <c:order val="0"/>
          <c:spPr>
            <a:solidFill>
              <a:schemeClr val="accent1"/>
            </a:solidFill>
            <a:ln>
              <a:noFill/>
            </a:ln>
            <a:effectLst/>
          </c:spPr>
          <c:invertIfNegative val="0"/>
          <c:cat>
            <c:strRef>
              <c:f>DP_LIVE_25052017200838825!$I$21:$I$44</c:f>
              <c:strCache>
                <c:ptCount val="24"/>
                <c:pt idx="0">
                  <c:v>България</c:v>
                </c:pt>
                <c:pt idx="1">
                  <c:v>Естония</c:v>
                </c:pt>
                <c:pt idx="2">
                  <c:v>Великобритания</c:v>
                </c:pt>
                <c:pt idx="3">
                  <c:v>Латвия</c:v>
                </c:pt>
                <c:pt idx="4">
                  <c:v>Литва</c:v>
                </c:pt>
                <c:pt idx="5">
                  <c:v>Испания</c:v>
                </c:pt>
                <c:pt idx="6">
                  <c:v>Гърция</c:v>
                </c:pt>
                <c:pt idx="7">
                  <c:v>Португалия</c:v>
                </c:pt>
                <c:pt idx="8">
                  <c:v>Италия</c:v>
                </c:pt>
                <c:pt idx="9">
                  <c:v>Ирландия</c:v>
                </c:pt>
                <c:pt idx="10">
                  <c:v>Полша</c:v>
                </c:pt>
                <c:pt idx="11">
                  <c:v>Франция</c:v>
                </c:pt>
                <c:pt idx="12">
                  <c:v>Германия</c:v>
                </c:pt>
                <c:pt idx="13">
                  <c:v>Унгария</c:v>
                </c:pt>
                <c:pt idx="14">
                  <c:v>Холандия</c:v>
                </c:pt>
                <c:pt idx="15">
                  <c:v>Люксембург</c:v>
                </c:pt>
                <c:pt idx="16">
                  <c:v>Швеция</c:v>
                </c:pt>
                <c:pt idx="17">
                  <c:v>Австрия</c:v>
                </c:pt>
                <c:pt idx="18">
                  <c:v>Словакия</c:v>
                </c:pt>
                <c:pt idx="19">
                  <c:v>Белгия</c:v>
                </c:pt>
                <c:pt idx="20">
                  <c:v>Чехия</c:v>
                </c:pt>
                <c:pt idx="21">
                  <c:v>Финландия</c:v>
                </c:pt>
                <c:pt idx="22">
                  <c:v>Словения</c:v>
                </c:pt>
                <c:pt idx="23">
                  <c:v>Дания</c:v>
                </c:pt>
              </c:strCache>
            </c:strRef>
          </c:cat>
          <c:val>
            <c:numRef>
              <c:f>DP_LIVE_25052017200838825!$J$21:$J$44</c:f>
              <c:numCache>
                <c:formatCode>General</c:formatCode>
                <c:ptCount val="24"/>
                <c:pt idx="0">
                  <c:v>0.36200000000000032</c:v>
                </c:pt>
                <c:pt idx="1">
                  <c:v>0.36100000000000032</c:v>
                </c:pt>
                <c:pt idx="2">
                  <c:v>0.35800000000000032</c:v>
                </c:pt>
                <c:pt idx="3">
                  <c:v>0.35300000000000031</c:v>
                </c:pt>
                <c:pt idx="4">
                  <c:v>0.35200000000000031</c:v>
                </c:pt>
                <c:pt idx="5">
                  <c:v>0.34600000000000058</c:v>
                </c:pt>
                <c:pt idx="6">
                  <c:v>0.34300000000000047</c:v>
                </c:pt>
                <c:pt idx="7">
                  <c:v>0.34200000000000047</c:v>
                </c:pt>
                <c:pt idx="8">
                  <c:v>0.32500000000000101</c:v>
                </c:pt>
                <c:pt idx="9">
                  <c:v>0.30900000000000089</c:v>
                </c:pt>
                <c:pt idx="10">
                  <c:v>0.30000000000000032</c:v>
                </c:pt>
                <c:pt idx="11">
                  <c:v>0.29400000000000032</c:v>
                </c:pt>
                <c:pt idx="12">
                  <c:v>0.29200000000000031</c:v>
                </c:pt>
                <c:pt idx="13">
                  <c:v>0.28800000000000031</c:v>
                </c:pt>
                <c:pt idx="14">
                  <c:v>0.28300000000000008</c:v>
                </c:pt>
                <c:pt idx="15">
                  <c:v>0.28100000000000008</c:v>
                </c:pt>
                <c:pt idx="16">
                  <c:v>0.28100000000000008</c:v>
                </c:pt>
                <c:pt idx="17">
                  <c:v>0.28000000000000008</c:v>
                </c:pt>
                <c:pt idx="18">
                  <c:v>0.26900000000000002</c:v>
                </c:pt>
                <c:pt idx="19">
                  <c:v>0.26800000000000002</c:v>
                </c:pt>
                <c:pt idx="20">
                  <c:v>0.26200000000000001</c:v>
                </c:pt>
                <c:pt idx="21">
                  <c:v>0.25700000000000001</c:v>
                </c:pt>
                <c:pt idx="22">
                  <c:v>0.255</c:v>
                </c:pt>
                <c:pt idx="23">
                  <c:v>0.254</c:v>
                </c:pt>
              </c:numCache>
            </c:numRef>
          </c:val>
          <c:extLst xmlns:c16r2="http://schemas.microsoft.com/office/drawing/2015/06/chart">
            <c:ext xmlns:c16="http://schemas.microsoft.com/office/drawing/2014/chart" uri="{C3380CC4-5D6E-409C-BE32-E72D297353CC}">
              <c16:uniqueId val="{00000000-78ED-4D9C-A926-6092D5599110}"/>
            </c:ext>
          </c:extLst>
        </c:ser>
        <c:dLbls>
          <c:showLegendKey val="0"/>
          <c:showVal val="0"/>
          <c:showCatName val="0"/>
          <c:showSerName val="0"/>
          <c:showPercent val="0"/>
          <c:showBubbleSize val="0"/>
        </c:dLbls>
        <c:gapWidth val="182"/>
        <c:axId val="-104363968"/>
        <c:axId val="-104355264"/>
      </c:barChart>
      <c:catAx>
        <c:axId val="-104363968"/>
        <c:scaling>
          <c:orientation val="minMax"/>
        </c:scaling>
        <c:delete val="1"/>
        <c:axPos val="l"/>
        <c:numFmt formatCode="General" sourceLinked="1"/>
        <c:majorTickMark val="none"/>
        <c:minorTickMark val="none"/>
        <c:tickLblPos val="nextTo"/>
        <c:crossAx val="-104355264"/>
        <c:crosses val="autoZero"/>
        <c:auto val="1"/>
        <c:lblAlgn val="r"/>
        <c:lblOffset val="100"/>
        <c:noMultiLvlLbl val="0"/>
      </c:catAx>
      <c:valAx>
        <c:axId val="-10435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6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Gini</a:t>
            </a:r>
            <a:r>
              <a:rPr lang="en-US" baseline="0"/>
              <a:t> Coefficient</a:t>
            </a:r>
            <a:r>
              <a:rPr lang="en-GB"/>
              <a:t>, 2016</a:t>
            </a:r>
            <a:r>
              <a:rPr lang="bg-BG"/>
              <a:t> </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DP_LIVE_25052017200838825!$I$21:$I$44</c:f>
              <c:strCache>
                <c:ptCount val="24"/>
                <c:pt idx="0">
                  <c:v>България</c:v>
                </c:pt>
                <c:pt idx="1">
                  <c:v>Естония</c:v>
                </c:pt>
                <c:pt idx="2">
                  <c:v>Великобритания</c:v>
                </c:pt>
                <c:pt idx="3">
                  <c:v>Латвия</c:v>
                </c:pt>
                <c:pt idx="4">
                  <c:v>Литва</c:v>
                </c:pt>
                <c:pt idx="5">
                  <c:v>Испания</c:v>
                </c:pt>
                <c:pt idx="6">
                  <c:v>Гърция</c:v>
                </c:pt>
                <c:pt idx="7">
                  <c:v>Португалия</c:v>
                </c:pt>
                <c:pt idx="8">
                  <c:v>Италия</c:v>
                </c:pt>
                <c:pt idx="9">
                  <c:v>Ирландия</c:v>
                </c:pt>
                <c:pt idx="10">
                  <c:v>Полша</c:v>
                </c:pt>
                <c:pt idx="11">
                  <c:v>Франция</c:v>
                </c:pt>
                <c:pt idx="12">
                  <c:v>Германия</c:v>
                </c:pt>
                <c:pt idx="13">
                  <c:v>Унгария</c:v>
                </c:pt>
                <c:pt idx="14">
                  <c:v>Холандия</c:v>
                </c:pt>
                <c:pt idx="15">
                  <c:v>Люксембург</c:v>
                </c:pt>
                <c:pt idx="16">
                  <c:v>Швеция</c:v>
                </c:pt>
                <c:pt idx="17">
                  <c:v>Австрия</c:v>
                </c:pt>
                <c:pt idx="18">
                  <c:v>Словакия</c:v>
                </c:pt>
                <c:pt idx="19">
                  <c:v>Белгия</c:v>
                </c:pt>
                <c:pt idx="20">
                  <c:v>Чехия</c:v>
                </c:pt>
                <c:pt idx="21">
                  <c:v>Финландия</c:v>
                </c:pt>
                <c:pt idx="22">
                  <c:v>Словения</c:v>
                </c:pt>
                <c:pt idx="23">
                  <c:v>Дания</c:v>
                </c:pt>
              </c:strCache>
            </c:strRef>
          </c:cat>
          <c:val>
            <c:numRef>
              <c:f>DP_LIVE_25052017200838825!$J$21:$J$44</c:f>
              <c:numCache>
                <c:formatCode>General</c:formatCode>
                <c:ptCount val="24"/>
                <c:pt idx="0">
                  <c:v>0.36200000000000032</c:v>
                </c:pt>
                <c:pt idx="1">
                  <c:v>0.36100000000000032</c:v>
                </c:pt>
                <c:pt idx="2">
                  <c:v>0.35800000000000032</c:v>
                </c:pt>
                <c:pt idx="3">
                  <c:v>0.35300000000000031</c:v>
                </c:pt>
                <c:pt idx="4">
                  <c:v>0.35200000000000031</c:v>
                </c:pt>
                <c:pt idx="5">
                  <c:v>0.34600000000000058</c:v>
                </c:pt>
                <c:pt idx="6">
                  <c:v>0.34300000000000047</c:v>
                </c:pt>
                <c:pt idx="7">
                  <c:v>0.34200000000000047</c:v>
                </c:pt>
                <c:pt idx="8">
                  <c:v>0.32500000000000101</c:v>
                </c:pt>
                <c:pt idx="9">
                  <c:v>0.30900000000000089</c:v>
                </c:pt>
                <c:pt idx="10">
                  <c:v>0.30000000000000032</c:v>
                </c:pt>
                <c:pt idx="11">
                  <c:v>0.29400000000000032</c:v>
                </c:pt>
                <c:pt idx="12">
                  <c:v>0.29200000000000031</c:v>
                </c:pt>
                <c:pt idx="13">
                  <c:v>0.28800000000000031</c:v>
                </c:pt>
                <c:pt idx="14">
                  <c:v>0.28300000000000008</c:v>
                </c:pt>
                <c:pt idx="15">
                  <c:v>0.28100000000000008</c:v>
                </c:pt>
                <c:pt idx="16">
                  <c:v>0.28100000000000008</c:v>
                </c:pt>
                <c:pt idx="17">
                  <c:v>0.28000000000000008</c:v>
                </c:pt>
                <c:pt idx="18">
                  <c:v>0.26900000000000002</c:v>
                </c:pt>
                <c:pt idx="19">
                  <c:v>0.26800000000000002</c:v>
                </c:pt>
                <c:pt idx="20">
                  <c:v>0.26200000000000001</c:v>
                </c:pt>
                <c:pt idx="21">
                  <c:v>0.25700000000000001</c:v>
                </c:pt>
                <c:pt idx="22">
                  <c:v>0.255</c:v>
                </c:pt>
                <c:pt idx="23">
                  <c:v>0.254</c:v>
                </c:pt>
              </c:numCache>
            </c:numRef>
          </c:val>
          <c:extLst xmlns:c16r2="http://schemas.microsoft.com/office/drawing/2015/06/chart">
            <c:ext xmlns:c16="http://schemas.microsoft.com/office/drawing/2014/chart" uri="{C3380CC4-5D6E-409C-BE32-E72D297353CC}">
              <c16:uniqueId val="{00000000-78ED-4D9C-A926-6092D5599110}"/>
            </c:ext>
          </c:extLst>
        </c:ser>
        <c:dLbls>
          <c:showLegendKey val="0"/>
          <c:showVal val="0"/>
          <c:showCatName val="0"/>
          <c:showSerName val="0"/>
          <c:showPercent val="0"/>
          <c:showBubbleSize val="0"/>
        </c:dLbls>
        <c:gapWidth val="182"/>
        <c:axId val="-112214304"/>
        <c:axId val="-112220832"/>
      </c:barChart>
      <c:catAx>
        <c:axId val="-11221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220832"/>
        <c:crosses val="autoZero"/>
        <c:auto val="1"/>
        <c:lblAlgn val="r"/>
        <c:lblOffset val="100"/>
        <c:noMultiLvlLbl val="0"/>
      </c:catAx>
      <c:valAx>
        <c:axId val="-112220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21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0.01309</cdr:x>
      <cdr:y>0.1049</cdr:y>
    </cdr:from>
    <cdr:to>
      <cdr:x>0.14955</cdr:x>
      <cdr:y>0.93</cdr:y>
    </cdr:to>
    <cdr:sp macro="" textlink="">
      <cdr:nvSpPr>
        <cdr:cNvPr id="2" name="TextBox 1"/>
        <cdr:cNvSpPr txBox="1"/>
      </cdr:nvSpPr>
      <cdr:spPr>
        <a:xfrm xmlns:a="http://schemas.openxmlformats.org/drawingml/2006/main">
          <a:off x="80445" y="459569"/>
          <a:ext cx="838595" cy="3614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0.01078</cdr:x>
      <cdr:y>0.10598</cdr:y>
    </cdr:from>
    <cdr:to>
      <cdr:x>0.15341</cdr:x>
      <cdr:y>0.93974</cdr:y>
    </cdr:to>
    <cdr:sp macro="" textlink="">
      <cdr:nvSpPr>
        <cdr:cNvPr id="3" name="TextBox 2"/>
        <cdr:cNvSpPr txBox="1"/>
      </cdr:nvSpPr>
      <cdr:spPr>
        <a:xfrm xmlns:a="http://schemas.openxmlformats.org/drawingml/2006/main">
          <a:off x="66231" y="464307"/>
          <a:ext cx="876498" cy="3652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0.01612</cdr:x>
      <cdr:y>0.011</cdr:y>
    </cdr:from>
    <cdr:to>
      <cdr:x>0.16343</cdr:x>
      <cdr:y>0.94275</cdr:y>
    </cdr:to>
    <cdr:sp macro="" textlink="">
      <cdr:nvSpPr>
        <cdr:cNvPr id="4" name="TextBox 3"/>
        <cdr:cNvSpPr txBox="1"/>
      </cdr:nvSpPr>
      <cdr:spPr>
        <a:xfrm xmlns:a="http://schemas.openxmlformats.org/drawingml/2006/main">
          <a:off x="99060" y="48198"/>
          <a:ext cx="905204" cy="40818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a:p>
        <a:p xmlns:a="http://schemas.openxmlformats.org/drawingml/2006/main">
          <a:endParaRPr lang="en-US" sz="900"/>
        </a:p>
        <a:p xmlns:a="http://schemas.openxmlformats.org/drawingml/2006/main">
          <a:pPr>
            <a:lnSpc>
              <a:spcPts val="1200"/>
            </a:lnSpc>
          </a:pPr>
          <a:r>
            <a:rPr lang="en-US" sz="900" b="1"/>
            <a:t>Denmark</a:t>
          </a:r>
        </a:p>
        <a:p xmlns:a="http://schemas.openxmlformats.org/drawingml/2006/main">
          <a:pPr>
            <a:lnSpc>
              <a:spcPts val="1200"/>
            </a:lnSpc>
          </a:pPr>
          <a:r>
            <a:rPr lang="en-US" sz="900" b="1"/>
            <a:t>Slovenia</a:t>
          </a:r>
        </a:p>
        <a:p xmlns:a="http://schemas.openxmlformats.org/drawingml/2006/main">
          <a:pPr>
            <a:lnSpc>
              <a:spcPts val="1200"/>
            </a:lnSpc>
          </a:pPr>
          <a:r>
            <a:rPr lang="en-US" sz="900" b="1"/>
            <a:t>Finland</a:t>
          </a:r>
        </a:p>
        <a:p xmlns:a="http://schemas.openxmlformats.org/drawingml/2006/main">
          <a:pPr>
            <a:lnSpc>
              <a:spcPts val="1200"/>
            </a:lnSpc>
          </a:pPr>
          <a:r>
            <a:rPr lang="en-US" sz="900" b="1"/>
            <a:t>Czeck</a:t>
          </a:r>
          <a:r>
            <a:rPr lang="en-US" sz="900" b="1" baseline="0"/>
            <a:t> Republic</a:t>
          </a:r>
        </a:p>
        <a:p xmlns:a="http://schemas.openxmlformats.org/drawingml/2006/main">
          <a:pPr>
            <a:lnSpc>
              <a:spcPts val="1200"/>
            </a:lnSpc>
          </a:pPr>
          <a:r>
            <a:rPr lang="en-US" sz="900" b="1" baseline="0"/>
            <a:t>Belgium</a:t>
          </a:r>
        </a:p>
        <a:p xmlns:a="http://schemas.openxmlformats.org/drawingml/2006/main">
          <a:pPr>
            <a:lnSpc>
              <a:spcPts val="1200"/>
            </a:lnSpc>
          </a:pPr>
          <a:r>
            <a:rPr lang="en-US" sz="900" b="1" baseline="0"/>
            <a:t>Slovakia</a:t>
          </a:r>
        </a:p>
        <a:p xmlns:a="http://schemas.openxmlformats.org/drawingml/2006/main">
          <a:pPr>
            <a:lnSpc>
              <a:spcPts val="1200"/>
            </a:lnSpc>
          </a:pPr>
          <a:r>
            <a:rPr lang="en-US" sz="900" b="1" baseline="0"/>
            <a:t>Austria</a:t>
          </a:r>
        </a:p>
        <a:p xmlns:a="http://schemas.openxmlformats.org/drawingml/2006/main">
          <a:pPr>
            <a:lnSpc>
              <a:spcPts val="1200"/>
            </a:lnSpc>
          </a:pPr>
          <a:r>
            <a:rPr lang="en-US" sz="900" b="1" baseline="0"/>
            <a:t>Sweden</a:t>
          </a:r>
        </a:p>
        <a:p xmlns:a="http://schemas.openxmlformats.org/drawingml/2006/main">
          <a:pPr>
            <a:lnSpc>
              <a:spcPts val="1200"/>
            </a:lnSpc>
          </a:pPr>
          <a:r>
            <a:rPr lang="en-US" sz="900" b="1" baseline="0"/>
            <a:t>Luxemburg</a:t>
          </a:r>
        </a:p>
        <a:p xmlns:a="http://schemas.openxmlformats.org/drawingml/2006/main">
          <a:pPr>
            <a:lnSpc>
              <a:spcPts val="1200"/>
            </a:lnSpc>
          </a:pPr>
          <a:r>
            <a:rPr lang="en-US" sz="900" b="1" baseline="0"/>
            <a:t>Netherlands</a:t>
          </a:r>
        </a:p>
        <a:p xmlns:a="http://schemas.openxmlformats.org/drawingml/2006/main">
          <a:pPr>
            <a:lnSpc>
              <a:spcPts val="1200"/>
            </a:lnSpc>
          </a:pPr>
          <a:r>
            <a:rPr lang="en-US" sz="900" b="1" baseline="0"/>
            <a:t>Hungary</a:t>
          </a:r>
        </a:p>
        <a:p xmlns:a="http://schemas.openxmlformats.org/drawingml/2006/main">
          <a:pPr>
            <a:lnSpc>
              <a:spcPts val="1200"/>
            </a:lnSpc>
          </a:pPr>
          <a:r>
            <a:rPr lang="en-US" sz="900" b="1" baseline="0"/>
            <a:t>Germany</a:t>
          </a:r>
        </a:p>
        <a:p xmlns:a="http://schemas.openxmlformats.org/drawingml/2006/main">
          <a:pPr>
            <a:lnSpc>
              <a:spcPts val="1200"/>
            </a:lnSpc>
          </a:pPr>
          <a:r>
            <a:rPr lang="en-US" sz="900" b="1" baseline="0"/>
            <a:t>France</a:t>
          </a:r>
        </a:p>
        <a:p xmlns:a="http://schemas.openxmlformats.org/drawingml/2006/main">
          <a:pPr>
            <a:lnSpc>
              <a:spcPts val="1200"/>
            </a:lnSpc>
          </a:pPr>
          <a:r>
            <a:rPr lang="en-US" sz="900" b="1" baseline="0"/>
            <a:t>Poland</a:t>
          </a:r>
        </a:p>
        <a:p xmlns:a="http://schemas.openxmlformats.org/drawingml/2006/main">
          <a:pPr>
            <a:lnSpc>
              <a:spcPts val="1200"/>
            </a:lnSpc>
          </a:pPr>
          <a:r>
            <a:rPr lang="en-US" sz="900" b="1" baseline="0"/>
            <a:t>Ireland</a:t>
          </a:r>
        </a:p>
        <a:p xmlns:a="http://schemas.openxmlformats.org/drawingml/2006/main">
          <a:pPr>
            <a:lnSpc>
              <a:spcPts val="1200"/>
            </a:lnSpc>
          </a:pPr>
          <a:r>
            <a:rPr lang="en-US" sz="900" b="1" baseline="0"/>
            <a:t>Italy</a:t>
          </a:r>
        </a:p>
        <a:p xmlns:a="http://schemas.openxmlformats.org/drawingml/2006/main">
          <a:pPr>
            <a:lnSpc>
              <a:spcPts val="1200"/>
            </a:lnSpc>
          </a:pPr>
          <a:r>
            <a:rPr lang="en-US" sz="900" b="1" baseline="0"/>
            <a:t>Portugal</a:t>
          </a:r>
        </a:p>
        <a:p xmlns:a="http://schemas.openxmlformats.org/drawingml/2006/main">
          <a:pPr>
            <a:lnSpc>
              <a:spcPts val="1200"/>
            </a:lnSpc>
          </a:pPr>
          <a:r>
            <a:rPr lang="en-US" sz="900" b="1" baseline="0"/>
            <a:t>Greece</a:t>
          </a:r>
        </a:p>
        <a:p xmlns:a="http://schemas.openxmlformats.org/drawingml/2006/main">
          <a:pPr>
            <a:lnSpc>
              <a:spcPts val="1200"/>
            </a:lnSpc>
          </a:pPr>
          <a:r>
            <a:rPr lang="en-US" sz="900" b="1" baseline="0"/>
            <a:t>Spain</a:t>
          </a:r>
        </a:p>
        <a:p xmlns:a="http://schemas.openxmlformats.org/drawingml/2006/main">
          <a:pPr>
            <a:lnSpc>
              <a:spcPts val="1200"/>
            </a:lnSpc>
          </a:pPr>
          <a:r>
            <a:rPr lang="en-US" sz="900" b="1" baseline="0"/>
            <a:t>Lithuania</a:t>
          </a:r>
        </a:p>
        <a:p xmlns:a="http://schemas.openxmlformats.org/drawingml/2006/main">
          <a:pPr>
            <a:lnSpc>
              <a:spcPts val="1200"/>
            </a:lnSpc>
          </a:pPr>
          <a:r>
            <a:rPr lang="en-US" sz="900" b="1" baseline="0"/>
            <a:t>Latvia</a:t>
          </a:r>
        </a:p>
        <a:p xmlns:a="http://schemas.openxmlformats.org/drawingml/2006/main">
          <a:pPr>
            <a:lnSpc>
              <a:spcPts val="1200"/>
            </a:lnSpc>
          </a:pPr>
          <a:r>
            <a:rPr lang="en-US" sz="900" b="1" baseline="0"/>
            <a:t>UK</a:t>
          </a:r>
        </a:p>
        <a:p xmlns:a="http://schemas.openxmlformats.org/drawingml/2006/main">
          <a:pPr>
            <a:lnSpc>
              <a:spcPts val="1200"/>
            </a:lnSpc>
          </a:pPr>
          <a:r>
            <a:rPr lang="en-US" sz="900" b="1" baseline="0"/>
            <a:t>Estonia</a:t>
          </a:r>
        </a:p>
        <a:p xmlns:a="http://schemas.openxmlformats.org/drawingml/2006/main">
          <a:pPr>
            <a:lnSpc>
              <a:spcPts val="1200"/>
            </a:lnSpc>
          </a:pPr>
          <a:r>
            <a:rPr lang="en-US" sz="900" b="1" baseline="0"/>
            <a:t>Bulgaria</a:t>
          </a:r>
        </a:p>
        <a:p xmlns:a="http://schemas.openxmlformats.org/drawingml/2006/main">
          <a:pPr>
            <a:lnSpc>
              <a:spcPts val="1130"/>
            </a:lnSpc>
          </a:pPr>
          <a:endParaRPr lang="en-US" sz="900" b="1" baseline="0"/>
        </a:p>
        <a:p xmlns:a="http://schemas.openxmlformats.org/drawingml/2006/main">
          <a:endParaRPr lang="en-US" sz="900" b="1"/>
        </a:p>
      </cdr:txBody>
    </cdr:sp>
  </cdr:relSizeAnchor>
</c:userShapes>
</file>

<file path=word/drawings/drawing2.xml><?xml version="1.0" encoding="utf-8"?>
<c:userShapes xmlns:c="http://schemas.openxmlformats.org/drawingml/2006/chart">
  <cdr:relSizeAnchor xmlns:cdr="http://schemas.openxmlformats.org/drawingml/2006/chartDrawing">
    <cdr:from>
      <cdr:x>0.01309</cdr:x>
      <cdr:y>0.1049</cdr:y>
    </cdr:from>
    <cdr:to>
      <cdr:x>0.14955</cdr:x>
      <cdr:y>0.93</cdr:y>
    </cdr:to>
    <cdr:sp macro="" textlink="">
      <cdr:nvSpPr>
        <cdr:cNvPr id="2" name="TextBox 1"/>
        <cdr:cNvSpPr txBox="1"/>
      </cdr:nvSpPr>
      <cdr:spPr>
        <a:xfrm xmlns:a="http://schemas.openxmlformats.org/drawingml/2006/main">
          <a:off x="80445" y="459569"/>
          <a:ext cx="838595" cy="3614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0.01078</cdr:x>
      <cdr:y>0.10598</cdr:y>
    </cdr:from>
    <cdr:to>
      <cdr:x>0.15341</cdr:x>
      <cdr:y>0.93974</cdr:y>
    </cdr:to>
    <cdr:sp macro="" textlink="">
      <cdr:nvSpPr>
        <cdr:cNvPr id="3" name="TextBox 2"/>
        <cdr:cNvSpPr txBox="1"/>
      </cdr:nvSpPr>
      <cdr:spPr>
        <a:xfrm xmlns:a="http://schemas.openxmlformats.org/drawingml/2006/main">
          <a:off x="66231" y="464307"/>
          <a:ext cx="876498" cy="3652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F94A-6BA1-42F9-AD53-625E7742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6518</Words>
  <Characters>37154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Paunov</dc:creator>
  <cp:lastModifiedBy>Marin Paunov</cp:lastModifiedBy>
  <cp:revision>10</cp:revision>
  <dcterms:created xsi:type="dcterms:W3CDTF">2018-10-06T15:29:00Z</dcterms:created>
  <dcterms:modified xsi:type="dcterms:W3CDTF">2018-10-07T16:59:00Z</dcterms:modified>
</cp:coreProperties>
</file>